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2DFE" w:rsidRPr="00A37677" w:rsidP="00594614" w14:paraId="7166F589" w14:textId="77777777">
      <w:pPr>
        <w:tabs>
          <w:tab w:val="left" w:pos="720"/>
        </w:tabs>
        <w:spacing w:before="0" w:line="240" w:lineRule="auto"/>
        <w:jc w:val="center"/>
        <w:rPr>
          <w:b/>
          <w:bCs/>
          <w:caps/>
          <w:sz w:val="26"/>
          <w:lang w:val="en-CA"/>
        </w:rPr>
      </w:pPr>
    </w:p>
    <w:p w:rsidR="00A23BE5" w:rsidP="00594614" w14:paraId="7CE7E1A0" w14:textId="64BD18C3">
      <w:pPr>
        <w:tabs>
          <w:tab w:val="left" w:pos="720"/>
        </w:tabs>
        <w:spacing w:before="0" w:line="240" w:lineRule="auto"/>
        <w:jc w:val="center"/>
        <w:rPr>
          <w:sz w:val="26"/>
          <w:szCs w:val="26"/>
        </w:rPr>
      </w:pPr>
      <w:r w:rsidRPr="00A37677">
        <w:rPr>
          <w:sz w:val="26"/>
        </w:rPr>
        <w:t>Supporting Statement</w:t>
      </w:r>
      <w:r w:rsidRPr="00A37677">
        <w:rPr>
          <w:sz w:val="26"/>
          <w:szCs w:val="26"/>
        </w:rPr>
        <w:t xml:space="preserve"> </w:t>
      </w:r>
      <w:r w:rsidRPr="00A37677" w:rsidR="005B6F0F">
        <w:rPr>
          <w:sz w:val="26"/>
          <w:szCs w:val="26"/>
        </w:rPr>
        <w:t>for</w:t>
      </w:r>
      <w:r w:rsidR="0057092C">
        <w:rPr>
          <w:sz w:val="26"/>
          <w:szCs w:val="26"/>
        </w:rPr>
        <w:t xml:space="preserve"> </w:t>
      </w:r>
      <w:r w:rsidR="003D09ED">
        <w:rPr>
          <w:sz w:val="26"/>
          <w:szCs w:val="26"/>
        </w:rPr>
        <w:t xml:space="preserve">Final Rule in Docket No. </w:t>
      </w:r>
      <w:r w:rsidR="0057092C">
        <w:rPr>
          <w:sz w:val="26"/>
          <w:szCs w:val="26"/>
        </w:rPr>
        <w:t>RM21-17-000</w:t>
      </w:r>
    </w:p>
    <w:p w:rsidR="0057092C" w:rsidRPr="00A37677" w:rsidP="00D845B3" w14:paraId="3ABD1AAE" w14:textId="1429DCC0">
      <w:pPr>
        <w:tabs>
          <w:tab w:val="left" w:pos="720"/>
        </w:tabs>
        <w:spacing w:before="0" w:line="240" w:lineRule="auto"/>
        <w:jc w:val="center"/>
        <w:rPr>
          <w:sz w:val="26"/>
        </w:rPr>
      </w:pPr>
      <w:r>
        <w:rPr>
          <w:sz w:val="26"/>
          <w:szCs w:val="26"/>
        </w:rPr>
        <w:t>“</w:t>
      </w:r>
      <w:r w:rsidR="001D51B8">
        <w:rPr>
          <w:sz w:val="26"/>
          <w:szCs w:val="26"/>
        </w:rPr>
        <w:t>Building for the Future Through Electric Regional Transmission Planning and Cost Allocation</w:t>
      </w:r>
      <w:r>
        <w:rPr>
          <w:sz w:val="26"/>
          <w:szCs w:val="26"/>
        </w:rPr>
        <w:t>”</w:t>
      </w:r>
    </w:p>
    <w:p w:rsidR="005D3180" w:rsidRPr="00A37677" w:rsidP="009B7C8F" w14:paraId="4818A55E" w14:textId="6AF1E29C">
      <w:pPr>
        <w:tabs>
          <w:tab w:val="left" w:pos="720"/>
        </w:tabs>
        <w:spacing w:line="240" w:lineRule="auto"/>
        <w:jc w:val="center"/>
        <w:rPr>
          <w:b/>
          <w:bCs/>
          <w:sz w:val="26"/>
        </w:rPr>
      </w:pPr>
      <w:r w:rsidRPr="00A37677">
        <w:rPr>
          <w:b/>
          <w:bCs/>
          <w:sz w:val="26"/>
        </w:rPr>
        <w:t>FERC</w:t>
      </w:r>
      <w:r w:rsidRPr="00A37677" w:rsidR="00393740">
        <w:rPr>
          <w:b/>
          <w:bCs/>
          <w:sz w:val="26"/>
        </w:rPr>
        <w:t>-917 (</w:t>
      </w:r>
      <w:r w:rsidRPr="00A37677" w:rsidR="004B77A5">
        <w:rPr>
          <w:b/>
          <w:bCs/>
          <w:sz w:val="26"/>
        </w:rPr>
        <w:t>Electric Transmission Filings</w:t>
      </w:r>
      <w:r w:rsidRPr="00A37677" w:rsidR="00DC2BB0">
        <w:rPr>
          <w:b/>
          <w:bCs/>
          <w:sz w:val="26"/>
        </w:rPr>
        <w:t>)</w:t>
      </w:r>
    </w:p>
    <w:p w:rsidR="0034021A" w:rsidRPr="00A37677" w:rsidP="00727320" w14:paraId="086C761D" w14:textId="0F266B73">
      <w:pPr>
        <w:tabs>
          <w:tab w:val="left" w:pos="720"/>
        </w:tabs>
        <w:spacing w:line="240" w:lineRule="auto"/>
        <w:rPr>
          <w:sz w:val="26"/>
        </w:rPr>
      </w:pPr>
      <w:r w:rsidRPr="00A37677">
        <w:rPr>
          <w:sz w:val="26"/>
        </w:rPr>
        <w:t xml:space="preserve">The Federal Energy Regulatory Commission (FERC or Commission) requests that the Office of Management and Budget (OMB) </w:t>
      </w:r>
      <w:r w:rsidR="003F5856">
        <w:rPr>
          <w:sz w:val="26"/>
        </w:rPr>
        <w:t xml:space="preserve">review </w:t>
      </w:r>
      <w:r w:rsidRPr="003F5856" w:rsidR="003F5856">
        <w:rPr>
          <w:sz w:val="26"/>
        </w:rPr>
        <w:t>and approve the modification</w:t>
      </w:r>
      <w:r w:rsidR="00382AC6">
        <w:rPr>
          <w:sz w:val="26"/>
        </w:rPr>
        <w:t xml:space="preserve"> and extension</w:t>
      </w:r>
      <w:r w:rsidRPr="003F5856" w:rsidR="003F5856">
        <w:rPr>
          <w:sz w:val="26"/>
        </w:rPr>
        <w:t xml:space="preserve"> of the information collection requirements in </w:t>
      </w:r>
      <w:r w:rsidRPr="00A37677" w:rsidR="00D91FF5">
        <w:rPr>
          <w:sz w:val="26"/>
        </w:rPr>
        <w:t>FER</w:t>
      </w:r>
      <w:r w:rsidRPr="00A37677" w:rsidR="00335A2B">
        <w:rPr>
          <w:sz w:val="26"/>
        </w:rPr>
        <w:t>C-917</w:t>
      </w:r>
      <w:r w:rsidR="003F5856">
        <w:rPr>
          <w:sz w:val="26"/>
        </w:rPr>
        <w:t xml:space="preserve"> </w:t>
      </w:r>
      <w:r w:rsidR="00782260">
        <w:rPr>
          <w:sz w:val="26"/>
        </w:rPr>
        <w:t>(</w:t>
      </w:r>
      <w:r w:rsidR="003F5856">
        <w:rPr>
          <w:sz w:val="26"/>
        </w:rPr>
        <w:t>“Electric Transmission Filings”</w:t>
      </w:r>
      <w:r w:rsidRPr="00EF5C37" w:rsidR="00EF5C37">
        <w:rPr>
          <w:sz w:val="26"/>
        </w:rPr>
        <w:t xml:space="preserve">) for a three-year period.  </w:t>
      </w:r>
      <w:r w:rsidR="00EF5C37">
        <w:rPr>
          <w:sz w:val="26"/>
        </w:rPr>
        <w:t>FERC-917 is</w:t>
      </w:r>
      <w:r w:rsidRPr="00EF5C37" w:rsidR="00EF5C37">
        <w:rPr>
          <w:sz w:val="26"/>
        </w:rPr>
        <w:t xml:space="preserve"> an existing information collection and </w:t>
      </w:r>
      <w:r w:rsidR="00EF5C37">
        <w:rPr>
          <w:sz w:val="26"/>
        </w:rPr>
        <w:t>is</w:t>
      </w:r>
      <w:r w:rsidRPr="00EF5C37" w:rsidR="00EF5C37">
        <w:rPr>
          <w:sz w:val="26"/>
        </w:rPr>
        <w:t xml:space="preserve"> being modified by the final rule in </w:t>
      </w:r>
      <w:r w:rsidRPr="00A37677" w:rsidR="00335A2B">
        <w:rPr>
          <w:sz w:val="26"/>
        </w:rPr>
        <w:t xml:space="preserve">Docket No. </w:t>
      </w:r>
      <w:r w:rsidRPr="00A37677">
        <w:rPr>
          <w:sz w:val="26"/>
        </w:rPr>
        <w:t>RM21-17-000</w:t>
      </w:r>
      <w:r w:rsidRPr="00A37677" w:rsidR="00972C2E">
        <w:rPr>
          <w:sz w:val="26"/>
        </w:rPr>
        <w:t>.</w:t>
      </w:r>
    </w:p>
    <w:p w:rsidR="004A61DE" w:rsidRPr="00A37677" w:rsidP="009B7C8F" w14:paraId="2B7B2D6B" w14:textId="26ED00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pPr>
      <w:r w:rsidRPr="00A37677">
        <w:rPr>
          <w:b/>
          <w:sz w:val="26"/>
        </w:rPr>
        <w:t>1.</w:t>
      </w:r>
      <w:r w:rsidRPr="00A37677">
        <w:rPr>
          <w:b/>
          <w:sz w:val="26"/>
        </w:rPr>
        <w:tab/>
      </w:r>
      <w:r w:rsidRPr="009F5F03" w:rsidR="009F5F03">
        <w:rPr>
          <w:b/>
          <w:sz w:val="26"/>
        </w:rPr>
        <w:t xml:space="preserve">CIRCUMSTANCES THAT MAKE THE COLLECTION OF INFORMATION NECESSARY </w:t>
      </w:r>
    </w:p>
    <w:p w:rsidR="004A61DE" w:rsidRPr="00A37677" w:rsidP="00727320" w14:paraId="5427A3E3" w14:textId="39F7018B">
      <w:pPr>
        <w:pStyle w:val="NormalWeb"/>
        <w:tabs>
          <w:tab w:val="left" w:pos="360"/>
        </w:tabs>
        <w:spacing w:before="240" w:beforeAutospacing="0" w:after="0" w:afterAutospacing="0" w:line="240" w:lineRule="auto"/>
        <w:rPr>
          <w:color w:val="000000"/>
          <w:sz w:val="26"/>
        </w:rPr>
      </w:pPr>
      <w:r>
        <w:rPr>
          <w:color w:val="000000"/>
          <w:sz w:val="26"/>
        </w:rPr>
        <w:t>S</w:t>
      </w:r>
      <w:r w:rsidRPr="00A37677" w:rsidR="003E7501">
        <w:rPr>
          <w:color w:val="000000"/>
          <w:sz w:val="26"/>
        </w:rPr>
        <w:t>ection 206 of the</w:t>
      </w:r>
      <w:r w:rsidRPr="00941546" w:rsidR="00941546">
        <w:rPr>
          <w:color w:val="000000"/>
          <w:sz w:val="26"/>
        </w:rPr>
        <w:t xml:space="preserve"> Federal Power Act (FPA), 16 U.S.C. 824e,</w:t>
      </w:r>
      <w:r w:rsidR="00941546">
        <w:rPr>
          <w:color w:val="000000"/>
          <w:sz w:val="26"/>
        </w:rPr>
        <w:t xml:space="preserve"> </w:t>
      </w:r>
      <w:r w:rsidRPr="00A37677" w:rsidR="003E7501">
        <w:rPr>
          <w:color w:val="000000"/>
          <w:sz w:val="26"/>
        </w:rPr>
        <w:t xml:space="preserve">obligates the Commission to </w:t>
      </w:r>
      <w:r w:rsidRPr="004D54A1" w:rsidR="004D54A1">
        <w:rPr>
          <w:color w:val="000000"/>
          <w:sz w:val="26"/>
        </w:rPr>
        <w:t>remedy unjust, unreasonable</w:t>
      </w:r>
      <w:r w:rsidRPr="004D54A1" w:rsidR="004D54A1">
        <w:rPr>
          <w:color w:val="000000"/>
          <w:sz w:val="26"/>
        </w:rPr>
        <w:t>,</w:t>
      </w:r>
      <w:r w:rsidRPr="004D54A1" w:rsidR="004D54A1">
        <w:rPr>
          <w:color w:val="000000"/>
          <w:sz w:val="26"/>
        </w:rPr>
        <w:t xml:space="preserve"> and unduly discriminatory or preferential rates, terms, and conditions of transmission service</w:t>
      </w:r>
      <w:r w:rsidRPr="00A37677" w:rsidR="003E7501">
        <w:rPr>
          <w:color w:val="000000"/>
          <w:sz w:val="26"/>
        </w:rPr>
        <w:t>.</w:t>
      </w:r>
    </w:p>
    <w:p w:rsidR="008664AE" w:rsidRPr="00A37677" w:rsidP="00727320" w14:paraId="14C9A249" w14:textId="74B1C59F">
      <w:pPr>
        <w:pStyle w:val="NormalWeb"/>
        <w:tabs>
          <w:tab w:val="left" w:pos="360"/>
        </w:tabs>
        <w:spacing w:before="240" w:beforeAutospacing="0" w:after="0" w:afterAutospacing="0" w:line="240" w:lineRule="auto"/>
        <w:rPr>
          <w:color w:val="000000"/>
          <w:sz w:val="26"/>
        </w:rPr>
      </w:pPr>
      <w:r w:rsidRPr="00A37677">
        <w:rPr>
          <w:color w:val="000000"/>
          <w:sz w:val="26"/>
        </w:rPr>
        <w:t xml:space="preserve">This information collection request involves </w:t>
      </w:r>
      <w:r w:rsidRPr="00A37677" w:rsidR="005E7ED6">
        <w:rPr>
          <w:color w:val="000000"/>
          <w:sz w:val="26"/>
        </w:rPr>
        <w:t>Commission implementation of section 206</w:t>
      </w:r>
      <w:r w:rsidRPr="00A37677" w:rsidR="00605EA0">
        <w:rPr>
          <w:color w:val="000000"/>
          <w:sz w:val="26"/>
        </w:rPr>
        <w:t xml:space="preserve"> via:</w:t>
      </w:r>
    </w:p>
    <w:p w:rsidR="00D0504D" w:rsidRPr="00A37677" w:rsidP="00594614" w14:paraId="3154E114" w14:textId="7AA5FF73">
      <w:pPr>
        <w:pStyle w:val="NormalWeb"/>
        <w:numPr>
          <w:ilvl w:val="0"/>
          <w:numId w:val="19"/>
        </w:numPr>
        <w:tabs>
          <w:tab w:val="left" w:pos="360"/>
        </w:tabs>
        <w:spacing w:before="0" w:beforeAutospacing="0" w:after="0" w:afterAutospacing="0" w:line="240" w:lineRule="auto"/>
        <w:rPr>
          <w:color w:val="000000"/>
          <w:sz w:val="26"/>
        </w:rPr>
      </w:pPr>
      <w:r w:rsidRPr="00A37677">
        <w:rPr>
          <w:color w:val="000000"/>
          <w:sz w:val="26"/>
        </w:rPr>
        <w:t>1</w:t>
      </w:r>
      <w:r w:rsidRPr="00A37677" w:rsidR="00F57AB8">
        <w:rPr>
          <w:color w:val="000000"/>
          <w:sz w:val="26"/>
        </w:rPr>
        <w:t>8 CFR 35.28 (“Non-Discriminatory Open Access Transmission Tariff</w:t>
      </w:r>
      <w:r w:rsidRPr="00A37677" w:rsidR="008424A0">
        <w:rPr>
          <w:color w:val="000000"/>
          <w:sz w:val="26"/>
        </w:rPr>
        <w:t>”)</w:t>
      </w:r>
      <w:r w:rsidRPr="00A37677">
        <w:rPr>
          <w:color w:val="000000"/>
          <w:sz w:val="26"/>
        </w:rPr>
        <w:t>;</w:t>
      </w:r>
      <w:r w:rsidR="004D54A1">
        <w:rPr>
          <w:color w:val="000000"/>
          <w:sz w:val="26"/>
        </w:rPr>
        <w:t xml:space="preserve"> and</w:t>
      </w:r>
    </w:p>
    <w:p w:rsidR="003A402C" w:rsidRPr="00D845B3" w:rsidP="009B7C8F" w14:paraId="5E449B9C" w14:textId="62F7C8C8">
      <w:pPr>
        <w:pStyle w:val="NormalWeb"/>
        <w:numPr>
          <w:ilvl w:val="0"/>
          <w:numId w:val="19"/>
        </w:numPr>
        <w:tabs>
          <w:tab w:val="left" w:pos="360"/>
        </w:tabs>
        <w:spacing w:before="0" w:beforeAutospacing="0" w:after="0" w:afterAutospacing="0" w:line="240" w:lineRule="auto"/>
        <w:rPr>
          <w:color w:val="000000"/>
          <w:sz w:val="26"/>
        </w:rPr>
      </w:pPr>
      <w:r w:rsidRPr="00A37677">
        <w:rPr>
          <w:color w:val="000000"/>
          <w:sz w:val="26"/>
        </w:rPr>
        <w:t>T</w:t>
      </w:r>
      <w:r w:rsidRPr="00A37677" w:rsidR="00626344">
        <w:rPr>
          <w:color w:val="000000"/>
          <w:sz w:val="26"/>
        </w:rPr>
        <w:t xml:space="preserve">he </w:t>
      </w:r>
      <w:r w:rsidRPr="00A37677" w:rsidR="00626344">
        <w:rPr>
          <w:i/>
          <w:iCs/>
          <w:color w:val="000000"/>
          <w:sz w:val="26"/>
        </w:rPr>
        <w:t>pro forma</w:t>
      </w:r>
      <w:r w:rsidRPr="00A37677" w:rsidR="00626344">
        <w:rPr>
          <w:color w:val="000000"/>
          <w:sz w:val="26"/>
        </w:rPr>
        <w:t xml:space="preserve"> Open Access Transmission Tariff</w:t>
      </w:r>
      <w:r w:rsidR="007274BF">
        <w:rPr>
          <w:color w:val="000000"/>
          <w:sz w:val="26"/>
        </w:rPr>
        <w:t xml:space="preserve"> (OATT)</w:t>
      </w:r>
      <w:r w:rsidR="004D54A1">
        <w:rPr>
          <w:color w:val="000000"/>
          <w:sz w:val="26"/>
        </w:rPr>
        <w:t>.</w:t>
      </w:r>
    </w:p>
    <w:p w:rsidR="00383549" w:rsidRPr="00A37677" w:rsidP="00727320" w14:paraId="5B350862" w14:textId="15E70372">
      <w:pPr>
        <w:pStyle w:val="NormalWeb"/>
        <w:tabs>
          <w:tab w:val="left" w:pos="360"/>
        </w:tabs>
        <w:spacing w:before="240" w:beforeAutospacing="0" w:after="0" w:afterAutospacing="0" w:line="240" w:lineRule="auto"/>
        <w:rPr>
          <w:color w:val="000000"/>
          <w:sz w:val="26"/>
        </w:rPr>
      </w:pPr>
      <w:r w:rsidRPr="00B72419">
        <w:rPr>
          <w:color w:val="000000"/>
          <w:sz w:val="26"/>
        </w:rPr>
        <w:t>The Commission’s regulations at 18 CFR 35.28 (202</w:t>
      </w:r>
      <w:r>
        <w:rPr>
          <w:color w:val="000000"/>
          <w:sz w:val="26"/>
        </w:rPr>
        <w:t>3</w:t>
      </w:r>
      <w:r w:rsidRPr="00B72419">
        <w:rPr>
          <w:color w:val="000000"/>
          <w:sz w:val="26"/>
        </w:rPr>
        <w:t xml:space="preserve">) </w:t>
      </w:r>
      <w:r w:rsidRPr="00A37677" w:rsidR="0034247E">
        <w:rPr>
          <w:color w:val="000000"/>
          <w:sz w:val="26"/>
        </w:rPr>
        <w:t xml:space="preserve">require </w:t>
      </w:r>
      <w:r w:rsidRPr="00A37677" w:rsidR="00A715CE">
        <w:rPr>
          <w:color w:val="000000"/>
          <w:sz w:val="26"/>
        </w:rPr>
        <w:t xml:space="preserve">certain types of entities </w:t>
      </w:r>
      <w:r w:rsidRPr="00A37677" w:rsidR="0034247E">
        <w:rPr>
          <w:color w:val="000000"/>
          <w:sz w:val="26"/>
        </w:rPr>
        <w:t>to have on fi</w:t>
      </w:r>
      <w:r w:rsidRPr="00A37677" w:rsidR="00C51DFE">
        <w:rPr>
          <w:color w:val="000000"/>
          <w:sz w:val="26"/>
        </w:rPr>
        <w:t xml:space="preserve">le an </w:t>
      </w:r>
      <w:r w:rsidRPr="00A37677" w:rsidR="004204AF">
        <w:rPr>
          <w:color w:val="000000"/>
          <w:sz w:val="26"/>
        </w:rPr>
        <w:t xml:space="preserve">OATT that contains minimum </w:t>
      </w:r>
      <w:r w:rsidRPr="00A37677" w:rsidR="00D469E9">
        <w:rPr>
          <w:color w:val="000000"/>
          <w:sz w:val="26"/>
        </w:rPr>
        <w:t xml:space="preserve">terms and conditions of non-discriminatory </w:t>
      </w:r>
      <w:r>
        <w:rPr>
          <w:color w:val="000000"/>
          <w:sz w:val="26"/>
        </w:rPr>
        <w:t xml:space="preserve">transmission </w:t>
      </w:r>
      <w:r w:rsidRPr="00A37677" w:rsidR="00D469E9">
        <w:rPr>
          <w:color w:val="000000"/>
          <w:sz w:val="26"/>
        </w:rPr>
        <w:t>service</w:t>
      </w:r>
      <w:r w:rsidRPr="00A37677" w:rsidR="00AD1387">
        <w:rPr>
          <w:color w:val="000000"/>
          <w:sz w:val="26"/>
        </w:rPr>
        <w:t xml:space="preserve">.  </w:t>
      </w:r>
      <w:r w:rsidRPr="00A37677" w:rsidR="00A715CE">
        <w:rPr>
          <w:color w:val="000000"/>
          <w:sz w:val="26"/>
        </w:rPr>
        <w:t xml:space="preserve">This requirement </w:t>
      </w:r>
      <w:r w:rsidRPr="00A37677" w:rsidR="00702FD0">
        <w:rPr>
          <w:color w:val="000000"/>
          <w:sz w:val="26"/>
        </w:rPr>
        <w:t xml:space="preserve">applies to </w:t>
      </w:r>
      <w:r w:rsidRPr="00A37677" w:rsidR="005765E8">
        <w:rPr>
          <w:color w:val="000000"/>
          <w:sz w:val="26"/>
        </w:rPr>
        <w:t>all public utilities</w:t>
      </w:r>
      <w:r>
        <w:rPr>
          <w:rStyle w:val="FootnoteReference"/>
          <w:b/>
          <w:bCs/>
          <w:color w:val="000000"/>
          <w:sz w:val="26"/>
          <w:vertAlign w:val="superscript"/>
        </w:rPr>
        <w:footnoteReference w:id="3"/>
      </w:r>
      <w:r w:rsidRPr="00A37677" w:rsidR="005765E8">
        <w:rPr>
          <w:color w:val="000000"/>
          <w:sz w:val="26"/>
        </w:rPr>
        <w:t xml:space="preserve"> that own, </w:t>
      </w:r>
      <w:r w:rsidRPr="00A37677" w:rsidR="001516EF">
        <w:rPr>
          <w:color w:val="000000"/>
          <w:sz w:val="26"/>
        </w:rPr>
        <w:t>control, or operate facilities used for tran</w:t>
      </w:r>
      <w:r w:rsidRPr="00A37677" w:rsidR="00BE1669">
        <w:rPr>
          <w:color w:val="000000"/>
          <w:sz w:val="26"/>
        </w:rPr>
        <w:t>sm</w:t>
      </w:r>
      <w:r w:rsidRPr="00A37677" w:rsidR="001516EF">
        <w:rPr>
          <w:color w:val="000000"/>
          <w:sz w:val="26"/>
        </w:rPr>
        <w:t>itting electric energy in interstate commerce</w:t>
      </w:r>
      <w:r w:rsidRPr="00A37677">
        <w:rPr>
          <w:color w:val="000000"/>
          <w:sz w:val="26"/>
        </w:rPr>
        <w:t>.</w:t>
      </w:r>
      <w:r w:rsidR="0043417A">
        <w:rPr>
          <w:color w:val="000000"/>
          <w:sz w:val="26"/>
        </w:rPr>
        <w:t xml:space="preserve">  Other </w:t>
      </w:r>
      <w:r w:rsidR="00356129">
        <w:rPr>
          <w:color w:val="000000"/>
          <w:sz w:val="26"/>
        </w:rPr>
        <w:t>provisions</w:t>
      </w:r>
      <w:r w:rsidR="0043417A">
        <w:rPr>
          <w:color w:val="000000"/>
          <w:sz w:val="26"/>
        </w:rPr>
        <w:t xml:space="preserve"> </w:t>
      </w:r>
      <w:r w:rsidR="00AE4FCB">
        <w:rPr>
          <w:color w:val="000000"/>
          <w:sz w:val="26"/>
        </w:rPr>
        <w:t xml:space="preserve">in section 35.28 </w:t>
      </w:r>
      <w:r w:rsidR="00DA13A9">
        <w:rPr>
          <w:color w:val="000000"/>
          <w:sz w:val="26"/>
        </w:rPr>
        <w:t xml:space="preserve">of the Commission’s regulations </w:t>
      </w:r>
      <w:r w:rsidR="00AE4FCB">
        <w:rPr>
          <w:color w:val="000000"/>
          <w:sz w:val="26"/>
        </w:rPr>
        <w:t xml:space="preserve">apply to </w:t>
      </w:r>
      <w:r w:rsidR="00563687">
        <w:rPr>
          <w:color w:val="000000"/>
          <w:sz w:val="26"/>
        </w:rPr>
        <w:t>non-public utilities</w:t>
      </w:r>
      <w:r w:rsidR="004F7EB7">
        <w:rPr>
          <w:color w:val="000000"/>
          <w:sz w:val="26"/>
        </w:rPr>
        <w:t xml:space="preserve">, but only if they </w:t>
      </w:r>
      <w:r w:rsidR="00DF342A">
        <w:rPr>
          <w:color w:val="000000"/>
          <w:sz w:val="26"/>
        </w:rPr>
        <w:t>seek voluntary compliance with jurisdictional transmission tariff reciprocity conditions.  Non-public utilities are not affected by this information collection</w:t>
      </w:r>
      <w:r w:rsidR="00085A9D">
        <w:rPr>
          <w:color w:val="000000"/>
          <w:sz w:val="26"/>
        </w:rPr>
        <w:t xml:space="preserve"> request.</w:t>
      </w:r>
    </w:p>
    <w:p w:rsidR="00CA6CCD" w:rsidRPr="00A37677" w:rsidP="00727320" w14:paraId="169BCFC1" w14:textId="63217B4E">
      <w:pPr>
        <w:pStyle w:val="NormalWeb"/>
        <w:tabs>
          <w:tab w:val="left" w:pos="360"/>
        </w:tabs>
        <w:spacing w:before="240" w:beforeAutospacing="0" w:after="0" w:afterAutospacing="0" w:line="240" w:lineRule="auto"/>
        <w:rPr>
          <w:color w:val="000000"/>
          <w:sz w:val="26"/>
        </w:rPr>
      </w:pPr>
      <w:r w:rsidRPr="00A37677">
        <w:rPr>
          <w:color w:val="000000"/>
          <w:sz w:val="26"/>
        </w:rPr>
        <w:t xml:space="preserve">The </w:t>
      </w:r>
      <w:r w:rsidRPr="00A37677" w:rsidR="00A86E87">
        <w:rPr>
          <w:i/>
          <w:iCs/>
          <w:color w:val="000000"/>
          <w:sz w:val="26"/>
        </w:rPr>
        <w:t>pro forma</w:t>
      </w:r>
      <w:r w:rsidRPr="00A37677" w:rsidR="00A86E87">
        <w:rPr>
          <w:color w:val="000000"/>
          <w:sz w:val="26"/>
        </w:rPr>
        <w:t xml:space="preserve"> O</w:t>
      </w:r>
      <w:r w:rsidRPr="00A37677" w:rsidR="00A77FE9">
        <w:rPr>
          <w:color w:val="000000"/>
          <w:sz w:val="26"/>
        </w:rPr>
        <w:t>ATT</w:t>
      </w:r>
      <w:r w:rsidRPr="00A37677" w:rsidR="00A86E87">
        <w:rPr>
          <w:color w:val="000000"/>
          <w:sz w:val="26"/>
        </w:rPr>
        <w:t xml:space="preserve">, as </w:t>
      </w:r>
      <w:r w:rsidRPr="00A37677" w:rsidR="00992303">
        <w:rPr>
          <w:color w:val="000000"/>
          <w:sz w:val="26"/>
        </w:rPr>
        <w:t xml:space="preserve">originally developed by the Commission, </w:t>
      </w:r>
      <w:r w:rsidR="0008031E">
        <w:rPr>
          <w:color w:val="000000"/>
          <w:sz w:val="26"/>
        </w:rPr>
        <w:t>is</w:t>
      </w:r>
      <w:r w:rsidRPr="00A37677" w:rsidR="00992303">
        <w:rPr>
          <w:color w:val="000000"/>
          <w:sz w:val="26"/>
        </w:rPr>
        <w:t xml:space="preserve"> </w:t>
      </w:r>
      <w:r w:rsidRPr="00A37677" w:rsidR="00C3027F">
        <w:rPr>
          <w:color w:val="000000"/>
          <w:sz w:val="26"/>
        </w:rPr>
        <w:t>included</w:t>
      </w:r>
      <w:r w:rsidRPr="00A37677" w:rsidR="00FC199F">
        <w:rPr>
          <w:color w:val="000000"/>
          <w:sz w:val="26"/>
        </w:rPr>
        <w:t xml:space="preserve"> </w:t>
      </w:r>
      <w:r w:rsidRPr="00A37677" w:rsidR="00BB12F7">
        <w:rPr>
          <w:color w:val="000000"/>
          <w:sz w:val="26"/>
        </w:rPr>
        <w:t>in</w:t>
      </w:r>
      <w:r w:rsidR="00B20AE5">
        <w:rPr>
          <w:color w:val="000000"/>
          <w:sz w:val="26"/>
        </w:rPr>
        <w:t xml:space="preserve"> the final rule</w:t>
      </w:r>
      <w:r w:rsidR="00003FBA">
        <w:rPr>
          <w:color w:val="000000"/>
          <w:sz w:val="26"/>
        </w:rPr>
        <w:t xml:space="preserve"> designated as</w:t>
      </w:r>
      <w:r w:rsidRPr="00A37677" w:rsidR="00BB12F7">
        <w:rPr>
          <w:color w:val="000000"/>
          <w:sz w:val="26"/>
        </w:rPr>
        <w:t xml:space="preserve"> </w:t>
      </w:r>
      <w:r w:rsidRPr="00A37677" w:rsidR="00992303">
        <w:rPr>
          <w:color w:val="000000"/>
          <w:sz w:val="26"/>
        </w:rPr>
        <w:t>Order N</w:t>
      </w:r>
      <w:r w:rsidRPr="00A37677" w:rsidR="008B56D1">
        <w:rPr>
          <w:color w:val="000000"/>
          <w:sz w:val="26"/>
        </w:rPr>
        <w:t>o</w:t>
      </w:r>
      <w:r w:rsidR="008A329B">
        <w:rPr>
          <w:color w:val="000000"/>
          <w:sz w:val="26"/>
        </w:rPr>
        <w:t>.</w:t>
      </w:r>
      <w:r w:rsidRPr="00A37677" w:rsidR="008B56D1">
        <w:rPr>
          <w:color w:val="000000"/>
          <w:sz w:val="26"/>
        </w:rPr>
        <w:t xml:space="preserve"> 888</w:t>
      </w:r>
      <w:r w:rsidRPr="00A37677" w:rsidR="00B30A64">
        <w:rPr>
          <w:color w:val="000000"/>
          <w:sz w:val="26"/>
        </w:rPr>
        <w:t xml:space="preserve">, 61 FR 21540, at </w:t>
      </w:r>
      <w:r w:rsidRPr="00A37677" w:rsidR="00FD15B6">
        <w:rPr>
          <w:color w:val="000000"/>
          <w:sz w:val="26"/>
        </w:rPr>
        <w:t xml:space="preserve">21706 through 21724 </w:t>
      </w:r>
      <w:r w:rsidRPr="00A37677" w:rsidR="00B30A64">
        <w:rPr>
          <w:color w:val="000000"/>
          <w:sz w:val="26"/>
        </w:rPr>
        <w:t>(May 10, 1996)</w:t>
      </w:r>
      <w:r w:rsidRPr="00A37677" w:rsidR="00022393">
        <w:rPr>
          <w:color w:val="000000"/>
          <w:sz w:val="26"/>
        </w:rPr>
        <w:t>.</w:t>
      </w:r>
      <w:r w:rsidRPr="00A37677" w:rsidR="00FD15B6">
        <w:rPr>
          <w:color w:val="000000"/>
          <w:sz w:val="26"/>
        </w:rPr>
        <w:t xml:space="preserve">  </w:t>
      </w:r>
      <w:r w:rsidRPr="00A37677" w:rsidR="00862422">
        <w:rPr>
          <w:color w:val="000000"/>
          <w:sz w:val="26"/>
        </w:rPr>
        <w:t>As the term “</w:t>
      </w:r>
      <w:r w:rsidRPr="000A6788" w:rsidR="00862422">
        <w:rPr>
          <w:i/>
          <w:iCs/>
          <w:color w:val="000000"/>
          <w:sz w:val="26"/>
        </w:rPr>
        <w:t>pro forma</w:t>
      </w:r>
      <w:r w:rsidRPr="00A37677" w:rsidR="00862422">
        <w:rPr>
          <w:color w:val="000000"/>
          <w:sz w:val="26"/>
        </w:rPr>
        <w:t xml:space="preserve">” implies, </w:t>
      </w:r>
      <w:r w:rsidRPr="00A37677" w:rsidR="00B56508">
        <w:rPr>
          <w:color w:val="000000"/>
          <w:sz w:val="26"/>
        </w:rPr>
        <w:t xml:space="preserve">the tariff </w:t>
      </w:r>
      <w:r w:rsidRPr="00A37677" w:rsidR="00AC4292">
        <w:rPr>
          <w:color w:val="000000"/>
          <w:sz w:val="26"/>
        </w:rPr>
        <w:t xml:space="preserve">contains </w:t>
      </w:r>
      <w:r w:rsidRPr="00A37677" w:rsidR="00B56508">
        <w:rPr>
          <w:color w:val="000000"/>
          <w:sz w:val="26"/>
        </w:rPr>
        <w:t>standardized</w:t>
      </w:r>
      <w:r w:rsidRPr="00A37677" w:rsidR="00AC4292">
        <w:rPr>
          <w:color w:val="000000"/>
          <w:sz w:val="26"/>
        </w:rPr>
        <w:t xml:space="preserve"> terms and conditions</w:t>
      </w:r>
      <w:r w:rsidRPr="00A37677" w:rsidR="005B700B">
        <w:rPr>
          <w:color w:val="000000"/>
          <w:sz w:val="26"/>
        </w:rPr>
        <w:t xml:space="preserve"> </w:t>
      </w:r>
      <w:r w:rsidRPr="00A37677" w:rsidR="00F96565">
        <w:rPr>
          <w:color w:val="000000"/>
          <w:sz w:val="26"/>
        </w:rPr>
        <w:t xml:space="preserve">that public utilities must adopt in their own tariffs, </w:t>
      </w:r>
      <w:r w:rsidRPr="00A37677" w:rsidR="000E1B4B">
        <w:rPr>
          <w:color w:val="000000"/>
          <w:sz w:val="26"/>
        </w:rPr>
        <w:t>unless they demonstrate</w:t>
      </w:r>
      <w:r w:rsidRPr="00A37677" w:rsidR="00241D67">
        <w:rPr>
          <w:color w:val="000000"/>
          <w:sz w:val="26"/>
        </w:rPr>
        <w:t xml:space="preserve"> that unique practices </w:t>
      </w:r>
      <w:r w:rsidRPr="00A37677" w:rsidR="003B565B">
        <w:rPr>
          <w:color w:val="000000"/>
          <w:sz w:val="26"/>
        </w:rPr>
        <w:t xml:space="preserve">in a geographic region require modifications.  </w:t>
      </w:r>
      <w:r w:rsidRPr="00A37677" w:rsidR="00EE428A">
        <w:rPr>
          <w:color w:val="000000"/>
          <w:sz w:val="26"/>
        </w:rPr>
        <w:t xml:space="preserve">The currently effective </w:t>
      </w:r>
      <w:r w:rsidRPr="00A37677" w:rsidR="00EE428A">
        <w:rPr>
          <w:i/>
          <w:iCs/>
          <w:color w:val="000000"/>
          <w:sz w:val="26"/>
        </w:rPr>
        <w:t>pro forma</w:t>
      </w:r>
      <w:r w:rsidRPr="00A37677" w:rsidR="00EE428A">
        <w:rPr>
          <w:color w:val="000000"/>
          <w:sz w:val="26"/>
        </w:rPr>
        <w:t xml:space="preserve"> OATT</w:t>
      </w:r>
      <w:r>
        <w:rPr>
          <w:rStyle w:val="FootnoteReference"/>
          <w:b/>
          <w:bCs/>
          <w:color w:val="000000"/>
          <w:sz w:val="26"/>
          <w:vertAlign w:val="superscript"/>
        </w:rPr>
        <w:footnoteReference w:id="4"/>
      </w:r>
      <w:r w:rsidRPr="00A37677" w:rsidR="00EE428A">
        <w:rPr>
          <w:color w:val="000000"/>
          <w:sz w:val="26"/>
        </w:rPr>
        <w:t xml:space="preserve"> </w:t>
      </w:r>
      <w:r w:rsidRPr="00A37677" w:rsidR="00AA1827">
        <w:rPr>
          <w:color w:val="000000"/>
          <w:sz w:val="26"/>
        </w:rPr>
        <w:t xml:space="preserve">has been modified several </w:t>
      </w:r>
      <w:r w:rsidRPr="00A37677" w:rsidR="00CB2589">
        <w:rPr>
          <w:color w:val="000000"/>
          <w:sz w:val="26"/>
        </w:rPr>
        <w:t>times and</w:t>
      </w:r>
      <w:r w:rsidRPr="00A37677" w:rsidR="00AA1827">
        <w:rPr>
          <w:color w:val="000000"/>
          <w:sz w:val="26"/>
        </w:rPr>
        <w:t xml:space="preserve"> is </w:t>
      </w:r>
      <w:r w:rsidR="00DB7240">
        <w:rPr>
          <w:color w:val="000000"/>
          <w:sz w:val="26"/>
        </w:rPr>
        <w:t>being</w:t>
      </w:r>
      <w:r w:rsidRPr="00A37677" w:rsidR="00AA1827">
        <w:rPr>
          <w:color w:val="000000"/>
          <w:sz w:val="26"/>
        </w:rPr>
        <w:t xml:space="preserve"> modified</w:t>
      </w:r>
      <w:r w:rsidR="00DB7240">
        <w:rPr>
          <w:color w:val="000000"/>
          <w:sz w:val="26"/>
        </w:rPr>
        <w:t xml:space="preserve"> by the final rule</w:t>
      </w:r>
      <w:r w:rsidRPr="00A37677" w:rsidR="00AA1827">
        <w:rPr>
          <w:color w:val="000000"/>
          <w:sz w:val="26"/>
        </w:rPr>
        <w:t xml:space="preserve"> in</w:t>
      </w:r>
      <w:r w:rsidR="00DB7240">
        <w:rPr>
          <w:color w:val="000000"/>
          <w:sz w:val="26"/>
        </w:rPr>
        <w:t xml:space="preserve"> Docket No.</w:t>
      </w:r>
      <w:r w:rsidRPr="00A37677" w:rsidR="00AA1827">
        <w:rPr>
          <w:color w:val="000000"/>
          <w:sz w:val="26"/>
        </w:rPr>
        <w:t xml:space="preserve"> RM21-17-000.</w:t>
      </w:r>
    </w:p>
    <w:p w:rsidR="00BE558D" w:rsidP="00727320" w14:paraId="3AFBECFC" w14:textId="77777777">
      <w:pPr>
        <w:pStyle w:val="FERCNopara"/>
        <w:spacing w:before="240" w:after="0"/>
        <w:ind w:firstLine="0"/>
      </w:pPr>
      <w:r>
        <w:t xml:space="preserve">The final rule </w:t>
      </w:r>
      <w:r w:rsidRPr="00416AA9">
        <w:t>builds on Order Nos. 888, 890, and 1000, in which the Commission incrementally developed the requirements that govern</w:t>
      </w:r>
      <w:r>
        <w:t xml:space="preserve"> </w:t>
      </w:r>
      <w:r w:rsidRPr="00416AA9">
        <w:t xml:space="preserve">regional transmission planning and cost allocation processes to ensure that Commission-jurisdictional rates </w:t>
      </w:r>
      <w:r>
        <w:t xml:space="preserve">and practices </w:t>
      </w:r>
      <w:r w:rsidRPr="00416AA9">
        <w:t>remain just and reasonable and not unduly discriminatory or preferential.</w:t>
      </w:r>
      <w:r>
        <w:t xml:space="preserve"> </w:t>
      </w:r>
    </w:p>
    <w:p w:rsidR="009D4775" w:rsidRPr="00A37677" w:rsidP="009B7C8F" w14:paraId="173ACD7D" w14:textId="2C56A6E9">
      <w:pPr>
        <w:pStyle w:val="FERCNopara"/>
        <w:spacing w:before="240" w:after="0"/>
        <w:ind w:firstLine="0"/>
      </w:pPr>
      <w:r>
        <w:t>The</w:t>
      </w:r>
      <w:r w:rsidRPr="00416AA9">
        <w:t xml:space="preserve"> Commission</w:t>
      </w:r>
      <w:r>
        <w:t xml:space="preserve"> believes that the</w:t>
      </w:r>
      <w:r w:rsidRPr="00416AA9">
        <w:t xml:space="preserve"> </w:t>
      </w:r>
      <w:bookmarkStart w:id="0" w:name="_Hlk164687124"/>
      <w:r>
        <w:t xml:space="preserve">existing </w:t>
      </w:r>
      <w:r w:rsidRPr="00416AA9">
        <w:t xml:space="preserve">regional transmission planning and cost allocation requirements </w:t>
      </w:r>
      <w:r>
        <w:t>are</w:t>
      </w:r>
      <w:r w:rsidRPr="00416AA9">
        <w:t xml:space="preserve"> inadequate to ensure that Commission-jurisdictional rates </w:t>
      </w:r>
      <w:r>
        <w:t xml:space="preserve">and practices </w:t>
      </w:r>
      <w:r w:rsidRPr="00416AA9">
        <w:t>remain just and reasonable and not unduly discriminatory or preferential</w:t>
      </w:r>
      <w:r>
        <w:t xml:space="preserve">, because they fail to ensure that transmission providers </w:t>
      </w:r>
      <w:r w:rsidRPr="00186229">
        <w:t xml:space="preserve">(1) perform a sufficiently long-term assessment of </w:t>
      </w:r>
      <w:r>
        <w:t>Long-Term T</w:t>
      </w:r>
      <w:r w:rsidRPr="00186229">
        <w:t xml:space="preserve">ransmission </w:t>
      </w:r>
      <w:r>
        <w:t>N</w:t>
      </w:r>
      <w:r w:rsidRPr="00186229">
        <w:t xml:space="preserve">eeds; (2) adequately account on a forward-looking basis for known determinants of </w:t>
      </w:r>
      <w:r>
        <w:t>L</w:t>
      </w:r>
      <w:r w:rsidRPr="00647613">
        <w:t>ong-</w:t>
      </w:r>
      <w:r>
        <w:t>T</w:t>
      </w:r>
      <w:r w:rsidRPr="00647613">
        <w:t xml:space="preserve">erm </w:t>
      </w:r>
      <w:r>
        <w:t>T</w:t>
      </w:r>
      <w:r w:rsidRPr="00647613">
        <w:t xml:space="preserve">ransmission </w:t>
      </w:r>
      <w:r>
        <w:t>N</w:t>
      </w:r>
      <w:r w:rsidRPr="00647613">
        <w:t>eeds</w:t>
      </w:r>
      <w:r w:rsidRPr="00186229">
        <w:t xml:space="preserve">; and (3) consider the broader set of benefits and beneficiaries of regional transmission facilities planned to meet those </w:t>
      </w:r>
      <w:r>
        <w:t>Long-Term T</w:t>
      </w:r>
      <w:r w:rsidRPr="00186229">
        <w:t xml:space="preserve">ransmission </w:t>
      </w:r>
      <w:r>
        <w:t>N</w:t>
      </w:r>
      <w:r w:rsidRPr="00186229">
        <w:t>eeds.</w:t>
      </w:r>
      <w:r w:rsidRPr="00416AA9">
        <w:t xml:space="preserve">  </w:t>
      </w:r>
      <w:r w:rsidR="000614DE">
        <w:t>A</w:t>
      </w:r>
      <w:r w:rsidRPr="008653EF">
        <w:t>s a result, transmission providers are often not identifying</w:t>
      </w:r>
      <w:r>
        <w:t>, evaluating,</w:t>
      </w:r>
      <w:r w:rsidRPr="008653EF">
        <w:t xml:space="preserve"> or selecting more efficient or cost-effective </w:t>
      </w:r>
      <w:r>
        <w:t xml:space="preserve">regional </w:t>
      </w:r>
      <w:r w:rsidRPr="008653EF">
        <w:t xml:space="preserve">transmission solutions to meet </w:t>
      </w:r>
      <w:r>
        <w:t>L</w:t>
      </w:r>
      <w:r w:rsidRPr="00647613">
        <w:t>ong-</w:t>
      </w:r>
      <w:r>
        <w:t>T</w:t>
      </w:r>
      <w:r w:rsidRPr="00647613">
        <w:t xml:space="preserve">erm </w:t>
      </w:r>
      <w:r>
        <w:t>T</w:t>
      </w:r>
      <w:r w:rsidRPr="00647613">
        <w:t xml:space="preserve">ransmission </w:t>
      </w:r>
      <w:r>
        <w:t>N</w:t>
      </w:r>
      <w:r w:rsidRPr="00647613">
        <w:t>eeds</w:t>
      </w:r>
      <w:r w:rsidRPr="008653EF">
        <w:t xml:space="preserve">, which leads to </w:t>
      </w:r>
      <w:r>
        <w:t xml:space="preserve">inefficient, ineffective, and </w:t>
      </w:r>
      <w:r w:rsidRPr="008653EF">
        <w:t xml:space="preserve">piecemeal transmission </w:t>
      </w:r>
      <w:r>
        <w:t xml:space="preserve">development.  </w:t>
      </w:r>
      <w:bookmarkEnd w:id="0"/>
      <w:r w:rsidRPr="002268CA" w:rsidR="002268CA">
        <w:t xml:space="preserve">Therefore, the Commission believes it is necessary to reform </w:t>
      </w:r>
      <w:r w:rsidR="00184DF4">
        <w:t xml:space="preserve">the </w:t>
      </w:r>
      <w:r w:rsidR="00F32354">
        <w:t xml:space="preserve">existing </w:t>
      </w:r>
      <w:r w:rsidR="00184DF4">
        <w:t>regional transmission planning and cost allocation requirements</w:t>
      </w:r>
      <w:r w:rsidRPr="002268CA" w:rsidR="002268CA">
        <w:t xml:space="preserve"> </w:t>
      </w:r>
      <w:r w:rsidR="002268CA">
        <w:t>to ensure that customers</w:t>
      </w:r>
      <w:r w:rsidRPr="00C03319">
        <w:t xml:space="preserve"> realiz</w:t>
      </w:r>
      <w:r w:rsidR="002268CA">
        <w:t>e</w:t>
      </w:r>
      <w:r w:rsidRPr="00C03319">
        <w:t xml:space="preserve"> the benefits </w:t>
      </w:r>
      <w:r w:rsidR="00B07E28">
        <w:t>of</w:t>
      </w:r>
      <w:r w:rsidRPr="00C03319">
        <w:t xml:space="preserve"> </w:t>
      </w:r>
      <w:bookmarkStart w:id="1" w:name="_Hlk164688642"/>
      <w:r w:rsidRPr="00C03319">
        <w:t>long-term, forward-looking</w:t>
      </w:r>
      <w:r>
        <w:t>, and more comprehensive</w:t>
      </w:r>
      <w:r w:rsidRPr="00C03319">
        <w:t xml:space="preserve"> regional transmission planning and cost allocation processes that identify, </w:t>
      </w:r>
      <w:r>
        <w:t xml:space="preserve">evaluate, and </w:t>
      </w:r>
      <w:r w:rsidRPr="00C03319">
        <w:t xml:space="preserve">select more efficient or cost-effective </w:t>
      </w:r>
      <w:r>
        <w:t xml:space="preserve">regional </w:t>
      </w:r>
      <w:r w:rsidRPr="00C03319">
        <w:t xml:space="preserve">transmission solutions to </w:t>
      </w:r>
      <w:r>
        <w:t>L</w:t>
      </w:r>
      <w:r w:rsidRPr="00647613">
        <w:t>ong-</w:t>
      </w:r>
      <w:r>
        <w:t>T</w:t>
      </w:r>
      <w:r w:rsidRPr="00647613">
        <w:t xml:space="preserve">erm </w:t>
      </w:r>
      <w:r>
        <w:t>T</w:t>
      </w:r>
      <w:r w:rsidRPr="00647613">
        <w:t xml:space="preserve">ransmission </w:t>
      </w:r>
      <w:r>
        <w:t>N</w:t>
      </w:r>
      <w:r w:rsidRPr="00647613">
        <w:t>eeds</w:t>
      </w:r>
      <w:bookmarkEnd w:id="1"/>
      <w:r w:rsidR="0054596B">
        <w:t xml:space="preserve">, </w:t>
      </w:r>
      <w:r w:rsidRPr="008349FA" w:rsidR="008349FA">
        <w:t>thereby ensuring that rates, terms, and conditions for Commission-jurisdictional services are just and reasonable and not unduly discriminatory or preferential.</w:t>
      </w:r>
    </w:p>
    <w:p w:rsidR="00266C35" w:rsidP="009B7C8F" w14:paraId="7BAE9711" w14:textId="07F78CCE">
      <w:pPr>
        <w:pStyle w:val="NormalWeb"/>
        <w:tabs>
          <w:tab w:val="left" w:pos="360"/>
        </w:tabs>
        <w:spacing w:before="0" w:line="240" w:lineRule="auto"/>
      </w:pPr>
      <w:r w:rsidRPr="00A37677">
        <w:rPr>
          <w:b/>
          <w:sz w:val="26"/>
        </w:rPr>
        <w:t>2.</w:t>
      </w:r>
      <w:r w:rsidRPr="00A37677">
        <w:rPr>
          <w:b/>
          <w:sz w:val="26"/>
        </w:rPr>
        <w:tab/>
      </w:r>
      <w:bookmarkStart w:id="2" w:name="_Hlk106707794"/>
      <w:r w:rsidRPr="001149BE" w:rsidR="001149BE">
        <w:rPr>
          <w:b/>
          <w:sz w:val="26"/>
        </w:rPr>
        <w:t>HOW, BY WHOM, AND FOR WHAT PURPOSE THE INFORMATION IS TO BE USED AND THE CONSEQUENCES OF NOT COLLECTING THE INFORMATION</w:t>
      </w:r>
      <w:bookmarkEnd w:id="2"/>
    </w:p>
    <w:p w:rsidR="00C87274" w:rsidP="00727320" w14:paraId="679CC65F" w14:textId="3C02A0EC">
      <w:pPr>
        <w:spacing w:line="240" w:lineRule="auto"/>
        <w:rPr>
          <w:sz w:val="26"/>
          <w:u w:val="single"/>
        </w:rPr>
      </w:pPr>
      <w:r>
        <w:rPr>
          <w:sz w:val="26"/>
          <w:u w:val="single"/>
        </w:rPr>
        <w:t>FERC-917 Information Collection</w:t>
      </w:r>
    </w:p>
    <w:p w:rsidR="00C87274" w:rsidP="00727320" w14:paraId="1783C68E" w14:textId="3C09F937">
      <w:pPr>
        <w:spacing w:line="240" w:lineRule="auto"/>
        <w:rPr>
          <w:sz w:val="26"/>
        </w:rPr>
      </w:pPr>
      <w:r>
        <w:rPr>
          <w:sz w:val="26"/>
        </w:rPr>
        <w:t xml:space="preserve">This final rule builds on Order No. 1000, which required public utility transmission providers to participate in a regional transmission planning process that results in the development of a regional transmission plan.  The ongoing information collection activities associated with this final rule are the incremental requirements </w:t>
      </w:r>
      <w:r w:rsidR="00DA23F4">
        <w:rPr>
          <w:sz w:val="26"/>
        </w:rPr>
        <w:t xml:space="preserve">associated with developing </w:t>
      </w:r>
      <w:r w:rsidR="00171B1F">
        <w:rPr>
          <w:sz w:val="26"/>
        </w:rPr>
        <w:t>a regional transmission plan</w:t>
      </w:r>
      <w:r w:rsidR="00A7415E">
        <w:rPr>
          <w:sz w:val="26"/>
        </w:rPr>
        <w:t xml:space="preserve"> by, for example, performing Long-Term Regional Transmission Planning</w:t>
      </w:r>
      <w:r w:rsidR="0006387E">
        <w:rPr>
          <w:sz w:val="26"/>
        </w:rPr>
        <w:t xml:space="preserve"> (as described in further detail below).</w:t>
      </w:r>
    </w:p>
    <w:p w:rsidR="00C87274" w:rsidP="00727320" w14:paraId="3599C9DA" w14:textId="211EE850">
      <w:pPr>
        <w:spacing w:line="240" w:lineRule="auto"/>
        <w:rPr>
          <w:sz w:val="26"/>
          <w:u w:val="single"/>
        </w:rPr>
      </w:pPr>
      <w:r>
        <w:rPr>
          <w:sz w:val="26"/>
        </w:rPr>
        <w:t>Additionally, t</w:t>
      </w:r>
      <w:r w:rsidRPr="00F81A82">
        <w:rPr>
          <w:sz w:val="26"/>
        </w:rPr>
        <w:t xml:space="preserve">he final rule requires public utilities to </w:t>
      </w:r>
      <w:r w:rsidR="007C6641">
        <w:rPr>
          <w:sz w:val="26"/>
        </w:rPr>
        <w:t>modify</w:t>
      </w:r>
      <w:r w:rsidRPr="00F81A82">
        <w:rPr>
          <w:sz w:val="26"/>
        </w:rPr>
        <w:t xml:space="preserve"> their tariffs and jurisdictional agreements</w:t>
      </w:r>
      <w:r>
        <w:rPr>
          <w:sz w:val="26"/>
        </w:rPr>
        <w:t xml:space="preserve"> to </w:t>
      </w:r>
      <w:r w:rsidR="007C6641">
        <w:rPr>
          <w:sz w:val="26"/>
        </w:rPr>
        <w:t>comply with the Commission’s</w:t>
      </w:r>
      <w:r>
        <w:rPr>
          <w:sz w:val="26"/>
        </w:rPr>
        <w:t xml:space="preserve"> revised transmission planning and cost allocation requirements</w:t>
      </w:r>
      <w:r w:rsidRPr="00F81A82">
        <w:rPr>
          <w:sz w:val="26"/>
        </w:rPr>
        <w:t xml:space="preserve">. </w:t>
      </w:r>
      <w:r w:rsidR="007C6641">
        <w:rPr>
          <w:sz w:val="26"/>
        </w:rPr>
        <w:t xml:space="preserve"> </w:t>
      </w:r>
      <w:r w:rsidRPr="00DF1859" w:rsidR="007C6641">
        <w:rPr>
          <w:sz w:val="26"/>
        </w:rPr>
        <w:t>The Commission will use the information collected in compliance filings to this final rule to determine whether each transmission provider complies with the final rule such that the rates, terms, and conditions for Commission-jurisdictional services are just and reasonable and not unduly discriminatory or preferential.</w:t>
      </w:r>
      <w:r w:rsidR="007C6641">
        <w:rPr>
          <w:sz w:val="26"/>
        </w:rPr>
        <w:t xml:space="preserve"> </w:t>
      </w:r>
      <w:r w:rsidRPr="00F81A82">
        <w:rPr>
          <w:sz w:val="26"/>
        </w:rPr>
        <w:t xml:space="preserve"> T</w:t>
      </w:r>
      <w:r>
        <w:rPr>
          <w:sz w:val="26"/>
        </w:rPr>
        <w:t>herefore, in addition to the ongoing information collection burdens described below, all of t</w:t>
      </w:r>
      <w:r w:rsidRPr="00F81A82">
        <w:rPr>
          <w:sz w:val="26"/>
        </w:rPr>
        <w:t xml:space="preserve">he </w:t>
      </w:r>
      <w:r>
        <w:rPr>
          <w:sz w:val="26"/>
        </w:rPr>
        <w:t xml:space="preserve">reforms required by this final rule </w:t>
      </w:r>
      <w:r w:rsidRPr="00F81A82">
        <w:rPr>
          <w:sz w:val="26"/>
        </w:rPr>
        <w:t xml:space="preserve">would </w:t>
      </w:r>
      <w:r>
        <w:rPr>
          <w:sz w:val="26"/>
        </w:rPr>
        <w:t>entail</w:t>
      </w:r>
      <w:r w:rsidRPr="00F81A82">
        <w:rPr>
          <w:sz w:val="26"/>
        </w:rPr>
        <w:t xml:space="preserve"> one-time information collection activities related to changing public utilities’ tariffs and jurisdictional agreements</w:t>
      </w:r>
      <w:r>
        <w:rPr>
          <w:sz w:val="26"/>
        </w:rPr>
        <w:t>.</w:t>
      </w:r>
    </w:p>
    <w:p w:rsidR="001D3964" w:rsidP="00727320" w14:paraId="1CDE39C5" w14:textId="192000BA">
      <w:pPr>
        <w:spacing w:line="240" w:lineRule="auto"/>
        <w:rPr>
          <w:sz w:val="26"/>
        </w:rPr>
      </w:pPr>
      <w:r w:rsidRPr="001D3964">
        <w:rPr>
          <w:sz w:val="26"/>
          <w:u w:val="single"/>
        </w:rPr>
        <w:t xml:space="preserve">Overview of Reforms </w:t>
      </w:r>
    </w:p>
    <w:p w:rsidR="00174C19" w:rsidRPr="00174C19" w:rsidP="00727320" w14:paraId="099CFB34" w14:textId="54AC0D43">
      <w:pPr>
        <w:spacing w:line="240" w:lineRule="auto"/>
        <w:rPr>
          <w:sz w:val="26"/>
        </w:rPr>
      </w:pPr>
      <w:r>
        <w:rPr>
          <w:sz w:val="26"/>
        </w:rPr>
        <w:t>Pursuant to section 206 of the FPA, t</w:t>
      </w:r>
      <w:r w:rsidR="00134BB9">
        <w:rPr>
          <w:sz w:val="26"/>
        </w:rPr>
        <w:t xml:space="preserve">he </w:t>
      </w:r>
      <w:r w:rsidR="00B065AF">
        <w:rPr>
          <w:sz w:val="26"/>
        </w:rPr>
        <w:t>final</w:t>
      </w:r>
      <w:r w:rsidR="00134BB9">
        <w:rPr>
          <w:sz w:val="26"/>
        </w:rPr>
        <w:t xml:space="preserve"> rule in</w:t>
      </w:r>
      <w:r w:rsidR="00B065AF">
        <w:rPr>
          <w:sz w:val="26"/>
        </w:rPr>
        <w:t xml:space="preserve"> Docket No.</w:t>
      </w:r>
      <w:r w:rsidR="00134BB9">
        <w:rPr>
          <w:sz w:val="26"/>
        </w:rPr>
        <w:t xml:space="preserve"> RM21-17-000 </w:t>
      </w:r>
      <w:r w:rsidRPr="00134BB9" w:rsidR="00134BB9">
        <w:rPr>
          <w:sz w:val="26"/>
        </w:rPr>
        <w:t>require</w:t>
      </w:r>
      <w:r w:rsidR="00091D5B">
        <w:rPr>
          <w:sz w:val="26"/>
        </w:rPr>
        <w:t>s all</w:t>
      </w:r>
      <w:r w:rsidRPr="00134BB9" w:rsidR="00134BB9">
        <w:rPr>
          <w:sz w:val="26"/>
        </w:rPr>
        <w:t xml:space="preserve"> public utility </w:t>
      </w:r>
      <w:r w:rsidR="0050620A">
        <w:rPr>
          <w:sz w:val="26"/>
        </w:rPr>
        <w:t>t</w:t>
      </w:r>
      <w:r w:rsidRPr="00134BB9" w:rsidR="00134BB9">
        <w:rPr>
          <w:sz w:val="26"/>
        </w:rPr>
        <w:t xml:space="preserve">ransmission </w:t>
      </w:r>
      <w:r w:rsidR="0050620A">
        <w:rPr>
          <w:sz w:val="26"/>
        </w:rPr>
        <w:t>p</w:t>
      </w:r>
      <w:r w:rsidRPr="00134BB9" w:rsidR="00134BB9">
        <w:rPr>
          <w:sz w:val="26"/>
        </w:rPr>
        <w:t>roviders</w:t>
      </w:r>
      <w:r>
        <w:rPr>
          <w:rStyle w:val="FootnoteReference"/>
          <w:b/>
          <w:bCs/>
          <w:sz w:val="26"/>
          <w:vertAlign w:val="superscript"/>
        </w:rPr>
        <w:footnoteReference w:id="5"/>
      </w:r>
      <w:r w:rsidRPr="00134BB9" w:rsidR="00134BB9">
        <w:rPr>
          <w:sz w:val="26"/>
        </w:rPr>
        <w:t xml:space="preserve"> to </w:t>
      </w:r>
      <w:r w:rsidR="008F17A7">
        <w:rPr>
          <w:sz w:val="26"/>
        </w:rPr>
        <w:t xml:space="preserve">comply with revised </w:t>
      </w:r>
      <w:r w:rsidRPr="008F17A7" w:rsidR="008F17A7">
        <w:rPr>
          <w:sz w:val="26"/>
        </w:rPr>
        <w:t>electric regional transmission planning and cost allocation requirements</w:t>
      </w:r>
      <w:r w:rsidR="00124FE7">
        <w:rPr>
          <w:sz w:val="26"/>
        </w:rPr>
        <w:t>.</w:t>
      </w:r>
      <w:r w:rsidR="00DF1859">
        <w:rPr>
          <w:sz w:val="26"/>
        </w:rPr>
        <w:t xml:space="preserve">  </w:t>
      </w:r>
      <w:r w:rsidR="00CB3391">
        <w:rPr>
          <w:sz w:val="26"/>
        </w:rPr>
        <w:t>T</w:t>
      </w:r>
      <w:r w:rsidR="00334E86">
        <w:rPr>
          <w:sz w:val="26"/>
        </w:rPr>
        <w:t>he final rule</w:t>
      </w:r>
      <w:r w:rsidR="00114831">
        <w:rPr>
          <w:sz w:val="26"/>
        </w:rPr>
        <w:t xml:space="preserve"> </w:t>
      </w:r>
      <w:r w:rsidR="000863AB">
        <w:rPr>
          <w:sz w:val="26"/>
        </w:rPr>
        <w:t>revises</w:t>
      </w:r>
      <w:r w:rsidR="00114831">
        <w:rPr>
          <w:sz w:val="26"/>
        </w:rPr>
        <w:t xml:space="preserve"> Attachment K of the </w:t>
      </w:r>
      <w:r w:rsidR="00114831">
        <w:rPr>
          <w:i/>
          <w:iCs/>
          <w:sz w:val="26"/>
        </w:rPr>
        <w:t xml:space="preserve">pro </w:t>
      </w:r>
      <w:r w:rsidRPr="005E1A05" w:rsidR="00114831">
        <w:rPr>
          <w:i/>
          <w:iCs/>
          <w:sz w:val="26"/>
        </w:rPr>
        <w:t>forma</w:t>
      </w:r>
      <w:r w:rsidR="00114831">
        <w:rPr>
          <w:sz w:val="26"/>
        </w:rPr>
        <w:t xml:space="preserve"> OATT</w:t>
      </w:r>
      <w:r w:rsidR="008A2BB8">
        <w:rPr>
          <w:sz w:val="26"/>
        </w:rPr>
        <w:t xml:space="preserve"> </w:t>
      </w:r>
      <w:r w:rsidR="000863AB">
        <w:rPr>
          <w:sz w:val="26"/>
        </w:rPr>
        <w:t>to</w:t>
      </w:r>
      <w:r w:rsidR="008A2BB8">
        <w:rPr>
          <w:sz w:val="26"/>
        </w:rPr>
        <w:t xml:space="preserve"> </w:t>
      </w:r>
      <w:r w:rsidRPr="00B21D3A" w:rsidR="00B21D3A">
        <w:rPr>
          <w:sz w:val="26"/>
        </w:rPr>
        <w:t>require public utility transmission providers to</w:t>
      </w:r>
      <w:r w:rsidR="00305040">
        <w:rPr>
          <w:sz w:val="26"/>
        </w:rPr>
        <w:t>:</w:t>
      </w:r>
    </w:p>
    <w:p w:rsidR="0080610B" w:rsidRPr="00727320" w:rsidP="009B7C8F" w14:paraId="4788533E" w14:textId="26C73F1A">
      <w:pPr>
        <w:pStyle w:val="ListParagraph"/>
        <w:numPr>
          <w:ilvl w:val="0"/>
          <w:numId w:val="32"/>
        </w:numPr>
        <w:spacing w:line="240" w:lineRule="auto"/>
        <w:ind w:left="0" w:firstLine="0"/>
        <w:rPr>
          <w:sz w:val="26"/>
        </w:rPr>
      </w:pPr>
      <w:r w:rsidRPr="00317EB0">
        <w:rPr>
          <w:b/>
          <w:bCs/>
          <w:sz w:val="26"/>
        </w:rPr>
        <w:t xml:space="preserve">Participate in </w:t>
      </w:r>
      <w:r w:rsidRPr="00317EB0" w:rsidR="00725CD0">
        <w:rPr>
          <w:b/>
          <w:bCs/>
          <w:sz w:val="26"/>
        </w:rPr>
        <w:t>Long-Term Regional Transmission Planning</w:t>
      </w:r>
    </w:p>
    <w:p w:rsidR="006114E6" w:rsidP="00727320" w14:paraId="41C4C3C6" w14:textId="109DA46F">
      <w:pPr>
        <w:spacing w:line="240" w:lineRule="auto"/>
        <w:rPr>
          <w:sz w:val="26"/>
        </w:rPr>
      </w:pPr>
      <w:r>
        <w:rPr>
          <w:sz w:val="26"/>
        </w:rPr>
        <w:t>In the final rule, the Commission f</w:t>
      </w:r>
      <w:r w:rsidRPr="006114E6">
        <w:rPr>
          <w:sz w:val="26"/>
        </w:rPr>
        <w:t>ind</w:t>
      </w:r>
      <w:r>
        <w:rPr>
          <w:sz w:val="26"/>
        </w:rPr>
        <w:t>s</w:t>
      </w:r>
      <w:r w:rsidRPr="006114E6">
        <w:rPr>
          <w:sz w:val="26"/>
        </w:rPr>
        <w:t xml:space="preserve"> that the absence of sufficiently long-term, </w:t>
      </w:r>
      <w:r w:rsidRPr="006114E6">
        <w:rPr>
          <w:sz w:val="26"/>
        </w:rPr>
        <w:t>forward-looking, and comprehensive transmission planning requirements is causing transmission providers to fail to adequately anticipate and plan for future system conditions</w:t>
      </w:r>
      <w:r w:rsidR="00E4796F">
        <w:rPr>
          <w:sz w:val="26"/>
        </w:rPr>
        <w:t xml:space="preserve">, as well as </w:t>
      </w:r>
      <w:r w:rsidRPr="006114E6">
        <w:rPr>
          <w:sz w:val="26"/>
        </w:rPr>
        <w:t>appropriately evaluate the benefits of transmission infrastructure, result</w:t>
      </w:r>
      <w:r w:rsidR="00E4796F">
        <w:rPr>
          <w:sz w:val="26"/>
        </w:rPr>
        <w:t>ing</w:t>
      </w:r>
      <w:r w:rsidRPr="006114E6">
        <w:rPr>
          <w:sz w:val="26"/>
        </w:rPr>
        <w:t xml:space="preserve"> in piecemeal transmission expansion to address relatively near-term transmission needs.  </w:t>
      </w:r>
      <w:r w:rsidR="00153CDF">
        <w:rPr>
          <w:sz w:val="26"/>
        </w:rPr>
        <w:t>The Commission further</w:t>
      </w:r>
      <w:r w:rsidRPr="006114E6">
        <w:rPr>
          <w:sz w:val="26"/>
        </w:rPr>
        <w:t xml:space="preserve"> find</w:t>
      </w:r>
      <w:r w:rsidR="00153CDF">
        <w:rPr>
          <w:sz w:val="26"/>
        </w:rPr>
        <w:t>s</w:t>
      </w:r>
      <w:r w:rsidRPr="006114E6">
        <w:rPr>
          <w:sz w:val="26"/>
        </w:rPr>
        <w:t xml:space="preserve"> that this status quo</w:t>
      </w:r>
      <w:r w:rsidRPr="006114E6">
        <w:rPr>
          <w:i/>
          <w:iCs/>
          <w:sz w:val="26"/>
        </w:rPr>
        <w:t xml:space="preserve"> </w:t>
      </w:r>
      <w:r w:rsidRPr="006114E6">
        <w:rPr>
          <w:sz w:val="26"/>
        </w:rPr>
        <w:t xml:space="preserve">causes transmission providers to undertake relatively inefficient investments in transmission infrastructure, the costs of which are ultimately recovered through Commission-jurisdictional rates.  </w:t>
      </w:r>
    </w:p>
    <w:p w:rsidR="00A3121B" w:rsidRPr="00A3121B" w:rsidP="00727320" w14:paraId="2DC5B503" w14:textId="7EACA59B">
      <w:pPr>
        <w:spacing w:line="240" w:lineRule="auto"/>
        <w:rPr>
          <w:sz w:val="26"/>
        </w:rPr>
      </w:pPr>
      <w:r w:rsidRPr="00A3121B">
        <w:rPr>
          <w:sz w:val="26"/>
        </w:rPr>
        <w:t>T</w:t>
      </w:r>
      <w:r w:rsidR="00153CDF">
        <w:rPr>
          <w:sz w:val="26"/>
        </w:rPr>
        <w:t>o remedy this issue, t</w:t>
      </w:r>
      <w:r w:rsidRPr="00A3121B">
        <w:rPr>
          <w:sz w:val="26"/>
        </w:rPr>
        <w:t xml:space="preserve">he final rule requires transmission providers to participate in a regional transmission planning process that includes Long-Term Regional Transmission Planning.  As part of this Long-Term Regional Transmission Planning, transmission providers are required to:  </w:t>
      </w:r>
    </w:p>
    <w:p w:rsidR="00A3121B" w:rsidRPr="00A3121B" w:rsidP="004C2598" w14:paraId="14BE0B16" w14:textId="320E4E34">
      <w:pPr>
        <w:numPr>
          <w:ilvl w:val="0"/>
          <w:numId w:val="34"/>
        </w:numPr>
        <w:spacing w:after="120" w:line="240" w:lineRule="auto"/>
        <w:rPr>
          <w:sz w:val="26"/>
        </w:rPr>
      </w:pPr>
      <w:r w:rsidRPr="00A3121B">
        <w:rPr>
          <w:sz w:val="26"/>
        </w:rPr>
        <w:t xml:space="preserve">identify Long-Term Transmission Needs through the development and use of </w:t>
      </w:r>
      <w:r w:rsidR="00CD26FA">
        <w:rPr>
          <w:sz w:val="26"/>
        </w:rPr>
        <w:t xml:space="preserve">at least </w:t>
      </w:r>
      <w:r w:rsidR="00A42249">
        <w:rPr>
          <w:sz w:val="26"/>
        </w:rPr>
        <w:t xml:space="preserve">three </w:t>
      </w:r>
      <w:r w:rsidRPr="00A3121B">
        <w:rPr>
          <w:sz w:val="26"/>
        </w:rPr>
        <w:t>plausible and diverse Long-Term Scenarios and</w:t>
      </w:r>
      <w:r w:rsidR="00813A70">
        <w:rPr>
          <w:sz w:val="26"/>
        </w:rPr>
        <w:t xml:space="preserve"> additional</w:t>
      </w:r>
      <w:r w:rsidRPr="00A3121B">
        <w:rPr>
          <w:sz w:val="26"/>
        </w:rPr>
        <w:t xml:space="preserve"> sensitivity analyses that account for known determinants of Long-Term Transmission Needs</w:t>
      </w:r>
      <w:r w:rsidR="002E3169">
        <w:rPr>
          <w:sz w:val="26"/>
        </w:rPr>
        <w:t xml:space="preserve">.  The Long-Term Scenarios must incorporate </w:t>
      </w:r>
      <w:r w:rsidRPr="00FB09D2" w:rsidR="00FB09D2">
        <w:rPr>
          <w:sz w:val="26"/>
        </w:rPr>
        <w:t xml:space="preserve">seven specific categories of factors </w:t>
      </w:r>
      <w:r w:rsidR="00FB09D2">
        <w:rPr>
          <w:sz w:val="26"/>
        </w:rPr>
        <w:t xml:space="preserve">(e.g., federal, </w:t>
      </w:r>
      <w:r w:rsidR="009540E5">
        <w:rPr>
          <w:sz w:val="26"/>
        </w:rPr>
        <w:t>federally recognized</w:t>
      </w:r>
      <w:r w:rsidR="00FB09D2">
        <w:rPr>
          <w:sz w:val="26"/>
        </w:rPr>
        <w:t xml:space="preserve"> Tribal, state, and local laws affecting the resource mix and demand)</w:t>
      </w:r>
      <w:r w:rsidR="002D49D0">
        <w:rPr>
          <w:sz w:val="26"/>
        </w:rPr>
        <w:t>,</w:t>
      </w:r>
      <w:r w:rsidR="002E3169">
        <w:rPr>
          <w:sz w:val="26"/>
        </w:rPr>
        <w:t xml:space="preserve"> must</w:t>
      </w:r>
      <w:r w:rsidR="00E55EE8">
        <w:rPr>
          <w:sz w:val="26"/>
        </w:rPr>
        <w:t xml:space="preserve"> </w:t>
      </w:r>
      <w:r w:rsidRPr="00E55EE8" w:rsidR="00E55EE8">
        <w:rPr>
          <w:sz w:val="26"/>
        </w:rPr>
        <w:t>us</w:t>
      </w:r>
      <w:r w:rsidR="002E3169">
        <w:rPr>
          <w:sz w:val="26"/>
        </w:rPr>
        <w:t>e</w:t>
      </w:r>
      <w:r w:rsidRPr="00E55EE8" w:rsidR="00E55EE8">
        <w:rPr>
          <w:sz w:val="26"/>
        </w:rPr>
        <w:t xml:space="preserve"> no less than a 20-year transmission planning horizon</w:t>
      </w:r>
      <w:r w:rsidR="002D49D0">
        <w:rPr>
          <w:sz w:val="26"/>
        </w:rPr>
        <w:t xml:space="preserve">, and must </w:t>
      </w:r>
      <w:r w:rsidR="00E57B2B">
        <w:rPr>
          <w:sz w:val="26"/>
        </w:rPr>
        <w:t>use best available data inputs</w:t>
      </w:r>
      <w:r w:rsidRPr="00A3121B">
        <w:rPr>
          <w:sz w:val="26"/>
        </w:rPr>
        <w:t xml:space="preserve">; </w:t>
      </w:r>
    </w:p>
    <w:p w:rsidR="00A3121B" w:rsidRPr="00A3121B" w:rsidP="000F1B56" w14:paraId="59BBFA0C" w14:textId="77777777">
      <w:pPr>
        <w:numPr>
          <w:ilvl w:val="0"/>
          <w:numId w:val="34"/>
        </w:numPr>
        <w:spacing w:before="0" w:after="120" w:line="240" w:lineRule="auto"/>
        <w:rPr>
          <w:sz w:val="26"/>
        </w:rPr>
      </w:pPr>
      <w:r w:rsidRPr="00A3121B">
        <w:rPr>
          <w:sz w:val="26"/>
        </w:rPr>
        <w:t>measure seven required benefits to evaluate Long-Term Regional Transmission Facilities over a time horizon that covers, at a minimum, 20 years starting from the estimated in-service date of the transmission facilities;</w:t>
      </w:r>
    </w:p>
    <w:p w:rsidR="00A3121B" w:rsidRPr="00A3121B" w:rsidP="000F1B56" w14:paraId="1B747AE6" w14:textId="74818655">
      <w:pPr>
        <w:numPr>
          <w:ilvl w:val="0"/>
          <w:numId w:val="34"/>
        </w:numPr>
        <w:spacing w:before="0" w:after="120" w:line="240" w:lineRule="auto"/>
        <w:rPr>
          <w:sz w:val="26"/>
        </w:rPr>
      </w:pPr>
      <w:r w:rsidRPr="00A3121B">
        <w:rPr>
          <w:sz w:val="26"/>
        </w:rPr>
        <w:t xml:space="preserve">include in their </w:t>
      </w:r>
      <w:r w:rsidR="0034218D">
        <w:rPr>
          <w:sz w:val="26"/>
        </w:rPr>
        <w:t>tariffs</w:t>
      </w:r>
      <w:r w:rsidRPr="00A3121B">
        <w:rPr>
          <w:sz w:val="26"/>
        </w:rPr>
        <w:t xml:space="preserve"> an evaluation process, including criteria, that they will use to evaluate Long-Term Regional Transmission Facilities for selection to address Long-Term Transmission Needs.  The selection criteria must </w:t>
      </w:r>
      <w:r w:rsidR="00D93505">
        <w:rPr>
          <w:sz w:val="26"/>
        </w:rPr>
        <w:t xml:space="preserve">be </w:t>
      </w:r>
      <w:r w:rsidRPr="00325A6F" w:rsidR="00D93505">
        <w:rPr>
          <w:sz w:val="26"/>
        </w:rPr>
        <w:t xml:space="preserve">transparent and not unduly discriminatory </w:t>
      </w:r>
      <w:r w:rsidR="00D93505">
        <w:rPr>
          <w:sz w:val="26"/>
        </w:rPr>
        <w:t>and must</w:t>
      </w:r>
      <w:r w:rsidRPr="00A3121B" w:rsidR="00D93505">
        <w:rPr>
          <w:sz w:val="26"/>
        </w:rPr>
        <w:t xml:space="preserve"> </w:t>
      </w:r>
      <w:r w:rsidRPr="00A3121B">
        <w:rPr>
          <w:sz w:val="26"/>
        </w:rPr>
        <w:t>seek to maximize benefits accounting for costs over time without over-building transmission facilities;</w:t>
      </w:r>
    </w:p>
    <w:p w:rsidR="00A3121B" w:rsidRPr="00A3121B" w:rsidP="000F1B56" w14:paraId="5E9B898B" w14:textId="2A78DDB2">
      <w:pPr>
        <w:numPr>
          <w:ilvl w:val="0"/>
          <w:numId w:val="34"/>
        </w:numPr>
        <w:spacing w:before="0" w:after="120" w:line="240" w:lineRule="auto"/>
        <w:rPr>
          <w:sz w:val="26"/>
        </w:rPr>
      </w:pPr>
      <w:r w:rsidRPr="00A3121B">
        <w:rPr>
          <w:sz w:val="26"/>
        </w:rPr>
        <w:t>include in their</w:t>
      </w:r>
      <w:r w:rsidR="0034218D">
        <w:rPr>
          <w:sz w:val="26"/>
        </w:rPr>
        <w:t xml:space="preserve"> tariffs</w:t>
      </w:r>
      <w:r w:rsidRPr="00A3121B">
        <w:rPr>
          <w:sz w:val="26"/>
        </w:rPr>
        <w:t xml:space="preserve"> provisions that require transmission providers—in certain circumstances and subject to limitations—to reevaluate Long-Term Regional Transmission Facilities that </w:t>
      </w:r>
      <w:r w:rsidR="0034218D">
        <w:rPr>
          <w:sz w:val="26"/>
        </w:rPr>
        <w:t xml:space="preserve">were </w:t>
      </w:r>
      <w:r w:rsidRPr="00A3121B">
        <w:rPr>
          <w:sz w:val="26"/>
        </w:rPr>
        <w:t xml:space="preserve">previously selected.  </w:t>
      </w:r>
    </w:p>
    <w:p w:rsidR="00D26160" w:rsidP="004C2598" w14:paraId="5C72C186" w14:textId="02B7A6B0">
      <w:pPr>
        <w:spacing w:line="240" w:lineRule="auto"/>
        <w:rPr>
          <w:sz w:val="26"/>
        </w:rPr>
      </w:pPr>
      <w:r>
        <w:rPr>
          <w:sz w:val="26"/>
        </w:rPr>
        <w:t xml:space="preserve">The final rule requires transmission providers to </w:t>
      </w:r>
      <w:r w:rsidR="00063DE9">
        <w:rPr>
          <w:sz w:val="26"/>
        </w:rPr>
        <w:t xml:space="preserve">perform Long-Term Regional Planning, including </w:t>
      </w:r>
      <w:r w:rsidRPr="001A6FBF" w:rsidR="001A6FBF">
        <w:rPr>
          <w:sz w:val="26"/>
        </w:rPr>
        <w:t>reassess</w:t>
      </w:r>
      <w:r w:rsidR="001451E5">
        <w:rPr>
          <w:sz w:val="26"/>
        </w:rPr>
        <w:t>ing</w:t>
      </w:r>
      <w:r w:rsidRPr="001A6FBF" w:rsidR="001A6FBF">
        <w:rPr>
          <w:sz w:val="26"/>
        </w:rPr>
        <w:t xml:space="preserve"> and revis</w:t>
      </w:r>
      <w:r w:rsidR="001451E5">
        <w:rPr>
          <w:sz w:val="26"/>
        </w:rPr>
        <w:t>ing</w:t>
      </w:r>
      <w:r w:rsidRPr="001A6FBF" w:rsidR="001A6FBF">
        <w:rPr>
          <w:sz w:val="26"/>
        </w:rPr>
        <w:t xml:space="preserve"> the Long-Term Scenarios</w:t>
      </w:r>
      <w:r w:rsidR="00063DE9">
        <w:rPr>
          <w:sz w:val="26"/>
        </w:rPr>
        <w:t>,</w:t>
      </w:r>
      <w:r w:rsidRPr="001A6FBF" w:rsidR="001A6FBF">
        <w:rPr>
          <w:sz w:val="26"/>
        </w:rPr>
        <w:t xml:space="preserve"> at least once every </w:t>
      </w:r>
      <w:r w:rsidRPr="001A6FBF" w:rsidR="001A6FBF">
        <w:rPr>
          <w:sz w:val="26"/>
        </w:rPr>
        <w:t xml:space="preserve">five </w:t>
      </w:r>
      <w:r w:rsidRPr="001A6FBF" w:rsidR="001A6FBF">
        <w:rPr>
          <w:sz w:val="26"/>
        </w:rPr>
        <w:t>years</w:t>
      </w:r>
      <w:r w:rsidR="008F3D6C">
        <w:rPr>
          <w:sz w:val="26"/>
        </w:rPr>
        <w:t>.  Thus,</w:t>
      </w:r>
      <w:r>
        <w:rPr>
          <w:sz w:val="26"/>
        </w:rPr>
        <w:t xml:space="preserve"> in addition to the </w:t>
      </w:r>
      <w:r w:rsidR="005E0B65">
        <w:rPr>
          <w:sz w:val="26"/>
        </w:rPr>
        <w:t>one-time</w:t>
      </w:r>
      <w:r>
        <w:rPr>
          <w:sz w:val="26"/>
        </w:rPr>
        <w:t xml:space="preserve"> information collection</w:t>
      </w:r>
      <w:r w:rsidR="005E0B65">
        <w:rPr>
          <w:sz w:val="26"/>
        </w:rPr>
        <w:t xml:space="preserve"> activit</w:t>
      </w:r>
      <w:r w:rsidR="001451E5">
        <w:rPr>
          <w:sz w:val="26"/>
        </w:rPr>
        <w:t xml:space="preserve">y for public utility transmission providers to </w:t>
      </w:r>
      <w:r w:rsidR="005E0B65">
        <w:rPr>
          <w:sz w:val="26"/>
        </w:rPr>
        <w:t>modify</w:t>
      </w:r>
      <w:r w:rsidRPr="00F81A82" w:rsidR="005E0B65">
        <w:rPr>
          <w:sz w:val="26"/>
        </w:rPr>
        <w:t xml:space="preserve"> their tariffs and jurisdictional agreements</w:t>
      </w:r>
      <w:r w:rsidR="005E0B65">
        <w:rPr>
          <w:sz w:val="26"/>
        </w:rPr>
        <w:t xml:space="preserve"> to comply </w:t>
      </w:r>
      <w:r w:rsidR="005E0B65">
        <w:rPr>
          <w:sz w:val="26"/>
        </w:rPr>
        <w:t>with the final rule</w:t>
      </w:r>
      <w:r w:rsidR="0027758B">
        <w:rPr>
          <w:sz w:val="26"/>
        </w:rPr>
        <w:t xml:space="preserve">, </w:t>
      </w:r>
      <w:r w:rsidRPr="00EE64AB" w:rsidR="008F3D6C">
        <w:rPr>
          <w:sz w:val="26"/>
        </w:rPr>
        <w:t xml:space="preserve">the requirement to participate in </w:t>
      </w:r>
      <w:r w:rsidR="00CB2589">
        <w:rPr>
          <w:sz w:val="26"/>
        </w:rPr>
        <w:t>Long-Term Regional Transmission Planning</w:t>
      </w:r>
      <w:r w:rsidR="00342C80">
        <w:rPr>
          <w:sz w:val="26"/>
        </w:rPr>
        <w:t xml:space="preserve"> involve</w:t>
      </w:r>
      <w:r w:rsidR="001451E5">
        <w:rPr>
          <w:sz w:val="26"/>
        </w:rPr>
        <w:t>s</w:t>
      </w:r>
      <w:r w:rsidRPr="00EE64AB" w:rsidR="008F3D6C">
        <w:rPr>
          <w:sz w:val="26"/>
        </w:rPr>
        <w:t xml:space="preserve"> </w:t>
      </w:r>
      <w:r w:rsidR="0027758B">
        <w:rPr>
          <w:sz w:val="26"/>
        </w:rPr>
        <w:t>ongoing</w:t>
      </w:r>
      <w:r w:rsidRPr="00EE64AB" w:rsidR="008F3D6C">
        <w:rPr>
          <w:sz w:val="26"/>
        </w:rPr>
        <w:t xml:space="preserve"> information collection</w:t>
      </w:r>
      <w:r w:rsidR="0027758B">
        <w:rPr>
          <w:sz w:val="26"/>
        </w:rPr>
        <w:t xml:space="preserve"> </w:t>
      </w:r>
      <w:r w:rsidR="00662DF8">
        <w:rPr>
          <w:sz w:val="26"/>
        </w:rPr>
        <w:t>activit</w:t>
      </w:r>
      <w:r w:rsidR="00A8644C">
        <w:rPr>
          <w:sz w:val="26"/>
        </w:rPr>
        <w:t>ies</w:t>
      </w:r>
      <w:r w:rsidRPr="00EE64AB" w:rsidR="008F3D6C">
        <w:rPr>
          <w:sz w:val="26"/>
        </w:rPr>
        <w:t>.</w:t>
      </w:r>
    </w:p>
    <w:p w:rsidR="00D26160" w:rsidRPr="004C2598" w:rsidP="009B7C8F" w14:paraId="0D0F0842" w14:textId="53027C0A">
      <w:pPr>
        <w:pStyle w:val="ListParagraph"/>
        <w:numPr>
          <w:ilvl w:val="0"/>
          <w:numId w:val="35"/>
        </w:numPr>
        <w:spacing w:line="240" w:lineRule="auto"/>
        <w:rPr>
          <w:sz w:val="26"/>
        </w:rPr>
      </w:pPr>
      <w:r w:rsidRPr="0007792B">
        <w:rPr>
          <w:b/>
          <w:bCs/>
          <w:sz w:val="26"/>
        </w:rPr>
        <w:t>Long-Term Regional Transmission Cost Allocation</w:t>
      </w:r>
    </w:p>
    <w:p w:rsidR="000524BB" w:rsidP="004C2598" w14:paraId="5D602EBE" w14:textId="16347134">
      <w:pPr>
        <w:spacing w:line="240" w:lineRule="auto"/>
        <w:rPr>
          <w:sz w:val="26"/>
        </w:rPr>
      </w:pPr>
      <w:r>
        <w:rPr>
          <w:sz w:val="26"/>
        </w:rPr>
        <w:t xml:space="preserve">The final rule requires transmission providers </w:t>
      </w:r>
      <w:r w:rsidRPr="003727D1">
        <w:rPr>
          <w:sz w:val="26"/>
        </w:rPr>
        <w:t>to file</w:t>
      </w:r>
      <w:r>
        <w:rPr>
          <w:sz w:val="26"/>
        </w:rPr>
        <w:t xml:space="preserve"> revisions to their tariff to include</w:t>
      </w:r>
      <w:r w:rsidRPr="003727D1">
        <w:rPr>
          <w:sz w:val="26"/>
        </w:rPr>
        <w:t xml:space="preserve"> an </w:t>
      </w:r>
      <w:r w:rsidRPr="003727D1">
        <w:rPr>
          <w:i/>
          <w:iCs/>
          <w:sz w:val="26"/>
        </w:rPr>
        <w:t>ex ante</w:t>
      </w:r>
      <w:r>
        <w:rPr>
          <w:sz w:val="26"/>
        </w:rPr>
        <w:t xml:space="preserve"> </w:t>
      </w:r>
      <w:r w:rsidRPr="003727D1">
        <w:rPr>
          <w:sz w:val="26"/>
        </w:rPr>
        <w:t>Long-Term Regional Transmission Cost Allocation Method (or Methods) to allocate the costs of selected Long-Term Regional Transmission Facilities (or a portfolio of such Facilities).</w:t>
      </w:r>
      <w:r>
        <w:rPr>
          <w:sz w:val="26"/>
        </w:rPr>
        <w:t xml:space="preserve">  </w:t>
      </w:r>
      <w:r w:rsidRPr="003727D1" w:rsidR="003727D1">
        <w:rPr>
          <w:sz w:val="26"/>
        </w:rPr>
        <w:t xml:space="preserve">The final rule </w:t>
      </w:r>
      <w:r>
        <w:rPr>
          <w:sz w:val="26"/>
        </w:rPr>
        <w:t xml:space="preserve">further </w:t>
      </w:r>
      <w:r w:rsidRPr="003727D1" w:rsidR="003727D1">
        <w:rPr>
          <w:sz w:val="26"/>
        </w:rPr>
        <w:t xml:space="preserve">requires </w:t>
      </w:r>
      <w:r w:rsidRPr="003727D1" w:rsidR="00791E86">
        <w:rPr>
          <w:sz w:val="26"/>
        </w:rPr>
        <w:t>transmission providers</w:t>
      </w:r>
      <w:r w:rsidR="00D813F1">
        <w:rPr>
          <w:sz w:val="26"/>
        </w:rPr>
        <w:t>, in the process of developing a compliance filing for the final rule,</w:t>
      </w:r>
      <w:r w:rsidRPr="003727D1" w:rsidR="00791E86">
        <w:rPr>
          <w:sz w:val="26"/>
        </w:rPr>
        <w:t xml:space="preserve"> </w:t>
      </w:r>
      <w:r w:rsidR="00791E86">
        <w:rPr>
          <w:sz w:val="26"/>
        </w:rPr>
        <w:t>to</w:t>
      </w:r>
      <w:r w:rsidRPr="003727D1" w:rsidR="00791E86">
        <w:rPr>
          <w:sz w:val="26"/>
        </w:rPr>
        <w:t xml:space="preserve"> provide a </w:t>
      </w:r>
      <w:r w:rsidR="00D813F1">
        <w:rPr>
          <w:sz w:val="26"/>
        </w:rPr>
        <w:t xml:space="preserve">one-time </w:t>
      </w:r>
      <w:r w:rsidRPr="003727D1" w:rsidR="00791E86">
        <w:rPr>
          <w:sz w:val="26"/>
        </w:rPr>
        <w:t>six-month forum</w:t>
      </w:r>
      <w:r w:rsidR="009C6461">
        <w:t xml:space="preserve"> </w:t>
      </w:r>
      <w:r w:rsidRPr="003727D1" w:rsidR="009C6461">
        <w:rPr>
          <w:sz w:val="26"/>
        </w:rPr>
        <w:t>(i.e., the Engagement Period)</w:t>
      </w:r>
      <w:r w:rsidRPr="003727D1" w:rsidR="00791E86">
        <w:rPr>
          <w:sz w:val="26"/>
        </w:rPr>
        <w:t xml:space="preserve"> for </w:t>
      </w:r>
      <w:r w:rsidR="00D95A1A">
        <w:rPr>
          <w:sz w:val="26"/>
        </w:rPr>
        <w:t xml:space="preserve">the </w:t>
      </w:r>
      <w:r w:rsidRPr="003727D1" w:rsidR="00791E86">
        <w:rPr>
          <w:sz w:val="26"/>
        </w:rPr>
        <w:t xml:space="preserve">negotiation of potential Long-Term Regional Cost Allocation Methods that enables robust participation by Relevant State Entities.  </w:t>
      </w:r>
      <w:r w:rsidR="006E6E06">
        <w:rPr>
          <w:sz w:val="26"/>
        </w:rPr>
        <w:t>This information collection activity would be required only during Year 1</w:t>
      </w:r>
      <w:r w:rsidRPr="00EE64AB" w:rsidR="006E6E06">
        <w:rPr>
          <w:sz w:val="26"/>
        </w:rPr>
        <w:t>.</w:t>
      </w:r>
    </w:p>
    <w:p w:rsidR="009B4D32" w:rsidP="004C2598" w14:paraId="5A68B650" w14:textId="41F91138">
      <w:pPr>
        <w:spacing w:line="240" w:lineRule="auto"/>
        <w:rPr>
          <w:sz w:val="26"/>
        </w:rPr>
      </w:pPr>
      <w:r w:rsidRPr="003727D1">
        <w:rPr>
          <w:sz w:val="26"/>
        </w:rPr>
        <w:t>The final rule also allows (but does not require) transmission providers to adopt a State Agreement Process by which one or more Relevant State Entities may voluntarily agree to a cost allocation method for Long-Term Regional Transmission Facilities (or a portfolio of such Facilities) either before or no later than six months after they are selected.</w:t>
      </w:r>
    </w:p>
    <w:p w:rsidR="009B4D32" w:rsidRPr="004C2598" w:rsidP="009B7C8F" w14:paraId="79BF0321" w14:textId="0FB2FE11">
      <w:pPr>
        <w:pStyle w:val="ListParagraph"/>
        <w:numPr>
          <w:ilvl w:val="0"/>
          <w:numId w:val="35"/>
        </w:numPr>
        <w:spacing w:line="240" w:lineRule="auto"/>
        <w:ind w:left="0" w:firstLine="0"/>
        <w:rPr>
          <w:sz w:val="26"/>
        </w:rPr>
      </w:pPr>
      <w:r w:rsidRPr="00697B1C">
        <w:rPr>
          <w:b/>
          <w:bCs/>
          <w:sz w:val="26"/>
        </w:rPr>
        <w:t>Consideration of Alternative Transmission Technologies:</w:t>
      </w:r>
    </w:p>
    <w:p w:rsidR="00385399" w:rsidP="004C2598" w14:paraId="419FDBFE" w14:textId="75D22131">
      <w:pPr>
        <w:spacing w:line="240" w:lineRule="auto"/>
        <w:rPr>
          <w:sz w:val="26"/>
        </w:rPr>
      </w:pPr>
      <w:r>
        <w:rPr>
          <w:sz w:val="26"/>
        </w:rPr>
        <w:t>In the final rule, t</w:t>
      </w:r>
      <w:r w:rsidRPr="00385399">
        <w:rPr>
          <w:sz w:val="26"/>
        </w:rPr>
        <w:t>he Commission</w:t>
      </w:r>
      <w:r>
        <w:rPr>
          <w:sz w:val="26"/>
        </w:rPr>
        <w:t xml:space="preserve"> finds that</w:t>
      </w:r>
      <w:r w:rsidRPr="00385399">
        <w:rPr>
          <w:sz w:val="26"/>
        </w:rPr>
        <w:t xml:space="preserve"> existing regional transmission planning requirements fail to ensure that transmission providers consider whether to incorporate alternative transmission technologies into regional transmission facilities as part of their regional transmission planning processes and, consequently, fail to ensure that transmission providers are identifying more efficient or cost-effective regional transmission solutions through those processes.  As a result, transmission providers overlook or undervalue the benefits of certain alternative transmission technologies and, in turn, undertake relatively inefficient and less cost-effective investments in transmission infrastructure, the costs of which are ultimately recovered through Commission-jurisdictional rates.</w:t>
      </w:r>
    </w:p>
    <w:p w:rsidR="0098607C" w:rsidP="004C2598" w14:paraId="25DC674B" w14:textId="01E7FC48">
      <w:pPr>
        <w:spacing w:line="240" w:lineRule="auto"/>
        <w:rPr>
          <w:sz w:val="26"/>
        </w:rPr>
      </w:pPr>
      <w:r>
        <w:rPr>
          <w:sz w:val="26"/>
        </w:rPr>
        <w:t>For this reason, t</w:t>
      </w:r>
      <w:r w:rsidRPr="009B4D32" w:rsidR="009B4D32">
        <w:rPr>
          <w:sz w:val="26"/>
        </w:rPr>
        <w:t xml:space="preserve">he final rule requires transmission providers to </w:t>
      </w:r>
      <w:r w:rsidRPr="009A39DE" w:rsidR="009A39DE">
        <w:rPr>
          <w:sz w:val="26"/>
        </w:rPr>
        <w:t xml:space="preserve">evaluate the benefits of </w:t>
      </w:r>
      <w:r w:rsidRPr="009B4D32" w:rsidR="009B4D32">
        <w:rPr>
          <w:sz w:val="26"/>
        </w:rPr>
        <w:t>certain alternative transmission technologies (i.e., dynamic line ratings, advanced power flow control devices, advanced conductors, and transmission switching) in Long-Term Regional Transmission Planning and existing Order No. 1000 regional transmission planning and cost allocation processes.</w:t>
      </w:r>
    </w:p>
    <w:p w:rsidR="0098607C" w:rsidRPr="009B4D32" w:rsidP="004C2598" w14:paraId="5114ABDE" w14:textId="3B315B6F">
      <w:pPr>
        <w:spacing w:line="240" w:lineRule="auto"/>
        <w:rPr>
          <w:sz w:val="26"/>
        </w:rPr>
      </w:pPr>
      <w:r>
        <w:rPr>
          <w:sz w:val="26"/>
        </w:rPr>
        <w:t>This re</w:t>
      </w:r>
      <w:r w:rsidR="00671D35">
        <w:rPr>
          <w:sz w:val="26"/>
        </w:rPr>
        <w:t>form w</w:t>
      </w:r>
      <w:r w:rsidR="000F1426">
        <w:rPr>
          <w:sz w:val="26"/>
        </w:rPr>
        <w:t>ill</w:t>
      </w:r>
      <w:r w:rsidR="00671D35">
        <w:rPr>
          <w:sz w:val="26"/>
        </w:rPr>
        <w:t xml:space="preserve"> result in ongoing information collection activities.</w:t>
      </w:r>
    </w:p>
    <w:p w:rsidR="00CD299A" w:rsidRPr="00ED392A" w:rsidP="004C2598" w14:paraId="5E91A77C" w14:textId="79828416">
      <w:pPr>
        <w:pStyle w:val="ListParagraph"/>
        <w:numPr>
          <w:ilvl w:val="0"/>
          <w:numId w:val="35"/>
        </w:numPr>
        <w:spacing w:line="240" w:lineRule="auto"/>
        <w:rPr>
          <w:sz w:val="26"/>
        </w:rPr>
      </w:pPr>
      <w:r w:rsidRPr="00ED392A">
        <w:rPr>
          <w:b/>
          <w:bCs/>
          <w:sz w:val="26"/>
        </w:rPr>
        <w:t>Enhanced Transparency of Local Transmission Planning and Coordination with Regional Transmission Planning</w:t>
      </w:r>
    </w:p>
    <w:p w:rsidR="00143300" w:rsidP="004C2598" w14:paraId="2FAB0FD7" w14:textId="05BFF6A1">
      <w:pPr>
        <w:spacing w:line="240" w:lineRule="auto"/>
        <w:rPr>
          <w:sz w:val="26"/>
        </w:rPr>
      </w:pPr>
      <w:r>
        <w:rPr>
          <w:sz w:val="26"/>
        </w:rPr>
        <w:t xml:space="preserve">In the final rule, the Commission </w:t>
      </w:r>
      <w:r w:rsidRPr="00143300">
        <w:rPr>
          <w:sz w:val="26"/>
        </w:rPr>
        <w:t>find</w:t>
      </w:r>
      <w:r>
        <w:rPr>
          <w:sz w:val="26"/>
        </w:rPr>
        <w:t>s</w:t>
      </w:r>
      <w:r w:rsidRPr="00143300">
        <w:rPr>
          <w:sz w:val="26"/>
        </w:rPr>
        <w:t xml:space="preserve"> that existing requirements governing transparency in local transmission planning processes and coordination between local and regional transmission planning processes are unjust, unreasonable, and unduly discriminatory or preferential.  </w:t>
      </w:r>
      <w:r w:rsidR="004E7C20">
        <w:rPr>
          <w:sz w:val="26"/>
        </w:rPr>
        <w:t xml:space="preserve">Specifically, the Commission finds that </w:t>
      </w:r>
      <w:r w:rsidRPr="004E7C20" w:rsidR="004E7C20">
        <w:rPr>
          <w:sz w:val="26"/>
        </w:rPr>
        <w:t>local transmission planning processes lack adequate provisions for transparency and meaningful input from stakeholders</w:t>
      </w:r>
      <w:r w:rsidR="00181491">
        <w:rPr>
          <w:sz w:val="26"/>
        </w:rPr>
        <w:t>.</w:t>
      </w:r>
    </w:p>
    <w:p w:rsidR="00230372" w:rsidRPr="00D52FBC" w:rsidP="004C2598" w14:paraId="561DD282" w14:textId="7399F20E">
      <w:pPr>
        <w:spacing w:line="240" w:lineRule="auto"/>
        <w:rPr>
          <w:sz w:val="26"/>
        </w:rPr>
      </w:pPr>
      <w:r>
        <w:rPr>
          <w:sz w:val="26"/>
        </w:rPr>
        <w:t>To remedy this issue</w:t>
      </w:r>
      <w:r w:rsidR="00154D7C">
        <w:rPr>
          <w:sz w:val="26"/>
        </w:rPr>
        <w:t>, t</w:t>
      </w:r>
      <w:r w:rsidR="00E846F8">
        <w:rPr>
          <w:sz w:val="26"/>
        </w:rPr>
        <w:t>he final rule</w:t>
      </w:r>
      <w:r w:rsidRPr="00741280" w:rsidR="00171036">
        <w:rPr>
          <w:sz w:val="26"/>
        </w:rPr>
        <w:t xml:space="preserve"> require</w:t>
      </w:r>
      <w:r w:rsidR="00E846F8">
        <w:rPr>
          <w:sz w:val="26"/>
        </w:rPr>
        <w:t>s</w:t>
      </w:r>
      <w:r w:rsidRPr="00741280" w:rsidR="00171036">
        <w:rPr>
          <w:sz w:val="26"/>
        </w:rPr>
        <w:t xml:space="preserve"> </w:t>
      </w:r>
      <w:r w:rsidR="00DC5D57">
        <w:rPr>
          <w:sz w:val="26"/>
        </w:rPr>
        <w:t xml:space="preserve">transmission providers to </w:t>
      </w:r>
      <w:r w:rsidR="003D3613">
        <w:rPr>
          <w:sz w:val="26"/>
        </w:rPr>
        <w:t>conduct</w:t>
      </w:r>
      <w:r w:rsidR="00DC5D57">
        <w:rPr>
          <w:sz w:val="26"/>
        </w:rPr>
        <w:t xml:space="preserve"> </w:t>
      </w:r>
      <w:r w:rsidRPr="00741280" w:rsidR="00171036">
        <w:rPr>
          <w:sz w:val="26"/>
        </w:rPr>
        <w:t xml:space="preserve">at least three stakeholder meetings </w:t>
      </w:r>
      <w:r w:rsidR="003D3613">
        <w:rPr>
          <w:sz w:val="26"/>
        </w:rPr>
        <w:t>in</w:t>
      </w:r>
      <w:r w:rsidR="00DC5D57">
        <w:rPr>
          <w:sz w:val="26"/>
        </w:rPr>
        <w:t xml:space="preserve"> their regional transmission planning process</w:t>
      </w:r>
      <w:r w:rsidR="003D3613">
        <w:rPr>
          <w:sz w:val="26"/>
        </w:rPr>
        <w:t xml:space="preserve"> related to </w:t>
      </w:r>
      <w:r w:rsidRPr="00075707" w:rsidR="003D3613">
        <w:rPr>
          <w:sz w:val="26"/>
        </w:rPr>
        <w:t>local transmission planning</w:t>
      </w:r>
      <w:r w:rsidR="00252FF0">
        <w:rPr>
          <w:sz w:val="26"/>
        </w:rPr>
        <w:t>:</w:t>
      </w:r>
    </w:p>
    <w:p w:rsidR="00230372" w:rsidRPr="00D52FBC" w:rsidP="004C2598" w14:paraId="51219F24" w14:textId="1C0D8935">
      <w:pPr>
        <w:numPr>
          <w:ilvl w:val="0"/>
          <w:numId w:val="21"/>
        </w:numPr>
        <w:spacing w:after="120" w:line="240" w:lineRule="auto"/>
        <w:ind w:left="734" w:hanging="374"/>
        <w:rPr>
          <w:sz w:val="26"/>
        </w:rPr>
      </w:pPr>
      <w:r w:rsidRPr="00D52FBC">
        <w:rPr>
          <w:sz w:val="26"/>
        </w:rPr>
        <w:t>A stakeholder meeting to review the criteria, assumptions, and models related to each Transmission Provider’s local transmission planning (Assumptions Meeting);</w:t>
      </w:r>
    </w:p>
    <w:p w:rsidR="00230372" w:rsidP="004C2598" w14:paraId="11E300B9" w14:textId="08A048C7">
      <w:pPr>
        <w:numPr>
          <w:ilvl w:val="0"/>
          <w:numId w:val="21"/>
        </w:numPr>
        <w:spacing w:before="0" w:after="120" w:line="240" w:lineRule="auto"/>
        <w:ind w:left="734" w:hanging="374"/>
        <w:rPr>
          <w:sz w:val="26"/>
        </w:rPr>
      </w:pPr>
      <w:r w:rsidRPr="00D52FBC">
        <w:rPr>
          <w:sz w:val="26"/>
        </w:rPr>
        <w:t>No fewer than 25 calendar days after the Assumptions Meeting, a stakeholder meeting to review identified reliability criteria violations and other transmission needs that drive the need for local transmission facilities (Needs Meeting); and</w:t>
      </w:r>
    </w:p>
    <w:p w:rsidR="00647DAA" w:rsidRPr="008B135D" w:rsidP="008B135D" w14:paraId="523B9212" w14:textId="5A031131">
      <w:pPr>
        <w:numPr>
          <w:ilvl w:val="0"/>
          <w:numId w:val="21"/>
        </w:numPr>
        <w:spacing w:before="0" w:after="120" w:line="240" w:lineRule="auto"/>
        <w:ind w:left="734" w:hanging="374"/>
        <w:rPr>
          <w:sz w:val="26"/>
        </w:rPr>
      </w:pPr>
      <w:r w:rsidRPr="00682C09">
        <w:rPr>
          <w:sz w:val="26"/>
        </w:rPr>
        <w:t>No fewer than 25 calendar days after the Needs Meeting, a stakeholder meeting to review potential solutions to those reliability criteria violations and other transmission needs (Solutions Meeting)</w:t>
      </w:r>
      <w:r>
        <w:rPr>
          <w:sz w:val="26"/>
        </w:rPr>
        <w:t>.</w:t>
      </w:r>
      <w:r>
        <w:rPr>
          <w:rStyle w:val="FootnoteReference"/>
          <w:sz w:val="26"/>
          <w:vertAlign w:val="superscript"/>
        </w:rPr>
        <w:footnoteReference w:id="6"/>
      </w:r>
    </w:p>
    <w:p w:rsidR="000F1426" w:rsidP="008B135D" w14:paraId="4E828154" w14:textId="271228F1">
      <w:pPr>
        <w:spacing w:line="240" w:lineRule="auto"/>
        <w:rPr>
          <w:sz w:val="26"/>
        </w:rPr>
      </w:pPr>
      <w:r>
        <w:rPr>
          <w:sz w:val="26"/>
        </w:rPr>
        <w:t xml:space="preserve">The meetings </w:t>
      </w:r>
      <w:r w:rsidR="00703E9D">
        <w:rPr>
          <w:sz w:val="26"/>
        </w:rPr>
        <w:t>are</w:t>
      </w:r>
      <w:r>
        <w:rPr>
          <w:sz w:val="26"/>
        </w:rPr>
        <w:t xml:space="preserve"> required </w:t>
      </w:r>
      <w:r w:rsidRPr="00741280">
        <w:rPr>
          <w:sz w:val="26"/>
        </w:rPr>
        <w:t>b</w:t>
      </w:r>
      <w:r w:rsidRPr="00647DAA">
        <w:rPr>
          <w:sz w:val="26"/>
        </w:rPr>
        <w:t xml:space="preserve">efore </w:t>
      </w:r>
      <w:r>
        <w:rPr>
          <w:sz w:val="26"/>
        </w:rPr>
        <w:t xml:space="preserve">including </w:t>
      </w:r>
      <w:r w:rsidRPr="00647DAA">
        <w:rPr>
          <w:sz w:val="26"/>
        </w:rPr>
        <w:t xml:space="preserve">each </w:t>
      </w:r>
      <w:r w:rsidRPr="00741280">
        <w:rPr>
          <w:sz w:val="26"/>
        </w:rPr>
        <w:t>t</w:t>
      </w:r>
      <w:r w:rsidRPr="00647DAA">
        <w:rPr>
          <w:sz w:val="26"/>
        </w:rPr>
        <w:t xml:space="preserve">ransmission </w:t>
      </w:r>
      <w:r w:rsidRPr="00741280">
        <w:rPr>
          <w:sz w:val="26"/>
        </w:rPr>
        <w:t>p</w:t>
      </w:r>
      <w:r w:rsidRPr="00647DAA">
        <w:rPr>
          <w:sz w:val="26"/>
        </w:rPr>
        <w:t xml:space="preserve">rovider’s local transmission planning information </w:t>
      </w:r>
      <w:r>
        <w:rPr>
          <w:sz w:val="26"/>
        </w:rPr>
        <w:t>in</w:t>
      </w:r>
      <w:r w:rsidRPr="00647DAA">
        <w:rPr>
          <w:sz w:val="26"/>
        </w:rPr>
        <w:t>to the transmission planning region’s planning models</w:t>
      </w:r>
      <w:r>
        <w:rPr>
          <w:sz w:val="26"/>
        </w:rPr>
        <w:t xml:space="preserve">.  </w:t>
      </w:r>
      <w:r w:rsidR="00703E9D">
        <w:rPr>
          <w:sz w:val="26"/>
        </w:rPr>
        <w:t>The final rule also</w:t>
      </w:r>
      <w:r w:rsidRPr="002F7D6D" w:rsidR="00545E03">
        <w:rPr>
          <w:sz w:val="26"/>
        </w:rPr>
        <w:t xml:space="preserve"> </w:t>
      </w:r>
      <w:r w:rsidR="00545E03">
        <w:rPr>
          <w:sz w:val="26"/>
        </w:rPr>
        <w:t>require</w:t>
      </w:r>
      <w:r w:rsidR="00703E9D">
        <w:rPr>
          <w:sz w:val="26"/>
        </w:rPr>
        <w:t>s</w:t>
      </w:r>
      <w:r w:rsidR="00545E03">
        <w:rPr>
          <w:sz w:val="26"/>
        </w:rPr>
        <w:t xml:space="preserve"> transmission providers to post publicly all materials for stakeholder review before and after each </w:t>
      </w:r>
      <w:r w:rsidRPr="002F7D6D" w:rsidR="00545E03">
        <w:rPr>
          <w:sz w:val="26"/>
        </w:rPr>
        <w:t xml:space="preserve">stakeholder </w:t>
      </w:r>
      <w:r w:rsidRPr="002F7D6D" w:rsidR="00CB2589">
        <w:rPr>
          <w:sz w:val="26"/>
        </w:rPr>
        <w:t>meeting</w:t>
      </w:r>
      <w:r w:rsidR="00CB2589">
        <w:rPr>
          <w:sz w:val="26"/>
        </w:rPr>
        <w:t xml:space="preserve"> and</w:t>
      </w:r>
      <w:r w:rsidR="000B4BB8">
        <w:rPr>
          <w:sz w:val="26"/>
        </w:rPr>
        <w:t xml:space="preserve"> </w:t>
      </w:r>
      <w:r w:rsidR="00230372">
        <w:rPr>
          <w:sz w:val="26"/>
        </w:rPr>
        <w:t>provide opportunities for comments by stakeholders.</w:t>
      </w:r>
    </w:p>
    <w:p w:rsidR="00703E9D" w:rsidP="008B135D" w14:paraId="6638D1B0" w14:textId="0E585C22">
      <w:pPr>
        <w:spacing w:line="240" w:lineRule="auto"/>
        <w:rPr>
          <w:sz w:val="26"/>
        </w:rPr>
      </w:pPr>
      <w:r>
        <w:rPr>
          <w:sz w:val="26"/>
        </w:rPr>
        <w:t>This reform will result in ongoing information collection activities.</w:t>
      </w:r>
    </w:p>
    <w:p w:rsidR="00703E9D" w:rsidRPr="008B135D" w:rsidP="00A6331D" w14:paraId="257846D1" w14:textId="6C2CB283">
      <w:pPr>
        <w:pStyle w:val="ListParagraph"/>
        <w:numPr>
          <w:ilvl w:val="0"/>
          <w:numId w:val="35"/>
        </w:numPr>
        <w:spacing w:line="240" w:lineRule="auto"/>
        <w:rPr>
          <w:sz w:val="26"/>
        </w:rPr>
      </w:pPr>
      <w:r>
        <w:rPr>
          <w:b/>
          <w:bCs/>
          <w:sz w:val="26"/>
        </w:rPr>
        <w:t>Right Sizing</w:t>
      </w:r>
      <w:r w:rsidR="000F1426">
        <w:rPr>
          <w:b/>
          <w:bCs/>
          <w:sz w:val="26"/>
        </w:rPr>
        <w:t xml:space="preserve"> Replacement Transmission Facilities</w:t>
      </w:r>
    </w:p>
    <w:p w:rsidR="00081B95" w:rsidP="008B135D" w14:paraId="10599B55" w14:textId="1A3CE842">
      <w:pPr>
        <w:spacing w:line="240" w:lineRule="auto"/>
        <w:rPr>
          <w:sz w:val="26"/>
        </w:rPr>
      </w:pPr>
      <w:r>
        <w:rPr>
          <w:sz w:val="26"/>
        </w:rPr>
        <w:t xml:space="preserve">In the final rule, the Commission finds that </w:t>
      </w:r>
      <w:r w:rsidRPr="00CA572F">
        <w:rPr>
          <w:sz w:val="26"/>
        </w:rPr>
        <w:t>the lack of a requirement for transmission providers in each transmission planning region to evaluate whether replacement transmission facilities could be modified (i.e., right-sized) to more efficiently or cost-effectively address Long-Term Transmission Needs results in a regional transmission planning process that fails to identify opportunities to right-size planned in-kind replacement transmission facilities and may result in the development of inefficiently sized or designed, duplicative, or unnecessary transmission facilities that increase costs to customers and render Commission-jurisdictional rates unjust and unreasonable.</w:t>
      </w:r>
    </w:p>
    <w:p w:rsidR="00715E9C" w:rsidP="008B135D" w14:paraId="6D6F396E" w14:textId="60F26695">
      <w:pPr>
        <w:spacing w:line="240" w:lineRule="auto"/>
        <w:rPr>
          <w:sz w:val="26"/>
        </w:rPr>
      </w:pPr>
      <w:r>
        <w:rPr>
          <w:sz w:val="26"/>
        </w:rPr>
        <w:t>T</w:t>
      </w:r>
      <w:r w:rsidR="00A80578">
        <w:rPr>
          <w:sz w:val="26"/>
        </w:rPr>
        <w:t>o remedy this issue, t</w:t>
      </w:r>
      <w:r>
        <w:rPr>
          <w:sz w:val="26"/>
        </w:rPr>
        <w:t>he final rule</w:t>
      </w:r>
      <w:r w:rsidR="00121134">
        <w:rPr>
          <w:sz w:val="26"/>
        </w:rPr>
        <w:t xml:space="preserve"> </w:t>
      </w:r>
      <w:r w:rsidR="003D1668">
        <w:rPr>
          <w:sz w:val="26"/>
        </w:rPr>
        <w:t>require</w:t>
      </w:r>
      <w:r>
        <w:rPr>
          <w:sz w:val="26"/>
        </w:rPr>
        <w:t>s</w:t>
      </w:r>
      <w:r w:rsidR="00410D8D">
        <w:rPr>
          <w:sz w:val="26"/>
        </w:rPr>
        <w:t xml:space="preserve"> </w:t>
      </w:r>
      <w:r w:rsidR="00841D9C">
        <w:rPr>
          <w:sz w:val="26"/>
        </w:rPr>
        <w:t>that</w:t>
      </w:r>
      <w:r w:rsidR="00AA5F5D">
        <w:rPr>
          <w:sz w:val="26"/>
        </w:rPr>
        <w:t>, during</w:t>
      </w:r>
      <w:r w:rsidR="00841D9C">
        <w:rPr>
          <w:sz w:val="26"/>
        </w:rPr>
        <w:t xml:space="preserve"> </w:t>
      </w:r>
      <w:r w:rsidRPr="00AA5F5D" w:rsidR="00AA5F5D">
        <w:rPr>
          <w:sz w:val="26"/>
        </w:rPr>
        <w:t xml:space="preserve">each Long-Term Regional Transmission Planning cycle, </w:t>
      </w:r>
      <w:r w:rsidR="00841D9C">
        <w:rPr>
          <w:sz w:val="26"/>
        </w:rPr>
        <w:t xml:space="preserve">each transmission provider </w:t>
      </w:r>
      <w:r w:rsidR="00AA5F5D">
        <w:rPr>
          <w:sz w:val="26"/>
        </w:rPr>
        <w:t xml:space="preserve">must </w:t>
      </w:r>
      <w:r w:rsidR="00841D9C">
        <w:rPr>
          <w:sz w:val="26"/>
        </w:rPr>
        <w:t xml:space="preserve">submit a list </w:t>
      </w:r>
      <w:r w:rsidR="00307707">
        <w:rPr>
          <w:sz w:val="26"/>
        </w:rPr>
        <w:t xml:space="preserve">of transmission facilities that it owns that operate at or above </w:t>
      </w:r>
      <w:r w:rsidR="001E14A2">
        <w:rPr>
          <w:sz w:val="26"/>
        </w:rPr>
        <w:t xml:space="preserve">a </w:t>
      </w:r>
      <w:r w:rsidRPr="001E14A2" w:rsidR="001E14A2">
        <w:rPr>
          <w:sz w:val="26"/>
        </w:rPr>
        <w:t xml:space="preserve">specified </w:t>
      </w:r>
      <w:r w:rsidR="001E14A2">
        <w:rPr>
          <w:sz w:val="26"/>
        </w:rPr>
        <w:t>voltage</w:t>
      </w:r>
      <w:r w:rsidRPr="001E14A2" w:rsidR="001E14A2">
        <w:rPr>
          <w:sz w:val="26"/>
        </w:rPr>
        <w:t xml:space="preserve"> threshold</w:t>
      </w:r>
      <w:r w:rsidR="005C3C67">
        <w:rPr>
          <w:sz w:val="26"/>
        </w:rPr>
        <w:t xml:space="preserve">, and that may need to be replaced over the next 10 years.  Upon collecting that information, the </w:t>
      </w:r>
      <w:r w:rsidR="002A2D97">
        <w:rPr>
          <w:sz w:val="26"/>
        </w:rPr>
        <w:t xml:space="preserve">final rule requires the </w:t>
      </w:r>
      <w:r w:rsidRPr="002A2D97" w:rsidR="002A2D97">
        <w:rPr>
          <w:sz w:val="26"/>
        </w:rPr>
        <w:t xml:space="preserve">transmission providers in each transmission planning region </w:t>
      </w:r>
      <w:r w:rsidR="002A2D97">
        <w:rPr>
          <w:sz w:val="26"/>
        </w:rPr>
        <w:t xml:space="preserve">to </w:t>
      </w:r>
      <w:r w:rsidRPr="002A2D97" w:rsidR="002A2D97">
        <w:rPr>
          <w:sz w:val="26"/>
        </w:rPr>
        <w:t xml:space="preserve">evaluate whether </w:t>
      </w:r>
      <w:r w:rsidR="002A2D97">
        <w:rPr>
          <w:sz w:val="26"/>
        </w:rPr>
        <w:t xml:space="preserve">those </w:t>
      </w:r>
      <w:r w:rsidRPr="002A2D97" w:rsidR="002A2D97">
        <w:rPr>
          <w:sz w:val="26"/>
        </w:rPr>
        <w:t xml:space="preserve">transmission facilities </w:t>
      </w:r>
      <w:r w:rsidRPr="00EE5254" w:rsidR="00EE5254">
        <w:rPr>
          <w:sz w:val="26"/>
        </w:rPr>
        <w:t>can be “right-sized”</w:t>
      </w:r>
      <w:r>
        <w:rPr>
          <w:rStyle w:val="FootnoteReference"/>
          <w:b/>
          <w:bCs/>
          <w:sz w:val="26"/>
          <w:vertAlign w:val="superscript"/>
        </w:rPr>
        <w:footnoteReference w:id="7"/>
      </w:r>
      <w:r w:rsidRPr="00EE5254" w:rsidR="00EE5254">
        <w:rPr>
          <w:sz w:val="26"/>
        </w:rPr>
        <w:t xml:space="preserve"> to more efficiently or cost-effectively address a Long-Term Transmission Need</w:t>
      </w:r>
      <w:r w:rsidR="00285263">
        <w:rPr>
          <w:sz w:val="26"/>
        </w:rPr>
        <w:t>.</w:t>
      </w:r>
    </w:p>
    <w:p w:rsidR="00BD576D" w:rsidP="00A6331D" w14:paraId="01DDD886" w14:textId="51B315FA">
      <w:pPr>
        <w:spacing w:line="240" w:lineRule="auto"/>
        <w:rPr>
          <w:sz w:val="26"/>
        </w:rPr>
      </w:pPr>
      <w:r>
        <w:rPr>
          <w:sz w:val="26"/>
        </w:rPr>
        <w:t>This reform will result in ongoing information collection activities.</w:t>
      </w:r>
    </w:p>
    <w:p w:rsidR="00FC4AE7" w:rsidRPr="008B135D" w:rsidP="00A6331D" w14:paraId="14CBCBFB" w14:textId="585BF19C">
      <w:pPr>
        <w:pStyle w:val="ListParagraph"/>
        <w:numPr>
          <w:ilvl w:val="0"/>
          <w:numId w:val="33"/>
        </w:numPr>
        <w:spacing w:line="240" w:lineRule="auto"/>
        <w:rPr>
          <w:sz w:val="26"/>
        </w:rPr>
      </w:pPr>
      <w:r w:rsidRPr="00B555A2">
        <w:rPr>
          <w:b/>
          <w:bCs/>
          <w:sz w:val="26"/>
        </w:rPr>
        <w:t>Consider</w:t>
      </w:r>
      <w:r w:rsidRPr="00B555A2" w:rsidR="005758D0">
        <w:rPr>
          <w:b/>
          <w:bCs/>
          <w:sz w:val="26"/>
        </w:rPr>
        <w:t xml:space="preserve"> </w:t>
      </w:r>
      <w:r w:rsidRPr="00B555A2" w:rsidR="00F51367">
        <w:rPr>
          <w:b/>
          <w:bCs/>
          <w:sz w:val="26"/>
        </w:rPr>
        <w:t xml:space="preserve">in the Regional Transmission Planning Processes </w:t>
      </w:r>
      <w:r w:rsidRPr="00B555A2" w:rsidR="005758D0">
        <w:rPr>
          <w:b/>
          <w:bCs/>
          <w:sz w:val="26"/>
        </w:rPr>
        <w:t>R</w:t>
      </w:r>
      <w:r w:rsidRPr="00B555A2">
        <w:rPr>
          <w:b/>
          <w:bCs/>
          <w:sz w:val="26"/>
        </w:rPr>
        <w:t>egional</w:t>
      </w:r>
      <w:r w:rsidRPr="00B555A2" w:rsidR="00213260">
        <w:rPr>
          <w:b/>
          <w:bCs/>
          <w:sz w:val="26"/>
        </w:rPr>
        <w:t xml:space="preserve"> T</w:t>
      </w:r>
      <w:r w:rsidRPr="00B555A2">
        <w:rPr>
          <w:b/>
          <w:bCs/>
          <w:sz w:val="26"/>
        </w:rPr>
        <w:t>ransmission</w:t>
      </w:r>
      <w:r w:rsidRPr="00B555A2" w:rsidR="00213260">
        <w:rPr>
          <w:b/>
          <w:bCs/>
          <w:sz w:val="26"/>
        </w:rPr>
        <w:t xml:space="preserve"> F</w:t>
      </w:r>
      <w:r w:rsidRPr="00B555A2">
        <w:rPr>
          <w:b/>
          <w:bCs/>
          <w:sz w:val="26"/>
        </w:rPr>
        <w:t>acilities that</w:t>
      </w:r>
      <w:r w:rsidRPr="00B555A2">
        <w:rPr>
          <w:b/>
          <w:bCs/>
          <w:sz w:val="26"/>
        </w:rPr>
        <w:t xml:space="preserve"> </w:t>
      </w:r>
      <w:r w:rsidRPr="00B555A2" w:rsidR="00213260">
        <w:rPr>
          <w:b/>
          <w:bCs/>
          <w:sz w:val="26"/>
        </w:rPr>
        <w:t>A</w:t>
      </w:r>
      <w:r w:rsidRPr="00B555A2">
        <w:rPr>
          <w:b/>
          <w:bCs/>
          <w:sz w:val="26"/>
        </w:rPr>
        <w:t xml:space="preserve">ddress </w:t>
      </w:r>
      <w:r w:rsidRPr="00B555A2">
        <w:rPr>
          <w:b/>
          <w:bCs/>
          <w:sz w:val="26"/>
        </w:rPr>
        <w:t>I</w:t>
      </w:r>
      <w:r w:rsidRPr="00B555A2">
        <w:rPr>
          <w:b/>
          <w:bCs/>
          <w:sz w:val="26"/>
        </w:rPr>
        <w:t xml:space="preserve">nterconnection-related </w:t>
      </w:r>
      <w:r w:rsidRPr="00B555A2">
        <w:rPr>
          <w:b/>
          <w:bCs/>
          <w:sz w:val="26"/>
        </w:rPr>
        <w:t>N</w:t>
      </w:r>
      <w:r w:rsidRPr="00B555A2">
        <w:rPr>
          <w:b/>
          <w:bCs/>
          <w:sz w:val="26"/>
        </w:rPr>
        <w:t>eeds</w:t>
      </w:r>
    </w:p>
    <w:p w:rsidR="000B2198" w:rsidP="008B135D" w14:paraId="19712723" w14:textId="74DE5D0D">
      <w:pPr>
        <w:spacing w:line="240" w:lineRule="auto"/>
        <w:rPr>
          <w:sz w:val="26"/>
        </w:rPr>
      </w:pPr>
      <w:r>
        <w:rPr>
          <w:sz w:val="26"/>
        </w:rPr>
        <w:t xml:space="preserve">The final rule finds </w:t>
      </w:r>
      <w:r w:rsidRPr="000B2198">
        <w:rPr>
          <w:sz w:val="26"/>
        </w:rPr>
        <w:t xml:space="preserve">that </w:t>
      </w:r>
      <w:r>
        <w:rPr>
          <w:sz w:val="26"/>
        </w:rPr>
        <w:t xml:space="preserve">certain </w:t>
      </w:r>
      <w:r w:rsidRPr="000B2198">
        <w:rPr>
          <w:sz w:val="26"/>
        </w:rPr>
        <w:t xml:space="preserve">interconnection-related network upgrades identified in the generator interconnection process can provide widespread transmission benefits that extend beyond the interconnection customer.  As a result, </w:t>
      </w:r>
      <w:r w:rsidR="00217986">
        <w:rPr>
          <w:sz w:val="26"/>
        </w:rPr>
        <w:t xml:space="preserve">the current practice of </w:t>
      </w:r>
      <w:r w:rsidRPr="000B2198">
        <w:rPr>
          <w:sz w:val="26"/>
        </w:rPr>
        <w:t>planning these types of upgrades to the transmission system in a piecemeal fashion, exclusively through the generator interconnection process, limits the development of transmission facilities that would provide benefits to the transmission system beyond those received by the interconnection customer.  This is the case where interconnection-related network upgrades of substantial cost are repeatedly identified to address interconnection-related transmission needs, but those needs continue to go unresolved through the generator interconnection process.</w:t>
      </w:r>
    </w:p>
    <w:p w:rsidR="00D53B9C" w:rsidRPr="006E11F0" w:rsidP="008B135D" w14:paraId="235E84D7" w14:textId="2A4D86D8">
      <w:pPr>
        <w:spacing w:line="240" w:lineRule="auto"/>
        <w:rPr>
          <w:bCs/>
          <w:sz w:val="26"/>
        </w:rPr>
      </w:pPr>
      <w:r w:rsidRPr="008744ED">
        <w:rPr>
          <w:sz w:val="26"/>
        </w:rPr>
        <w:t>T</w:t>
      </w:r>
      <w:r w:rsidR="00C07FF1">
        <w:rPr>
          <w:sz w:val="26"/>
        </w:rPr>
        <w:t xml:space="preserve">o </w:t>
      </w:r>
      <w:r w:rsidR="0043301B">
        <w:rPr>
          <w:sz w:val="26"/>
        </w:rPr>
        <w:t>remedy this issue</w:t>
      </w:r>
      <w:r w:rsidR="003A5609">
        <w:rPr>
          <w:sz w:val="26"/>
        </w:rPr>
        <w:t>, t</w:t>
      </w:r>
      <w:r w:rsidRPr="008744ED">
        <w:rPr>
          <w:sz w:val="26"/>
        </w:rPr>
        <w:t xml:space="preserve">he final rule requires transmission providers </w:t>
      </w:r>
      <w:r w:rsidR="007623BD">
        <w:rPr>
          <w:sz w:val="26"/>
        </w:rPr>
        <w:t>in each transmission planning region to evaluate for possible selection in the regional transmission plan</w:t>
      </w:r>
      <w:r w:rsidR="00234AF4">
        <w:rPr>
          <w:sz w:val="26"/>
        </w:rPr>
        <w:t xml:space="preserve"> </w:t>
      </w:r>
      <w:r w:rsidR="007623BD">
        <w:rPr>
          <w:sz w:val="26"/>
        </w:rPr>
        <w:t>transmission facilities to address interconnection-related needs that have been identified in at least two interconnection queue cycles during the preceding five years, have a voltage of at least 200kV and an estimated cost of at least $30 million, and have not been developed due to the withdrawal of interconnection customers.</w:t>
      </w:r>
    </w:p>
    <w:p w:rsidR="00963E87" w:rsidRPr="008B135D" w:rsidP="00A6331D" w14:paraId="4EF536EC" w14:textId="14E2D28A">
      <w:pPr>
        <w:spacing w:line="240" w:lineRule="auto"/>
        <w:rPr>
          <w:sz w:val="26"/>
        </w:rPr>
      </w:pPr>
      <w:r>
        <w:rPr>
          <w:sz w:val="26"/>
        </w:rPr>
        <w:t>This reform will result in ongoing information collection activities.</w:t>
      </w:r>
    </w:p>
    <w:p w:rsidR="00375877" w:rsidRPr="00B555A2" w:rsidP="008B135D" w14:paraId="43764187" w14:textId="7C1AE007">
      <w:pPr>
        <w:pStyle w:val="ListParagraph"/>
        <w:numPr>
          <w:ilvl w:val="0"/>
          <w:numId w:val="33"/>
        </w:numPr>
        <w:spacing w:line="240" w:lineRule="auto"/>
        <w:rPr>
          <w:b/>
          <w:bCs/>
          <w:sz w:val="26"/>
        </w:rPr>
      </w:pPr>
      <w:r w:rsidRPr="00B555A2">
        <w:rPr>
          <w:b/>
          <w:bCs/>
          <w:sz w:val="26"/>
        </w:rPr>
        <w:t>Revise Interregional Transmission Coordination Procedures to Reflect Long-Term Regional Transmission Planning</w:t>
      </w:r>
    </w:p>
    <w:p w:rsidR="000E7863" w:rsidP="008B135D" w14:paraId="575E884B" w14:textId="71CB8DF2">
      <w:pPr>
        <w:spacing w:line="240" w:lineRule="auto"/>
        <w:rPr>
          <w:sz w:val="26"/>
        </w:rPr>
      </w:pPr>
      <w:r w:rsidRPr="000E7863">
        <w:rPr>
          <w:sz w:val="26"/>
        </w:rPr>
        <w:t>The final rule requires transmission providers to revise their interregional transmission coordination processes to reflect the Long-Term Regional Transmission Planning reforms.  Specifically, transmission providers (1) must share information regarding transmission needs and transmission facilities identified through Long-Term Regional Transmission Planning with neighboring transmission planning regions and (2) identify and jointly evaluate interregional transmission facilities proposed to meet Long-Term Transmission Needs.</w:t>
      </w:r>
    </w:p>
    <w:p w:rsidR="00632909" w:rsidP="008B135D" w14:paraId="5985CF18" w14:textId="317D781C">
      <w:pPr>
        <w:spacing w:line="240" w:lineRule="auto"/>
        <w:rPr>
          <w:sz w:val="26"/>
        </w:rPr>
      </w:pPr>
      <w:r>
        <w:rPr>
          <w:sz w:val="26"/>
        </w:rPr>
        <w:t xml:space="preserve">Additionally, </w:t>
      </w:r>
      <w:r w:rsidR="00496A5D">
        <w:rPr>
          <w:sz w:val="26"/>
        </w:rPr>
        <w:t>t</w:t>
      </w:r>
      <w:r w:rsidRPr="00496A5D" w:rsidR="00496A5D">
        <w:rPr>
          <w:sz w:val="26"/>
        </w:rPr>
        <w:t xml:space="preserve">o enhance transparency, </w:t>
      </w:r>
      <w:r w:rsidR="00496A5D">
        <w:rPr>
          <w:sz w:val="26"/>
        </w:rPr>
        <w:t xml:space="preserve">the final rule requires </w:t>
      </w:r>
      <w:r w:rsidRPr="00496A5D" w:rsidR="00496A5D">
        <w:rPr>
          <w:sz w:val="26"/>
        </w:rPr>
        <w:t xml:space="preserve">transmission providers </w:t>
      </w:r>
      <w:r w:rsidR="00496A5D">
        <w:rPr>
          <w:sz w:val="26"/>
        </w:rPr>
        <w:t xml:space="preserve">to </w:t>
      </w:r>
      <w:r w:rsidRPr="00496A5D" w:rsidR="00496A5D">
        <w:rPr>
          <w:sz w:val="26"/>
        </w:rPr>
        <w:t>publicly post certain information regarding interregional transmission coordination processes applied to Long-Term Regional Transmission Planning.</w:t>
      </w:r>
    </w:p>
    <w:p w:rsidR="006C15CF" w:rsidP="008B135D" w14:paraId="5B8E2604" w14:textId="127866FF">
      <w:pPr>
        <w:spacing w:line="240" w:lineRule="auto"/>
        <w:rPr>
          <w:sz w:val="26"/>
        </w:rPr>
      </w:pPr>
      <w:r>
        <w:rPr>
          <w:sz w:val="26"/>
        </w:rPr>
        <w:t>This reform will result in ongoing information collection activities.</w:t>
      </w:r>
    </w:p>
    <w:p w:rsidR="001B42C3" w:rsidRPr="001B42C3" w:rsidP="001B42C3" w14:paraId="04E3E3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
          <w:sz w:val="26"/>
        </w:rPr>
      </w:pPr>
      <w:r w:rsidRPr="00A37677">
        <w:rPr>
          <w:b/>
          <w:sz w:val="26"/>
        </w:rPr>
        <w:t>3.</w:t>
      </w:r>
      <w:r w:rsidRPr="00A37677">
        <w:rPr>
          <w:b/>
          <w:sz w:val="26"/>
        </w:rPr>
        <w:tab/>
      </w:r>
      <w:r w:rsidRPr="001B42C3">
        <w:rPr>
          <w:b/>
          <w:sz w:val="26"/>
        </w:rPr>
        <w:t xml:space="preserve">DESCRIBE ANY CONSIDERATION OF THE USE OF IMPROVED TECHNOLOGY TO REDUCE BURDEN AND TECHNICAL OR LEGAL OBSTACLES TO REDUCING BURDEN.  </w:t>
      </w:r>
    </w:p>
    <w:p w:rsidR="00DE2BC9" w:rsidRPr="00DE2BC9" w:rsidP="008B135D" w14:paraId="3E07B2AC" w14:textId="034926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bCs/>
          <w:sz w:val="26"/>
        </w:rPr>
      </w:pPr>
      <w:r>
        <w:rPr>
          <w:bCs/>
          <w:sz w:val="26"/>
        </w:rPr>
        <w:t xml:space="preserve">The </w:t>
      </w:r>
      <w:r w:rsidRPr="00DE2BC9">
        <w:rPr>
          <w:bCs/>
          <w:sz w:val="26"/>
        </w:rPr>
        <w:t xml:space="preserve">Commission expects that public utilities will revise their tariffs in accordance with the final rule in this docket by filing electronically using eTariff (described at </w:t>
      </w:r>
      <w:hyperlink r:id="rId10" w:history="1">
        <w:r w:rsidRPr="00D325A1" w:rsidR="00F13844">
          <w:rPr>
            <w:rStyle w:val="Hyperlink"/>
            <w:bCs/>
            <w:sz w:val="26"/>
          </w:rPr>
          <w:t>https://www.ferc.gov/ferc-online/etariff</w:t>
        </w:r>
      </w:hyperlink>
      <w:r w:rsidRPr="00DE2BC9">
        <w:rPr>
          <w:bCs/>
          <w:sz w:val="26"/>
        </w:rPr>
        <w:t>).</w:t>
      </w:r>
      <w:r w:rsidR="00A82A1B">
        <w:rPr>
          <w:bCs/>
          <w:sz w:val="26"/>
        </w:rPr>
        <w:t xml:space="preserve">  </w:t>
      </w:r>
      <w:r w:rsidRPr="00DE2BC9">
        <w:rPr>
          <w:bCs/>
          <w:sz w:val="26"/>
        </w:rPr>
        <w:t>The tariffs are available to the public on the internet through the Commission’s eTariff viewer.  The compliance filings and agency action on the filings are also publicly available on ferc.gov in eLibrary.</w:t>
      </w:r>
      <w:r w:rsidR="008B135D">
        <w:rPr>
          <w:bCs/>
          <w:sz w:val="26"/>
        </w:rPr>
        <w:br/>
      </w:r>
    </w:p>
    <w:p w:rsidR="00B94B7B" w:rsidP="00B845A0" w14:paraId="40A5D15A" w14:textId="0027FB1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bCs/>
          <w:sz w:val="26"/>
        </w:rPr>
      </w:pPr>
      <w:r>
        <w:rPr>
          <w:bCs/>
          <w:sz w:val="26"/>
        </w:rPr>
        <w:t>Additionally, t</w:t>
      </w:r>
      <w:r w:rsidRPr="000645D2" w:rsidR="000645D2">
        <w:rPr>
          <w:bCs/>
          <w:sz w:val="26"/>
        </w:rPr>
        <w:t xml:space="preserve">he Commission </w:t>
      </w:r>
      <w:r w:rsidR="002D5CB2">
        <w:rPr>
          <w:bCs/>
          <w:sz w:val="26"/>
        </w:rPr>
        <w:t xml:space="preserve">requires </w:t>
      </w:r>
      <w:r w:rsidRPr="000645D2" w:rsidR="000645D2">
        <w:rPr>
          <w:bCs/>
          <w:sz w:val="26"/>
        </w:rPr>
        <w:t>public utility transmission providers to provide transmission customers with equal and timely access to transmission and ancillary service tariff information through Open Access Same-Time Information System (OASIS) website postings.</w:t>
      </w:r>
      <w:r>
        <w:rPr>
          <w:b/>
          <w:bCs/>
          <w:sz w:val="26"/>
          <w:vertAlign w:val="superscript"/>
        </w:rPr>
        <w:footnoteReference w:id="8"/>
      </w:r>
      <w:r w:rsidR="00397B03">
        <w:rPr>
          <w:bCs/>
          <w:sz w:val="26"/>
        </w:rPr>
        <w:t xml:space="preserve">  </w:t>
      </w:r>
      <w:r w:rsidRPr="00ED34FA" w:rsidR="00ED34FA">
        <w:rPr>
          <w:bCs/>
          <w:sz w:val="26"/>
        </w:rPr>
        <w:t>OASIS website posting is ongoing and used by the public utility transmission providers and stakeholders to improve the processes of</w:t>
      </w:r>
      <w:r w:rsidR="00E9038F">
        <w:rPr>
          <w:bCs/>
          <w:sz w:val="26"/>
        </w:rPr>
        <w:t xml:space="preserve">: </w:t>
      </w:r>
      <w:r w:rsidRPr="00ED34FA" w:rsidR="00ED34FA">
        <w:rPr>
          <w:bCs/>
          <w:sz w:val="26"/>
        </w:rPr>
        <w:t xml:space="preserve"> (1) planning transmission projects; (2) considering transmission needs; (3) determining possible alternatives that would be more efficient or cost effective; and (4) allocating costs of transmission projects among the beneficiaries of the projects.</w:t>
      </w:r>
      <w:r w:rsidR="00B827FA">
        <w:rPr>
          <w:bCs/>
          <w:sz w:val="26"/>
        </w:rPr>
        <w:t xml:space="preserve">  </w:t>
      </w:r>
      <w:r w:rsidRPr="00B827FA" w:rsidR="00B827FA">
        <w:rPr>
          <w:bCs/>
          <w:sz w:val="26"/>
        </w:rPr>
        <w:t xml:space="preserve">This final rule requires public utilities to post certain data to their OASIS site on an ongoing basis, in a manner similar to other existing reporting requirements.  </w:t>
      </w:r>
    </w:p>
    <w:p w:rsidR="00777C8E" w:rsidRPr="00777C8E" w:rsidP="00777C8E" w14:paraId="2687CAEC" w14:textId="77777777">
      <w:pPr>
        <w:tabs>
          <w:tab w:val="left" w:pos="450"/>
        </w:tabs>
        <w:spacing w:line="240" w:lineRule="auto"/>
        <w:ind w:left="432" w:hanging="432"/>
        <w:rPr>
          <w:b/>
          <w:sz w:val="26"/>
        </w:rPr>
      </w:pPr>
      <w:r w:rsidRPr="00A37677">
        <w:rPr>
          <w:b/>
          <w:sz w:val="26"/>
        </w:rPr>
        <w:t>4.</w:t>
      </w:r>
      <w:r w:rsidRPr="00A37677">
        <w:rPr>
          <w:b/>
          <w:sz w:val="26"/>
        </w:rPr>
        <w:tab/>
      </w:r>
      <w:r w:rsidRPr="00777C8E">
        <w:rPr>
          <w:b/>
          <w:sz w:val="26"/>
        </w:rPr>
        <w:t>DESCRIBE EFFORTS TO IDENTIFY DUPLICATION AND SHOW SPECIFICALLY WHY ANY SIMILAR INFORMATION ALREADY AVAILABLE CANNOT BE USED OR MODIFIED FOR USE FOR THE PURPOSE(S) DESCRIBED IN INSTRUCTION NO. 2.</w:t>
      </w:r>
    </w:p>
    <w:p w:rsidR="00D02682" w:rsidP="00E67CA3" w14:paraId="7CD2A78A" w14:textId="6CABF6D7">
      <w:pPr>
        <w:tabs>
          <w:tab w:val="left" w:pos="450"/>
        </w:tabs>
        <w:spacing w:line="240" w:lineRule="auto"/>
        <w:rPr>
          <w:bCs/>
          <w:sz w:val="26"/>
        </w:rPr>
      </w:pPr>
      <w:r w:rsidRPr="00D02682">
        <w:rPr>
          <w:bCs/>
          <w:sz w:val="26"/>
        </w:rPr>
        <w:t>The Commission is the only federal agency to regulate interstate electric power transmission; therefore, other agencies would not be expected to collect this tariff-specific information.  There is no other known source for the information.</w:t>
      </w:r>
    </w:p>
    <w:p w:rsidR="008F5EA7" w:rsidRPr="00D02682" w:rsidP="00E67CA3" w14:paraId="532B3AF1" w14:textId="454ED874">
      <w:pPr>
        <w:tabs>
          <w:tab w:val="left" w:pos="450"/>
        </w:tabs>
        <w:spacing w:line="240" w:lineRule="auto"/>
        <w:rPr>
          <w:bCs/>
          <w:sz w:val="26"/>
        </w:rPr>
      </w:pPr>
      <w:r w:rsidRPr="00D02682">
        <w:rPr>
          <w:bCs/>
          <w:sz w:val="26"/>
        </w:rPr>
        <w:t>The Commission periodically reviews filing requirements concurrent with OMB review or as the Commission deems necessary to eliminate duplicative filing and to minimize the filing burden.</w:t>
      </w:r>
    </w:p>
    <w:p w:rsidR="003825FC" w:rsidRPr="003825FC" w:rsidP="003825FC" w14:paraId="1B2C6F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
          <w:sz w:val="26"/>
        </w:rPr>
      </w:pPr>
      <w:r w:rsidRPr="00A37677">
        <w:rPr>
          <w:b/>
          <w:sz w:val="26"/>
        </w:rPr>
        <w:t>5.</w:t>
      </w:r>
      <w:r w:rsidRPr="00A37677">
        <w:rPr>
          <w:b/>
          <w:sz w:val="26"/>
        </w:rPr>
        <w:tab/>
      </w:r>
      <w:r w:rsidRPr="003825FC">
        <w:rPr>
          <w:b/>
          <w:sz w:val="26"/>
        </w:rPr>
        <w:t xml:space="preserve">METHODS USED TO MINIMIZE BURDEN IN COLLECTION OF INFORMATION INVOLVING SMALL ENTITIES </w:t>
      </w:r>
    </w:p>
    <w:p w:rsidR="00190129" w:rsidP="003825FC" w14:paraId="48E2851B" w14:textId="3B92301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 w:val="26"/>
        </w:rPr>
      </w:pPr>
      <w:r w:rsidRPr="005E3360">
        <w:rPr>
          <w:sz w:val="26"/>
        </w:rPr>
        <w:t xml:space="preserve">The collection of this data imposes the least possible burden for small and large entities while </w:t>
      </w:r>
      <w:r w:rsidRPr="001C4BE8" w:rsidR="001C4BE8">
        <w:rPr>
          <w:sz w:val="26"/>
        </w:rPr>
        <w:t xml:space="preserve">collecting the information the Commission deems necessary to perform its </w:t>
      </w:r>
      <w:r w:rsidRPr="001C4BE8" w:rsidR="001C4BE8">
        <w:rPr>
          <w:sz w:val="26"/>
        </w:rPr>
        <w:t>statutory responsibilities.</w:t>
      </w:r>
    </w:p>
    <w:p w:rsidR="0083205D" w:rsidRPr="00973CAF" w:rsidP="00E67CA3" w14:paraId="34B5B0AB" w14:textId="0B8BB80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bCs/>
          <w:sz w:val="26"/>
        </w:rPr>
      </w:pPr>
      <w:r w:rsidRPr="00A37677">
        <w:rPr>
          <w:b/>
          <w:sz w:val="26"/>
        </w:rPr>
        <w:t>6.</w:t>
      </w:r>
      <w:r w:rsidRPr="00A37677">
        <w:rPr>
          <w:b/>
          <w:sz w:val="26"/>
        </w:rPr>
        <w:tab/>
      </w:r>
      <w:r w:rsidRPr="00CA1318" w:rsidR="00CA1318">
        <w:rPr>
          <w:b/>
          <w:sz w:val="26"/>
        </w:rPr>
        <w:t>CONSEQUENCE TO FEDERAL PROGRAM IF COLLECTION WERE CONDUCTED LESS FREQUENTLY</w:t>
      </w:r>
    </w:p>
    <w:p w:rsidR="00745CD1" w:rsidRPr="00745CD1" w:rsidP="00E67CA3" w14:paraId="1EEBD023" w14:textId="666E5292">
      <w:pPr>
        <w:spacing w:line="240" w:lineRule="auto"/>
        <w:rPr>
          <w:bCs/>
          <w:sz w:val="26"/>
        </w:rPr>
      </w:pPr>
      <w:r w:rsidRPr="00745CD1">
        <w:rPr>
          <w:bCs/>
          <w:sz w:val="26"/>
        </w:rPr>
        <w:t>If the Commission conducted these collections less frequently or did not conduct them at all, the Commission would be unable to fulfill its statutory obligation to ensure that rates, terms, and conditions of Commission-jurisdictional services are just and reasonable and not unduly discriminatory or preferential.</w:t>
      </w:r>
    </w:p>
    <w:p w:rsidR="00745CD1" w:rsidRPr="00745CD1" w:rsidP="00E67CA3" w14:paraId="579C942C" w14:textId="34CB3ECB">
      <w:pPr>
        <w:spacing w:line="240" w:lineRule="auto"/>
        <w:rPr>
          <w:bCs/>
          <w:sz w:val="26"/>
        </w:rPr>
      </w:pPr>
      <w:r w:rsidRPr="00745CD1">
        <w:rPr>
          <w:bCs/>
          <w:sz w:val="26"/>
        </w:rPr>
        <w:t>The reforms adopted by this final rule are necessary because, absent reform, the</w:t>
      </w:r>
      <w:r w:rsidRPr="00745CD1">
        <w:t xml:space="preserve"> </w:t>
      </w:r>
      <w:r w:rsidRPr="00745CD1">
        <w:rPr>
          <w:bCs/>
          <w:sz w:val="26"/>
        </w:rPr>
        <w:t>existing regional transmission planning and cost allocation requirements fail to ensure that transmission providers</w:t>
      </w:r>
      <w:r w:rsidR="001A3731">
        <w:rPr>
          <w:bCs/>
          <w:sz w:val="26"/>
        </w:rPr>
        <w:t xml:space="preserve">: </w:t>
      </w:r>
      <w:r w:rsidRPr="00745CD1">
        <w:rPr>
          <w:bCs/>
          <w:sz w:val="26"/>
        </w:rPr>
        <w:t xml:space="preserve"> (1) perform a sufficiently long-term assessment of Long-Term Transmission Needs; (2) adequately account on a forward-looking basis for known determinants of Long-Term Transmission Needs; and (3) consider the broader set of benefits and beneficiaries of regional transmission facilities planned to meet those Long-Term Transmission Needs.  As a result, transmission providers are often not identifying, evaluating, or selecting more efficient or cost-effective regional transmission solutions to meet Long-Term Transmission Needs, which leads to inefficient, ineffective, and piecemeal transmission development.  </w:t>
      </w:r>
    </w:p>
    <w:p w:rsidR="004A0F64" w:rsidRPr="004A0F64" w:rsidP="00A6331D" w14:paraId="6DB0712C" w14:textId="673D4CEF">
      <w:pPr>
        <w:spacing w:line="240" w:lineRule="auto"/>
        <w:rPr>
          <w:b/>
          <w:sz w:val="26"/>
        </w:rPr>
      </w:pPr>
      <w:r>
        <w:rPr>
          <w:sz w:val="26"/>
        </w:rPr>
        <w:t xml:space="preserve"> </w:t>
      </w:r>
      <w:r w:rsidRPr="00A37677" w:rsidR="00FB7C95">
        <w:rPr>
          <w:b/>
          <w:sz w:val="26"/>
        </w:rPr>
        <w:t>7.</w:t>
      </w:r>
      <w:r w:rsidRPr="00A37677" w:rsidR="00FB7C95">
        <w:rPr>
          <w:b/>
          <w:sz w:val="26"/>
        </w:rPr>
        <w:tab/>
      </w:r>
      <w:r w:rsidRPr="004A0F64">
        <w:rPr>
          <w:b/>
          <w:sz w:val="26"/>
        </w:rPr>
        <w:t>EXPLAIN ANY SPECIAL CIRCUMSTANCES RELATING TO THE INFORMATION COLLECTION</w:t>
      </w:r>
    </w:p>
    <w:p w:rsidR="00AF4519" w:rsidRPr="00943F7C" w:rsidP="00B80B48" w14:paraId="3AEEC4CA" w14:textId="28B067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sz w:val="26"/>
        </w:rPr>
      </w:pPr>
      <w:r w:rsidRPr="00943F7C">
        <w:rPr>
          <w:sz w:val="26"/>
        </w:rPr>
        <w:t>Th</w:t>
      </w:r>
      <w:r w:rsidR="007F5F6A">
        <w:rPr>
          <w:sz w:val="26"/>
        </w:rPr>
        <w:t>is collection contains</w:t>
      </w:r>
      <w:r w:rsidRPr="00943F7C">
        <w:rPr>
          <w:sz w:val="26"/>
        </w:rPr>
        <w:t xml:space="preserve"> no special circumstances</w:t>
      </w:r>
      <w:r w:rsidRPr="00943F7C" w:rsidR="00943F7C">
        <w:rPr>
          <w:sz w:val="26"/>
        </w:rPr>
        <w:t>.</w:t>
      </w:r>
    </w:p>
    <w:p w:rsidR="00FF0746" w:rsidP="00A6331D" w14:paraId="0756E843" w14:textId="31FA93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Cs/>
          <w:sz w:val="26"/>
        </w:rPr>
      </w:pPr>
      <w:r w:rsidRPr="00A37677">
        <w:rPr>
          <w:b/>
          <w:sz w:val="26"/>
        </w:rPr>
        <w:t>8.</w:t>
      </w:r>
      <w:r w:rsidRPr="00A37677">
        <w:rPr>
          <w:b/>
          <w:sz w:val="26"/>
        </w:rPr>
        <w:tab/>
      </w:r>
      <w:r w:rsidRPr="00EC3AC9" w:rsidR="00EC3AC9">
        <w:rPr>
          <w:b/>
          <w:sz w:val="26"/>
        </w:rPr>
        <w:t>DESCRIBE EFFORTS TO CONSULT OUTSIDE THE AGENCY:  SUMMARIZE PUBLIC COMMENTS AND THE AGENCY’S RESPONSE TO THESE COMMENTS</w:t>
      </w:r>
    </w:p>
    <w:p w:rsidR="00674FB3" w:rsidP="00E67CA3" w14:paraId="4428458E" w14:textId="6C39DB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bCs/>
          <w:sz w:val="26"/>
        </w:rPr>
      </w:pPr>
      <w:r>
        <w:rPr>
          <w:bCs/>
          <w:sz w:val="26"/>
        </w:rPr>
        <w:t>The Commission’s</w:t>
      </w:r>
      <w:r w:rsidRPr="00FF0746" w:rsidR="00FF0746">
        <w:rPr>
          <w:bCs/>
          <w:sz w:val="26"/>
        </w:rPr>
        <w:t xml:space="preserve"> proposed and final rules are published in the </w:t>
      </w:r>
      <w:r w:rsidRPr="00A322CA" w:rsidR="00FF0746">
        <w:rPr>
          <w:bCs/>
          <w:i/>
          <w:iCs/>
          <w:sz w:val="26"/>
        </w:rPr>
        <w:t>Federal Register</w:t>
      </w:r>
      <w:r w:rsidRPr="00FF0746" w:rsidR="00FF0746">
        <w:rPr>
          <w:bCs/>
          <w:sz w:val="26"/>
        </w:rPr>
        <w:t>, thereby providing the public, including public utilities and licensees, state commissions, and Federal agencies, an opportunity to submit data, views, comments</w:t>
      </w:r>
      <w:r w:rsidR="002B64F1">
        <w:rPr>
          <w:bCs/>
          <w:sz w:val="26"/>
        </w:rPr>
        <w:t>,</w:t>
      </w:r>
      <w:r w:rsidRPr="00FF0746" w:rsidR="00FF0746">
        <w:rPr>
          <w:bCs/>
          <w:sz w:val="26"/>
        </w:rPr>
        <w:t xml:space="preserve"> or suggestions concerning the proposed collections of data</w:t>
      </w:r>
      <w:r>
        <w:rPr>
          <w:bCs/>
          <w:sz w:val="26"/>
        </w:rPr>
        <w:t>.</w:t>
      </w:r>
    </w:p>
    <w:p w:rsidR="00674FB3" w:rsidP="00E67CA3" w14:paraId="49C59141" w14:textId="1A9882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bCs/>
          <w:sz w:val="26"/>
        </w:rPr>
      </w:pPr>
      <w:r>
        <w:rPr>
          <w:bCs/>
          <w:sz w:val="26"/>
        </w:rPr>
        <w:t xml:space="preserve">On July 15, 2021, the Commission published </w:t>
      </w:r>
      <w:r w:rsidR="00BB6C7E">
        <w:rPr>
          <w:bCs/>
          <w:sz w:val="26"/>
        </w:rPr>
        <w:t xml:space="preserve">an </w:t>
      </w:r>
      <w:r w:rsidRPr="00BB6C7E" w:rsidR="00BB6C7E">
        <w:rPr>
          <w:bCs/>
          <w:sz w:val="26"/>
        </w:rPr>
        <w:t xml:space="preserve">Advance Notice of Proposed </w:t>
      </w:r>
      <w:r w:rsidRPr="00BB6C7E" w:rsidR="00BB6C7E">
        <w:rPr>
          <w:bCs/>
          <w:sz w:val="26"/>
        </w:rPr>
        <w:t>Rulemaking</w:t>
      </w:r>
      <w:r>
        <w:rPr>
          <w:b/>
          <w:bCs/>
          <w:sz w:val="26"/>
          <w:vertAlign w:val="superscript"/>
        </w:rPr>
        <w:footnoteReference w:id="9"/>
      </w:r>
      <w:r w:rsidR="002E56EA">
        <w:rPr>
          <w:bCs/>
          <w:sz w:val="26"/>
        </w:rPr>
        <w:t xml:space="preserve"> (ANOPR)</w:t>
      </w:r>
      <w:r w:rsidRPr="00BB6C7E" w:rsidR="00BB6C7E">
        <w:rPr>
          <w:bCs/>
          <w:sz w:val="26"/>
        </w:rPr>
        <w:t xml:space="preserve"> </w:t>
      </w:r>
      <w:r w:rsidR="00E76B6D">
        <w:rPr>
          <w:bCs/>
          <w:sz w:val="26"/>
        </w:rPr>
        <w:t xml:space="preserve">seeking public comments </w:t>
      </w:r>
      <w:r w:rsidRPr="00BB6C7E" w:rsidR="00BB6C7E">
        <w:rPr>
          <w:bCs/>
          <w:sz w:val="26"/>
        </w:rPr>
        <w:t xml:space="preserve">on </w:t>
      </w:r>
      <w:r w:rsidR="008A684D">
        <w:rPr>
          <w:bCs/>
          <w:sz w:val="26"/>
        </w:rPr>
        <w:t xml:space="preserve">a broad range of transmission-related issued, including some that are </w:t>
      </w:r>
      <w:r w:rsidR="008035AC">
        <w:rPr>
          <w:bCs/>
          <w:sz w:val="26"/>
        </w:rPr>
        <w:t xml:space="preserve">summarized and </w:t>
      </w:r>
      <w:r w:rsidR="008A684D">
        <w:rPr>
          <w:bCs/>
          <w:sz w:val="26"/>
        </w:rPr>
        <w:t xml:space="preserve">addressed in the </w:t>
      </w:r>
      <w:r w:rsidRPr="00FF0746" w:rsidR="008035AC">
        <w:rPr>
          <w:bCs/>
          <w:sz w:val="26"/>
        </w:rPr>
        <w:t>N</w:t>
      </w:r>
      <w:r w:rsidR="008035AC">
        <w:rPr>
          <w:bCs/>
          <w:sz w:val="26"/>
        </w:rPr>
        <w:t>otice of Proposed Rulemaking (</w:t>
      </w:r>
      <w:r w:rsidR="008A684D">
        <w:rPr>
          <w:bCs/>
          <w:sz w:val="26"/>
        </w:rPr>
        <w:t>NOPR</w:t>
      </w:r>
      <w:r w:rsidR="008035AC">
        <w:rPr>
          <w:bCs/>
          <w:sz w:val="26"/>
        </w:rPr>
        <w:t>)</w:t>
      </w:r>
      <w:r w:rsidR="008A684D">
        <w:rPr>
          <w:bCs/>
          <w:sz w:val="26"/>
        </w:rPr>
        <w:t xml:space="preserve">.  </w:t>
      </w:r>
      <w:r w:rsidR="003E402E">
        <w:rPr>
          <w:bCs/>
          <w:sz w:val="26"/>
        </w:rPr>
        <w:t xml:space="preserve">The Commission also </w:t>
      </w:r>
      <w:r w:rsidR="00552C44">
        <w:rPr>
          <w:bCs/>
          <w:sz w:val="26"/>
        </w:rPr>
        <w:t xml:space="preserve">held </w:t>
      </w:r>
      <w:r w:rsidR="00CE36A7">
        <w:rPr>
          <w:bCs/>
          <w:sz w:val="26"/>
        </w:rPr>
        <w:t xml:space="preserve">a </w:t>
      </w:r>
      <w:r w:rsidR="003003EC">
        <w:rPr>
          <w:bCs/>
          <w:sz w:val="26"/>
        </w:rPr>
        <w:t xml:space="preserve">technical </w:t>
      </w:r>
      <w:r w:rsidR="00CE36A7">
        <w:rPr>
          <w:bCs/>
          <w:sz w:val="26"/>
        </w:rPr>
        <w:t>video conference</w:t>
      </w:r>
      <w:r w:rsidR="003911B7">
        <w:rPr>
          <w:bCs/>
          <w:sz w:val="26"/>
        </w:rPr>
        <w:t xml:space="preserve"> on November 15, 2021, and issued a transcript of that confer</w:t>
      </w:r>
      <w:r w:rsidR="00AE11EB">
        <w:rPr>
          <w:bCs/>
          <w:sz w:val="26"/>
        </w:rPr>
        <w:t>ence.</w:t>
      </w:r>
    </w:p>
    <w:p w:rsidR="001B2ED0" w:rsidP="001B2ED0" w14:paraId="0081C8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bCs/>
          <w:sz w:val="26"/>
        </w:rPr>
      </w:pPr>
      <w:r w:rsidRPr="00FF0746">
        <w:rPr>
          <w:bCs/>
          <w:sz w:val="26"/>
        </w:rPr>
        <w:t xml:space="preserve">On </w:t>
      </w:r>
      <w:r>
        <w:rPr>
          <w:bCs/>
          <w:sz w:val="26"/>
        </w:rPr>
        <w:t xml:space="preserve">May </w:t>
      </w:r>
      <w:r w:rsidR="006F6351">
        <w:rPr>
          <w:bCs/>
          <w:sz w:val="26"/>
        </w:rPr>
        <w:t>4</w:t>
      </w:r>
      <w:r>
        <w:rPr>
          <w:bCs/>
          <w:sz w:val="26"/>
        </w:rPr>
        <w:t>, 2022</w:t>
      </w:r>
      <w:r w:rsidRPr="00FF0746">
        <w:rPr>
          <w:bCs/>
          <w:sz w:val="26"/>
        </w:rPr>
        <w:t xml:space="preserve">, the </w:t>
      </w:r>
      <w:r w:rsidR="00835C5C">
        <w:rPr>
          <w:bCs/>
          <w:sz w:val="26"/>
        </w:rPr>
        <w:t>N</w:t>
      </w:r>
      <w:r w:rsidRPr="00FF0746">
        <w:rPr>
          <w:bCs/>
          <w:sz w:val="26"/>
        </w:rPr>
        <w:t xml:space="preserve">OPR </w:t>
      </w:r>
      <w:r>
        <w:rPr>
          <w:bCs/>
          <w:sz w:val="26"/>
        </w:rPr>
        <w:t xml:space="preserve">was </w:t>
      </w:r>
      <w:r w:rsidRPr="00FF0746">
        <w:rPr>
          <w:bCs/>
          <w:sz w:val="26"/>
        </w:rPr>
        <w:t xml:space="preserve">published in the </w:t>
      </w:r>
      <w:r w:rsidRPr="00FF0746">
        <w:rPr>
          <w:bCs/>
          <w:i/>
          <w:iCs/>
          <w:sz w:val="26"/>
        </w:rPr>
        <w:t>Federal Register</w:t>
      </w:r>
      <w:r>
        <w:rPr>
          <w:bCs/>
          <w:sz w:val="26"/>
        </w:rPr>
        <w:t xml:space="preserve"> </w:t>
      </w:r>
      <w:r w:rsidR="003E5270">
        <w:rPr>
          <w:bCs/>
          <w:sz w:val="26"/>
        </w:rPr>
        <w:t>at 87 FR 26502.</w:t>
      </w:r>
      <w:r w:rsidR="002E56EA">
        <w:rPr>
          <w:bCs/>
          <w:sz w:val="26"/>
        </w:rPr>
        <w:t xml:space="preserve"> </w:t>
      </w:r>
      <w:r>
        <w:rPr>
          <w:bCs/>
          <w:sz w:val="26"/>
        </w:rPr>
        <w:t xml:space="preserve"> </w:t>
      </w:r>
      <w:r w:rsidRPr="00521028" w:rsidR="00521028">
        <w:rPr>
          <w:bCs/>
          <w:sz w:val="26"/>
        </w:rPr>
        <w:t xml:space="preserve">Numerous comments from the public were received, as summarized and addressed in the final rule.  </w:t>
      </w:r>
    </w:p>
    <w:p w:rsidR="00674FB3" w:rsidP="001B2ED0" w14:paraId="27696E1E" w14:textId="64DF9C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bCs/>
          <w:sz w:val="26"/>
        </w:rPr>
      </w:pPr>
      <w:r w:rsidRPr="00521028">
        <w:rPr>
          <w:bCs/>
          <w:sz w:val="26"/>
        </w:rPr>
        <w:t xml:space="preserve">The Commission’s responses to commenters’ suggestions and arguments are provided in the Commission Determination subsections of the final rule, organized topically. </w:t>
      </w:r>
      <w:r>
        <w:rPr>
          <w:bCs/>
          <w:sz w:val="26"/>
        </w:rPr>
        <w:t xml:space="preserve"> </w:t>
      </w:r>
      <w:r w:rsidRPr="001B2ED0" w:rsidR="001B2ED0">
        <w:rPr>
          <w:bCs/>
          <w:sz w:val="26"/>
        </w:rPr>
        <w:t xml:space="preserve"> </w:t>
      </w:r>
      <w:r w:rsidRPr="003B61D0" w:rsidR="001B2ED0">
        <w:rPr>
          <w:bCs/>
          <w:sz w:val="26"/>
        </w:rPr>
        <w:t xml:space="preserve">The Commission received one comment </w:t>
      </w:r>
      <w:r w:rsidR="00C573C9">
        <w:rPr>
          <w:bCs/>
          <w:sz w:val="26"/>
        </w:rPr>
        <w:t>regarding</w:t>
      </w:r>
      <w:r w:rsidRPr="003B61D0" w:rsidR="001B2ED0">
        <w:rPr>
          <w:bCs/>
          <w:sz w:val="26"/>
        </w:rPr>
        <w:t xml:space="preserve"> the</w:t>
      </w:r>
      <w:r w:rsidR="001B2ED0">
        <w:rPr>
          <w:bCs/>
          <w:sz w:val="26"/>
        </w:rPr>
        <w:t xml:space="preserve"> burden estimate for the</w:t>
      </w:r>
      <w:r w:rsidRPr="003B61D0" w:rsidR="001B2ED0">
        <w:rPr>
          <w:bCs/>
          <w:sz w:val="26"/>
        </w:rPr>
        <w:t xml:space="preserve"> information collection requirement</w:t>
      </w:r>
      <w:r w:rsidR="001B2ED0">
        <w:rPr>
          <w:bCs/>
          <w:sz w:val="26"/>
        </w:rPr>
        <w:t xml:space="preserve">s arguing </w:t>
      </w:r>
      <w:r w:rsidRPr="003B61D0" w:rsidR="001B2ED0">
        <w:rPr>
          <w:bCs/>
          <w:sz w:val="26"/>
        </w:rPr>
        <w:t>that the Commission underestimate</w:t>
      </w:r>
      <w:r w:rsidR="001B2ED0">
        <w:rPr>
          <w:bCs/>
          <w:sz w:val="26"/>
        </w:rPr>
        <w:t>d</w:t>
      </w:r>
      <w:r w:rsidRPr="003B61D0" w:rsidR="001B2ED0">
        <w:rPr>
          <w:bCs/>
          <w:sz w:val="26"/>
        </w:rPr>
        <w:t xml:space="preserve"> the cost for transmission providers to </w:t>
      </w:r>
      <w:r w:rsidR="00935C35">
        <w:rPr>
          <w:bCs/>
          <w:sz w:val="26"/>
        </w:rPr>
        <w:t xml:space="preserve">perform Long-Term Regional Transmission Planning as </w:t>
      </w:r>
      <w:r w:rsidR="00EC62FF">
        <w:rPr>
          <w:bCs/>
          <w:sz w:val="26"/>
        </w:rPr>
        <w:t>proposed by the NOPR</w:t>
      </w:r>
      <w:r w:rsidRPr="003B61D0" w:rsidR="001B2ED0">
        <w:rPr>
          <w:bCs/>
          <w:sz w:val="26"/>
        </w:rPr>
        <w:t>.</w:t>
      </w:r>
      <w:r>
        <w:rPr>
          <w:rStyle w:val="FootnoteReference"/>
          <w:bCs/>
          <w:sz w:val="26"/>
          <w:vertAlign w:val="superscript"/>
        </w:rPr>
        <w:footnoteReference w:id="10"/>
      </w:r>
      <w:r w:rsidRPr="003B61D0" w:rsidR="001B2ED0">
        <w:rPr>
          <w:bCs/>
          <w:sz w:val="26"/>
        </w:rPr>
        <w:t xml:space="preserve">  In response to</w:t>
      </w:r>
      <w:r w:rsidR="001B2ED0">
        <w:rPr>
          <w:bCs/>
          <w:sz w:val="26"/>
        </w:rPr>
        <w:t xml:space="preserve"> the comment</w:t>
      </w:r>
      <w:r w:rsidRPr="003B61D0" w:rsidR="001B2ED0">
        <w:rPr>
          <w:bCs/>
          <w:sz w:val="26"/>
        </w:rPr>
        <w:t xml:space="preserve">, </w:t>
      </w:r>
      <w:r w:rsidR="007930B8">
        <w:rPr>
          <w:bCs/>
          <w:sz w:val="26"/>
        </w:rPr>
        <w:t>the Commission</w:t>
      </w:r>
      <w:r w:rsidRPr="003B61D0" w:rsidR="001B2ED0">
        <w:rPr>
          <w:bCs/>
          <w:sz w:val="26"/>
        </w:rPr>
        <w:t xml:space="preserve"> revised the </w:t>
      </w:r>
      <w:r w:rsidR="007930B8">
        <w:rPr>
          <w:bCs/>
          <w:sz w:val="26"/>
        </w:rPr>
        <w:t xml:space="preserve">burden estimate </w:t>
      </w:r>
      <w:r w:rsidRPr="003B61D0" w:rsidR="001B2ED0">
        <w:rPr>
          <w:bCs/>
          <w:sz w:val="26"/>
        </w:rPr>
        <w:t xml:space="preserve">table </w:t>
      </w:r>
      <w:r w:rsidR="007930B8">
        <w:rPr>
          <w:bCs/>
          <w:sz w:val="26"/>
        </w:rPr>
        <w:t>(</w:t>
      </w:r>
      <w:r w:rsidR="00AB2258">
        <w:rPr>
          <w:bCs/>
          <w:sz w:val="26"/>
        </w:rPr>
        <w:t>see the</w:t>
      </w:r>
      <w:r w:rsidR="007930B8">
        <w:rPr>
          <w:bCs/>
          <w:sz w:val="26"/>
        </w:rPr>
        <w:t xml:space="preserve"> </w:t>
      </w:r>
      <w:r w:rsidR="001C7AF3">
        <w:rPr>
          <w:bCs/>
          <w:sz w:val="26"/>
        </w:rPr>
        <w:t xml:space="preserve">response to Question 12 </w:t>
      </w:r>
      <w:r w:rsidRPr="003B61D0" w:rsidR="001B2ED0">
        <w:rPr>
          <w:bCs/>
          <w:sz w:val="26"/>
        </w:rPr>
        <w:t>below</w:t>
      </w:r>
      <w:r w:rsidR="001C7AF3">
        <w:rPr>
          <w:bCs/>
          <w:sz w:val="26"/>
        </w:rPr>
        <w:t>)</w:t>
      </w:r>
      <w:r w:rsidRPr="003B61D0" w:rsidR="001B2ED0">
        <w:rPr>
          <w:bCs/>
          <w:sz w:val="26"/>
        </w:rPr>
        <w:t xml:space="preserve"> </w:t>
      </w:r>
      <w:r w:rsidR="00EC62FF">
        <w:rPr>
          <w:bCs/>
          <w:sz w:val="26"/>
        </w:rPr>
        <w:t xml:space="preserve">in the final rule </w:t>
      </w:r>
      <w:r w:rsidRPr="003B61D0" w:rsidR="001B2ED0">
        <w:rPr>
          <w:bCs/>
          <w:sz w:val="26"/>
        </w:rPr>
        <w:t>to increase the estimated amount of labor required for a transmission provider to perform Long-Term Regional Transmission Planning</w:t>
      </w:r>
      <w:r w:rsidR="001B2ED0">
        <w:rPr>
          <w:bCs/>
          <w:sz w:val="26"/>
        </w:rPr>
        <w:t xml:space="preserve">.  </w:t>
      </w:r>
    </w:p>
    <w:p w:rsidR="00C90CA2" w:rsidRPr="00A37677" w:rsidP="001B2ED0" w14:paraId="35CADD0B" w14:textId="2A54AB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b/>
          <w:sz w:val="26"/>
        </w:rPr>
      </w:pPr>
      <w:r>
        <w:rPr>
          <w:bCs/>
          <w:sz w:val="26"/>
        </w:rPr>
        <w:t>The Final rule was issued on May 13, 2024 and was published in the Federal Register on June 11, 2024 (</w:t>
      </w:r>
      <w:r w:rsidRPr="00FD676A" w:rsidR="00FD676A">
        <w:rPr>
          <w:bCs/>
          <w:sz w:val="26"/>
        </w:rPr>
        <w:t>89 FR 49280</w:t>
      </w:r>
      <w:r w:rsidR="00FD676A">
        <w:rPr>
          <w:bCs/>
          <w:sz w:val="26"/>
        </w:rPr>
        <w:t>).</w:t>
      </w:r>
    </w:p>
    <w:p w:rsidR="00FE0FCC" w:rsidRPr="00FE0FCC" w:rsidP="00FE0FCC" w14:paraId="0795BA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
          <w:sz w:val="26"/>
        </w:rPr>
      </w:pPr>
      <w:r w:rsidRPr="00A37677">
        <w:rPr>
          <w:b/>
          <w:sz w:val="26"/>
        </w:rPr>
        <w:t>9.</w:t>
      </w:r>
      <w:r w:rsidRPr="00A37677">
        <w:rPr>
          <w:b/>
          <w:sz w:val="26"/>
        </w:rPr>
        <w:tab/>
      </w:r>
      <w:r w:rsidRPr="00FE0FCC">
        <w:rPr>
          <w:b/>
          <w:sz w:val="26"/>
        </w:rPr>
        <w:t xml:space="preserve">EXPLAIN ANY PAYMENT OR GIFTS TO RESPONDENTS  </w:t>
      </w:r>
    </w:p>
    <w:p w:rsidR="00A84D22" w:rsidRPr="00D62769" w:rsidP="00594614" w14:paraId="5C5F4533" w14:textId="3CC2421F">
      <w:pPr>
        <w:spacing w:line="240" w:lineRule="auto"/>
        <w:rPr>
          <w:sz w:val="26"/>
        </w:rPr>
      </w:pPr>
      <w:r w:rsidRPr="00E86709">
        <w:rPr>
          <w:sz w:val="26"/>
        </w:rPr>
        <w:t xml:space="preserve">The Commission makes no payments or gifts to respondents as part of this collection. </w:t>
      </w:r>
    </w:p>
    <w:p w:rsidR="00685AE5" w:rsidRPr="00685AE5" w:rsidP="00685AE5" w14:paraId="034DEF96" w14:textId="24E8BD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
          <w:sz w:val="26"/>
        </w:rPr>
      </w:pPr>
      <w:r w:rsidRPr="00A37677">
        <w:rPr>
          <w:b/>
          <w:sz w:val="26"/>
        </w:rPr>
        <w:t>10.</w:t>
      </w:r>
      <w:r w:rsidRPr="00685AE5">
        <w:rPr>
          <w:b/>
          <w:color w:val="000000"/>
        </w:rPr>
        <w:t xml:space="preserve"> </w:t>
      </w:r>
      <w:r w:rsidRPr="00685AE5">
        <w:rPr>
          <w:b/>
          <w:sz w:val="26"/>
        </w:rPr>
        <w:t xml:space="preserve">DESCRIBE ANY ASSURANCE OF CONFIDENTIALITY PROVIDED TO RESPONDENTS  </w:t>
      </w:r>
    </w:p>
    <w:p w:rsidR="00EC0844" w:rsidRPr="00EC0844" w:rsidP="00EC0844" w14:paraId="410A7EDE" w14:textId="1BED27DD">
      <w:pPr>
        <w:spacing w:line="240" w:lineRule="auto"/>
        <w:rPr>
          <w:sz w:val="26"/>
        </w:rPr>
      </w:pPr>
      <w:r w:rsidRPr="00EC0844">
        <w:rPr>
          <w:sz w:val="26"/>
        </w:rPr>
        <w:t xml:space="preserve">The Commission does not consider the information collected to be confidential.  </w:t>
      </w:r>
    </w:p>
    <w:p w:rsidR="00AF4519" w:rsidRPr="00A37677" w:rsidP="00EC0844" w14:paraId="4B4EEED0" w14:textId="4AB1D919">
      <w:pPr>
        <w:spacing w:line="240" w:lineRule="auto"/>
        <w:rPr>
          <w:sz w:val="26"/>
        </w:rPr>
      </w:pPr>
      <w:r w:rsidRPr="00EC0844">
        <w:rPr>
          <w:sz w:val="26"/>
        </w:rPr>
        <w:t>If an entity chooses to seek confidential treatment of the information, it must submit a request for the Commission to treat this information as confidential and non-public, consistent with 18 CFR 388.112.</w:t>
      </w:r>
    </w:p>
    <w:p w:rsidR="00A976CC" w:rsidRPr="00A976CC" w:rsidP="00A976CC" w14:paraId="16F6D6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
          <w:sz w:val="26"/>
        </w:rPr>
      </w:pPr>
      <w:r w:rsidRPr="00A37677">
        <w:rPr>
          <w:b/>
          <w:sz w:val="26"/>
        </w:rPr>
        <w:t>11.</w:t>
      </w:r>
      <w:r w:rsidRPr="00A37677">
        <w:rPr>
          <w:b/>
          <w:sz w:val="26"/>
        </w:rPr>
        <w:tab/>
      </w:r>
      <w:r w:rsidRPr="00A976CC">
        <w:rPr>
          <w:b/>
          <w:sz w:val="26"/>
        </w:rPr>
        <w:t xml:space="preserve">PROVIDE ADDITIONAL JUSTIFICATION FOR ANY QUESTIONS OF A SENSITIVE NATURE, SUCH AS SEXUAL BEHAVIOR AND ATTITUDES, RELIGIOUS BELIEFS, AND OTHER MATTERS THAT ARE COMMONLY CONSIDERED PRIVATE </w:t>
      </w:r>
    </w:p>
    <w:p w:rsidR="00E177DA" w:rsidP="00E177DA" w14:paraId="1BE23F3A" w14:textId="77777777">
      <w:pPr>
        <w:spacing w:before="0" w:line="240" w:lineRule="auto"/>
        <w:rPr>
          <w:bCs/>
          <w:sz w:val="26"/>
        </w:rPr>
      </w:pPr>
    </w:p>
    <w:p w:rsidR="00E177DA" w:rsidRPr="00E177DA" w:rsidP="00E177DA" w14:paraId="013C5E05" w14:textId="21E651F1">
      <w:pPr>
        <w:spacing w:before="0" w:line="240" w:lineRule="auto"/>
        <w:rPr>
          <w:bCs/>
          <w:sz w:val="26"/>
        </w:rPr>
      </w:pPr>
      <w:r w:rsidRPr="00E177DA">
        <w:rPr>
          <w:bCs/>
          <w:sz w:val="26"/>
        </w:rPr>
        <w:t xml:space="preserve">The collection does not contain any questions of a sensitive nature. </w:t>
      </w:r>
    </w:p>
    <w:p w:rsidR="008C05B7" w:rsidP="0090525B" w14:paraId="43F071DA" w14:textId="77777777">
      <w:pPr>
        <w:spacing w:before="0" w:line="240" w:lineRule="auto"/>
        <w:rPr>
          <w:bCs/>
          <w:sz w:val="26"/>
        </w:rPr>
      </w:pPr>
    </w:p>
    <w:p w:rsidR="006C630A" w:rsidRPr="006C630A" w:rsidP="006C630A" w14:paraId="57937764" w14:textId="26BDD9A5">
      <w:pPr>
        <w:spacing w:before="0" w:line="240" w:lineRule="auto"/>
        <w:rPr>
          <w:b/>
          <w:bCs/>
          <w:sz w:val="26"/>
        </w:rPr>
      </w:pPr>
      <w:r w:rsidRPr="00531934">
        <w:rPr>
          <w:b/>
          <w:bCs/>
          <w:sz w:val="26"/>
        </w:rPr>
        <w:t>12.</w:t>
      </w:r>
      <w:r w:rsidRPr="00531934">
        <w:rPr>
          <w:b/>
          <w:bCs/>
          <w:sz w:val="26"/>
        </w:rPr>
        <w:tab/>
      </w:r>
      <w:r w:rsidRPr="006C630A">
        <w:rPr>
          <w:b/>
          <w:bCs/>
          <w:sz w:val="26"/>
        </w:rPr>
        <w:t xml:space="preserve">ESTIMATED BURDEN OF COLLECTION OF INFORMATION </w:t>
      </w:r>
    </w:p>
    <w:p w:rsidR="008F72C1" w:rsidP="008F72C1" w14:paraId="2FE41887" w14:textId="77777777">
      <w:pPr>
        <w:spacing w:before="0" w:line="240" w:lineRule="auto"/>
        <w:rPr>
          <w:bCs/>
          <w:sz w:val="26"/>
        </w:rPr>
      </w:pPr>
    </w:p>
    <w:p w:rsidR="008F72C1" w:rsidRPr="008F72C1" w:rsidP="008F72C1" w14:paraId="2872624A" w14:textId="1097F023">
      <w:pPr>
        <w:spacing w:before="0" w:line="240" w:lineRule="auto"/>
        <w:rPr>
          <w:bCs/>
          <w:sz w:val="26"/>
        </w:rPr>
      </w:pPr>
      <w:r w:rsidRPr="008F72C1">
        <w:rPr>
          <w:bCs/>
          <w:sz w:val="26"/>
        </w:rPr>
        <w:t>The currently approved information collection burden is:</w:t>
      </w:r>
    </w:p>
    <w:p w:rsidR="003249D2" w:rsidP="003249D2" w14:paraId="7E3D4D23" w14:textId="77777777">
      <w:pPr>
        <w:widowControl/>
        <w:tabs>
          <w:tab w:val="num" w:pos="720"/>
        </w:tabs>
        <w:autoSpaceDE/>
        <w:autoSpaceDN/>
        <w:adjustRightInd/>
        <w:spacing w:before="0" w:line="240" w:lineRule="auto"/>
        <w:rPr>
          <w:rFonts w:eastAsia="Calibri"/>
          <w:b/>
        </w:rPr>
      </w:pPr>
    </w:p>
    <w:p w:rsidR="003249D2" w:rsidRPr="003249D2" w:rsidP="00265CED" w14:paraId="061EDBD2" w14:textId="72883CC7">
      <w:pPr>
        <w:widowControl/>
        <w:tabs>
          <w:tab w:val="num" w:pos="720"/>
        </w:tabs>
        <w:autoSpaceDE/>
        <w:autoSpaceDN/>
        <w:adjustRightInd/>
        <w:spacing w:before="0" w:line="240" w:lineRule="auto"/>
        <w:ind w:left="720"/>
        <w:rPr>
          <w:rFonts w:eastAsia="Calibri"/>
          <w:b/>
          <w:sz w:val="26"/>
          <w:szCs w:val="26"/>
        </w:rPr>
      </w:pPr>
      <w:r w:rsidRPr="003249D2">
        <w:rPr>
          <w:rFonts w:eastAsia="Calibri"/>
          <w:b/>
          <w:sz w:val="26"/>
          <w:szCs w:val="26"/>
        </w:rPr>
        <w:t>FERC-</w:t>
      </w:r>
      <w:r>
        <w:rPr>
          <w:rFonts w:eastAsia="Calibri"/>
          <w:b/>
          <w:sz w:val="26"/>
          <w:szCs w:val="26"/>
        </w:rPr>
        <w:t>917</w:t>
      </w:r>
      <w:r w:rsidRPr="003249D2">
        <w:rPr>
          <w:rFonts w:eastAsia="Calibri"/>
          <w:b/>
          <w:sz w:val="26"/>
          <w:szCs w:val="26"/>
        </w:rPr>
        <w:t>:</w:t>
      </w:r>
    </w:p>
    <w:p w:rsidR="003249D2" w:rsidRPr="00C81AEA" w:rsidP="00265CED" w14:paraId="68E3BCDC" w14:textId="72F21A1F">
      <w:pPr>
        <w:widowControl/>
        <w:tabs>
          <w:tab w:val="num" w:pos="720"/>
        </w:tabs>
        <w:autoSpaceDE/>
        <w:autoSpaceDN/>
        <w:adjustRightInd/>
        <w:spacing w:before="0" w:line="240" w:lineRule="auto"/>
        <w:ind w:left="720"/>
        <w:rPr>
          <w:rFonts w:eastAsia="Calibri"/>
          <w:sz w:val="26"/>
          <w:szCs w:val="26"/>
        </w:rPr>
      </w:pPr>
      <w:r w:rsidRPr="003249D2">
        <w:rPr>
          <w:rFonts w:eastAsia="Calibri"/>
          <w:sz w:val="26"/>
          <w:szCs w:val="26"/>
        </w:rPr>
        <w:t xml:space="preserve">Number of </w:t>
      </w:r>
      <w:r w:rsidRPr="00C81AEA">
        <w:rPr>
          <w:rFonts w:eastAsia="Calibri"/>
          <w:sz w:val="26"/>
          <w:szCs w:val="26"/>
        </w:rPr>
        <w:t xml:space="preserve">responses:  </w:t>
      </w:r>
      <w:r w:rsidRPr="00C81AEA" w:rsidR="006F0D16">
        <w:rPr>
          <w:rFonts w:eastAsia="Calibri"/>
          <w:sz w:val="26"/>
          <w:szCs w:val="26"/>
        </w:rPr>
        <w:t>3</w:t>
      </w:r>
      <w:r w:rsidRPr="00C81AEA" w:rsidR="00D30701">
        <w:rPr>
          <w:rFonts w:eastAsia="Calibri"/>
          <w:sz w:val="26"/>
          <w:szCs w:val="26"/>
        </w:rPr>
        <w:t>24</w:t>
      </w:r>
    </w:p>
    <w:p w:rsidR="008F72C1" w:rsidRPr="00C81AEA" w:rsidP="00265CED" w14:paraId="71F8985E" w14:textId="78BEC6AA">
      <w:pPr>
        <w:widowControl/>
        <w:tabs>
          <w:tab w:val="num" w:pos="720"/>
        </w:tabs>
        <w:autoSpaceDE/>
        <w:autoSpaceDN/>
        <w:adjustRightInd/>
        <w:spacing w:before="0" w:line="240" w:lineRule="auto"/>
        <w:ind w:left="720"/>
        <w:rPr>
          <w:rFonts w:eastAsia="Calibri"/>
          <w:sz w:val="26"/>
          <w:szCs w:val="26"/>
        </w:rPr>
      </w:pPr>
      <w:r w:rsidRPr="00C81AEA">
        <w:rPr>
          <w:rFonts w:eastAsia="Calibri"/>
          <w:sz w:val="26"/>
          <w:szCs w:val="26"/>
        </w:rPr>
        <w:t xml:space="preserve">Hourly Burden:  </w:t>
      </w:r>
      <w:r w:rsidRPr="00C81AEA" w:rsidR="00D30701">
        <w:rPr>
          <w:rFonts w:eastAsia="Calibri"/>
          <w:sz w:val="26"/>
          <w:szCs w:val="26"/>
        </w:rPr>
        <w:t>152,129</w:t>
      </w:r>
    </w:p>
    <w:p w:rsidR="00AB41DF" w:rsidP="00594614" w14:paraId="0E7E452A" w14:textId="0D742790">
      <w:pPr>
        <w:spacing w:line="240" w:lineRule="auto"/>
        <w:rPr>
          <w:bCs/>
          <w:sz w:val="26"/>
        </w:rPr>
      </w:pPr>
      <w:r w:rsidRPr="00C81AEA">
        <w:rPr>
          <w:bCs/>
          <w:sz w:val="26"/>
        </w:rPr>
        <w:t>The information collection burden of the</w:t>
      </w:r>
      <w:r w:rsidRPr="00AB41DF">
        <w:rPr>
          <w:bCs/>
          <w:sz w:val="26"/>
        </w:rPr>
        <w:t xml:space="preserve"> reforms adopted in this final rule is explained in in the following table</w:t>
      </w:r>
      <w:r w:rsidR="00D30701">
        <w:rPr>
          <w:bCs/>
          <w:sz w:val="26"/>
        </w:rPr>
        <w:t>.</w:t>
      </w:r>
      <w:r w:rsidRPr="00AB41DF" w:rsidR="00D30701">
        <w:rPr>
          <w:bCs/>
          <w:sz w:val="26"/>
        </w:rPr>
        <w:t xml:space="preserve"> </w:t>
      </w:r>
    </w:p>
    <w:p w:rsidR="00AB41DF" w:rsidP="00594614" w14:paraId="003AC73E" w14:textId="745B0F58">
      <w:pPr>
        <w:spacing w:line="240" w:lineRule="auto"/>
        <w:rPr>
          <w:bCs/>
          <w:sz w:val="26"/>
        </w:rPr>
      </w:pPr>
      <w:r w:rsidRPr="00BD5C49">
        <w:rPr>
          <w:bCs/>
          <w:sz w:val="26"/>
        </w:rPr>
        <w:t xml:space="preserve">Our </w:t>
      </w:r>
      <w:r w:rsidR="00457409">
        <w:rPr>
          <w:bCs/>
          <w:sz w:val="26"/>
        </w:rPr>
        <w:t xml:space="preserve">estimate </w:t>
      </w:r>
      <w:r w:rsidRPr="00457409" w:rsidR="00457409">
        <w:rPr>
          <w:bCs/>
          <w:sz w:val="26"/>
        </w:rPr>
        <w:t xml:space="preserve">of the number of reporting entities is </w:t>
      </w:r>
      <w:r w:rsidRPr="00BD5C49">
        <w:rPr>
          <w:bCs/>
          <w:sz w:val="26"/>
        </w:rPr>
        <w:t>based on the NERC Compliance Registry as of January 11, 2024, which indicates that there are 48 transmission service providers</w:t>
      </w:r>
      <w:r>
        <w:rPr>
          <w:b/>
          <w:bCs/>
          <w:sz w:val="26"/>
          <w:vertAlign w:val="superscript"/>
        </w:rPr>
        <w:footnoteReference w:id="11"/>
      </w:r>
      <w:r w:rsidRPr="00BD5C49">
        <w:rPr>
          <w:b/>
          <w:bCs/>
          <w:sz w:val="26"/>
        </w:rPr>
        <w:t xml:space="preserve"> </w:t>
      </w:r>
      <w:r w:rsidRPr="00BD5C49">
        <w:rPr>
          <w:bCs/>
          <w:sz w:val="26"/>
        </w:rPr>
        <w:t>with OATTs and 118 transmission owners that are registered within the United States and are subject to this rulemaking.</w:t>
      </w:r>
      <w:r>
        <w:rPr>
          <w:b/>
          <w:bCs/>
          <w:sz w:val="26"/>
          <w:vertAlign w:val="superscript"/>
        </w:rPr>
        <w:footnoteReference w:id="12"/>
      </w:r>
      <w:r w:rsidRPr="00BD5C49">
        <w:rPr>
          <w:bCs/>
          <w:sz w:val="26"/>
        </w:rPr>
        <w:t xml:space="preserve">  Because 41 of the 118 transmission owners are also included in the count of 48 transmission service providers, there are 125 distinct entities (i.e., 125 distinct transmission providers</w:t>
      </w:r>
      <w:r>
        <w:rPr>
          <w:b/>
          <w:bCs/>
          <w:sz w:val="26"/>
          <w:vertAlign w:val="superscript"/>
        </w:rPr>
        <w:footnoteReference w:id="13"/>
      </w:r>
      <w:r w:rsidRPr="00BD5C49">
        <w:rPr>
          <w:bCs/>
          <w:sz w:val="26"/>
        </w:rPr>
        <w:t xml:space="preserve">) in total that must comply this final </w:t>
      </w:r>
      <w:r w:rsidRPr="00BD5C49">
        <w:rPr>
          <w:bCs/>
          <w:sz w:val="26"/>
        </w:rPr>
        <w:t xml:space="preserve">rule.  </w:t>
      </w:r>
      <w:r w:rsidRPr="006470CF" w:rsidR="006470CF">
        <w:rPr>
          <w:bCs/>
          <w:sz w:val="26"/>
        </w:rPr>
        <w:t>The burden</w:t>
      </w:r>
      <w:bookmarkStart w:id="3" w:name="_Ref138164767"/>
      <w:r>
        <w:rPr>
          <w:b/>
          <w:bCs/>
          <w:sz w:val="26"/>
          <w:vertAlign w:val="superscript"/>
        </w:rPr>
        <w:footnoteReference w:id="14"/>
      </w:r>
      <w:bookmarkEnd w:id="3"/>
      <w:r w:rsidRPr="006470CF" w:rsidR="006470CF">
        <w:rPr>
          <w:b/>
          <w:bCs/>
          <w:sz w:val="26"/>
        </w:rPr>
        <w:t xml:space="preserve"> </w:t>
      </w:r>
      <w:r w:rsidRPr="006470CF" w:rsidR="006470CF">
        <w:rPr>
          <w:bCs/>
          <w:sz w:val="26"/>
        </w:rPr>
        <w:t>and cost estimates below are based on (1) the initial need for transmission providers to file revised versions of the standard interconnection procedures and agreements in Year 1 and (2) ongoing information collection activities in connection with reporting and disclosure requirements in subsequent years.</w:t>
      </w:r>
    </w:p>
    <w:p w:rsidR="006C3CE0" w:rsidRPr="006C3CE0" w:rsidP="006C3CE0" w14:paraId="4DE213BA" w14:textId="4E133BF9">
      <w:pPr>
        <w:spacing w:line="240" w:lineRule="auto"/>
        <w:rPr>
          <w:bCs/>
          <w:sz w:val="26"/>
        </w:rPr>
      </w:pPr>
      <w:r w:rsidRPr="006C3CE0">
        <w:rPr>
          <w:bCs/>
          <w:sz w:val="26"/>
        </w:rPr>
        <w:t>We estimate that the reforms in this final rule would affect the burden and cost of FERC-917 as follows</w:t>
      </w:r>
      <w:r>
        <w:rPr>
          <w:bCs/>
          <w:sz w:val="26"/>
        </w:rPr>
        <w:t>.</w:t>
      </w:r>
    </w:p>
    <w:p w:rsidR="006C3CE0" w:rsidRPr="006C3CE0" w:rsidP="006C3CE0" w14:paraId="421257C5" w14:textId="58B7F3DA">
      <w:pPr>
        <w:widowControl/>
        <w:autoSpaceDE/>
        <w:autoSpaceDN/>
        <w:adjustRightInd/>
        <w:spacing w:before="0" w:line="240" w:lineRule="auto"/>
        <w:rPr>
          <w:bCs/>
          <w:sz w:val="26"/>
        </w:rPr>
      </w:pPr>
      <w:bookmarkStart w:id="4" w:name="_Hlk164687704"/>
    </w:p>
    <w:tbl>
      <w:tblPr>
        <w:tblStyle w:val="TableGrid"/>
        <w:tblW w:w="9576" w:type="dxa"/>
        <w:tblLook w:val="04A0"/>
      </w:tblPr>
      <w:tblGrid>
        <w:gridCol w:w="2481"/>
        <w:gridCol w:w="1969"/>
        <w:gridCol w:w="1358"/>
        <w:gridCol w:w="1741"/>
        <w:gridCol w:w="2027"/>
      </w:tblGrid>
      <w:tr w14:paraId="5C4F1A79" w14:textId="77777777" w:rsidTr="00C07288">
        <w:tblPrEx>
          <w:tblW w:w="9576" w:type="dxa"/>
          <w:tblLook w:val="04A0"/>
        </w:tblPrEx>
        <w:tc>
          <w:tcPr>
            <w:tcW w:w="9378" w:type="dxa"/>
            <w:gridSpan w:val="5"/>
            <w:shd w:val="clear" w:color="auto" w:fill="BFBFBF"/>
            <w:vAlign w:val="bottom"/>
          </w:tcPr>
          <w:bookmarkEnd w:id="4"/>
          <w:p w:rsidR="00C07288" w:rsidRPr="00C07288" w:rsidP="00C07288" w14:paraId="4A37DE11" w14:textId="77777777">
            <w:pPr>
              <w:widowControl/>
              <w:spacing w:before="0" w:line="240" w:lineRule="auto"/>
              <w:jc w:val="center"/>
              <w:rPr>
                <w:b/>
                <w:bCs/>
                <w:sz w:val="26"/>
                <w:szCs w:val="20"/>
              </w:rPr>
            </w:pPr>
            <w:r w:rsidRPr="00C07288">
              <w:rPr>
                <w:b/>
                <w:bCs/>
                <w:sz w:val="26"/>
                <w:szCs w:val="20"/>
              </w:rPr>
              <w:t>Changes Due to Final Rule in Docket No. RM21-17-000</w:t>
            </w:r>
            <w:r>
              <w:rPr>
                <w:b/>
                <w:bCs/>
                <w:sz w:val="26"/>
                <w:szCs w:val="20"/>
                <w:vertAlign w:val="superscript"/>
              </w:rPr>
              <w:footnoteReference w:id="15"/>
            </w:r>
          </w:p>
        </w:tc>
      </w:tr>
      <w:tr w14:paraId="4A209598" w14:textId="77777777" w:rsidTr="00C07288">
        <w:tblPrEx>
          <w:tblW w:w="9576" w:type="dxa"/>
          <w:tblLook w:val="04A0"/>
        </w:tblPrEx>
        <w:trPr>
          <w:trHeight w:val="432"/>
          <w:tblHeader/>
        </w:trPr>
        <w:tc>
          <w:tcPr>
            <w:tcW w:w="2538" w:type="dxa"/>
            <w:shd w:val="clear" w:color="auto" w:fill="BFBFBF"/>
          </w:tcPr>
          <w:p w:rsidR="00C07288" w:rsidRPr="00C07288" w:rsidP="00C07288" w14:paraId="61B78E2A" w14:textId="77777777">
            <w:pPr>
              <w:widowControl/>
              <w:spacing w:before="0" w:line="240" w:lineRule="auto"/>
              <w:jc w:val="center"/>
              <w:rPr>
                <w:rFonts w:eastAsia="Calibri"/>
                <w:b/>
                <w:bCs/>
                <w:sz w:val="26"/>
                <w:szCs w:val="20"/>
              </w:rPr>
            </w:pPr>
            <w:r w:rsidRPr="00C07288">
              <w:rPr>
                <w:rFonts w:eastAsia="Calibri"/>
                <w:b/>
                <w:bCs/>
                <w:sz w:val="26"/>
                <w:szCs w:val="20"/>
              </w:rPr>
              <w:t>A.</w:t>
            </w:r>
          </w:p>
          <w:p w:rsidR="00C07288" w:rsidRPr="00C07288" w:rsidP="00C07288" w14:paraId="59D5C4E9" w14:textId="77777777">
            <w:pPr>
              <w:widowControl/>
              <w:spacing w:before="0" w:line="240" w:lineRule="auto"/>
              <w:jc w:val="center"/>
              <w:rPr>
                <w:b/>
                <w:bCs/>
                <w:sz w:val="26"/>
                <w:szCs w:val="20"/>
              </w:rPr>
            </w:pPr>
            <w:r w:rsidRPr="00C07288">
              <w:rPr>
                <w:rFonts w:eastAsia="Calibri"/>
                <w:b/>
                <w:bCs/>
                <w:sz w:val="26"/>
                <w:szCs w:val="20"/>
              </w:rPr>
              <w:t>Area of Modification</w:t>
            </w:r>
          </w:p>
        </w:tc>
        <w:tc>
          <w:tcPr>
            <w:tcW w:w="1993" w:type="dxa"/>
            <w:shd w:val="clear" w:color="auto" w:fill="BFBFBF"/>
          </w:tcPr>
          <w:p w:rsidR="00C07288" w:rsidRPr="00C07288" w:rsidP="00C07288" w14:paraId="78F00ECF" w14:textId="77777777">
            <w:pPr>
              <w:widowControl/>
              <w:spacing w:before="0" w:line="240" w:lineRule="auto"/>
              <w:jc w:val="center"/>
              <w:rPr>
                <w:rFonts w:eastAsia="Calibri"/>
                <w:b/>
                <w:bCs/>
                <w:sz w:val="26"/>
                <w:szCs w:val="20"/>
              </w:rPr>
            </w:pPr>
            <w:r w:rsidRPr="00C07288">
              <w:rPr>
                <w:rFonts w:eastAsia="Calibri"/>
                <w:b/>
                <w:bCs/>
                <w:sz w:val="26"/>
                <w:szCs w:val="20"/>
              </w:rPr>
              <w:t>B.</w:t>
            </w:r>
          </w:p>
          <w:p w:rsidR="00C07288" w:rsidRPr="00C07288" w:rsidP="00C07288" w14:paraId="2C75182E" w14:textId="77777777">
            <w:pPr>
              <w:widowControl/>
              <w:spacing w:before="0" w:line="240" w:lineRule="auto"/>
              <w:jc w:val="center"/>
              <w:rPr>
                <w:rFonts w:eastAsia="Calibri"/>
                <w:b/>
                <w:bCs/>
                <w:sz w:val="26"/>
                <w:szCs w:val="20"/>
              </w:rPr>
            </w:pPr>
            <w:r w:rsidRPr="00C07288">
              <w:rPr>
                <w:rFonts w:eastAsia="Calibri"/>
                <w:b/>
                <w:bCs/>
                <w:sz w:val="26"/>
                <w:szCs w:val="20"/>
              </w:rPr>
              <w:t>Annual Number of Respondents</w:t>
            </w:r>
          </w:p>
          <w:p w:rsidR="00C07288" w:rsidRPr="00C07288" w:rsidP="00C07288" w14:paraId="232D75A7" w14:textId="77777777">
            <w:pPr>
              <w:widowControl/>
              <w:spacing w:before="0" w:line="240" w:lineRule="auto"/>
              <w:jc w:val="center"/>
              <w:rPr>
                <w:b/>
                <w:bCs/>
                <w:sz w:val="26"/>
                <w:szCs w:val="20"/>
              </w:rPr>
            </w:pPr>
          </w:p>
        </w:tc>
        <w:tc>
          <w:tcPr>
            <w:tcW w:w="997" w:type="dxa"/>
            <w:shd w:val="clear" w:color="auto" w:fill="BFBFBF"/>
          </w:tcPr>
          <w:p w:rsidR="00C07288" w:rsidRPr="00C07288" w:rsidP="00C07288" w14:paraId="22075273" w14:textId="77777777">
            <w:pPr>
              <w:widowControl/>
              <w:spacing w:before="0" w:line="240" w:lineRule="auto"/>
              <w:jc w:val="center"/>
              <w:rPr>
                <w:rFonts w:eastAsia="Calibri"/>
                <w:b/>
                <w:bCs/>
                <w:sz w:val="26"/>
                <w:szCs w:val="20"/>
              </w:rPr>
            </w:pPr>
            <w:r w:rsidRPr="00C07288">
              <w:rPr>
                <w:rFonts w:eastAsia="Calibri"/>
                <w:b/>
                <w:bCs/>
                <w:sz w:val="26"/>
                <w:szCs w:val="20"/>
              </w:rPr>
              <w:t>C.</w:t>
            </w:r>
          </w:p>
          <w:p w:rsidR="00C07288" w:rsidRPr="00C07288" w:rsidP="00C07288" w14:paraId="0DF2C3E5" w14:textId="77777777">
            <w:pPr>
              <w:widowControl/>
              <w:spacing w:before="0" w:line="240" w:lineRule="auto"/>
              <w:jc w:val="center"/>
              <w:rPr>
                <w:rFonts w:eastAsia="Calibri"/>
                <w:b/>
                <w:bCs/>
                <w:sz w:val="26"/>
                <w:szCs w:val="20"/>
              </w:rPr>
            </w:pPr>
            <w:r w:rsidRPr="00C07288">
              <w:rPr>
                <w:rFonts w:eastAsia="Calibri"/>
                <w:b/>
                <w:bCs/>
                <w:sz w:val="26"/>
                <w:szCs w:val="20"/>
              </w:rPr>
              <w:t xml:space="preserve">Total Annual Estimated Number </w:t>
            </w:r>
            <w:r w:rsidRPr="00C07288">
              <w:rPr>
                <w:rFonts w:eastAsia="Calibri"/>
                <w:b/>
                <w:bCs/>
                <w:sz w:val="26"/>
                <w:szCs w:val="20"/>
              </w:rPr>
              <w:t>of Responses</w:t>
            </w:r>
          </w:p>
          <w:p w:rsidR="00C07288" w:rsidRPr="00C07288" w:rsidP="00C07288" w14:paraId="3551F1EC" w14:textId="77777777">
            <w:pPr>
              <w:widowControl/>
              <w:spacing w:before="0" w:line="240" w:lineRule="auto"/>
              <w:jc w:val="center"/>
              <w:rPr>
                <w:b/>
                <w:bCs/>
                <w:sz w:val="26"/>
                <w:szCs w:val="20"/>
              </w:rPr>
            </w:pPr>
          </w:p>
        </w:tc>
        <w:tc>
          <w:tcPr>
            <w:tcW w:w="1775" w:type="dxa"/>
            <w:shd w:val="clear" w:color="auto" w:fill="BFBFBF"/>
          </w:tcPr>
          <w:p w:rsidR="00C07288" w:rsidRPr="00C07288" w:rsidP="00C07288" w14:paraId="23BABA63" w14:textId="77777777">
            <w:pPr>
              <w:widowControl/>
              <w:spacing w:before="0" w:line="240" w:lineRule="auto"/>
              <w:jc w:val="center"/>
              <w:rPr>
                <w:rFonts w:eastAsia="Calibri"/>
                <w:b/>
                <w:bCs/>
                <w:sz w:val="26"/>
                <w:szCs w:val="20"/>
              </w:rPr>
            </w:pPr>
            <w:r w:rsidRPr="00C07288">
              <w:rPr>
                <w:rFonts w:eastAsia="Calibri"/>
                <w:b/>
                <w:bCs/>
                <w:sz w:val="26"/>
                <w:szCs w:val="20"/>
              </w:rPr>
              <w:t>D.</w:t>
            </w:r>
          </w:p>
          <w:p w:rsidR="00C07288" w:rsidRPr="00C07288" w:rsidP="00C07288" w14:paraId="4D8D1EA9" w14:textId="77777777">
            <w:pPr>
              <w:widowControl/>
              <w:spacing w:before="0" w:line="240" w:lineRule="auto"/>
              <w:jc w:val="center"/>
              <w:rPr>
                <w:rFonts w:eastAsia="Calibri"/>
                <w:b/>
                <w:bCs/>
                <w:sz w:val="26"/>
                <w:szCs w:val="20"/>
              </w:rPr>
            </w:pPr>
            <w:r w:rsidRPr="00C07288">
              <w:rPr>
                <w:rFonts w:eastAsia="Calibri"/>
                <w:b/>
                <w:bCs/>
                <w:sz w:val="26"/>
                <w:szCs w:val="20"/>
              </w:rPr>
              <w:t>Average Burden Hours &amp; Cost</w:t>
            </w:r>
            <w:r>
              <w:rPr>
                <w:rFonts w:eastAsia="Calibri"/>
                <w:b/>
                <w:sz w:val="26"/>
                <w:szCs w:val="20"/>
                <w:vertAlign w:val="superscript"/>
              </w:rPr>
              <w:footnoteReference w:id="16"/>
            </w:r>
            <w:r w:rsidRPr="00C07288">
              <w:rPr>
                <w:rFonts w:eastAsia="Calibri"/>
                <w:b/>
                <w:bCs/>
                <w:sz w:val="26"/>
                <w:szCs w:val="20"/>
              </w:rPr>
              <w:t xml:space="preserve"> per Response</w:t>
            </w:r>
          </w:p>
          <w:p w:rsidR="00C07288" w:rsidRPr="00C07288" w:rsidP="00C07288" w14:paraId="39DE2A2A" w14:textId="77777777">
            <w:pPr>
              <w:widowControl/>
              <w:spacing w:before="0" w:line="240" w:lineRule="auto"/>
              <w:jc w:val="center"/>
              <w:rPr>
                <w:b/>
                <w:bCs/>
                <w:sz w:val="26"/>
                <w:szCs w:val="20"/>
              </w:rPr>
            </w:pPr>
          </w:p>
        </w:tc>
        <w:tc>
          <w:tcPr>
            <w:tcW w:w="1969" w:type="dxa"/>
            <w:shd w:val="clear" w:color="auto" w:fill="BFBFBF"/>
          </w:tcPr>
          <w:p w:rsidR="00C07288" w:rsidRPr="00C07288" w:rsidP="00C07288" w14:paraId="1B044EE6" w14:textId="77777777">
            <w:pPr>
              <w:widowControl/>
              <w:spacing w:before="0" w:line="240" w:lineRule="auto"/>
              <w:jc w:val="center"/>
              <w:rPr>
                <w:rFonts w:eastAsia="Calibri"/>
                <w:b/>
                <w:bCs/>
                <w:sz w:val="26"/>
                <w:szCs w:val="20"/>
              </w:rPr>
            </w:pPr>
            <w:r w:rsidRPr="00C07288">
              <w:rPr>
                <w:rFonts w:eastAsia="Calibri"/>
                <w:b/>
                <w:bCs/>
                <w:sz w:val="26"/>
                <w:szCs w:val="20"/>
              </w:rPr>
              <w:t>E.</w:t>
            </w:r>
          </w:p>
          <w:p w:rsidR="00C07288" w:rsidRPr="00C07288" w:rsidP="00C07288" w14:paraId="0F538588" w14:textId="77777777">
            <w:pPr>
              <w:widowControl/>
              <w:spacing w:before="0" w:line="240" w:lineRule="auto"/>
              <w:jc w:val="center"/>
              <w:rPr>
                <w:rFonts w:eastAsia="Calibri"/>
                <w:b/>
                <w:bCs/>
                <w:sz w:val="26"/>
                <w:szCs w:val="20"/>
              </w:rPr>
            </w:pPr>
            <w:r w:rsidRPr="00C07288">
              <w:rPr>
                <w:rFonts w:eastAsia="Calibri"/>
                <w:b/>
                <w:bCs/>
                <w:sz w:val="26"/>
                <w:szCs w:val="20"/>
              </w:rPr>
              <w:t>Total Estimated Burden Hours &amp; Total Estimated Cost</w:t>
            </w:r>
          </w:p>
          <w:p w:rsidR="00C07288" w:rsidRPr="00C07288" w:rsidP="00C07288" w14:paraId="123659D2" w14:textId="77777777">
            <w:pPr>
              <w:widowControl/>
              <w:spacing w:before="0" w:line="240" w:lineRule="auto"/>
              <w:jc w:val="center"/>
              <w:rPr>
                <w:b/>
                <w:bCs/>
                <w:sz w:val="26"/>
                <w:szCs w:val="20"/>
              </w:rPr>
            </w:pPr>
            <w:r w:rsidRPr="00C07288">
              <w:rPr>
                <w:rFonts w:eastAsia="Calibri"/>
                <w:b/>
                <w:bCs/>
                <w:sz w:val="26"/>
                <w:szCs w:val="20"/>
              </w:rPr>
              <w:t>(Column C x Column D)</w:t>
            </w:r>
          </w:p>
        </w:tc>
      </w:tr>
      <w:tr w14:paraId="2F1D585F" w14:textId="77777777" w:rsidTr="00C07288">
        <w:tblPrEx>
          <w:tblW w:w="9576" w:type="dxa"/>
          <w:tblLook w:val="04A0"/>
        </w:tblPrEx>
        <w:trPr>
          <w:trHeight w:val="432"/>
        </w:trPr>
        <w:tc>
          <w:tcPr>
            <w:tcW w:w="9378" w:type="dxa"/>
            <w:gridSpan w:val="5"/>
            <w:shd w:val="clear" w:color="auto" w:fill="BFBFBF"/>
            <w:vAlign w:val="bottom"/>
          </w:tcPr>
          <w:p w:rsidR="00C07288" w:rsidRPr="00C07288" w:rsidP="00C07288" w14:paraId="5F17CCEC" w14:textId="77777777">
            <w:pPr>
              <w:widowControl/>
              <w:spacing w:before="0" w:line="240" w:lineRule="auto"/>
              <w:jc w:val="center"/>
              <w:rPr>
                <w:b/>
                <w:bCs/>
                <w:sz w:val="26"/>
                <w:szCs w:val="20"/>
              </w:rPr>
            </w:pPr>
            <w:r w:rsidRPr="00C07288">
              <w:rPr>
                <w:b/>
                <w:bCs/>
                <w:sz w:val="26"/>
                <w:szCs w:val="20"/>
              </w:rPr>
              <w:t>FERC-917, Electric Transmission Facilities (OMB Control No. 1902-0233)</w:t>
            </w:r>
          </w:p>
        </w:tc>
      </w:tr>
      <w:tr w14:paraId="7F5C17DB" w14:textId="77777777">
        <w:tblPrEx>
          <w:tblW w:w="9576" w:type="dxa"/>
          <w:tblLook w:val="04A0"/>
        </w:tblPrEx>
        <w:trPr>
          <w:trHeight w:val="1160"/>
        </w:trPr>
        <w:tc>
          <w:tcPr>
            <w:tcW w:w="2538" w:type="dxa"/>
          </w:tcPr>
          <w:p w:rsidR="00C07288" w:rsidRPr="00C07288" w:rsidP="00C07288" w14:paraId="13D3F7CD" w14:textId="77777777">
            <w:pPr>
              <w:widowControl/>
              <w:spacing w:before="0" w:line="240" w:lineRule="auto"/>
              <w:rPr>
                <w:sz w:val="22"/>
                <w:szCs w:val="20"/>
              </w:rPr>
            </w:pPr>
            <w:r w:rsidRPr="00C07288">
              <w:rPr>
                <w:sz w:val="22"/>
                <w:szCs w:val="20"/>
              </w:rPr>
              <w:t>Draft OATT revisions to comply with the requirements of the final rule</w:t>
            </w:r>
          </w:p>
        </w:tc>
        <w:tc>
          <w:tcPr>
            <w:tcW w:w="1993" w:type="dxa"/>
          </w:tcPr>
          <w:p w:rsidR="00C07288" w:rsidRPr="00C07288" w:rsidP="00C07288" w14:paraId="45D62B4B" w14:textId="77777777">
            <w:pPr>
              <w:widowControl/>
              <w:spacing w:before="0" w:line="240" w:lineRule="auto"/>
              <w:rPr>
                <w:sz w:val="22"/>
                <w:szCs w:val="22"/>
              </w:rPr>
            </w:pPr>
            <w:r w:rsidRPr="00C07288">
              <w:rPr>
                <w:sz w:val="22"/>
                <w:szCs w:val="22"/>
              </w:rPr>
              <w:t>48 transmission providers with OATTs</w:t>
            </w:r>
          </w:p>
          <w:p w:rsidR="00C07288" w:rsidRPr="00C07288" w:rsidP="00C07288" w14:paraId="4447C273" w14:textId="77777777">
            <w:pPr>
              <w:widowControl/>
              <w:spacing w:before="0" w:line="240" w:lineRule="auto"/>
              <w:rPr>
                <w:sz w:val="22"/>
                <w:szCs w:val="20"/>
              </w:rPr>
            </w:pPr>
          </w:p>
        </w:tc>
        <w:tc>
          <w:tcPr>
            <w:tcW w:w="997" w:type="dxa"/>
          </w:tcPr>
          <w:p w:rsidR="00C07288" w:rsidRPr="00C07288" w:rsidP="00C07288" w14:paraId="0FFB8654" w14:textId="77777777">
            <w:pPr>
              <w:widowControl/>
              <w:spacing w:before="0" w:line="240" w:lineRule="auto"/>
              <w:rPr>
                <w:sz w:val="22"/>
                <w:szCs w:val="20"/>
              </w:rPr>
            </w:pPr>
            <w:r w:rsidRPr="00C07288">
              <w:rPr>
                <w:sz w:val="22"/>
                <w:szCs w:val="22"/>
              </w:rPr>
              <w:t>48</w:t>
            </w:r>
          </w:p>
        </w:tc>
        <w:tc>
          <w:tcPr>
            <w:tcW w:w="1775" w:type="dxa"/>
          </w:tcPr>
          <w:p w:rsidR="00C07288" w:rsidRPr="00C07288" w:rsidP="00C07288" w14:paraId="3F5D021B" w14:textId="77777777">
            <w:pPr>
              <w:widowControl/>
              <w:spacing w:before="0" w:line="240" w:lineRule="auto"/>
              <w:rPr>
                <w:sz w:val="22"/>
                <w:szCs w:val="20"/>
              </w:rPr>
            </w:pPr>
            <w:r w:rsidRPr="00C07288">
              <w:rPr>
                <w:sz w:val="22"/>
                <w:szCs w:val="22"/>
              </w:rPr>
              <w:t xml:space="preserve">One Time:  </w:t>
            </w:r>
            <w:r w:rsidRPr="00C07288">
              <w:rPr>
                <w:sz w:val="22"/>
                <w:szCs w:val="20"/>
              </w:rPr>
              <w:t>770 hours; $71,683</w:t>
            </w:r>
          </w:p>
          <w:p w:rsidR="00C07288" w:rsidRPr="00C07288" w:rsidP="00C07288" w14:paraId="6E26AB7C" w14:textId="77777777">
            <w:pPr>
              <w:widowControl/>
              <w:spacing w:before="0" w:line="240" w:lineRule="auto"/>
              <w:rPr>
                <w:sz w:val="22"/>
                <w:szCs w:val="22"/>
              </w:rPr>
            </w:pPr>
          </w:p>
          <w:p w:rsidR="00C07288" w:rsidRPr="00C07288" w:rsidP="00C07288" w14:paraId="5C8DA08B" w14:textId="77777777">
            <w:pPr>
              <w:widowControl/>
              <w:spacing w:before="0" w:line="240" w:lineRule="auto"/>
              <w:rPr>
                <w:sz w:val="22"/>
                <w:szCs w:val="22"/>
              </w:rPr>
            </w:pPr>
            <w:r w:rsidRPr="00C07288">
              <w:rPr>
                <w:sz w:val="22"/>
                <w:szCs w:val="22"/>
              </w:rPr>
              <w:t xml:space="preserve">Ongoing:  </w:t>
            </w:r>
            <w:r w:rsidRPr="00C07288">
              <w:rPr>
                <w:sz w:val="22"/>
                <w:szCs w:val="22"/>
              </w:rPr>
              <w:t xml:space="preserve">0 </w:t>
            </w:r>
            <w:r w:rsidRPr="00C07288">
              <w:rPr>
                <w:sz w:val="22"/>
                <w:szCs w:val="22"/>
              </w:rPr>
              <w:t>hours per year; $0 per year</w:t>
            </w:r>
          </w:p>
          <w:p w:rsidR="00C07288" w:rsidRPr="00C07288" w:rsidP="00C07288" w14:paraId="4054CEEF" w14:textId="77777777">
            <w:pPr>
              <w:widowControl/>
              <w:spacing w:before="0" w:line="240" w:lineRule="auto"/>
              <w:rPr>
                <w:sz w:val="22"/>
                <w:szCs w:val="20"/>
              </w:rPr>
            </w:pPr>
          </w:p>
        </w:tc>
        <w:tc>
          <w:tcPr>
            <w:tcW w:w="1969" w:type="dxa"/>
          </w:tcPr>
          <w:p w:rsidR="00C07288" w:rsidRPr="00C07288" w:rsidP="00C07288" w14:paraId="109389E2" w14:textId="77777777">
            <w:pPr>
              <w:widowControl/>
              <w:spacing w:before="0" w:line="240" w:lineRule="auto"/>
              <w:rPr>
                <w:sz w:val="22"/>
                <w:szCs w:val="22"/>
              </w:rPr>
            </w:pPr>
            <w:r w:rsidRPr="00C07288">
              <w:rPr>
                <w:sz w:val="22"/>
                <w:szCs w:val="22"/>
              </w:rPr>
              <w:t xml:space="preserve">One Time:  </w:t>
            </w:r>
            <w:r w:rsidRPr="00C07288">
              <w:rPr>
                <w:sz w:val="22"/>
                <w:szCs w:val="20"/>
              </w:rPr>
              <w:t>36,960 hours; $3,440,783</w:t>
            </w:r>
          </w:p>
          <w:p w:rsidR="00C07288" w:rsidRPr="00C07288" w:rsidP="00C07288" w14:paraId="071D5B87" w14:textId="77777777">
            <w:pPr>
              <w:widowControl/>
              <w:spacing w:before="0" w:line="240" w:lineRule="auto"/>
              <w:rPr>
                <w:sz w:val="22"/>
                <w:szCs w:val="22"/>
              </w:rPr>
            </w:pPr>
          </w:p>
          <w:p w:rsidR="00C07288" w:rsidRPr="00C07288" w:rsidP="00C07288" w14:paraId="0C4CF4E8" w14:textId="77777777">
            <w:pPr>
              <w:widowControl/>
              <w:spacing w:before="0" w:line="240" w:lineRule="auto"/>
              <w:rPr>
                <w:sz w:val="22"/>
                <w:szCs w:val="20"/>
              </w:rPr>
            </w:pPr>
            <w:r w:rsidRPr="00C07288">
              <w:rPr>
                <w:sz w:val="22"/>
                <w:szCs w:val="22"/>
              </w:rPr>
              <w:t>Ongoing:  0 hours per year; $0 per year</w:t>
            </w:r>
          </w:p>
        </w:tc>
      </w:tr>
      <w:tr w14:paraId="0BA9E72E" w14:textId="77777777">
        <w:tblPrEx>
          <w:tblW w:w="9576" w:type="dxa"/>
          <w:tblLook w:val="04A0"/>
        </w:tblPrEx>
        <w:trPr>
          <w:trHeight w:val="1160"/>
        </w:trPr>
        <w:tc>
          <w:tcPr>
            <w:tcW w:w="2538" w:type="dxa"/>
          </w:tcPr>
          <w:p w:rsidR="00C07288" w:rsidRPr="00C07288" w:rsidP="00C07288" w14:paraId="0B0C39E0" w14:textId="77777777">
            <w:pPr>
              <w:widowControl/>
              <w:spacing w:before="0" w:line="240" w:lineRule="auto"/>
              <w:rPr>
                <w:sz w:val="22"/>
                <w:szCs w:val="20"/>
              </w:rPr>
            </w:pPr>
            <w:r w:rsidRPr="00C07288">
              <w:rPr>
                <w:sz w:val="22"/>
                <w:szCs w:val="20"/>
              </w:rPr>
              <w:t>E</w:t>
            </w:r>
            <w:r w:rsidRPr="00C07288">
              <w:rPr>
                <w:sz w:val="22"/>
                <w:szCs w:val="22"/>
              </w:rPr>
              <w:t>stablish a six-month time period during which transmission providers must, among other things, provide a forum for negotiation that enables participation by Relevant State Entities and to discuss potential Long-Term Regional Cost Allocation Methods and/or a State Agreement Process.</w:t>
            </w:r>
          </w:p>
        </w:tc>
        <w:tc>
          <w:tcPr>
            <w:tcW w:w="1993" w:type="dxa"/>
          </w:tcPr>
          <w:p w:rsidR="00C07288" w:rsidRPr="00C07288" w:rsidP="00C07288" w14:paraId="6F151007" w14:textId="77777777">
            <w:pPr>
              <w:widowControl/>
              <w:spacing w:before="0" w:line="240" w:lineRule="auto"/>
              <w:rPr>
                <w:sz w:val="22"/>
                <w:szCs w:val="22"/>
              </w:rPr>
            </w:pPr>
            <w:r w:rsidRPr="00C07288">
              <w:rPr>
                <w:sz w:val="22"/>
                <w:szCs w:val="20"/>
              </w:rPr>
              <w:t xml:space="preserve">48 </w:t>
            </w:r>
            <w:r w:rsidRPr="00C07288">
              <w:rPr>
                <w:sz w:val="22"/>
                <w:szCs w:val="22"/>
              </w:rPr>
              <w:t>transmission providers with OATTs</w:t>
            </w:r>
          </w:p>
        </w:tc>
        <w:tc>
          <w:tcPr>
            <w:tcW w:w="997" w:type="dxa"/>
          </w:tcPr>
          <w:p w:rsidR="00C07288" w:rsidRPr="00C07288" w:rsidP="00C07288" w14:paraId="1614CB97" w14:textId="77777777">
            <w:pPr>
              <w:widowControl/>
              <w:spacing w:before="0" w:line="240" w:lineRule="auto"/>
              <w:rPr>
                <w:sz w:val="22"/>
                <w:szCs w:val="20"/>
              </w:rPr>
            </w:pPr>
            <w:r w:rsidRPr="00C07288">
              <w:rPr>
                <w:sz w:val="22"/>
                <w:szCs w:val="20"/>
              </w:rPr>
              <w:t>48</w:t>
            </w:r>
          </w:p>
        </w:tc>
        <w:tc>
          <w:tcPr>
            <w:tcW w:w="1775" w:type="dxa"/>
          </w:tcPr>
          <w:p w:rsidR="00C07288" w:rsidRPr="00C07288" w:rsidP="00C07288" w14:paraId="36D31AD3" w14:textId="77777777">
            <w:pPr>
              <w:widowControl/>
              <w:spacing w:before="0" w:line="240" w:lineRule="auto"/>
              <w:rPr>
                <w:sz w:val="22"/>
                <w:szCs w:val="20"/>
              </w:rPr>
            </w:pPr>
            <w:r w:rsidRPr="00C07288">
              <w:rPr>
                <w:sz w:val="22"/>
                <w:szCs w:val="20"/>
              </w:rPr>
              <w:t>One Time: 390 hours; $36,307</w:t>
            </w:r>
          </w:p>
          <w:p w:rsidR="00C07288" w:rsidRPr="00C07288" w:rsidP="00C07288" w14:paraId="5BB8E89E" w14:textId="77777777">
            <w:pPr>
              <w:widowControl/>
              <w:spacing w:before="0" w:line="240" w:lineRule="auto"/>
              <w:rPr>
                <w:sz w:val="22"/>
                <w:szCs w:val="20"/>
              </w:rPr>
            </w:pPr>
          </w:p>
          <w:p w:rsidR="00C07288" w:rsidRPr="00C07288" w:rsidP="00C07288" w14:paraId="5FC0D8AD" w14:textId="77777777">
            <w:pPr>
              <w:widowControl/>
              <w:spacing w:before="0" w:line="240" w:lineRule="auto"/>
              <w:rPr>
                <w:sz w:val="22"/>
                <w:szCs w:val="20"/>
              </w:rPr>
            </w:pPr>
          </w:p>
          <w:p w:rsidR="00C07288" w:rsidRPr="00C07288" w:rsidP="00C07288" w14:paraId="0445588A" w14:textId="77777777">
            <w:pPr>
              <w:widowControl/>
              <w:spacing w:before="0" w:line="240" w:lineRule="auto"/>
              <w:rPr>
                <w:sz w:val="22"/>
                <w:szCs w:val="20"/>
              </w:rPr>
            </w:pPr>
            <w:r w:rsidRPr="00C07288">
              <w:rPr>
                <w:sz w:val="22"/>
                <w:szCs w:val="20"/>
              </w:rPr>
              <w:t xml:space="preserve">Ongoing: </w:t>
            </w:r>
            <w:r w:rsidRPr="00C07288">
              <w:rPr>
                <w:sz w:val="22"/>
                <w:szCs w:val="22"/>
              </w:rPr>
              <w:t xml:space="preserve">0 </w:t>
            </w:r>
            <w:r w:rsidRPr="00C07288">
              <w:rPr>
                <w:sz w:val="22"/>
                <w:szCs w:val="22"/>
              </w:rPr>
              <w:t>hours per year; $0 per year</w:t>
            </w:r>
          </w:p>
          <w:p w:rsidR="00C07288" w:rsidRPr="00C07288" w:rsidP="00C07288" w14:paraId="73626AFD" w14:textId="77777777">
            <w:pPr>
              <w:widowControl/>
              <w:spacing w:before="0" w:line="240" w:lineRule="auto"/>
              <w:rPr>
                <w:sz w:val="22"/>
                <w:szCs w:val="20"/>
              </w:rPr>
            </w:pPr>
          </w:p>
          <w:p w:rsidR="00C07288" w:rsidRPr="00C07288" w:rsidP="00C07288" w14:paraId="21AF6958" w14:textId="77777777">
            <w:pPr>
              <w:widowControl/>
              <w:spacing w:before="0" w:line="240" w:lineRule="auto"/>
              <w:rPr>
                <w:sz w:val="22"/>
                <w:szCs w:val="20"/>
              </w:rPr>
            </w:pPr>
          </w:p>
        </w:tc>
        <w:tc>
          <w:tcPr>
            <w:tcW w:w="1969" w:type="dxa"/>
          </w:tcPr>
          <w:p w:rsidR="00C07288" w:rsidRPr="00C07288" w:rsidP="00C07288" w14:paraId="61690B24" w14:textId="77777777">
            <w:pPr>
              <w:widowControl/>
              <w:spacing w:before="0" w:line="240" w:lineRule="auto"/>
              <w:rPr>
                <w:sz w:val="22"/>
                <w:szCs w:val="20"/>
              </w:rPr>
            </w:pPr>
            <w:r w:rsidRPr="00C07288">
              <w:rPr>
                <w:sz w:val="22"/>
                <w:szCs w:val="20"/>
              </w:rPr>
              <w:t>One Time: 18,720 hours; $1,742,734</w:t>
            </w:r>
          </w:p>
          <w:p w:rsidR="00C07288" w:rsidRPr="00C07288" w:rsidP="00C07288" w14:paraId="15DD4A6F" w14:textId="77777777">
            <w:pPr>
              <w:widowControl/>
              <w:spacing w:before="0" w:line="240" w:lineRule="auto"/>
              <w:rPr>
                <w:sz w:val="22"/>
                <w:szCs w:val="20"/>
              </w:rPr>
            </w:pPr>
          </w:p>
          <w:p w:rsidR="00C07288" w:rsidRPr="00C07288" w:rsidP="00C07288" w14:paraId="657D3C72" w14:textId="77777777">
            <w:pPr>
              <w:widowControl/>
              <w:spacing w:before="0" w:line="240" w:lineRule="auto"/>
              <w:rPr>
                <w:sz w:val="22"/>
                <w:szCs w:val="20"/>
              </w:rPr>
            </w:pPr>
            <w:r w:rsidRPr="00C07288">
              <w:rPr>
                <w:sz w:val="22"/>
                <w:szCs w:val="20"/>
              </w:rPr>
              <w:t xml:space="preserve">Ongoing: </w:t>
            </w:r>
            <w:r w:rsidRPr="00C07288">
              <w:rPr>
                <w:sz w:val="22"/>
                <w:szCs w:val="22"/>
              </w:rPr>
              <w:t xml:space="preserve">0 </w:t>
            </w:r>
            <w:r w:rsidRPr="00C07288">
              <w:rPr>
                <w:sz w:val="22"/>
                <w:szCs w:val="22"/>
              </w:rPr>
              <w:t>hours per year; $0 per year</w:t>
            </w:r>
          </w:p>
          <w:p w:rsidR="00C07288" w:rsidRPr="00C07288" w:rsidP="00C07288" w14:paraId="1084BD21" w14:textId="77777777">
            <w:pPr>
              <w:widowControl/>
              <w:spacing w:before="0" w:line="240" w:lineRule="auto"/>
              <w:rPr>
                <w:sz w:val="22"/>
                <w:szCs w:val="20"/>
              </w:rPr>
            </w:pPr>
          </w:p>
          <w:p w:rsidR="00C07288" w:rsidRPr="00C07288" w:rsidP="00C07288" w14:paraId="4F585B0D" w14:textId="77777777">
            <w:pPr>
              <w:widowControl/>
              <w:spacing w:before="0" w:line="240" w:lineRule="auto"/>
              <w:rPr>
                <w:sz w:val="22"/>
                <w:szCs w:val="20"/>
              </w:rPr>
            </w:pPr>
          </w:p>
        </w:tc>
      </w:tr>
      <w:tr w14:paraId="21CDABB2" w14:textId="77777777">
        <w:tblPrEx>
          <w:tblW w:w="9576" w:type="dxa"/>
          <w:tblLook w:val="04A0"/>
        </w:tblPrEx>
        <w:trPr>
          <w:trHeight w:val="2304"/>
        </w:trPr>
        <w:tc>
          <w:tcPr>
            <w:tcW w:w="2538" w:type="dxa"/>
            <w:vMerge w:val="restart"/>
          </w:tcPr>
          <w:p w:rsidR="00C07288" w:rsidRPr="00C07288" w:rsidP="00C07288" w14:paraId="101680F1" w14:textId="77777777">
            <w:pPr>
              <w:widowControl/>
              <w:spacing w:before="0" w:line="240" w:lineRule="auto"/>
              <w:rPr>
                <w:sz w:val="22"/>
                <w:szCs w:val="22"/>
              </w:rPr>
            </w:pPr>
            <w:r w:rsidRPr="00C07288">
              <w:rPr>
                <w:sz w:val="22"/>
                <w:szCs w:val="22"/>
              </w:rPr>
              <w:t xml:space="preserve">Participate in Long-Term Regional Transmission Planning, which includes </w:t>
            </w:r>
            <w:r w:rsidRPr="00C07288">
              <w:rPr>
                <w:sz w:val="22"/>
                <w:szCs w:val="20"/>
              </w:rPr>
              <w:t xml:space="preserve">creating and updating datasets, </w:t>
            </w:r>
            <w:r w:rsidRPr="00C07288">
              <w:rPr>
                <w:sz w:val="22"/>
                <w:szCs w:val="22"/>
              </w:rPr>
              <w:t xml:space="preserve">developing Long-Term Scenarios, evaluating the benefits of Long-Term Regional Transmission Facilities, </w:t>
            </w:r>
            <w:r w:rsidRPr="00C07288">
              <w:rPr>
                <w:sz w:val="22"/>
                <w:szCs w:val="22"/>
              </w:rPr>
              <w:t>and establishing criteria in consultation with Relevant State Entities and stakeholders to select Long-Term Regional Transmission Facilities in the regional transmission plan for purposes of cost allocation.</w:t>
            </w:r>
          </w:p>
        </w:tc>
        <w:tc>
          <w:tcPr>
            <w:tcW w:w="1993" w:type="dxa"/>
          </w:tcPr>
          <w:p w:rsidR="00C07288" w:rsidRPr="00C07288" w:rsidP="00C07288" w14:paraId="4A5D5DFD" w14:textId="77777777">
            <w:pPr>
              <w:widowControl/>
              <w:spacing w:before="0" w:line="240" w:lineRule="auto"/>
              <w:rPr>
                <w:sz w:val="22"/>
                <w:szCs w:val="22"/>
              </w:rPr>
            </w:pPr>
            <w:r w:rsidRPr="00C07288">
              <w:rPr>
                <w:sz w:val="22"/>
                <w:szCs w:val="22"/>
              </w:rPr>
              <w:t>48 transmission providers with OATTs</w:t>
            </w:r>
          </w:p>
          <w:p w:rsidR="00C07288" w:rsidRPr="00C07288" w:rsidP="00C07288" w14:paraId="7AEB94D7" w14:textId="77777777">
            <w:pPr>
              <w:widowControl/>
              <w:spacing w:before="0" w:line="240" w:lineRule="auto"/>
              <w:rPr>
                <w:sz w:val="22"/>
                <w:szCs w:val="22"/>
              </w:rPr>
            </w:pPr>
          </w:p>
        </w:tc>
        <w:tc>
          <w:tcPr>
            <w:tcW w:w="997" w:type="dxa"/>
          </w:tcPr>
          <w:p w:rsidR="00C07288" w:rsidRPr="00C07288" w:rsidP="00C07288" w14:paraId="3AB9E575" w14:textId="77777777">
            <w:pPr>
              <w:widowControl/>
              <w:spacing w:before="0" w:line="240" w:lineRule="auto"/>
              <w:rPr>
                <w:sz w:val="22"/>
                <w:szCs w:val="22"/>
              </w:rPr>
            </w:pPr>
            <w:r w:rsidRPr="00C07288">
              <w:rPr>
                <w:sz w:val="22"/>
                <w:szCs w:val="22"/>
              </w:rPr>
              <w:t>48</w:t>
            </w:r>
          </w:p>
        </w:tc>
        <w:tc>
          <w:tcPr>
            <w:tcW w:w="1775" w:type="dxa"/>
          </w:tcPr>
          <w:p w:rsidR="00C07288" w:rsidRPr="00C07288" w:rsidP="00C07288" w14:paraId="08A47BF8" w14:textId="77777777">
            <w:pPr>
              <w:widowControl/>
              <w:spacing w:before="0" w:line="240" w:lineRule="auto"/>
              <w:rPr>
                <w:sz w:val="22"/>
                <w:szCs w:val="22"/>
              </w:rPr>
            </w:pPr>
            <w:r w:rsidRPr="00C07288">
              <w:rPr>
                <w:sz w:val="22"/>
                <w:szCs w:val="22"/>
              </w:rPr>
              <w:t>One Time:  0 hours; $0</w:t>
            </w:r>
          </w:p>
          <w:p w:rsidR="00C07288" w:rsidRPr="00C07288" w:rsidP="00C07288" w14:paraId="293490FE" w14:textId="77777777">
            <w:pPr>
              <w:widowControl/>
              <w:spacing w:before="0" w:line="240" w:lineRule="auto"/>
              <w:rPr>
                <w:sz w:val="22"/>
                <w:szCs w:val="22"/>
              </w:rPr>
            </w:pPr>
          </w:p>
          <w:p w:rsidR="00C07288" w:rsidRPr="00C07288" w:rsidP="00C07288" w14:paraId="60AB2714" w14:textId="77777777">
            <w:pPr>
              <w:widowControl/>
              <w:spacing w:before="0" w:line="240" w:lineRule="auto"/>
              <w:rPr>
                <w:sz w:val="22"/>
                <w:szCs w:val="22"/>
              </w:rPr>
            </w:pPr>
            <w:r w:rsidRPr="00C07288">
              <w:rPr>
                <w:sz w:val="22"/>
                <w:szCs w:val="22"/>
              </w:rPr>
              <w:t xml:space="preserve">Ongoing:  </w:t>
            </w:r>
            <w:r w:rsidRPr="00C07288">
              <w:rPr>
                <w:sz w:val="22"/>
                <w:szCs w:val="22"/>
              </w:rPr>
              <w:br/>
            </w:r>
            <w:r w:rsidRPr="00C07288">
              <w:rPr>
                <w:sz w:val="22"/>
                <w:szCs w:val="20"/>
              </w:rPr>
              <w:t>4,500 hours per year; $418,926 per year</w:t>
            </w:r>
          </w:p>
        </w:tc>
        <w:tc>
          <w:tcPr>
            <w:tcW w:w="1969" w:type="dxa"/>
          </w:tcPr>
          <w:p w:rsidR="00C07288" w:rsidRPr="00C07288" w:rsidP="00C07288" w14:paraId="21071D0F" w14:textId="77777777">
            <w:pPr>
              <w:widowControl/>
              <w:spacing w:before="0" w:line="240" w:lineRule="auto"/>
              <w:rPr>
                <w:sz w:val="22"/>
                <w:szCs w:val="22"/>
              </w:rPr>
            </w:pPr>
            <w:r w:rsidRPr="00C07288">
              <w:rPr>
                <w:sz w:val="22"/>
                <w:szCs w:val="22"/>
              </w:rPr>
              <w:t>One Time:  0 hours; $0</w:t>
            </w:r>
          </w:p>
          <w:p w:rsidR="00C07288" w:rsidRPr="00C07288" w:rsidP="00C07288" w14:paraId="28F2866B" w14:textId="77777777">
            <w:pPr>
              <w:widowControl/>
              <w:spacing w:before="0" w:line="240" w:lineRule="auto"/>
              <w:rPr>
                <w:sz w:val="22"/>
                <w:szCs w:val="22"/>
              </w:rPr>
            </w:pPr>
          </w:p>
          <w:p w:rsidR="00C07288" w:rsidRPr="00C07288" w:rsidP="00C07288" w14:paraId="7B1B72A9" w14:textId="77777777">
            <w:pPr>
              <w:widowControl/>
              <w:spacing w:before="0" w:line="240" w:lineRule="auto"/>
              <w:rPr>
                <w:sz w:val="22"/>
                <w:szCs w:val="20"/>
              </w:rPr>
            </w:pPr>
            <w:r w:rsidRPr="00C07288">
              <w:rPr>
                <w:sz w:val="22"/>
                <w:szCs w:val="22"/>
              </w:rPr>
              <w:t xml:space="preserve">Ongoing:  </w:t>
            </w:r>
            <w:r w:rsidRPr="00C07288">
              <w:rPr>
                <w:sz w:val="22"/>
                <w:szCs w:val="22"/>
              </w:rPr>
              <w:br/>
            </w:r>
            <w:r w:rsidRPr="00C07288">
              <w:rPr>
                <w:sz w:val="22"/>
                <w:szCs w:val="20"/>
              </w:rPr>
              <w:t xml:space="preserve">216,000 hours per year; </w:t>
            </w:r>
          </w:p>
          <w:p w:rsidR="00C07288" w:rsidRPr="00C07288" w:rsidP="00C07288" w14:paraId="670ABBA6" w14:textId="77777777">
            <w:pPr>
              <w:widowControl/>
              <w:spacing w:before="0" w:line="240" w:lineRule="auto"/>
              <w:rPr>
                <w:sz w:val="22"/>
                <w:szCs w:val="22"/>
              </w:rPr>
            </w:pPr>
            <w:r w:rsidRPr="00C07288">
              <w:rPr>
                <w:sz w:val="22"/>
                <w:szCs w:val="20"/>
              </w:rPr>
              <w:t>$20,108,471 per year</w:t>
            </w:r>
          </w:p>
        </w:tc>
      </w:tr>
      <w:tr w14:paraId="07559C3A" w14:textId="77777777">
        <w:tblPrEx>
          <w:tblW w:w="9576" w:type="dxa"/>
          <w:tblLook w:val="04A0"/>
        </w:tblPrEx>
        <w:trPr>
          <w:trHeight w:val="2304"/>
        </w:trPr>
        <w:tc>
          <w:tcPr>
            <w:tcW w:w="2538" w:type="dxa"/>
            <w:vMerge/>
          </w:tcPr>
          <w:p w:rsidR="00C07288" w:rsidRPr="00C07288" w:rsidP="00C07288" w14:paraId="6A407DB7" w14:textId="77777777">
            <w:pPr>
              <w:widowControl/>
              <w:spacing w:before="0" w:line="240" w:lineRule="auto"/>
              <w:rPr>
                <w:sz w:val="22"/>
                <w:szCs w:val="20"/>
              </w:rPr>
            </w:pPr>
          </w:p>
        </w:tc>
        <w:tc>
          <w:tcPr>
            <w:tcW w:w="1993" w:type="dxa"/>
          </w:tcPr>
          <w:p w:rsidR="00C07288" w:rsidRPr="00C07288" w:rsidP="00C07288" w14:paraId="4723BC35" w14:textId="77777777">
            <w:pPr>
              <w:widowControl/>
              <w:spacing w:before="0" w:line="240" w:lineRule="auto"/>
              <w:rPr>
                <w:sz w:val="22"/>
                <w:szCs w:val="20"/>
              </w:rPr>
            </w:pPr>
            <w:r w:rsidRPr="00C07288">
              <w:rPr>
                <w:sz w:val="22"/>
                <w:szCs w:val="20"/>
              </w:rPr>
              <w:t>77 transmission providers without OATTs</w:t>
            </w:r>
          </w:p>
        </w:tc>
        <w:tc>
          <w:tcPr>
            <w:tcW w:w="997" w:type="dxa"/>
          </w:tcPr>
          <w:p w:rsidR="00C07288" w:rsidRPr="00C07288" w:rsidP="00C07288" w14:paraId="40F81838" w14:textId="77777777">
            <w:pPr>
              <w:widowControl/>
              <w:spacing w:before="0" w:line="240" w:lineRule="auto"/>
              <w:rPr>
                <w:sz w:val="22"/>
                <w:szCs w:val="20"/>
              </w:rPr>
            </w:pPr>
            <w:r w:rsidRPr="00C07288">
              <w:rPr>
                <w:sz w:val="22"/>
                <w:szCs w:val="20"/>
              </w:rPr>
              <w:t>77</w:t>
            </w:r>
          </w:p>
        </w:tc>
        <w:tc>
          <w:tcPr>
            <w:tcW w:w="1775" w:type="dxa"/>
          </w:tcPr>
          <w:p w:rsidR="00C07288" w:rsidRPr="00C07288" w:rsidP="00C07288" w14:paraId="08C5E374" w14:textId="77777777">
            <w:pPr>
              <w:widowControl/>
              <w:spacing w:before="0" w:line="240" w:lineRule="auto"/>
              <w:rPr>
                <w:sz w:val="22"/>
                <w:szCs w:val="22"/>
              </w:rPr>
            </w:pPr>
            <w:r w:rsidRPr="00C07288">
              <w:rPr>
                <w:sz w:val="22"/>
                <w:szCs w:val="22"/>
              </w:rPr>
              <w:t>One Time:  0 hours; $0</w:t>
            </w:r>
          </w:p>
          <w:p w:rsidR="00C07288" w:rsidRPr="00C07288" w:rsidP="00C07288" w14:paraId="2AB39B14" w14:textId="77777777">
            <w:pPr>
              <w:widowControl/>
              <w:spacing w:before="0" w:line="240" w:lineRule="auto"/>
              <w:rPr>
                <w:sz w:val="22"/>
                <w:szCs w:val="22"/>
              </w:rPr>
            </w:pPr>
          </w:p>
          <w:p w:rsidR="00C07288" w:rsidRPr="00C07288" w:rsidP="00C07288" w14:paraId="4751221C" w14:textId="77777777">
            <w:pPr>
              <w:widowControl/>
              <w:spacing w:before="0" w:line="240" w:lineRule="auto"/>
              <w:rPr>
                <w:sz w:val="22"/>
                <w:szCs w:val="20"/>
              </w:rPr>
            </w:pPr>
            <w:r w:rsidRPr="00C07288">
              <w:rPr>
                <w:sz w:val="22"/>
                <w:szCs w:val="22"/>
              </w:rPr>
              <w:t xml:space="preserve">Ongoing: </w:t>
            </w:r>
            <w:r w:rsidRPr="00C07288">
              <w:rPr>
                <w:sz w:val="22"/>
                <w:szCs w:val="20"/>
              </w:rPr>
              <w:t>200 hours per year; $18,619</w:t>
            </w:r>
          </w:p>
        </w:tc>
        <w:tc>
          <w:tcPr>
            <w:tcW w:w="1969" w:type="dxa"/>
          </w:tcPr>
          <w:p w:rsidR="00C07288" w:rsidRPr="00C07288" w:rsidP="00C07288" w14:paraId="0E966FD4" w14:textId="77777777">
            <w:pPr>
              <w:widowControl/>
              <w:spacing w:before="0" w:line="240" w:lineRule="auto"/>
              <w:rPr>
                <w:sz w:val="22"/>
                <w:szCs w:val="22"/>
              </w:rPr>
            </w:pPr>
            <w:r w:rsidRPr="00C07288">
              <w:rPr>
                <w:sz w:val="22"/>
                <w:szCs w:val="22"/>
              </w:rPr>
              <w:t>One Time:  0 hours; $0</w:t>
            </w:r>
          </w:p>
          <w:p w:rsidR="00C07288" w:rsidRPr="00C07288" w:rsidP="00C07288" w14:paraId="3C4CE1D2" w14:textId="77777777">
            <w:pPr>
              <w:widowControl/>
              <w:spacing w:before="0" w:line="240" w:lineRule="auto"/>
              <w:rPr>
                <w:sz w:val="22"/>
                <w:szCs w:val="22"/>
              </w:rPr>
            </w:pPr>
          </w:p>
          <w:p w:rsidR="00C07288" w:rsidRPr="00C07288" w:rsidP="00C07288" w14:paraId="6C800BE7" w14:textId="77777777">
            <w:pPr>
              <w:widowControl/>
              <w:spacing w:before="0" w:line="240" w:lineRule="auto"/>
              <w:rPr>
                <w:sz w:val="22"/>
                <w:szCs w:val="20"/>
              </w:rPr>
            </w:pPr>
            <w:r w:rsidRPr="00C07288">
              <w:rPr>
                <w:sz w:val="22"/>
                <w:szCs w:val="20"/>
              </w:rPr>
              <w:t xml:space="preserve">Ongoing: </w:t>
            </w:r>
            <w:r w:rsidRPr="00C07288">
              <w:rPr>
                <w:sz w:val="22"/>
                <w:szCs w:val="22"/>
              </w:rPr>
              <w:t xml:space="preserve">  15,400 hours per year; $1,433,659 per year</w:t>
            </w:r>
          </w:p>
        </w:tc>
      </w:tr>
      <w:tr w14:paraId="60205170" w14:textId="77777777">
        <w:tblPrEx>
          <w:tblW w:w="9576" w:type="dxa"/>
          <w:tblLook w:val="04A0"/>
        </w:tblPrEx>
        <w:trPr>
          <w:trHeight w:val="2304"/>
        </w:trPr>
        <w:tc>
          <w:tcPr>
            <w:tcW w:w="2538" w:type="dxa"/>
            <w:vMerge w:val="restart"/>
          </w:tcPr>
          <w:p w:rsidR="00C07288" w:rsidRPr="00C07288" w:rsidP="00C07288" w14:paraId="7A57018F" w14:textId="77777777">
            <w:pPr>
              <w:widowControl/>
              <w:spacing w:before="0" w:line="240" w:lineRule="auto"/>
              <w:rPr>
                <w:sz w:val="22"/>
                <w:szCs w:val="20"/>
              </w:rPr>
            </w:pPr>
            <w:r w:rsidRPr="00C07288">
              <w:rPr>
                <w:sz w:val="22"/>
                <w:szCs w:val="22"/>
              </w:rPr>
              <w:t>Revise the regional transmission planning process to enhance transparency of local transmission planning and identifying potential opportunities to right-size replacement transmission facilities.</w:t>
            </w:r>
          </w:p>
        </w:tc>
        <w:tc>
          <w:tcPr>
            <w:tcW w:w="1993" w:type="dxa"/>
          </w:tcPr>
          <w:p w:rsidR="00C07288" w:rsidRPr="00C07288" w:rsidP="00C07288" w14:paraId="76E3B665" w14:textId="77777777">
            <w:pPr>
              <w:widowControl/>
              <w:spacing w:before="0" w:line="240" w:lineRule="auto"/>
              <w:rPr>
                <w:sz w:val="22"/>
                <w:szCs w:val="22"/>
              </w:rPr>
            </w:pPr>
            <w:r w:rsidRPr="00C07288">
              <w:rPr>
                <w:sz w:val="22"/>
                <w:szCs w:val="22"/>
              </w:rPr>
              <w:t>48 transmission providers with OATTs</w:t>
            </w:r>
          </w:p>
          <w:p w:rsidR="00C07288" w:rsidRPr="00C07288" w:rsidP="00C07288" w14:paraId="18D92CD1" w14:textId="77777777">
            <w:pPr>
              <w:widowControl/>
              <w:spacing w:before="0" w:line="240" w:lineRule="auto"/>
              <w:rPr>
                <w:sz w:val="22"/>
                <w:szCs w:val="20"/>
              </w:rPr>
            </w:pPr>
          </w:p>
        </w:tc>
        <w:tc>
          <w:tcPr>
            <w:tcW w:w="997" w:type="dxa"/>
          </w:tcPr>
          <w:p w:rsidR="00C07288" w:rsidRPr="00C07288" w:rsidP="00C07288" w14:paraId="5E990599" w14:textId="77777777">
            <w:pPr>
              <w:widowControl/>
              <w:spacing w:before="0" w:line="240" w:lineRule="auto"/>
              <w:rPr>
                <w:sz w:val="22"/>
                <w:szCs w:val="20"/>
              </w:rPr>
            </w:pPr>
            <w:r w:rsidRPr="00C07288">
              <w:rPr>
                <w:sz w:val="22"/>
                <w:szCs w:val="22"/>
              </w:rPr>
              <w:t>48</w:t>
            </w:r>
          </w:p>
        </w:tc>
        <w:tc>
          <w:tcPr>
            <w:tcW w:w="1775" w:type="dxa"/>
          </w:tcPr>
          <w:p w:rsidR="00C07288" w:rsidRPr="00C07288" w:rsidP="00C07288" w14:paraId="2F7896D9" w14:textId="77777777">
            <w:pPr>
              <w:widowControl/>
              <w:spacing w:before="0" w:line="240" w:lineRule="auto"/>
              <w:rPr>
                <w:sz w:val="22"/>
                <w:szCs w:val="22"/>
              </w:rPr>
            </w:pPr>
            <w:r w:rsidRPr="00C07288">
              <w:rPr>
                <w:sz w:val="22"/>
                <w:szCs w:val="22"/>
              </w:rPr>
              <w:t>One Time:  30 hours; $2,793</w:t>
            </w:r>
          </w:p>
          <w:p w:rsidR="00C07288" w:rsidRPr="00C07288" w:rsidP="00C07288" w14:paraId="403FDB9F" w14:textId="77777777">
            <w:pPr>
              <w:widowControl/>
              <w:spacing w:before="0" w:line="240" w:lineRule="auto"/>
              <w:rPr>
                <w:sz w:val="22"/>
                <w:szCs w:val="22"/>
              </w:rPr>
            </w:pPr>
          </w:p>
          <w:p w:rsidR="00C07288" w:rsidRPr="00C07288" w:rsidP="00C07288" w14:paraId="6CD945F7" w14:textId="77777777">
            <w:pPr>
              <w:widowControl/>
              <w:spacing w:before="0" w:line="240" w:lineRule="auto"/>
              <w:rPr>
                <w:sz w:val="22"/>
                <w:szCs w:val="20"/>
              </w:rPr>
            </w:pPr>
            <w:r w:rsidRPr="00C07288">
              <w:rPr>
                <w:sz w:val="22"/>
                <w:szCs w:val="22"/>
              </w:rPr>
              <w:t>Ongoing:  120 hours per year; $11,172 per year</w:t>
            </w:r>
          </w:p>
        </w:tc>
        <w:tc>
          <w:tcPr>
            <w:tcW w:w="1969" w:type="dxa"/>
          </w:tcPr>
          <w:p w:rsidR="00C07288" w:rsidRPr="00C07288" w:rsidP="00C07288" w14:paraId="665E0173" w14:textId="77777777">
            <w:pPr>
              <w:widowControl/>
              <w:spacing w:before="0" w:line="240" w:lineRule="auto"/>
              <w:rPr>
                <w:sz w:val="22"/>
                <w:szCs w:val="22"/>
              </w:rPr>
            </w:pPr>
            <w:r w:rsidRPr="00C07288">
              <w:rPr>
                <w:sz w:val="22"/>
                <w:szCs w:val="22"/>
              </w:rPr>
              <w:t>One Time:  1,440 hours; $134,056</w:t>
            </w:r>
          </w:p>
          <w:p w:rsidR="00C07288" w:rsidRPr="00C07288" w:rsidP="00C07288" w14:paraId="3F6A8832" w14:textId="77777777">
            <w:pPr>
              <w:widowControl/>
              <w:spacing w:before="0" w:line="240" w:lineRule="auto"/>
              <w:rPr>
                <w:sz w:val="22"/>
                <w:szCs w:val="22"/>
              </w:rPr>
            </w:pPr>
          </w:p>
          <w:p w:rsidR="00C07288" w:rsidRPr="00C07288" w:rsidP="00C07288" w14:paraId="74F7C3D2" w14:textId="77777777">
            <w:pPr>
              <w:widowControl/>
              <w:spacing w:before="0" w:line="240" w:lineRule="auto"/>
              <w:rPr>
                <w:sz w:val="22"/>
                <w:szCs w:val="20"/>
              </w:rPr>
            </w:pPr>
            <w:r w:rsidRPr="00C07288">
              <w:rPr>
                <w:sz w:val="22"/>
                <w:szCs w:val="22"/>
              </w:rPr>
              <w:t>Ongoing:  5,760 hours per year; $536,226 per year</w:t>
            </w:r>
          </w:p>
        </w:tc>
      </w:tr>
      <w:tr w14:paraId="593B5626" w14:textId="77777777">
        <w:tblPrEx>
          <w:tblW w:w="9576" w:type="dxa"/>
          <w:tblLook w:val="04A0"/>
        </w:tblPrEx>
        <w:trPr>
          <w:trHeight w:val="2304"/>
        </w:trPr>
        <w:tc>
          <w:tcPr>
            <w:tcW w:w="2538" w:type="dxa"/>
            <w:vMerge/>
          </w:tcPr>
          <w:p w:rsidR="00C07288" w:rsidRPr="00C07288" w:rsidP="00C07288" w14:paraId="52E12328" w14:textId="77777777">
            <w:pPr>
              <w:widowControl/>
              <w:spacing w:before="0" w:line="240" w:lineRule="auto"/>
              <w:rPr>
                <w:sz w:val="22"/>
                <w:szCs w:val="20"/>
              </w:rPr>
            </w:pPr>
          </w:p>
        </w:tc>
        <w:tc>
          <w:tcPr>
            <w:tcW w:w="1993" w:type="dxa"/>
          </w:tcPr>
          <w:p w:rsidR="00C07288" w:rsidRPr="00C07288" w:rsidP="00C07288" w14:paraId="220E9DD5" w14:textId="77777777">
            <w:pPr>
              <w:widowControl/>
              <w:spacing w:before="0" w:line="240" w:lineRule="auto"/>
              <w:rPr>
                <w:sz w:val="22"/>
                <w:szCs w:val="20"/>
              </w:rPr>
            </w:pPr>
            <w:r w:rsidRPr="00C07288">
              <w:rPr>
                <w:sz w:val="22"/>
                <w:szCs w:val="20"/>
              </w:rPr>
              <w:t>77 transmission providers without OATTs</w:t>
            </w:r>
          </w:p>
        </w:tc>
        <w:tc>
          <w:tcPr>
            <w:tcW w:w="997" w:type="dxa"/>
          </w:tcPr>
          <w:p w:rsidR="00C07288" w:rsidRPr="00C07288" w:rsidP="00C07288" w14:paraId="25C9C83A" w14:textId="77777777">
            <w:pPr>
              <w:widowControl/>
              <w:spacing w:before="0" w:line="240" w:lineRule="auto"/>
              <w:rPr>
                <w:sz w:val="22"/>
                <w:szCs w:val="20"/>
              </w:rPr>
            </w:pPr>
            <w:r w:rsidRPr="00C07288">
              <w:rPr>
                <w:sz w:val="22"/>
                <w:szCs w:val="20"/>
              </w:rPr>
              <w:t xml:space="preserve">77 </w:t>
            </w:r>
          </w:p>
        </w:tc>
        <w:tc>
          <w:tcPr>
            <w:tcW w:w="1775" w:type="dxa"/>
          </w:tcPr>
          <w:p w:rsidR="00C07288" w:rsidRPr="00C07288" w:rsidP="00C07288" w14:paraId="4913165D" w14:textId="77777777">
            <w:pPr>
              <w:widowControl/>
              <w:spacing w:before="0" w:line="240" w:lineRule="auto"/>
              <w:rPr>
                <w:sz w:val="22"/>
                <w:szCs w:val="22"/>
              </w:rPr>
            </w:pPr>
            <w:r w:rsidRPr="00C07288">
              <w:rPr>
                <w:sz w:val="22"/>
                <w:szCs w:val="22"/>
              </w:rPr>
              <w:t>One Time: 20 hours; $1,862</w:t>
            </w:r>
          </w:p>
          <w:p w:rsidR="00C07288" w:rsidRPr="00C07288" w:rsidP="00C07288" w14:paraId="7C4DB796" w14:textId="77777777">
            <w:pPr>
              <w:widowControl/>
              <w:spacing w:before="0" w:line="240" w:lineRule="auto"/>
              <w:rPr>
                <w:sz w:val="22"/>
                <w:szCs w:val="22"/>
              </w:rPr>
            </w:pPr>
          </w:p>
          <w:p w:rsidR="00C07288" w:rsidRPr="00C07288" w:rsidP="00C07288" w14:paraId="4C88F279" w14:textId="77777777">
            <w:pPr>
              <w:widowControl/>
              <w:spacing w:before="0" w:line="240" w:lineRule="auto"/>
              <w:rPr>
                <w:sz w:val="22"/>
                <w:szCs w:val="20"/>
              </w:rPr>
            </w:pPr>
            <w:r w:rsidRPr="00C07288">
              <w:rPr>
                <w:sz w:val="22"/>
                <w:szCs w:val="22"/>
              </w:rPr>
              <w:t>Ongoing: 40 hours per year; $3,724 per year</w:t>
            </w:r>
          </w:p>
        </w:tc>
        <w:tc>
          <w:tcPr>
            <w:tcW w:w="1969" w:type="dxa"/>
          </w:tcPr>
          <w:p w:rsidR="00C07288" w:rsidRPr="00C07288" w:rsidP="00C07288" w14:paraId="3CCAE4E6" w14:textId="77777777">
            <w:pPr>
              <w:widowControl/>
              <w:spacing w:before="0" w:line="240" w:lineRule="auto"/>
              <w:rPr>
                <w:sz w:val="22"/>
                <w:szCs w:val="22"/>
              </w:rPr>
            </w:pPr>
            <w:r w:rsidRPr="00C07288">
              <w:rPr>
                <w:sz w:val="22"/>
                <w:szCs w:val="22"/>
              </w:rPr>
              <w:t>One Time: 1,540 hours; $143,366</w:t>
            </w:r>
          </w:p>
          <w:p w:rsidR="00C07288" w:rsidRPr="00C07288" w:rsidP="00C07288" w14:paraId="4EBC1655" w14:textId="77777777">
            <w:pPr>
              <w:widowControl/>
              <w:spacing w:before="0" w:line="240" w:lineRule="auto"/>
              <w:rPr>
                <w:sz w:val="22"/>
                <w:szCs w:val="22"/>
              </w:rPr>
            </w:pPr>
          </w:p>
          <w:p w:rsidR="00C07288" w:rsidRPr="00C07288" w:rsidP="00C07288" w14:paraId="20B19F5C" w14:textId="77777777">
            <w:pPr>
              <w:widowControl/>
              <w:spacing w:before="0" w:line="240" w:lineRule="auto"/>
              <w:rPr>
                <w:sz w:val="22"/>
                <w:szCs w:val="20"/>
              </w:rPr>
            </w:pPr>
            <w:r w:rsidRPr="00C07288">
              <w:rPr>
                <w:sz w:val="22"/>
                <w:szCs w:val="22"/>
              </w:rPr>
              <w:t>Ongoing:  3,080 hours per year; $286,732 per year</w:t>
            </w:r>
          </w:p>
        </w:tc>
      </w:tr>
      <w:tr w14:paraId="7DAE532D" w14:textId="77777777">
        <w:tblPrEx>
          <w:tblW w:w="9576" w:type="dxa"/>
          <w:tblLook w:val="04A0"/>
        </w:tblPrEx>
        <w:tc>
          <w:tcPr>
            <w:tcW w:w="2538" w:type="dxa"/>
            <w:vMerge w:val="restart"/>
          </w:tcPr>
          <w:p w:rsidR="00C07288" w:rsidRPr="00C07288" w:rsidP="00C07288" w14:paraId="5464E5D1" w14:textId="77777777">
            <w:pPr>
              <w:widowControl/>
              <w:spacing w:before="0" w:line="240" w:lineRule="auto"/>
              <w:rPr>
                <w:sz w:val="22"/>
                <w:szCs w:val="20"/>
              </w:rPr>
            </w:pPr>
            <w:r w:rsidRPr="00C07288">
              <w:rPr>
                <w:sz w:val="22"/>
                <w:szCs w:val="20"/>
              </w:rPr>
              <w:t>Evaluate whether certain alternative transmission technologies can meet the transmission needs identified in Order No. 1000 regional transmission planning processes and in Long-Term Regional Transmission Planning process more efficiently or cost-effectively than transmission facilities without such alternative transmission technologies.</w:t>
            </w:r>
          </w:p>
        </w:tc>
        <w:tc>
          <w:tcPr>
            <w:tcW w:w="1993" w:type="dxa"/>
          </w:tcPr>
          <w:p w:rsidR="00C07288" w:rsidRPr="00C07288" w:rsidP="00C07288" w14:paraId="3DD15FFD" w14:textId="77777777">
            <w:pPr>
              <w:widowControl/>
              <w:spacing w:before="0" w:line="240" w:lineRule="auto"/>
              <w:rPr>
                <w:sz w:val="22"/>
                <w:szCs w:val="22"/>
              </w:rPr>
            </w:pPr>
            <w:r w:rsidRPr="00C07288">
              <w:rPr>
                <w:sz w:val="22"/>
                <w:szCs w:val="22"/>
              </w:rPr>
              <w:t>48 transmission providers with OATTs</w:t>
            </w:r>
          </w:p>
          <w:p w:rsidR="00C07288" w:rsidRPr="00C07288" w:rsidP="00C07288" w14:paraId="245C3751" w14:textId="77777777">
            <w:pPr>
              <w:widowControl/>
              <w:spacing w:before="0" w:line="240" w:lineRule="auto"/>
              <w:rPr>
                <w:sz w:val="22"/>
                <w:szCs w:val="20"/>
              </w:rPr>
            </w:pPr>
          </w:p>
        </w:tc>
        <w:tc>
          <w:tcPr>
            <w:tcW w:w="997" w:type="dxa"/>
          </w:tcPr>
          <w:p w:rsidR="00C07288" w:rsidRPr="00C07288" w:rsidP="00C07288" w14:paraId="00C2E011" w14:textId="77777777">
            <w:pPr>
              <w:widowControl/>
              <w:spacing w:before="0" w:line="240" w:lineRule="auto"/>
              <w:rPr>
                <w:sz w:val="22"/>
                <w:szCs w:val="20"/>
              </w:rPr>
            </w:pPr>
            <w:r w:rsidRPr="00C07288">
              <w:rPr>
                <w:sz w:val="22"/>
                <w:szCs w:val="22"/>
              </w:rPr>
              <w:t>48</w:t>
            </w:r>
          </w:p>
        </w:tc>
        <w:tc>
          <w:tcPr>
            <w:tcW w:w="1775" w:type="dxa"/>
          </w:tcPr>
          <w:p w:rsidR="00C07288" w:rsidRPr="00C07288" w:rsidP="00C07288" w14:paraId="4F1AA426" w14:textId="77777777">
            <w:pPr>
              <w:widowControl/>
              <w:spacing w:before="0" w:line="240" w:lineRule="auto"/>
              <w:rPr>
                <w:sz w:val="22"/>
                <w:szCs w:val="22"/>
              </w:rPr>
            </w:pPr>
            <w:r w:rsidRPr="00C07288">
              <w:rPr>
                <w:sz w:val="22"/>
                <w:szCs w:val="22"/>
              </w:rPr>
              <w:t>One Time:  0 hours; $0</w:t>
            </w:r>
          </w:p>
          <w:p w:rsidR="00C07288" w:rsidRPr="00C07288" w:rsidP="00C07288" w14:paraId="4C181395" w14:textId="77777777">
            <w:pPr>
              <w:widowControl/>
              <w:spacing w:before="0" w:line="240" w:lineRule="auto"/>
              <w:rPr>
                <w:sz w:val="22"/>
                <w:szCs w:val="22"/>
              </w:rPr>
            </w:pPr>
          </w:p>
          <w:p w:rsidR="00C07288" w:rsidRPr="00C07288" w:rsidP="00C07288" w14:paraId="52B40EE6" w14:textId="77777777">
            <w:pPr>
              <w:widowControl/>
              <w:spacing w:before="0" w:line="240" w:lineRule="auto"/>
              <w:rPr>
                <w:sz w:val="22"/>
                <w:szCs w:val="22"/>
              </w:rPr>
            </w:pPr>
            <w:r w:rsidRPr="00C07288">
              <w:rPr>
                <w:sz w:val="22"/>
                <w:szCs w:val="22"/>
              </w:rPr>
              <w:t>Ongoing:  100 hours per year; $9,309 per year</w:t>
            </w:r>
          </w:p>
          <w:p w:rsidR="00C07288" w:rsidRPr="00C07288" w:rsidP="00C07288" w14:paraId="60AC6A3D" w14:textId="77777777">
            <w:pPr>
              <w:widowControl/>
              <w:spacing w:before="0" w:line="240" w:lineRule="auto"/>
              <w:rPr>
                <w:sz w:val="22"/>
                <w:szCs w:val="20"/>
              </w:rPr>
            </w:pPr>
          </w:p>
        </w:tc>
        <w:tc>
          <w:tcPr>
            <w:tcW w:w="1969" w:type="dxa"/>
          </w:tcPr>
          <w:p w:rsidR="00C07288" w:rsidRPr="00C07288" w:rsidP="00C07288" w14:paraId="51749A73" w14:textId="77777777">
            <w:pPr>
              <w:widowControl/>
              <w:spacing w:before="0" w:line="240" w:lineRule="auto"/>
              <w:rPr>
                <w:sz w:val="22"/>
                <w:szCs w:val="22"/>
              </w:rPr>
            </w:pPr>
            <w:r w:rsidRPr="00C07288">
              <w:rPr>
                <w:sz w:val="22"/>
                <w:szCs w:val="22"/>
              </w:rPr>
              <w:t>One Time:  0 hours; $0</w:t>
            </w:r>
          </w:p>
          <w:p w:rsidR="00C07288" w:rsidRPr="00C07288" w:rsidP="00C07288" w14:paraId="01560406" w14:textId="77777777">
            <w:pPr>
              <w:widowControl/>
              <w:spacing w:before="0" w:line="240" w:lineRule="auto"/>
              <w:rPr>
                <w:sz w:val="22"/>
                <w:szCs w:val="22"/>
              </w:rPr>
            </w:pPr>
          </w:p>
          <w:p w:rsidR="00C07288" w:rsidRPr="00C07288" w:rsidP="00C07288" w14:paraId="5BE51047" w14:textId="77777777">
            <w:pPr>
              <w:widowControl/>
              <w:spacing w:before="0" w:line="240" w:lineRule="auto"/>
              <w:rPr>
                <w:sz w:val="22"/>
                <w:szCs w:val="20"/>
              </w:rPr>
            </w:pPr>
            <w:r w:rsidRPr="00C07288">
              <w:rPr>
                <w:sz w:val="22"/>
                <w:szCs w:val="22"/>
              </w:rPr>
              <w:t>Ongoing:  4,800 hours per year; $446,855 per year</w:t>
            </w:r>
          </w:p>
        </w:tc>
      </w:tr>
      <w:tr w14:paraId="1E93BD46" w14:textId="77777777">
        <w:tblPrEx>
          <w:tblW w:w="9576" w:type="dxa"/>
          <w:tblLook w:val="04A0"/>
        </w:tblPrEx>
        <w:tc>
          <w:tcPr>
            <w:tcW w:w="2538" w:type="dxa"/>
            <w:vMerge/>
          </w:tcPr>
          <w:p w:rsidR="00C07288" w:rsidRPr="00C07288" w:rsidP="00C07288" w14:paraId="23B9D36B" w14:textId="77777777">
            <w:pPr>
              <w:widowControl/>
              <w:spacing w:before="0" w:line="240" w:lineRule="auto"/>
              <w:rPr>
                <w:sz w:val="22"/>
                <w:szCs w:val="20"/>
              </w:rPr>
            </w:pPr>
          </w:p>
        </w:tc>
        <w:tc>
          <w:tcPr>
            <w:tcW w:w="1993" w:type="dxa"/>
          </w:tcPr>
          <w:p w:rsidR="00C07288" w:rsidRPr="00C07288" w:rsidP="00C07288" w14:paraId="2AF08345" w14:textId="77777777">
            <w:pPr>
              <w:widowControl/>
              <w:spacing w:before="0" w:line="240" w:lineRule="auto"/>
              <w:rPr>
                <w:sz w:val="22"/>
                <w:szCs w:val="20"/>
              </w:rPr>
            </w:pPr>
            <w:r w:rsidRPr="00C07288">
              <w:rPr>
                <w:sz w:val="22"/>
                <w:szCs w:val="20"/>
              </w:rPr>
              <w:t>77 transmission providers without OATTs</w:t>
            </w:r>
          </w:p>
        </w:tc>
        <w:tc>
          <w:tcPr>
            <w:tcW w:w="997" w:type="dxa"/>
          </w:tcPr>
          <w:p w:rsidR="00C07288" w:rsidRPr="00C07288" w:rsidP="00C07288" w14:paraId="67E8A7E9" w14:textId="77777777">
            <w:pPr>
              <w:widowControl/>
              <w:spacing w:before="0" w:line="240" w:lineRule="auto"/>
              <w:rPr>
                <w:sz w:val="22"/>
                <w:szCs w:val="20"/>
              </w:rPr>
            </w:pPr>
            <w:r w:rsidRPr="00C07288">
              <w:rPr>
                <w:sz w:val="22"/>
                <w:szCs w:val="20"/>
              </w:rPr>
              <w:t>77</w:t>
            </w:r>
          </w:p>
        </w:tc>
        <w:tc>
          <w:tcPr>
            <w:tcW w:w="1775" w:type="dxa"/>
          </w:tcPr>
          <w:p w:rsidR="00C07288" w:rsidRPr="00C07288" w:rsidP="00C07288" w14:paraId="637E782C" w14:textId="77777777">
            <w:pPr>
              <w:widowControl/>
              <w:spacing w:before="0" w:line="240" w:lineRule="auto"/>
              <w:rPr>
                <w:sz w:val="22"/>
                <w:szCs w:val="22"/>
              </w:rPr>
            </w:pPr>
            <w:r w:rsidRPr="00C07288">
              <w:rPr>
                <w:sz w:val="22"/>
                <w:szCs w:val="22"/>
              </w:rPr>
              <w:t>One Time:  0 hours; $0</w:t>
            </w:r>
          </w:p>
          <w:p w:rsidR="00C07288" w:rsidRPr="00C07288" w:rsidP="00C07288" w14:paraId="05D52AB9" w14:textId="77777777">
            <w:pPr>
              <w:widowControl/>
              <w:spacing w:before="0" w:line="240" w:lineRule="auto"/>
              <w:rPr>
                <w:sz w:val="22"/>
                <w:szCs w:val="22"/>
              </w:rPr>
            </w:pPr>
          </w:p>
          <w:p w:rsidR="00C07288" w:rsidRPr="00C07288" w:rsidP="00C07288" w14:paraId="5DD49C8C" w14:textId="77777777">
            <w:pPr>
              <w:widowControl/>
              <w:spacing w:before="0" w:line="240" w:lineRule="auto"/>
              <w:rPr>
                <w:sz w:val="22"/>
                <w:szCs w:val="20"/>
              </w:rPr>
            </w:pPr>
            <w:r w:rsidRPr="00C07288">
              <w:rPr>
                <w:sz w:val="22"/>
                <w:szCs w:val="22"/>
              </w:rPr>
              <w:t xml:space="preserve">Ongoing: 20 hours per year; </w:t>
            </w:r>
            <w:r w:rsidRPr="00C07288">
              <w:rPr>
                <w:sz w:val="22"/>
                <w:szCs w:val="20"/>
              </w:rPr>
              <w:t>$1,862</w:t>
            </w:r>
            <w:r w:rsidRPr="00C07288">
              <w:rPr>
                <w:sz w:val="22"/>
                <w:szCs w:val="22"/>
              </w:rPr>
              <w:t xml:space="preserve"> per year </w:t>
            </w:r>
          </w:p>
        </w:tc>
        <w:tc>
          <w:tcPr>
            <w:tcW w:w="1969" w:type="dxa"/>
          </w:tcPr>
          <w:p w:rsidR="00C07288" w:rsidRPr="00C07288" w:rsidP="00C07288" w14:paraId="4086A08B" w14:textId="77777777">
            <w:pPr>
              <w:widowControl/>
              <w:spacing w:before="0" w:line="240" w:lineRule="auto"/>
              <w:rPr>
                <w:sz w:val="22"/>
                <w:szCs w:val="22"/>
              </w:rPr>
            </w:pPr>
            <w:r w:rsidRPr="00C07288">
              <w:rPr>
                <w:sz w:val="22"/>
                <w:szCs w:val="22"/>
              </w:rPr>
              <w:t>One Time:  0 hours; $0</w:t>
            </w:r>
          </w:p>
          <w:p w:rsidR="00C07288" w:rsidRPr="00C07288" w:rsidP="00C07288" w14:paraId="07C9CDBD" w14:textId="77777777">
            <w:pPr>
              <w:widowControl/>
              <w:spacing w:before="0" w:line="240" w:lineRule="auto"/>
              <w:rPr>
                <w:sz w:val="22"/>
                <w:szCs w:val="22"/>
              </w:rPr>
            </w:pPr>
          </w:p>
          <w:p w:rsidR="00C07288" w:rsidRPr="00C07288" w:rsidP="00C07288" w14:paraId="63E68BF2" w14:textId="77777777">
            <w:pPr>
              <w:widowControl/>
              <w:spacing w:before="0" w:line="240" w:lineRule="auto"/>
              <w:rPr>
                <w:sz w:val="22"/>
                <w:szCs w:val="20"/>
              </w:rPr>
            </w:pPr>
            <w:r w:rsidRPr="00C07288">
              <w:rPr>
                <w:sz w:val="22"/>
                <w:szCs w:val="22"/>
              </w:rPr>
              <w:t>Ongoing:   1540 hours per year; $143,366 per year</w:t>
            </w:r>
          </w:p>
        </w:tc>
      </w:tr>
      <w:tr w14:paraId="7DE1BD8B" w14:textId="77777777">
        <w:tblPrEx>
          <w:tblW w:w="9576" w:type="dxa"/>
          <w:tblLook w:val="04A0"/>
        </w:tblPrEx>
        <w:tc>
          <w:tcPr>
            <w:tcW w:w="2538" w:type="dxa"/>
          </w:tcPr>
          <w:p w:rsidR="00C07288" w:rsidRPr="00C07288" w:rsidP="00C07288" w14:paraId="24D0F1A9" w14:textId="77777777">
            <w:pPr>
              <w:widowControl/>
              <w:spacing w:before="0" w:line="240" w:lineRule="auto"/>
              <w:rPr>
                <w:sz w:val="22"/>
                <w:szCs w:val="22"/>
              </w:rPr>
            </w:pPr>
            <w:r w:rsidRPr="00C07288">
              <w:rPr>
                <w:sz w:val="22"/>
                <w:szCs w:val="22"/>
              </w:rPr>
              <w:t>Consider in the Order No. 1000 regional transmission planning processes regional transmission facilities that address certain interconnection-related needs.</w:t>
            </w:r>
          </w:p>
        </w:tc>
        <w:tc>
          <w:tcPr>
            <w:tcW w:w="1993" w:type="dxa"/>
          </w:tcPr>
          <w:p w:rsidR="00C07288" w:rsidRPr="00C07288" w:rsidP="00C07288" w14:paraId="7ED3A1F4" w14:textId="77777777">
            <w:pPr>
              <w:widowControl/>
              <w:spacing w:before="0" w:line="240" w:lineRule="auto"/>
              <w:rPr>
                <w:sz w:val="22"/>
                <w:szCs w:val="22"/>
              </w:rPr>
            </w:pPr>
            <w:r w:rsidRPr="00C07288">
              <w:rPr>
                <w:sz w:val="22"/>
                <w:szCs w:val="22"/>
              </w:rPr>
              <w:t>48 transmission providers with OATTs</w:t>
            </w:r>
          </w:p>
          <w:p w:rsidR="00C07288" w:rsidRPr="00C07288" w:rsidP="00C07288" w14:paraId="17F90B60" w14:textId="77777777">
            <w:pPr>
              <w:widowControl/>
              <w:spacing w:before="0" w:line="240" w:lineRule="auto"/>
              <w:rPr>
                <w:sz w:val="22"/>
                <w:szCs w:val="22"/>
              </w:rPr>
            </w:pPr>
          </w:p>
        </w:tc>
        <w:tc>
          <w:tcPr>
            <w:tcW w:w="997" w:type="dxa"/>
          </w:tcPr>
          <w:p w:rsidR="00C07288" w:rsidRPr="00C07288" w:rsidP="00C07288" w14:paraId="48360D8F" w14:textId="77777777">
            <w:pPr>
              <w:widowControl/>
              <w:spacing w:before="0" w:line="240" w:lineRule="auto"/>
              <w:rPr>
                <w:sz w:val="22"/>
                <w:szCs w:val="22"/>
              </w:rPr>
            </w:pPr>
            <w:r w:rsidRPr="00C07288">
              <w:rPr>
                <w:sz w:val="22"/>
                <w:szCs w:val="22"/>
              </w:rPr>
              <w:t>48</w:t>
            </w:r>
          </w:p>
        </w:tc>
        <w:tc>
          <w:tcPr>
            <w:tcW w:w="1775" w:type="dxa"/>
          </w:tcPr>
          <w:p w:rsidR="00C07288" w:rsidRPr="00C07288" w:rsidP="00C07288" w14:paraId="5CB2FCD1" w14:textId="77777777">
            <w:pPr>
              <w:widowControl/>
              <w:spacing w:before="0" w:line="240" w:lineRule="auto"/>
              <w:rPr>
                <w:sz w:val="22"/>
                <w:szCs w:val="22"/>
              </w:rPr>
            </w:pPr>
            <w:r w:rsidRPr="00C07288">
              <w:rPr>
                <w:sz w:val="22"/>
                <w:szCs w:val="22"/>
              </w:rPr>
              <w:t>One Time:  0 hours; $0</w:t>
            </w:r>
          </w:p>
          <w:p w:rsidR="00C07288" w:rsidRPr="00C07288" w:rsidP="00C07288" w14:paraId="5999BDE8" w14:textId="77777777">
            <w:pPr>
              <w:widowControl/>
              <w:spacing w:before="0" w:line="240" w:lineRule="auto"/>
              <w:rPr>
                <w:sz w:val="22"/>
                <w:szCs w:val="22"/>
              </w:rPr>
            </w:pPr>
          </w:p>
          <w:p w:rsidR="00C07288" w:rsidRPr="00C07288" w:rsidP="00C07288" w14:paraId="7A176144" w14:textId="77777777">
            <w:pPr>
              <w:widowControl/>
              <w:spacing w:before="0" w:line="240" w:lineRule="auto"/>
              <w:rPr>
                <w:sz w:val="22"/>
                <w:szCs w:val="22"/>
              </w:rPr>
            </w:pPr>
            <w:r w:rsidRPr="00C07288">
              <w:rPr>
                <w:sz w:val="22"/>
                <w:szCs w:val="22"/>
              </w:rPr>
              <w:t>Ongoing:  50 hours per year; $4,655 per year</w:t>
            </w:r>
          </w:p>
        </w:tc>
        <w:tc>
          <w:tcPr>
            <w:tcW w:w="1969" w:type="dxa"/>
          </w:tcPr>
          <w:p w:rsidR="00C07288" w:rsidRPr="00C07288" w:rsidP="00C07288" w14:paraId="6DFB74CC" w14:textId="77777777">
            <w:pPr>
              <w:widowControl/>
              <w:spacing w:before="0" w:line="240" w:lineRule="auto"/>
              <w:rPr>
                <w:sz w:val="22"/>
                <w:szCs w:val="22"/>
              </w:rPr>
            </w:pPr>
            <w:r w:rsidRPr="00C07288">
              <w:rPr>
                <w:sz w:val="22"/>
                <w:szCs w:val="22"/>
              </w:rPr>
              <w:t>One Time:  0 hours; $0</w:t>
            </w:r>
          </w:p>
          <w:p w:rsidR="00C07288" w:rsidRPr="00C07288" w:rsidP="00C07288" w14:paraId="62BCA321" w14:textId="77777777">
            <w:pPr>
              <w:widowControl/>
              <w:spacing w:before="0" w:line="240" w:lineRule="auto"/>
              <w:rPr>
                <w:sz w:val="22"/>
                <w:szCs w:val="22"/>
              </w:rPr>
            </w:pPr>
          </w:p>
          <w:p w:rsidR="00C07288" w:rsidRPr="00C07288" w:rsidP="00C07288" w14:paraId="79CB0DEA" w14:textId="77777777">
            <w:pPr>
              <w:widowControl/>
              <w:spacing w:before="0" w:line="240" w:lineRule="auto"/>
              <w:rPr>
                <w:sz w:val="22"/>
                <w:szCs w:val="22"/>
              </w:rPr>
            </w:pPr>
            <w:r w:rsidRPr="00C07288">
              <w:rPr>
                <w:sz w:val="22"/>
                <w:szCs w:val="22"/>
              </w:rPr>
              <w:t>Ongoing:  2,400 hours per year; $223,427 per year</w:t>
            </w:r>
          </w:p>
        </w:tc>
      </w:tr>
      <w:tr w14:paraId="29992EC8" w14:textId="77777777">
        <w:tblPrEx>
          <w:tblW w:w="9576" w:type="dxa"/>
          <w:tblLook w:val="04A0"/>
        </w:tblPrEx>
        <w:tc>
          <w:tcPr>
            <w:tcW w:w="2538" w:type="dxa"/>
          </w:tcPr>
          <w:p w:rsidR="00C07288" w:rsidRPr="00C07288" w:rsidP="00C07288" w14:paraId="5831814B" w14:textId="77777777">
            <w:pPr>
              <w:widowControl/>
              <w:spacing w:before="0" w:line="240" w:lineRule="auto"/>
              <w:rPr>
                <w:sz w:val="22"/>
                <w:szCs w:val="22"/>
              </w:rPr>
            </w:pPr>
            <w:r w:rsidRPr="00C07288">
              <w:rPr>
                <w:sz w:val="22"/>
                <w:szCs w:val="22"/>
              </w:rPr>
              <w:t>Share with the transmission providers in neighboring transmission planning regions information regarding Long-Term Transmission Needs and potential transmission facilities to meet those needs; identify and jointly evaluate interregional transmission facilities with the transmission providers in neighboring transmission planning regions; and publicly post certain information regarding interregional coordination processes applied to Long-Term Regional Transmission Planning.</w:t>
            </w:r>
          </w:p>
        </w:tc>
        <w:tc>
          <w:tcPr>
            <w:tcW w:w="1993" w:type="dxa"/>
          </w:tcPr>
          <w:p w:rsidR="00C07288" w:rsidRPr="00C07288" w:rsidP="00C07288" w14:paraId="7E3A0790" w14:textId="77777777">
            <w:pPr>
              <w:widowControl/>
              <w:spacing w:before="0" w:line="240" w:lineRule="auto"/>
              <w:rPr>
                <w:sz w:val="22"/>
                <w:szCs w:val="22"/>
              </w:rPr>
            </w:pPr>
            <w:r w:rsidRPr="00C07288">
              <w:rPr>
                <w:sz w:val="22"/>
                <w:szCs w:val="22"/>
              </w:rPr>
              <w:t>48 transmission providers with OATTs</w:t>
            </w:r>
          </w:p>
          <w:p w:rsidR="00C07288" w:rsidRPr="00C07288" w:rsidP="00C07288" w14:paraId="1341200B" w14:textId="77777777">
            <w:pPr>
              <w:widowControl/>
              <w:spacing w:before="0" w:line="240" w:lineRule="auto"/>
              <w:rPr>
                <w:sz w:val="22"/>
                <w:szCs w:val="22"/>
              </w:rPr>
            </w:pPr>
          </w:p>
        </w:tc>
        <w:tc>
          <w:tcPr>
            <w:tcW w:w="997" w:type="dxa"/>
          </w:tcPr>
          <w:p w:rsidR="00C07288" w:rsidRPr="00C07288" w:rsidP="00C07288" w14:paraId="4476FBDF" w14:textId="77777777">
            <w:pPr>
              <w:widowControl/>
              <w:spacing w:before="0" w:line="240" w:lineRule="auto"/>
              <w:rPr>
                <w:sz w:val="22"/>
                <w:szCs w:val="22"/>
              </w:rPr>
            </w:pPr>
            <w:r w:rsidRPr="00C07288">
              <w:rPr>
                <w:sz w:val="22"/>
                <w:szCs w:val="22"/>
              </w:rPr>
              <w:t>48</w:t>
            </w:r>
          </w:p>
        </w:tc>
        <w:tc>
          <w:tcPr>
            <w:tcW w:w="1775" w:type="dxa"/>
          </w:tcPr>
          <w:p w:rsidR="00C07288" w:rsidRPr="00C07288" w:rsidP="00C07288" w14:paraId="23A9647E" w14:textId="77777777">
            <w:pPr>
              <w:widowControl/>
              <w:spacing w:before="0" w:line="240" w:lineRule="auto"/>
              <w:rPr>
                <w:sz w:val="22"/>
                <w:szCs w:val="22"/>
              </w:rPr>
            </w:pPr>
            <w:r w:rsidRPr="00C07288">
              <w:rPr>
                <w:sz w:val="22"/>
                <w:szCs w:val="22"/>
              </w:rPr>
              <w:t>One Time:  0 hours; $0</w:t>
            </w:r>
          </w:p>
          <w:p w:rsidR="00C07288" w:rsidRPr="00C07288" w:rsidP="00C07288" w14:paraId="3480FE61" w14:textId="77777777">
            <w:pPr>
              <w:widowControl/>
              <w:spacing w:before="0" w:line="240" w:lineRule="auto"/>
              <w:rPr>
                <w:sz w:val="22"/>
                <w:szCs w:val="22"/>
              </w:rPr>
            </w:pPr>
          </w:p>
          <w:p w:rsidR="00C07288" w:rsidRPr="00C07288" w:rsidP="00C07288" w14:paraId="53ABA973" w14:textId="77777777">
            <w:pPr>
              <w:widowControl/>
              <w:spacing w:before="0" w:line="240" w:lineRule="auto"/>
              <w:rPr>
                <w:sz w:val="22"/>
                <w:szCs w:val="22"/>
              </w:rPr>
            </w:pPr>
            <w:r w:rsidRPr="00C07288">
              <w:rPr>
                <w:sz w:val="22"/>
                <w:szCs w:val="22"/>
              </w:rPr>
              <w:t>Ongoing:  25 hours per year; $2,327 per year</w:t>
            </w:r>
          </w:p>
          <w:p w:rsidR="00C07288" w:rsidRPr="00C07288" w:rsidP="00C07288" w14:paraId="7B90954A" w14:textId="77777777">
            <w:pPr>
              <w:widowControl/>
              <w:spacing w:before="0" w:line="240" w:lineRule="auto"/>
              <w:rPr>
                <w:sz w:val="22"/>
                <w:szCs w:val="22"/>
              </w:rPr>
            </w:pPr>
          </w:p>
        </w:tc>
        <w:tc>
          <w:tcPr>
            <w:tcW w:w="1969" w:type="dxa"/>
          </w:tcPr>
          <w:p w:rsidR="00C07288" w:rsidRPr="00C07288" w:rsidP="00C07288" w14:paraId="74BC2307" w14:textId="77777777">
            <w:pPr>
              <w:widowControl/>
              <w:spacing w:before="0" w:line="240" w:lineRule="auto"/>
              <w:rPr>
                <w:sz w:val="22"/>
                <w:szCs w:val="22"/>
              </w:rPr>
            </w:pPr>
            <w:r w:rsidRPr="00C07288">
              <w:rPr>
                <w:sz w:val="22"/>
                <w:szCs w:val="22"/>
              </w:rPr>
              <w:t>One Time:  0 hours; $0</w:t>
            </w:r>
          </w:p>
          <w:p w:rsidR="00C07288" w:rsidRPr="00C07288" w:rsidP="00C07288" w14:paraId="7098BA27" w14:textId="77777777">
            <w:pPr>
              <w:widowControl/>
              <w:spacing w:before="0" w:line="240" w:lineRule="auto"/>
              <w:rPr>
                <w:sz w:val="22"/>
                <w:szCs w:val="22"/>
              </w:rPr>
            </w:pPr>
          </w:p>
          <w:p w:rsidR="00C07288" w:rsidRPr="00C07288" w:rsidP="00C07288" w14:paraId="2E2A58B0" w14:textId="77777777">
            <w:pPr>
              <w:widowControl/>
              <w:spacing w:before="0" w:line="240" w:lineRule="auto"/>
              <w:rPr>
                <w:sz w:val="22"/>
                <w:szCs w:val="22"/>
              </w:rPr>
            </w:pPr>
            <w:r w:rsidRPr="00C07288">
              <w:rPr>
                <w:sz w:val="22"/>
                <w:szCs w:val="22"/>
              </w:rPr>
              <w:t>Ongoing:  1,200 hours per year; $111,714 per year</w:t>
            </w:r>
          </w:p>
        </w:tc>
      </w:tr>
      <w:tr w14:paraId="17503359" w14:textId="77777777">
        <w:tblPrEx>
          <w:tblW w:w="9576" w:type="dxa"/>
          <w:tblLook w:val="04A0"/>
        </w:tblPrEx>
        <w:tc>
          <w:tcPr>
            <w:tcW w:w="2538" w:type="dxa"/>
            <w:vMerge w:val="restart"/>
          </w:tcPr>
          <w:p w:rsidR="00C07288" w:rsidRPr="00C07288" w:rsidP="00C07288" w14:paraId="74A47623" w14:textId="77777777">
            <w:pPr>
              <w:widowControl/>
              <w:spacing w:before="0" w:line="240" w:lineRule="auto"/>
              <w:rPr>
                <w:sz w:val="22"/>
                <w:szCs w:val="20"/>
              </w:rPr>
            </w:pPr>
            <w:r w:rsidRPr="00C07288">
              <w:rPr>
                <w:b/>
                <w:bCs/>
                <w:sz w:val="22"/>
                <w:szCs w:val="20"/>
              </w:rPr>
              <w:t>Total burden for the revisions of FERC 917 due to RM21-17</w:t>
            </w:r>
          </w:p>
        </w:tc>
        <w:tc>
          <w:tcPr>
            <w:tcW w:w="1993" w:type="dxa"/>
          </w:tcPr>
          <w:p w:rsidR="00C07288" w:rsidRPr="00C07288" w:rsidP="00C07288" w14:paraId="6455017E" w14:textId="77777777">
            <w:pPr>
              <w:widowControl/>
              <w:spacing w:before="0" w:line="240" w:lineRule="auto"/>
              <w:rPr>
                <w:sz w:val="22"/>
                <w:szCs w:val="22"/>
              </w:rPr>
            </w:pPr>
            <w:r w:rsidRPr="00C07288">
              <w:rPr>
                <w:sz w:val="22"/>
                <w:szCs w:val="22"/>
              </w:rPr>
              <w:t>48 transmission providers with OATTs</w:t>
            </w:r>
          </w:p>
          <w:p w:rsidR="00C07288" w:rsidRPr="00C07288" w:rsidP="00C07288" w14:paraId="2C272474" w14:textId="77777777">
            <w:pPr>
              <w:widowControl/>
              <w:spacing w:before="0" w:line="240" w:lineRule="auto"/>
              <w:rPr>
                <w:sz w:val="22"/>
                <w:szCs w:val="20"/>
              </w:rPr>
            </w:pPr>
          </w:p>
        </w:tc>
        <w:tc>
          <w:tcPr>
            <w:tcW w:w="997" w:type="dxa"/>
          </w:tcPr>
          <w:p w:rsidR="00C07288" w:rsidRPr="00C07288" w:rsidP="00C07288" w14:paraId="74AE3C45" w14:textId="77777777">
            <w:pPr>
              <w:widowControl/>
              <w:spacing w:before="0" w:line="240" w:lineRule="auto"/>
              <w:rPr>
                <w:sz w:val="22"/>
                <w:szCs w:val="20"/>
              </w:rPr>
            </w:pPr>
            <w:r w:rsidRPr="00C07288">
              <w:rPr>
                <w:sz w:val="22"/>
                <w:szCs w:val="22"/>
              </w:rPr>
              <w:t>48</w:t>
            </w:r>
          </w:p>
        </w:tc>
        <w:tc>
          <w:tcPr>
            <w:tcW w:w="1775" w:type="dxa"/>
          </w:tcPr>
          <w:p w:rsidR="00C07288" w:rsidRPr="00C07288" w:rsidP="00C07288" w14:paraId="5B4B23DE" w14:textId="77777777">
            <w:pPr>
              <w:widowControl/>
              <w:spacing w:before="0" w:line="240" w:lineRule="auto"/>
              <w:rPr>
                <w:sz w:val="22"/>
                <w:szCs w:val="22"/>
              </w:rPr>
            </w:pPr>
            <w:r w:rsidRPr="00C07288">
              <w:rPr>
                <w:sz w:val="22"/>
                <w:szCs w:val="22"/>
              </w:rPr>
              <w:t>One Time: 1,190 hours; $110,783</w:t>
            </w:r>
          </w:p>
          <w:p w:rsidR="00C07288" w:rsidRPr="00C07288" w:rsidP="00C07288" w14:paraId="6CABDEC7" w14:textId="77777777">
            <w:pPr>
              <w:widowControl/>
              <w:spacing w:before="0" w:line="240" w:lineRule="auto"/>
              <w:rPr>
                <w:sz w:val="22"/>
                <w:szCs w:val="22"/>
              </w:rPr>
            </w:pPr>
          </w:p>
          <w:p w:rsidR="00C07288" w:rsidRPr="00C07288" w:rsidP="00C07288" w14:paraId="188E5E0C" w14:textId="77777777">
            <w:pPr>
              <w:widowControl/>
              <w:spacing w:before="0" w:line="240" w:lineRule="auto"/>
              <w:rPr>
                <w:sz w:val="22"/>
                <w:szCs w:val="20"/>
              </w:rPr>
            </w:pPr>
            <w:r w:rsidRPr="00C07288">
              <w:rPr>
                <w:sz w:val="22"/>
                <w:szCs w:val="22"/>
              </w:rPr>
              <w:t>Ongoing:  4,795 hours per year; $</w:t>
            </w:r>
            <w:bookmarkStart w:id="5" w:name="_Hlk162256869"/>
            <w:r w:rsidRPr="00C07288">
              <w:rPr>
                <w:sz w:val="22"/>
                <w:szCs w:val="22"/>
              </w:rPr>
              <w:t xml:space="preserve">446,390 </w:t>
            </w:r>
            <w:bookmarkEnd w:id="5"/>
            <w:r w:rsidRPr="00C07288">
              <w:rPr>
                <w:sz w:val="22"/>
                <w:szCs w:val="22"/>
              </w:rPr>
              <w:t>per year</w:t>
            </w:r>
          </w:p>
        </w:tc>
        <w:tc>
          <w:tcPr>
            <w:tcW w:w="1969" w:type="dxa"/>
          </w:tcPr>
          <w:p w:rsidR="00C07288" w:rsidRPr="00C07288" w:rsidP="00C07288" w14:paraId="28BABF9D" w14:textId="77777777">
            <w:pPr>
              <w:widowControl/>
              <w:spacing w:before="0" w:line="240" w:lineRule="auto"/>
              <w:rPr>
                <w:sz w:val="22"/>
                <w:szCs w:val="22"/>
              </w:rPr>
            </w:pPr>
            <w:r w:rsidRPr="00C07288">
              <w:rPr>
                <w:sz w:val="22"/>
                <w:szCs w:val="22"/>
              </w:rPr>
              <w:t>One Time:  57,120 hours; $5,317,573</w:t>
            </w:r>
          </w:p>
          <w:p w:rsidR="00C07288" w:rsidRPr="00C07288" w:rsidP="00C07288" w14:paraId="1F55A7EE" w14:textId="77777777">
            <w:pPr>
              <w:widowControl/>
              <w:spacing w:before="0" w:line="240" w:lineRule="auto"/>
              <w:rPr>
                <w:sz w:val="22"/>
                <w:szCs w:val="22"/>
              </w:rPr>
            </w:pPr>
          </w:p>
          <w:p w:rsidR="00C07288" w:rsidRPr="00C07288" w:rsidP="00C07288" w14:paraId="34180A49" w14:textId="77777777">
            <w:pPr>
              <w:widowControl/>
              <w:spacing w:before="0" w:line="240" w:lineRule="auto"/>
              <w:rPr>
                <w:sz w:val="22"/>
                <w:szCs w:val="22"/>
              </w:rPr>
            </w:pPr>
          </w:p>
          <w:p w:rsidR="00C07288" w:rsidRPr="00C07288" w:rsidP="00C07288" w14:paraId="194F6E89" w14:textId="77777777">
            <w:pPr>
              <w:widowControl/>
              <w:spacing w:before="0" w:line="240" w:lineRule="auto"/>
              <w:rPr>
                <w:sz w:val="22"/>
                <w:szCs w:val="20"/>
              </w:rPr>
            </w:pPr>
            <w:r w:rsidRPr="00C07288">
              <w:rPr>
                <w:sz w:val="22"/>
                <w:szCs w:val="22"/>
              </w:rPr>
              <w:t xml:space="preserve">Ongoing: </w:t>
            </w:r>
            <w:r w:rsidRPr="00C07288">
              <w:rPr>
                <w:sz w:val="22"/>
                <w:szCs w:val="22"/>
              </w:rPr>
              <w:t xml:space="preserve"> </w:t>
            </w:r>
            <w:r w:rsidRPr="00C07288">
              <w:rPr>
                <w:sz w:val="22"/>
                <w:szCs w:val="22"/>
              </w:rPr>
              <w:t>230,160 hours per year; $21,426,693 per year</w:t>
            </w:r>
          </w:p>
        </w:tc>
      </w:tr>
      <w:tr w14:paraId="665BB3D8" w14:textId="77777777">
        <w:tblPrEx>
          <w:tblW w:w="9576" w:type="dxa"/>
          <w:tblLook w:val="04A0"/>
        </w:tblPrEx>
        <w:tc>
          <w:tcPr>
            <w:tcW w:w="2538" w:type="dxa"/>
            <w:vMerge/>
          </w:tcPr>
          <w:p w:rsidR="00C07288" w:rsidRPr="00C07288" w:rsidP="00C07288" w14:paraId="7ACE8BEF" w14:textId="77777777">
            <w:pPr>
              <w:widowControl/>
              <w:numPr>
                <w:ilvl w:val="0"/>
                <w:numId w:val="31"/>
              </w:numPr>
              <w:spacing w:before="0" w:line="240" w:lineRule="auto"/>
              <w:rPr>
                <w:b/>
                <w:bCs/>
                <w:sz w:val="22"/>
                <w:szCs w:val="20"/>
              </w:rPr>
            </w:pPr>
          </w:p>
        </w:tc>
        <w:tc>
          <w:tcPr>
            <w:tcW w:w="1993" w:type="dxa"/>
          </w:tcPr>
          <w:p w:rsidR="00C07288" w:rsidRPr="00C07288" w:rsidP="00C07288" w14:paraId="60DB4F47" w14:textId="77777777">
            <w:pPr>
              <w:widowControl/>
              <w:spacing w:before="0" w:line="240" w:lineRule="auto"/>
              <w:rPr>
                <w:sz w:val="22"/>
                <w:szCs w:val="20"/>
              </w:rPr>
            </w:pPr>
            <w:r w:rsidRPr="00C07288">
              <w:rPr>
                <w:sz w:val="22"/>
                <w:szCs w:val="20"/>
              </w:rPr>
              <w:t>77 transmission providers without OATTs</w:t>
            </w:r>
          </w:p>
        </w:tc>
        <w:tc>
          <w:tcPr>
            <w:tcW w:w="997" w:type="dxa"/>
          </w:tcPr>
          <w:p w:rsidR="00C07288" w:rsidRPr="00C07288" w:rsidP="00C07288" w14:paraId="587D2F95" w14:textId="77777777">
            <w:pPr>
              <w:widowControl/>
              <w:spacing w:before="0" w:line="240" w:lineRule="auto"/>
              <w:rPr>
                <w:sz w:val="22"/>
                <w:szCs w:val="20"/>
              </w:rPr>
            </w:pPr>
            <w:r w:rsidRPr="00C07288">
              <w:rPr>
                <w:sz w:val="22"/>
                <w:szCs w:val="20"/>
              </w:rPr>
              <w:t>77</w:t>
            </w:r>
          </w:p>
        </w:tc>
        <w:tc>
          <w:tcPr>
            <w:tcW w:w="1775" w:type="dxa"/>
          </w:tcPr>
          <w:p w:rsidR="00C07288" w:rsidRPr="00C07288" w:rsidP="00C07288" w14:paraId="55974A55" w14:textId="77777777">
            <w:pPr>
              <w:widowControl/>
              <w:spacing w:before="0" w:line="240" w:lineRule="auto"/>
              <w:rPr>
                <w:sz w:val="22"/>
                <w:szCs w:val="22"/>
              </w:rPr>
            </w:pPr>
            <w:r w:rsidRPr="00C07288">
              <w:rPr>
                <w:sz w:val="22"/>
                <w:szCs w:val="22"/>
              </w:rPr>
              <w:t>One Time:  20 hours; $1,862</w:t>
            </w:r>
          </w:p>
          <w:p w:rsidR="00C07288" w:rsidRPr="00C07288" w:rsidP="00C07288" w14:paraId="280B8B9A" w14:textId="77777777">
            <w:pPr>
              <w:widowControl/>
              <w:spacing w:before="0" w:line="240" w:lineRule="auto"/>
              <w:rPr>
                <w:sz w:val="22"/>
                <w:szCs w:val="22"/>
              </w:rPr>
            </w:pPr>
          </w:p>
          <w:p w:rsidR="00C07288" w:rsidRPr="00C07288" w:rsidP="00C07288" w14:paraId="5DF75BED" w14:textId="77777777">
            <w:pPr>
              <w:widowControl/>
              <w:spacing w:before="0" w:line="240" w:lineRule="auto"/>
              <w:rPr>
                <w:sz w:val="22"/>
                <w:szCs w:val="20"/>
              </w:rPr>
            </w:pPr>
            <w:r w:rsidRPr="00C07288">
              <w:rPr>
                <w:sz w:val="22"/>
                <w:szCs w:val="22"/>
              </w:rPr>
              <w:t>Ongoing:  260 hours per year; $24,205 per year</w:t>
            </w:r>
          </w:p>
        </w:tc>
        <w:tc>
          <w:tcPr>
            <w:tcW w:w="1969" w:type="dxa"/>
          </w:tcPr>
          <w:p w:rsidR="00C07288" w:rsidRPr="00C07288" w:rsidP="00C07288" w14:paraId="758E69C9" w14:textId="77777777">
            <w:pPr>
              <w:widowControl/>
              <w:spacing w:before="0" w:line="240" w:lineRule="auto"/>
              <w:rPr>
                <w:sz w:val="22"/>
                <w:szCs w:val="22"/>
              </w:rPr>
            </w:pPr>
            <w:r w:rsidRPr="00C07288">
              <w:rPr>
                <w:sz w:val="22"/>
                <w:szCs w:val="22"/>
              </w:rPr>
              <w:t>One Time:  1,540 hours; $143,366</w:t>
            </w:r>
          </w:p>
          <w:p w:rsidR="00C07288" w:rsidRPr="00C07288" w:rsidP="00C07288" w14:paraId="737D4A4A" w14:textId="77777777">
            <w:pPr>
              <w:widowControl/>
              <w:spacing w:before="0" w:line="240" w:lineRule="auto"/>
              <w:rPr>
                <w:sz w:val="22"/>
                <w:szCs w:val="22"/>
              </w:rPr>
            </w:pPr>
          </w:p>
          <w:p w:rsidR="00C07288" w:rsidRPr="00C07288" w:rsidP="00C07288" w14:paraId="2897E5E8" w14:textId="77777777">
            <w:pPr>
              <w:widowControl/>
              <w:spacing w:before="0" w:line="240" w:lineRule="auto"/>
              <w:rPr>
                <w:sz w:val="22"/>
                <w:szCs w:val="20"/>
              </w:rPr>
            </w:pPr>
            <w:r w:rsidRPr="00C07288">
              <w:rPr>
                <w:sz w:val="22"/>
                <w:szCs w:val="22"/>
              </w:rPr>
              <w:t>Ongoing:  20,020 hours per year; $1,863,757 per year</w:t>
            </w:r>
          </w:p>
        </w:tc>
      </w:tr>
      <w:tr w14:paraId="10AD3A0E" w14:textId="77777777">
        <w:tblPrEx>
          <w:tblW w:w="9576" w:type="dxa"/>
          <w:tblLook w:val="04A0"/>
        </w:tblPrEx>
        <w:tc>
          <w:tcPr>
            <w:tcW w:w="2538" w:type="dxa"/>
            <w:vMerge/>
          </w:tcPr>
          <w:p w:rsidR="00C07288" w:rsidRPr="00C07288" w:rsidP="00C07288" w14:paraId="670F5902" w14:textId="77777777">
            <w:pPr>
              <w:widowControl/>
              <w:spacing w:before="0" w:line="240" w:lineRule="auto"/>
              <w:rPr>
                <w:b/>
                <w:bCs/>
                <w:sz w:val="22"/>
                <w:szCs w:val="20"/>
              </w:rPr>
            </w:pPr>
          </w:p>
        </w:tc>
        <w:tc>
          <w:tcPr>
            <w:tcW w:w="4732" w:type="dxa"/>
            <w:gridSpan w:val="3"/>
          </w:tcPr>
          <w:p w:rsidR="00C07288" w:rsidRPr="00C07288" w:rsidP="00C07288" w14:paraId="52D67F03" w14:textId="77777777">
            <w:pPr>
              <w:widowControl/>
              <w:spacing w:before="0" w:line="240" w:lineRule="auto"/>
              <w:rPr>
                <w:sz w:val="22"/>
                <w:szCs w:val="20"/>
              </w:rPr>
            </w:pPr>
            <w:r w:rsidRPr="00C07288">
              <w:rPr>
                <w:sz w:val="22"/>
                <w:szCs w:val="20"/>
              </w:rPr>
              <w:t>Totals for all 125 transmission providers</w:t>
            </w:r>
          </w:p>
        </w:tc>
        <w:tc>
          <w:tcPr>
            <w:tcW w:w="1969" w:type="dxa"/>
          </w:tcPr>
          <w:p w:rsidR="00C07288" w:rsidRPr="00C07288" w:rsidP="00C07288" w14:paraId="09D37567" w14:textId="77777777">
            <w:pPr>
              <w:widowControl/>
              <w:spacing w:before="0" w:line="240" w:lineRule="auto"/>
              <w:rPr>
                <w:sz w:val="22"/>
                <w:szCs w:val="22"/>
              </w:rPr>
            </w:pPr>
            <w:r w:rsidRPr="00C07288">
              <w:rPr>
                <w:sz w:val="22"/>
                <w:szCs w:val="22"/>
              </w:rPr>
              <w:t>One Time:  58,660 hours; $5,460,939</w:t>
            </w:r>
          </w:p>
          <w:p w:rsidR="00C07288" w:rsidRPr="00C07288" w:rsidP="00C07288" w14:paraId="104BA5B2" w14:textId="77777777">
            <w:pPr>
              <w:widowControl/>
              <w:spacing w:before="0" w:line="240" w:lineRule="auto"/>
              <w:rPr>
                <w:sz w:val="22"/>
                <w:szCs w:val="22"/>
              </w:rPr>
            </w:pPr>
          </w:p>
          <w:p w:rsidR="00C07288" w:rsidRPr="00C07288" w:rsidP="00C07288" w14:paraId="412056C2" w14:textId="77777777">
            <w:pPr>
              <w:widowControl/>
              <w:spacing w:before="0" w:line="240" w:lineRule="auto"/>
              <w:rPr>
                <w:sz w:val="22"/>
                <w:szCs w:val="20"/>
              </w:rPr>
            </w:pPr>
            <w:r w:rsidRPr="00C07288">
              <w:rPr>
                <w:sz w:val="22"/>
                <w:szCs w:val="22"/>
              </w:rPr>
              <w:t>Ongoing:  250,180 hours per year; $23,290,450 per year</w:t>
            </w:r>
          </w:p>
        </w:tc>
      </w:tr>
    </w:tbl>
    <w:p w:rsidR="008C50D2" w:rsidP="000134F4" w14:paraId="4971B93F" w14:textId="31FCFF15">
      <w:pPr>
        <w:spacing w:before="0" w:line="240" w:lineRule="auto"/>
        <w:rPr>
          <w:sz w:val="26"/>
        </w:rPr>
      </w:pPr>
    </w:p>
    <w:p w:rsidR="000134F4" w:rsidRPr="000134F4" w:rsidP="00E67CA3" w14:paraId="5D339D53" w14:textId="59887FA4">
      <w:pPr>
        <w:spacing w:line="240" w:lineRule="auto"/>
        <w:rPr>
          <w:bCs/>
          <w:sz w:val="26"/>
        </w:rPr>
      </w:pPr>
      <w:r w:rsidRPr="000134F4">
        <w:rPr>
          <w:b/>
          <w:bCs/>
          <w:sz w:val="26"/>
        </w:rPr>
        <w:t>13.</w:t>
      </w:r>
      <w:r w:rsidRPr="000134F4">
        <w:rPr>
          <w:b/>
          <w:bCs/>
          <w:sz w:val="26"/>
        </w:rPr>
        <w:tab/>
      </w:r>
      <w:r w:rsidRPr="00845049" w:rsidR="00845049">
        <w:rPr>
          <w:b/>
          <w:bCs/>
          <w:sz w:val="26"/>
        </w:rPr>
        <w:t>ESTIMATE OF THE TOTAL ANNUAL COST BURDEN TO RESPONDENTS</w:t>
      </w:r>
    </w:p>
    <w:p w:rsidR="00182D37" w:rsidRPr="00182D37" w:rsidP="00E67CA3" w14:paraId="4D2FCB00" w14:textId="2A2D8A29">
      <w:pPr>
        <w:spacing w:line="240" w:lineRule="auto"/>
        <w:rPr>
          <w:bCs/>
          <w:sz w:val="26"/>
        </w:rPr>
      </w:pPr>
      <w:r w:rsidRPr="00182D37">
        <w:rPr>
          <w:bCs/>
          <w:sz w:val="26"/>
        </w:rPr>
        <w:t>There are no non-labor start-up or other non-labor costs.</w:t>
      </w:r>
      <w:r w:rsidR="00A42AB8">
        <w:rPr>
          <w:bCs/>
          <w:sz w:val="26"/>
        </w:rPr>
        <w:br/>
      </w:r>
    </w:p>
    <w:p w:rsidR="00182D37" w:rsidRPr="00182D37" w:rsidP="00754D91" w14:paraId="3D8B982A" w14:textId="77777777">
      <w:pPr>
        <w:spacing w:before="0" w:line="240" w:lineRule="auto"/>
        <w:ind w:firstLine="720"/>
        <w:rPr>
          <w:bCs/>
          <w:sz w:val="26"/>
        </w:rPr>
      </w:pPr>
      <w:r w:rsidRPr="00182D37">
        <w:rPr>
          <w:bCs/>
          <w:sz w:val="26"/>
        </w:rPr>
        <w:t>Total Capital and Start-up Cost:  $0</w:t>
      </w:r>
    </w:p>
    <w:p w:rsidR="00182D37" w:rsidRPr="00182D37" w:rsidP="00A42AB8" w14:paraId="13358FAB" w14:textId="3F969A24">
      <w:pPr>
        <w:spacing w:before="0" w:line="240" w:lineRule="auto"/>
        <w:ind w:firstLine="720"/>
        <w:rPr>
          <w:bCs/>
          <w:sz w:val="26"/>
        </w:rPr>
      </w:pPr>
      <w:r w:rsidRPr="00182D37">
        <w:rPr>
          <w:bCs/>
          <w:sz w:val="26"/>
        </w:rPr>
        <w:t>Total Operation, Maintenance, and Purchase of Services:  $0</w:t>
      </w:r>
    </w:p>
    <w:p w:rsidR="00182D37" w:rsidRPr="00182D37" w:rsidP="00A42AB8" w14:paraId="08D55DFA" w14:textId="77777777">
      <w:pPr>
        <w:spacing w:line="240" w:lineRule="auto"/>
        <w:rPr>
          <w:bCs/>
          <w:sz w:val="26"/>
        </w:rPr>
      </w:pPr>
      <w:r w:rsidRPr="00182D37">
        <w:rPr>
          <w:bCs/>
          <w:sz w:val="26"/>
        </w:rPr>
        <w:t>All of the costs associated with burden hours (labor) are described in Questions #12 and #15 in this supporting statement.</w:t>
      </w:r>
    </w:p>
    <w:p w:rsidR="000134F4" w:rsidRPr="000134F4" w:rsidP="00A42AB8" w14:paraId="2C600B78" w14:textId="39A0EEEA">
      <w:pPr>
        <w:spacing w:line="240" w:lineRule="auto"/>
        <w:rPr>
          <w:bCs/>
          <w:sz w:val="26"/>
        </w:rPr>
      </w:pPr>
      <w:r w:rsidRPr="000134F4">
        <w:rPr>
          <w:b/>
          <w:bCs/>
          <w:sz w:val="26"/>
        </w:rPr>
        <w:t>14.</w:t>
      </w:r>
      <w:r w:rsidRPr="000134F4">
        <w:rPr>
          <w:b/>
          <w:bCs/>
          <w:sz w:val="26"/>
        </w:rPr>
        <w:tab/>
      </w:r>
      <w:r w:rsidRPr="009A5123" w:rsidR="009A5123">
        <w:rPr>
          <w:b/>
          <w:bCs/>
          <w:sz w:val="26"/>
        </w:rPr>
        <w:t>ESTIMATED ANNUALIZED COST TO FEDERAL GOVERNMENT</w:t>
      </w:r>
    </w:p>
    <w:p w:rsidR="00E34A15" w:rsidRPr="00E34A15" w:rsidP="00A42AB8" w14:paraId="7C9A3E20" w14:textId="060B2315">
      <w:pPr>
        <w:spacing w:line="240" w:lineRule="auto"/>
        <w:rPr>
          <w:bCs/>
          <w:sz w:val="26"/>
        </w:rPr>
      </w:pPr>
      <w:r w:rsidRPr="00E34A15">
        <w:rPr>
          <w:bCs/>
          <w:sz w:val="26"/>
        </w:rPr>
        <w:t>The estimates of the cost for analysis and processing of filings are based on salaries and benefits for professional and clerical support.  The estimated cost represents staff analysis, decision-making, and review of any actual filings submitted in response to the information collection.</w:t>
      </w:r>
    </w:p>
    <w:p w:rsidR="00E34A15" w:rsidRPr="00E34A15" w:rsidP="00A42AB8" w14:paraId="08252C1E" w14:textId="5643A38A">
      <w:pPr>
        <w:spacing w:line="240" w:lineRule="auto"/>
        <w:rPr>
          <w:bCs/>
          <w:sz w:val="26"/>
        </w:rPr>
      </w:pPr>
      <w:r w:rsidRPr="00E34A15">
        <w:rPr>
          <w:bCs/>
          <w:sz w:val="26"/>
        </w:rPr>
        <w:t xml:space="preserve">The </w:t>
      </w:r>
      <w:r w:rsidRPr="00E34A15" w:rsidR="001D40BC">
        <w:rPr>
          <w:bCs/>
          <w:sz w:val="26"/>
        </w:rPr>
        <w:t>Paperwork Reduction Act (</w:t>
      </w:r>
      <w:r w:rsidRPr="00E34A15">
        <w:rPr>
          <w:bCs/>
          <w:sz w:val="26"/>
        </w:rPr>
        <w:t>PRA</w:t>
      </w:r>
      <w:r w:rsidR="001D40BC">
        <w:rPr>
          <w:bCs/>
          <w:sz w:val="26"/>
        </w:rPr>
        <w:t>)</w:t>
      </w:r>
      <w:r w:rsidRPr="00E34A15">
        <w:rPr>
          <w:bCs/>
          <w:sz w:val="26"/>
        </w:rPr>
        <w:t xml:space="preserve"> Administrative Cost is a Federal Cost associated with preparing, issuing, and submitting materials necessary to comply with the PRA</w:t>
      </w:r>
      <w:r>
        <w:rPr>
          <w:b/>
          <w:vertAlign w:val="superscript"/>
        </w:rPr>
        <w:footnoteReference w:id="17"/>
      </w:r>
      <w:r w:rsidRPr="00E34A15">
        <w:rPr>
          <w:bCs/>
          <w:sz w:val="26"/>
        </w:rPr>
        <w:t xml:space="preserve"> for rulemakings, orders, or any other vehicle used to create, modify, extend, or discontinue an information collection.  This average annual cost includes requests for extensions, all associated rulemakings, other changes to the collection, and publications in the </w:t>
      </w:r>
      <w:r w:rsidRPr="00A322CA">
        <w:rPr>
          <w:bCs/>
          <w:i/>
          <w:iCs/>
          <w:sz w:val="26"/>
        </w:rPr>
        <w:t>Federal Register</w:t>
      </w:r>
      <w:r w:rsidRPr="00E34A15">
        <w:rPr>
          <w:bCs/>
          <w:sz w:val="26"/>
        </w:rPr>
        <w:t>.</w:t>
      </w:r>
    </w:p>
    <w:p w:rsidR="000134F4" w:rsidRPr="000134F4" w:rsidP="00A42AB8" w14:paraId="2820B3DB" w14:textId="3D0F6EB9">
      <w:pPr>
        <w:spacing w:after="240" w:line="240" w:lineRule="auto"/>
        <w:rPr>
          <w:bCs/>
          <w:sz w:val="26"/>
        </w:rPr>
      </w:pPr>
      <w:r w:rsidRPr="00A322CA">
        <w:rPr>
          <w:bCs/>
          <w:sz w:val="26"/>
        </w:rPr>
        <w:t xml:space="preserve">The chart below represents the existing </w:t>
      </w:r>
      <w:r w:rsidRPr="00A322CA">
        <w:rPr>
          <w:bCs/>
          <w:sz w:val="26"/>
        </w:rPr>
        <w:t>estimated annualized cost to</w:t>
      </w:r>
      <w:r w:rsidRPr="000134F4">
        <w:rPr>
          <w:bCs/>
          <w:sz w:val="26"/>
        </w:rPr>
        <w:t xml:space="preserve"> the Federal Government for FERC-917 is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0"/>
        <w:gridCol w:w="2675"/>
        <w:gridCol w:w="2745"/>
      </w:tblGrid>
      <w:tr w14:paraId="6141880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shd w:val="clear" w:color="auto" w:fill="CCCCCC"/>
          </w:tcPr>
          <w:p w:rsidR="000134F4" w:rsidRPr="000134F4" w:rsidP="000134F4" w14:paraId="09A0A6B6" w14:textId="77777777">
            <w:pPr>
              <w:spacing w:before="0" w:line="240" w:lineRule="auto"/>
              <w:rPr>
                <w:b/>
                <w:bCs/>
                <w:sz w:val="26"/>
              </w:rPr>
            </w:pPr>
            <w:r w:rsidRPr="000134F4">
              <w:rPr>
                <w:b/>
                <w:bCs/>
                <w:sz w:val="26"/>
              </w:rPr>
              <w:t xml:space="preserve">FERC-917 </w:t>
            </w:r>
          </w:p>
        </w:tc>
        <w:tc>
          <w:tcPr>
            <w:tcW w:w="0" w:type="auto"/>
            <w:shd w:val="clear" w:color="auto" w:fill="CCCCCC"/>
          </w:tcPr>
          <w:p w:rsidR="000134F4" w:rsidRPr="000134F4" w:rsidP="000134F4" w14:paraId="732858E6" w14:textId="77777777">
            <w:pPr>
              <w:spacing w:before="0" w:line="240" w:lineRule="auto"/>
              <w:rPr>
                <w:bCs/>
                <w:sz w:val="26"/>
              </w:rPr>
            </w:pPr>
            <w:r w:rsidRPr="000134F4">
              <w:rPr>
                <w:bCs/>
                <w:sz w:val="26"/>
              </w:rPr>
              <w:t>Number of Employees (FTEs)</w:t>
            </w:r>
          </w:p>
        </w:tc>
        <w:tc>
          <w:tcPr>
            <w:tcW w:w="0" w:type="auto"/>
            <w:shd w:val="clear" w:color="auto" w:fill="CCCCCC"/>
          </w:tcPr>
          <w:p w:rsidR="000134F4" w:rsidRPr="000134F4" w:rsidP="000134F4" w14:paraId="6DE76604" w14:textId="77777777">
            <w:pPr>
              <w:spacing w:before="0" w:line="240" w:lineRule="auto"/>
              <w:rPr>
                <w:bCs/>
                <w:sz w:val="26"/>
              </w:rPr>
            </w:pPr>
            <w:r w:rsidRPr="000134F4">
              <w:rPr>
                <w:bCs/>
                <w:sz w:val="26"/>
              </w:rPr>
              <w:t>Estimated Annual Federal Cost</w:t>
            </w:r>
          </w:p>
        </w:tc>
      </w:tr>
      <w:tr w14:paraId="108C1158" w14:textId="77777777">
        <w:tblPrEx>
          <w:tblW w:w="0" w:type="auto"/>
          <w:tblLook w:val="01E0"/>
        </w:tblPrEx>
        <w:trPr>
          <w:cantSplit/>
        </w:trPr>
        <w:tc>
          <w:tcPr>
            <w:tcW w:w="0" w:type="auto"/>
            <w:shd w:val="clear" w:color="auto" w:fill="auto"/>
          </w:tcPr>
          <w:p w:rsidR="00413384" w:rsidRPr="000134F4" w:rsidP="00413384" w14:paraId="2A0CA05B" w14:textId="77777777">
            <w:pPr>
              <w:spacing w:before="0" w:line="240" w:lineRule="auto"/>
              <w:rPr>
                <w:bCs/>
                <w:sz w:val="26"/>
              </w:rPr>
            </w:pPr>
            <w:r w:rsidRPr="000134F4">
              <w:rPr>
                <w:bCs/>
                <w:sz w:val="26"/>
              </w:rPr>
              <w:t>Analysis and Processing of filings</w:t>
            </w:r>
            <w:r>
              <w:rPr>
                <w:b/>
                <w:bCs/>
                <w:sz w:val="26"/>
                <w:vertAlign w:val="superscript"/>
              </w:rPr>
              <w:footnoteReference w:id="18"/>
            </w:r>
            <w:r w:rsidRPr="000134F4">
              <w:rPr>
                <w:bCs/>
                <w:sz w:val="26"/>
              </w:rPr>
              <w:t xml:space="preserve"> </w:t>
            </w:r>
          </w:p>
        </w:tc>
        <w:tc>
          <w:tcPr>
            <w:tcW w:w="0" w:type="auto"/>
            <w:tcBorders>
              <w:bottom w:val="single" w:sz="4" w:space="0" w:color="auto"/>
            </w:tcBorders>
            <w:shd w:val="clear" w:color="auto" w:fill="auto"/>
            <w:vAlign w:val="bottom"/>
          </w:tcPr>
          <w:p w:rsidR="00413384" w:rsidRPr="000134F4" w:rsidP="00413384" w14:paraId="417089CB" w14:textId="77777777">
            <w:pPr>
              <w:spacing w:before="0" w:line="240" w:lineRule="auto"/>
              <w:rPr>
                <w:bCs/>
                <w:sz w:val="26"/>
              </w:rPr>
            </w:pPr>
            <w:r w:rsidRPr="000134F4">
              <w:rPr>
                <w:bCs/>
                <w:sz w:val="26"/>
              </w:rPr>
              <w:t>7</w:t>
            </w:r>
          </w:p>
        </w:tc>
        <w:tc>
          <w:tcPr>
            <w:tcW w:w="0" w:type="auto"/>
            <w:shd w:val="clear" w:color="auto" w:fill="auto"/>
            <w:vAlign w:val="bottom"/>
          </w:tcPr>
          <w:p w:rsidR="00413384" w:rsidRPr="000134F4" w:rsidP="00413384" w14:paraId="1562F635" w14:textId="69DAF2EF">
            <w:pPr>
              <w:spacing w:before="0" w:line="240" w:lineRule="auto"/>
              <w:rPr>
                <w:bCs/>
                <w:sz w:val="26"/>
              </w:rPr>
            </w:pPr>
            <w:r w:rsidRPr="000134F4">
              <w:rPr>
                <w:bCs/>
                <w:sz w:val="26"/>
              </w:rPr>
              <w:t>$</w:t>
            </w:r>
            <w:r w:rsidRPr="00136278">
              <w:rPr>
                <w:bCs/>
                <w:sz w:val="26"/>
              </w:rPr>
              <w:t>1,454,502</w:t>
            </w:r>
          </w:p>
        </w:tc>
      </w:tr>
      <w:tr w14:paraId="411FD352" w14:textId="77777777">
        <w:tblPrEx>
          <w:tblW w:w="0" w:type="auto"/>
          <w:tblLook w:val="01E0"/>
        </w:tblPrEx>
        <w:trPr>
          <w:cantSplit/>
        </w:trPr>
        <w:tc>
          <w:tcPr>
            <w:tcW w:w="0" w:type="auto"/>
            <w:shd w:val="clear" w:color="auto" w:fill="auto"/>
          </w:tcPr>
          <w:p w:rsidR="00413384" w:rsidRPr="000134F4" w:rsidP="00413384" w14:paraId="68821862" w14:textId="5EF8D2C1">
            <w:pPr>
              <w:spacing w:before="0" w:line="240" w:lineRule="auto"/>
              <w:rPr>
                <w:bCs/>
                <w:sz w:val="26"/>
              </w:rPr>
            </w:pPr>
            <w:r w:rsidRPr="000134F4">
              <w:rPr>
                <w:bCs/>
                <w:sz w:val="26"/>
              </w:rPr>
              <w:t>Paperwork Reduction Act Administrative Cost</w:t>
            </w:r>
          </w:p>
        </w:tc>
        <w:tc>
          <w:tcPr>
            <w:tcW w:w="0" w:type="auto"/>
            <w:shd w:val="clear" w:color="auto" w:fill="D9D9D9" w:themeFill="background1" w:themeFillShade="D9"/>
            <w:vAlign w:val="bottom"/>
          </w:tcPr>
          <w:p w:rsidR="00413384" w:rsidRPr="000134F4" w:rsidP="00413384" w14:paraId="61EE6960" w14:textId="77777777">
            <w:pPr>
              <w:spacing w:before="0" w:line="240" w:lineRule="auto"/>
              <w:rPr>
                <w:bCs/>
                <w:sz w:val="26"/>
              </w:rPr>
            </w:pPr>
          </w:p>
        </w:tc>
        <w:tc>
          <w:tcPr>
            <w:tcW w:w="0" w:type="auto"/>
            <w:shd w:val="clear" w:color="auto" w:fill="auto"/>
            <w:vAlign w:val="bottom"/>
          </w:tcPr>
          <w:p w:rsidR="00413384" w:rsidRPr="000134F4" w:rsidP="00413384" w14:paraId="124D78CC" w14:textId="0FA6B70F">
            <w:pPr>
              <w:spacing w:before="0" w:line="240" w:lineRule="auto"/>
              <w:rPr>
                <w:bCs/>
                <w:sz w:val="26"/>
              </w:rPr>
            </w:pPr>
            <w:r w:rsidRPr="000134F4">
              <w:rPr>
                <w:bCs/>
                <w:sz w:val="26"/>
              </w:rPr>
              <w:t>$8,</w:t>
            </w:r>
            <w:r>
              <w:rPr>
                <w:bCs/>
                <w:sz w:val="26"/>
              </w:rPr>
              <w:t>396</w:t>
            </w:r>
          </w:p>
        </w:tc>
      </w:tr>
      <w:tr w14:paraId="1F2C4E9C" w14:textId="77777777">
        <w:tblPrEx>
          <w:tblW w:w="0" w:type="auto"/>
          <w:tblLook w:val="01E0"/>
        </w:tblPrEx>
        <w:trPr>
          <w:cantSplit/>
        </w:trPr>
        <w:tc>
          <w:tcPr>
            <w:tcW w:w="0" w:type="auto"/>
            <w:shd w:val="clear" w:color="auto" w:fill="auto"/>
          </w:tcPr>
          <w:p w:rsidR="00413384" w:rsidRPr="000134F4" w:rsidP="00413384" w14:paraId="7CFAC6E1" w14:textId="77777777">
            <w:pPr>
              <w:spacing w:before="0" w:line="240" w:lineRule="auto"/>
              <w:rPr>
                <w:b/>
                <w:bCs/>
                <w:sz w:val="26"/>
              </w:rPr>
            </w:pPr>
            <w:r w:rsidRPr="000134F4">
              <w:rPr>
                <w:b/>
                <w:bCs/>
                <w:sz w:val="26"/>
              </w:rPr>
              <w:t>TOTAL for FERC-917</w:t>
            </w:r>
          </w:p>
        </w:tc>
        <w:tc>
          <w:tcPr>
            <w:tcW w:w="0" w:type="auto"/>
            <w:shd w:val="clear" w:color="auto" w:fill="D9D9D9" w:themeFill="background1" w:themeFillShade="D9"/>
            <w:vAlign w:val="bottom"/>
          </w:tcPr>
          <w:p w:rsidR="00413384" w:rsidRPr="000134F4" w:rsidP="00413384" w14:paraId="3BAC9AA1" w14:textId="77777777">
            <w:pPr>
              <w:spacing w:before="0" w:line="240" w:lineRule="auto"/>
              <w:rPr>
                <w:b/>
                <w:bCs/>
                <w:sz w:val="26"/>
              </w:rPr>
            </w:pPr>
          </w:p>
        </w:tc>
        <w:tc>
          <w:tcPr>
            <w:tcW w:w="0" w:type="auto"/>
            <w:shd w:val="clear" w:color="auto" w:fill="auto"/>
            <w:vAlign w:val="bottom"/>
          </w:tcPr>
          <w:p w:rsidR="00413384" w:rsidRPr="000134F4" w:rsidP="00413384" w14:paraId="67B4D3C0" w14:textId="09C97413">
            <w:pPr>
              <w:spacing w:before="0" w:line="240" w:lineRule="auto"/>
              <w:rPr>
                <w:b/>
                <w:bCs/>
                <w:sz w:val="26"/>
              </w:rPr>
            </w:pPr>
            <w:r w:rsidRPr="000134F4">
              <w:rPr>
                <w:b/>
                <w:bCs/>
                <w:sz w:val="26"/>
              </w:rPr>
              <w:t>$</w:t>
            </w:r>
            <w:r w:rsidRPr="00136278">
              <w:rPr>
                <w:b/>
                <w:bCs/>
                <w:sz w:val="26"/>
              </w:rPr>
              <w:t>1,462,898</w:t>
            </w:r>
          </w:p>
        </w:tc>
      </w:tr>
    </w:tbl>
    <w:p w:rsidR="001B667D" w:rsidP="006E28C4" w14:paraId="6EA763F7" w14:textId="5341073E">
      <w:pPr>
        <w:spacing w:line="240" w:lineRule="auto"/>
        <w:rPr>
          <w:bCs/>
          <w:sz w:val="26"/>
        </w:rPr>
      </w:pPr>
      <w:r w:rsidRPr="000134F4">
        <w:rPr>
          <w:b/>
          <w:bCs/>
          <w:sz w:val="26"/>
        </w:rPr>
        <w:t>15.</w:t>
      </w:r>
      <w:r w:rsidRPr="000134F4">
        <w:rPr>
          <w:b/>
          <w:bCs/>
          <w:sz w:val="26"/>
        </w:rPr>
        <w:tab/>
      </w:r>
      <w:r w:rsidRPr="006D5167" w:rsidR="006D5167">
        <w:rPr>
          <w:b/>
          <w:bCs/>
          <w:sz w:val="26"/>
        </w:rPr>
        <w:t>REASONS FOR CHANGES IN BURDEN INCLUDING THE NEED FOR ANY INCREASE</w:t>
      </w:r>
    </w:p>
    <w:p w:rsidR="00334D9C" w:rsidRPr="000134F4" w:rsidP="006E28C4" w14:paraId="6795CB99" w14:textId="6C9DB2D4">
      <w:pPr>
        <w:spacing w:line="240" w:lineRule="auto"/>
        <w:rPr>
          <w:bCs/>
          <w:sz w:val="26"/>
        </w:rPr>
      </w:pPr>
      <w:r w:rsidRPr="000134F4">
        <w:rPr>
          <w:bCs/>
          <w:sz w:val="26"/>
        </w:rPr>
        <w:t xml:space="preserve">All of the PRA activities resulting from the reforms </w:t>
      </w:r>
      <w:r w:rsidRPr="000B0151" w:rsidR="000B0151">
        <w:rPr>
          <w:bCs/>
          <w:sz w:val="26"/>
        </w:rPr>
        <w:t xml:space="preserve">in the final rule </w:t>
      </w:r>
      <w:r w:rsidRPr="000134F4">
        <w:rPr>
          <w:bCs/>
          <w:sz w:val="26"/>
        </w:rPr>
        <w:t>would be program changes that the Commission has determined will assist in fulfilling its statutory obligations under FPA section 206.</w:t>
      </w:r>
      <w:r w:rsidR="000C6669">
        <w:rPr>
          <w:bCs/>
          <w:sz w:val="26"/>
        </w:rPr>
        <w:t xml:space="preserve">  </w:t>
      </w:r>
      <w:r w:rsidRPr="000C6669" w:rsidR="000C6669">
        <w:rPr>
          <w:bCs/>
          <w:sz w:val="26"/>
        </w:rPr>
        <w:t xml:space="preserve">The reforms in the final rule are intended to remedy issues with the Commission’s </w:t>
      </w:r>
      <w:r w:rsidR="00FA5AB0">
        <w:rPr>
          <w:bCs/>
          <w:sz w:val="26"/>
        </w:rPr>
        <w:t xml:space="preserve">existing regional transmission planning and cost allocation requirements to ensure that </w:t>
      </w:r>
      <w:r w:rsidR="006F4193">
        <w:rPr>
          <w:bCs/>
          <w:sz w:val="26"/>
        </w:rPr>
        <w:t xml:space="preserve">public utility transmission providers adopt sufficiently </w:t>
      </w:r>
      <w:r w:rsidRPr="00FA5AB0" w:rsidR="00FA5AB0">
        <w:rPr>
          <w:bCs/>
          <w:sz w:val="26"/>
        </w:rPr>
        <w:t>long-term, forward-looking, and more comprehensive regional transmission planning and cost allocation processes that identify, evaluate, and select more efficient or cost-effective regional transmission solutions to Long-Term Transmission Needs</w:t>
      </w:r>
      <w:r w:rsidRPr="000C6669" w:rsidR="000C6669">
        <w:rPr>
          <w:bCs/>
          <w:sz w:val="26"/>
        </w:rPr>
        <w:t>, thereby ensuring that rates, terms, and conditions for Commission-jurisdictional services remain just and reasonable and not unduly discriminatory or preferential.</w:t>
      </w:r>
    </w:p>
    <w:p w:rsidR="001B667D" w:rsidRPr="000134F4" w:rsidP="006E28C4" w14:paraId="6E81F64B" w14:textId="3A7E583B">
      <w:pPr>
        <w:spacing w:line="240" w:lineRule="auto"/>
        <w:rPr>
          <w:bCs/>
          <w:sz w:val="26"/>
        </w:rPr>
      </w:pPr>
      <w:r>
        <w:rPr>
          <w:bCs/>
          <w:sz w:val="26"/>
        </w:rPr>
        <w:t>T</w:t>
      </w:r>
      <w:r w:rsidRPr="000134F4" w:rsidR="000134F4">
        <w:rPr>
          <w:bCs/>
          <w:sz w:val="26"/>
        </w:rPr>
        <w:t xml:space="preserve">he PRA activities in the </w:t>
      </w:r>
      <w:r w:rsidR="00A44C34">
        <w:rPr>
          <w:bCs/>
          <w:sz w:val="26"/>
        </w:rPr>
        <w:t>final rule</w:t>
      </w:r>
      <w:r w:rsidRPr="000134F4" w:rsidR="000134F4">
        <w:rPr>
          <w:bCs/>
          <w:sz w:val="26"/>
        </w:rPr>
        <w:t xml:space="preserve"> would increase the total burden of FERC-917. </w:t>
      </w:r>
    </w:p>
    <w:p w:rsidR="004B4550" w:rsidP="00F63104" w14:paraId="4487C2A4" w14:textId="634EB011">
      <w:pPr>
        <w:spacing w:line="240" w:lineRule="auto"/>
        <w:rPr>
          <w:bCs/>
          <w:sz w:val="26"/>
        </w:rPr>
      </w:pPr>
      <w:r>
        <w:rPr>
          <w:bCs/>
          <w:sz w:val="26"/>
        </w:rPr>
        <w:t xml:space="preserve">At the NOPR phase, the </w:t>
      </w:r>
      <w:r w:rsidRPr="000134F4" w:rsidR="000134F4">
        <w:rPr>
          <w:bCs/>
          <w:sz w:val="26"/>
        </w:rPr>
        <w:t xml:space="preserve">proposed rule </w:t>
      </w:r>
      <w:r>
        <w:rPr>
          <w:bCs/>
          <w:sz w:val="26"/>
        </w:rPr>
        <w:t>estimated</w:t>
      </w:r>
      <w:r>
        <w:rPr>
          <w:bCs/>
          <w:sz w:val="26"/>
        </w:rPr>
        <w:t xml:space="preserve"> t</w:t>
      </w:r>
      <w:r w:rsidRPr="00F63104" w:rsidR="00F63104">
        <w:rPr>
          <w:bCs/>
          <w:sz w:val="26"/>
        </w:rPr>
        <w:t>he first-year burdens under the NOPR in Docket No. RM21-17 for FERC-917 would be 625 responses and 52,500 hours. For Year One, the resulting total burdens for FERC-917 would be: 625 responses plus 862 responses = 1,487 responses; and 83,927 hours plus 52,500 hours = 136,427 hours. The requested burdens for subsequent years proposed in the NOPR in Docket No. RM2-17 would be 625 responses per year and 21,875 hours per year. Thus, in subsequent years, the total burden for FERC-917 would be 625 response plus 862 responses = 1,487 responses per year; and 21,875 hours per year plus 52,500 hours per year = 105,802 hours per year.</w:t>
      </w:r>
    </w:p>
    <w:p w:rsidR="00611727" w:rsidP="00611727" w14:paraId="69A39E94" w14:textId="77777777">
      <w:pPr>
        <w:spacing w:before="0" w:line="240" w:lineRule="auto"/>
        <w:rPr>
          <w:bCs/>
          <w:sz w:val="26"/>
        </w:rPr>
      </w:pPr>
    </w:p>
    <w:p w:rsidR="00611727" w:rsidRPr="00611727" w:rsidP="00611727" w14:paraId="408E7180" w14:textId="42C3B92C">
      <w:pPr>
        <w:spacing w:before="0" w:line="240" w:lineRule="auto"/>
        <w:rPr>
          <w:bCs/>
          <w:sz w:val="26"/>
        </w:rPr>
      </w:pPr>
      <w:r w:rsidRPr="00611727">
        <w:rPr>
          <w:bCs/>
          <w:sz w:val="26"/>
        </w:rPr>
        <w:t xml:space="preserve">In this final rule, the commission is revising it’s estimate based on comments on the </w:t>
      </w:r>
      <w:r w:rsidRPr="00611727">
        <w:rPr>
          <w:bCs/>
          <w:sz w:val="26"/>
        </w:rPr>
        <w:t xml:space="preserve">proposed rule and changes between what was originally proposed and what is being finalized in Docket RM21-17-000. The result is an increase in burden of 692 responses, and 308,840 hours. Most of these hours were due to increases in the estimates to prepare data sets and information to be used for long-term regional planning processes. </w:t>
      </w:r>
    </w:p>
    <w:p w:rsidR="0049741A" w:rsidP="0049741A" w14:paraId="2233813D" w14:textId="77777777">
      <w:pPr>
        <w:spacing w:before="0" w:line="240" w:lineRule="auto"/>
        <w:rPr>
          <w:b/>
          <w:bCs/>
          <w:sz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3DDA9B3B" w14:textId="77777777" w:rsidTr="007342EC">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themeFill="background1" w:themeFillShade="D9"/>
            <w:vAlign w:val="bottom"/>
          </w:tcPr>
          <w:p w:rsidR="001645BC" w:rsidRPr="001645BC" w:rsidP="001645BC" w14:paraId="0150E848" w14:textId="6FB0615D">
            <w:pPr>
              <w:spacing w:before="0" w:line="240" w:lineRule="auto"/>
              <w:rPr>
                <w:b/>
                <w:bCs/>
                <w:sz w:val="26"/>
              </w:rPr>
            </w:pPr>
            <w:r w:rsidRPr="001645BC">
              <w:rPr>
                <w:b/>
                <w:bCs/>
                <w:sz w:val="26"/>
              </w:rPr>
              <w:t>FERC-</w:t>
            </w:r>
            <w:r>
              <w:rPr>
                <w:b/>
                <w:bCs/>
                <w:sz w:val="26"/>
              </w:rPr>
              <w:t>917</w:t>
            </w:r>
            <w:r w:rsidR="000A3C02">
              <w:rPr>
                <w:b/>
                <w:bCs/>
                <w:sz w:val="26"/>
              </w:rPr>
              <w:t xml:space="preserve"> &amp; 918</w:t>
            </w:r>
            <w:r>
              <w:rPr>
                <w:rStyle w:val="FootnoteReference"/>
                <w:b/>
                <w:bCs/>
                <w:szCs w:val="22"/>
                <w:vertAlign w:val="superscript"/>
              </w:rPr>
              <w:footnoteReference w:id="19"/>
            </w:r>
          </w:p>
        </w:tc>
        <w:tc>
          <w:tcPr>
            <w:tcW w:w="1461" w:type="dxa"/>
            <w:shd w:val="clear" w:color="auto" w:fill="D9D9D9" w:themeFill="background1" w:themeFillShade="D9"/>
            <w:vAlign w:val="bottom"/>
          </w:tcPr>
          <w:p w:rsidR="001645BC" w:rsidRPr="001645BC" w:rsidP="001645BC" w14:paraId="17EBC0FD" w14:textId="77777777">
            <w:pPr>
              <w:spacing w:before="0" w:line="240" w:lineRule="auto"/>
              <w:rPr>
                <w:b/>
                <w:bCs/>
                <w:sz w:val="26"/>
              </w:rPr>
            </w:pPr>
            <w:r w:rsidRPr="001645BC">
              <w:rPr>
                <w:b/>
                <w:bCs/>
                <w:sz w:val="26"/>
              </w:rPr>
              <w:t>Total Request</w:t>
            </w:r>
          </w:p>
        </w:tc>
        <w:tc>
          <w:tcPr>
            <w:tcW w:w="1620" w:type="dxa"/>
            <w:shd w:val="clear" w:color="auto" w:fill="D9D9D9" w:themeFill="background1" w:themeFillShade="D9"/>
            <w:vAlign w:val="bottom"/>
          </w:tcPr>
          <w:p w:rsidR="001645BC" w:rsidRPr="001645BC" w:rsidP="001645BC" w14:paraId="4A57718B" w14:textId="77777777">
            <w:pPr>
              <w:spacing w:before="0" w:line="240" w:lineRule="auto"/>
              <w:rPr>
                <w:b/>
                <w:bCs/>
                <w:sz w:val="26"/>
              </w:rPr>
            </w:pPr>
            <w:r w:rsidRPr="001645BC">
              <w:rPr>
                <w:b/>
                <w:bCs/>
                <w:sz w:val="26"/>
              </w:rPr>
              <w:t>Previously Approved</w:t>
            </w:r>
          </w:p>
        </w:tc>
        <w:tc>
          <w:tcPr>
            <w:tcW w:w="1800" w:type="dxa"/>
            <w:shd w:val="clear" w:color="auto" w:fill="D9D9D9" w:themeFill="background1" w:themeFillShade="D9"/>
            <w:vAlign w:val="bottom"/>
          </w:tcPr>
          <w:p w:rsidR="001645BC" w:rsidRPr="001645BC" w:rsidP="001645BC" w14:paraId="17ABB95A" w14:textId="77777777">
            <w:pPr>
              <w:spacing w:before="0" w:line="240" w:lineRule="auto"/>
              <w:rPr>
                <w:b/>
                <w:bCs/>
                <w:sz w:val="26"/>
              </w:rPr>
            </w:pPr>
            <w:r w:rsidRPr="001645BC">
              <w:rPr>
                <w:b/>
                <w:bCs/>
                <w:sz w:val="26"/>
              </w:rPr>
              <w:t>Change due to Adjustment in Estimate</w:t>
            </w:r>
          </w:p>
        </w:tc>
        <w:tc>
          <w:tcPr>
            <w:tcW w:w="1800" w:type="dxa"/>
            <w:shd w:val="clear" w:color="auto" w:fill="D9D9D9" w:themeFill="background1" w:themeFillShade="D9"/>
            <w:vAlign w:val="bottom"/>
          </w:tcPr>
          <w:p w:rsidR="001645BC" w:rsidRPr="001645BC" w:rsidP="001645BC" w14:paraId="31F27761" w14:textId="77777777">
            <w:pPr>
              <w:spacing w:before="0" w:line="240" w:lineRule="auto"/>
              <w:rPr>
                <w:b/>
                <w:bCs/>
                <w:sz w:val="26"/>
              </w:rPr>
            </w:pPr>
            <w:r w:rsidRPr="001645BC">
              <w:rPr>
                <w:b/>
                <w:bCs/>
                <w:sz w:val="26"/>
              </w:rPr>
              <w:t>Change Due to Agency Discretion</w:t>
            </w:r>
          </w:p>
        </w:tc>
      </w:tr>
      <w:tr w14:paraId="21EC3255" w14:textId="77777777" w:rsidTr="007342EC">
        <w:tblPrEx>
          <w:tblW w:w="9360" w:type="dxa"/>
          <w:tblInd w:w="18" w:type="dxa"/>
          <w:tblLook w:val="01E0"/>
        </w:tblPrEx>
        <w:trPr>
          <w:trHeight w:val="591"/>
        </w:trPr>
        <w:tc>
          <w:tcPr>
            <w:tcW w:w="2679" w:type="dxa"/>
            <w:shd w:val="clear" w:color="auto" w:fill="FFFFFF" w:themeFill="background1"/>
          </w:tcPr>
          <w:p w:rsidR="001645BC" w:rsidRPr="001645BC" w:rsidP="001645BC" w14:paraId="0681FBDB" w14:textId="77777777">
            <w:pPr>
              <w:spacing w:before="0" w:line="240" w:lineRule="auto"/>
              <w:rPr>
                <w:sz w:val="26"/>
              </w:rPr>
            </w:pPr>
            <w:r w:rsidRPr="001645BC">
              <w:rPr>
                <w:sz w:val="26"/>
              </w:rPr>
              <w:t>Annual Number of Responses</w:t>
            </w:r>
          </w:p>
        </w:tc>
        <w:tc>
          <w:tcPr>
            <w:tcW w:w="1461" w:type="dxa"/>
            <w:shd w:val="clear" w:color="auto" w:fill="FFFFFF" w:themeFill="background1"/>
            <w:vAlign w:val="center"/>
          </w:tcPr>
          <w:p w:rsidR="001645BC" w:rsidRPr="001645BC" w:rsidP="001645BC" w14:paraId="43A7B6BB" w14:textId="111DFEE1">
            <w:pPr>
              <w:spacing w:before="0" w:line="240" w:lineRule="auto"/>
              <w:rPr>
                <w:sz w:val="26"/>
              </w:rPr>
            </w:pPr>
            <w:r>
              <w:rPr>
                <w:sz w:val="26"/>
              </w:rPr>
              <w:t>1,016</w:t>
            </w:r>
          </w:p>
        </w:tc>
        <w:tc>
          <w:tcPr>
            <w:tcW w:w="1620" w:type="dxa"/>
            <w:shd w:val="clear" w:color="auto" w:fill="FFFFFF" w:themeFill="background1"/>
            <w:vAlign w:val="center"/>
          </w:tcPr>
          <w:p w:rsidR="001645BC" w:rsidRPr="001645BC" w:rsidP="001645BC" w14:paraId="141A0A4A" w14:textId="0F724CC1">
            <w:pPr>
              <w:spacing w:before="0" w:line="240" w:lineRule="auto"/>
              <w:rPr>
                <w:sz w:val="26"/>
              </w:rPr>
            </w:pPr>
            <w:r>
              <w:rPr>
                <w:sz w:val="26"/>
              </w:rPr>
              <w:t>324</w:t>
            </w:r>
          </w:p>
        </w:tc>
        <w:tc>
          <w:tcPr>
            <w:tcW w:w="1800" w:type="dxa"/>
            <w:shd w:val="clear" w:color="auto" w:fill="FFFFFF" w:themeFill="background1"/>
            <w:vAlign w:val="center"/>
          </w:tcPr>
          <w:p w:rsidR="001645BC" w:rsidRPr="001645BC" w:rsidP="001645BC" w14:paraId="46097101" w14:textId="77777777">
            <w:pPr>
              <w:spacing w:before="0" w:line="240" w:lineRule="auto"/>
              <w:rPr>
                <w:sz w:val="26"/>
              </w:rPr>
            </w:pPr>
            <w:r w:rsidRPr="001645BC">
              <w:rPr>
                <w:sz w:val="26"/>
              </w:rPr>
              <w:t>0</w:t>
            </w:r>
          </w:p>
        </w:tc>
        <w:tc>
          <w:tcPr>
            <w:tcW w:w="1800" w:type="dxa"/>
            <w:shd w:val="clear" w:color="auto" w:fill="FFFFFF" w:themeFill="background1"/>
            <w:vAlign w:val="center"/>
          </w:tcPr>
          <w:p w:rsidR="001645BC" w:rsidRPr="001645BC" w:rsidP="001645BC" w14:paraId="73410F13" w14:textId="4FBC6F5F">
            <w:pPr>
              <w:spacing w:before="0" w:line="240" w:lineRule="auto"/>
              <w:rPr>
                <w:sz w:val="26"/>
              </w:rPr>
            </w:pPr>
            <w:r w:rsidRPr="001645BC">
              <w:rPr>
                <w:sz w:val="26"/>
              </w:rPr>
              <w:t>+</w:t>
            </w:r>
            <w:r w:rsidR="00556BD2">
              <w:rPr>
                <w:sz w:val="26"/>
              </w:rPr>
              <w:t>692</w:t>
            </w:r>
          </w:p>
        </w:tc>
      </w:tr>
      <w:tr w14:paraId="72E0150F" w14:textId="77777777" w:rsidTr="007342EC">
        <w:tblPrEx>
          <w:tblW w:w="9360" w:type="dxa"/>
          <w:tblInd w:w="18" w:type="dxa"/>
          <w:tblLook w:val="01E0"/>
        </w:tblPrEx>
        <w:trPr>
          <w:trHeight w:val="98"/>
        </w:trPr>
        <w:tc>
          <w:tcPr>
            <w:tcW w:w="2679" w:type="dxa"/>
            <w:shd w:val="clear" w:color="auto" w:fill="FFFFFF" w:themeFill="background1"/>
          </w:tcPr>
          <w:p w:rsidR="001645BC" w:rsidRPr="001645BC" w:rsidP="001645BC" w14:paraId="7D53A60A" w14:textId="77777777">
            <w:pPr>
              <w:spacing w:before="0" w:line="240" w:lineRule="auto"/>
              <w:rPr>
                <w:sz w:val="26"/>
              </w:rPr>
            </w:pPr>
            <w:r w:rsidRPr="001645BC">
              <w:rPr>
                <w:sz w:val="26"/>
              </w:rPr>
              <w:t>Annual Time Burden</w:t>
            </w:r>
          </w:p>
        </w:tc>
        <w:tc>
          <w:tcPr>
            <w:tcW w:w="1461" w:type="dxa"/>
            <w:shd w:val="clear" w:color="auto" w:fill="FFFFFF" w:themeFill="background1"/>
            <w:vAlign w:val="center"/>
          </w:tcPr>
          <w:p w:rsidR="001645BC" w:rsidRPr="001645BC" w:rsidP="001645BC" w14:paraId="0D15D28F" w14:textId="2D47FFF1">
            <w:pPr>
              <w:spacing w:before="0" w:line="240" w:lineRule="auto"/>
              <w:rPr>
                <w:sz w:val="26"/>
              </w:rPr>
            </w:pPr>
            <w:r>
              <w:rPr>
                <w:sz w:val="26"/>
              </w:rPr>
              <w:t>460,969</w:t>
            </w:r>
          </w:p>
        </w:tc>
        <w:tc>
          <w:tcPr>
            <w:tcW w:w="1620" w:type="dxa"/>
            <w:shd w:val="clear" w:color="auto" w:fill="FFFFFF" w:themeFill="background1"/>
            <w:vAlign w:val="center"/>
          </w:tcPr>
          <w:p w:rsidR="001645BC" w:rsidRPr="001645BC" w:rsidP="001645BC" w14:paraId="193B746B" w14:textId="504BED23">
            <w:pPr>
              <w:spacing w:before="0" w:line="240" w:lineRule="auto"/>
              <w:rPr>
                <w:sz w:val="26"/>
              </w:rPr>
            </w:pPr>
            <w:r w:rsidRPr="001645BC">
              <w:rPr>
                <w:sz w:val="26"/>
              </w:rPr>
              <w:t>15</w:t>
            </w:r>
            <w:r w:rsidR="000A3C02">
              <w:rPr>
                <w:sz w:val="26"/>
              </w:rPr>
              <w:t>2</w:t>
            </w:r>
            <w:r w:rsidRPr="001645BC">
              <w:rPr>
                <w:sz w:val="26"/>
              </w:rPr>
              <w:t>,</w:t>
            </w:r>
            <w:r w:rsidR="000A3C02">
              <w:rPr>
                <w:sz w:val="26"/>
              </w:rPr>
              <w:t>129</w:t>
            </w:r>
            <w:r w:rsidRPr="001645BC">
              <w:rPr>
                <w:sz w:val="26"/>
              </w:rPr>
              <w:t xml:space="preserve"> </w:t>
            </w:r>
          </w:p>
        </w:tc>
        <w:tc>
          <w:tcPr>
            <w:tcW w:w="1800" w:type="dxa"/>
            <w:shd w:val="clear" w:color="auto" w:fill="FFFFFF" w:themeFill="background1"/>
            <w:vAlign w:val="center"/>
          </w:tcPr>
          <w:p w:rsidR="001645BC" w:rsidRPr="001645BC" w:rsidP="001645BC" w14:paraId="18EDF6C1" w14:textId="77777777">
            <w:pPr>
              <w:spacing w:before="0" w:line="240" w:lineRule="auto"/>
              <w:rPr>
                <w:sz w:val="26"/>
              </w:rPr>
            </w:pPr>
            <w:r w:rsidRPr="001645BC">
              <w:rPr>
                <w:sz w:val="26"/>
              </w:rPr>
              <w:t>0</w:t>
            </w:r>
          </w:p>
        </w:tc>
        <w:tc>
          <w:tcPr>
            <w:tcW w:w="1800" w:type="dxa"/>
            <w:shd w:val="clear" w:color="auto" w:fill="FFFFFF" w:themeFill="background1"/>
            <w:vAlign w:val="center"/>
          </w:tcPr>
          <w:p w:rsidR="001645BC" w:rsidRPr="001645BC" w:rsidP="001645BC" w14:paraId="7C200155" w14:textId="1CBCEBAD">
            <w:pPr>
              <w:spacing w:before="0" w:line="240" w:lineRule="auto"/>
              <w:rPr>
                <w:sz w:val="26"/>
              </w:rPr>
            </w:pPr>
            <w:r w:rsidRPr="001645BC">
              <w:rPr>
                <w:sz w:val="26"/>
              </w:rPr>
              <w:t>+</w:t>
            </w:r>
            <w:r w:rsidR="00556BD2">
              <w:rPr>
                <w:sz w:val="26"/>
              </w:rPr>
              <w:t>308,840</w:t>
            </w:r>
          </w:p>
        </w:tc>
      </w:tr>
      <w:tr w14:paraId="6E8F0518" w14:textId="77777777" w:rsidTr="007342EC">
        <w:tblPrEx>
          <w:tblW w:w="9360" w:type="dxa"/>
          <w:tblInd w:w="18" w:type="dxa"/>
          <w:tblLook w:val="01E0"/>
        </w:tblPrEx>
        <w:trPr>
          <w:trHeight w:val="295"/>
        </w:trPr>
        <w:tc>
          <w:tcPr>
            <w:tcW w:w="2679" w:type="dxa"/>
            <w:tcBorders>
              <w:bottom w:val="single" w:sz="4" w:space="0" w:color="auto"/>
            </w:tcBorders>
            <w:shd w:val="clear" w:color="auto" w:fill="FFFFFF" w:themeFill="background1"/>
          </w:tcPr>
          <w:p w:rsidR="001645BC" w:rsidRPr="001645BC" w:rsidP="001645BC" w14:paraId="1994D1F8" w14:textId="77777777">
            <w:pPr>
              <w:spacing w:before="0" w:line="240" w:lineRule="auto"/>
              <w:rPr>
                <w:sz w:val="26"/>
              </w:rPr>
            </w:pPr>
            <w:r w:rsidRPr="001645BC">
              <w:rPr>
                <w:sz w:val="26"/>
              </w:rPr>
              <w:t>Annual Cost Burden ($)</w:t>
            </w:r>
          </w:p>
        </w:tc>
        <w:tc>
          <w:tcPr>
            <w:tcW w:w="1461" w:type="dxa"/>
            <w:tcBorders>
              <w:bottom w:val="single" w:sz="4" w:space="0" w:color="auto"/>
            </w:tcBorders>
            <w:shd w:val="clear" w:color="auto" w:fill="FFFFFF" w:themeFill="background1"/>
            <w:vAlign w:val="center"/>
          </w:tcPr>
          <w:p w:rsidR="001645BC" w:rsidRPr="001645BC" w:rsidP="001645BC" w14:paraId="7D47D1C2" w14:textId="77777777">
            <w:pPr>
              <w:spacing w:before="0" w:line="240" w:lineRule="auto"/>
              <w:rPr>
                <w:sz w:val="26"/>
              </w:rPr>
            </w:pPr>
            <w:r w:rsidRPr="001645BC">
              <w:rPr>
                <w:sz w:val="26"/>
              </w:rPr>
              <w:t>$0</w:t>
            </w:r>
          </w:p>
        </w:tc>
        <w:tc>
          <w:tcPr>
            <w:tcW w:w="1620" w:type="dxa"/>
            <w:tcBorders>
              <w:bottom w:val="single" w:sz="4" w:space="0" w:color="auto"/>
            </w:tcBorders>
            <w:shd w:val="clear" w:color="auto" w:fill="FFFFFF" w:themeFill="background1"/>
            <w:vAlign w:val="center"/>
          </w:tcPr>
          <w:p w:rsidR="001645BC" w:rsidRPr="001645BC" w:rsidP="001645BC" w14:paraId="4747084C" w14:textId="77777777">
            <w:pPr>
              <w:spacing w:before="0" w:line="240" w:lineRule="auto"/>
              <w:rPr>
                <w:sz w:val="26"/>
              </w:rPr>
            </w:pPr>
            <w:r w:rsidRPr="001645BC">
              <w:rPr>
                <w:sz w:val="26"/>
              </w:rPr>
              <w:t>$0</w:t>
            </w:r>
          </w:p>
        </w:tc>
        <w:tc>
          <w:tcPr>
            <w:tcW w:w="1800" w:type="dxa"/>
            <w:tcBorders>
              <w:bottom w:val="single" w:sz="4" w:space="0" w:color="auto"/>
            </w:tcBorders>
            <w:shd w:val="clear" w:color="auto" w:fill="FFFFFF" w:themeFill="background1"/>
            <w:vAlign w:val="center"/>
          </w:tcPr>
          <w:p w:rsidR="001645BC" w:rsidRPr="001645BC" w:rsidP="001645BC" w14:paraId="0B16192A" w14:textId="77777777">
            <w:pPr>
              <w:spacing w:before="0" w:line="240" w:lineRule="auto"/>
              <w:rPr>
                <w:sz w:val="26"/>
              </w:rPr>
            </w:pPr>
            <w:r w:rsidRPr="001645BC">
              <w:rPr>
                <w:sz w:val="26"/>
              </w:rPr>
              <w:t>$0</w:t>
            </w:r>
          </w:p>
        </w:tc>
        <w:tc>
          <w:tcPr>
            <w:tcW w:w="1800" w:type="dxa"/>
            <w:tcBorders>
              <w:bottom w:val="single" w:sz="4" w:space="0" w:color="auto"/>
            </w:tcBorders>
            <w:shd w:val="clear" w:color="auto" w:fill="FFFFFF" w:themeFill="background1"/>
            <w:vAlign w:val="center"/>
          </w:tcPr>
          <w:p w:rsidR="001645BC" w:rsidRPr="001645BC" w:rsidP="001645BC" w14:paraId="69D013A8" w14:textId="77777777">
            <w:pPr>
              <w:spacing w:before="0" w:line="240" w:lineRule="auto"/>
              <w:rPr>
                <w:sz w:val="26"/>
              </w:rPr>
            </w:pPr>
            <w:r w:rsidRPr="001645BC">
              <w:rPr>
                <w:sz w:val="26"/>
              </w:rPr>
              <w:t>$0</w:t>
            </w:r>
          </w:p>
        </w:tc>
      </w:tr>
    </w:tbl>
    <w:p w:rsidR="00611727" w:rsidP="0049741A" w14:paraId="4DA7CF91" w14:textId="77777777">
      <w:pPr>
        <w:spacing w:before="0" w:line="240" w:lineRule="auto"/>
        <w:rPr>
          <w:b/>
          <w:bCs/>
          <w:sz w:val="26"/>
        </w:rPr>
      </w:pPr>
    </w:p>
    <w:p w:rsidR="001B667D" w:rsidP="00A42AB8" w14:paraId="2E3895AF" w14:textId="2B563B59">
      <w:pPr>
        <w:spacing w:line="240" w:lineRule="auto"/>
        <w:rPr>
          <w:bCs/>
          <w:sz w:val="26"/>
        </w:rPr>
      </w:pPr>
      <w:r w:rsidRPr="000134F4">
        <w:rPr>
          <w:b/>
          <w:bCs/>
          <w:sz w:val="26"/>
        </w:rPr>
        <w:t>16.</w:t>
      </w:r>
      <w:r w:rsidRPr="000134F4">
        <w:rPr>
          <w:b/>
          <w:bCs/>
          <w:sz w:val="26"/>
        </w:rPr>
        <w:tab/>
      </w:r>
      <w:r w:rsidRPr="00C06B9C" w:rsidR="00C06B9C">
        <w:rPr>
          <w:b/>
          <w:bCs/>
          <w:sz w:val="26"/>
        </w:rPr>
        <w:t>TIME SCHEDULE FOR THE PUBLICATION OF DATA</w:t>
      </w:r>
    </w:p>
    <w:p w:rsidR="001B667D" w:rsidP="00A42AB8" w14:paraId="6045B12C" w14:textId="35349FEA">
      <w:pPr>
        <w:spacing w:line="240" w:lineRule="auto"/>
        <w:rPr>
          <w:b/>
          <w:bCs/>
          <w:sz w:val="26"/>
        </w:rPr>
      </w:pPr>
      <w:r w:rsidRPr="00C420AB">
        <w:rPr>
          <w:bCs/>
          <w:sz w:val="26"/>
        </w:rPr>
        <w:t>There are no publication plans for the collection of information.  Although some reforms require the posting of information, this will not be done by the Commission.</w:t>
      </w:r>
    </w:p>
    <w:p w:rsidR="001B667D" w:rsidP="00A42AB8" w14:paraId="0A7315A7" w14:textId="08B93DE9">
      <w:pPr>
        <w:spacing w:line="240" w:lineRule="auto"/>
        <w:rPr>
          <w:bCs/>
          <w:sz w:val="26"/>
        </w:rPr>
      </w:pPr>
      <w:r w:rsidRPr="6DED7E48">
        <w:rPr>
          <w:b/>
          <w:sz w:val="26"/>
          <w:szCs w:val="26"/>
        </w:rPr>
        <w:t>17.</w:t>
      </w:r>
      <w:r w:rsidR="00A82B9F">
        <w:rPr>
          <w:b/>
          <w:color w:val="000000"/>
        </w:rPr>
        <w:tab/>
      </w:r>
      <w:r w:rsidRPr="6DED7E48" w:rsidR="00CF2910">
        <w:rPr>
          <w:b/>
          <w:sz w:val="26"/>
          <w:szCs w:val="26"/>
        </w:rPr>
        <w:t xml:space="preserve">DISPLAY OF THE EXPIRATION DATE  </w:t>
      </w:r>
    </w:p>
    <w:p w:rsidR="001B667D" w:rsidP="00A42AB8" w14:paraId="7E8763C3" w14:textId="7F81C2EF">
      <w:pPr>
        <w:spacing w:line="240" w:lineRule="auto"/>
        <w:rPr>
          <w:b/>
          <w:bCs/>
          <w:sz w:val="26"/>
        </w:rPr>
      </w:pPr>
      <w:r w:rsidRPr="005818DD">
        <w:rPr>
          <w:bCs/>
          <w:sz w:val="26"/>
        </w:rPr>
        <w:t xml:space="preserve">The OMB expiration dates are posted on </w:t>
      </w:r>
      <w:hyperlink r:id="rId11" w:history="1">
        <w:r w:rsidRPr="005818DD">
          <w:rPr>
            <w:rStyle w:val="Hyperlink"/>
            <w:bCs/>
            <w:sz w:val="26"/>
          </w:rPr>
          <w:t>https://www.ferc.gov/enforcement-legal/legal/information-collections</w:t>
        </w:r>
      </w:hyperlink>
      <w:r w:rsidRPr="005818DD">
        <w:rPr>
          <w:bCs/>
          <w:sz w:val="26"/>
          <w:u w:val="single"/>
        </w:rPr>
        <w:t>.</w:t>
      </w:r>
    </w:p>
    <w:p w:rsidR="001B667D" w:rsidP="00A42AB8" w14:paraId="21F0B0EA" w14:textId="77DF8F06">
      <w:pPr>
        <w:spacing w:line="240" w:lineRule="auto"/>
        <w:rPr>
          <w:bCs/>
          <w:sz w:val="26"/>
        </w:rPr>
      </w:pPr>
      <w:r w:rsidRPr="000134F4">
        <w:rPr>
          <w:b/>
          <w:bCs/>
          <w:sz w:val="26"/>
        </w:rPr>
        <w:t>18.</w:t>
      </w:r>
      <w:r w:rsidRPr="000134F4">
        <w:rPr>
          <w:b/>
          <w:bCs/>
          <w:sz w:val="26"/>
        </w:rPr>
        <w:tab/>
      </w:r>
      <w:r w:rsidRPr="00B07821" w:rsidR="00B07821">
        <w:rPr>
          <w:b/>
          <w:bCs/>
          <w:sz w:val="26"/>
        </w:rPr>
        <w:t>EXCEPTIONS TO THE CERTIFICATION STATEMENT</w:t>
      </w:r>
    </w:p>
    <w:p w:rsidR="002344E3" w:rsidRPr="000134F4" w:rsidP="00A42AB8" w14:paraId="1060531F" w14:textId="67155124">
      <w:pPr>
        <w:spacing w:line="240" w:lineRule="auto"/>
        <w:rPr>
          <w:bCs/>
          <w:sz w:val="26"/>
        </w:rPr>
      </w:pPr>
      <w:r w:rsidRPr="000134F4">
        <w:rPr>
          <w:bCs/>
          <w:sz w:val="26"/>
        </w:rPr>
        <w:t>There are no exceptions.</w:t>
      </w:r>
    </w:p>
    <w:sectPr w:rsidSect="003A2374">
      <w:head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C47F6" w14:paraId="44828728" w14:textId="77777777">
      <w:r>
        <w:separator/>
      </w:r>
    </w:p>
  </w:endnote>
  <w:endnote w:type="continuationSeparator" w:id="1">
    <w:p w:rsidR="003C47F6" w14:paraId="207D8A6A" w14:textId="77777777">
      <w:r>
        <w:continuationSeparator/>
      </w:r>
    </w:p>
  </w:endnote>
  <w:endnote w:type="continuationNotice" w:id="2">
    <w:p w:rsidR="003C47F6" w14:paraId="5E78BE6D"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47F6" w14:paraId="70EB697D" w14:textId="77777777">
      <w:r>
        <w:separator/>
      </w:r>
    </w:p>
  </w:footnote>
  <w:footnote w:type="continuationSeparator" w:id="1">
    <w:p w:rsidR="003C47F6" w14:paraId="7335CD57" w14:textId="77777777">
      <w:r>
        <w:continuationSeparator/>
      </w:r>
    </w:p>
  </w:footnote>
  <w:footnote w:type="continuationNotice" w:id="2">
    <w:p w:rsidR="003C47F6" w14:paraId="6FE1C44A" w14:textId="77777777">
      <w:pPr>
        <w:spacing w:before="0" w:line="240" w:lineRule="auto"/>
      </w:pPr>
    </w:p>
  </w:footnote>
  <w:footnote w:id="3">
    <w:p w:rsidR="00E73A63" w:rsidRPr="00C86BFE" w:rsidP="00921506" w14:paraId="6B92EFE9" w14:textId="02125049">
      <w:pPr>
        <w:pStyle w:val="FootnoteText"/>
        <w:spacing w:before="0" w:line="240" w:lineRule="auto"/>
        <w:rPr>
          <w:sz w:val="26"/>
        </w:rPr>
      </w:pPr>
      <w:r w:rsidRPr="00C86BFE">
        <w:rPr>
          <w:rStyle w:val="FootnoteReference"/>
          <w:sz w:val="26"/>
          <w:vertAlign w:val="superscript"/>
        </w:rPr>
        <w:footnoteRef/>
      </w:r>
      <w:r w:rsidRPr="00C86BFE">
        <w:rPr>
          <w:sz w:val="26"/>
        </w:rPr>
        <w:t xml:space="preserve"> As defined at 16 U.S.C. 824(e)</w:t>
      </w:r>
      <w:r w:rsidR="00471864">
        <w:rPr>
          <w:sz w:val="26"/>
        </w:rPr>
        <w:t>,</w:t>
      </w:r>
      <w:r w:rsidRPr="00C86BFE">
        <w:rPr>
          <w:sz w:val="26"/>
        </w:rPr>
        <w:t xml:space="preserve"> a “public utility” is any person who owns or operates facilities subject to the jurisdiction of the Comm</w:t>
      </w:r>
      <w:r w:rsidR="00002C89">
        <w:rPr>
          <w:sz w:val="26"/>
        </w:rPr>
        <w:t>i</w:t>
      </w:r>
      <w:r w:rsidRPr="00C86BFE">
        <w:rPr>
          <w:sz w:val="26"/>
        </w:rPr>
        <w:t>ssion under Subchapter</w:t>
      </w:r>
      <w:r w:rsidR="0082075F">
        <w:rPr>
          <w:sz w:val="26"/>
        </w:rPr>
        <w:t>s</w:t>
      </w:r>
      <w:r w:rsidRPr="00C86BFE">
        <w:rPr>
          <w:sz w:val="26"/>
        </w:rPr>
        <w:t xml:space="preserve"> II </w:t>
      </w:r>
      <w:r w:rsidR="0082075F">
        <w:rPr>
          <w:sz w:val="26"/>
        </w:rPr>
        <w:t xml:space="preserve">and III </w:t>
      </w:r>
      <w:r w:rsidRPr="00C86BFE">
        <w:rPr>
          <w:sz w:val="26"/>
        </w:rPr>
        <w:t>of the FPA</w:t>
      </w:r>
      <w:r w:rsidR="008D36F2">
        <w:rPr>
          <w:sz w:val="26"/>
        </w:rPr>
        <w:t>.</w:t>
      </w:r>
    </w:p>
  </w:footnote>
  <w:footnote w:id="4">
    <w:p w:rsidR="00085A9D" w:rsidRPr="00315CE2" w:rsidP="00085A9D" w14:paraId="0C21D8A5" w14:textId="0E016F4A">
      <w:pPr>
        <w:pStyle w:val="FootnoteText"/>
        <w:tabs>
          <w:tab w:val="left" w:pos="1710"/>
        </w:tabs>
        <w:spacing w:before="0" w:line="240" w:lineRule="auto"/>
        <w:rPr>
          <w:sz w:val="26"/>
        </w:rPr>
      </w:pPr>
      <w:r w:rsidRPr="00315CE2">
        <w:rPr>
          <w:rStyle w:val="FootnoteReference"/>
          <w:sz w:val="26"/>
          <w:vertAlign w:val="superscript"/>
        </w:rPr>
        <w:footnoteRef/>
      </w:r>
      <w:r w:rsidRPr="00315CE2">
        <w:rPr>
          <w:sz w:val="26"/>
        </w:rPr>
        <w:t xml:space="preserve"> </w:t>
      </w:r>
      <w:r w:rsidR="00337B66">
        <w:rPr>
          <w:sz w:val="26"/>
        </w:rPr>
        <w:t xml:space="preserve">Pro Forma OATT – effective March 14, 2022, </w:t>
      </w:r>
      <w:hyperlink r:id="rId1" w:history="1">
        <w:r w:rsidRPr="00337B66" w:rsidR="00337B66">
          <w:rPr>
            <w:rStyle w:val="Hyperlink"/>
            <w:sz w:val="26"/>
          </w:rPr>
          <w:t>https://www.ferc.gov/media/pro-forma-oatt-effective-march-14-2022</w:t>
        </w:r>
      </w:hyperlink>
    </w:p>
  </w:footnote>
  <w:footnote w:id="5">
    <w:p w:rsidR="00266C35" w:rsidRPr="00854F12" w:rsidP="00360C10" w14:paraId="6666E505" w14:textId="2BC12A14">
      <w:pPr>
        <w:pStyle w:val="FootnoteText"/>
        <w:spacing w:before="0" w:line="240" w:lineRule="auto"/>
        <w:rPr>
          <w:sz w:val="26"/>
        </w:rPr>
      </w:pPr>
      <w:r w:rsidRPr="00854F12">
        <w:rPr>
          <w:rStyle w:val="FootnoteReference"/>
          <w:sz w:val="26"/>
          <w:vertAlign w:val="superscript"/>
        </w:rPr>
        <w:footnoteRef/>
      </w:r>
      <w:r w:rsidRPr="00854F12">
        <w:rPr>
          <w:sz w:val="26"/>
        </w:rPr>
        <w:t xml:space="preserve"> </w:t>
      </w:r>
      <w:r w:rsidRPr="00854F12" w:rsidR="00EF1A0C">
        <w:rPr>
          <w:sz w:val="26"/>
        </w:rPr>
        <w:t>As defined at 18 CFR 37.3</w:t>
      </w:r>
      <w:r w:rsidRPr="00854F12" w:rsidR="00360C10">
        <w:rPr>
          <w:sz w:val="26"/>
        </w:rPr>
        <w:t>(a)</w:t>
      </w:r>
      <w:r w:rsidRPr="00854F12" w:rsidR="00EF1A0C">
        <w:rPr>
          <w:sz w:val="26"/>
        </w:rPr>
        <w:t xml:space="preserve"> </w:t>
      </w:r>
      <w:r w:rsidR="000A7C34">
        <w:rPr>
          <w:sz w:val="26"/>
        </w:rPr>
        <w:t xml:space="preserve">a </w:t>
      </w:r>
      <w:r w:rsidRPr="00854F12" w:rsidR="00EF1A0C">
        <w:rPr>
          <w:sz w:val="26"/>
        </w:rPr>
        <w:t>“Transmission Provider” is any public utility that owns, operates, or controls facilities for the transmission of electric energy in in</w:t>
      </w:r>
      <w:r w:rsidRPr="00854F12" w:rsidR="00360C10">
        <w:rPr>
          <w:sz w:val="26"/>
        </w:rPr>
        <w:t>terstate commerce.</w:t>
      </w:r>
    </w:p>
  </w:footnote>
  <w:footnote w:id="6">
    <w:p w:rsidR="0053087E" w14:paraId="2BFFF8C3" w14:textId="247E2D4C">
      <w:pPr>
        <w:pStyle w:val="FootnoteText"/>
      </w:pPr>
      <w:r w:rsidRPr="00A322CA">
        <w:rPr>
          <w:rStyle w:val="FootnoteReference"/>
          <w:sz w:val="26"/>
          <w:vertAlign w:val="superscript"/>
        </w:rPr>
        <w:footnoteRef/>
      </w:r>
      <w:r>
        <w:t xml:space="preserve"> </w:t>
      </w:r>
      <w:r w:rsidRPr="00A322CA" w:rsidR="005F3535">
        <w:rPr>
          <w:sz w:val="26"/>
          <w:szCs w:val="26"/>
        </w:rPr>
        <w:t xml:space="preserve">The final rule also requires transmission providers to </w:t>
      </w:r>
      <w:r w:rsidR="00DD1C06">
        <w:rPr>
          <w:sz w:val="26"/>
          <w:szCs w:val="26"/>
        </w:rPr>
        <w:t>allow</w:t>
      </w:r>
      <w:r w:rsidRPr="00A322CA" w:rsidR="005F3535">
        <w:rPr>
          <w:sz w:val="26"/>
          <w:szCs w:val="26"/>
        </w:rPr>
        <w:t xml:space="preserve"> no fewer than 25 calendar days following the Solutions Meeting to review and consider stakeholder feedback on the local transmission solutions identified to meet the local transmission needs before the local transmission plan can be incorporated in the transmission planning region’s planning models.</w:t>
      </w:r>
    </w:p>
  </w:footnote>
  <w:footnote w:id="7">
    <w:p w:rsidR="001D4E0A" w14:paraId="49DAAF45" w14:textId="4ED7B1B6">
      <w:pPr>
        <w:pStyle w:val="FootnoteText"/>
      </w:pPr>
      <w:r w:rsidRPr="00A322CA">
        <w:rPr>
          <w:rStyle w:val="FootnoteReference"/>
          <w:sz w:val="26"/>
          <w:vertAlign w:val="superscript"/>
        </w:rPr>
        <w:footnoteRef/>
      </w:r>
      <w:r>
        <w:t xml:space="preserve"> </w:t>
      </w:r>
      <w:r w:rsidRPr="00A322CA">
        <w:rPr>
          <w:sz w:val="26"/>
        </w:rPr>
        <w:t>The final rule defines a “right-sized replacement transmission facility” as a new transmission facility that:</w:t>
      </w:r>
      <w:r w:rsidR="00AB79F5">
        <w:rPr>
          <w:sz w:val="26"/>
        </w:rPr>
        <w:t xml:space="preserve"> </w:t>
      </w:r>
      <w:r w:rsidRPr="00A322CA">
        <w:rPr>
          <w:sz w:val="26"/>
        </w:rPr>
        <w:t xml:space="preserve"> (1) would meet the need to replace an existing transmission facility that a transmission provider has identified in its in-kind replacement estimate as one that it plans to replace with an in-kind replacement transmission facility while also addressing a Long-Term Transmission Need; (2) results in more than an incidental increase in the capacity of an existing transmission facility that a transmission provider has identified for replacement in its in-kind replacement estimate; and (3) is located in the same general route as, and/or uses or expands the existing rights-of-way of, the existing transmission facility that a transmission provider has identified for replacement in its in-kind replacement estimate.</w:t>
      </w:r>
    </w:p>
  </w:footnote>
  <w:footnote w:id="8">
    <w:p w:rsidR="00BB0B29" w:rsidRPr="00C81B72" w:rsidP="00BB0B29" w14:paraId="49989F90" w14:textId="3CDE412B">
      <w:pPr>
        <w:pStyle w:val="FootnoteText"/>
        <w:spacing w:after="80"/>
        <w:ind w:left="360"/>
        <w:rPr>
          <w:sz w:val="24"/>
          <w:szCs w:val="24"/>
        </w:rPr>
      </w:pPr>
      <w:r w:rsidRPr="00A322CA">
        <w:rPr>
          <w:rStyle w:val="FootnoteReference"/>
          <w:sz w:val="26"/>
          <w:vertAlign w:val="superscript"/>
        </w:rPr>
        <w:footnoteRef/>
      </w:r>
      <w:r w:rsidRPr="00C81B72">
        <w:rPr>
          <w:sz w:val="24"/>
          <w:szCs w:val="24"/>
        </w:rPr>
        <w:t xml:space="preserve"> </w:t>
      </w:r>
      <w:r w:rsidRPr="00A322CA">
        <w:rPr>
          <w:i/>
          <w:iCs/>
          <w:sz w:val="26"/>
        </w:rPr>
        <w:t>See</w:t>
      </w:r>
      <w:r w:rsidRPr="00A322CA">
        <w:rPr>
          <w:sz w:val="26"/>
        </w:rPr>
        <w:t xml:space="preserve"> 18 CFR 37.6 (</w:t>
      </w:r>
      <w:r w:rsidRPr="00A322CA" w:rsidR="000A349D">
        <w:rPr>
          <w:sz w:val="26"/>
        </w:rPr>
        <w:t>explaining the i</w:t>
      </w:r>
      <w:r w:rsidRPr="00A322CA">
        <w:rPr>
          <w:sz w:val="26"/>
        </w:rPr>
        <w:t>nformation to be posted on the OASIS).</w:t>
      </w:r>
    </w:p>
  </w:footnote>
  <w:footnote w:id="9">
    <w:p w:rsidR="00BB6C7E" w:rsidRPr="00B873FB" w:rsidP="00BB6C7E" w14:paraId="5BC68257" w14:textId="3C1BF9D8">
      <w:pPr>
        <w:pStyle w:val="FootnoteText"/>
        <w:rPr>
          <w:sz w:val="26"/>
        </w:rPr>
      </w:pPr>
      <w:r w:rsidRPr="00B13CA1">
        <w:rPr>
          <w:rStyle w:val="FootnoteReference"/>
          <w:sz w:val="26"/>
          <w:vertAlign w:val="superscript"/>
        </w:rPr>
        <w:footnoteRef/>
      </w:r>
      <w:r w:rsidRPr="00B873FB">
        <w:rPr>
          <w:sz w:val="26"/>
        </w:rPr>
        <w:t xml:space="preserve"> 86 FR 40266</w:t>
      </w:r>
      <w:r w:rsidR="003C5D87">
        <w:rPr>
          <w:sz w:val="26"/>
        </w:rPr>
        <w:t>.</w:t>
      </w:r>
    </w:p>
  </w:footnote>
  <w:footnote w:id="10">
    <w:p w:rsidR="0057181B" w14:paraId="3BC74A6E" w14:textId="1F488B50">
      <w:pPr>
        <w:pStyle w:val="FootnoteText"/>
      </w:pPr>
      <w:r>
        <w:rPr>
          <w:rStyle w:val="FootnoteReference"/>
        </w:rPr>
        <w:footnoteRef/>
      </w:r>
      <w:r>
        <w:t xml:space="preserve"> </w:t>
      </w:r>
      <w:r w:rsidRPr="00A322CA">
        <w:rPr>
          <w:sz w:val="26"/>
          <w:szCs w:val="26"/>
        </w:rPr>
        <w:t>PJM Initial Comments at 125-</w:t>
      </w:r>
      <w:r w:rsidR="006427D5">
        <w:rPr>
          <w:sz w:val="26"/>
          <w:szCs w:val="26"/>
        </w:rPr>
        <w:t>1</w:t>
      </w:r>
      <w:r w:rsidRPr="00A322CA">
        <w:rPr>
          <w:sz w:val="26"/>
          <w:szCs w:val="26"/>
        </w:rPr>
        <w:t>29</w:t>
      </w:r>
      <w:r w:rsidR="00935C35">
        <w:rPr>
          <w:sz w:val="26"/>
          <w:szCs w:val="26"/>
        </w:rPr>
        <w:t xml:space="preserve">, Docket No. RM21-17-000 (filed </w:t>
      </w:r>
      <w:r w:rsidR="006427D5">
        <w:rPr>
          <w:sz w:val="26"/>
          <w:szCs w:val="26"/>
        </w:rPr>
        <w:t>August 17, 2022</w:t>
      </w:r>
      <w:r w:rsidR="00935C35">
        <w:rPr>
          <w:sz w:val="26"/>
          <w:szCs w:val="26"/>
        </w:rPr>
        <w:t>)</w:t>
      </w:r>
      <w:r w:rsidRPr="00A322CA">
        <w:rPr>
          <w:sz w:val="26"/>
          <w:szCs w:val="26"/>
        </w:rPr>
        <w:t>.</w:t>
      </w:r>
    </w:p>
  </w:footnote>
  <w:footnote w:id="11">
    <w:p w:rsidR="00BD5C49" w:rsidP="00BD5C49" w14:paraId="7C623806" w14:textId="77777777">
      <w:pPr>
        <w:pStyle w:val="FootnoteText"/>
      </w:pPr>
      <w:r w:rsidRPr="00A322CA">
        <w:rPr>
          <w:rStyle w:val="FootnoteReference"/>
          <w:sz w:val="26"/>
          <w:vertAlign w:val="superscript"/>
        </w:rPr>
        <w:footnoteRef/>
      </w:r>
      <w:r>
        <w:t xml:space="preserve"> </w:t>
      </w:r>
      <w:r w:rsidRPr="00A6331D">
        <w:rPr>
          <w:sz w:val="26"/>
        </w:rPr>
        <w:t>The transmission service provider (TSP) function is a NERC registration function, which is similar to the transmission provider that is referenced in the pro forma OATT.  The TSP function is being used as a proxy to estimate the number of transmission providers that are impacted by this proposed rulemaking.</w:t>
      </w:r>
    </w:p>
  </w:footnote>
  <w:footnote w:id="12">
    <w:p w:rsidR="00BD5C49" w:rsidP="00BD5C49" w14:paraId="5F0C4965" w14:textId="77777777">
      <w:pPr>
        <w:pStyle w:val="FootnoteText"/>
      </w:pPr>
      <w:r w:rsidRPr="00A6331D">
        <w:rPr>
          <w:rStyle w:val="FootnoteReference"/>
          <w:sz w:val="26"/>
          <w:vertAlign w:val="superscript"/>
        </w:rPr>
        <w:footnoteRef/>
      </w:r>
      <w:r>
        <w:t xml:space="preserve"> </w:t>
      </w:r>
      <w:r w:rsidRPr="00A6331D">
        <w:rPr>
          <w:sz w:val="26"/>
        </w:rPr>
        <w:t>The number of entities listed from the NERC Compliance Registry reflects the omission of the Texas registered entities.  Note that the 48 transmission providers with OATTs do not include non-public utility transmission providers with reciprocity tariffs.</w:t>
      </w:r>
    </w:p>
  </w:footnote>
  <w:footnote w:id="13">
    <w:p w:rsidR="00BD5C49" w:rsidP="00BD5C49" w14:paraId="75689469" w14:textId="4B002DFA">
      <w:pPr>
        <w:pStyle w:val="FootnoteText"/>
      </w:pPr>
      <w:r w:rsidRPr="00A6331D">
        <w:rPr>
          <w:rStyle w:val="FootnoteReference"/>
          <w:sz w:val="26"/>
          <w:vertAlign w:val="superscript"/>
        </w:rPr>
        <w:footnoteRef/>
      </w:r>
      <w:r>
        <w:t xml:space="preserve"> </w:t>
      </w:r>
      <w:r w:rsidRPr="00830D6C">
        <w:rPr>
          <w:sz w:val="26"/>
        </w:rPr>
        <w:t xml:space="preserve">See </w:t>
      </w:r>
      <w:r w:rsidRPr="00830D6C">
        <w:rPr>
          <w:i/>
          <w:iCs/>
          <w:sz w:val="26"/>
        </w:rPr>
        <w:t>supra</w:t>
      </w:r>
      <w:r w:rsidRPr="00830D6C">
        <w:rPr>
          <w:sz w:val="26"/>
        </w:rPr>
        <w:t xml:space="preserve"> note </w:t>
      </w:r>
      <w:r w:rsidRPr="00830D6C" w:rsidR="00E66D1F">
        <w:rPr>
          <w:sz w:val="26"/>
        </w:rPr>
        <w:t>3</w:t>
      </w:r>
      <w:r w:rsidRPr="00830D6C">
        <w:rPr>
          <w:sz w:val="26"/>
        </w:rPr>
        <w:t>.</w:t>
      </w:r>
    </w:p>
  </w:footnote>
  <w:footnote w:id="14">
    <w:p w:rsidR="006470CF" w:rsidRPr="00C81B72" w:rsidP="00A6331D" w14:paraId="7613C360" w14:textId="77777777">
      <w:pPr>
        <w:pStyle w:val="FootnoteText"/>
        <w:rPr>
          <w:sz w:val="24"/>
          <w:szCs w:val="24"/>
        </w:rPr>
      </w:pPr>
      <w:r w:rsidRPr="00A6331D">
        <w:rPr>
          <w:rStyle w:val="FootnoteReference"/>
          <w:sz w:val="26"/>
          <w:vertAlign w:val="superscript"/>
        </w:rPr>
        <w:footnoteRef/>
      </w:r>
      <w:r w:rsidRPr="00C81B72">
        <w:rPr>
          <w:sz w:val="24"/>
          <w:szCs w:val="24"/>
        </w:rPr>
        <w:t xml:space="preserve"> </w:t>
      </w:r>
      <w:r w:rsidRPr="00A6331D">
        <w:rPr>
          <w:sz w:val="26"/>
        </w:rPr>
        <w:t>“Burden”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15">
    <w:p w:rsidR="00C07288" w:rsidP="00C07288" w14:paraId="53FB21C3" w14:textId="77777777">
      <w:pPr>
        <w:pStyle w:val="FootnoteText"/>
      </w:pPr>
      <w:r w:rsidRPr="0067073E">
        <w:rPr>
          <w:rStyle w:val="FootnoteReference"/>
          <w:sz w:val="26"/>
          <w:vertAlign w:val="superscript"/>
        </w:rPr>
        <w:footnoteRef/>
      </w:r>
      <w:r>
        <w:t xml:space="preserve"> </w:t>
      </w:r>
      <w:r w:rsidRPr="0067073E">
        <w:rPr>
          <w:sz w:val="26"/>
        </w:rPr>
        <w:t>In the table, Year 1 figures are one-time implementation hours and cost.  “Subsequent years” show ongoing burdens and costs starting in Year 2.</w:t>
      </w:r>
    </w:p>
  </w:footnote>
  <w:footnote w:id="16">
    <w:p w:rsidR="00C07288" w:rsidP="00C07288" w14:paraId="644B1D50" w14:textId="77777777">
      <w:pPr>
        <w:pStyle w:val="FootnoteText"/>
      </w:pPr>
      <w:r w:rsidRPr="0067073E">
        <w:rPr>
          <w:rStyle w:val="FootnoteReference"/>
          <w:sz w:val="26"/>
          <w:vertAlign w:val="superscript"/>
        </w:rPr>
        <w:footnoteRef/>
      </w:r>
      <w:r>
        <w:t xml:space="preserve"> </w:t>
      </w:r>
      <w:r w:rsidRPr="0067073E">
        <w:rPr>
          <w:sz w:val="26"/>
        </w:rPr>
        <w:t>The hourly cost (for salary plus benefits) uses the figures from the Bureau of Labor Statistics (BLS) for three positions involved in the reporting and recordkeeping requirements.  These figures include salary (based on BLS data for May 2022, issued April 25, 2023, http://bls.gov/oes/current/naics2_22.htm) and benefits (based on BLS data for September 2023; issued December 15, 2023, http://www.bls.gov/news.release/ecec.nr0.htm) and are Manager (Occupation Code 11-0000, $122.48/hour), Electrical Engineer (Occupation Code 17-2071, $89.04/hour), and File Clerk (Occupation Code 43-4071, $42.43/hour).  The hourly cost for the reporting requirements ($105.76) is an average of the hourly cost (wages plus benefits) of a manager and engineer.  The hourly cost for recordkeeping requirements uses the cost of a file clerk.</w:t>
      </w:r>
    </w:p>
  </w:footnote>
  <w:footnote w:id="17">
    <w:p w:rsidR="007B3A22" w14:paraId="16C04CF6" w14:textId="7DD68E42">
      <w:pPr>
        <w:pStyle w:val="FootnoteText"/>
      </w:pPr>
      <w:r w:rsidRPr="00A322CA">
        <w:rPr>
          <w:rStyle w:val="FootnoteReference"/>
          <w:sz w:val="26"/>
          <w:szCs w:val="22"/>
          <w:vertAlign w:val="superscript"/>
        </w:rPr>
        <w:footnoteRef/>
      </w:r>
      <w:r>
        <w:t xml:space="preserve"> </w:t>
      </w:r>
      <w:r w:rsidRPr="00860D2F">
        <w:rPr>
          <w:sz w:val="26"/>
        </w:rPr>
        <w:t xml:space="preserve">5 CFR </w:t>
      </w:r>
      <w:r w:rsidR="004C74B0">
        <w:rPr>
          <w:sz w:val="26"/>
        </w:rPr>
        <w:t>pt.</w:t>
      </w:r>
      <w:r w:rsidR="001C51FF">
        <w:rPr>
          <w:sz w:val="26"/>
        </w:rPr>
        <w:t xml:space="preserve"> </w:t>
      </w:r>
      <w:r w:rsidRPr="00860D2F">
        <w:rPr>
          <w:sz w:val="26"/>
        </w:rPr>
        <w:t>1320.</w:t>
      </w:r>
    </w:p>
  </w:footnote>
  <w:footnote w:id="18">
    <w:p w:rsidR="00413384" w:rsidRPr="00423B4A" w:rsidP="000134F4" w14:paraId="43241145" w14:textId="3A42D16A">
      <w:pPr>
        <w:pStyle w:val="FootnoteText"/>
        <w:rPr>
          <w:sz w:val="26"/>
          <w:szCs w:val="22"/>
        </w:rPr>
      </w:pPr>
      <w:r w:rsidRPr="00A668FA">
        <w:rPr>
          <w:rStyle w:val="FootnoteReference"/>
          <w:sz w:val="26"/>
          <w:szCs w:val="22"/>
          <w:vertAlign w:val="superscript"/>
        </w:rPr>
        <w:footnoteRef/>
      </w:r>
      <w:r w:rsidRPr="00423B4A">
        <w:rPr>
          <w:sz w:val="26"/>
          <w:szCs w:val="22"/>
        </w:rPr>
        <w:t xml:space="preserve"> Based upon FERC’s 202</w:t>
      </w:r>
      <w:r w:rsidR="00ED3714">
        <w:rPr>
          <w:sz w:val="26"/>
          <w:szCs w:val="22"/>
        </w:rPr>
        <w:t>4</w:t>
      </w:r>
      <w:r w:rsidRPr="00423B4A">
        <w:rPr>
          <w:sz w:val="26"/>
          <w:szCs w:val="22"/>
        </w:rPr>
        <w:t xml:space="preserve"> FTE average annual salary plus benefits ($</w:t>
      </w:r>
      <w:r w:rsidR="00ED3714">
        <w:rPr>
          <w:sz w:val="26"/>
          <w:szCs w:val="22"/>
        </w:rPr>
        <w:t>207</w:t>
      </w:r>
      <w:r w:rsidRPr="00423B4A">
        <w:rPr>
          <w:sz w:val="26"/>
          <w:szCs w:val="22"/>
        </w:rPr>
        <w:t>,7</w:t>
      </w:r>
      <w:r w:rsidR="009411FA">
        <w:rPr>
          <w:sz w:val="26"/>
          <w:szCs w:val="22"/>
        </w:rPr>
        <w:t>86</w:t>
      </w:r>
      <w:r w:rsidRPr="00423B4A">
        <w:rPr>
          <w:sz w:val="26"/>
          <w:szCs w:val="22"/>
        </w:rPr>
        <w:t>).</w:t>
      </w:r>
    </w:p>
  </w:footnote>
  <w:footnote w:id="19">
    <w:p w:rsidR="000A3C02" w14:paraId="5C942F89" w14:textId="700B96AE">
      <w:pPr>
        <w:pStyle w:val="FootnoteText"/>
      </w:pPr>
      <w:r w:rsidRPr="00556BD2">
        <w:rPr>
          <w:rStyle w:val="FootnoteReference"/>
          <w:sz w:val="26"/>
          <w:szCs w:val="26"/>
          <w:vertAlign w:val="superscript"/>
        </w:rPr>
        <w:footnoteRef/>
      </w:r>
      <w:r w:rsidRPr="000A3C02">
        <w:rPr>
          <w:vertAlign w:val="superscript"/>
        </w:rPr>
        <w:t xml:space="preserve"> </w:t>
      </w:r>
      <w:r w:rsidRPr="00556BD2">
        <w:rPr>
          <w:sz w:val="26"/>
          <w:szCs w:val="26"/>
        </w:rPr>
        <w:t>The information collection of FERC 918 is not being changed in this final rule, rather it is included in this OMB control no.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AF3" w:rsidP="00D54533" w14:paraId="64EECE27" w14:textId="5C5E0502">
    <w:pPr>
      <w:pStyle w:val="Header"/>
      <w:spacing w:before="0" w:line="240" w:lineRule="auto"/>
    </w:pPr>
    <w:r>
      <w:t>FERC-917</w:t>
    </w:r>
    <w:r w:rsidR="0011715E">
      <w:t xml:space="preserve"> </w:t>
    </w:r>
    <w:r w:rsidRPr="004E533C" w:rsidR="0011715E">
      <w:t>(OMB Control N</w:t>
    </w:r>
    <w:r w:rsidR="007B6475">
      <w:t xml:space="preserve">o. </w:t>
    </w:r>
    <w:r w:rsidRPr="004E533C" w:rsidR="0011715E">
      <w:t>1902-0233)</w:t>
    </w:r>
  </w:p>
  <w:p w:rsidR="0057092C" w:rsidP="006B5685" w14:paraId="2A5D3D94" w14:textId="77777777">
    <w:pPr>
      <w:pStyle w:val="Header"/>
      <w:spacing w:before="0" w:line="240" w:lineRule="auto"/>
    </w:pPr>
    <w:r>
      <w:t xml:space="preserve">Docket No. </w:t>
    </w:r>
    <w:r w:rsidR="006B5685">
      <w:t>RM21-17-000</w:t>
    </w:r>
  </w:p>
  <w:p w:rsidR="006B5685" w:rsidP="006B5685" w14:paraId="1D3EF5B7" w14:textId="456204C6">
    <w:pPr>
      <w:pStyle w:val="Header"/>
      <w:spacing w:before="0" w:line="240" w:lineRule="auto"/>
    </w:pPr>
    <w:r>
      <w:t xml:space="preserve">RIN </w:t>
    </w:r>
    <w:r w:rsidR="0057092C">
      <w:t xml:space="preserve"># </w:t>
    </w:r>
    <w:r>
      <w:t>1902-AF87</w:t>
    </w:r>
  </w:p>
  <w:p w:rsidR="00514DFF" w14:paraId="0600B3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4DD8B4DC"/>
    <w:lvl w:ilvl="0">
      <w:start w:val="0"/>
      <w:numFmt w:val="bullet"/>
      <w:lvlText w:val="*"/>
      <w:lvlJc w:val="left"/>
    </w:lvl>
  </w:abstractNum>
  <w:abstractNum w:abstractNumId="1">
    <w:nsid w:val="00000001"/>
    <w:multiLevelType w:val="multilevel"/>
    <w:tmpl w:val="00000000"/>
    <w:name w:val="AutoList1"/>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0"/>
      <w:numFmt w:val="decimal"/>
      <w:lvlJc w:val="left"/>
    </w:lvl>
  </w:abstractNum>
  <w:abstractNum w:abstractNumId="2">
    <w:nsid w:val="01FC6288"/>
    <w:multiLevelType w:val="hybridMultilevel"/>
    <w:tmpl w:val="9D30E1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FB7CC3"/>
    <w:multiLevelType w:val="hybridMultilevel"/>
    <w:tmpl w:val="4EE4D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6D139A"/>
    <w:multiLevelType w:val="hybridMultilevel"/>
    <w:tmpl w:val="555403B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0F3D50C2"/>
    <w:multiLevelType w:val="hybridMultilevel"/>
    <w:tmpl w:val="F2843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C50928"/>
    <w:multiLevelType w:val="hybridMultilevel"/>
    <w:tmpl w:val="16D0AC72"/>
    <w:lvl w:ilvl="0">
      <w:start w:val="1"/>
      <w:numFmt w:val="decimal"/>
      <w:lvlText w:val="(%1)"/>
      <w:lvlJc w:val="left"/>
      <w:pPr>
        <w:tabs>
          <w:tab w:val="num" w:pos="1500"/>
        </w:tabs>
        <w:ind w:left="1500" w:hanging="78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D341C8D"/>
    <w:multiLevelType w:val="hybridMultilevel"/>
    <w:tmpl w:val="0C0ECC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8C6FDB"/>
    <w:multiLevelType w:val="hybridMultilevel"/>
    <w:tmpl w:val="D91C9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293EB5"/>
    <w:multiLevelType w:val="hybridMultilevel"/>
    <w:tmpl w:val="EE2E2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B23E9F"/>
    <w:multiLevelType w:val="hybridMultilevel"/>
    <w:tmpl w:val="24D2F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1F67C8"/>
    <w:multiLevelType w:val="hybridMultilevel"/>
    <w:tmpl w:val="4E103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EB456D"/>
    <w:multiLevelType w:val="hybridMultilevel"/>
    <w:tmpl w:val="7680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97700F"/>
    <w:multiLevelType w:val="hybridMultilevel"/>
    <w:tmpl w:val="7E4CB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7C4FB9"/>
    <w:multiLevelType w:val="hybridMultilevel"/>
    <w:tmpl w:val="77543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8030C1"/>
    <w:multiLevelType w:val="hybridMultilevel"/>
    <w:tmpl w:val="AC8E582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2F657A6D"/>
    <w:multiLevelType w:val="hybridMultilevel"/>
    <w:tmpl w:val="0CE03D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8C5D40"/>
    <w:multiLevelType w:val="hybridMultilevel"/>
    <w:tmpl w:val="54302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B353D8"/>
    <w:multiLevelType w:val="hybridMultilevel"/>
    <w:tmpl w:val="CA3C111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CC6811"/>
    <w:multiLevelType w:val="hybridMultilevel"/>
    <w:tmpl w:val="0A12C3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BC244C"/>
    <w:multiLevelType w:val="hybridMultilevel"/>
    <w:tmpl w:val="5A90C2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78545F"/>
    <w:multiLevelType w:val="hybridMultilevel"/>
    <w:tmpl w:val="142C1A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D5562C"/>
    <w:multiLevelType w:val="hybridMultilevel"/>
    <w:tmpl w:val="4F7CB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D92094"/>
    <w:multiLevelType w:val="hybridMultilevel"/>
    <w:tmpl w:val="281AC1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FCC1895"/>
    <w:multiLevelType w:val="hybridMultilevel"/>
    <w:tmpl w:val="B3F20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6654B6"/>
    <w:multiLevelType w:val="hybridMultilevel"/>
    <w:tmpl w:val="80AE3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4F3429F"/>
    <w:multiLevelType w:val="hybridMultilevel"/>
    <w:tmpl w:val="300A4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AB0FD9"/>
    <w:multiLevelType w:val="hybridMultilevel"/>
    <w:tmpl w:val="05A03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251B23"/>
    <w:multiLevelType w:val="hybridMultilevel"/>
    <w:tmpl w:val="C75A4DB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EF5065F"/>
    <w:multiLevelType w:val="hybridMultilevel"/>
    <w:tmpl w:val="132AB55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72265A1C"/>
    <w:multiLevelType w:val="hybridMultilevel"/>
    <w:tmpl w:val="CB04D4D8"/>
    <w:lvl w:ilvl="0">
      <w:start w:val="1"/>
      <w:numFmt w:val="decimal"/>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9BF572F"/>
    <w:multiLevelType w:val="hybridMultilevel"/>
    <w:tmpl w:val="FD1A88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B954430"/>
    <w:multiLevelType w:val="hybridMultilevel"/>
    <w:tmpl w:val="57BAE4FE"/>
    <w:lvl w:ilvl="0">
      <w:start w:val="1"/>
      <w:numFmt w:val="decimal"/>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D3B09D3"/>
    <w:multiLevelType w:val="hybridMultilevel"/>
    <w:tmpl w:val="34DC4220"/>
    <w:lvl w:ilvl="0">
      <w:start w:val="1"/>
      <w:numFmt w:val="decimal"/>
      <w:pStyle w:val="FERCparanumber"/>
      <w:lvlText w:val="%1."/>
      <w:lvlJc w:val="left"/>
      <w:pPr>
        <w:tabs>
          <w:tab w:val="num" w:pos="72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71469100">
    <w:abstractNumId w:val="0"/>
    <w:lvlOverride w:ilvl="0">
      <w:lvl w:ilvl="0">
        <w:start w:va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893732072">
    <w:abstractNumId w:val="6"/>
  </w:num>
  <w:num w:numId="3" w16cid:durableId="249507886">
    <w:abstractNumId w:val="15"/>
  </w:num>
  <w:num w:numId="4" w16cid:durableId="1232541994">
    <w:abstractNumId w:val="29"/>
  </w:num>
  <w:num w:numId="5" w16cid:durableId="140467863">
    <w:abstractNumId w:val="4"/>
  </w:num>
  <w:num w:numId="6" w16cid:durableId="664667154">
    <w:abstractNumId w:val="19"/>
  </w:num>
  <w:num w:numId="7" w16cid:durableId="1344086721">
    <w:abstractNumId w:val="25"/>
  </w:num>
  <w:num w:numId="8" w16cid:durableId="462231537">
    <w:abstractNumId w:val="22"/>
  </w:num>
  <w:num w:numId="9" w16cid:durableId="1612009330">
    <w:abstractNumId w:val="3"/>
  </w:num>
  <w:num w:numId="10" w16cid:durableId="164175913">
    <w:abstractNumId w:val="2"/>
  </w:num>
  <w:num w:numId="11" w16cid:durableId="1179738397">
    <w:abstractNumId w:val="28"/>
  </w:num>
  <w:num w:numId="12" w16cid:durableId="412630062">
    <w:abstractNumId w:val="7"/>
  </w:num>
  <w:num w:numId="13" w16cid:durableId="600989252">
    <w:abstractNumId w:val="21"/>
  </w:num>
  <w:num w:numId="14" w16cid:durableId="1410074036">
    <w:abstractNumId w:val="20"/>
  </w:num>
  <w:num w:numId="15" w16cid:durableId="5792141">
    <w:abstractNumId w:val="11"/>
  </w:num>
  <w:num w:numId="16" w16cid:durableId="1264412478">
    <w:abstractNumId w:val="24"/>
  </w:num>
  <w:num w:numId="17" w16cid:durableId="562064832">
    <w:abstractNumId w:val="14"/>
  </w:num>
  <w:num w:numId="18" w16cid:durableId="1714695498">
    <w:abstractNumId w:val="17"/>
  </w:num>
  <w:num w:numId="19" w16cid:durableId="1192453301">
    <w:abstractNumId w:val="27"/>
  </w:num>
  <w:num w:numId="20" w16cid:durableId="2000689810">
    <w:abstractNumId w:val="26"/>
  </w:num>
  <w:num w:numId="21" w16cid:durableId="723527098">
    <w:abstractNumId w:val="30"/>
  </w:num>
  <w:num w:numId="22" w16cid:durableId="526987919">
    <w:abstractNumId w:val="23"/>
  </w:num>
  <w:num w:numId="23" w16cid:durableId="151220892">
    <w:abstractNumId w:val="31"/>
  </w:num>
  <w:num w:numId="24" w16cid:durableId="127521168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4527684">
    <w:abstractNumId w:val="9"/>
  </w:num>
  <w:num w:numId="26" w16cid:durableId="579632539">
    <w:abstractNumId w:val="18"/>
  </w:num>
  <w:num w:numId="27" w16cid:durableId="396590402">
    <w:abstractNumId w:val="16"/>
  </w:num>
  <w:num w:numId="28" w16cid:durableId="1893298833">
    <w:abstractNumId w:val="12"/>
  </w:num>
  <w:num w:numId="29" w16cid:durableId="13129768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0504958">
    <w:abstractNumId w:val="8"/>
  </w:num>
  <w:num w:numId="31" w16cid:durableId="420489904">
    <w:abstractNumId w:val="33"/>
  </w:num>
  <w:num w:numId="32" w16cid:durableId="1674411500">
    <w:abstractNumId w:val="5"/>
  </w:num>
  <w:num w:numId="33" w16cid:durableId="1569611506">
    <w:abstractNumId w:val="13"/>
  </w:num>
  <w:num w:numId="34" w16cid:durableId="861747003">
    <w:abstractNumId w:val="32"/>
  </w:num>
  <w:num w:numId="35" w16cid:durableId="1257448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endnotePr>
    <w:endnote w:id="0"/>
    <w:endnote w:id="1"/>
    <w:endnote w:id="2"/>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19"/>
    <w:rsid w:val="00000A69"/>
    <w:rsid w:val="00000F46"/>
    <w:rsid w:val="00002C07"/>
    <w:rsid w:val="00002C89"/>
    <w:rsid w:val="00002FA6"/>
    <w:rsid w:val="00003275"/>
    <w:rsid w:val="000032A8"/>
    <w:rsid w:val="00003FBA"/>
    <w:rsid w:val="000059EC"/>
    <w:rsid w:val="00006BAE"/>
    <w:rsid w:val="00006FEB"/>
    <w:rsid w:val="0000739B"/>
    <w:rsid w:val="00007AE1"/>
    <w:rsid w:val="00007EC9"/>
    <w:rsid w:val="00010F29"/>
    <w:rsid w:val="00012DA7"/>
    <w:rsid w:val="000134F4"/>
    <w:rsid w:val="00013EE8"/>
    <w:rsid w:val="000157B8"/>
    <w:rsid w:val="00016783"/>
    <w:rsid w:val="00017347"/>
    <w:rsid w:val="00017C39"/>
    <w:rsid w:val="00020E37"/>
    <w:rsid w:val="00022393"/>
    <w:rsid w:val="00022519"/>
    <w:rsid w:val="00023D84"/>
    <w:rsid w:val="00023EF4"/>
    <w:rsid w:val="00025A8A"/>
    <w:rsid w:val="00025B4D"/>
    <w:rsid w:val="00026D5A"/>
    <w:rsid w:val="00027EF4"/>
    <w:rsid w:val="00030EE1"/>
    <w:rsid w:val="0003119C"/>
    <w:rsid w:val="00031577"/>
    <w:rsid w:val="000342C6"/>
    <w:rsid w:val="00034B3F"/>
    <w:rsid w:val="0003642D"/>
    <w:rsid w:val="0004080E"/>
    <w:rsid w:val="000424D4"/>
    <w:rsid w:val="00042B70"/>
    <w:rsid w:val="00043BDA"/>
    <w:rsid w:val="00043EF1"/>
    <w:rsid w:val="0004462F"/>
    <w:rsid w:val="00045080"/>
    <w:rsid w:val="000457F6"/>
    <w:rsid w:val="00047C47"/>
    <w:rsid w:val="00047D4A"/>
    <w:rsid w:val="00050CB0"/>
    <w:rsid w:val="00050E26"/>
    <w:rsid w:val="00051F1B"/>
    <w:rsid w:val="000524BB"/>
    <w:rsid w:val="00052C21"/>
    <w:rsid w:val="00053380"/>
    <w:rsid w:val="0005536E"/>
    <w:rsid w:val="0005780E"/>
    <w:rsid w:val="00057B78"/>
    <w:rsid w:val="000614DE"/>
    <w:rsid w:val="00061790"/>
    <w:rsid w:val="00061A07"/>
    <w:rsid w:val="0006387E"/>
    <w:rsid w:val="00063DE9"/>
    <w:rsid w:val="000645D2"/>
    <w:rsid w:val="00064933"/>
    <w:rsid w:val="00064CBA"/>
    <w:rsid w:val="0006519D"/>
    <w:rsid w:val="00065ABA"/>
    <w:rsid w:val="00066710"/>
    <w:rsid w:val="00066E78"/>
    <w:rsid w:val="00067878"/>
    <w:rsid w:val="00067D75"/>
    <w:rsid w:val="00072474"/>
    <w:rsid w:val="000729F3"/>
    <w:rsid w:val="00074986"/>
    <w:rsid w:val="0007566B"/>
    <w:rsid w:val="00075707"/>
    <w:rsid w:val="000757E1"/>
    <w:rsid w:val="00075960"/>
    <w:rsid w:val="00076577"/>
    <w:rsid w:val="0007728D"/>
    <w:rsid w:val="0007792B"/>
    <w:rsid w:val="00077D60"/>
    <w:rsid w:val="0008031E"/>
    <w:rsid w:val="0008092B"/>
    <w:rsid w:val="000816A7"/>
    <w:rsid w:val="00081908"/>
    <w:rsid w:val="00081B95"/>
    <w:rsid w:val="00082C1E"/>
    <w:rsid w:val="000837FA"/>
    <w:rsid w:val="000852C1"/>
    <w:rsid w:val="00085A9D"/>
    <w:rsid w:val="000863AB"/>
    <w:rsid w:val="00087B7F"/>
    <w:rsid w:val="00087F96"/>
    <w:rsid w:val="000911A1"/>
    <w:rsid w:val="00091D5B"/>
    <w:rsid w:val="00091F1A"/>
    <w:rsid w:val="000920DC"/>
    <w:rsid w:val="000929BE"/>
    <w:rsid w:val="00094BC6"/>
    <w:rsid w:val="00094F82"/>
    <w:rsid w:val="00094FD3"/>
    <w:rsid w:val="00096AF4"/>
    <w:rsid w:val="00096D88"/>
    <w:rsid w:val="000A16C6"/>
    <w:rsid w:val="000A1A3B"/>
    <w:rsid w:val="000A2243"/>
    <w:rsid w:val="000A22AF"/>
    <w:rsid w:val="000A274A"/>
    <w:rsid w:val="000A32C1"/>
    <w:rsid w:val="000A33A8"/>
    <w:rsid w:val="000A349D"/>
    <w:rsid w:val="000A3C02"/>
    <w:rsid w:val="000A4142"/>
    <w:rsid w:val="000A492D"/>
    <w:rsid w:val="000A4EE0"/>
    <w:rsid w:val="000A65E2"/>
    <w:rsid w:val="000A6788"/>
    <w:rsid w:val="000A68B6"/>
    <w:rsid w:val="000A7C34"/>
    <w:rsid w:val="000B0151"/>
    <w:rsid w:val="000B07A4"/>
    <w:rsid w:val="000B080A"/>
    <w:rsid w:val="000B2198"/>
    <w:rsid w:val="000B4066"/>
    <w:rsid w:val="000B4BB8"/>
    <w:rsid w:val="000B5406"/>
    <w:rsid w:val="000B5758"/>
    <w:rsid w:val="000B6662"/>
    <w:rsid w:val="000C23BE"/>
    <w:rsid w:val="000C282F"/>
    <w:rsid w:val="000C2E30"/>
    <w:rsid w:val="000C2EFA"/>
    <w:rsid w:val="000C3949"/>
    <w:rsid w:val="000C4007"/>
    <w:rsid w:val="000C4E53"/>
    <w:rsid w:val="000C4EED"/>
    <w:rsid w:val="000C586B"/>
    <w:rsid w:val="000C592B"/>
    <w:rsid w:val="000C6669"/>
    <w:rsid w:val="000C712C"/>
    <w:rsid w:val="000D002E"/>
    <w:rsid w:val="000D119A"/>
    <w:rsid w:val="000D1424"/>
    <w:rsid w:val="000D21A9"/>
    <w:rsid w:val="000D22F3"/>
    <w:rsid w:val="000D420A"/>
    <w:rsid w:val="000D489F"/>
    <w:rsid w:val="000D4913"/>
    <w:rsid w:val="000D4C14"/>
    <w:rsid w:val="000D63DC"/>
    <w:rsid w:val="000D7C04"/>
    <w:rsid w:val="000E1B4B"/>
    <w:rsid w:val="000E29C9"/>
    <w:rsid w:val="000E3F6E"/>
    <w:rsid w:val="000E7863"/>
    <w:rsid w:val="000F0070"/>
    <w:rsid w:val="000F1426"/>
    <w:rsid w:val="000F1B56"/>
    <w:rsid w:val="000F2A6C"/>
    <w:rsid w:val="000F3003"/>
    <w:rsid w:val="000F3209"/>
    <w:rsid w:val="000F62ED"/>
    <w:rsid w:val="000F66AF"/>
    <w:rsid w:val="000F79F2"/>
    <w:rsid w:val="000F7C11"/>
    <w:rsid w:val="00100E73"/>
    <w:rsid w:val="001030FA"/>
    <w:rsid w:val="001057FA"/>
    <w:rsid w:val="00105E7A"/>
    <w:rsid w:val="0010680C"/>
    <w:rsid w:val="00106E51"/>
    <w:rsid w:val="00107285"/>
    <w:rsid w:val="001072A0"/>
    <w:rsid w:val="00107985"/>
    <w:rsid w:val="00107B89"/>
    <w:rsid w:val="00107C48"/>
    <w:rsid w:val="0011040A"/>
    <w:rsid w:val="00111BAB"/>
    <w:rsid w:val="00112AEE"/>
    <w:rsid w:val="00113599"/>
    <w:rsid w:val="00113C49"/>
    <w:rsid w:val="00114831"/>
    <w:rsid w:val="001149BE"/>
    <w:rsid w:val="00115747"/>
    <w:rsid w:val="00116523"/>
    <w:rsid w:val="0011715E"/>
    <w:rsid w:val="00117EF8"/>
    <w:rsid w:val="00120218"/>
    <w:rsid w:val="00121134"/>
    <w:rsid w:val="001214DF"/>
    <w:rsid w:val="00121803"/>
    <w:rsid w:val="00121D4A"/>
    <w:rsid w:val="0012209E"/>
    <w:rsid w:val="00123A40"/>
    <w:rsid w:val="0012427B"/>
    <w:rsid w:val="0012442B"/>
    <w:rsid w:val="00124FE7"/>
    <w:rsid w:val="001259DF"/>
    <w:rsid w:val="00126327"/>
    <w:rsid w:val="00126AA4"/>
    <w:rsid w:val="001273A9"/>
    <w:rsid w:val="00127730"/>
    <w:rsid w:val="001304A2"/>
    <w:rsid w:val="0013084C"/>
    <w:rsid w:val="00133663"/>
    <w:rsid w:val="00133B52"/>
    <w:rsid w:val="001341D2"/>
    <w:rsid w:val="00134BB9"/>
    <w:rsid w:val="0013519E"/>
    <w:rsid w:val="001351F9"/>
    <w:rsid w:val="0013595A"/>
    <w:rsid w:val="00135E62"/>
    <w:rsid w:val="001361A1"/>
    <w:rsid w:val="00136278"/>
    <w:rsid w:val="0014109E"/>
    <w:rsid w:val="001421B0"/>
    <w:rsid w:val="001423F3"/>
    <w:rsid w:val="001428D8"/>
    <w:rsid w:val="00142E04"/>
    <w:rsid w:val="00142F82"/>
    <w:rsid w:val="00143300"/>
    <w:rsid w:val="00144F8F"/>
    <w:rsid w:val="001451E5"/>
    <w:rsid w:val="001454CD"/>
    <w:rsid w:val="00146469"/>
    <w:rsid w:val="001469AD"/>
    <w:rsid w:val="00147481"/>
    <w:rsid w:val="00147869"/>
    <w:rsid w:val="001508A6"/>
    <w:rsid w:val="001516EF"/>
    <w:rsid w:val="00151783"/>
    <w:rsid w:val="00152324"/>
    <w:rsid w:val="00152CDE"/>
    <w:rsid w:val="001536E4"/>
    <w:rsid w:val="001539BC"/>
    <w:rsid w:val="00153CDF"/>
    <w:rsid w:val="0015403D"/>
    <w:rsid w:val="0015424A"/>
    <w:rsid w:val="0015495B"/>
    <w:rsid w:val="00154D7C"/>
    <w:rsid w:val="00157295"/>
    <w:rsid w:val="001575EC"/>
    <w:rsid w:val="00157878"/>
    <w:rsid w:val="00160A7B"/>
    <w:rsid w:val="0016126D"/>
    <w:rsid w:val="00162092"/>
    <w:rsid w:val="0016287A"/>
    <w:rsid w:val="00162BD3"/>
    <w:rsid w:val="00162D7D"/>
    <w:rsid w:val="00163A40"/>
    <w:rsid w:val="001640BD"/>
    <w:rsid w:val="001645BC"/>
    <w:rsid w:val="00166CFA"/>
    <w:rsid w:val="0017070B"/>
    <w:rsid w:val="001709CB"/>
    <w:rsid w:val="00171036"/>
    <w:rsid w:val="0017157F"/>
    <w:rsid w:val="00171B1F"/>
    <w:rsid w:val="00171FC7"/>
    <w:rsid w:val="001728E1"/>
    <w:rsid w:val="0017324A"/>
    <w:rsid w:val="00174293"/>
    <w:rsid w:val="00174C19"/>
    <w:rsid w:val="00174CC0"/>
    <w:rsid w:val="0017554A"/>
    <w:rsid w:val="0017618B"/>
    <w:rsid w:val="0018071E"/>
    <w:rsid w:val="00180C79"/>
    <w:rsid w:val="00180FC4"/>
    <w:rsid w:val="00181112"/>
    <w:rsid w:val="00181491"/>
    <w:rsid w:val="00182626"/>
    <w:rsid w:val="00182C0F"/>
    <w:rsid w:val="00182D37"/>
    <w:rsid w:val="00183C54"/>
    <w:rsid w:val="00184DF4"/>
    <w:rsid w:val="00185C83"/>
    <w:rsid w:val="00186229"/>
    <w:rsid w:val="0018628A"/>
    <w:rsid w:val="001866EB"/>
    <w:rsid w:val="00187D2F"/>
    <w:rsid w:val="00190129"/>
    <w:rsid w:val="001902D9"/>
    <w:rsid w:val="001908EC"/>
    <w:rsid w:val="00190A45"/>
    <w:rsid w:val="00191D6A"/>
    <w:rsid w:val="00192B82"/>
    <w:rsid w:val="00193169"/>
    <w:rsid w:val="001966BC"/>
    <w:rsid w:val="0019724D"/>
    <w:rsid w:val="0019769A"/>
    <w:rsid w:val="001A0F8F"/>
    <w:rsid w:val="001A11E0"/>
    <w:rsid w:val="001A3731"/>
    <w:rsid w:val="001A4864"/>
    <w:rsid w:val="001A69C1"/>
    <w:rsid w:val="001A6FBF"/>
    <w:rsid w:val="001A7D9B"/>
    <w:rsid w:val="001A7E99"/>
    <w:rsid w:val="001B15BD"/>
    <w:rsid w:val="001B22FA"/>
    <w:rsid w:val="001B2D66"/>
    <w:rsid w:val="001B2ED0"/>
    <w:rsid w:val="001B42C3"/>
    <w:rsid w:val="001B4FEA"/>
    <w:rsid w:val="001B51FC"/>
    <w:rsid w:val="001B54EF"/>
    <w:rsid w:val="001B647A"/>
    <w:rsid w:val="001B667D"/>
    <w:rsid w:val="001C05EB"/>
    <w:rsid w:val="001C0E64"/>
    <w:rsid w:val="001C2704"/>
    <w:rsid w:val="001C27AC"/>
    <w:rsid w:val="001C4679"/>
    <w:rsid w:val="001C4BE8"/>
    <w:rsid w:val="001C51FF"/>
    <w:rsid w:val="001C6211"/>
    <w:rsid w:val="001C65FD"/>
    <w:rsid w:val="001C6D14"/>
    <w:rsid w:val="001C7AF3"/>
    <w:rsid w:val="001D1480"/>
    <w:rsid w:val="001D1CFE"/>
    <w:rsid w:val="001D3855"/>
    <w:rsid w:val="001D3964"/>
    <w:rsid w:val="001D3A2D"/>
    <w:rsid w:val="001D3AAC"/>
    <w:rsid w:val="001D40BC"/>
    <w:rsid w:val="001D479F"/>
    <w:rsid w:val="001D4E0A"/>
    <w:rsid w:val="001D51B8"/>
    <w:rsid w:val="001D5338"/>
    <w:rsid w:val="001D5C1D"/>
    <w:rsid w:val="001D740C"/>
    <w:rsid w:val="001D7C91"/>
    <w:rsid w:val="001D7EC1"/>
    <w:rsid w:val="001E1060"/>
    <w:rsid w:val="001E146F"/>
    <w:rsid w:val="001E14A2"/>
    <w:rsid w:val="001E3F02"/>
    <w:rsid w:val="001E41C1"/>
    <w:rsid w:val="001E5E43"/>
    <w:rsid w:val="001E62D0"/>
    <w:rsid w:val="001E75FF"/>
    <w:rsid w:val="001F0445"/>
    <w:rsid w:val="001F0A14"/>
    <w:rsid w:val="001F0D73"/>
    <w:rsid w:val="001F184A"/>
    <w:rsid w:val="001F2EA1"/>
    <w:rsid w:val="001F3F72"/>
    <w:rsid w:val="001F4172"/>
    <w:rsid w:val="001F434E"/>
    <w:rsid w:val="001F4BF3"/>
    <w:rsid w:val="001F4C7E"/>
    <w:rsid w:val="001F4CC2"/>
    <w:rsid w:val="001F4F2A"/>
    <w:rsid w:val="001F528A"/>
    <w:rsid w:val="001F533B"/>
    <w:rsid w:val="001F6D8F"/>
    <w:rsid w:val="001F7303"/>
    <w:rsid w:val="0020156C"/>
    <w:rsid w:val="002036EB"/>
    <w:rsid w:val="00203807"/>
    <w:rsid w:val="00203E5C"/>
    <w:rsid w:val="00204480"/>
    <w:rsid w:val="00204602"/>
    <w:rsid w:val="00205069"/>
    <w:rsid w:val="002051E7"/>
    <w:rsid w:val="00205820"/>
    <w:rsid w:val="00205E62"/>
    <w:rsid w:val="0020667E"/>
    <w:rsid w:val="002101EF"/>
    <w:rsid w:val="0021292D"/>
    <w:rsid w:val="0021297D"/>
    <w:rsid w:val="00212F6A"/>
    <w:rsid w:val="00213260"/>
    <w:rsid w:val="002145B0"/>
    <w:rsid w:val="00214644"/>
    <w:rsid w:val="00215805"/>
    <w:rsid w:val="002160AD"/>
    <w:rsid w:val="00216272"/>
    <w:rsid w:val="00216CFF"/>
    <w:rsid w:val="0021730B"/>
    <w:rsid w:val="00217986"/>
    <w:rsid w:val="002179A2"/>
    <w:rsid w:val="00217C36"/>
    <w:rsid w:val="002203EB"/>
    <w:rsid w:val="00221A52"/>
    <w:rsid w:val="00221D52"/>
    <w:rsid w:val="00224416"/>
    <w:rsid w:val="00224F88"/>
    <w:rsid w:val="0022564B"/>
    <w:rsid w:val="0022651F"/>
    <w:rsid w:val="00226819"/>
    <w:rsid w:val="0022686F"/>
    <w:rsid w:val="002268CA"/>
    <w:rsid w:val="002273D5"/>
    <w:rsid w:val="00230372"/>
    <w:rsid w:val="002306B8"/>
    <w:rsid w:val="00230905"/>
    <w:rsid w:val="002323C9"/>
    <w:rsid w:val="00232422"/>
    <w:rsid w:val="00233317"/>
    <w:rsid w:val="0023403A"/>
    <w:rsid w:val="002341FF"/>
    <w:rsid w:val="002344E3"/>
    <w:rsid w:val="00234A42"/>
    <w:rsid w:val="00234AF4"/>
    <w:rsid w:val="00235ACF"/>
    <w:rsid w:val="00235B3E"/>
    <w:rsid w:val="00235C27"/>
    <w:rsid w:val="00236C04"/>
    <w:rsid w:val="002379AF"/>
    <w:rsid w:val="00241D67"/>
    <w:rsid w:val="00244252"/>
    <w:rsid w:val="002442F2"/>
    <w:rsid w:val="00244D18"/>
    <w:rsid w:val="00245551"/>
    <w:rsid w:val="0024611E"/>
    <w:rsid w:val="00246770"/>
    <w:rsid w:val="00247C2E"/>
    <w:rsid w:val="00247FA3"/>
    <w:rsid w:val="00251D90"/>
    <w:rsid w:val="0025235C"/>
    <w:rsid w:val="002526B9"/>
    <w:rsid w:val="00252FF0"/>
    <w:rsid w:val="00253B1F"/>
    <w:rsid w:val="00253E25"/>
    <w:rsid w:val="00253F24"/>
    <w:rsid w:val="00254C64"/>
    <w:rsid w:val="00254F04"/>
    <w:rsid w:val="00255394"/>
    <w:rsid w:val="00255429"/>
    <w:rsid w:val="00256323"/>
    <w:rsid w:val="002575DB"/>
    <w:rsid w:val="00257FD8"/>
    <w:rsid w:val="00260BB5"/>
    <w:rsid w:val="00260BCA"/>
    <w:rsid w:val="00260D6F"/>
    <w:rsid w:val="00261B1F"/>
    <w:rsid w:val="00261FC5"/>
    <w:rsid w:val="00263745"/>
    <w:rsid w:val="00263952"/>
    <w:rsid w:val="00263E79"/>
    <w:rsid w:val="0026420E"/>
    <w:rsid w:val="0026574A"/>
    <w:rsid w:val="002659C7"/>
    <w:rsid w:val="00265CED"/>
    <w:rsid w:val="00265FE7"/>
    <w:rsid w:val="00266212"/>
    <w:rsid w:val="00266C35"/>
    <w:rsid w:val="0027176E"/>
    <w:rsid w:val="00271FD5"/>
    <w:rsid w:val="0027208D"/>
    <w:rsid w:val="002720CF"/>
    <w:rsid w:val="00273AE7"/>
    <w:rsid w:val="0027758B"/>
    <w:rsid w:val="0028056C"/>
    <w:rsid w:val="00280847"/>
    <w:rsid w:val="00280F63"/>
    <w:rsid w:val="00281467"/>
    <w:rsid w:val="002814EE"/>
    <w:rsid w:val="002826B8"/>
    <w:rsid w:val="00282B31"/>
    <w:rsid w:val="0028357F"/>
    <w:rsid w:val="00283B8D"/>
    <w:rsid w:val="002851D3"/>
    <w:rsid w:val="00285263"/>
    <w:rsid w:val="00285534"/>
    <w:rsid w:val="002857D9"/>
    <w:rsid w:val="00286726"/>
    <w:rsid w:val="002876D8"/>
    <w:rsid w:val="00290D66"/>
    <w:rsid w:val="00292923"/>
    <w:rsid w:val="00292BDC"/>
    <w:rsid w:val="00292ED3"/>
    <w:rsid w:val="002937C8"/>
    <w:rsid w:val="002941CD"/>
    <w:rsid w:val="00296A67"/>
    <w:rsid w:val="00296EAC"/>
    <w:rsid w:val="0029725C"/>
    <w:rsid w:val="00297E09"/>
    <w:rsid w:val="002A2D97"/>
    <w:rsid w:val="002A2E57"/>
    <w:rsid w:val="002A38F3"/>
    <w:rsid w:val="002A3E34"/>
    <w:rsid w:val="002A4407"/>
    <w:rsid w:val="002A64D4"/>
    <w:rsid w:val="002A74F2"/>
    <w:rsid w:val="002B367B"/>
    <w:rsid w:val="002B4F0C"/>
    <w:rsid w:val="002B64F1"/>
    <w:rsid w:val="002B66EB"/>
    <w:rsid w:val="002B6CE1"/>
    <w:rsid w:val="002B6EF6"/>
    <w:rsid w:val="002B78F1"/>
    <w:rsid w:val="002C0DD6"/>
    <w:rsid w:val="002C0EDB"/>
    <w:rsid w:val="002C218D"/>
    <w:rsid w:val="002C247B"/>
    <w:rsid w:val="002C27B7"/>
    <w:rsid w:val="002C3787"/>
    <w:rsid w:val="002C3C69"/>
    <w:rsid w:val="002C41C4"/>
    <w:rsid w:val="002C4386"/>
    <w:rsid w:val="002C4928"/>
    <w:rsid w:val="002C5E54"/>
    <w:rsid w:val="002C7734"/>
    <w:rsid w:val="002C7743"/>
    <w:rsid w:val="002D0A08"/>
    <w:rsid w:val="002D20AD"/>
    <w:rsid w:val="002D22EE"/>
    <w:rsid w:val="002D3C4E"/>
    <w:rsid w:val="002D49D0"/>
    <w:rsid w:val="002D5CB2"/>
    <w:rsid w:val="002D5FF6"/>
    <w:rsid w:val="002D6C75"/>
    <w:rsid w:val="002D7817"/>
    <w:rsid w:val="002E16A1"/>
    <w:rsid w:val="002E18FF"/>
    <w:rsid w:val="002E19BD"/>
    <w:rsid w:val="002E1F4B"/>
    <w:rsid w:val="002E27FA"/>
    <w:rsid w:val="002E3169"/>
    <w:rsid w:val="002E56EA"/>
    <w:rsid w:val="002E609F"/>
    <w:rsid w:val="002E627A"/>
    <w:rsid w:val="002E7A04"/>
    <w:rsid w:val="002F2DFE"/>
    <w:rsid w:val="002F48E6"/>
    <w:rsid w:val="002F4B93"/>
    <w:rsid w:val="002F529A"/>
    <w:rsid w:val="002F5F9C"/>
    <w:rsid w:val="002F7D6D"/>
    <w:rsid w:val="003003EC"/>
    <w:rsid w:val="00301CBF"/>
    <w:rsid w:val="00302387"/>
    <w:rsid w:val="00302B1F"/>
    <w:rsid w:val="00305040"/>
    <w:rsid w:val="003057C1"/>
    <w:rsid w:val="00305D13"/>
    <w:rsid w:val="003076EC"/>
    <w:rsid w:val="00307707"/>
    <w:rsid w:val="00307CE9"/>
    <w:rsid w:val="00310A4F"/>
    <w:rsid w:val="00311154"/>
    <w:rsid w:val="00311B5F"/>
    <w:rsid w:val="00311BAC"/>
    <w:rsid w:val="00313130"/>
    <w:rsid w:val="00313895"/>
    <w:rsid w:val="00313F77"/>
    <w:rsid w:val="00315CCB"/>
    <w:rsid w:val="00315CE2"/>
    <w:rsid w:val="0031766B"/>
    <w:rsid w:val="00317EB0"/>
    <w:rsid w:val="003204BA"/>
    <w:rsid w:val="00321293"/>
    <w:rsid w:val="00321444"/>
    <w:rsid w:val="00322BA6"/>
    <w:rsid w:val="0032352D"/>
    <w:rsid w:val="003249D2"/>
    <w:rsid w:val="00325A6F"/>
    <w:rsid w:val="00331913"/>
    <w:rsid w:val="0033213E"/>
    <w:rsid w:val="00332714"/>
    <w:rsid w:val="00332D45"/>
    <w:rsid w:val="00333193"/>
    <w:rsid w:val="00334D9C"/>
    <w:rsid w:val="00334E86"/>
    <w:rsid w:val="00334EDF"/>
    <w:rsid w:val="00335852"/>
    <w:rsid w:val="00335A2B"/>
    <w:rsid w:val="0033644D"/>
    <w:rsid w:val="00337B66"/>
    <w:rsid w:val="0034021A"/>
    <w:rsid w:val="00340605"/>
    <w:rsid w:val="00341D13"/>
    <w:rsid w:val="00341D5B"/>
    <w:rsid w:val="0034218D"/>
    <w:rsid w:val="0034247E"/>
    <w:rsid w:val="00342C80"/>
    <w:rsid w:val="00342CF7"/>
    <w:rsid w:val="003469AD"/>
    <w:rsid w:val="00347ADD"/>
    <w:rsid w:val="00347CBB"/>
    <w:rsid w:val="003501E3"/>
    <w:rsid w:val="00350E4C"/>
    <w:rsid w:val="003514D7"/>
    <w:rsid w:val="00351B25"/>
    <w:rsid w:val="00353075"/>
    <w:rsid w:val="00353F47"/>
    <w:rsid w:val="00354021"/>
    <w:rsid w:val="0035427F"/>
    <w:rsid w:val="00355164"/>
    <w:rsid w:val="00355965"/>
    <w:rsid w:val="00355A50"/>
    <w:rsid w:val="00356129"/>
    <w:rsid w:val="00356EFC"/>
    <w:rsid w:val="003578A7"/>
    <w:rsid w:val="00357D0C"/>
    <w:rsid w:val="003601FC"/>
    <w:rsid w:val="003606B7"/>
    <w:rsid w:val="003606D3"/>
    <w:rsid w:val="00360927"/>
    <w:rsid w:val="00360C10"/>
    <w:rsid w:val="00361AEF"/>
    <w:rsid w:val="00361F41"/>
    <w:rsid w:val="0036200D"/>
    <w:rsid w:val="0036401D"/>
    <w:rsid w:val="003647E8"/>
    <w:rsid w:val="003651ED"/>
    <w:rsid w:val="00365C25"/>
    <w:rsid w:val="003670AF"/>
    <w:rsid w:val="003670C9"/>
    <w:rsid w:val="003676B6"/>
    <w:rsid w:val="003720CF"/>
    <w:rsid w:val="003727D1"/>
    <w:rsid w:val="00372B74"/>
    <w:rsid w:val="0037348D"/>
    <w:rsid w:val="00373519"/>
    <w:rsid w:val="00373E2D"/>
    <w:rsid w:val="00374D61"/>
    <w:rsid w:val="00375595"/>
    <w:rsid w:val="00375877"/>
    <w:rsid w:val="00377254"/>
    <w:rsid w:val="003777C5"/>
    <w:rsid w:val="003778DA"/>
    <w:rsid w:val="00377D62"/>
    <w:rsid w:val="00381024"/>
    <w:rsid w:val="003819A7"/>
    <w:rsid w:val="003822F2"/>
    <w:rsid w:val="003825FC"/>
    <w:rsid w:val="00382AC6"/>
    <w:rsid w:val="00382E2E"/>
    <w:rsid w:val="00383549"/>
    <w:rsid w:val="003841D9"/>
    <w:rsid w:val="00384475"/>
    <w:rsid w:val="003849F8"/>
    <w:rsid w:val="00385399"/>
    <w:rsid w:val="00386206"/>
    <w:rsid w:val="00386501"/>
    <w:rsid w:val="00386D7A"/>
    <w:rsid w:val="003874FB"/>
    <w:rsid w:val="00387911"/>
    <w:rsid w:val="00390662"/>
    <w:rsid w:val="0039075D"/>
    <w:rsid w:val="003911B7"/>
    <w:rsid w:val="00391C34"/>
    <w:rsid w:val="003930F0"/>
    <w:rsid w:val="00393740"/>
    <w:rsid w:val="003940E7"/>
    <w:rsid w:val="00395BEA"/>
    <w:rsid w:val="00396A71"/>
    <w:rsid w:val="00396F54"/>
    <w:rsid w:val="003970C0"/>
    <w:rsid w:val="00397186"/>
    <w:rsid w:val="00397B03"/>
    <w:rsid w:val="00397E2A"/>
    <w:rsid w:val="003A0659"/>
    <w:rsid w:val="003A08B6"/>
    <w:rsid w:val="003A09B8"/>
    <w:rsid w:val="003A10F4"/>
    <w:rsid w:val="003A121E"/>
    <w:rsid w:val="003A1AEE"/>
    <w:rsid w:val="003A2374"/>
    <w:rsid w:val="003A275B"/>
    <w:rsid w:val="003A3529"/>
    <w:rsid w:val="003A402C"/>
    <w:rsid w:val="003A4298"/>
    <w:rsid w:val="003A50CD"/>
    <w:rsid w:val="003A5609"/>
    <w:rsid w:val="003A5792"/>
    <w:rsid w:val="003A584F"/>
    <w:rsid w:val="003A685D"/>
    <w:rsid w:val="003A6A7E"/>
    <w:rsid w:val="003B0DF9"/>
    <w:rsid w:val="003B0FEC"/>
    <w:rsid w:val="003B109A"/>
    <w:rsid w:val="003B11EF"/>
    <w:rsid w:val="003B154A"/>
    <w:rsid w:val="003B2658"/>
    <w:rsid w:val="003B2D03"/>
    <w:rsid w:val="003B2D31"/>
    <w:rsid w:val="003B32A1"/>
    <w:rsid w:val="003B42DD"/>
    <w:rsid w:val="003B46B9"/>
    <w:rsid w:val="003B514E"/>
    <w:rsid w:val="003B565B"/>
    <w:rsid w:val="003B61D0"/>
    <w:rsid w:val="003B6B74"/>
    <w:rsid w:val="003B74CA"/>
    <w:rsid w:val="003C081E"/>
    <w:rsid w:val="003C1897"/>
    <w:rsid w:val="003C1CEA"/>
    <w:rsid w:val="003C2433"/>
    <w:rsid w:val="003C2C50"/>
    <w:rsid w:val="003C3D51"/>
    <w:rsid w:val="003C402C"/>
    <w:rsid w:val="003C4543"/>
    <w:rsid w:val="003C47F6"/>
    <w:rsid w:val="003C4805"/>
    <w:rsid w:val="003C5B86"/>
    <w:rsid w:val="003C5D87"/>
    <w:rsid w:val="003C63B8"/>
    <w:rsid w:val="003C7138"/>
    <w:rsid w:val="003C7458"/>
    <w:rsid w:val="003C780C"/>
    <w:rsid w:val="003D024A"/>
    <w:rsid w:val="003D09ED"/>
    <w:rsid w:val="003D1668"/>
    <w:rsid w:val="003D1D50"/>
    <w:rsid w:val="003D23B9"/>
    <w:rsid w:val="003D24BD"/>
    <w:rsid w:val="003D3104"/>
    <w:rsid w:val="003D3613"/>
    <w:rsid w:val="003D3B16"/>
    <w:rsid w:val="003D44CD"/>
    <w:rsid w:val="003D4767"/>
    <w:rsid w:val="003D49B2"/>
    <w:rsid w:val="003D4A8A"/>
    <w:rsid w:val="003D51D8"/>
    <w:rsid w:val="003D6EA1"/>
    <w:rsid w:val="003E167C"/>
    <w:rsid w:val="003E366D"/>
    <w:rsid w:val="003E402E"/>
    <w:rsid w:val="003E5270"/>
    <w:rsid w:val="003E5E7D"/>
    <w:rsid w:val="003E7501"/>
    <w:rsid w:val="003F1165"/>
    <w:rsid w:val="003F5856"/>
    <w:rsid w:val="003F7214"/>
    <w:rsid w:val="003F75A3"/>
    <w:rsid w:val="004006D9"/>
    <w:rsid w:val="0040071E"/>
    <w:rsid w:val="00401AB3"/>
    <w:rsid w:val="00401E0B"/>
    <w:rsid w:val="0040280A"/>
    <w:rsid w:val="00403774"/>
    <w:rsid w:val="0040453F"/>
    <w:rsid w:val="004051AC"/>
    <w:rsid w:val="00405690"/>
    <w:rsid w:val="004061D6"/>
    <w:rsid w:val="00406650"/>
    <w:rsid w:val="004078FF"/>
    <w:rsid w:val="00407A03"/>
    <w:rsid w:val="00410D8D"/>
    <w:rsid w:val="00411F40"/>
    <w:rsid w:val="00413384"/>
    <w:rsid w:val="004135C2"/>
    <w:rsid w:val="00413BFD"/>
    <w:rsid w:val="00414993"/>
    <w:rsid w:val="00416AA9"/>
    <w:rsid w:val="00417E53"/>
    <w:rsid w:val="004202AA"/>
    <w:rsid w:val="004204AF"/>
    <w:rsid w:val="00420BB0"/>
    <w:rsid w:val="00420DB7"/>
    <w:rsid w:val="00423261"/>
    <w:rsid w:val="0042394A"/>
    <w:rsid w:val="00423B4A"/>
    <w:rsid w:val="00424232"/>
    <w:rsid w:val="00424627"/>
    <w:rsid w:val="00424920"/>
    <w:rsid w:val="00425BC0"/>
    <w:rsid w:val="00426452"/>
    <w:rsid w:val="004267BC"/>
    <w:rsid w:val="00426ADC"/>
    <w:rsid w:val="00426B53"/>
    <w:rsid w:val="004276BC"/>
    <w:rsid w:val="00427CE3"/>
    <w:rsid w:val="004305E9"/>
    <w:rsid w:val="0043122E"/>
    <w:rsid w:val="004319C8"/>
    <w:rsid w:val="0043301B"/>
    <w:rsid w:val="0043417A"/>
    <w:rsid w:val="0043458D"/>
    <w:rsid w:val="00435BBF"/>
    <w:rsid w:val="0044256B"/>
    <w:rsid w:val="00442A44"/>
    <w:rsid w:val="00444EC1"/>
    <w:rsid w:val="0044539B"/>
    <w:rsid w:val="004474BA"/>
    <w:rsid w:val="00450AAD"/>
    <w:rsid w:val="0045116A"/>
    <w:rsid w:val="004511D4"/>
    <w:rsid w:val="00452222"/>
    <w:rsid w:val="004524B4"/>
    <w:rsid w:val="00452AC5"/>
    <w:rsid w:val="00453931"/>
    <w:rsid w:val="00454476"/>
    <w:rsid w:val="0045499A"/>
    <w:rsid w:val="004556D0"/>
    <w:rsid w:val="004558F6"/>
    <w:rsid w:val="00455CB9"/>
    <w:rsid w:val="004568CC"/>
    <w:rsid w:val="00457409"/>
    <w:rsid w:val="00457DF1"/>
    <w:rsid w:val="00460061"/>
    <w:rsid w:val="00461C20"/>
    <w:rsid w:val="00462FA3"/>
    <w:rsid w:val="004643D8"/>
    <w:rsid w:val="0046490B"/>
    <w:rsid w:val="00464A0A"/>
    <w:rsid w:val="00465093"/>
    <w:rsid w:val="00465AB5"/>
    <w:rsid w:val="00465BAE"/>
    <w:rsid w:val="00465CF0"/>
    <w:rsid w:val="00466A25"/>
    <w:rsid w:val="00466FC5"/>
    <w:rsid w:val="00470741"/>
    <w:rsid w:val="004708B6"/>
    <w:rsid w:val="00471864"/>
    <w:rsid w:val="00471C69"/>
    <w:rsid w:val="00472C0E"/>
    <w:rsid w:val="00473FB3"/>
    <w:rsid w:val="004742F9"/>
    <w:rsid w:val="00477499"/>
    <w:rsid w:val="00480D05"/>
    <w:rsid w:val="00482866"/>
    <w:rsid w:val="004837A5"/>
    <w:rsid w:val="004837DD"/>
    <w:rsid w:val="00484A78"/>
    <w:rsid w:val="00485783"/>
    <w:rsid w:val="004865B0"/>
    <w:rsid w:val="0048756B"/>
    <w:rsid w:val="00492ED7"/>
    <w:rsid w:val="004935AE"/>
    <w:rsid w:val="00495A8F"/>
    <w:rsid w:val="00495F45"/>
    <w:rsid w:val="0049643D"/>
    <w:rsid w:val="00496A5D"/>
    <w:rsid w:val="00496D56"/>
    <w:rsid w:val="0049741A"/>
    <w:rsid w:val="00497795"/>
    <w:rsid w:val="004A0F64"/>
    <w:rsid w:val="004A1656"/>
    <w:rsid w:val="004A2360"/>
    <w:rsid w:val="004A2ED6"/>
    <w:rsid w:val="004A494F"/>
    <w:rsid w:val="004A5813"/>
    <w:rsid w:val="004A61DE"/>
    <w:rsid w:val="004A65BB"/>
    <w:rsid w:val="004A7E61"/>
    <w:rsid w:val="004B0048"/>
    <w:rsid w:val="004B0708"/>
    <w:rsid w:val="004B1483"/>
    <w:rsid w:val="004B1498"/>
    <w:rsid w:val="004B17CB"/>
    <w:rsid w:val="004B1CDE"/>
    <w:rsid w:val="004B25CB"/>
    <w:rsid w:val="004B2829"/>
    <w:rsid w:val="004B3480"/>
    <w:rsid w:val="004B374A"/>
    <w:rsid w:val="004B443B"/>
    <w:rsid w:val="004B4550"/>
    <w:rsid w:val="004B4F65"/>
    <w:rsid w:val="004B6DE1"/>
    <w:rsid w:val="004B6E98"/>
    <w:rsid w:val="004B7624"/>
    <w:rsid w:val="004B77A5"/>
    <w:rsid w:val="004B7936"/>
    <w:rsid w:val="004C09EA"/>
    <w:rsid w:val="004C0C7C"/>
    <w:rsid w:val="004C15E0"/>
    <w:rsid w:val="004C2023"/>
    <w:rsid w:val="004C2598"/>
    <w:rsid w:val="004C3071"/>
    <w:rsid w:val="004C4876"/>
    <w:rsid w:val="004C5C14"/>
    <w:rsid w:val="004C74B0"/>
    <w:rsid w:val="004C7EAC"/>
    <w:rsid w:val="004D0908"/>
    <w:rsid w:val="004D1A4D"/>
    <w:rsid w:val="004D54A1"/>
    <w:rsid w:val="004D68CE"/>
    <w:rsid w:val="004D6A83"/>
    <w:rsid w:val="004D6FA7"/>
    <w:rsid w:val="004D7269"/>
    <w:rsid w:val="004D7895"/>
    <w:rsid w:val="004D7ED8"/>
    <w:rsid w:val="004E1E7C"/>
    <w:rsid w:val="004E274D"/>
    <w:rsid w:val="004E3CD0"/>
    <w:rsid w:val="004E4CD1"/>
    <w:rsid w:val="004E533C"/>
    <w:rsid w:val="004E597A"/>
    <w:rsid w:val="004E6464"/>
    <w:rsid w:val="004E6AB5"/>
    <w:rsid w:val="004E7C20"/>
    <w:rsid w:val="004F260D"/>
    <w:rsid w:val="004F2966"/>
    <w:rsid w:val="004F2B8F"/>
    <w:rsid w:val="004F30CB"/>
    <w:rsid w:val="004F4E61"/>
    <w:rsid w:val="004F5197"/>
    <w:rsid w:val="004F5910"/>
    <w:rsid w:val="004F61BE"/>
    <w:rsid w:val="004F63B1"/>
    <w:rsid w:val="004F7EB7"/>
    <w:rsid w:val="0050114B"/>
    <w:rsid w:val="00501760"/>
    <w:rsid w:val="00501F8C"/>
    <w:rsid w:val="00501FF3"/>
    <w:rsid w:val="00502B82"/>
    <w:rsid w:val="00502D4E"/>
    <w:rsid w:val="00504365"/>
    <w:rsid w:val="00505CC7"/>
    <w:rsid w:val="0050620A"/>
    <w:rsid w:val="00507D83"/>
    <w:rsid w:val="005102D8"/>
    <w:rsid w:val="005109C4"/>
    <w:rsid w:val="00510B2E"/>
    <w:rsid w:val="00510FA7"/>
    <w:rsid w:val="00510FB9"/>
    <w:rsid w:val="005121D4"/>
    <w:rsid w:val="00512736"/>
    <w:rsid w:val="00512CEC"/>
    <w:rsid w:val="00513355"/>
    <w:rsid w:val="00514963"/>
    <w:rsid w:val="00514DFF"/>
    <w:rsid w:val="00516DAA"/>
    <w:rsid w:val="00521028"/>
    <w:rsid w:val="005223D0"/>
    <w:rsid w:val="00525D97"/>
    <w:rsid w:val="00525E6F"/>
    <w:rsid w:val="005261B8"/>
    <w:rsid w:val="00526F6C"/>
    <w:rsid w:val="005307AD"/>
    <w:rsid w:val="0053087E"/>
    <w:rsid w:val="0053150A"/>
    <w:rsid w:val="00531934"/>
    <w:rsid w:val="005320B4"/>
    <w:rsid w:val="00535E50"/>
    <w:rsid w:val="00535E93"/>
    <w:rsid w:val="0053638F"/>
    <w:rsid w:val="00540025"/>
    <w:rsid w:val="005402A7"/>
    <w:rsid w:val="00540345"/>
    <w:rsid w:val="00543CB8"/>
    <w:rsid w:val="005442C6"/>
    <w:rsid w:val="0054496C"/>
    <w:rsid w:val="0054596B"/>
    <w:rsid w:val="00545ABA"/>
    <w:rsid w:val="00545E03"/>
    <w:rsid w:val="00546DDC"/>
    <w:rsid w:val="00550676"/>
    <w:rsid w:val="00551519"/>
    <w:rsid w:val="00552289"/>
    <w:rsid w:val="00552C44"/>
    <w:rsid w:val="00552F30"/>
    <w:rsid w:val="00553ABF"/>
    <w:rsid w:val="00554EE6"/>
    <w:rsid w:val="00554FAB"/>
    <w:rsid w:val="0055643A"/>
    <w:rsid w:val="00556BD2"/>
    <w:rsid w:val="005573AD"/>
    <w:rsid w:val="00557AFB"/>
    <w:rsid w:val="00557DDC"/>
    <w:rsid w:val="00557FAA"/>
    <w:rsid w:val="00557FE3"/>
    <w:rsid w:val="00560327"/>
    <w:rsid w:val="0056082B"/>
    <w:rsid w:val="00560D16"/>
    <w:rsid w:val="00560EA4"/>
    <w:rsid w:val="00561CA9"/>
    <w:rsid w:val="0056236F"/>
    <w:rsid w:val="00563687"/>
    <w:rsid w:val="00564792"/>
    <w:rsid w:val="00564817"/>
    <w:rsid w:val="0056497B"/>
    <w:rsid w:val="00564ADE"/>
    <w:rsid w:val="005657C1"/>
    <w:rsid w:val="00565FC4"/>
    <w:rsid w:val="005665AD"/>
    <w:rsid w:val="0056751A"/>
    <w:rsid w:val="005702DD"/>
    <w:rsid w:val="0057092C"/>
    <w:rsid w:val="00571474"/>
    <w:rsid w:val="00571504"/>
    <w:rsid w:val="0057181B"/>
    <w:rsid w:val="005719BC"/>
    <w:rsid w:val="00572EEA"/>
    <w:rsid w:val="00573B11"/>
    <w:rsid w:val="00574637"/>
    <w:rsid w:val="00574E6B"/>
    <w:rsid w:val="005758D0"/>
    <w:rsid w:val="00575D98"/>
    <w:rsid w:val="00575ED1"/>
    <w:rsid w:val="005764B9"/>
    <w:rsid w:val="005765E8"/>
    <w:rsid w:val="00576BF7"/>
    <w:rsid w:val="00577102"/>
    <w:rsid w:val="0058101E"/>
    <w:rsid w:val="005817FA"/>
    <w:rsid w:val="005818DD"/>
    <w:rsid w:val="00582DD9"/>
    <w:rsid w:val="00584328"/>
    <w:rsid w:val="0058586D"/>
    <w:rsid w:val="00587932"/>
    <w:rsid w:val="0059069F"/>
    <w:rsid w:val="00591DCE"/>
    <w:rsid w:val="0059211A"/>
    <w:rsid w:val="0059363B"/>
    <w:rsid w:val="0059373F"/>
    <w:rsid w:val="00593B23"/>
    <w:rsid w:val="00594614"/>
    <w:rsid w:val="00594C73"/>
    <w:rsid w:val="00594E10"/>
    <w:rsid w:val="0059542D"/>
    <w:rsid w:val="005954DC"/>
    <w:rsid w:val="00595583"/>
    <w:rsid w:val="005957F3"/>
    <w:rsid w:val="005A036C"/>
    <w:rsid w:val="005A0759"/>
    <w:rsid w:val="005A1031"/>
    <w:rsid w:val="005A111D"/>
    <w:rsid w:val="005A1218"/>
    <w:rsid w:val="005A1DF1"/>
    <w:rsid w:val="005A27FA"/>
    <w:rsid w:val="005A3343"/>
    <w:rsid w:val="005A359A"/>
    <w:rsid w:val="005A4797"/>
    <w:rsid w:val="005A4846"/>
    <w:rsid w:val="005A4B4C"/>
    <w:rsid w:val="005A54D8"/>
    <w:rsid w:val="005A6473"/>
    <w:rsid w:val="005A66A4"/>
    <w:rsid w:val="005A6FBC"/>
    <w:rsid w:val="005A7D33"/>
    <w:rsid w:val="005B0AE3"/>
    <w:rsid w:val="005B2862"/>
    <w:rsid w:val="005B2FA1"/>
    <w:rsid w:val="005B634A"/>
    <w:rsid w:val="005B6626"/>
    <w:rsid w:val="005B6A16"/>
    <w:rsid w:val="005B6B35"/>
    <w:rsid w:val="005B6E61"/>
    <w:rsid w:val="005B6F0F"/>
    <w:rsid w:val="005B700B"/>
    <w:rsid w:val="005B71E1"/>
    <w:rsid w:val="005C136B"/>
    <w:rsid w:val="005C1379"/>
    <w:rsid w:val="005C1896"/>
    <w:rsid w:val="005C1DDC"/>
    <w:rsid w:val="005C2B0B"/>
    <w:rsid w:val="005C359E"/>
    <w:rsid w:val="005C3C67"/>
    <w:rsid w:val="005C41FE"/>
    <w:rsid w:val="005C5DE1"/>
    <w:rsid w:val="005C66A6"/>
    <w:rsid w:val="005C6AC1"/>
    <w:rsid w:val="005C6BEA"/>
    <w:rsid w:val="005D078D"/>
    <w:rsid w:val="005D0879"/>
    <w:rsid w:val="005D0B2D"/>
    <w:rsid w:val="005D0D0A"/>
    <w:rsid w:val="005D17A2"/>
    <w:rsid w:val="005D1816"/>
    <w:rsid w:val="005D2252"/>
    <w:rsid w:val="005D29EA"/>
    <w:rsid w:val="005D3180"/>
    <w:rsid w:val="005D4AF1"/>
    <w:rsid w:val="005D5932"/>
    <w:rsid w:val="005D6847"/>
    <w:rsid w:val="005D7A18"/>
    <w:rsid w:val="005D7BF5"/>
    <w:rsid w:val="005E087C"/>
    <w:rsid w:val="005E0B65"/>
    <w:rsid w:val="005E1A05"/>
    <w:rsid w:val="005E2829"/>
    <w:rsid w:val="005E3360"/>
    <w:rsid w:val="005E33A3"/>
    <w:rsid w:val="005E3820"/>
    <w:rsid w:val="005E4546"/>
    <w:rsid w:val="005E48B1"/>
    <w:rsid w:val="005E5849"/>
    <w:rsid w:val="005E59CC"/>
    <w:rsid w:val="005E7ED6"/>
    <w:rsid w:val="005F0B87"/>
    <w:rsid w:val="005F13BC"/>
    <w:rsid w:val="005F15DF"/>
    <w:rsid w:val="005F2EE3"/>
    <w:rsid w:val="005F3535"/>
    <w:rsid w:val="005F3C81"/>
    <w:rsid w:val="005F4310"/>
    <w:rsid w:val="005F48BA"/>
    <w:rsid w:val="005F5651"/>
    <w:rsid w:val="005F582B"/>
    <w:rsid w:val="005F71DA"/>
    <w:rsid w:val="00601A25"/>
    <w:rsid w:val="006026D2"/>
    <w:rsid w:val="00603867"/>
    <w:rsid w:val="00603C1D"/>
    <w:rsid w:val="00604AFE"/>
    <w:rsid w:val="00605EA0"/>
    <w:rsid w:val="006063FA"/>
    <w:rsid w:val="0060667B"/>
    <w:rsid w:val="00606B5F"/>
    <w:rsid w:val="006114E6"/>
    <w:rsid w:val="00611727"/>
    <w:rsid w:val="006122D9"/>
    <w:rsid w:val="00614647"/>
    <w:rsid w:val="00615A93"/>
    <w:rsid w:val="00616545"/>
    <w:rsid w:val="00620295"/>
    <w:rsid w:val="00621239"/>
    <w:rsid w:val="0062172F"/>
    <w:rsid w:val="00621B81"/>
    <w:rsid w:val="00622517"/>
    <w:rsid w:val="00622F76"/>
    <w:rsid w:val="006239D7"/>
    <w:rsid w:val="006260F8"/>
    <w:rsid w:val="00626344"/>
    <w:rsid w:val="00626463"/>
    <w:rsid w:val="00627B98"/>
    <w:rsid w:val="0063032A"/>
    <w:rsid w:val="00631BD8"/>
    <w:rsid w:val="00632909"/>
    <w:rsid w:val="00635038"/>
    <w:rsid w:val="0063525B"/>
    <w:rsid w:val="006362C7"/>
    <w:rsid w:val="006368A1"/>
    <w:rsid w:val="00637A82"/>
    <w:rsid w:val="00637DD8"/>
    <w:rsid w:val="0064040F"/>
    <w:rsid w:val="006404A2"/>
    <w:rsid w:val="006427D5"/>
    <w:rsid w:val="006458D5"/>
    <w:rsid w:val="006465F2"/>
    <w:rsid w:val="00646C1A"/>
    <w:rsid w:val="00646C2E"/>
    <w:rsid w:val="006470CF"/>
    <w:rsid w:val="00647613"/>
    <w:rsid w:val="00647CF7"/>
    <w:rsid w:val="00647DAA"/>
    <w:rsid w:val="0065069C"/>
    <w:rsid w:val="00650AA3"/>
    <w:rsid w:val="0065195F"/>
    <w:rsid w:val="00652070"/>
    <w:rsid w:val="00652CF0"/>
    <w:rsid w:val="00652D4E"/>
    <w:rsid w:val="00652E30"/>
    <w:rsid w:val="0065545B"/>
    <w:rsid w:val="00656100"/>
    <w:rsid w:val="006563AC"/>
    <w:rsid w:val="00657BEE"/>
    <w:rsid w:val="00657DDC"/>
    <w:rsid w:val="0066129F"/>
    <w:rsid w:val="00661821"/>
    <w:rsid w:val="006620BC"/>
    <w:rsid w:val="006627C7"/>
    <w:rsid w:val="00662DF8"/>
    <w:rsid w:val="00663030"/>
    <w:rsid w:val="006651AC"/>
    <w:rsid w:val="006652D0"/>
    <w:rsid w:val="006658FF"/>
    <w:rsid w:val="00665C18"/>
    <w:rsid w:val="00666B29"/>
    <w:rsid w:val="006670C7"/>
    <w:rsid w:val="006672A9"/>
    <w:rsid w:val="00667963"/>
    <w:rsid w:val="0067073E"/>
    <w:rsid w:val="00671D35"/>
    <w:rsid w:val="0067228E"/>
    <w:rsid w:val="006722FB"/>
    <w:rsid w:val="00672FCE"/>
    <w:rsid w:val="0067301B"/>
    <w:rsid w:val="006731E5"/>
    <w:rsid w:val="00673BC3"/>
    <w:rsid w:val="00673D3F"/>
    <w:rsid w:val="00673F5C"/>
    <w:rsid w:val="0067474E"/>
    <w:rsid w:val="00674FB3"/>
    <w:rsid w:val="00676212"/>
    <w:rsid w:val="006766BB"/>
    <w:rsid w:val="006771D2"/>
    <w:rsid w:val="00680BC2"/>
    <w:rsid w:val="00681314"/>
    <w:rsid w:val="00681404"/>
    <w:rsid w:val="00682245"/>
    <w:rsid w:val="00682AE8"/>
    <w:rsid w:val="00682C09"/>
    <w:rsid w:val="0068345C"/>
    <w:rsid w:val="00685341"/>
    <w:rsid w:val="00685845"/>
    <w:rsid w:val="00685AE5"/>
    <w:rsid w:val="00687A10"/>
    <w:rsid w:val="00690F6D"/>
    <w:rsid w:val="00693DD6"/>
    <w:rsid w:val="00694554"/>
    <w:rsid w:val="00697B1C"/>
    <w:rsid w:val="006A0ABD"/>
    <w:rsid w:val="006A1DC9"/>
    <w:rsid w:val="006A24EA"/>
    <w:rsid w:val="006A30A9"/>
    <w:rsid w:val="006A3C4C"/>
    <w:rsid w:val="006A66D1"/>
    <w:rsid w:val="006B0084"/>
    <w:rsid w:val="006B26F6"/>
    <w:rsid w:val="006B35EF"/>
    <w:rsid w:val="006B40EA"/>
    <w:rsid w:val="006B4A99"/>
    <w:rsid w:val="006B5685"/>
    <w:rsid w:val="006C015E"/>
    <w:rsid w:val="006C0526"/>
    <w:rsid w:val="006C0BAF"/>
    <w:rsid w:val="006C15CF"/>
    <w:rsid w:val="006C1A3D"/>
    <w:rsid w:val="006C1FB6"/>
    <w:rsid w:val="006C21ED"/>
    <w:rsid w:val="006C3CE0"/>
    <w:rsid w:val="006C3D15"/>
    <w:rsid w:val="006C3FF3"/>
    <w:rsid w:val="006C40A9"/>
    <w:rsid w:val="006C4458"/>
    <w:rsid w:val="006C484A"/>
    <w:rsid w:val="006C5BA7"/>
    <w:rsid w:val="006C630A"/>
    <w:rsid w:val="006C6C5A"/>
    <w:rsid w:val="006D037F"/>
    <w:rsid w:val="006D07C1"/>
    <w:rsid w:val="006D0BD9"/>
    <w:rsid w:val="006D0C1D"/>
    <w:rsid w:val="006D1E3C"/>
    <w:rsid w:val="006D284C"/>
    <w:rsid w:val="006D2A65"/>
    <w:rsid w:val="006D41BC"/>
    <w:rsid w:val="006D5167"/>
    <w:rsid w:val="006D6DA4"/>
    <w:rsid w:val="006D7323"/>
    <w:rsid w:val="006D79B8"/>
    <w:rsid w:val="006D7F39"/>
    <w:rsid w:val="006E11F0"/>
    <w:rsid w:val="006E284A"/>
    <w:rsid w:val="006E28C4"/>
    <w:rsid w:val="006E2B11"/>
    <w:rsid w:val="006E2B20"/>
    <w:rsid w:val="006E3CCA"/>
    <w:rsid w:val="006E40C8"/>
    <w:rsid w:val="006E46D7"/>
    <w:rsid w:val="006E4923"/>
    <w:rsid w:val="006E5824"/>
    <w:rsid w:val="006E5D9D"/>
    <w:rsid w:val="006E6168"/>
    <w:rsid w:val="006E6E06"/>
    <w:rsid w:val="006E6EB8"/>
    <w:rsid w:val="006E7133"/>
    <w:rsid w:val="006F0D16"/>
    <w:rsid w:val="006F121B"/>
    <w:rsid w:val="006F1A09"/>
    <w:rsid w:val="006F27CB"/>
    <w:rsid w:val="006F2E82"/>
    <w:rsid w:val="006F4193"/>
    <w:rsid w:val="006F42C5"/>
    <w:rsid w:val="006F6351"/>
    <w:rsid w:val="006F7CBF"/>
    <w:rsid w:val="006F7E09"/>
    <w:rsid w:val="00700D12"/>
    <w:rsid w:val="00700E0E"/>
    <w:rsid w:val="007011EE"/>
    <w:rsid w:val="0070290E"/>
    <w:rsid w:val="00702FD0"/>
    <w:rsid w:val="007030CE"/>
    <w:rsid w:val="00703E9D"/>
    <w:rsid w:val="00705029"/>
    <w:rsid w:val="007077E5"/>
    <w:rsid w:val="00707DB4"/>
    <w:rsid w:val="0071046D"/>
    <w:rsid w:val="00710E3A"/>
    <w:rsid w:val="00712D8F"/>
    <w:rsid w:val="00713686"/>
    <w:rsid w:val="00713715"/>
    <w:rsid w:val="00714D4A"/>
    <w:rsid w:val="00715E9C"/>
    <w:rsid w:val="00716D9C"/>
    <w:rsid w:val="00716E6F"/>
    <w:rsid w:val="0072003A"/>
    <w:rsid w:val="00724481"/>
    <w:rsid w:val="00724B45"/>
    <w:rsid w:val="007259B2"/>
    <w:rsid w:val="00725CD0"/>
    <w:rsid w:val="00727320"/>
    <w:rsid w:val="007274BF"/>
    <w:rsid w:val="00727F2C"/>
    <w:rsid w:val="0073043B"/>
    <w:rsid w:val="00730AC1"/>
    <w:rsid w:val="007311B1"/>
    <w:rsid w:val="00731B31"/>
    <w:rsid w:val="0073497F"/>
    <w:rsid w:val="00734D38"/>
    <w:rsid w:val="00734E40"/>
    <w:rsid w:val="007365A1"/>
    <w:rsid w:val="00737283"/>
    <w:rsid w:val="007379A6"/>
    <w:rsid w:val="00737E08"/>
    <w:rsid w:val="00741218"/>
    <w:rsid w:val="00741230"/>
    <w:rsid w:val="00741280"/>
    <w:rsid w:val="007418FA"/>
    <w:rsid w:val="00744557"/>
    <w:rsid w:val="00744FFA"/>
    <w:rsid w:val="007454A9"/>
    <w:rsid w:val="00745CD1"/>
    <w:rsid w:val="00745EA3"/>
    <w:rsid w:val="0074653A"/>
    <w:rsid w:val="00746EFF"/>
    <w:rsid w:val="007514D5"/>
    <w:rsid w:val="00752625"/>
    <w:rsid w:val="00752BF9"/>
    <w:rsid w:val="00752E1A"/>
    <w:rsid w:val="00753999"/>
    <w:rsid w:val="00754773"/>
    <w:rsid w:val="0075488A"/>
    <w:rsid w:val="00754D91"/>
    <w:rsid w:val="00754D9B"/>
    <w:rsid w:val="00757E1F"/>
    <w:rsid w:val="00760DB1"/>
    <w:rsid w:val="007617D4"/>
    <w:rsid w:val="007623BD"/>
    <w:rsid w:val="0076266C"/>
    <w:rsid w:val="00763201"/>
    <w:rsid w:val="00763284"/>
    <w:rsid w:val="0076487A"/>
    <w:rsid w:val="00765E56"/>
    <w:rsid w:val="00766130"/>
    <w:rsid w:val="00766C2E"/>
    <w:rsid w:val="00767FCF"/>
    <w:rsid w:val="00770A96"/>
    <w:rsid w:val="00772121"/>
    <w:rsid w:val="00775B6F"/>
    <w:rsid w:val="00777C8E"/>
    <w:rsid w:val="00780DFA"/>
    <w:rsid w:val="00781353"/>
    <w:rsid w:val="00781B05"/>
    <w:rsid w:val="00782260"/>
    <w:rsid w:val="00782C7D"/>
    <w:rsid w:val="00783428"/>
    <w:rsid w:val="0078380F"/>
    <w:rsid w:val="00783D36"/>
    <w:rsid w:val="007843B2"/>
    <w:rsid w:val="007853B3"/>
    <w:rsid w:val="007868A8"/>
    <w:rsid w:val="00791E86"/>
    <w:rsid w:val="007930B8"/>
    <w:rsid w:val="007932A0"/>
    <w:rsid w:val="007937F6"/>
    <w:rsid w:val="0079425F"/>
    <w:rsid w:val="00794342"/>
    <w:rsid w:val="00795EEA"/>
    <w:rsid w:val="00796738"/>
    <w:rsid w:val="0079734F"/>
    <w:rsid w:val="00797C7E"/>
    <w:rsid w:val="007A0D3F"/>
    <w:rsid w:val="007A1738"/>
    <w:rsid w:val="007A354C"/>
    <w:rsid w:val="007A3C06"/>
    <w:rsid w:val="007A49C2"/>
    <w:rsid w:val="007A6032"/>
    <w:rsid w:val="007A66D3"/>
    <w:rsid w:val="007A7474"/>
    <w:rsid w:val="007A75B7"/>
    <w:rsid w:val="007B0133"/>
    <w:rsid w:val="007B1320"/>
    <w:rsid w:val="007B1551"/>
    <w:rsid w:val="007B1A04"/>
    <w:rsid w:val="007B29C0"/>
    <w:rsid w:val="007B2F4D"/>
    <w:rsid w:val="007B308F"/>
    <w:rsid w:val="007B316C"/>
    <w:rsid w:val="007B32FA"/>
    <w:rsid w:val="007B3A22"/>
    <w:rsid w:val="007B3F2D"/>
    <w:rsid w:val="007B4325"/>
    <w:rsid w:val="007B544E"/>
    <w:rsid w:val="007B6475"/>
    <w:rsid w:val="007B6822"/>
    <w:rsid w:val="007B6A10"/>
    <w:rsid w:val="007B6C18"/>
    <w:rsid w:val="007B6EEC"/>
    <w:rsid w:val="007B7970"/>
    <w:rsid w:val="007C160F"/>
    <w:rsid w:val="007C196F"/>
    <w:rsid w:val="007C24F4"/>
    <w:rsid w:val="007C3DC9"/>
    <w:rsid w:val="007C518A"/>
    <w:rsid w:val="007C6641"/>
    <w:rsid w:val="007C7CEF"/>
    <w:rsid w:val="007D0948"/>
    <w:rsid w:val="007D0AC7"/>
    <w:rsid w:val="007D14C7"/>
    <w:rsid w:val="007D1BC1"/>
    <w:rsid w:val="007D2D8F"/>
    <w:rsid w:val="007D3754"/>
    <w:rsid w:val="007D3921"/>
    <w:rsid w:val="007D3D91"/>
    <w:rsid w:val="007D5513"/>
    <w:rsid w:val="007D770B"/>
    <w:rsid w:val="007D7ADB"/>
    <w:rsid w:val="007E0CA6"/>
    <w:rsid w:val="007E1129"/>
    <w:rsid w:val="007E1650"/>
    <w:rsid w:val="007E16E7"/>
    <w:rsid w:val="007E1E45"/>
    <w:rsid w:val="007E1E91"/>
    <w:rsid w:val="007E24F4"/>
    <w:rsid w:val="007E3748"/>
    <w:rsid w:val="007E3813"/>
    <w:rsid w:val="007E46BF"/>
    <w:rsid w:val="007E4C1A"/>
    <w:rsid w:val="007E6295"/>
    <w:rsid w:val="007E62E6"/>
    <w:rsid w:val="007E7F82"/>
    <w:rsid w:val="007F1821"/>
    <w:rsid w:val="007F1F30"/>
    <w:rsid w:val="007F25AA"/>
    <w:rsid w:val="007F27B3"/>
    <w:rsid w:val="007F3661"/>
    <w:rsid w:val="007F41C9"/>
    <w:rsid w:val="007F5F6A"/>
    <w:rsid w:val="007F6110"/>
    <w:rsid w:val="007F62DE"/>
    <w:rsid w:val="007F6497"/>
    <w:rsid w:val="007F7398"/>
    <w:rsid w:val="00800E2B"/>
    <w:rsid w:val="008012C6"/>
    <w:rsid w:val="0080158E"/>
    <w:rsid w:val="008017E0"/>
    <w:rsid w:val="008025EB"/>
    <w:rsid w:val="0080326A"/>
    <w:rsid w:val="008035AC"/>
    <w:rsid w:val="008036F1"/>
    <w:rsid w:val="00804138"/>
    <w:rsid w:val="0080610B"/>
    <w:rsid w:val="00806188"/>
    <w:rsid w:val="00806D35"/>
    <w:rsid w:val="00807532"/>
    <w:rsid w:val="00807B48"/>
    <w:rsid w:val="00810B0C"/>
    <w:rsid w:val="00811340"/>
    <w:rsid w:val="00811EFB"/>
    <w:rsid w:val="008121E8"/>
    <w:rsid w:val="008130A5"/>
    <w:rsid w:val="00813146"/>
    <w:rsid w:val="0081325B"/>
    <w:rsid w:val="00813A2D"/>
    <w:rsid w:val="00813A70"/>
    <w:rsid w:val="00813BD1"/>
    <w:rsid w:val="00814649"/>
    <w:rsid w:val="00814C16"/>
    <w:rsid w:val="00814CBD"/>
    <w:rsid w:val="008158BB"/>
    <w:rsid w:val="00815E5C"/>
    <w:rsid w:val="0081688E"/>
    <w:rsid w:val="00817425"/>
    <w:rsid w:val="00817467"/>
    <w:rsid w:val="00817FB9"/>
    <w:rsid w:val="0082075F"/>
    <w:rsid w:val="0082184C"/>
    <w:rsid w:val="00821923"/>
    <w:rsid w:val="00821A0E"/>
    <w:rsid w:val="00821EF8"/>
    <w:rsid w:val="00822F8F"/>
    <w:rsid w:val="008255BE"/>
    <w:rsid w:val="00825F1B"/>
    <w:rsid w:val="00827301"/>
    <w:rsid w:val="0083020A"/>
    <w:rsid w:val="00830270"/>
    <w:rsid w:val="00830D6C"/>
    <w:rsid w:val="0083205D"/>
    <w:rsid w:val="00832D98"/>
    <w:rsid w:val="0083409D"/>
    <w:rsid w:val="00834533"/>
    <w:rsid w:val="008349FA"/>
    <w:rsid w:val="00835A0E"/>
    <w:rsid w:val="00835C5C"/>
    <w:rsid w:val="0083624A"/>
    <w:rsid w:val="00841D9C"/>
    <w:rsid w:val="00842474"/>
    <w:rsid w:val="008424A0"/>
    <w:rsid w:val="00842E9A"/>
    <w:rsid w:val="00844071"/>
    <w:rsid w:val="008445D0"/>
    <w:rsid w:val="00844861"/>
    <w:rsid w:val="00845049"/>
    <w:rsid w:val="00846413"/>
    <w:rsid w:val="00847310"/>
    <w:rsid w:val="00847DEC"/>
    <w:rsid w:val="0085077A"/>
    <w:rsid w:val="00850967"/>
    <w:rsid w:val="008517ED"/>
    <w:rsid w:val="00852BA0"/>
    <w:rsid w:val="0085372E"/>
    <w:rsid w:val="00853D3A"/>
    <w:rsid w:val="00854627"/>
    <w:rsid w:val="00854F12"/>
    <w:rsid w:val="008554F4"/>
    <w:rsid w:val="00856F20"/>
    <w:rsid w:val="00856F59"/>
    <w:rsid w:val="00857E01"/>
    <w:rsid w:val="00857E8E"/>
    <w:rsid w:val="00860587"/>
    <w:rsid w:val="00860D2F"/>
    <w:rsid w:val="008614F7"/>
    <w:rsid w:val="00862422"/>
    <w:rsid w:val="00862783"/>
    <w:rsid w:val="00862BF0"/>
    <w:rsid w:val="00863A6D"/>
    <w:rsid w:val="008652FE"/>
    <w:rsid w:val="008653EF"/>
    <w:rsid w:val="008659E4"/>
    <w:rsid w:val="008662EC"/>
    <w:rsid w:val="008664AE"/>
    <w:rsid w:val="00866711"/>
    <w:rsid w:val="00866CB5"/>
    <w:rsid w:val="0087060F"/>
    <w:rsid w:val="0087145B"/>
    <w:rsid w:val="00871EE4"/>
    <w:rsid w:val="00872282"/>
    <w:rsid w:val="008724FF"/>
    <w:rsid w:val="00873786"/>
    <w:rsid w:val="008741B7"/>
    <w:rsid w:val="008744ED"/>
    <w:rsid w:val="00874A9A"/>
    <w:rsid w:val="0087607E"/>
    <w:rsid w:val="008806ED"/>
    <w:rsid w:val="00880F6B"/>
    <w:rsid w:val="00882C3A"/>
    <w:rsid w:val="0088402D"/>
    <w:rsid w:val="008862DE"/>
    <w:rsid w:val="00886862"/>
    <w:rsid w:val="0088693C"/>
    <w:rsid w:val="008911D3"/>
    <w:rsid w:val="008912FD"/>
    <w:rsid w:val="00892883"/>
    <w:rsid w:val="00892B16"/>
    <w:rsid w:val="00892B3B"/>
    <w:rsid w:val="00892FEB"/>
    <w:rsid w:val="0089313F"/>
    <w:rsid w:val="008951BF"/>
    <w:rsid w:val="00895881"/>
    <w:rsid w:val="00895C49"/>
    <w:rsid w:val="008968F0"/>
    <w:rsid w:val="00896B31"/>
    <w:rsid w:val="008978E0"/>
    <w:rsid w:val="008A0A56"/>
    <w:rsid w:val="008A17D5"/>
    <w:rsid w:val="008A1ECA"/>
    <w:rsid w:val="008A2BB8"/>
    <w:rsid w:val="008A329B"/>
    <w:rsid w:val="008A4640"/>
    <w:rsid w:val="008A570F"/>
    <w:rsid w:val="008A62CC"/>
    <w:rsid w:val="008A6820"/>
    <w:rsid w:val="008A684D"/>
    <w:rsid w:val="008A74D5"/>
    <w:rsid w:val="008A7E3B"/>
    <w:rsid w:val="008B135D"/>
    <w:rsid w:val="008B14B2"/>
    <w:rsid w:val="008B1CC8"/>
    <w:rsid w:val="008B279A"/>
    <w:rsid w:val="008B2E35"/>
    <w:rsid w:val="008B3186"/>
    <w:rsid w:val="008B3414"/>
    <w:rsid w:val="008B3778"/>
    <w:rsid w:val="008B45A3"/>
    <w:rsid w:val="008B46B0"/>
    <w:rsid w:val="008B4B1F"/>
    <w:rsid w:val="008B56D1"/>
    <w:rsid w:val="008B5B2B"/>
    <w:rsid w:val="008B61CB"/>
    <w:rsid w:val="008B7D68"/>
    <w:rsid w:val="008C0126"/>
    <w:rsid w:val="008C04B6"/>
    <w:rsid w:val="008C05B7"/>
    <w:rsid w:val="008C0A84"/>
    <w:rsid w:val="008C2003"/>
    <w:rsid w:val="008C2091"/>
    <w:rsid w:val="008C2492"/>
    <w:rsid w:val="008C2F99"/>
    <w:rsid w:val="008C361E"/>
    <w:rsid w:val="008C50D2"/>
    <w:rsid w:val="008C53D6"/>
    <w:rsid w:val="008C5A74"/>
    <w:rsid w:val="008C5D68"/>
    <w:rsid w:val="008C5DB6"/>
    <w:rsid w:val="008C6A0C"/>
    <w:rsid w:val="008C7669"/>
    <w:rsid w:val="008C7EE4"/>
    <w:rsid w:val="008D0DA3"/>
    <w:rsid w:val="008D14FC"/>
    <w:rsid w:val="008D1A86"/>
    <w:rsid w:val="008D36F2"/>
    <w:rsid w:val="008D4733"/>
    <w:rsid w:val="008D580F"/>
    <w:rsid w:val="008D6FD3"/>
    <w:rsid w:val="008E0FCE"/>
    <w:rsid w:val="008E0FED"/>
    <w:rsid w:val="008E1419"/>
    <w:rsid w:val="008E14AA"/>
    <w:rsid w:val="008E3B1F"/>
    <w:rsid w:val="008E4751"/>
    <w:rsid w:val="008E579E"/>
    <w:rsid w:val="008E6524"/>
    <w:rsid w:val="008E782B"/>
    <w:rsid w:val="008E7C3F"/>
    <w:rsid w:val="008F17A7"/>
    <w:rsid w:val="008F2646"/>
    <w:rsid w:val="008F2D7D"/>
    <w:rsid w:val="008F30C6"/>
    <w:rsid w:val="008F31F8"/>
    <w:rsid w:val="008F3D6C"/>
    <w:rsid w:val="008F4005"/>
    <w:rsid w:val="008F4049"/>
    <w:rsid w:val="008F414F"/>
    <w:rsid w:val="008F5EA7"/>
    <w:rsid w:val="008F646D"/>
    <w:rsid w:val="008F72C1"/>
    <w:rsid w:val="008F76A5"/>
    <w:rsid w:val="00900FC1"/>
    <w:rsid w:val="00901CEB"/>
    <w:rsid w:val="00902131"/>
    <w:rsid w:val="00902B0A"/>
    <w:rsid w:val="00903264"/>
    <w:rsid w:val="00904D79"/>
    <w:rsid w:val="00904EDD"/>
    <w:rsid w:val="0090525B"/>
    <w:rsid w:val="0090622F"/>
    <w:rsid w:val="00906D80"/>
    <w:rsid w:val="009070E0"/>
    <w:rsid w:val="009073CC"/>
    <w:rsid w:val="00910ADE"/>
    <w:rsid w:val="0091107C"/>
    <w:rsid w:val="00911FE3"/>
    <w:rsid w:val="00912D29"/>
    <w:rsid w:val="00912EFB"/>
    <w:rsid w:val="00913491"/>
    <w:rsid w:val="009142FE"/>
    <w:rsid w:val="009143F5"/>
    <w:rsid w:val="00915B32"/>
    <w:rsid w:val="00916431"/>
    <w:rsid w:val="00916E21"/>
    <w:rsid w:val="00917795"/>
    <w:rsid w:val="009200A5"/>
    <w:rsid w:val="009213B2"/>
    <w:rsid w:val="00921506"/>
    <w:rsid w:val="00921785"/>
    <w:rsid w:val="00921923"/>
    <w:rsid w:val="00922840"/>
    <w:rsid w:val="009230F2"/>
    <w:rsid w:val="00923858"/>
    <w:rsid w:val="009245F3"/>
    <w:rsid w:val="00925DB6"/>
    <w:rsid w:val="00925DF6"/>
    <w:rsid w:val="00931A7C"/>
    <w:rsid w:val="0093244A"/>
    <w:rsid w:val="00932D10"/>
    <w:rsid w:val="00933207"/>
    <w:rsid w:val="009342A9"/>
    <w:rsid w:val="00934835"/>
    <w:rsid w:val="00934F4A"/>
    <w:rsid w:val="00935C35"/>
    <w:rsid w:val="00936276"/>
    <w:rsid w:val="009370CD"/>
    <w:rsid w:val="0093783B"/>
    <w:rsid w:val="00937E12"/>
    <w:rsid w:val="009411FA"/>
    <w:rsid w:val="00941546"/>
    <w:rsid w:val="009415AB"/>
    <w:rsid w:val="00943295"/>
    <w:rsid w:val="00943F7C"/>
    <w:rsid w:val="0094540A"/>
    <w:rsid w:val="009457D1"/>
    <w:rsid w:val="0094730C"/>
    <w:rsid w:val="009479C0"/>
    <w:rsid w:val="00947AAB"/>
    <w:rsid w:val="00953089"/>
    <w:rsid w:val="009540E5"/>
    <w:rsid w:val="00954559"/>
    <w:rsid w:val="0095698D"/>
    <w:rsid w:val="00957487"/>
    <w:rsid w:val="00957E99"/>
    <w:rsid w:val="00960590"/>
    <w:rsid w:val="00960CE8"/>
    <w:rsid w:val="009613E4"/>
    <w:rsid w:val="00961CEC"/>
    <w:rsid w:val="00962CA0"/>
    <w:rsid w:val="009637E4"/>
    <w:rsid w:val="00963E87"/>
    <w:rsid w:val="009654B3"/>
    <w:rsid w:val="009655F0"/>
    <w:rsid w:val="00965A43"/>
    <w:rsid w:val="009660F7"/>
    <w:rsid w:val="0096613B"/>
    <w:rsid w:val="00966D0A"/>
    <w:rsid w:val="00967588"/>
    <w:rsid w:val="009675BE"/>
    <w:rsid w:val="009712EB"/>
    <w:rsid w:val="00972A42"/>
    <w:rsid w:val="00972AC0"/>
    <w:rsid w:val="00972C2E"/>
    <w:rsid w:val="0097376E"/>
    <w:rsid w:val="00973C27"/>
    <w:rsid w:val="00973CAF"/>
    <w:rsid w:val="0097481A"/>
    <w:rsid w:val="00975415"/>
    <w:rsid w:val="00975881"/>
    <w:rsid w:val="00976B2C"/>
    <w:rsid w:val="00982079"/>
    <w:rsid w:val="00982B05"/>
    <w:rsid w:val="009836F3"/>
    <w:rsid w:val="00983D79"/>
    <w:rsid w:val="009851CD"/>
    <w:rsid w:val="00985344"/>
    <w:rsid w:val="0098607C"/>
    <w:rsid w:val="0098658A"/>
    <w:rsid w:val="00986A99"/>
    <w:rsid w:val="00990670"/>
    <w:rsid w:val="009907B3"/>
    <w:rsid w:val="00990B1C"/>
    <w:rsid w:val="00992303"/>
    <w:rsid w:val="00993894"/>
    <w:rsid w:val="00993A76"/>
    <w:rsid w:val="00993F2E"/>
    <w:rsid w:val="0099474D"/>
    <w:rsid w:val="0099649B"/>
    <w:rsid w:val="00996540"/>
    <w:rsid w:val="009965E7"/>
    <w:rsid w:val="009A033D"/>
    <w:rsid w:val="009A11A4"/>
    <w:rsid w:val="009A1532"/>
    <w:rsid w:val="009A1545"/>
    <w:rsid w:val="009A17B1"/>
    <w:rsid w:val="009A1D46"/>
    <w:rsid w:val="009A1D76"/>
    <w:rsid w:val="009A39DE"/>
    <w:rsid w:val="009A41D7"/>
    <w:rsid w:val="009A4EE6"/>
    <w:rsid w:val="009A50ED"/>
    <w:rsid w:val="009A5123"/>
    <w:rsid w:val="009A5A23"/>
    <w:rsid w:val="009A6242"/>
    <w:rsid w:val="009A6A09"/>
    <w:rsid w:val="009B07F9"/>
    <w:rsid w:val="009B0C17"/>
    <w:rsid w:val="009B13AF"/>
    <w:rsid w:val="009B13F8"/>
    <w:rsid w:val="009B1E6F"/>
    <w:rsid w:val="009B4388"/>
    <w:rsid w:val="009B4906"/>
    <w:rsid w:val="009B496F"/>
    <w:rsid w:val="009B49B2"/>
    <w:rsid w:val="009B4D32"/>
    <w:rsid w:val="009B574C"/>
    <w:rsid w:val="009B5B33"/>
    <w:rsid w:val="009B7027"/>
    <w:rsid w:val="009B7C8F"/>
    <w:rsid w:val="009C037C"/>
    <w:rsid w:val="009C0BDC"/>
    <w:rsid w:val="009C142A"/>
    <w:rsid w:val="009C179B"/>
    <w:rsid w:val="009C2FFA"/>
    <w:rsid w:val="009C4183"/>
    <w:rsid w:val="009C45D5"/>
    <w:rsid w:val="009C4AFB"/>
    <w:rsid w:val="009C4CCC"/>
    <w:rsid w:val="009C5AE9"/>
    <w:rsid w:val="009C5EA5"/>
    <w:rsid w:val="009C6461"/>
    <w:rsid w:val="009C7B7A"/>
    <w:rsid w:val="009D0B0C"/>
    <w:rsid w:val="009D133D"/>
    <w:rsid w:val="009D207B"/>
    <w:rsid w:val="009D248F"/>
    <w:rsid w:val="009D257F"/>
    <w:rsid w:val="009D31EE"/>
    <w:rsid w:val="009D3651"/>
    <w:rsid w:val="009D4775"/>
    <w:rsid w:val="009D5688"/>
    <w:rsid w:val="009D7DD3"/>
    <w:rsid w:val="009E1244"/>
    <w:rsid w:val="009E1F80"/>
    <w:rsid w:val="009E2071"/>
    <w:rsid w:val="009E24B5"/>
    <w:rsid w:val="009E2D9D"/>
    <w:rsid w:val="009E42A1"/>
    <w:rsid w:val="009E51B0"/>
    <w:rsid w:val="009F056A"/>
    <w:rsid w:val="009F1025"/>
    <w:rsid w:val="009F1465"/>
    <w:rsid w:val="009F2A15"/>
    <w:rsid w:val="009F3990"/>
    <w:rsid w:val="009F52A2"/>
    <w:rsid w:val="009F570E"/>
    <w:rsid w:val="009F5F03"/>
    <w:rsid w:val="009F69D5"/>
    <w:rsid w:val="00A00919"/>
    <w:rsid w:val="00A01F7C"/>
    <w:rsid w:val="00A0551D"/>
    <w:rsid w:val="00A05656"/>
    <w:rsid w:val="00A0612E"/>
    <w:rsid w:val="00A07283"/>
    <w:rsid w:val="00A11A57"/>
    <w:rsid w:val="00A124AC"/>
    <w:rsid w:val="00A12D8E"/>
    <w:rsid w:val="00A13233"/>
    <w:rsid w:val="00A13292"/>
    <w:rsid w:val="00A13D11"/>
    <w:rsid w:val="00A156D5"/>
    <w:rsid w:val="00A15F46"/>
    <w:rsid w:val="00A160A4"/>
    <w:rsid w:val="00A16CDD"/>
    <w:rsid w:val="00A171B3"/>
    <w:rsid w:val="00A175FD"/>
    <w:rsid w:val="00A20991"/>
    <w:rsid w:val="00A21310"/>
    <w:rsid w:val="00A213E4"/>
    <w:rsid w:val="00A2216F"/>
    <w:rsid w:val="00A2272B"/>
    <w:rsid w:val="00A238F9"/>
    <w:rsid w:val="00A23BE5"/>
    <w:rsid w:val="00A2502C"/>
    <w:rsid w:val="00A25252"/>
    <w:rsid w:val="00A25C4F"/>
    <w:rsid w:val="00A25C9D"/>
    <w:rsid w:val="00A262E8"/>
    <w:rsid w:val="00A27587"/>
    <w:rsid w:val="00A27F36"/>
    <w:rsid w:val="00A3050B"/>
    <w:rsid w:val="00A3121B"/>
    <w:rsid w:val="00A3130B"/>
    <w:rsid w:val="00A316B3"/>
    <w:rsid w:val="00A31835"/>
    <w:rsid w:val="00A31F8B"/>
    <w:rsid w:val="00A322CA"/>
    <w:rsid w:val="00A322FE"/>
    <w:rsid w:val="00A330C9"/>
    <w:rsid w:val="00A34179"/>
    <w:rsid w:val="00A3455F"/>
    <w:rsid w:val="00A35132"/>
    <w:rsid w:val="00A3599A"/>
    <w:rsid w:val="00A36E70"/>
    <w:rsid w:val="00A37677"/>
    <w:rsid w:val="00A37D47"/>
    <w:rsid w:val="00A42249"/>
    <w:rsid w:val="00A42274"/>
    <w:rsid w:val="00A4233A"/>
    <w:rsid w:val="00A42AB8"/>
    <w:rsid w:val="00A42E13"/>
    <w:rsid w:val="00A43601"/>
    <w:rsid w:val="00A43801"/>
    <w:rsid w:val="00A43A2C"/>
    <w:rsid w:val="00A43BCA"/>
    <w:rsid w:val="00A44326"/>
    <w:rsid w:val="00A44C34"/>
    <w:rsid w:val="00A45635"/>
    <w:rsid w:val="00A45A88"/>
    <w:rsid w:val="00A46161"/>
    <w:rsid w:val="00A46D32"/>
    <w:rsid w:val="00A47317"/>
    <w:rsid w:val="00A477B6"/>
    <w:rsid w:val="00A47835"/>
    <w:rsid w:val="00A47BFA"/>
    <w:rsid w:val="00A47CE1"/>
    <w:rsid w:val="00A47D55"/>
    <w:rsid w:val="00A50B25"/>
    <w:rsid w:val="00A52081"/>
    <w:rsid w:val="00A52313"/>
    <w:rsid w:val="00A56193"/>
    <w:rsid w:val="00A56245"/>
    <w:rsid w:val="00A617F3"/>
    <w:rsid w:val="00A61A28"/>
    <w:rsid w:val="00A61C00"/>
    <w:rsid w:val="00A625FE"/>
    <w:rsid w:val="00A62B7D"/>
    <w:rsid w:val="00A6331D"/>
    <w:rsid w:val="00A6525A"/>
    <w:rsid w:val="00A668FA"/>
    <w:rsid w:val="00A671AF"/>
    <w:rsid w:val="00A67969"/>
    <w:rsid w:val="00A715CE"/>
    <w:rsid w:val="00A72D66"/>
    <w:rsid w:val="00A73104"/>
    <w:rsid w:val="00A73222"/>
    <w:rsid w:val="00A73BC0"/>
    <w:rsid w:val="00A7415E"/>
    <w:rsid w:val="00A742DF"/>
    <w:rsid w:val="00A7452C"/>
    <w:rsid w:val="00A745D4"/>
    <w:rsid w:val="00A75363"/>
    <w:rsid w:val="00A76476"/>
    <w:rsid w:val="00A76D9B"/>
    <w:rsid w:val="00A77FE9"/>
    <w:rsid w:val="00A80578"/>
    <w:rsid w:val="00A811AF"/>
    <w:rsid w:val="00A81CA5"/>
    <w:rsid w:val="00A82A1B"/>
    <w:rsid w:val="00A82B9F"/>
    <w:rsid w:val="00A844CC"/>
    <w:rsid w:val="00A847B6"/>
    <w:rsid w:val="00A849E0"/>
    <w:rsid w:val="00A84D22"/>
    <w:rsid w:val="00A84D47"/>
    <w:rsid w:val="00A85C9C"/>
    <w:rsid w:val="00A8644C"/>
    <w:rsid w:val="00A86E87"/>
    <w:rsid w:val="00A912C0"/>
    <w:rsid w:val="00A9165C"/>
    <w:rsid w:val="00A91F98"/>
    <w:rsid w:val="00A92962"/>
    <w:rsid w:val="00A92C94"/>
    <w:rsid w:val="00A9380D"/>
    <w:rsid w:val="00A94841"/>
    <w:rsid w:val="00A94A1A"/>
    <w:rsid w:val="00A94FD9"/>
    <w:rsid w:val="00A95229"/>
    <w:rsid w:val="00A95FB5"/>
    <w:rsid w:val="00A96A65"/>
    <w:rsid w:val="00A97326"/>
    <w:rsid w:val="00A976CC"/>
    <w:rsid w:val="00A97AAE"/>
    <w:rsid w:val="00A97D68"/>
    <w:rsid w:val="00AA0369"/>
    <w:rsid w:val="00AA0370"/>
    <w:rsid w:val="00AA08BE"/>
    <w:rsid w:val="00AA0B2F"/>
    <w:rsid w:val="00AA17B0"/>
    <w:rsid w:val="00AA1827"/>
    <w:rsid w:val="00AA1B84"/>
    <w:rsid w:val="00AA279B"/>
    <w:rsid w:val="00AA288F"/>
    <w:rsid w:val="00AA3577"/>
    <w:rsid w:val="00AA430D"/>
    <w:rsid w:val="00AA47DF"/>
    <w:rsid w:val="00AA49DE"/>
    <w:rsid w:val="00AA5F5D"/>
    <w:rsid w:val="00AA77FD"/>
    <w:rsid w:val="00AB0DEF"/>
    <w:rsid w:val="00AB169D"/>
    <w:rsid w:val="00AB1D7A"/>
    <w:rsid w:val="00AB2258"/>
    <w:rsid w:val="00AB22E1"/>
    <w:rsid w:val="00AB247D"/>
    <w:rsid w:val="00AB262A"/>
    <w:rsid w:val="00AB29D5"/>
    <w:rsid w:val="00AB41DF"/>
    <w:rsid w:val="00AB4494"/>
    <w:rsid w:val="00AB49C5"/>
    <w:rsid w:val="00AB6BFB"/>
    <w:rsid w:val="00AB7877"/>
    <w:rsid w:val="00AB79F5"/>
    <w:rsid w:val="00AB7C60"/>
    <w:rsid w:val="00AC09D2"/>
    <w:rsid w:val="00AC0B9A"/>
    <w:rsid w:val="00AC1A54"/>
    <w:rsid w:val="00AC1F43"/>
    <w:rsid w:val="00AC279B"/>
    <w:rsid w:val="00AC285F"/>
    <w:rsid w:val="00AC4019"/>
    <w:rsid w:val="00AC4292"/>
    <w:rsid w:val="00AC4323"/>
    <w:rsid w:val="00AC6D0D"/>
    <w:rsid w:val="00AC7196"/>
    <w:rsid w:val="00AC740B"/>
    <w:rsid w:val="00AD06A0"/>
    <w:rsid w:val="00AD1387"/>
    <w:rsid w:val="00AD153C"/>
    <w:rsid w:val="00AD1B59"/>
    <w:rsid w:val="00AD1E46"/>
    <w:rsid w:val="00AD23CD"/>
    <w:rsid w:val="00AD2409"/>
    <w:rsid w:val="00AD45E1"/>
    <w:rsid w:val="00AE0D6E"/>
    <w:rsid w:val="00AE0D7A"/>
    <w:rsid w:val="00AE11EB"/>
    <w:rsid w:val="00AE1E2A"/>
    <w:rsid w:val="00AE4C1A"/>
    <w:rsid w:val="00AE4FCB"/>
    <w:rsid w:val="00AE5310"/>
    <w:rsid w:val="00AE5C2C"/>
    <w:rsid w:val="00AE5D50"/>
    <w:rsid w:val="00AE5E64"/>
    <w:rsid w:val="00AE6F43"/>
    <w:rsid w:val="00AE7A3B"/>
    <w:rsid w:val="00AF0E76"/>
    <w:rsid w:val="00AF1698"/>
    <w:rsid w:val="00AF3E6A"/>
    <w:rsid w:val="00AF4196"/>
    <w:rsid w:val="00AF43CC"/>
    <w:rsid w:val="00AF4519"/>
    <w:rsid w:val="00AF53E2"/>
    <w:rsid w:val="00AF5C72"/>
    <w:rsid w:val="00AF61BA"/>
    <w:rsid w:val="00AF6495"/>
    <w:rsid w:val="00AF6644"/>
    <w:rsid w:val="00AF6BDD"/>
    <w:rsid w:val="00AF6C29"/>
    <w:rsid w:val="00B009C7"/>
    <w:rsid w:val="00B00ABC"/>
    <w:rsid w:val="00B0324F"/>
    <w:rsid w:val="00B05194"/>
    <w:rsid w:val="00B065AF"/>
    <w:rsid w:val="00B06949"/>
    <w:rsid w:val="00B072A2"/>
    <w:rsid w:val="00B07523"/>
    <w:rsid w:val="00B07821"/>
    <w:rsid w:val="00B07E28"/>
    <w:rsid w:val="00B101AA"/>
    <w:rsid w:val="00B102BA"/>
    <w:rsid w:val="00B10563"/>
    <w:rsid w:val="00B114FD"/>
    <w:rsid w:val="00B1194B"/>
    <w:rsid w:val="00B11ED4"/>
    <w:rsid w:val="00B123F6"/>
    <w:rsid w:val="00B1265C"/>
    <w:rsid w:val="00B12985"/>
    <w:rsid w:val="00B13CA1"/>
    <w:rsid w:val="00B1571C"/>
    <w:rsid w:val="00B1575F"/>
    <w:rsid w:val="00B15EDD"/>
    <w:rsid w:val="00B163DA"/>
    <w:rsid w:val="00B20AE5"/>
    <w:rsid w:val="00B20E17"/>
    <w:rsid w:val="00B20F9F"/>
    <w:rsid w:val="00B214AC"/>
    <w:rsid w:val="00B21D3A"/>
    <w:rsid w:val="00B21D71"/>
    <w:rsid w:val="00B2367B"/>
    <w:rsid w:val="00B2407A"/>
    <w:rsid w:val="00B25661"/>
    <w:rsid w:val="00B256EA"/>
    <w:rsid w:val="00B25F69"/>
    <w:rsid w:val="00B3043C"/>
    <w:rsid w:val="00B30A64"/>
    <w:rsid w:val="00B30D04"/>
    <w:rsid w:val="00B31441"/>
    <w:rsid w:val="00B31D7F"/>
    <w:rsid w:val="00B33361"/>
    <w:rsid w:val="00B34E70"/>
    <w:rsid w:val="00B35205"/>
    <w:rsid w:val="00B36584"/>
    <w:rsid w:val="00B36F8A"/>
    <w:rsid w:val="00B37B80"/>
    <w:rsid w:val="00B37CB9"/>
    <w:rsid w:val="00B406F9"/>
    <w:rsid w:val="00B40C9E"/>
    <w:rsid w:val="00B435AE"/>
    <w:rsid w:val="00B4461F"/>
    <w:rsid w:val="00B452E9"/>
    <w:rsid w:val="00B46662"/>
    <w:rsid w:val="00B470DD"/>
    <w:rsid w:val="00B473EF"/>
    <w:rsid w:val="00B47615"/>
    <w:rsid w:val="00B47F60"/>
    <w:rsid w:val="00B5063B"/>
    <w:rsid w:val="00B515A1"/>
    <w:rsid w:val="00B528F8"/>
    <w:rsid w:val="00B539BB"/>
    <w:rsid w:val="00B54867"/>
    <w:rsid w:val="00B555A2"/>
    <w:rsid w:val="00B56508"/>
    <w:rsid w:val="00B57489"/>
    <w:rsid w:val="00B60289"/>
    <w:rsid w:val="00B610B2"/>
    <w:rsid w:val="00B61180"/>
    <w:rsid w:val="00B613DB"/>
    <w:rsid w:val="00B62955"/>
    <w:rsid w:val="00B62B37"/>
    <w:rsid w:val="00B64B25"/>
    <w:rsid w:val="00B64FCA"/>
    <w:rsid w:val="00B65AF1"/>
    <w:rsid w:val="00B67D46"/>
    <w:rsid w:val="00B716F0"/>
    <w:rsid w:val="00B71D7C"/>
    <w:rsid w:val="00B721AF"/>
    <w:rsid w:val="00B72419"/>
    <w:rsid w:val="00B72E45"/>
    <w:rsid w:val="00B72FBB"/>
    <w:rsid w:val="00B75B65"/>
    <w:rsid w:val="00B7658A"/>
    <w:rsid w:val="00B770CD"/>
    <w:rsid w:val="00B771E3"/>
    <w:rsid w:val="00B7730F"/>
    <w:rsid w:val="00B77FF1"/>
    <w:rsid w:val="00B80591"/>
    <w:rsid w:val="00B80B48"/>
    <w:rsid w:val="00B81245"/>
    <w:rsid w:val="00B813E1"/>
    <w:rsid w:val="00B81890"/>
    <w:rsid w:val="00B81990"/>
    <w:rsid w:val="00B827FA"/>
    <w:rsid w:val="00B83F8A"/>
    <w:rsid w:val="00B845A0"/>
    <w:rsid w:val="00B845A8"/>
    <w:rsid w:val="00B84612"/>
    <w:rsid w:val="00B85023"/>
    <w:rsid w:val="00B873FB"/>
    <w:rsid w:val="00B87F5A"/>
    <w:rsid w:val="00B90501"/>
    <w:rsid w:val="00B90662"/>
    <w:rsid w:val="00B91886"/>
    <w:rsid w:val="00B922FC"/>
    <w:rsid w:val="00B92321"/>
    <w:rsid w:val="00B934B5"/>
    <w:rsid w:val="00B9357F"/>
    <w:rsid w:val="00B93668"/>
    <w:rsid w:val="00B93B94"/>
    <w:rsid w:val="00B94B7B"/>
    <w:rsid w:val="00B957DD"/>
    <w:rsid w:val="00B95A81"/>
    <w:rsid w:val="00B95DBE"/>
    <w:rsid w:val="00B97981"/>
    <w:rsid w:val="00BA1A0A"/>
    <w:rsid w:val="00BA2D06"/>
    <w:rsid w:val="00BA2E50"/>
    <w:rsid w:val="00BA2FE9"/>
    <w:rsid w:val="00BA3E41"/>
    <w:rsid w:val="00BA4CEB"/>
    <w:rsid w:val="00BA616E"/>
    <w:rsid w:val="00BA6191"/>
    <w:rsid w:val="00BB06D0"/>
    <w:rsid w:val="00BB0B29"/>
    <w:rsid w:val="00BB0D32"/>
    <w:rsid w:val="00BB12F7"/>
    <w:rsid w:val="00BB192F"/>
    <w:rsid w:val="00BB26C4"/>
    <w:rsid w:val="00BB3227"/>
    <w:rsid w:val="00BB336E"/>
    <w:rsid w:val="00BB35E9"/>
    <w:rsid w:val="00BB3FE7"/>
    <w:rsid w:val="00BB49DE"/>
    <w:rsid w:val="00BB6C7E"/>
    <w:rsid w:val="00BC255B"/>
    <w:rsid w:val="00BC46F0"/>
    <w:rsid w:val="00BC57A9"/>
    <w:rsid w:val="00BC5808"/>
    <w:rsid w:val="00BC5851"/>
    <w:rsid w:val="00BC633A"/>
    <w:rsid w:val="00BC77DA"/>
    <w:rsid w:val="00BC7C67"/>
    <w:rsid w:val="00BD051F"/>
    <w:rsid w:val="00BD059D"/>
    <w:rsid w:val="00BD0A7A"/>
    <w:rsid w:val="00BD4F6D"/>
    <w:rsid w:val="00BD576D"/>
    <w:rsid w:val="00BD5C49"/>
    <w:rsid w:val="00BE0091"/>
    <w:rsid w:val="00BE13CB"/>
    <w:rsid w:val="00BE1669"/>
    <w:rsid w:val="00BE2B1C"/>
    <w:rsid w:val="00BE4E02"/>
    <w:rsid w:val="00BE558D"/>
    <w:rsid w:val="00BE7517"/>
    <w:rsid w:val="00BE7705"/>
    <w:rsid w:val="00BE7AF4"/>
    <w:rsid w:val="00BF10CE"/>
    <w:rsid w:val="00BF2303"/>
    <w:rsid w:val="00BF3057"/>
    <w:rsid w:val="00BF3225"/>
    <w:rsid w:val="00BF3CBA"/>
    <w:rsid w:val="00BF3FCB"/>
    <w:rsid w:val="00BF444E"/>
    <w:rsid w:val="00BF44C7"/>
    <w:rsid w:val="00BF4E69"/>
    <w:rsid w:val="00BF4ED9"/>
    <w:rsid w:val="00BF53FF"/>
    <w:rsid w:val="00BF688C"/>
    <w:rsid w:val="00BF7699"/>
    <w:rsid w:val="00C01105"/>
    <w:rsid w:val="00C029D8"/>
    <w:rsid w:val="00C03044"/>
    <w:rsid w:val="00C03319"/>
    <w:rsid w:val="00C05550"/>
    <w:rsid w:val="00C058A7"/>
    <w:rsid w:val="00C05A2C"/>
    <w:rsid w:val="00C05FFE"/>
    <w:rsid w:val="00C0627C"/>
    <w:rsid w:val="00C06323"/>
    <w:rsid w:val="00C06B9C"/>
    <w:rsid w:val="00C07288"/>
    <w:rsid w:val="00C0738A"/>
    <w:rsid w:val="00C07D0F"/>
    <w:rsid w:val="00C07FF1"/>
    <w:rsid w:val="00C10E23"/>
    <w:rsid w:val="00C12E93"/>
    <w:rsid w:val="00C150B2"/>
    <w:rsid w:val="00C15314"/>
    <w:rsid w:val="00C156F4"/>
    <w:rsid w:val="00C165E8"/>
    <w:rsid w:val="00C16B57"/>
    <w:rsid w:val="00C174BB"/>
    <w:rsid w:val="00C201F1"/>
    <w:rsid w:val="00C22494"/>
    <w:rsid w:val="00C225A1"/>
    <w:rsid w:val="00C229FA"/>
    <w:rsid w:val="00C23075"/>
    <w:rsid w:val="00C23927"/>
    <w:rsid w:val="00C24638"/>
    <w:rsid w:val="00C24AF6"/>
    <w:rsid w:val="00C252A5"/>
    <w:rsid w:val="00C25D5A"/>
    <w:rsid w:val="00C26F1F"/>
    <w:rsid w:val="00C27D67"/>
    <w:rsid w:val="00C3027F"/>
    <w:rsid w:val="00C3045A"/>
    <w:rsid w:val="00C30D56"/>
    <w:rsid w:val="00C33560"/>
    <w:rsid w:val="00C34BB7"/>
    <w:rsid w:val="00C351B5"/>
    <w:rsid w:val="00C3576B"/>
    <w:rsid w:val="00C35FAB"/>
    <w:rsid w:val="00C36B89"/>
    <w:rsid w:val="00C36F2E"/>
    <w:rsid w:val="00C3705D"/>
    <w:rsid w:val="00C37CA4"/>
    <w:rsid w:val="00C41888"/>
    <w:rsid w:val="00C420AB"/>
    <w:rsid w:val="00C4227E"/>
    <w:rsid w:val="00C43670"/>
    <w:rsid w:val="00C44D51"/>
    <w:rsid w:val="00C44F80"/>
    <w:rsid w:val="00C47FAC"/>
    <w:rsid w:val="00C51C84"/>
    <w:rsid w:val="00C51DFE"/>
    <w:rsid w:val="00C528CA"/>
    <w:rsid w:val="00C53B32"/>
    <w:rsid w:val="00C53E07"/>
    <w:rsid w:val="00C545A4"/>
    <w:rsid w:val="00C54712"/>
    <w:rsid w:val="00C573C9"/>
    <w:rsid w:val="00C5751D"/>
    <w:rsid w:val="00C60058"/>
    <w:rsid w:val="00C604C3"/>
    <w:rsid w:val="00C604CB"/>
    <w:rsid w:val="00C61000"/>
    <w:rsid w:val="00C6357A"/>
    <w:rsid w:val="00C63E17"/>
    <w:rsid w:val="00C64D60"/>
    <w:rsid w:val="00C65139"/>
    <w:rsid w:val="00C65865"/>
    <w:rsid w:val="00C66B45"/>
    <w:rsid w:val="00C67DAE"/>
    <w:rsid w:val="00C70E4C"/>
    <w:rsid w:val="00C712BD"/>
    <w:rsid w:val="00C727F7"/>
    <w:rsid w:val="00C72B83"/>
    <w:rsid w:val="00C736B3"/>
    <w:rsid w:val="00C74C2B"/>
    <w:rsid w:val="00C764F7"/>
    <w:rsid w:val="00C76DB7"/>
    <w:rsid w:val="00C76DE5"/>
    <w:rsid w:val="00C770B4"/>
    <w:rsid w:val="00C7725C"/>
    <w:rsid w:val="00C81748"/>
    <w:rsid w:val="00C81AEA"/>
    <w:rsid w:val="00C81B72"/>
    <w:rsid w:val="00C8315D"/>
    <w:rsid w:val="00C837C5"/>
    <w:rsid w:val="00C83ED8"/>
    <w:rsid w:val="00C84209"/>
    <w:rsid w:val="00C850EC"/>
    <w:rsid w:val="00C85F50"/>
    <w:rsid w:val="00C86BFE"/>
    <w:rsid w:val="00C87274"/>
    <w:rsid w:val="00C90CA2"/>
    <w:rsid w:val="00C91B1B"/>
    <w:rsid w:val="00C934C2"/>
    <w:rsid w:val="00C94A6D"/>
    <w:rsid w:val="00C94C9B"/>
    <w:rsid w:val="00C9642C"/>
    <w:rsid w:val="00C9642D"/>
    <w:rsid w:val="00C96749"/>
    <w:rsid w:val="00CA07F3"/>
    <w:rsid w:val="00CA1318"/>
    <w:rsid w:val="00CA1FF4"/>
    <w:rsid w:val="00CA3424"/>
    <w:rsid w:val="00CA4787"/>
    <w:rsid w:val="00CA572F"/>
    <w:rsid w:val="00CA619F"/>
    <w:rsid w:val="00CA69D8"/>
    <w:rsid w:val="00CA6CCD"/>
    <w:rsid w:val="00CA6E97"/>
    <w:rsid w:val="00CB0F47"/>
    <w:rsid w:val="00CB1403"/>
    <w:rsid w:val="00CB2589"/>
    <w:rsid w:val="00CB26B1"/>
    <w:rsid w:val="00CB2ECE"/>
    <w:rsid w:val="00CB3391"/>
    <w:rsid w:val="00CB4FE6"/>
    <w:rsid w:val="00CB6A9B"/>
    <w:rsid w:val="00CB74AB"/>
    <w:rsid w:val="00CC0899"/>
    <w:rsid w:val="00CC0F27"/>
    <w:rsid w:val="00CC14E1"/>
    <w:rsid w:val="00CC2DAE"/>
    <w:rsid w:val="00CC2DB1"/>
    <w:rsid w:val="00CC2FC0"/>
    <w:rsid w:val="00CC2FD5"/>
    <w:rsid w:val="00CC37BC"/>
    <w:rsid w:val="00CC40B7"/>
    <w:rsid w:val="00CC4745"/>
    <w:rsid w:val="00CC48B9"/>
    <w:rsid w:val="00CC54CF"/>
    <w:rsid w:val="00CC586D"/>
    <w:rsid w:val="00CC5C5C"/>
    <w:rsid w:val="00CC5FBF"/>
    <w:rsid w:val="00CC67E8"/>
    <w:rsid w:val="00CD0654"/>
    <w:rsid w:val="00CD0F7A"/>
    <w:rsid w:val="00CD26FA"/>
    <w:rsid w:val="00CD299A"/>
    <w:rsid w:val="00CD4943"/>
    <w:rsid w:val="00CD53D3"/>
    <w:rsid w:val="00CD5582"/>
    <w:rsid w:val="00CE038F"/>
    <w:rsid w:val="00CE06B2"/>
    <w:rsid w:val="00CE0F9B"/>
    <w:rsid w:val="00CE140B"/>
    <w:rsid w:val="00CE1A08"/>
    <w:rsid w:val="00CE1F78"/>
    <w:rsid w:val="00CE2E98"/>
    <w:rsid w:val="00CE33EC"/>
    <w:rsid w:val="00CE36A7"/>
    <w:rsid w:val="00CE473D"/>
    <w:rsid w:val="00CE4EB0"/>
    <w:rsid w:val="00CE5F86"/>
    <w:rsid w:val="00CF0248"/>
    <w:rsid w:val="00CF11C1"/>
    <w:rsid w:val="00CF1569"/>
    <w:rsid w:val="00CF1A53"/>
    <w:rsid w:val="00CF24B1"/>
    <w:rsid w:val="00CF24F7"/>
    <w:rsid w:val="00CF2910"/>
    <w:rsid w:val="00CF3439"/>
    <w:rsid w:val="00CF38C4"/>
    <w:rsid w:val="00CF46CE"/>
    <w:rsid w:val="00CF4B2F"/>
    <w:rsid w:val="00D014F1"/>
    <w:rsid w:val="00D02682"/>
    <w:rsid w:val="00D02BFA"/>
    <w:rsid w:val="00D03FE9"/>
    <w:rsid w:val="00D0504D"/>
    <w:rsid w:val="00D05422"/>
    <w:rsid w:val="00D05A3A"/>
    <w:rsid w:val="00D05B0F"/>
    <w:rsid w:val="00D0691C"/>
    <w:rsid w:val="00D06998"/>
    <w:rsid w:val="00D07E7A"/>
    <w:rsid w:val="00D103BD"/>
    <w:rsid w:val="00D10A05"/>
    <w:rsid w:val="00D1300B"/>
    <w:rsid w:val="00D13378"/>
    <w:rsid w:val="00D14796"/>
    <w:rsid w:val="00D15795"/>
    <w:rsid w:val="00D160B5"/>
    <w:rsid w:val="00D167CD"/>
    <w:rsid w:val="00D17766"/>
    <w:rsid w:val="00D20E91"/>
    <w:rsid w:val="00D21BF9"/>
    <w:rsid w:val="00D225F1"/>
    <w:rsid w:val="00D22C6E"/>
    <w:rsid w:val="00D237BB"/>
    <w:rsid w:val="00D23857"/>
    <w:rsid w:val="00D23D4D"/>
    <w:rsid w:val="00D23F4B"/>
    <w:rsid w:val="00D246CF"/>
    <w:rsid w:val="00D25437"/>
    <w:rsid w:val="00D26160"/>
    <w:rsid w:val="00D26417"/>
    <w:rsid w:val="00D264CA"/>
    <w:rsid w:val="00D26DB3"/>
    <w:rsid w:val="00D27F19"/>
    <w:rsid w:val="00D30701"/>
    <w:rsid w:val="00D30938"/>
    <w:rsid w:val="00D30956"/>
    <w:rsid w:val="00D325A1"/>
    <w:rsid w:val="00D32CAA"/>
    <w:rsid w:val="00D331F4"/>
    <w:rsid w:val="00D356AF"/>
    <w:rsid w:val="00D3581A"/>
    <w:rsid w:val="00D36C5A"/>
    <w:rsid w:val="00D36F8C"/>
    <w:rsid w:val="00D37B81"/>
    <w:rsid w:val="00D37E95"/>
    <w:rsid w:val="00D41030"/>
    <w:rsid w:val="00D41BD3"/>
    <w:rsid w:val="00D42C0E"/>
    <w:rsid w:val="00D44561"/>
    <w:rsid w:val="00D445CA"/>
    <w:rsid w:val="00D44D5D"/>
    <w:rsid w:val="00D44FB2"/>
    <w:rsid w:val="00D45445"/>
    <w:rsid w:val="00D45580"/>
    <w:rsid w:val="00D459FB"/>
    <w:rsid w:val="00D45FF6"/>
    <w:rsid w:val="00D469E9"/>
    <w:rsid w:val="00D47935"/>
    <w:rsid w:val="00D50095"/>
    <w:rsid w:val="00D50A5E"/>
    <w:rsid w:val="00D51891"/>
    <w:rsid w:val="00D52DFE"/>
    <w:rsid w:val="00D52FBC"/>
    <w:rsid w:val="00D53B9C"/>
    <w:rsid w:val="00D54533"/>
    <w:rsid w:val="00D54ACD"/>
    <w:rsid w:val="00D54B72"/>
    <w:rsid w:val="00D54D2D"/>
    <w:rsid w:val="00D5589D"/>
    <w:rsid w:val="00D5632C"/>
    <w:rsid w:val="00D5659F"/>
    <w:rsid w:val="00D56B00"/>
    <w:rsid w:val="00D57E57"/>
    <w:rsid w:val="00D60AE0"/>
    <w:rsid w:val="00D60C48"/>
    <w:rsid w:val="00D6189C"/>
    <w:rsid w:val="00D61F66"/>
    <w:rsid w:val="00D62769"/>
    <w:rsid w:val="00D63B95"/>
    <w:rsid w:val="00D6467F"/>
    <w:rsid w:val="00D65326"/>
    <w:rsid w:val="00D655A4"/>
    <w:rsid w:val="00D65A15"/>
    <w:rsid w:val="00D6643B"/>
    <w:rsid w:val="00D6661A"/>
    <w:rsid w:val="00D67CE8"/>
    <w:rsid w:val="00D70979"/>
    <w:rsid w:val="00D73B62"/>
    <w:rsid w:val="00D73C0B"/>
    <w:rsid w:val="00D73DD3"/>
    <w:rsid w:val="00D7474E"/>
    <w:rsid w:val="00D75190"/>
    <w:rsid w:val="00D75ABD"/>
    <w:rsid w:val="00D75B63"/>
    <w:rsid w:val="00D77246"/>
    <w:rsid w:val="00D8025C"/>
    <w:rsid w:val="00D81398"/>
    <w:rsid w:val="00D813F1"/>
    <w:rsid w:val="00D82026"/>
    <w:rsid w:val="00D83155"/>
    <w:rsid w:val="00D83779"/>
    <w:rsid w:val="00D8411F"/>
    <w:rsid w:val="00D84468"/>
    <w:rsid w:val="00D845B3"/>
    <w:rsid w:val="00D847B7"/>
    <w:rsid w:val="00D8561D"/>
    <w:rsid w:val="00D86490"/>
    <w:rsid w:val="00D86DCB"/>
    <w:rsid w:val="00D871BE"/>
    <w:rsid w:val="00D876AA"/>
    <w:rsid w:val="00D87C27"/>
    <w:rsid w:val="00D87E1C"/>
    <w:rsid w:val="00D90DF0"/>
    <w:rsid w:val="00D915B9"/>
    <w:rsid w:val="00D91D4F"/>
    <w:rsid w:val="00D91FF5"/>
    <w:rsid w:val="00D920FE"/>
    <w:rsid w:val="00D93505"/>
    <w:rsid w:val="00D95A1A"/>
    <w:rsid w:val="00D9621B"/>
    <w:rsid w:val="00D967E8"/>
    <w:rsid w:val="00D96BCC"/>
    <w:rsid w:val="00D973A7"/>
    <w:rsid w:val="00D979A9"/>
    <w:rsid w:val="00DA13A9"/>
    <w:rsid w:val="00DA1D69"/>
    <w:rsid w:val="00DA21BA"/>
    <w:rsid w:val="00DA23F4"/>
    <w:rsid w:val="00DA313B"/>
    <w:rsid w:val="00DA471B"/>
    <w:rsid w:val="00DA6277"/>
    <w:rsid w:val="00DA636B"/>
    <w:rsid w:val="00DA7F09"/>
    <w:rsid w:val="00DB02A2"/>
    <w:rsid w:val="00DB0ED1"/>
    <w:rsid w:val="00DB238B"/>
    <w:rsid w:val="00DB2427"/>
    <w:rsid w:val="00DB2EDD"/>
    <w:rsid w:val="00DB447A"/>
    <w:rsid w:val="00DB6ABB"/>
    <w:rsid w:val="00DB7035"/>
    <w:rsid w:val="00DB7240"/>
    <w:rsid w:val="00DC0A4C"/>
    <w:rsid w:val="00DC1DB1"/>
    <w:rsid w:val="00DC2BB0"/>
    <w:rsid w:val="00DC31F5"/>
    <w:rsid w:val="00DC4B04"/>
    <w:rsid w:val="00DC58C7"/>
    <w:rsid w:val="00DC5CB6"/>
    <w:rsid w:val="00DC5D57"/>
    <w:rsid w:val="00DC5DC7"/>
    <w:rsid w:val="00DC6091"/>
    <w:rsid w:val="00DC6900"/>
    <w:rsid w:val="00DC7BFB"/>
    <w:rsid w:val="00DD06C0"/>
    <w:rsid w:val="00DD1C06"/>
    <w:rsid w:val="00DD1C67"/>
    <w:rsid w:val="00DD213B"/>
    <w:rsid w:val="00DD28F7"/>
    <w:rsid w:val="00DD3B08"/>
    <w:rsid w:val="00DD4ACA"/>
    <w:rsid w:val="00DD769D"/>
    <w:rsid w:val="00DE0212"/>
    <w:rsid w:val="00DE0804"/>
    <w:rsid w:val="00DE1893"/>
    <w:rsid w:val="00DE2273"/>
    <w:rsid w:val="00DE2BC9"/>
    <w:rsid w:val="00DE346F"/>
    <w:rsid w:val="00DE3757"/>
    <w:rsid w:val="00DE5018"/>
    <w:rsid w:val="00DE7E0A"/>
    <w:rsid w:val="00DF0049"/>
    <w:rsid w:val="00DF0714"/>
    <w:rsid w:val="00DF0E2F"/>
    <w:rsid w:val="00DF1435"/>
    <w:rsid w:val="00DF1859"/>
    <w:rsid w:val="00DF18B6"/>
    <w:rsid w:val="00DF2B01"/>
    <w:rsid w:val="00DF342A"/>
    <w:rsid w:val="00DF3439"/>
    <w:rsid w:val="00DF3E38"/>
    <w:rsid w:val="00DF442F"/>
    <w:rsid w:val="00DF5BD9"/>
    <w:rsid w:val="00DF5CD8"/>
    <w:rsid w:val="00E02B10"/>
    <w:rsid w:val="00E02C95"/>
    <w:rsid w:val="00E06CF3"/>
    <w:rsid w:val="00E07522"/>
    <w:rsid w:val="00E07A64"/>
    <w:rsid w:val="00E1143F"/>
    <w:rsid w:val="00E1194F"/>
    <w:rsid w:val="00E1289E"/>
    <w:rsid w:val="00E12FBD"/>
    <w:rsid w:val="00E137E2"/>
    <w:rsid w:val="00E14E1F"/>
    <w:rsid w:val="00E1607E"/>
    <w:rsid w:val="00E16C6C"/>
    <w:rsid w:val="00E177DA"/>
    <w:rsid w:val="00E20781"/>
    <w:rsid w:val="00E20D37"/>
    <w:rsid w:val="00E215A9"/>
    <w:rsid w:val="00E219A8"/>
    <w:rsid w:val="00E21C3C"/>
    <w:rsid w:val="00E23B1B"/>
    <w:rsid w:val="00E23DBA"/>
    <w:rsid w:val="00E246B9"/>
    <w:rsid w:val="00E2557D"/>
    <w:rsid w:val="00E25DD0"/>
    <w:rsid w:val="00E2604A"/>
    <w:rsid w:val="00E2606F"/>
    <w:rsid w:val="00E26586"/>
    <w:rsid w:val="00E26A19"/>
    <w:rsid w:val="00E27578"/>
    <w:rsid w:val="00E30F26"/>
    <w:rsid w:val="00E31E34"/>
    <w:rsid w:val="00E32216"/>
    <w:rsid w:val="00E3351E"/>
    <w:rsid w:val="00E34A15"/>
    <w:rsid w:val="00E34FF7"/>
    <w:rsid w:val="00E369C8"/>
    <w:rsid w:val="00E37102"/>
    <w:rsid w:val="00E407F2"/>
    <w:rsid w:val="00E40EC5"/>
    <w:rsid w:val="00E40FF9"/>
    <w:rsid w:val="00E41368"/>
    <w:rsid w:val="00E41717"/>
    <w:rsid w:val="00E41AFE"/>
    <w:rsid w:val="00E41B69"/>
    <w:rsid w:val="00E42501"/>
    <w:rsid w:val="00E427A9"/>
    <w:rsid w:val="00E42B94"/>
    <w:rsid w:val="00E4796F"/>
    <w:rsid w:val="00E47D05"/>
    <w:rsid w:val="00E50527"/>
    <w:rsid w:val="00E50D5E"/>
    <w:rsid w:val="00E51C59"/>
    <w:rsid w:val="00E55EE8"/>
    <w:rsid w:val="00E57890"/>
    <w:rsid w:val="00E5797F"/>
    <w:rsid w:val="00E57B2B"/>
    <w:rsid w:val="00E6485F"/>
    <w:rsid w:val="00E65355"/>
    <w:rsid w:val="00E659B8"/>
    <w:rsid w:val="00E6601B"/>
    <w:rsid w:val="00E66D1F"/>
    <w:rsid w:val="00E67CA3"/>
    <w:rsid w:val="00E72B66"/>
    <w:rsid w:val="00E73A63"/>
    <w:rsid w:val="00E7462C"/>
    <w:rsid w:val="00E75D71"/>
    <w:rsid w:val="00E76420"/>
    <w:rsid w:val="00E76B6D"/>
    <w:rsid w:val="00E773B3"/>
    <w:rsid w:val="00E817D8"/>
    <w:rsid w:val="00E81923"/>
    <w:rsid w:val="00E81F17"/>
    <w:rsid w:val="00E8212A"/>
    <w:rsid w:val="00E82E09"/>
    <w:rsid w:val="00E8388C"/>
    <w:rsid w:val="00E83B7F"/>
    <w:rsid w:val="00E83E3E"/>
    <w:rsid w:val="00E846F8"/>
    <w:rsid w:val="00E84DF2"/>
    <w:rsid w:val="00E8512A"/>
    <w:rsid w:val="00E8654B"/>
    <w:rsid w:val="00E8657B"/>
    <w:rsid w:val="00E86709"/>
    <w:rsid w:val="00E86A61"/>
    <w:rsid w:val="00E87C4E"/>
    <w:rsid w:val="00E9038F"/>
    <w:rsid w:val="00E91F8A"/>
    <w:rsid w:val="00E92337"/>
    <w:rsid w:val="00E92401"/>
    <w:rsid w:val="00E92410"/>
    <w:rsid w:val="00E94DAF"/>
    <w:rsid w:val="00E951F7"/>
    <w:rsid w:val="00E95D87"/>
    <w:rsid w:val="00E95DAA"/>
    <w:rsid w:val="00E965DC"/>
    <w:rsid w:val="00E978CC"/>
    <w:rsid w:val="00E97F62"/>
    <w:rsid w:val="00EA261C"/>
    <w:rsid w:val="00EA45A2"/>
    <w:rsid w:val="00EA560B"/>
    <w:rsid w:val="00EA69E6"/>
    <w:rsid w:val="00EA6BC6"/>
    <w:rsid w:val="00EB1832"/>
    <w:rsid w:val="00EB3A32"/>
    <w:rsid w:val="00EB4EAF"/>
    <w:rsid w:val="00EB547C"/>
    <w:rsid w:val="00EB5A68"/>
    <w:rsid w:val="00EB6B87"/>
    <w:rsid w:val="00EB789A"/>
    <w:rsid w:val="00EB7A59"/>
    <w:rsid w:val="00EC083C"/>
    <w:rsid w:val="00EC0844"/>
    <w:rsid w:val="00EC08D5"/>
    <w:rsid w:val="00EC3AC9"/>
    <w:rsid w:val="00EC4DF7"/>
    <w:rsid w:val="00EC4F2C"/>
    <w:rsid w:val="00EC62FF"/>
    <w:rsid w:val="00EC6587"/>
    <w:rsid w:val="00EC7E32"/>
    <w:rsid w:val="00ED1B99"/>
    <w:rsid w:val="00ED215A"/>
    <w:rsid w:val="00ED3193"/>
    <w:rsid w:val="00ED34FA"/>
    <w:rsid w:val="00ED3714"/>
    <w:rsid w:val="00ED392A"/>
    <w:rsid w:val="00ED3938"/>
    <w:rsid w:val="00ED3A7F"/>
    <w:rsid w:val="00ED3AAF"/>
    <w:rsid w:val="00ED5331"/>
    <w:rsid w:val="00ED6563"/>
    <w:rsid w:val="00ED6EA0"/>
    <w:rsid w:val="00ED6EE2"/>
    <w:rsid w:val="00EE0146"/>
    <w:rsid w:val="00EE07B4"/>
    <w:rsid w:val="00EE0863"/>
    <w:rsid w:val="00EE09FD"/>
    <w:rsid w:val="00EE2432"/>
    <w:rsid w:val="00EE2B27"/>
    <w:rsid w:val="00EE359F"/>
    <w:rsid w:val="00EE3841"/>
    <w:rsid w:val="00EE428A"/>
    <w:rsid w:val="00EE5254"/>
    <w:rsid w:val="00EE64AB"/>
    <w:rsid w:val="00EE77F6"/>
    <w:rsid w:val="00EF0901"/>
    <w:rsid w:val="00EF1989"/>
    <w:rsid w:val="00EF1A0C"/>
    <w:rsid w:val="00EF1C5E"/>
    <w:rsid w:val="00EF2B8F"/>
    <w:rsid w:val="00EF3394"/>
    <w:rsid w:val="00EF57BB"/>
    <w:rsid w:val="00EF5AAB"/>
    <w:rsid w:val="00EF5C37"/>
    <w:rsid w:val="00EF67F0"/>
    <w:rsid w:val="00EF7148"/>
    <w:rsid w:val="00EF71E2"/>
    <w:rsid w:val="00EF7456"/>
    <w:rsid w:val="00F006D8"/>
    <w:rsid w:val="00F00959"/>
    <w:rsid w:val="00F02E52"/>
    <w:rsid w:val="00F04972"/>
    <w:rsid w:val="00F055DE"/>
    <w:rsid w:val="00F07F63"/>
    <w:rsid w:val="00F1297C"/>
    <w:rsid w:val="00F133FC"/>
    <w:rsid w:val="00F13463"/>
    <w:rsid w:val="00F13844"/>
    <w:rsid w:val="00F1440C"/>
    <w:rsid w:val="00F1524B"/>
    <w:rsid w:val="00F17C7B"/>
    <w:rsid w:val="00F216E2"/>
    <w:rsid w:val="00F22D38"/>
    <w:rsid w:val="00F23629"/>
    <w:rsid w:val="00F23AB0"/>
    <w:rsid w:val="00F240CD"/>
    <w:rsid w:val="00F245C4"/>
    <w:rsid w:val="00F24FB6"/>
    <w:rsid w:val="00F2503F"/>
    <w:rsid w:val="00F25E23"/>
    <w:rsid w:val="00F26032"/>
    <w:rsid w:val="00F27464"/>
    <w:rsid w:val="00F27F3D"/>
    <w:rsid w:val="00F3230D"/>
    <w:rsid w:val="00F32354"/>
    <w:rsid w:val="00F326D8"/>
    <w:rsid w:val="00F33992"/>
    <w:rsid w:val="00F3597D"/>
    <w:rsid w:val="00F3795C"/>
    <w:rsid w:val="00F416BA"/>
    <w:rsid w:val="00F428DD"/>
    <w:rsid w:val="00F4298F"/>
    <w:rsid w:val="00F433EE"/>
    <w:rsid w:val="00F4411D"/>
    <w:rsid w:val="00F4450E"/>
    <w:rsid w:val="00F447F4"/>
    <w:rsid w:val="00F4507B"/>
    <w:rsid w:val="00F45349"/>
    <w:rsid w:val="00F45E25"/>
    <w:rsid w:val="00F47AD0"/>
    <w:rsid w:val="00F51367"/>
    <w:rsid w:val="00F51DC0"/>
    <w:rsid w:val="00F52296"/>
    <w:rsid w:val="00F539E1"/>
    <w:rsid w:val="00F53DD8"/>
    <w:rsid w:val="00F54BEF"/>
    <w:rsid w:val="00F556F2"/>
    <w:rsid w:val="00F56085"/>
    <w:rsid w:val="00F56E21"/>
    <w:rsid w:val="00F57AB8"/>
    <w:rsid w:val="00F57F9E"/>
    <w:rsid w:val="00F61BF1"/>
    <w:rsid w:val="00F625A3"/>
    <w:rsid w:val="00F62B0D"/>
    <w:rsid w:val="00F63104"/>
    <w:rsid w:val="00F63C50"/>
    <w:rsid w:val="00F647B3"/>
    <w:rsid w:val="00F656F6"/>
    <w:rsid w:val="00F66F71"/>
    <w:rsid w:val="00F70749"/>
    <w:rsid w:val="00F71997"/>
    <w:rsid w:val="00F734B4"/>
    <w:rsid w:val="00F74081"/>
    <w:rsid w:val="00F74234"/>
    <w:rsid w:val="00F743F0"/>
    <w:rsid w:val="00F74F0C"/>
    <w:rsid w:val="00F75946"/>
    <w:rsid w:val="00F76323"/>
    <w:rsid w:val="00F7703A"/>
    <w:rsid w:val="00F77AC3"/>
    <w:rsid w:val="00F80606"/>
    <w:rsid w:val="00F80B4B"/>
    <w:rsid w:val="00F8116A"/>
    <w:rsid w:val="00F8178E"/>
    <w:rsid w:val="00F81A82"/>
    <w:rsid w:val="00F825A1"/>
    <w:rsid w:val="00F82E9E"/>
    <w:rsid w:val="00F84006"/>
    <w:rsid w:val="00F87B0A"/>
    <w:rsid w:val="00F9034F"/>
    <w:rsid w:val="00F90B98"/>
    <w:rsid w:val="00F90E1E"/>
    <w:rsid w:val="00F92380"/>
    <w:rsid w:val="00F937AE"/>
    <w:rsid w:val="00F93FA7"/>
    <w:rsid w:val="00F952AE"/>
    <w:rsid w:val="00F95D4D"/>
    <w:rsid w:val="00F96565"/>
    <w:rsid w:val="00F96E01"/>
    <w:rsid w:val="00F97581"/>
    <w:rsid w:val="00FA06F7"/>
    <w:rsid w:val="00FA185A"/>
    <w:rsid w:val="00FA1A20"/>
    <w:rsid w:val="00FA1D3C"/>
    <w:rsid w:val="00FA5AB0"/>
    <w:rsid w:val="00FA787E"/>
    <w:rsid w:val="00FB09D2"/>
    <w:rsid w:val="00FB102A"/>
    <w:rsid w:val="00FB2697"/>
    <w:rsid w:val="00FB2D2E"/>
    <w:rsid w:val="00FB2D30"/>
    <w:rsid w:val="00FB3240"/>
    <w:rsid w:val="00FB3EA5"/>
    <w:rsid w:val="00FB42DC"/>
    <w:rsid w:val="00FB5D0E"/>
    <w:rsid w:val="00FB5DDD"/>
    <w:rsid w:val="00FB6168"/>
    <w:rsid w:val="00FB6D9A"/>
    <w:rsid w:val="00FB799C"/>
    <w:rsid w:val="00FB7C10"/>
    <w:rsid w:val="00FB7C95"/>
    <w:rsid w:val="00FC045F"/>
    <w:rsid w:val="00FC0F40"/>
    <w:rsid w:val="00FC199F"/>
    <w:rsid w:val="00FC317E"/>
    <w:rsid w:val="00FC329C"/>
    <w:rsid w:val="00FC3E09"/>
    <w:rsid w:val="00FC4188"/>
    <w:rsid w:val="00FC4AE7"/>
    <w:rsid w:val="00FC4AF3"/>
    <w:rsid w:val="00FC5CEF"/>
    <w:rsid w:val="00FC693D"/>
    <w:rsid w:val="00FC6990"/>
    <w:rsid w:val="00FC6AE1"/>
    <w:rsid w:val="00FD04F8"/>
    <w:rsid w:val="00FD0A62"/>
    <w:rsid w:val="00FD15B6"/>
    <w:rsid w:val="00FD1ED3"/>
    <w:rsid w:val="00FD2295"/>
    <w:rsid w:val="00FD2763"/>
    <w:rsid w:val="00FD43FE"/>
    <w:rsid w:val="00FD511B"/>
    <w:rsid w:val="00FD553B"/>
    <w:rsid w:val="00FD6029"/>
    <w:rsid w:val="00FD676A"/>
    <w:rsid w:val="00FD7EFE"/>
    <w:rsid w:val="00FE0B27"/>
    <w:rsid w:val="00FE0FCC"/>
    <w:rsid w:val="00FE2D33"/>
    <w:rsid w:val="00FE2DB6"/>
    <w:rsid w:val="00FE2F11"/>
    <w:rsid w:val="00FE43FF"/>
    <w:rsid w:val="00FE4D29"/>
    <w:rsid w:val="00FE4ED9"/>
    <w:rsid w:val="00FE5E9D"/>
    <w:rsid w:val="00FE60DE"/>
    <w:rsid w:val="00FE7162"/>
    <w:rsid w:val="00FE7F32"/>
    <w:rsid w:val="00FF00E4"/>
    <w:rsid w:val="00FF04DA"/>
    <w:rsid w:val="00FF0746"/>
    <w:rsid w:val="00FF11EA"/>
    <w:rsid w:val="00FF1694"/>
    <w:rsid w:val="00FF249F"/>
    <w:rsid w:val="00FF3F4A"/>
    <w:rsid w:val="00FF43EA"/>
    <w:rsid w:val="00FF5983"/>
    <w:rsid w:val="57A5929D"/>
    <w:rsid w:val="6DED7E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B6D85EE"/>
  <w15:chartTrackingRefBased/>
  <w15:docId w15:val="{442FBA62-7345-4BE0-BE88-D96ADAA6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32A"/>
    <w:pPr>
      <w:widowControl w:val="0"/>
      <w:autoSpaceDE w:val="0"/>
      <w:autoSpaceDN w:val="0"/>
      <w:adjustRightInd w:val="0"/>
      <w:spacing w:before="240" w:line="276" w:lineRule="auto"/>
    </w:pPr>
    <w:rPr>
      <w:sz w:val="24"/>
      <w:szCs w:val="24"/>
    </w:rPr>
  </w:style>
  <w:style w:type="paragraph" w:styleId="Heading1">
    <w:name w:val="heading 1"/>
    <w:basedOn w:val="Normal"/>
    <w:next w:val="Normal"/>
    <w:link w:val="Heading1Char"/>
    <w:uiPriority w:val="9"/>
    <w:qFormat/>
    <w:rsid w:val="009F5F03"/>
    <w:pPr>
      <w:keepNext/>
      <w:keepLines/>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style>
  <w:style w:type="paragraph" w:customStyle="1" w:styleId="Level1">
    <w:name w:val="Level 1"/>
    <w:basedOn w:val="Normal"/>
    <w:pPr>
      <w:ind w:left="720" w:hanging="720"/>
    </w:pPr>
  </w:style>
  <w:style w:type="character" w:styleId="Hyperlink">
    <w:name w:val="Hyperlink"/>
    <w:rsid w:val="00016783"/>
    <w:rPr>
      <w:color w:val="0000FF"/>
      <w:u w:val="single"/>
    </w:rPr>
  </w:style>
  <w:style w:type="table" w:styleId="TableGrid">
    <w:name w:val="Table Grid"/>
    <w:basedOn w:val="TableNormal"/>
    <w:rsid w:val="004837A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B262A"/>
    <w:rPr>
      <w:sz w:val="16"/>
      <w:szCs w:val="16"/>
    </w:rPr>
  </w:style>
  <w:style w:type="paragraph" w:styleId="CommentText">
    <w:name w:val="annotation text"/>
    <w:basedOn w:val="Normal"/>
    <w:link w:val="CommentTextChar"/>
    <w:uiPriority w:val="99"/>
    <w:unhideWhenUsed/>
    <w:rsid w:val="00AB262A"/>
    <w:rPr>
      <w:sz w:val="20"/>
      <w:szCs w:val="20"/>
    </w:rPr>
  </w:style>
  <w:style w:type="character" w:customStyle="1" w:styleId="CommentTextChar">
    <w:name w:val="Comment Text Char"/>
    <w:link w:val="CommentText"/>
    <w:uiPriority w:val="99"/>
    <w:rsid w:val="00AB262A"/>
    <w:rPr>
      <w:rFonts w:ascii="Courier" w:hAnsi="Courier"/>
    </w:rPr>
  </w:style>
  <w:style w:type="paragraph" w:styleId="CommentSubject">
    <w:name w:val="annotation subject"/>
    <w:basedOn w:val="CommentText"/>
    <w:next w:val="CommentText"/>
    <w:link w:val="CommentSubjectChar"/>
    <w:uiPriority w:val="99"/>
    <w:semiHidden/>
    <w:unhideWhenUsed/>
    <w:rsid w:val="00AB262A"/>
    <w:rPr>
      <w:b/>
      <w:bCs/>
    </w:rPr>
  </w:style>
  <w:style w:type="character" w:customStyle="1" w:styleId="CommentSubjectChar">
    <w:name w:val="Comment Subject Char"/>
    <w:link w:val="CommentSubject"/>
    <w:uiPriority w:val="99"/>
    <w:semiHidden/>
    <w:rsid w:val="00AB262A"/>
    <w:rPr>
      <w:rFonts w:ascii="Courier" w:hAnsi="Courier"/>
      <w:b/>
      <w:bCs/>
    </w:rPr>
  </w:style>
  <w:style w:type="paragraph" w:styleId="BalloonText">
    <w:name w:val="Balloon Text"/>
    <w:basedOn w:val="Normal"/>
    <w:link w:val="BalloonTextChar"/>
    <w:uiPriority w:val="99"/>
    <w:semiHidden/>
    <w:unhideWhenUsed/>
    <w:rsid w:val="00AB262A"/>
    <w:rPr>
      <w:rFonts w:ascii="Tahoma" w:hAnsi="Tahoma" w:cs="Tahoma"/>
      <w:sz w:val="16"/>
      <w:szCs w:val="16"/>
    </w:rPr>
  </w:style>
  <w:style w:type="character" w:customStyle="1" w:styleId="BalloonTextChar">
    <w:name w:val="Balloon Text Char"/>
    <w:link w:val="BalloonText"/>
    <w:uiPriority w:val="99"/>
    <w:semiHidden/>
    <w:rsid w:val="00AB262A"/>
    <w:rPr>
      <w:rFonts w:ascii="Tahoma" w:hAnsi="Tahoma" w:cs="Tahoma"/>
      <w:sz w:val="16"/>
      <w:szCs w:val="16"/>
    </w:rPr>
  </w:style>
  <w:style w:type="character" w:styleId="FollowedHyperlink">
    <w:name w:val="FollowedHyperlink"/>
    <w:uiPriority w:val="99"/>
    <w:semiHidden/>
    <w:unhideWhenUsed/>
    <w:rsid w:val="009A6242"/>
    <w:rPr>
      <w:color w:val="800080"/>
      <w:u w:val="single"/>
    </w:rPr>
  </w:style>
  <w:style w:type="paragraph" w:styleId="NormalWeb">
    <w:name w:val="Normal (Web)"/>
    <w:basedOn w:val="Normal"/>
    <w:uiPriority w:val="99"/>
    <w:unhideWhenUsed/>
    <w:rsid w:val="0031766B"/>
    <w:pPr>
      <w:widowControl/>
      <w:autoSpaceDE/>
      <w:autoSpaceDN/>
      <w:adjustRightInd/>
      <w:spacing w:before="100" w:beforeAutospacing="1" w:after="100" w:afterAutospacing="1"/>
    </w:pPr>
  </w:style>
  <w:style w:type="character" w:styleId="Strong">
    <w:name w:val="Strong"/>
    <w:uiPriority w:val="22"/>
    <w:qFormat/>
    <w:rsid w:val="0031766B"/>
    <w:rPr>
      <w:b/>
      <w:bCs/>
    </w:rPr>
  </w:style>
  <w:style w:type="paragraph" w:styleId="FootnoteText">
    <w:name w:val="footnote text"/>
    <w:aliases w:val=" Char,Char,Footnote Text Char Ch,Footnote Text Char Ch1,Footnote Text Char Char1 Char,Footnote Text Char1,Footnote Text Char1 Char Char Char,Footnote Text Char2 Char,Footnote Text1 Char,Footnote Text1 Char1,fn,fn1,fn3,ft,ft Char,ft Char Ch"/>
    <w:basedOn w:val="Normal"/>
    <w:link w:val="FootnoteTextChar"/>
    <w:qFormat/>
    <w:rsid w:val="0043122E"/>
    <w:rPr>
      <w:sz w:val="20"/>
      <w:szCs w:val="20"/>
    </w:rPr>
  </w:style>
  <w:style w:type="character" w:customStyle="1" w:styleId="FootnoteTextChar">
    <w:name w:val="Footnote Text Char"/>
    <w:aliases w:val="Footnote Text Char Ch Char1,Footnote Text Char Ch1 Char1,Footnote Text Char Char1 Char Char1,Footnote Text Char1 Char1,Footnote Text Char2 Char Char1,Footnote Text1 Char Char1,Footnote Text1 Char1 Char1,fn Char1,ft Char Char1,ft Char2"/>
    <w:basedOn w:val="DefaultParagraphFont"/>
    <w:link w:val="FootnoteText"/>
    <w:rsid w:val="0043122E"/>
  </w:style>
  <w:style w:type="paragraph" w:styleId="Revision">
    <w:name w:val="Revision"/>
    <w:hidden/>
    <w:uiPriority w:val="99"/>
    <w:semiHidden/>
    <w:rsid w:val="007B6A10"/>
    <w:rPr>
      <w:rFonts w:ascii="Courier" w:hAnsi="Courier"/>
      <w:sz w:val="24"/>
      <w:szCs w:val="24"/>
    </w:rPr>
  </w:style>
  <w:style w:type="paragraph" w:styleId="ListParagraph">
    <w:name w:val="List Paragraph"/>
    <w:basedOn w:val="Normal"/>
    <w:uiPriority w:val="34"/>
    <w:qFormat/>
    <w:rsid w:val="00FB5DDD"/>
    <w:pPr>
      <w:ind w:left="720"/>
    </w:pPr>
  </w:style>
  <w:style w:type="character" w:customStyle="1" w:styleId="apple-converted-space">
    <w:name w:val="apple-converted-space"/>
    <w:rsid w:val="007B2F4D"/>
  </w:style>
  <w:style w:type="paragraph" w:styleId="Header">
    <w:name w:val="header"/>
    <w:basedOn w:val="Normal"/>
    <w:link w:val="HeaderChar"/>
    <w:uiPriority w:val="99"/>
    <w:unhideWhenUsed/>
    <w:rsid w:val="00F80B4B"/>
    <w:pPr>
      <w:tabs>
        <w:tab w:val="center" w:pos="4680"/>
        <w:tab w:val="right" w:pos="9360"/>
      </w:tabs>
    </w:pPr>
  </w:style>
  <w:style w:type="character" w:customStyle="1" w:styleId="HeaderChar">
    <w:name w:val="Header Char"/>
    <w:link w:val="Header"/>
    <w:uiPriority w:val="99"/>
    <w:rsid w:val="00F80B4B"/>
    <w:rPr>
      <w:rFonts w:ascii="Courier" w:hAnsi="Courier"/>
      <w:sz w:val="24"/>
      <w:szCs w:val="24"/>
    </w:rPr>
  </w:style>
  <w:style w:type="paragraph" w:styleId="Footer">
    <w:name w:val="footer"/>
    <w:basedOn w:val="Normal"/>
    <w:link w:val="FooterChar"/>
    <w:uiPriority w:val="99"/>
    <w:unhideWhenUsed/>
    <w:rsid w:val="00F80B4B"/>
    <w:pPr>
      <w:tabs>
        <w:tab w:val="center" w:pos="4680"/>
        <w:tab w:val="right" w:pos="9360"/>
      </w:tabs>
    </w:pPr>
  </w:style>
  <w:style w:type="character" w:customStyle="1" w:styleId="FooterChar">
    <w:name w:val="Footer Char"/>
    <w:link w:val="Footer"/>
    <w:uiPriority w:val="99"/>
    <w:rsid w:val="00F80B4B"/>
    <w:rPr>
      <w:rFonts w:ascii="Courier" w:hAnsi="Courier"/>
      <w:sz w:val="24"/>
      <w:szCs w:val="24"/>
    </w:rPr>
  </w:style>
  <w:style w:type="character" w:styleId="UnresolvedMention">
    <w:name w:val="Unresolved Mention"/>
    <w:uiPriority w:val="99"/>
    <w:semiHidden/>
    <w:unhideWhenUsed/>
    <w:rsid w:val="00CD0F7A"/>
    <w:rPr>
      <w:color w:val="605E5C"/>
      <w:shd w:val="clear" w:color="auto" w:fill="E1DFDD"/>
    </w:rPr>
  </w:style>
  <w:style w:type="paragraph" w:styleId="NoSpacing">
    <w:name w:val="No Spacing"/>
    <w:uiPriority w:val="1"/>
    <w:qFormat/>
    <w:rsid w:val="006766BB"/>
    <w:pPr>
      <w:widowControl w:val="0"/>
      <w:autoSpaceDE w:val="0"/>
      <w:autoSpaceDN w:val="0"/>
      <w:adjustRightInd w:val="0"/>
    </w:pPr>
    <w:rPr>
      <w:sz w:val="24"/>
      <w:szCs w:val="24"/>
    </w:rPr>
  </w:style>
  <w:style w:type="paragraph" w:customStyle="1" w:styleId="FERCparanumber">
    <w:name w:val="FERC paranumber"/>
    <w:basedOn w:val="Normal"/>
    <w:link w:val="FERCparanumberChar"/>
    <w:qFormat/>
    <w:rsid w:val="00C64D60"/>
    <w:pPr>
      <w:widowControl/>
      <w:numPr>
        <w:numId w:val="24"/>
      </w:numPr>
      <w:autoSpaceDE/>
      <w:autoSpaceDN/>
      <w:adjustRightInd/>
      <w:spacing w:before="0" w:line="480" w:lineRule="auto"/>
    </w:pPr>
    <w:rPr>
      <w:rFonts w:eastAsiaTheme="minorHAnsi"/>
      <w:sz w:val="26"/>
      <w:szCs w:val="22"/>
    </w:rPr>
  </w:style>
  <w:style w:type="character" w:customStyle="1" w:styleId="FERCparanumberChar">
    <w:name w:val="FERC paranumber Char"/>
    <w:basedOn w:val="DefaultParagraphFont"/>
    <w:link w:val="FERCparanumber"/>
    <w:rsid w:val="00C64D60"/>
    <w:rPr>
      <w:rFonts w:eastAsiaTheme="minorHAnsi"/>
      <w:sz w:val="26"/>
      <w:szCs w:val="22"/>
    </w:rPr>
  </w:style>
  <w:style w:type="character" w:customStyle="1" w:styleId="FootnoteTextChar2">
    <w:name w:val="Footnote Text Char2"/>
    <w:aliases w:val="Footnote Text Char Ch Char,Footnote Text Char Ch1 Char,Footnote Text Char Char1 Char Char,Footnote Text Char1 Char,Footnote Text Char2 Char Char,Footnote Text1 Char Char,Footnote Text1 Char1 Char,fn Char,ft Char Char,ft Char1"/>
    <w:rsid w:val="00CA6E97"/>
    <w:rPr>
      <w:rFonts w:ascii="Times New Roman" w:eastAsia="Times New Roman" w:hAnsi="Times New Roman" w:cs="Times New Roman"/>
      <w:sz w:val="26"/>
      <w:szCs w:val="20"/>
    </w:rPr>
  </w:style>
  <w:style w:type="character" w:customStyle="1" w:styleId="Heading1Char">
    <w:name w:val="Heading 1 Char"/>
    <w:basedOn w:val="DefaultParagraphFont"/>
    <w:link w:val="Heading1"/>
    <w:uiPriority w:val="9"/>
    <w:rsid w:val="009F5F03"/>
    <w:rPr>
      <w:rFonts w:asciiTheme="majorHAnsi" w:eastAsiaTheme="majorEastAsia" w:hAnsiTheme="majorHAnsi" w:cstheme="majorBidi"/>
      <w:color w:val="2F5496" w:themeColor="accent1" w:themeShade="BF"/>
      <w:sz w:val="32"/>
      <w:szCs w:val="32"/>
    </w:rPr>
  </w:style>
  <w:style w:type="paragraph" w:customStyle="1" w:styleId="FERCNopara">
    <w:name w:val="FERC Nopara"/>
    <w:basedOn w:val="Normal"/>
    <w:qFormat/>
    <w:rsid w:val="009D4775"/>
    <w:pPr>
      <w:widowControl/>
      <w:autoSpaceDE/>
      <w:autoSpaceDN/>
      <w:adjustRightInd/>
      <w:spacing w:before="0" w:after="260" w:line="240" w:lineRule="auto"/>
      <w:ind w:firstLine="720"/>
    </w:pPr>
    <w:rPr>
      <w:rFonts w:eastAsiaTheme="minorHAnsi"/>
      <w:sz w:val="26"/>
      <w:szCs w:val="22"/>
    </w:rPr>
  </w:style>
  <w:style w:type="character" w:styleId="Mention">
    <w:name w:val="Mention"/>
    <w:basedOn w:val="DefaultParagraphFont"/>
    <w:uiPriority w:val="99"/>
    <w:unhideWhenUsed/>
    <w:rsid w:val="005C66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ferc-online/etariff" TargetMode="External" /><Relationship Id="rId11" Type="http://schemas.openxmlformats.org/officeDocument/2006/relationships/hyperlink" Target="https://www.ferc.gov/enforcement-legal/legal/information-collections"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rc.gov/media/pro-forma-oatt-effective-march-14-20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29e753-062b-49ce-baa7-feb352134f8f">
      <Terms xmlns="http://schemas.microsoft.com/office/infopath/2007/PartnerControls"/>
    </lcf76f155ced4ddcb4097134ff3c332f>
    <TaxCatchAll xmlns="5a7c6213-c3f8-4376-93f2-dc58e5c51d54" xsi:nil="true"/>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5" ma:contentTypeDescription="Create a new document." ma:contentTypeScope="" ma:versionID="082e90d60dd37ab01e90c34fab6c37c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466ebfd94c05f1c89097b3b18a86adf"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1D61C-664D-4595-9238-3731934441A2}">
  <ds:schemaRefs>
    <ds:schemaRef ds:uri="http://schemas.openxmlformats.org/package/2006/metadata/core-properties"/>
    <ds:schemaRef ds:uri="http://schemas.microsoft.com/office/2006/documentManagement/types"/>
    <ds:schemaRef ds:uri="e029e753-062b-49ce-baa7-feb352134f8f"/>
    <ds:schemaRef ds:uri="5a7c6213-c3f8-4376-93f2-dc58e5c51d54"/>
    <ds:schemaRef ds:uri="http://purl.org/dc/elements/1.1/"/>
    <ds:schemaRef ds:uri="http://schemas.microsoft.com/office/2006/metadata/properties"/>
    <ds:schemaRef ds:uri="d6eefc7d-9817-4fa6-84d5-3bc009be21b8"/>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50D246F-E629-4414-88A5-289F099378E8}">
  <ds:schemaRefs>
    <ds:schemaRef ds:uri="http://schemas.microsoft.com/sharepoint/v3/contenttype/forms"/>
  </ds:schemaRefs>
</ds:datastoreItem>
</file>

<file path=customXml/itemProps3.xml><?xml version="1.0" encoding="utf-8"?>
<ds:datastoreItem xmlns:ds="http://schemas.openxmlformats.org/officeDocument/2006/customXml" ds:itemID="{01D327EA-8703-4AA7-9302-82D76A6D73E0}">
  <ds:schemaRefs>
    <ds:schemaRef ds:uri="http://schemas.openxmlformats.org/officeDocument/2006/bibliography"/>
  </ds:schemaRefs>
</ds:datastoreItem>
</file>

<file path=customXml/itemProps4.xml><?xml version="1.0" encoding="utf-8"?>
<ds:datastoreItem xmlns:ds="http://schemas.openxmlformats.org/officeDocument/2006/customXml" ds:itemID="{146F3558-27BA-4C36-A661-9F1C7B29F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19</Pages>
  <Words>4999</Words>
  <Characters>28496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DOI BLM</Company>
  <LinksUpToDate>false</LinksUpToDate>
  <CharactersWithSpaces>33429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sbeshir</dc:creator>
  <cp:lastModifiedBy>Christopher Kozler</cp:lastModifiedBy>
  <cp:revision>14</cp:revision>
  <cp:lastPrinted>2018-03-09T03:25:00Z</cp:lastPrinted>
  <dcterms:created xsi:type="dcterms:W3CDTF">2024-06-11T15:39:00Z</dcterms:created>
  <dcterms:modified xsi:type="dcterms:W3CDTF">2024-06-12T14:54:00Z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1e2116eb-64b5-4988-8ded-b814a6644576</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2022-02-04T19:52:05Z</vt:lpwstr>
  </property>
  <property fmtid="{D5CDD505-2E9C-101B-9397-08002B2CF9AE}" pid="10" name="MSIP_Label_6155a89b-0f08-4a93-8ea2-8a916d6643b5_SiteId">
    <vt:lpwstr>19caa9e9-04ff-43fa-885f-d77fac387903</vt:lpwstr>
  </property>
</Properties>
</file>