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9F7E4D" w14:paraId="6E444933" w14:textId="33056DF9">
      <w:pPr>
        <w:tabs>
          <w:tab w:val="center" w:pos="4680"/>
          <w:tab w:val="right" w:pos="9360"/>
        </w:tabs>
      </w:pPr>
      <w:r>
        <w:tab/>
      </w:r>
      <w:r>
        <w:t>UNITED STATES OF AMERICA</w:t>
      </w:r>
      <w:r>
        <w:tab/>
      </w:r>
    </w:p>
    <w:p w:rsidR="00A2604E" w:rsidP="00A2604E" w14:paraId="4CB90DC8" w14:textId="77777777">
      <w:pPr>
        <w:jc w:val="center"/>
      </w:pPr>
      <w:r>
        <w:t>FEDERAL ENERGY REGULATORY COMMISSION</w:t>
      </w:r>
    </w:p>
    <w:p w:rsidR="00A2604E" w:rsidP="00A2604E" w14:paraId="72528CFE" w14:textId="77777777"/>
    <w:p w:rsidR="00A2604E" w:rsidP="00A2604E" w14:paraId="63F7D638" w14:textId="42A58B53">
      <w:pPr>
        <w:jc w:val="center"/>
      </w:pPr>
      <w:r w:rsidRPr="00AC750B">
        <w:t xml:space="preserve">[Docket No. </w:t>
      </w:r>
      <w:r w:rsidR="00B14722">
        <w:t>IC24-14-000</w:t>
      </w:r>
      <w:r w:rsidRPr="00DA19FA">
        <w:t>]</w:t>
      </w:r>
    </w:p>
    <w:p w:rsidR="00A2604E" w:rsidP="00A2604E" w14:paraId="35E21C8D" w14:textId="77777777"/>
    <w:p w:rsidR="00A2604E" w:rsidP="00A2604E" w14:paraId="3E6E30E1" w14:textId="77777777">
      <w:pPr>
        <w:jc w:val="center"/>
      </w:pPr>
      <w:r>
        <w:t>COMMISSION INFORMATION COLLECTION ACTIVITIES (FERC-</w:t>
      </w:r>
      <w:r w:rsidR="00A52CA7">
        <w:t>921</w:t>
      </w:r>
      <w:r>
        <w:t>);</w:t>
      </w:r>
    </w:p>
    <w:p w:rsidR="00A2604E" w:rsidP="00A2604E" w14:paraId="2455F18B" w14:textId="77777777">
      <w:pPr>
        <w:jc w:val="center"/>
      </w:pPr>
      <w:r>
        <w:t>COMMENT REQUEST; EXTENSION</w:t>
      </w:r>
    </w:p>
    <w:p w:rsidR="00810D18" w:rsidP="00810D18" w14:paraId="1020381E" w14:textId="77777777"/>
    <w:p w:rsidR="00380AE7" w:rsidP="00F8349E" w14:paraId="61127251" w14:textId="3C98EB7A">
      <w:pPr>
        <w:jc w:val="center"/>
      </w:pPr>
      <w:r w:rsidRPr="00F8349E">
        <w:t>(April 18, 2024)</w:t>
      </w:r>
    </w:p>
    <w:p w:rsidR="00F8349E" w:rsidRPr="00F8349E" w:rsidP="00F8349E" w14:paraId="518E6BCE" w14:textId="77777777"/>
    <w:p w:rsidR="00A2604E" w:rsidP="00A2604E" w14:paraId="373A1B90" w14:textId="77777777">
      <w:r w:rsidRPr="00AB4DBF">
        <w:rPr>
          <w:b/>
        </w:rPr>
        <w:t>AGENCY:</w:t>
      </w:r>
      <w:r w:rsidRPr="00AB4DBF">
        <w:t xml:space="preserve">  Federal Energy Regulatory Commission.</w:t>
      </w:r>
    </w:p>
    <w:p w:rsidR="00A2604E" w:rsidRPr="00AB4DBF" w:rsidP="00A2604E" w14:paraId="4B402D0B" w14:textId="77777777"/>
    <w:p w:rsidR="00A2604E" w:rsidP="00A2604E" w14:paraId="780CCEA4" w14:textId="77777777">
      <w:pPr>
        <w:spacing w:line="480" w:lineRule="auto"/>
      </w:pPr>
      <w:r w:rsidRPr="00CE64F2">
        <w:rPr>
          <w:b/>
        </w:rPr>
        <w:t>ACTION:</w:t>
      </w:r>
      <w:r>
        <w:t xml:space="preserve">  Notice of information collection and request for comments.</w:t>
      </w:r>
    </w:p>
    <w:p w:rsidR="00A2604E" w:rsidP="00A2604E" w14:paraId="1E606D01" w14:textId="25913413">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D36594" w:rsidR="00D36594">
        <w:t>FERC-921</w:t>
      </w:r>
      <w:r w:rsidR="000046A7">
        <w:t xml:space="preserve">, OMB Control No. 1902-0257, </w:t>
      </w:r>
      <w:r w:rsidRPr="00D36594" w:rsidR="00D36594">
        <w:t>Ongoing Electronic Delivery of Data from Regional Transmission Organization and Independent System Operators</w:t>
      </w:r>
      <w:r w:rsidR="00D36594">
        <w:t>.</w:t>
      </w:r>
    </w:p>
    <w:p w:rsidR="00A2604E" w:rsidP="00A2604E" w14:paraId="744289EA" w14:textId="27C0F44E">
      <w:pPr>
        <w:spacing w:line="480" w:lineRule="auto"/>
      </w:pPr>
      <w:r w:rsidRPr="00CE64F2">
        <w:rPr>
          <w:b/>
        </w:rPr>
        <w:t>DATES:</w:t>
      </w:r>
      <w:r>
        <w:t xml:space="preserve">  Comments on the collection of information are due [</w:t>
      </w:r>
      <w:r w:rsidR="008017C6">
        <w:rPr>
          <w:b/>
        </w:rPr>
        <w:t>I</w:t>
      </w:r>
      <w:r w:rsidRPr="006825C4">
        <w:rPr>
          <w:b/>
        </w:rPr>
        <w:t xml:space="preserve">nsert date 60 days after </w:t>
      </w:r>
      <w:r w:rsidRPr="006825C4" w:rsidR="00CA6D76">
        <w:rPr>
          <w:b/>
        </w:rPr>
        <w:t xml:space="preserve">date of </w:t>
      </w:r>
      <w:r w:rsidRPr="006825C4">
        <w:rPr>
          <w:b/>
        </w:rPr>
        <w:t>publication in the Federal Register</w:t>
      </w:r>
      <w:r>
        <w:t xml:space="preserve">]. </w:t>
      </w:r>
    </w:p>
    <w:p w:rsidR="00A2604E" w:rsidP="00A2604E" w14:paraId="37B1CBF2" w14:textId="1981DB48">
      <w:pPr>
        <w:spacing w:line="480" w:lineRule="auto"/>
      </w:pPr>
      <w:r w:rsidRPr="00AC750B">
        <w:rPr>
          <w:b/>
        </w:rPr>
        <w:t>ADDRESSES:</w:t>
      </w:r>
      <w:r w:rsidRPr="00AC750B">
        <w:t xml:space="preserve">  You may submit comments (identified </w:t>
      </w:r>
      <w:r w:rsidRPr="00DA19FA">
        <w:t xml:space="preserve">by Docket No. </w:t>
      </w:r>
      <w:r w:rsidRPr="00DA19FA" w:rsidR="00DA19FA">
        <w:t>IC</w:t>
      </w:r>
      <w:r w:rsidR="00B14722">
        <w:t>24-14-000</w:t>
      </w:r>
      <w:r w:rsidRPr="00DA19FA">
        <w:t>) by</w:t>
      </w:r>
      <w:r>
        <w:t xml:space="preserve"> either of the following methods:</w:t>
      </w:r>
    </w:p>
    <w:p w:rsidR="00BF777B" w:rsidRPr="00BF777B" w:rsidP="00BF777B" w14:paraId="7BFDF16B" w14:textId="1E307D98">
      <w:pPr>
        <w:spacing w:line="480" w:lineRule="auto"/>
      </w:pPr>
      <w:bookmarkStart w:id="0" w:name="OLE_LINK1"/>
      <w:r w:rsidRPr="00BF777B">
        <w:t xml:space="preserve">Electronic filing through </w:t>
      </w:r>
      <w:hyperlink r:id="rId10" w:history="1">
        <w:r w:rsidRPr="00BF777B">
          <w:rPr>
            <w:rStyle w:val="Hyperlink"/>
          </w:rPr>
          <w:t>http://www.ferc.gov</w:t>
        </w:r>
      </w:hyperlink>
      <w:r w:rsidRPr="00BF777B">
        <w:t xml:space="preserve"> is preferred.</w:t>
      </w:r>
    </w:p>
    <w:p w:rsidR="00BF777B" w:rsidRPr="00BF777B" w:rsidP="00BF777B" w14:paraId="58238BE2" w14:textId="77777777">
      <w:pPr>
        <w:numPr>
          <w:ilvl w:val="0"/>
          <w:numId w:val="3"/>
        </w:numPr>
        <w:spacing w:line="480" w:lineRule="auto"/>
      </w:pPr>
      <w:r w:rsidRPr="00BF777B">
        <w:t xml:space="preserve">Electronic Filing: Documents must be filed in acceptable native applications and print-to-PDF, but not in scanned or picture format. </w:t>
      </w:r>
    </w:p>
    <w:p w:rsidR="00BF777B" w:rsidP="00BF777B" w14:paraId="66BA3A3C" w14:textId="3F6F1C86">
      <w:pPr>
        <w:numPr>
          <w:ilvl w:val="0"/>
          <w:numId w:val="3"/>
        </w:numPr>
        <w:spacing w:line="480" w:lineRule="auto"/>
      </w:pPr>
      <w:r w:rsidRPr="00BF777B">
        <w:t>For those unable to file electronically, comments may be filed by USPS mail or by hand (including courier) delivery:</w:t>
      </w:r>
    </w:p>
    <w:p w:rsidR="00BF777B" w:rsidRPr="00466D3F" w:rsidP="00BF777B" w14:paraId="7BB36CC5" w14:textId="77777777">
      <w:pPr>
        <w:numPr>
          <w:ilvl w:val="1"/>
          <w:numId w:val="3"/>
        </w:numPr>
        <w:spacing w:line="480" w:lineRule="auto"/>
      </w:pPr>
      <w:r w:rsidRPr="00466D3F">
        <w:t>Mail via U.S. Postal Service Only: Addressed to: Federal Energy Regulatory Commission, Secretary of the Commission, 888 First Street, N.E., Washington, DC 20426.</w:t>
      </w:r>
    </w:p>
    <w:p w:rsidR="00BF777B" w:rsidRPr="00466D3F" w:rsidP="00BF777B" w14:paraId="2D60A90B" w14:textId="798E2558">
      <w:pPr>
        <w:numPr>
          <w:ilvl w:val="1"/>
          <w:numId w:val="3"/>
        </w:numPr>
        <w:spacing w:line="480" w:lineRule="auto"/>
        <w:contextualSpacing/>
      </w:pPr>
      <w:r w:rsidRPr="00466D3F">
        <w:t xml:space="preserve">Hand (including courier) delivery: </w:t>
      </w:r>
      <w:r>
        <w:t xml:space="preserve">Deliver to: </w:t>
      </w:r>
      <w:r w:rsidRPr="00466D3F">
        <w:t>Federal Energy Regulatory Commission, 12225 Wilkins Avenue, Rockville, MD 20852.</w:t>
      </w:r>
    </w:p>
    <w:bookmarkEnd w:id="0"/>
    <w:p w:rsidR="00BF777B" w:rsidRPr="00466D3F" w:rsidP="00BF777B" w14:paraId="3B62C34F" w14:textId="6133B1D4">
      <w:pPr>
        <w:spacing w:line="480" w:lineRule="auto"/>
      </w:pPr>
      <w:r w:rsidRPr="00466D3F">
        <w:rPr>
          <w:i/>
        </w:rPr>
        <w:t xml:space="preserve">Instructions: </w:t>
      </w:r>
      <w:r w:rsidRPr="00466D3F">
        <w:t>All submissions must be formatted and filed in accordance with submission guidelines at:</w:t>
      </w:r>
      <w:r w:rsidR="00F8287A">
        <w:t xml:space="preserve">  </w:t>
      </w:r>
      <w:r>
        <w:fldChar w:fldCharType="begin"/>
      </w:r>
      <w:r w:rsidRPr="00B81048" w:rsidR="00B81048">
        <w:rPr>
          <w:rStyle w:val="Hyperlink"/>
        </w:rPr>
        <w:instrText xml:space="preserve"> HYPERLINK "https://www.ferc.gov/ferc-online/overview" </w:instrText>
      </w:r>
      <w:r>
        <w:fldChar w:fldCharType="separate"/>
      </w:r>
      <w:r w:rsidRPr="00B81048" w:rsidR="00B81048">
        <w:rPr>
          <w:rStyle w:val="Hyperlink"/>
        </w:rPr>
        <w:t>https://www.ferc.gov/ferc-online/overview</w:t>
      </w:r>
      <w:r>
        <w:fldChar w:fldCharType="end"/>
      </w:r>
      <w:r w:rsidRPr="00466D3F">
        <w:t>. For user assistance, contact FERC Online Support by e-mail at ferconlinesupport@ferc.gov, or by phone at (866) 208-3676 (toll-free).</w:t>
      </w:r>
    </w:p>
    <w:p w:rsidR="00BF777B" w:rsidRPr="00466D3F" w:rsidP="00BF777B" w14:paraId="56EB7913" w14:textId="309E5B0B">
      <w:pPr>
        <w:spacing w:line="480" w:lineRule="auto"/>
      </w:pPr>
      <w:r w:rsidRPr="00466D3F">
        <w:rPr>
          <w:i/>
        </w:rPr>
        <w:t>Docket:</w:t>
      </w:r>
      <w:r w:rsidRPr="00466D3F">
        <w:t xml:space="preserve"> Users interested in receiving automatic notification of activity in this docket or in viewing/downloading comments and issuances in this docket may do so at </w:t>
      </w:r>
      <w:hyperlink r:id="rId11" w:history="1">
        <w:r w:rsidRPr="006A1B46" w:rsidR="006A1B46">
          <w:rPr>
            <w:rStyle w:val="Hyperlink"/>
          </w:rPr>
          <w:t>https://www.ferc.gov/ferc-online/overview</w:t>
        </w:r>
      </w:hyperlink>
      <w:r w:rsidRPr="00466D3F">
        <w:t xml:space="preserve">. </w:t>
      </w:r>
    </w:p>
    <w:p w:rsidR="00BF777B" w:rsidP="00BF777B" w14:paraId="2290C3C4" w14:textId="3C29DA24">
      <w:pPr>
        <w:spacing w:line="480" w:lineRule="auto"/>
        <w:rPr>
          <w:szCs w:val="26"/>
        </w:rPr>
      </w:pPr>
      <w:r w:rsidRPr="00466D3F">
        <w:rPr>
          <w:b/>
          <w:szCs w:val="26"/>
        </w:rPr>
        <w:t>FOR FURTHER INFORMATION:</w:t>
      </w:r>
      <w:r w:rsidRPr="00466D3F">
        <w:rPr>
          <w:szCs w:val="26"/>
        </w:rPr>
        <w:t xml:space="preserve">  </w:t>
      </w:r>
      <w:r w:rsidR="00B14722">
        <w:rPr>
          <w:szCs w:val="26"/>
        </w:rPr>
        <w:t>Jean Sonneman</w:t>
      </w:r>
      <w:r w:rsidRPr="00466D3F">
        <w:rPr>
          <w:szCs w:val="26"/>
        </w:rPr>
        <w:t xml:space="preserve"> may be reached by e-mail at </w:t>
      </w:r>
      <w:hyperlink r:id="rId12" w:history="1">
        <w:r w:rsidRPr="00466D3F">
          <w:rPr>
            <w:color w:val="0000FF"/>
            <w:u w:val="single"/>
          </w:rPr>
          <w:t>DataClearance@FERC.gov</w:t>
        </w:r>
      </w:hyperlink>
      <w:r w:rsidRPr="00466D3F">
        <w:rPr>
          <w:szCs w:val="26"/>
        </w:rPr>
        <w:t>, telephone at (202) 502-</w:t>
      </w:r>
      <w:r w:rsidR="00B14722">
        <w:rPr>
          <w:szCs w:val="26"/>
        </w:rPr>
        <w:t>6362.</w:t>
      </w:r>
    </w:p>
    <w:p w:rsidR="00A2604E" w:rsidRPr="00853ABC" w:rsidP="00C1124F" w14:paraId="1EFC842C" w14:textId="77777777">
      <w:pPr>
        <w:tabs>
          <w:tab w:val="left" w:pos="7880"/>
        </w:tabs>
        <w:spacing w:line="480" w:lineRule="auto"/>
      </w:pPr>
      <w:r>
        <w:t xml:space="preserve"> </w:t>
      </w:r>
      <w:r w:rsidRPr="001C3703">
        <w:rPr>
          <w:b/>
        </w:rPr>
        <w:t>SUPPLEMENTARY INFORMATION:</w:t>
      </w:r>
      <w:r>
        <w:t xml:space="preserve">  </w:t>
      </w:r>
    </w:p>
    <w:p w:rsidR="00B01B16" w:rsidP="00B01B16" w14:paraId="58675FAE" w14:textId="344A6DBF">
      <w:pPr>
        <w:spacing w:line="480" w:lineRule="auto"/>
        <w:rPr>
          <w:i/>
        </w:rPr>
      </w:pPr>
      <w:r>
        <w:rPr>
          <w:i/>
        </w:rPr>
        <w:t xml:space="preserve">Title: </w:t>
      </w:r>
      <w:r w:rsidRPr="006765C9" w:rsidR="006765C9">
        <w:t>FERC-921</w:t>
      </w:r>
      <w:r w:rsidR="006765C9">
        <w:t>,</w:t>
      </w:r>
      <w:r w:rsidRPr="006765C9" w:rsidR="006765C9">
        <w:t xml:space="preserve"> Ongoing Electronic Delivery of Data from Regional Transmission Organization a</w:t>
      </w:r>
      <w:r w:rsidR="006765C9">
        <w:t>nd Independent System Operators</w:t>
      </w:r>
      <w:r w:rsidR="00285DE1">
        <w:t>.</w:t>
      </w:r>
    </w:p>
    <w:p w:rsidR="00B01B16" w:rsidP="00B01B16" w14:paraId="10CE6BEF" w14:textId="3EA0DB68">
      <w:pPr>
        <w:spacing w:line="480" w:lineRule="auto"/>
      </w:pPr>
      <w:r>
        <w:rPr>
          <w:i/>
        </w:rPr>
        <w:t>OMB Control No.:</w:t>
      </w:r>
      <w:r w:rsidRPr="00F50EDA">
        <w:t xml:space="preserve"> </w:t>
      </w:r>
      <w:r w:rsidRPr="006765C9" w:rsidR="006765C9">
        <w:t>1902-0257</w:t>
      </w:r>
      <w:r w:rsidR="00285DE1">
        <w:t>.</w:t>
      </w:r>
    </w:p>
    <w:p w:rsidR="00B01B16" w:rsidRPr="00B5364C" w:rsidP="00B01B16" w14:paraId="5A0F5B82" w14:textId="77777777">
      <w:pPr>
        <w:spacing w:line="480" w:lineRule="auto"/>
      </w:pPr>
      <w:r>
        <w:rPr>
          <w:i/>
        </w:rPr>
        <w:t>Type of Request:</w:t>
      </w:r>
      <w:r>
        <w:t xml:space="preserve"> Three-year extension of the FERC-</w:t>
      </w:r>
      <w:r w:rsidR="006765C9">
        <w:t>921</w:t>
      </w:r>
      <w:r>
        <w:t xml:space="preserve"> information collection requirements with no changes to the current reporting requirements. </w:t>
      </w:r>
    </w:p>
    <w:p w:rsidR="0061661C" w:rsidP="006765C9" w14:paraId="1A366019" w14:textId="1C38090D">
      <w:pPr>
        <w:spacing w:line="480" w:lineRule="auto"/>
        <w:rPr>
          <w:bCs/>
        </w:rPr>
      </w:pPr>
      <w:r>
        <w:rPr>
          <w:i/>
        </w:rPr>
        <w:t xml:space="preserve">Abstract: </w:t>
      </w:r>
      <w:r w:rsidRPr="006765C9" w:rsidR="006765C9">
        <w:rPr>
          <w:bCs/>
        </w:rPr>
        <w:t>The collection of data in FERC-921 is an effort by the Commission</w:t>
      </w:r>
      <w:r w:rsidR="001E551A">
        <w:rPr>
          <w:bCs/>
        </w:rPr>
        <w:t>, implemented under Order No. 760</w:t>
      </w:r>
      <w:r w:rsidR="007F2B70">
        <w:rPr>
          <w:bCs/>
        </w:rPr>
        <w:t>,</w:t>
      </w:r>
      <w:r>
        <w:rPr>
          <w:rStyle w:val="FootnoteReference"/>
          <w:bCs/>
        </w:rPr>
        <w:footnoteReference w:id="2"/>
      </w:r>
      <w:r w:rsidRPr="006765C9" w:rsidR="006765C9">
        <w:rPr>
          <w:bCs/>
        </w:rPr>
        <w:t xml:space="preserve"> to detect potential anti-competitive or manipulative behavior or ineffective market rules by requiring Regional Transmission Organizations (RTO) and Independent System Operators (ISO) to electronically submit, on a continuous basis, data relating to physical and virtual offers and bids, market awards, resource outputs, marginal cost estimates, shift factors, financial transmission rights, internal bilateral contracts, uplift, and interchange pricing.  </w:t>
      </w:r>
      <w:r w:rsidR="003A16E3">
        <w:rPr>
          <w:bCs/>
        </w:rPr>
        <w:t xml:space="preserve">Although provision was made </w:t>
      </w:r>
      <w:r w:rsidR="00D66C92">
        <w:rPr>
          <w:bCs/>
        </w:rPr>
        <w:t xml:space="preserve">by the Commission </w:t>
      </w:r>
      <w:r w:rsidR="00A455E0">
        <w:rPr>
          <w:bCs/>
        </w:rPr>
        <w:t>that market monitoring units</w:t>
      </w:r>
      <w:r w:rsidR="00CF71C7">
        <w:rPr>
          <w:bCs/>
        </w:rPr>
        <w:t xml:space="preserve"> (MMUs)</w:t>
      </w:r>
      <w:r w:rsidR="00A455E0">
        <w:rPr>
          <w:bCs/>
        </w:rPr>
        <w:t xml:space="preserve"> may provide datasets</w:t>
      </w:r>
      <w:r w:rsidR="00CF71C7">
        <w:rPr>
          <w:bCs/>
        </w:rPr>
        <w:t xml:space="preserve">, </w:t>
      </w:r>
      <w:r w:rsidR="00A637C6">
        <w:rPr>
          <w:bCs/>
        </w:rPr>
        <w:t>a</w:t>
      </w:r>
      <w:r w:rsidR="009D7120">
        <w:rPr>
          <w:bCs/>
        </w:rPr>
        <w:t>ll data</w:t>
      </w:r>
      <w:r w:rsidR="00F53B91">
        <w:rPr>
          <w:bCs/>
        </w:rPr>
        <w:t xml:space="preserve"> for this collection</w:t>
      </w:r>
      <w:r w:rsidR="009D7120">
        <w:rPr>
          <w:bCs/>
        </w:rPr>
        <w:t xml:space="preserve"> </w:t>
      </w:r>
      <w:r w:rsidR="00F53B91">
        <w:rPr>
          <w:bCs/>
        </w:rPr>
        <w:t>has (and is expected to continue to) c</w:t>
      </w:r>
      <w:r w:rsidR="009D7120">
        <w:rPr>
          <w:bCs/>
        </w:rPr>
        <w:t xml:space="preserve">ome from </w:t>
      </w:r>
      <w:r w:rsidR="000B1CE7">
        <w:rPr>
          <w:bCs/>
        </w:rPr>
        <w:t>each</w:t>
      </w:r>
      <w:r w:rsidR="009D7120">
        <w:rPr>
          <w:bCs/>
        </w:rPr>
        <w:t xml:space="preserve"> RTO</w:t>
      </w:r>
      <w:r w:rsidR="000B1CE7">
        <w:rPr>
          <w:bCs/>
        </w:rPr>
        <w:t xml:space="preserve"> or</w:t>
      </w:r>
      <w:r w:rsidR="00BF777B">
        <w:rPr>
          <w:bCs/>
        </w:rPr>
        <w:t xml:space="preserve"> </w:t>
      </w:r>
      <w:r w:rsidR="009D7120">
        <w:rPr>
          <w:bCs/>
        </w:rPr>
        <w:t>ISO and not the MMUs. Therefore, a</w:t>
      </w:r>
      <w:r w:rsidRPr="006765C9" w:rsidR="006765C9">
        <w:rPr>
          <w:bCs/>
        </w:rPr>
        <w:t xml:space="preserve">ny </w:t>
      </w:r>
      <w:r w:rsidR="000B1CE7">
        <w:rPr>
          <w:bCs/>
        </w:rPr>
        <w:t xml:space="preserve">associated burden is </w:t>
      </w:r>
      <w:r w:rsidRPr="006765C9" w:rsidR="006765C9">
        <w:rPr>
          <w:bCs/>
        </w:rPr>
        <w:t xml:space="preserve">counted as </w:t>
      </w:r>
      <w:r w:rsidR="00D05445">
        <w:rPr>
          <w:bCs/>
        </w:rPr>
        <w:t xml:space="preserve">a </w:t>
      </w:r>
      <w:r w:rsidRPr="006765C9" w:rsidR="006765C9">
        <w:rPr>
          <w:bCs/>
        </w:rPr>
        <w:t xml:space="preserve">burden </w:t>
      </w:r>
      <w:r w:rsidR="00F53B91">
        <w:rPr>
          <w:bCs/>
        </w:rPr>
        <w:t xml:space="preserve">on </w:t>
      </w:r>
      <w:r w:rsidRPr="006765C9" w:rsidR="006765C9">
        <w:rPr>
          <w:bCs/>
        </w:rPr>
        <w:t>RTO</w:t>
      </w:r>
      <w:r w:rsidR="009E47A1">
        <w:rPr>
          <w:bCs/>
        </w:rPr>
        <w:t>s</w:t>
      </w:r>
      <w:r w:rsidR="000B1CE7">
        <w:rPr>
          <w:bCs/>
        </w:rPr>
        <w:t xml:space="preserve"> and</w:t>
      </w:r>
      <w:r w:rsidR="00BF777B">
        <w:rPr>
          <w:bCs/>
        </w:rPr>
        <w:t xml:space="preserve"> </w:t>
      </w:r>
      <w:r w:rsidRPr="006765C9" w:rsidR="006765C9">
        <w:rPr>
          <w:bCs/>
        </w:rPr>
        <w:t>ISO</w:t>
      </w:r>
      <w:r w:rsidR="009E47A1">
        <w:rPr>
          <w:bCs/>
        </w:rPr>
        <w:t>s</w:t>
      </w:r>
      <w:r w:rsidRPr="006765C9" w:rsidR="006765C9">
        <w:rPr>
          <w:bCs/>
        </w:rPr>
        <w:t>.</w:t>
      </w:r>
      <w:r w:rsidR="009D7120">
        <w:rPr>
          <w:bCs/>
        </w:rPr>
        <w:t xml:space="preserve"> </w:t>
      </w:r>
    </w:p>
    <w:p w:rsidR="0061661C" w:rsidRPr="000D1CEC" w:rsidP="000D1CEC" w14:paraId="331158B4" w14:textId="2340A60E">
      <w:pPr>
        <w:spacing w:line="480" w:lineRule="auto"/>
        <w:rPr>
          <w:iCs/>
        </w:rPr>
      </w:pPr>
      <w:r>
        <w:rPr>
          <w:bCs/>
        </w:rPr>
        <w:t xml:space="preserve">While the ongoing delivery of data </w:t>
      </w:r>
      <w:r w:rsidR="0028375E">
        <w:rPr>
          <w:bCs/>
        </w:rPr>
        <w:t>under FERC-921 is continuous and routine, e</w:t>
      </w:r>
      <w:r>
        <w:rPr>
          <w:bCs/>
        </w:rPr>
        <w:t>ach</w:t>
      </w:r>
      <w:r w:rsidR="000B1CE7">
        <w:rPr>
          <w:bCs/>
        </w:rPr>
        <w:t xml:space="preserve"> RTO or </w:t>
      </w:r>
      <w:r>
        <w:rPr>
          <w:bCs/>
        </w:rPr>
        <w:t xml:space="preserve">ISO </w:t>
      </w:r>
      <w:r w:rsidR="00860A08">
        <w:rPr>
          <w:bCs/>
        </w:rPr>
        <w:t>make</w:t>
      </w:r>
      <w:r w:rsidR="004F7F7A">
        <w:rPr>
          <w:bCs/>
        </w:rPr>
        <w:t>s</w:t>
      </w:r>
      <w:r>
        <w:rPr>
          <w:bCs/>
        </w:rPr>
        <w:t xml:space="preserve"> </w:t>
      </w:r>
      <w:r w:rsidR="00BD4D03">
        <w:rPr>
          <w:bCs/>
        </w:rPr>
        <w:t xml:space="preserve">sporadic </w:t>
      </w:r>
      <w:r>
        <w:rPr>
          <w:bCs/>
        </w:rPr>
        <w:t xml:space="preserve">changes to </w:t>
      </w:r>
      <w:r w:rsidR="00BD4D03">
        <w:rPr>
          <w:bCs/>
        </w:rPr>
        <w:t>its</w:t>
      </w:r>
      <w:r>
        <w:rPr>
          <w:bCs/>
        </w:rPr>
        <w:t xml:space="preserve"> individual market </w:t>
      </w:r>
      <w:r w:rsidR="00A1074A">
        <w:rPr>
          <w:bCs/>
        </w:rPr>
        <w:t>with Commission approval</w:t>
      </w:r>
      <w:r>
        <w:rPr>
          <w:bCs/>
        </w:rPr>
        <w:t>.</w:t>
      </w:r>
      <w:r w:rsidR="00860A08">
        <w:rPr>
          <w:bCs/>
        </w:rPr>
        <w:t xml:space="preserve"> </w:t>
      </w:r>
      <w:r w:rsidR="00BD4D03">
        <w:rPr>
          <w:bCs/>
        </w:rPr>
        <w:t xml:space="preserve">When those changes occur, </w:t>
      </w:r>
      <w:r w:rsidR="00E87FD8">
        <w:rPr>
          <w:bCs/>
        </w:rPr>
        <w:t xml:space="preserve">the </w:t>
      </w:r>
      <w:r w:rsidR="000B1CE7">
        <w:rPr>
          <w:bCs/>
        </w:rPr>
        <w:t xml:space="preserve">RTO or </w:t>
      </w:r>
      <w:r w:rsidR="00860A08">
        <w:rPr>
          <w:bCs/>
        </w:rPr>
        <w:t xml:space="preserve">ISO may </w:t>
      </w:r>
      <w:r w:rsidR="00E87FD8">
        <w:rPr>
          <w:bCs/>
        </w:rPr>
        <w:t xml:space="preserve">need to </w:t>
      </w:r>
      <w:r w:rsidR="00860A08">
        <w:rPr>
          <w:bCs/>
        </w:rPr>
        <w:t xml:space="preserve">change the data being </w:t>
      </w:r>
      <w:r w:rsidR="00FC5AF0">
        <w:rPr>
          <w:bCs/>
        </w:rPr>
        <w:t xml:space="preserve">routinely </w:t>
      </w:r>
      <w:r w:rsidR="00860A08">
        <w:rPr>
          <w:bCs/>
        </w:rPr>
        <w:t>sent to the Commission to ensure compliance with Order No. 760.</w:t>
      </w:r>
      <w:r w:rsidR="00A1074A">
        <w:rPr>
          <w:bCs/>
        </w:rPr>
        <w:t xml:space="preserve"> Such c</w:t>
      </w:r>
      <w:r w:rsidR="00860A08">
        <w:rPr>
          <w:bCs/>
        </w:rPr>
        <w:t>hanges typically</w:t>
      </w:r>
      <w:r w:rsidR="00A1074A">
        <w:rPr>
          <w:bCs/>
        </w:rPr>
        <w:t xml:space="preserve"> re</w:t>
      </w:r>
      <w:r w:rsidR="00860A08">
        <w:rPr>
          <w:bCs/>
        </w:rPr>
        <w:t>quire respondents to alter the</w:t>
      </w:r>
      <w:r w:rsidR="00A1074A">
        <w:rPr>
          <w:bCs/>
        </w:rPr>
        <w:t xml:space="preserve"> ongoing delivery of data under FERC-921</w:t>
      </w:r>
      <w:r w:rsidR="00860A08">
        <w:rPr>
          <w:bCs/>
        </w:rPr>
        <w:t xml:space="preserve">. </w:t>
      </w:r>
    </w:p>
    <w:p w:rsidR="00A905FB" w:rsidP="006765C9" w14:paraId="112D9D7E" w14:textId="03FAEC6B">
      <w:pPr>
        <w:spacing w:line="480" w:lineRule="auto"/>
        <w:rPr>
          <w:bCs/>
        </w:rPr>
      </w:pPr>
      <w:r w:rsidRPr="003836FC">
        <w:rPr>
          <w:bCs/>
          <w:i/>
          <w:iCs/>
        </w:rPr>
        <w:t>Type of Respondent:</w:t>
      </w:r>
      <w:r w:rsidRPr="006765C9">
        <w:rPr>
          <w:bCs/>
        </w:rPr>
        <w:t xml:space="preserve"> </w:t>
      </w:r>
      <w:r w:rsidRPr="006765C9" w:rsidR="006251CA">
        <w:rPr>
          <w:bCs/>
        </w:rPr>
        <w:t>Regional Transmission Organizations (RTO</w:t>
      </w:r>
      <w:r w:rsidR="007B32C3">
        <w:rPr>
          <w:bCs/>
        </w:rPr>
        <w:t>s</w:t>
      </w:r>
      <w:r w:rsidRPr="006765C9" w:rsidR="006251CA">
        <w:rPr>
          <w:bCs/>
        </w:rPr>
        <w:t>) and Independent System Operators (ISO</w:t>
      </w:r>
      <w:r w:rsidR="007B32C3">
        <w:rPr>
          <w:bCs/>
        </w:rPr>
        <w:t>s</w:t>
      </w:r>
      <w:r w:rsidRPr="006765C9" w:rsidR="006251CA">
        <w:rPr>
          <w:bCs/>
        </w:rPr>
        <w:t>)</w:t>
      </w:r>
      <w:r w:rsidR="006251CA">
        <w:rPr>
          <w:bCs/>
        </w:rPr>
        <w:t>.</w:t>
      </w:r>
    </w:p>
    <w:p w:rsidR="009D4631" w:rsidP="00FB4C6F" w14:paraId="1A2B8BB0" w14:textId="22F04DEE">
      <w:pPr>
        <w:spacing w:line="480" w:lineRule="auto"/>
      </w:pPr>
      <w:r w:rsidRPr="00FB4C6F">
        <w:rPr>
          <w:i/>
          <w:iCs/>
        </w:rPr>
        <w:t>Estimate of Annual Burden</w:t>
      </w:r>
      <w:r w:rsidR="00D84037">
        <w:rPr>
          <w:i/>
          <w:iCs/>
        </w:rPr>
        <w:t>:</w:t>
      </w:r>
      <w:r>
        <w:rPr>
          <w:rStyle w:val="FootnoteReference"/>
          <w:iCs/>
        </w:rPr>
        <w:footnoteReference w:id="3"/>
      </w:r>
      <w:r w:rsidRPr="00FB4C6F">
        <w:rPr>
          <w:i/>
          <w:iCs/>
        </w:rPr>
        <w:t xml:space="preserve"> </w:t>
      </w:r>
      <w:r>
        <w:t xml:space="preserve">The Commission estimates the total </w:t>
      </w:r>
      <w:r w:rsidR="00EA689F">
        <w:t>annual b</w:t>
      </w:r>
      <w:r>
        <w:t xml:space="preserve">urden </w:t>
      </w:r>
      <w:r w:rsidR="00EA689F">
        <w:t xml:space="preserve">and cost </w:t>
      </w:r>
      <w:r>
        <w:t xml:space="preserve">for this information collection </w:t>
      </w:r>
      <w:r w:rsidR="00B2218D">
        <w:t xml:space="preserve">by calculating </w:t>
      </w:r>
      <w:r w:rsidR="007026FA">
        <w:t xml:space="preserve">the total hourly cost (including both </w:t>
      </w:r>
      <w:r w:rsidR="007F2956">
        <w:t>mean wages and benefits) of three occupations and then by multiplying th</w:t>
      </w:r>
      <w:r w:rsidR="003E1E05">
        <w:t xml:space="preserve">at total hourly cost by the number of hours </w:t>
      </w:r>
      <w:r>
        <w:t xml:space="preserve">needed for each </w:t>
      </w:r>
      <w:r w:rsidR="007B32C3">
        <w:t>response</w:t>
      </w:r>
      <w:r w:rsidR="006D0FCC">
        <w:t>.</w:t>
      </w:r>
    </w:p>
    <w:p w:rsidR="006B431C" w:rsidRPr="006B431C" w:rsidP="006B431C" w14:paraId="00C7FC35" w14:textId="0AE74A12">
      <w:pPr>
        <w:spacing w:line="480" w:lineRule="auto"/>
      </w:pPr>
      <w:r w:rsidRPr="0091214F">
        <w:t xml:space="preserve">The </w:t>
      </w:r>
      <w:r w:rsidR="002511C2">
        <w:t xml:space="preserve">total </w:t>
      </w:r>
      <w:r w:rsidRPr="002511C2" w:rsidR="002511C2">
        <w:t xml:space="preserve">hourly cost applied in </w:t>
      </w:r>
      <w:r w:rsidR="006D0FCC">
        <w:t xml:space="preserve">this calculation </w:t>
      </w:r>
      <w:r w:rsidRPr="002511C2" w:rsidR="002511C2">
        <w:t xml:space="preserve">is </w:t>
      </w:r>
      <w:r w:rsidR="00BF5FB3">
        <w:t>$</w:t>
      </w:r>
      <w:r w:rsidR="00FB6C6C">
        <w:t>88.03</w:t>
      </w:r>
      <w:r w:rsidRPr="002511C2" w:rsidR="002511C2">
        <w:t xml:space="preserve">, calculated as the sum of </w:t>
      </w:r>
      <w:r w:rsidR="006C6AC7">
        <w:t xml:space="preserve">weighted </w:t>
      </w:r>
      <w:r w:rsidRPr="002511C2" w:rsidR="002511C2">
        <w:t xml:space="preserve">mean hourly wages and benefits of the </w:t>
      </w:r>
      <w:r w:rsidR="00902780">
        <w:t xml:space="preserve">following </w:t>
      </w:r>
      <w:r w:rsidRPr="002511C2" w:rsidR="002511C2">
        <w:t>occupations:</w:t>
      </w:r>
      <w:r>
        <w:rPr>
          <w:rStyle w:val="FootnoteReference"/>
        </w:rPr>
        <w:footnoteReference w:id="4"/>
      </w:r>
    </w:p>
    <w:p w:rsidR="006B431C" w:rsidRPr="006B431C" w:rsidP="006B431C" w14:paraId="132334A1" w14:textId="77EA55E2">
      <w:pPr>
        <w:numPr>
          <w:ilvl w:val="0"/>
          <w:numId w:val="6"/>
        </w:numPr>
        <w:spacing w:line="480" w:lineRule="auto"/>
      </w:pPr>
      <w:r w:rsidRPr="006B431C">
        <w:t>Computer Systems Analysts</w:t>
      </w:r>
      <w:r w:rsidR="00D42618">
        <w:t xml:space="preserve"> (Occupational Code: 15-1211)</w:t>
      </w:r>
      <w:r w:rsidRPr="006B431C">
        <w:t>: $56.57 (base hourly wage) ÷ 70.7% (benefits)= $80.01</w:t>
      </w:r>
      <w:r w:rsidR="00A069C4">
        <w:t xml:space="preserve"> x </w:t>
      </w:r>
      <w:r w:rsidR="004411BF">
        <w:t>75 percent of the time needed for each response</w:t>
      </w:r>
      <w:r w:rsidR="00686E62">
        <w:t xml:space="preserve"> =</w:t>
      </w:r>
      <w:r w:rsidR="00894412">
        <w:t xml:space="preserve"> </w:t>
      </w:r>
      <w:r w:rsidR="00A069C4">
        <w:t>$60.0075</w:t>
      </w:r>
      <w:r w:rsidR="007F5956">
        <w:t>;</w:t>
      </w:r>
    </w:p>
    <w:p w:rsidR="006B431C" w:rsidP="006B431C" w14:paraId="48A6C0E2" w14:textId="623A14CF">
      <w:pPr>
        <w:numPr>
          <w:ilvl w:val="0"/>
          <w:numId w:val="6"/>
        </w:numPr>
        <w:spacing w:line="480" w:lineRule="auto"/>
      </w:pPr>
      <w:r w:rsidRPr="006B431C">
        <w:t>Legal</w:t>
      </w:r>
      <w:r w:rsidR="00D42618">
        <w:t xml:space="preserve"> (Occupational Code: 23-0000</w:t>
      </w:r>
      <w:r w:rsidR="00F523B7">
        <w:t>)</w:t>
      </w:r>
      <w:r w:rsidRPr="006B431C">
        <w:t>: $104.10 (base hourly wage) ÷ 70.7% (benefits)= $147.24</w:t>
      </w:r>
      <w:r w:rsidR="007F5956">
        <w:t xml:space="preserve"> </w:t>
      </w:r>
      <w:r w:rsidR="00686E62">
        <w:t xml:space="preserve">x </w:t>
      </w:r>
      <w:r w:rsidR="007F5956">
        <w:t>12.5 percent of the time needed for each response</w:t>
      </w:r>
      <w:r w:rsidR="00D07607">
        <w:t xml:space="preserve"> = </w:t>
      </w:r>
      <w:r w:rsidR="00CA6F82">
        <w:t>$</w:t>
      </w:r>
      <w:r w:rsidR="00D07607">
        <w:t>18.40</w:t>
      </w:r>
      <w:r w:rsidR="001716FA">
        <w:t>5</w:t>
      </w:r>
      <w:r w:rsidR="007F5956">
        <w:t>; and</w:t>
      </w:r>
    </w:p>
    <w:p w:rsidR="00212EC7" w:rsidP="00C120B6" w14:paraId="3413AB16" w14:textId="23E099FE">
      <w:pPr>
        <w:pStyle w:val="ListParagraph"/>
        <w:numPr>
          <w:ilvl w:val="0"/>
          <w:numId w:val="6"/>
        </w:numPr>
        <w:spacing w:line="480" w:lineRule="auto"/>
      </w:pPr>
      <w:r w:rsidRPr="006B431C">
        <w:t>Database Administrators</w:t>
      </w:r>
      <w:r>
        <w:t xml:space="preserve"> (Occupational Code: 15-1242)</w:t>
      </w:r>
      <w:r w:rsidRPr="006B431C">
        <w:t>: $54.40 (base hourly wage) ÷ 70.7% (benefits)= $76.94</w:t>
      </w:r>
      <w:r>
        <w:t xml:space="preserve"> x 12.5 percent of the time needed for each response = $9.6175.</w:t>
      </w:r>
    </w:p>
    <w:p w:rsidR="00212EC7" w:rsidP="00212EC7" w14:paraId="5F8BAC6E" w14:textId="77777777">
      <w:pPr>
        <w:spacing w:line="480" w:lineRule="auto"/>
      </w:pPr>
    </w:p>
    <w:p w:rsidR="00AD0779" w14:paraId="6A67015A" w14:textId="5605C9A6">
      <w:pPr>
        <w:spacing w:after="160" w:line="259" w:lineRule="auto"/>
        <w:rPr>
          <w:iCs/>
        </w:rPr>
      </w:pPr>
      <w:r>
        <w:rPr>
          <w:iCs/>
        </w:rPr>
        <w:br w:type="page"/>
      </w:r>
    </w:p>
    <w:p w:rsidR="00A8289E" w:rsidRPr="00E64260" w:rsidP="00AE1F12" w14:paraId="3715DBB1" w14:textId="77777777">
      <w:pPr>
        <w:spacing w:line="480" w:lineRule="auto"/>
        <w:rPr>
          <w:iCs/>
        </w:rPr>
      </w:pPr>
    </w:p>
    <w:tbl>
      <w:tblPr>
        <w:tblpPr w:leftFromText="180" w:rightFromText="180" w:horzAnchor="page" w:tblpX="557" w:tblpY="215"/>
        <w:tblW w:w="5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0"/>
        <w:gridCol w:w="1596"/>
        <w:gridCol w:w="1480"/>
        <w:gridCol w:w="1392"/>
        <w:gridCol w:w="1253"/>
        <w:gridCol w:w="1417"/>
        <w:gridCol w:w="2003"/>
      </w:tblGrid>
      <w:tr w14:paraId="636D328F" w14:textId="77777777" w:rsidTr="00D13A4A">
        <w:tblPrEx>
          <w:tblW w:w="5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261"/>
        </w:trPr>
        <w:tc>
          <w:tcPr>
            <w:tcW w:w="652" w:type="pct"/>
            <w:shd w:val="clear" w:color="auto" w:fill="D9D9D9" w:themeFill="background1" w:themeFillShade="D9"/>
            <w:vAlign w:val="bottom"/>
          </w:tcPr>
          <w:p w:rsidR="00AD7C7A" w:rsidRPr="008B201D" w:rsidP="00D13A4A" w14:paraId="0952EE0E" w14:textId="77777777">
            <w:pPr>
              <w:jc w:val="center"/>
              <w:rPr>
                <w:rFonts w:eastAsia="Calibri"/>
                <w:b/>
                <w:sz w:val="22"/>
                <w:szCs w:val="22"/>
              </w:rPr>
            </w:pPr>
          </w:p>
          <w:p w:rsidR="00AD7C7A" w:rsidRPr="008B201D" w:rsidP="00D13A4A" w14:paraId="4D83452F" w14:textId="77777777">
            <w:pPr>
              <w:jc w:val="center"/>
              <w:rPr>
                <w:rFonts w:eastAsia="Calibri"/>
                <w:b/>
                <w:sz w:val="22"/>
                <w:szCs w:val="22"/>
              </w:rPr>
            </w:pPr>
          </w:p>
          <w:p w:rsidR="00AD7C7A" w:rsidRPr="008B201D" w:rsidP="00D13A4A" w14:paraId="4001FB75" w14:textId="77777777">
            <w:pPr>
              <w:jc w:val="center"/>
              <w:rPr>
                <w:rFonts w:eastAsia="Calibri"/>
                <w:b/>
                <w:sz w:val="22"/>
                <w:szCs w:val="22"/>
              </w:rPr>
            </w:pPr>
          </w:p>
          <w:p w:rsidR="00AD7C7A" w:rsidRPr="008B201D" w:rsidP="00D13A4A" w14:paraId="27189A1D" w14:textId="77777777">
            <w:pPr>
              <w:jc w:val="center"/>
              <w:rPr>
                <w:rFonts w:eastAsia="Calibri"/>
                <w:b/>
                <w:sz w:val="22"/>
                <w:szCs w:val="22"/>
              </w:rPr>
            </w:pPr>
          </w:p>
          <w:p w:rsidR="00AD7C7A" w:rsidRPr="008B201D" w:rsidP="00D13A4A" w14:paraId="75DCFF82" w14:textId="77777777">
            <w:pPr>
              <w:jc w:val="center"/>
              <w:rPr>
                <w:rFonts w:eastAsia="Calibri"/>
                <w:b/>
                <w:sz w:val="22"/>
                <w:szCs w:val="22"/>
              </w:rPr>
            </w:pPr>
          </w:p>
          <w:p w:rsidR="00AD7C7A" w:rsidRPr="008B201D" w:rsidP="00D13A4A" w14:paraId="3A43082D" w14:textId="77777777">
            <w:pPr>
              <w:jc w:val="center"/>
              <w:rPr>
                <w:rFonts w:eastAsia="Calibri"/>
                <w:b/>
                <w:sz w:val="22"/>
                <w:szCs w:val="22"/>
              </w:rPr>
            </w:pPr>
            <w:r w:rsidRPr="008B201D">
              <w:rPr>
                <w:rFonts w:eastAsia="Calibri"/>
                <w:b/>
                <w:sz w:val="22"/>
                <w:szCs w:val="22"/>
              </w:rPr>
              <w:t>Category</w:t>
            </w:r>
          </w:p>
        </w:tc>
        <w:tc>
          <w:tcPr>
            <w:tcW w:w="759" w:type="pct"/>
            <w:shd w:val="clear" w:color="auto" w:fill="D9D9D9" w:themeFill="background1" w:themeFillShade="D9"/>
            <w:vAlign w:val="bottom"/>
          </w:tcPr>
          <w:p w:rsidR="00AD7C7A" w:rsidRPr="008B201D" w:rsidP="00B8153E" w14:paraId="389D7A31" w14:textId="77777777">
            <w:pPr>
              <w:jc w:val="center"/>
              <w:rPr>
                <w:rFonts w:eastAsia="Calibri"/>
                <w:b/>
                <w:sz w:val="22"/>
                <w:szCs w:val="22"/>
              </w:rPr>
            </w:pPr>
            <w:r w:rsidRPr="008B201D">
              <w:rPr>
                <w:rFonts w:eastAsia="Calibri"/>
                <w:b/>
                <w:sz w:val="22"/>
                <w:szCs w:val="22"/>
              </w:rPr>
              <w:t>Number of Respondents</w:t>
            </w:r>
          </w:p>
          <w:p w:rsidR="00AD7C7A" w:rsidRPr="008B201D" w:rsidP="00B8153E" w14:paraId="0C658D75" w14:textId="77777777">
            <w:pPr>
              <w:jc w:val="center"/>
              <w:rPr>
                <w:rFonts w:eastAsia="Calibri"/>
                <w:b/>
                <w:sz w:val="22"/>
                <w:szCs w:val="22"/>
              </w:rPr>
            </w:pPr>
            <w:r w:rsidRPr="008B201D">
              <w:rPr>
                <w:rFonts w:eastAsia="Calibri"/>
                <w:b/>
                <w:sz w:val="22"/>
                <w:szCs w:val="22"/>
              </w:rPr>
              <w:t>(1)</w:t>
            </w:r>
          </w:p>
        </w:tc>
        <w:tc>
          <w:tcPr>
            <w:tcW w:w="704" w:type="pct"/>
            <w:shd w:val="clear" w:color="auto" w:fill="D9D9D9" w:themeFill="background1" w:themeFillShade="D9"/>
            <w:vAlign w:val="bottom"/>
          </w:tcPr>
          <w:p w:rsidR="00AD7C7A" w:rsidRPr="008B201D" w:rsidP="00B8153E" w14:paraId="2EF08B4F" w14:textId="77777777">
            <w:pPr>
              <w:jc w:val="center"/>
              <w:rPr>
                <w:rFonts w:eastAsia="Calibri"/>
                <w:b/>
                <w:sz w:val="22"/>
                <w:szCs w:val="22"/>
              </w:rPr>
            </w:pPr>
            <w:r w:rsidRPr="008B201D">
              <w:rPr>
                <w:rFonts w:eastAsia="Calibri"/>
                <w:b/>
                <w:sz w:val="22"/>
                <w:szCs w:val="22"/>
              </w:rPr>
              <w:t>Annual Number of Responses per Respondent</w:t>
            </w:r>
          </w:p>
          <w:p w:rsidR="00AD7C7A" w:rsidRPr="008B201D" w:rsidP="00B8153E" w14:paraId="5D1D2C51" w14:textId="77777777">
            <w:pPr>
              <w:jc w:val="center"/>
              <w:rPr>
                <w:rFonts w:eastAsia="Calibri"/>
                <w:b/>
                <w:sz w:val="22"/>
                <w:szCs w:val="22"/>
              </w:rPr>
            </w:pPr>
            <w:r w:rsidRPr="008B201D">
              <w:rPr>
                <w:rFonts w:eastAsia="Calibri"/>
                <w:b/>
                <w:sz w:val="22"/>
                <w:szCs w:val="22"/>
              </w:rPr>
              <w:t>(2)</w:t>
            </w:r>
          </w:p>
        </w:tc>
        <w:tc>
          <w:tcPr>
            <w:tcW w:w="662" w:type="pct"/>
            <w:shd w:val="clear" w:color="auto" w:fill="D9D9D9" w:themeFill="background1" w:themeFillShade="D9"/>
            <w:vAlign w:val="bottom"/>
          </w:tcPr>
          <w:p w:rsidR="00AD7C7A" w:rsidRPr="008B201D" w:rsidP="00B8153E" w14:paraId="4339F85E" w14:textId="77777777">
            <w:pPr>
              <w:jc w:val="center"/>
              <w:rPr>
                <w:rFonts w:eastAsia="Calibri"/>
                <w:b/>
                <w:sz w:val="22"/>
                <w:szCs w:val="22"/>
              </w:rPr>
            </w:pPr>
            <w:r w:rsidRPr="008B201D">
              <w:rPr>
                <w:rFonts w:eastAsia="Calibri"/>
                <w:b/>
                <w:sz w:val="22"/>
                <w:szCs w:val="22"/>
              </w:rPr>
              <w:t>Total Number of Responses</w:t>
            </w:r>
          </w:p>
          <w:p w:rsidR="00AD7C7A" w:rsidRPr="008B201D" w:rsidP="00B8153E" w14:paraId="21F9F8EE" w14:textId="77777777">
            <w:pPr>
              <w:jc w:val="center"/>
              <w:rPr>
                <w:rFonts w:eastAsia="Calibri"/>
                <w:b/>
                <w:sz w:val="22"/>
                <w:szCs w:val="22"/>
              </w:rPr>
            </w:pPr>
            <w:r w:rsidRPr="008B201D">
              <w:rPr>
                <w:rFonts w:eastAsia="Calibri"/>
                <w:b/>
                <w:sz w:val="22"/>
                <w:szCs w:val="22"/>
              </w:rPr>
              <w:t>(1)*(2)=(3)</w:t>
            </w:r>
          </w:p>
        </w:tc>
        <w:tc>
          <w:tcPr>
            <w:tcW w:w="596" w:type="pct"/>
            <w:shd w:val="clear" w:color="auto" w:fill="D9D9D9" w:themeFill="background1" w:themeFillShade="D9"/>
            <w:vAlign w:val="bottom"/>
          </w:tcPr>
          <w:p w:rsidR="00AD7C7A" w:rsidRPr="008B201D" w:rsidP="00B8153E" w14:paraId="0DCF8094" w14:textId="77777777">
            <w:pPr>
              <w:jc w:val="center"/>
              <w:rPr>
                <w:rFonts w:eastAsia="Calibri"/>
                <w:b/>
                <w:sz w:val="22"/>
                <w:szCs w:val="22"/>
              </w:rPr>
            </w:pPr>
            <w:r w:rsidRPr="008B201D">
              <w:rPr>
                <w:rFonts w:eastAsia="Calibri"/>
                <w:b/>
                <w:sz w:val="22"/>
                <w:szCs w:val="22"/>
              </w:rPr>
              <w:t>Average Burden &amp; Cost Per Response</w:t>
            </w:r>
          </w:p>
          <w:p w:rsidR="00AD7C7A" w:rsidRPr="008B201D" w:rsidP="00B8153E" w14:paraId="6C84777E" w14:textId="77777777">
            <w:pPr>
              <w:jc w:val="center"/>
              <w:rPr>
                <w:rFonts w:eastAsia="Calibri"/>
                <w:b/>
                <w:sz w:val="22"/>
                <w:szCs w:val="22"/>
              </w:rPr>
            </w:pPr>
            <w:r w:rsidRPr="008B201D">
              <w:rPr>
                <w:rFonts w:eastAsia="Calibri"/>
                <w:b/>
                <w:sz w:val="22"/>
                <w:szCs w:val="22"/>
              </w:rPr>
              <w:t>(4)</w:t>
            </w:r>
          </w:p>
        </w:tc>
        <w:tc>
          <w:tcPr>
            <w:tcW w:w="674" w:type="pct"/>
            <w:shd w:val="clear" w:color="auto" w:fill="D9D9D9" w:themeFill="background1" w:themeFillShade="D9"/>
            <w:vAlign w:val="bottom"/>
          </w:tcPr>
          <w:p w:rsidR="00AD7C7A" w:rsidRPr="008B201D" w:rsidP="00B8153E" w14:paraId="30E912C9" w14:textId="77777777">
            <w:pPr>
              <w:jc w:val="center"/>
              <w:rPr>
                <w:rFonts w:eastAsia="Calibri"/>
                <w:b/>
                <w:sz w:val="22"/>
                <w:szCs w:val="22"/>
              </w:rPr>
            </w:pPr>
            <w:r w:rsidRPr="008B201D">
              <w:rPr>
                <w:rFonts w:eastAsia="Calibri"/>
                <w:b/>
                <w:sz w:val="22"/>
                <w:szCs w:val="22"/>
              </w:rPr>
              <w:t>Total Annual Burden Hours &amp; Cost</w:t>
            </w:r>
          </w:p>
          <w:p w:rsidR="00AD7C7A" w:rsidRPr="008B201D" w:rsidP="00B8153E" w14:paraId="78828627" w14:textId="77777777">
            <w:pPr>
              <w:jc w:val="center"/>
              <w:rPr>
                <w:rFonts w:eastAsia="Calibri"/>
                <w:b/>
                <w:sz w:val="22"/>
                <w:szCs w:val="22"/>
              </w:rPr>
            </w:pPr>
            <w:r w:rsidRPr="008B201D">
              <w:rPr>
                <w:rFonts w:eastAsia="Calibri"/>
                <w:b/>
                <w:sz w:val="22"/>
                <w:szCs w:val="22"/>
              </w:rPr>
              <w:t>(3)*(4)=(5)</w:t>
            </w:r>
          </w:p>
        </w:tc>
        <w:tc>
          <w:tcPr>
            <w:tcW w:w="954" w:type="pct"/>
            <w:shd w:val="clear" w:color="auto" w:fill="D9D9D9" w:themeFill="background1" w:themeFillShade="D9"/>
            <w:vAlign w:val="bottom"/>
          </w:tcPr>
          <w:p w:rsidR="00AD7C7A" w:rsidRPr="008B201D" w:rsidP="00B8153E" w14:paraId="42617DE7" w14:textId="77777777">
            <w:pPr>
              <w:jc w:val="center"/>
              <w:rPr>
                <w:rFonts w:eastAsia="Calibri"/>
                <w:b/>
                <w:sz w:val="22"/>
                <w:szCs w:val="22"/>
              </w:rPr>
            </w:pPr>
            <w:r w:rsidRPr="008B201D">
              <w:rPr>
                <w:rFonts w:eastAsia="Calibri"/>
                <w:b/>
                <w:sz w:val="22"/>
                <w:szCs w:val="22"/>
              </w:rPr>
              <w:t>Annual Cost per Respondent ($)</w:t>
            </w:r>
          </w:p>
          <w:p w:rsidR="00AD7C7A" w:rsidRPr="008B201D" w:rsidP="00B8153E" w14:paraId="3127EAF3" w14:textId="77777777">
            <w:pPr>
              <w:jc w:val="center"/>
              <w:rPr>
                <w:rFonts w:eastAsia="Calibri"/>
                <w:b/>
                <w:sz w:val="22"/>
                <w:szCs w:val="22"/>
              </w:rPr>
            </w:pPr>
            <w:r w:rsidRPr="008B201D">
              <w:rPr>
                <w:rFonts w:eastAsia="Calibri"/>
                <w:b/>
                <w:sz w:val="22"/>
                <w:szCs w:val="22"/>
              </w:rPr>
              <w:t>(5)÷(1)</w:t>
            </w:r>
          </w:p>
        </w:tc>
      </w:tr>
      <w:tr w14:paraId="0B464E5B" w14:textId="77777777" w:rsidTr="00E91E31">
        <w:tblPrEx>
          <w:tblW w:w="5621" w:type="pct"/>
          <w:tblLayout w:type="fixed"/>
          <w:tblLook w:val="01E0"/>
        </w:tblPrEx>
        <w:trPr>
          <w:cantSplit/>
          <w:trHeight w:val="1241"/>
        </w:trPr>
        <w:tc>
          <w:tcPr>
            <w:tcW w:w="652" w:type="pct"/>
            <w:vAlign w:val="bottom"/>
          </w:tcPr>
          <w:p w:rsidR="00AD7C7A" w:rsidRPr="00C16999" w:rsidP="00E91E31" w14:paraId="6F398052" w14:textId="510398B4">
            <w:pPr>
              <w:jc w:val="center"/>
              <w:rPr>
                <w:rFonts w:eastAsia="Calibri"/>
                <w:sz w:val="22"/>
                <w:szCs w:val="22"/>
              </w:rPr>
            </w:pPr>
            <w:r w:rsidRPr="00C16999">
              <w:rPr>
                <w:rFonts w:eastAsia="Calibri"/>
                <w:sz w:val="22"/>
                <w:szCs w:val="22"/>
              </w:rPr>
              <w:t xml:space="preserve">Ongoing </w:t>
            </w:r>
            <w:r w:rsidR="001C4528">
              <w:rPr>
                <w:rFonts w:eastAsia="Calibri"/>
                <w:sz w:val="22"/>
                <w:szCs w:val="22"/>
              </w:rPr>
              <w:t>E</w:t>
            </w:r>
            <w:r w:rsidRPr="00C16999">
              <w:rPr>
                <w:rFonts w:eastAsia="Calibri"/>
                <w:sz w:val="22"/>
                <w:szCs w:val="22"/>
              </w:rPr>
              <w:t xml:space="preserve">lectronic </w:t>
            </w:r>
            <w:r w:rsidR="001C4528">
              <w:rPr>
                <w:rFonts w:eastAsia="Calibri"/>
                <w:sz w:val="22"/>
                <w:szCs w:val="22"/>
              </w:rPr>
              <w:t>D</w:t>
            </w:r>
            <w:r w:rsidRPr="00C16999">
              <w:rPr>
                <w:rFonts w:eastAsia="Calibri"/>
                <w:sz w:val="22"/>
                <w:szCs w:val="22"/>
              </w:rPr>
              <w:t xml:space="preserve">elivery of </w:t>
            </w:r>
            <w:r w:rsidR="001C4528">
              <w:rPr>
                <w:rFonts w:eastAsia="Calibri"/>
                <w:sz w:val="22"/>
                <w:szCs w:val="22"/>
              </w:rPr>
              <w:t>D</w:t>
            </w:r>
            <w:r w:rsidRPr="00C16999">
              <w:rPr>
                <w:rFonts w:eastAsia="Calibri"/>
                <w:sz w:val="22"/>
                <w:szCs w:val="22"/>
              </w:rPr>
              <w:t>ata</w:t>
            </w:r>
          </w:p>
        </w:tc>
        <w:tc>
          <w:tcPr>
            <w:tcW w:w="759" w:type="pct"/>
            <w:vAlign w:val="bottom"/>
          </w:tcPr>
          <w:p w:rsidR="00AD7C7A" w:rsidRPr="00C16999" w:rsidP="00B8153E" w14:paraId="0BFCCAF8" w14:textId="77777777">
            <w:pPr>
              <w:jc w:val="right"/>
              <w:rPr>
                <w:rFonts w:eastAsia="Calibri"/>
                <w:sz w:val="22"/>
                <w:szCs w:val="22"/>
              </w:rPr>
            </w:pPr>
            <w:r w:rsidRPr="00C16999">
              <w:rPr>
                <w:rFonts w:eastAsia="Calibri"/>
                <w:sz w:val="22"/>
                <w:szCs w:val="22"/>
              </w:rPr>
              <w:t>6</w:t>
            </w:r>
          </w:p>
        </w:tc>
        <w:tc>
          <w:tcPr>
            <w:tcW w:w="704" w:type="pct"/>
            <w:vAlign w:val="bottom"/>
          </w:tcPr>
          <w:p w:rsidR="00AD7C7A" w:rsidRPr="00C16999" w:rsidP="00B8153E" w14:paraId="7C034543" w14:textId="77777777">
            <w:pPr>
              <w:jc w:val="right"/>
              <w:rPr>
                <w:rFonts w:eastAsia="Calibri"/>
                <w:sz w:val="22"/>
                <w:szCs w:val="22"/>
              </w:rPr>
            </w:pPr>
            <w:r w:rsidRPr="00C16999">
              <w:rPr>
                <w:rFonts w:eastAsia="Calibri"/>
                <w:sz w:val="22"/>
                <w:szCs w:val="22"/>
              </w:rPr>
              <w:t>1</w:t>
            </w:r>
          </w:p>
        </w:tc>
        <w:tc>
          <w:tcPr>
            <w:tcW w:w="662" w:type="pct"/>
            <w:vAlign w:val="bottom"/>
          </w:tcPr>
          <w:p w:rsidR="00AD7C7A" w:rsidRPr="00C16999" w:rsidP="00B8153E" w14:paraId="24850BE2" w14:textId="77777777">
            <w:pPr>
              <w:jc w:val="right"/>
              <w:rPr>
                <w:rFonts w:eastAsia="Calibri"/>
                <w:sz w:val="22"/>
                <w:szCs w:val="22"/>
              </w:rPr>
            </w:pPr>
            <w:r w:rsidRPr="00C16999">
              <w:rPr>
                <w:rFonts w:eastAsia="Calibri"/>
                <w:sz w:val="22"/>
                <w:szCs w:val="22"/>
              </w:rPr>
              <w:t>6</w:t>
            </w:r>
            <w:r>
              <w:rPr>
                <w:rStyle w:val="FootnoteReference"/>
                <w:rFonts w:eastAsia="Calibri"/>
                <w:sz w:val="22"/>
                <w:szCs w:val="22"/>
              </w:rPr>
              <w:footnoteReference w:id="5"/>
            </w:r>
          </w:p>
        </w:tc>
        <w:tc>
          <w:tcPr>
            <w:tcW w:w="596" w:type="pct"/>
            <w:vAlign w:val="bottom"/>
          </w:tcPr>
          <w:p w:rsidR="00AD7C7A" w:rsidP="00B8153E" w14:paraId="1F25B059" w14:textId="77777777">
            <w:pPr>
              <w:jc w:val="right"/>
              <w:rPr>
                <w:rFonts w:eastAsia="Calibri"/>
                <w:sz w:val="22"/>
                <w:szCs w:val="22"/>
              </w:rPr>
            </w:pPr>
            <w:r w:rsidRPr="00C16999">
              <w:rPr>
                <w:rFonts w:eastAsia="Calibri"/>
                <w:sz w:val="22"/>
                <w:szCs w:val="22"/>
              </w:rPr>
              <w:t>52 hrs.;</w:t>
            </w:r>
          </w:p>
          <w:p w:rsidR="00AD7C7A" w:rsidRPr="00C16999" w:rsidP="00B8153E" w14:paraId="03EB189B" w14:textId="77777777">
            <w:pPr>
              <w:jc w:val="right"/>
              <w:rPr>
                <w:rFonts w:eastAsia="Calibri"/>
                <w:sz w:val="22"/>
                <w:szCs w:val="22"/>
              </w:rPr>
            </w:pPr>
            <w:r>
              <w:rPr>
                <w:rFonts w:eastAsia="Calibri"/>
                <w:sz w:val="22"/>
                <w:szCs w:val="22"/>
              </w:rPr>
              <w:t>$4,577.56</w:t>
            </w:r>
          </w:p>
        </w:tc>
        <w:tc>
          <w:tcPr>
            <w:tcW w:w="674" w:type="pct"/>
            <w:vAlign w:val="bottom"/>
          </w:tcPr>
          <w:p w:rsidR="00AD7C7A" w:rsidP="00B8153E" w14:paraId="6D1BB6B7" w14:textId="77777777">
            <w:pPr>
              <w:jc w:val="right"/>
              <w:rPr>
                <w:rFonts w:eastAsia="Calibri"/>
                <w:sz w:val="22"/>
                <w:szCs w:val="22"/>
              </w:rPr>
            </w:pPr>
            <w:r w:rsidRPr="00C16999">
              <w:rPr>
                <w:rFonts w:eastAsia="Calibri"/>
                <w:sz w:val="22"/>
                <w:szCs w:val="22"/>
              </w:rPr>
              <w:t>312 hrs.;</w:t>
            </w:r>
          </w:p>
          <w:p w:rsidR="00AD7C7A" w:rsidRPr="00C16999" w:rsidP="00B8153E" w14:paraId="5B3D8476" w14:textId="77777777">
            <w:pPr>
              <w:jc w:val="right"/>
              <w:rPr>
                <w:rFonts w:eastAsia="Calibri"/>
                <w:sz w:val="22"/>
                <w:szCs w:val="22"/>
              </w:rPr>
            </w:pPr>
            <w:r>
              <w:rPr>
                <w:rFonts w:eastAsia="Calibri"/>
                <w:sz w:val="22"/>
                <w:szCs w:val="22"/>
              </w:rPr>
              <w:t>$27,465.36</w:t>
            </w:r>
          </w:p>
        </w:tc>
        <w:tc>
          <w:tcPr>
            <w:tcW w:w="954" w:type="pct"/>
            <w:vAlign w:val="bottom"/>
          </w:tcPr>
          <w:p w:rsidR="00AD7C7A" w:rsidRPr="00C16999" w:rsidP="00B8153E" w14:paraId="620F97FA" w14:textId="77777777">
            <w:pPr>
              <w:jc w:val="right"/>
              <w:rPr>
                <w:rFonts w:eastAsia="Calibri"/>
                <w:sz w:val="22"/>
                <w:szCs w:val="22"/>
              </w:rPr>
            </w:pPr>
            <w:r w:rsidRPr="00C16999">
              <w:rPr>
                <w:rFonts w:eastAsia="Calibri"/>
                <w:sz w:val="22"/>
                <w:szCs w:val="22"/>
              </w:rPr>
              <w:t>$</w:t>
            </w:r>
            <w:r>
              <w:rPr>
                <w:rFonts w:eastAsia="Calibri"/>
                <w:sz w:val="22"/>
                <w:szCs w:val="22"/>
              </w:rPr>
              <w:t>4,577.56</w:t>
            </w:r>
          </w:p>
        </w:tc>
      </w:tr>
      <w:tr w14:paraId="39129812" w14:textId="77777777" w:rsidTr="00EE7D33">
        <w:tblPrEx>
          <w:tblW w:w="5621" w:type="pct"/>
          <w:tblLayout w:type="fixed"/>
          <w:tblLook w:val="01E0"/>
        </w:tblPrEx>
        <w:trPr>
          <w:cantSplit/>
          <w:trHeight w:val="1091"/>
        </w:trPr>
        <w:tc>
          <w:tcPr>
            <w:tcW w:w="652" w:type="pct"/>
            <w:vAlign w:val="bottom"/>
          </w:tcPr>
          <w:p w:rsidR="00AD7C7A" w:rsidRPr="00C16999" w:rsidP="00EE7D33" w14:paraId="2338A831" w14:textId="0249ECA0">
            <w:pPr>
              <w:jc w:val="center"/>
              <w:rPr>
                <w:rFonts w:eastAsia="Calibri"/>
                <w:sz w:val="22"/>
                <w:szCs w:val="22"/>
              </w:rPr>
            </w:pPr>
            <w:r w:rsidRPr="00C16999">
              <w:rPr>
                <w:rFonts w:eastAsia="Calibri"/>
                <w:sz w:val="22"/>
                <w:szCs w:val="22"/>
              </w:rPr>
              <w:t xml:space="preserve">Data Delivery Changes </w:t>
            </w:r>
            <w:r w:rsidR="001C4528">
              <w:rPr>
                <w:rFonts w:eastAsia="Calibri"/>
                <w:sz w:val="22"/>
                <w:szCs w:val="22"/>
              </w:rPr>
              <w:t>O</w:t>
            </w:r>
            <w:r w:rsidRPr="00C16999">
              <w:rPr>
                <w:rFonts w:eastAsia="Calibri"/>
                <w:sz w:val="22"/>
                <w:szCs w:val="22"/>
              </w:rPr>
              <w:t xml:space="preserve">ver the </w:t>
            </w:r>
            <w:r w:rsidR="001C4528">
              <w:rPr>
                <w:rFonts w:eastAsia="Calibri"/>
                <w:sz w:val="22"/>
                <w:szCs w:val="22"/>
              </w:rPr>
              <w:t>Y</w:t>
            </w:r>
            <w:r>
              <w:rPr>
                <w:rFonts w:eastAsia="Calibri"/>
                <w:sz w:val="22"/>
                <w:szCs w:val="22"/>
              </w:rPr>
              <w:t>ear</w:t>
            </w:r>
            <w:r>
              <w:rPr>
                <w:rStyle w:val="FootnoteReference"/>
                <w:rFonts w:eastAsia="Calibri"/>
              </w:rPr>
              <w:footnoteReference w:id="6"/>
            </w:r>
          </w:p>
        </w:tc>
        <w:tc>
          <w:tcPr>
            <w:tcW w:w="759" w:type="pct"/>
            <w:vAlign w:val="bottom"/>
          </w:tcPr>
          <w:p w:rsidR="00AD7C7A" w:rsidRPr="00C16999" w:rsidP="00B8153E" w14:paraId="4F991CF1" w14:textId="77777777">
            <w:pPr>
              <w:jc w:val="right"/>
              <w:rPr>
                <w:rFonts w:eastAsia="Calibri"/>
                <w:sz w:val="22"/>
                <w:szCs w:val="22"/>
              </w:rPr>
            </w:pPr>
            <w:r w:rsidRPr="00C16999">
              <w:rPr>
                <w:rFonts w:eastAsia="Calibri"/>
                <w:sz w:val="22"/>
                <w:szCs w:val="22"/>
              </w:rPr>
              <w:t>6</w:t>
            </w:r>
          </w:p>
        </w:tc>
        <w:tc>
          <w:tcPr>
            <w:tcW w:w="704" w:type="pct"/>
            <w:vAlign w:val="bottom"/>
          </w:tcPr>
          <w:p w:rsidR="00AD7C7A" w:rsidRPr="00C16999" w:rsidP="00B8153E" w14:paraId="3FF82BC8" w14:textId="77777777">
            <w:pPr>
              <w:jc w:val="right"/>
              <w:rPr>
                <w:rFonts w:eastAsia="Calibri"/>
                <w:sz w:val="22"/>
                <w:szCs w:val="22"/>
              </w:rPr>
            </w:pPr>
            <w:r w:rsidRPr="00C16999">
              <w:rPr>
                <w:rFonts w:eastAsia="Calibri"/>
                <w:sz w:val="22"/>
                <w:szCs w:val="22"/>
              </w:rPr>
              <w:t>1</w:t>
            </w:r>
          </w:p>
        </w:tc>
        <w:tc>
          <w:tcPr>
            <w:tcW w:w="662" w:type="pct"/>
            <w:vAlign w:val="bottom"/>
          </w:tcPr>
          <w:p w:rsidR="00AD7C7A" w:rsidRPr="00C16999" w:rsidP="00B8153E" w14:paraId="2EB47684" w14:textId="74F48865">
            <w:pPr>
              <w:jc w:val="right"/>
              <w:rPr>
                <w:rFonts w:eastAsia="Calibri"/>
                <w:sz w:val="22"/>
                <w:szCs w:val="22"/>
              </w:rPr>
            </w:pPr>
            <w:r w:rsidRPr="00C16999">
              <w:rPr>
                <w:rFonts w:eastAsia="Calibri"/>
                <w:sz w:val="22"/>
                <w:szCs w:val="22"/>
              </w:rPr>
              <w:t>6</w:t>
            </w:r>
          </w:p>
        </w:tc>
        <w:tc>
          <w:tcPr>
            <w:tcW w:w="596" w:type="pct"/>
            <w:vAlign w:val="bottom"/>
          </w:tcPr>
          <w:p w:rsidR="00AD7C7A" w:rsidP="00B8153E" w14:paraId="5C337E24" w14:textId="77777777">
            <w:pPr>
              <w:jc w:val="right"/>
              <w:rPr>
                <w:rFonts w:eastAsia="Calibri"/>
                <w:sz w:val="22"/>
                <w:szCs w:val="22"/>
              </w:rPr>
            </w:pPr>
            <w:r w:rsidRPr="00C16999">
              <w:rPr>
                <w:rFonts w:eastAsia="Calibri"/>
                <w:sz w:val="22"/>
                <w:szCs w:val="22"/>
              </w:rPr>
              <w:t>480 hrs.;</w:t>
            </w:r>
          </w:p>
          <w:p w:rsidR="00AD7C7A" w:rsidRPr="00C16999" w:rsidP="00B8153E" w14:paraId="3E7B2343" w14:textId="77777777">
            <w:pPr>
              <w:jc w:val="center"/>
              <w:rPr>
                <w:rFonts w:eastAsia="Calibri"/>
                <w:sz w:val="22"/>
                <w:szCs w:val="22"/>
              </w:rPr>
            </w:pPr>
            <w:r>
              <w:rPr>
                <w:rFonts w:eastAsia="Calibri"/>
                <w:sz w:val="22"/>
                <w:szCs w:val="22"/>
              </w:rPr>
              <w:t>$42,254.40</w:t>
            </w:r>
          </w:p>
        </w:tc>
        <w:tc>
          <w:tcPr>
            <w:tcW w:w="674" w:type="pct"/>
            <w:vAlign w:val="bottom"/>
          </w:tcPr>
          <w:p w:rsidR="00AD7C7A" w:rsidRPr="00C16999" w:rsidP="00B8153E" w14:paraId="1504A8AB" w14:textId="77777777">
            <w:pPr>
              <w:jc w:val="right"/>
              <w:rPr>
                <w:rFonts w:eastAsia="Calibri"/>
                <w:sz w:val="22"/>
                <w:szCs w:val="22"/>
              </w:rPr>
            </w:pPr>
            <w:r w:rsidRPr="7A5CA610">
              <w:rPr>
                <w:rFonts w:eastAsia="Calibri"/>
                <w:sz w:val="22"/>
                <w:szCs w:val="22"/>
              </w:rPr>
              <w:t>2,880 hrs.;</w:t>
            </w:r>
          </w:p>
          <w:p w:rsidR="00AD7C7A" w:rsidRPr="00C16999" w:rsidP="00B8153E" w14:paraId="6EC76E1A" w14:textId="77777777">
            <w:pPr>
              <w:jc w:val="right"/>
              <w:rPr>
                <w:rFonts w:eastAsia="Calibri"/>
                <w:sz w:val="22"/>
                <w:szCs w:val="22"/>
              </w:rPr>
            </w:pPr>
            <w:r w:rsidRPr="7A5CA610">
              <w:rPr>
                <w:rFonts w:eastAsia="Calibri"/>
                <w:sz w:val="22"/>
                <w:szCs w:val="22"/>
              </w:rPr>
              <w:t>$253,</w:t>
            </w:r>
            <w:r>
              <w:rPr>
                <w:rFonts w:eastAsia="Calibri"/>
                <w:sz w:val="22"/>
                <w:szCs w:val="22"/>
              </w:rPr>
              <w:t>526,40</w:t>
            </w:r>
          </w:p>
        </w:tc>
        <w:tc>
          <w:tcPr>
            <w:tcW w:w="954" w:type="pct"/>
            <w:vAlign w:val="bottom"/>
          </w:tcPr>
          <w:p w:rsidR="00AD7C7A" w:rsidRPr="00C16999" w:rsidP="00B8153E" w14:paraId="73D7CE4F" w14:textId="77777777">
            <w:pPr>
              <w:jc w:val="right"/>
              <w:rPr>
                <w:rFonts w:eastAsia="Calibri"/>
                <w:sz w:val="22"/>
                <w:szCs w:val="22"/>
              </w:rPr>
            </w:pPr>
            <w:r>
              <w:rPr>
                <w:rFonts w:eastAsia="Calibri"/>
                <w:sz w:val="22"/>
                <w:szCs w:val="22"/>
              </w:rPr>
              <w:t>$42,254.40</w:t>
            </w:r>
          </w:p>
        </w:tc>
      </w:tr>
      <w:tr w14:paraId="54C2A2F9" w14:textId="77777777" w:rsidTr="00235738">
        <w:tblPrEx>
          <w:tblW w:w="5621" w:type="pct"/>
          <w:tblLayout w:type="fixed"/>
          <w:tblLook w:val="01E0"/>
        </w:tblPrEx>
        <w:trPr>
          <w:cantSplit/>
          <w:trHeight w:val="1103"/>
        </w:trPr>
        <w:tc>
          <w:tcPr>
            <w:tcW w:w="652" w:type="pct"/>
            <w:vAlign w:val="bottom"/>
          </w:tcPr>
          <w:p w:rsidR="00AD7C7A" w:rsidRPr="00C16999" w:rsidP="00B8153E" w14:paraId="1960CF9F" w14:textId="77777777">
            <w:pPr>
              <w:jc w:val="center"/>
              <w:rPr>
                <w:rFonts w:eastAsia="Calibri"/>
                <w:sz w:val="22"/>
                <w:szCs w:val="22"/>
              </w:rPr>
            </w:pPr>
            <w:r w:rsidRPr="00C16999">
              <w:rPr>
                <w:rFonts w:eastAsia="Calibri"/>
                <w:sz w:val="22"/>
                <w:szCs w:val="22"/>
              </w:rPr>
              <w:t>Total</w:t>
            </w:r>
          </w:p>
        </w:tc>
        <w:tc>
          <w:tcPr>
            <w:tcW w:w="759" w:type="pct"/>
            <w:vAlign w:val="bottom"/>
          </w:tcPr>
          <w:p w:rsidR="00AD7C7A" w:rsidRPr="00C16999" w:rsidP="00B8153E" w14:paraId="3209BB83" w14:textId="77777777">
            <w:pPr>
              <w:jc w:val="right"/>
              <w:rPr>
                <w:rFonts w:eastAsia="Calibri"/>
                <w:sz w:val="22"/>
                <w:szCs w:val="22"/>
              </w:rPr>
            </w:pPr>
            <w:r w:rsidRPr="00C16999">
              <w:rPr>
                <w:rFonts w:eastAsia="Calibri"/>
                <w:sz w:val="22"/>
                <w:szCs w:val="22"/>
              </w:rPr>
              <w:t>6</w:t>
            </w:r>
          </w:p>
        </w:tc>
        <w:tc>
          <w:tcPr>
            <w:tcW w:w="704" w:type="pct"/>
            <w:vAlign w:val="bottom"/>
          </w:tcPr>
          <w:p w:rsidR="00AD7C7A" w:rsidRPr="00C16999" w:rsidP="00B8153E" w14:paraId="3A6B65A2" w14:textId="77777777">
            <w:pPr>
              <w:jc w:val="right"/>
              <w:rPr>
                <w:rFonts w:eastAsia="Calibri"/>
                <w:sz w:val="22"/>
                <w:szCs w:val="22"/>
              </w:rPr>
            </w:pPr>
            <w:r w:rsidRPr="00C16999">
              <w:rPr>
                <w:rFonts w:eastAsia="Calibri"/>
                <w:sz w:val="22"/>
                <w:szCs w:val="22"/>
              </w:rPr>
              <w:t>2</w:t>
            </w:r>
          </w:p>
        </w:tc>
        <w:tc>
          <w:tcPr>
            <w:tcW w:w="662" w:type="pct"/>
            <w:vAlign w:val="bottom"/>
          </w:tcPr>
          <w:p w:rsidR="00AD7C7A" w:rsidRPr="00C16999" w:rsidP="00B8153E" w14:paraId="4526D7E9" w14:textId="77777777">
            <w:pPr>
              <w:jc w:val="right"/>
              <w:rPr>
                <w:rFonts w:eastAsia="Calibri"/>
                <w:sz w:val="22"/>
                <w:szCs w:val="22"/>
              </w:rPr>
            </w:pPr>
            <w:r w:rsidRPr="00C16999">
              <w:rPr>
                <w:rFonts w:eastAsia="Calibri"/>
                <w:sz w:val="22"/>
                <w:szCs w:val="22"/>
              </w:rPr>
              <w:t>12</w:t>
            </w:r>
          </w:p>
        </w:tc>
        <w:tc>
          <w:tcPr>
            <w:tcW w:w="596" w:type="pct"/>
            <w:shd w:val="clear" w:color="auto" w:fill="D9D9D9" w:themeFill="background1" w:themeFillShade="D9"/>
            <w:vAlign w:val="bottom"/>
          </w:tcPr>
          <w:p w:rsidR="00AD7C7A" w:rsidRPr="00C16999" w:rsidP="00B8153E" w14:paraId="7E35DA3C" w14:textId="77777777">
            <w:pPr>
              <w:jc w:val="right"/>
              <w:rPr>
                <w:rFonts w:eastAsia="Calibri"/>
                <w:sz w:val="22"/>
                <w:szCs w:val="22"/>
              </w:rPr>
            </w:pPr>
          </w:p>
        </w:tc>
        <w:tc>
          <w:tcPr>
            <w:tcW w:w="674" w:type="pct"/>
            <w:vAlign w:val="bottom"/>
          </w:tcPr>
          <w:p w:rsidR="00AD7C7A" w:rsidP="00B8153E" w14:paraId="730232C5" w14:textId="77777777">
            <w:pPr>
              <w:jc w:val="right"/>
              <w:rPr>
                <w:rFonts w:eastAsia="Calibri"/>
                <w:sz w:val="22"/>
                <w:szCs w:val="22"/>
              </w:rPr>
            </w:pPr>
            <w:r w:rsidRPr="7A5CA610">
              <w:rPr>
                <w:rFonts w:eastAsia="Calibri"/>
                <w:sz w:val="22"/>
                <w:szCs w:val="22"/>
              </w:rPr>
              <w:t>3,192 hrs.;</w:t>
            </w:r>
          </w:p>
          <w:p w:rsidR="00AD7C7A" w:rsidRPr="00C16999" w:rsidP="00B8153E" w14:paraId="36629CE3" w14:textId="77777777">
            <w:pPr>
              <w:jc w:val="right"/>
              <w:rPr>
                <w:rFonts w:eastAsia="Calibri"/>
                <w:sz w:val="22"/>
                <w:szCs w:val="22"/>
              </w:rPr>
            </w:pPr>
            <w:r>
              <w:rPr>
                <w:rFonts w:eastAsia="Calibri"/>
                <w:sz w:val="22"/>
                <w:szCs w:val="22"/>
              </w:rPr>
              <w:t>$280,991.76</w:t>
            </w:r>
          </w:p>
        </w:tc>
        <w:tc>
          <w:tcPr>
            <w:tcW w:w="954" w:type="pct"/>
            <w:vAlign w:val="bottom"/>
          </w:tcPr>
          <w:p w:rsidR="00AD7C7A" w:rsidRPr="008B201D" w:rsidP="00B8153E" w14:paraId="00298AE8" w14:textId="452E5DA1">
            <w:pPr>
              <w:jc w:val="right"/>
              <w:rPr>
                <w:rFonts w:eastAsia="Calibri"/>
                <w:sz w:val="22"/>
                <w:szCs w:val="22"/>
              </w:rPr>
            </w:pPr>
            <w:r w:rsidRPr="00C16999">
              <w:rPr>
                <w:rFonts w:eastAsia="Calibri"/>
                <w:sz w:val="22"/>
                <w:szCs w:val="22"/>
              </w:rPr>
              <w:t>$</w:t>
            </w:r>
            <w:r>
              <w:rPr>
                <w:rFonts w:eastAsia="Calibri"/>
                <w:sz w:val="22"/>
                <w:szCs w:val="22"/>
              </w:rPr>
              <w:t>46,8</w:t>
            </w:r>
            <w:r w:rsidR="00AE520A">
              <w:rPr>
                <w:rFonts w:eastAsia="Calibri"/>
                <w:sz w:val="22"/>
                <w:szCs w:val="22"/>
              </w:rPr>
              <w:t>31.96</w:t>
            </w:r>
          </w:p>
        </w:tc>
      </w:tr>
    </w:tbl>
    <w:p w:rsidR="00881405" w:rsidP="00AD0779" w14:paraId="79427D8D" w14:textId="2B6EBF96">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t xml:space="preserve">the methodology and assumptions used; (3) ways to enhance the quality, utility and clarity of the information collection; and (4) ways to minimize the burden of the </w:t>
      </w:r>
    </w:p>
    <w:p w:rsidR="00AE1F12" w:rsidP="00AE1F12" w14:paraId="06D77A52"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137C4514" w14:textId="77777777"/>
    <w:p w:rsidR="008017C6" w:rsidP="00AE1F12" w14:paraId="306925C9" w14:textId="77777777"/>
    <w:p w:rsidR="00853ABC" w:rsidP="00810D18" w14:paraId="4B47BC22" w14:textId="6CC4F1DF">
      <w:pPr>
        <w:ind w:firstLine="2174"/>
        <w:jc w:val="center"/>
      </w:pPr>
    </w:p>
    <w:p w:rsidR="009E2648" w:rsidP="00810D18" w14:paraId="6213BB60" w14:textId="77777777">
      <w:pPr>
        <w:ind w:firstLine="2174"/>
        <w:jc w:val="center"/>
      </w:pPr>
    </w:p>
    <w:p w:rsidR="009E2648" w:rsidRPr="009E2648" w:rsidP="009E2648" w14:paraId="019A2B37" w14:textId="33591BF7">
      <w:pPr>
        <w:ind w:firstLine="2174"/>
        <w:jc w:val="center"/>
      </w:pPr>
      <w:r w:rsidRPr="009E2648">
        <w:t xml:space="preserve">Debbie-Anne </w:t>
      </w:r>
      <w:r w:rsidR="00F8349E">
        <w:t xml:space="preserve">A. </w:t>
      </w:r>
      <w:r w:rsidRPr="009E2648">
        <w:t>Reese,</w:t>
      </w:r>
    </w:p>
    <w:p w:rsidR="009E2648" w:rsidRPr="009E2648" w:rsidP="009E2648" w14:paraId="1278993A" w14:textId="4C695F32">
      <w:pPr>
        <w:ind w:firstLine="2174"/>
        <w:jc w:val="center"/>
      </w:pPr>
      <w:r>
        <w:t xml:space="preserve">    </w:t>
      </w:r>
      <w:r w:rsidRPr="009E2648">
        <w:t>Acting Secretary.</w:t>
      </w:r>
    </w:p>
    <w:p w:rsidR="009E2648" w:rsidRPr="009E2648" w:rsidP="009E2648" w14:paraId="379B068B" w14:textId="77777777">
      <w:pPr>
        <w:ind w:firstLine="2174"/>
        <w:jc w:val="center"/>
      </w:pPr>
    </w:p>
    <w:p w:rsidR="009E2648" w:rsidP="00810D18" w14:paraId="31EEBFF6" w14:textId="77777777">
      <w:pPr>
        <w:ind w:firstLine="2174"/>
        <w:jc w:val="cente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6B9C" w:rsidP="00B01B16" w14:paraId="17CE2BB1" w14:textId="77777777">
      <w:r>
        <w:separator/>
      </w:r>
    </w:p>
  </w:footnote>
  <w:footnote w:type="continuationSeparator" w:id="1">
    <w:p w:rsidR="00D76B9C" w:rsidP="00B01B16" w14:paraId="49AF773C" w14:textId="77777777">
      <w:r>
        <w:continuationSeparator/>
      </w:r>
    </w:p>
  </w:footnote>
  <w:footnote w:id="2">
    <w:p w:rsidR="00605FF0" w:rsidRPr="00380AE7" w14:paraId="7BB0A72A" w14:textId="0605282E">
      <w:pPr>
        <w:pStyle w:val="FootnoteText"/>
        <w:rPr>
          <w:sz w:val="26"/>
          <w:szCs w:val="26"/>
        </w:rPr>
      </w:pPr>
      <w:r w:rsidRPr="00380AE7">
        <w:rPr>
          <w:rStyle w:val="FootnoteReference"/>
        </w:rPr>
        <w:footnoteRef/>
      </w:r>
      <w:r w:rsidRPr="00380AE7">
        <w:rPr>
          <w:sz w:val="26"/>
          <w:szCs w:val="26"/>
        </w:rPr>
        <w:t xml:space="preserve"> </w:t>
      </w:r>
      <w:r w:rsidRPr="00380AE7">
        <w:rPr>
          <w:i/>
          <w:iCs/>
          <w:sz w:val="26"/>
          <w:szCs w:val="26"/>
        </w:rPr>
        <w:t>Enhancement of Electricity Market Surveillance and Analysis through Ongoing Electronic Delivery of Data from Regional Transmission Organizations and Independent System Operators</w:t>
      </w:r>
      <w:r w:rsidRPr="00380AE7">
        <w:rPr>
          <w:sz w:val="26"/>
          <w:szCs w:val="26"/>
        </w:rPr>
        <w:t xml:space="preserve">, Order No. 760, 139 FERC ¶ 61,053 (2012) </w:t>
      </w:r>
    </w:p>
  </w:footnote>
  <w:footnote w:id="3">
    <w:p w:rsidR="00C8285B" w:rsidRPr="00380AE7" w:rsidP="00C8285B" w14:paraId="32AA0031" w14:textId="77777777">
      <w:pPr>
        <w:pStyle w:val="FootnoteText"/>
        <w:rPr>
          <w:sz w:val="26"/>
          <w:szCs w:val="26"/>
        </w:rPr>
      </w:pPr>
      <w:r w:rsidRPr="00380AE7">
        <w:rPr>
          <w:rStyle w:val="FootnoteReference"/>
        </w:rPr>
        <w:footnoteRef/>
      </w:r>
      <w:r w:rsidRPr="00380AE7">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rsidR="00902780" w14:paraId="661154AD" w14:textId="004AC516">
      <w:pPr>
        <w:pStyle w:val="FootnoteText"/>
      </w:pPr>
      <w:r>
        <w:rPr>
          <w:rStyle w:val="FootnoteReference"/>
        </w:rPr>
        <w:footnoteRef/>
      </w:r>
      <w:r>
        <w:t xml:space="preserve"> </w:t>
      </w:r>
      <w:r w:rsidRPr="00380AE7" w:rsidR="00B14CDE">
        <w:rPr>
          <w:sz w:val="26"/>
          <w:szCs w:val="26"/>
        </w:rPr>
        <w:t>Costs (for wages and benefits) are based on the mean wage estimate by the Bureau of Labor Statistics’ (BLS) Occupational Employment and Wage Statistics (OEWS) program from May 202</w:t>
      </w:r>
      <w:r w:rsidR="00B14CDE">
        <w:rPr>
          <w:sz w:val="26"/>
          <w:szCs w:val="26"/>
        </w:rPr>
        <w:t>3</w:t>
      </w:r>
      <w:r w:rsidRPr="00380AE7" w:rsidR="00B14CDE">
        <w:rPr>
          <w:sz w:val="26"/>
          <w:szCs w:val="26"/>
        </w:rPr>
        <w:t xml:space="preserve"> (</w:t>
      </w:r>
      <w:hyperlink r:id="rId1" w:history="1">
        <w:r w:rsidRPr="00380AE7" w:rsidR="00B14CDE">
          <w:rPr>
            <w:rStyle w:val="Hyperlink"/>
            <w:sz w:val="26"/>
            <w:szCs w:val="26"/>
          </w:rPr>
          <w:t>https://www.bls.gov/oes/current/naics2_22.htm</w:t>
        </w:r>
      </w:hyperlink>
      <w:r w:rsidRPr="00380AE7" w:rsidR="00B14CDE">
        <w:rPr>
          <w:rStyle w:val="Hyperlink"/>
          <w:sz w:val="26"/>
          <w:szCs w:val="26"/>
        </w:rPr>
        <w:t>.)</w:t>
      </w:r>
      <w:r w:rsidRPr="00380AE7" w:rsidR="00B14CDE">
        <w:rPr>
          <w:sz w:val="26"/>
          <w:szCs w:val="26"/>
        </w:rPr>
        <w:t xml:space="preserve"> and benefits information for private industry workers </w:t>
      </w:r>
      <w:r w:rsidR="00B14CDE">
        <w:rPr>
          <w:sz w:val="26"/>
          <w:szCs w:val="26"/>
        </w:rPr>
        <w:t>(</w:t>
      </w:r>
      <w:hyperlink r:id="rId2" w:history="1">
        <w:r w:rsidRPr="00380AE7" w:rsidR="00B14CDE">
          <w:rPr>
            <w:rStyle w:val="Hyperlink"/>
            <w:sz w:val="26"/>
            <w:szCs w:val="26"/>
          </w:rPr>
          <w:t>https://www.bls.gov/news.release/ecec.nr0.htm</w:t>
        </w:r>
      </w:hyperlink>
      <w:r w:rsidR="00E7324A">
        <w:rPr>
          <w:rStyle w:val="Hyperlink"/>
          <w:sz w:val="26"/>
          <w:szCs w:val="26"/>
        </w:rPr>
        <w:t>.</w:t>
      </w:r>
    </w:p>
  </w:footnote>
  <w:footnote w:id="5">
    <w:p w:rsidR="00AD7C7A" w:rsidRPr="00380AE7" w:rsidP="00AD7C7A" w14:paraId="35C6DFE0" w14:textId="77777777">
      <w:pPr>
        <w:pStyle w:val="FootnoteText"/>
        <w:rPr>
          <w:sz w:val="26"/>
          <w:szCs w:val="26"/>
        </w:rPr>
      </w:pPr>
      <w:r w:rsidRPr="00380AE7">
        <w:rPr>
          <w:rStyle w:val="FootnoteReference"/>
        </w:rPr>
        <w:footnoteRef/>
      </w:r>
      <w:r w:rsidRPr="00380AE7">
        <w:rPr>
          <w:sz w:val="26"/>
          <w:szCs w:val="26"/>
        </w:rPr>
        <w:t xml:space="preserve"> Each RTO/ISO electronically submits data daily.  To match with past filings, we are considering the collection of daily responses to be a single response.</w:t>
      </w:r>
    </w:p>
  </w:footnote>
  <w:footnote w:id="6">
    <w:p w:rsidR="00FB3DDD" w:rsidRPr="001C4528" w14:paraId="541AE47A" w14:textId="1B99D552">
      <w:pPr>
        <w:pStyle w:val="FootnoteText"/>
        <w:rPr>
          <w:iCs/>
        </w:rPr>
      </w:pPr>
      <w:r>
        <w:rPr>
          <w:rStyle w:val="FootnoteReference"/>
        </w:rPr>
        <w:footnoteRef/>
      </w:r>
      <w:r>
        <w:t xml:space="preserve"> </w:t>
      </w:r>
      <w:r w:rsidRPr="001C4528" w:rsidR="00027917">
        <w:rPr>
          <w:bCs/>
          <w:sz w:val="26"/>
        </w:rPr>
        <w:t xml:space="preserve">The </w:t>
      </w:r>
      <w:r w:rsidR="00342FA3">
        <w:rPr>
          <w:bCs/>
          <w:sz w:val="26"/>
        </w:rPr>
        <w:t xml:space="preserve">hour </w:t>
      </w:r>
      <w:r w:rsidRPr="001C4528" w:rsidR="00027917">
        <w:rPr>
          <w:bCs/>
          <w:sz w:val="26"/>
        </w:rPr>
        <w:t xml:space="preserve">burden associated with a “Data Delivery Change Over the Year” varies considerably based on the significance of the specific change; therefore, the estimate is intended to reflect the incremental burden for an average change. Based on historical patterns, staff estimates there to be about one and a half changes of this nature per RTO or ISO per year.  Based on our estimate </w:t>
      </w:r>
      <w:r w:rsidR="009C5687">
        <w:rPr>
          <w:bCs/>
          <w:sz w:val="26"/>
        </w:rPr>
        <w:t>that</w:t>
      </w:r>
      <w:r w:rsidRPr="001C4528" w:rsidR="00027917">
        <w:rPr>
          <w:bCs/>
          <w:sz w:val="26"/>
        </w:rPr>
        <w:t xml:space="preserve"> </w:t>
      </w:r>
      <w:r w:rsidRPr="001C4528" w:rsidR="00027917">
        <w:rPr>
          <w:iCs/>
          <w:sz w:val="26"/>
        </w:rPr>
        <w:t xml:space="preserve">the total time required </w:t>
      </w:r>
      <w:r w:rsidR="001C652A">
        <w:rPr>
          <w:iCs/>
          <w:sz w:val="26"/>
        </w:rPr>
        <w:t>for a</w:t>
      </w:r>
      <w:r w:rsidR="006A13FB">
        <w:rPr>
          <w:iCs/>
          <w:sz w:val="26"/>
        </w:rPr>
        <w:t xml:space="preserve"> </w:t>
      </w:r>
      <w:r w:rsidR="001C652A">
        <w:rPr>
          <w:iCs/>
          <w:sz w:val="26"/>
        </w:rPr>
        <w:t xml:space="preserve">single </w:t>
      </w:r>
      <w:r w:rsidR="006A13FB">
        <w:rPr>
          <w:iCs/>
          <w:sz w:val="26"/>
        </w:rPr>
        <w:t>change</w:t>
      </w:r>
      <w:r w:rsidRPr="001C4528" w:rsidR="00027917">
        <w:rPr>
          <w:iCs/>
          <w:sz w:val="26"/>
        </w:rPr>
        <w:t xml:space="preserve"> </w:t>
      </w:r>
      <w:r w:rsidR="00E456D3">
        <w:rPr>
          <w:iCs/>
          <w:sz w:val="26"/>
        </w:rPr>
        <w:t xml:space="preserve">is </w:t>
      </w:r>
      <w:r w:rsidRPr="001C4528" w:rsidR="00027917">
        <w:rPr>
          <w:iCs/>
          <w:sz w:val="26"/>
        </w:rPr>
        <w:t xml:space="preserve">320 hours, and there are, on average, 1.5 changes annually, the total time </w:t>
      </w:r>
      <w:r w:rsidR="00FA28D3">
        <w:rPr>
          <w:iCs/>
          <w:sz w:val="26"/>
        </w:rPr>
        <w:t xml:space="preserve">for this category of </w:t>
      </w:r>
      <w:r w:rsidRPr="001C4528" w:rsidR="00027917">
        <w:rPr>
          <w:iCs/>
          <w:sz w:val="26"/>
        </w:rPr>
        <w:t>response is 480 hours (1.5 X 320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D18" w:rsidP="00810D18" w14:paraId="03E20AF7" w14:textId="5A7FEF4C">
    <w:pPr>
      <w:pStyle w:val="Header"/>
    </w:pPr>
    <w:r w:rsidRPr="00DA19FA">
      <w:t xml:space="preserve">Docket No. </w:t>
    </w:r>
    <w:r w:rsidRPr="00B20A05" w:rsidR="00B20A05">
      <w:t>IC</w:t>
    </w:r>
    <w:r w:rsidR="009E2648">
      <w:t>24-14-000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2446">
          <w:rPr>
            <w:noProof/>
          </w:rPr>
          <w:t>2</w:t>
        </w:r>
        <w:r>
          <w:rPr>
            <w:noProof/>
          </w:rPr>
          <w:fldChar w:fldCharType="end"/>
        </w:r>
      </w:sdtContent>
    </w:sdt>
  </w:p>
  <w:p w:rsidR="00BF2D74" w14:paraId="11CB63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6C6211"/>
    <w:multiLevelType w:val="hybridMultilevel"/>
    <w:tmpl w:val="C4CC7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7A57284D"/>
    <w:multiLevelType w:val="hybridMultilevel"/>
    <w:tmpl w:val="ACA6D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4493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367554">
    <w:abstractNumId w:val="3"/>
  </w:num>
  <w:num w:numId="3" w16cid:durableId="386488263">
    <w:abstractNumId w:val="0"/>
  </w:num>
  <w:num w:numId="4" w16cid:durableId="1840150931">
    <w:abstractNumId w:val="1"/>
  </w:num>
  <w:num w:numId="5" w16cid:durableId="1735859460">
    <w:abstractNumId w:val="2"/>
  </w:num>
  <w:num w:numId="6" w16cid:durableId="920875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0F"/>
    <w:rsid w:val="00000449"/>
    <w:rsid w:val="0000248A"/>
    <w:rsid w:val="00004607"/>
    <w:rsid w:val="000046A7"/>
    <w:rsid w:val="000142D7"/>
    <w:rsid w:val="000224AC"/>
    <w:rsid w:val="000225A0"/>
    <w:rsid w:val="000260A2"/>
    <w:rsid w:val="00027917"/>
    <w:rsid w:val="000459B6"/>
    <w:rsid w:val="00054C0D"/>
    <w:rsid w:val="00062427"/>
    <w:rsid w:val="00077E05"/>
    <w:rsid w:val="000A0250"/>
    <w:rsid w:val="000A7E68"/>
    <w:rsid w:val="000B1CE7"/>
    <w:rsid w:val="000B791F"/>
    <w:rsid w:val="000C36F3"/>
    <w:rsid w:val="000D1CEC"/>
    <w:rsid w:val="000D7EF4"/>
    <w:rsid w:val="000E2568"/>
    <w:rsid w:val="000E7F1D"/>
    <w:rsid w:val="001116CF"/>
    <w:rsid w:val="00111A36"/>
    <w:rsid w:val="001126A8"/>
    <w:rsid w:val="001166C3"/>
    <w:rsid w:val="0013510D"/>
    <w:rsid w:val="00140404"/>
    <w:rsid w:val="00156BBB"/>
    <w:rsid w:val="001600DF"/>
    <w:rsid w:val="00162E44"/>
    <w:rsid w:val="001716FA"/>
    <w:rsid w:val="00171725"/>
    <w:rsid w:val="00181BF7"/>
    <w:rsid w:val="00182651"/>
    <w:rsid w:val="00186E91"/>
    <w:rsid w:val="0019326F"/>
    <w:rsid w:val="001A3AFE"/>
    <w:rsid w:val="001A5D5F"/>
    <w:rsid w:val="001A6AD6"/>
    <w:rsid w:val="001A7C7A"/>
    <w:rsid w:val="001B78B8"/>
    <w:rsid w:val="001C3703"/>
    <w:rsid w:val="001C3865"/>
    <w:rsid w:val="001C4528"/>
    <w:rsid w:val="001C652A"/>
    <w:rsid w:val="001D024D"/>
    <w:rsid w:val="001D354C"/>
    <w:rsid w:val="001E551A"/>
    <w:rsid w:val="0020528A"/>
    <w:rsid w:val="00207001"/>
    <w:rsid w:val="00212EC7"/>
    <w:rsid w:val="00213777"/>
    <w:rsid w:val="00221A48"/>
    <w:rsid w:val="00235738"/>
    <w:rsid w:val="0023753D"/>
    <w:rsid w:val="00241822"/>
    <w:rsid w:val="00250D2C"/>
    <w:rsid w:val="002511C2"/>
    <w:rsid w:val="00251BE0"/>
    <w:rsid w:val="00257BF9"/>
    <w:rsid w:val="002620FB"/>
    <w:rsid w:val="002643A7"/>
    <w:rsid w:val="00267255"/>
    <w:rsid w:val="0028375E"/>
    <w:rsid w:val="00285DE1"/>
    <w:rsid w:val="002942F0"/>
    <w:rsid w:val="00297829"/>
    <w:rsid w:val="002A796B"/>
    <w:rsid w:val="002B1897"/>
    <w:rsid w:val="002C0061"/>
    <w:rsid w:val="002D2189"/>
    <w:rsid w:val="002D3CFE"/>
    <w:rsid w:val="002D3DE5"/>
    <w:rsid w:val="002E36B8"/>
    <w:rsid w:val="002E43AC"/>
    <w:rsid w:val="002E5CAC"/>
    <w:rsid w:val="00300B82"/>
    <w:rsid w:val="003017CB"/>
    <w:rsid w:val="003064F4"/>
    <w:rsid w:val="00311D90"/>
    <w:rsid w:val="00314877"/>
    <w:rsid w:val="003149BC"/>
    <w:rsid w:val="00325277"/>
    <w:rsid w:val="00333F89"/>
    <w:rsid w:val="00335502"/>
    <w:rsid w:val="00342FA3"/>
    <w:rsid w:val="003673EC"/>
    <w:rsid w:val="00373AD2"/>
    <w:rsid w:val="00376525"/>
    <w:rsid w:val="00377BAB"/>
    <w:rsid w:val="00380AE7"/>
    <w:rsid w:val="003836FC"/>
    <w:rsid w:val="0039116E"/>
    <w:rsid w:val="00395299"/>
    <w:rsid w:val="003962A8"/>
    <w:rsid w:val="003A16E3"/>
    <w:rsid w:val="003B5EDC"/>
    <w:rsid w:val="003C1040"/>
    <w:rsid w:val="003C3E7A"/>
    <w:rsid w:val="003C4424"/>
    <w:rsid w:val="003C4B4C"/>
    <w:rsid w:val="003D6792"/>
    <w:rsid w:val="003E1E05"/>
    <w:rsid w:val="003E3F1D"/>
    <w:rsid w:val="003E44AD"/>
    <w:rsid w:val="003F3370"/>
    <w:rsid w:val="00403028"/>
    <w:rsid w:val="00406F84"/>
    <w:rsid w:val="00420384"/>
    <w:rsid w:val="00422DF5"/>
    <w:rsid w:val="0043058F"/>
    <w:rsid w:val="004411BF"/>
    <w:rsid w:val="00443282"/>
    <w:rsid w:val="00445D3E"/>
    <w:rsid w:val="004559FF"/>
    <w:rsid w:val="00456BE8"/>
    <w:rsid w:val="00466D3F"/>
    <w:rsid w:val="00475EF9"/>
    <w:rsid w:val="00477CFB"/>
    <w:rsid w:val="00482446"/>
    <w:rsid w:val="00494CFD"/>
    <w:rsid w:val="004B1CEB"/>
    <w:rsid w:val="004C0ED6"/>
    <w:rsid w:val="004C3114"/>
    <w:rsid w:val="004C70C8"/>
    <w:rsid w:val="004C721F"/>
    <w:rsid w:val="004F03D8"/>
    <w:rsid w:val="004F7F7A"/>
    <w:rsid w:val="00500034"/>
    <w:rsid w:val="00504E57"/>
    <w:rsid w:val="00510FCF"/>
    <w:rsid w:val="0051350D"/>
    <w:rsid w:val="00534ECD"/>
    <w:rsid w:val="005354CA"/>
    <w:rsid w:val="0054746C"/>
    <w:rsid w:val="00567282"/>
    <w:rsid w:val="005811C9"/>
    <w:rsid w:val="0058544A"/>
    <w:rsid w:val="005A0B60"/>
    <w:rsid w:val="005A2F24"/>
    <w:rsid w:val="005A6A4C"/>
    <w:rsid w:val="005A6A80"/>
    <w:rsid w:val="005B0DA9"/>
    <w:rsid w:val="005B1CC0"/>
    <w:rsid w:val="005B4AF9"/>
    <w:rsid w:val="005B4DA4"/>
    <w:rsid w:val="005C0592"/>
    <w:rsid w:val="005C2551"/>
    <w:rsid w:val="005D44CC"/>
    <w:rsid w:val="005D58B8"/>
    <w:rsid w:val="005E1FA1"/>
    <w:rsid w:val="005E43B6"/>
    <w:rsid w:val="005F3FF7"/>
    <w:rsid w:val="00601225"/>
    <w:rsid w:val="00605FF0"/>
    <w:rsid w:val="00606F0E"/>
    <w:rsid w:val="006128A5"/>
    <w:rsid w:val="0061661C"/>
    <w:rsid w:val="006169DF"/>
    <w:rsid w:val="00624DC0"/>
    <w:rsid w:val="006251CA"/>
    <w:rsid w:val="006314E6"/>
    <w:rsid w:val="006337B7"/>
    <w:rsid w:val="00635381"/>
    <w:rsid w:val="00637F43"/>
    <w:rsid w:val="006446A4"/>
    <w:rsid w:val="00644A1B"/>
    <w:rsid w:val="0065230E"/>
    <w:rsid w:val="006536D8"/>
    <w:rsid w:val="00653732"/>
    <w:rsid w:val="00654BA4"/>
    <w:rsid w:val="00671B72"/>
    <w:rsid w:val="006727A6"/>
    <w:rsid w:val="00673034"/>
    <w:rsid w:val="006765C9"/>
    <w:rsid w:val="00681A35"/>
    <w:rsid w:val="00681F07"/>
    <w:rsid w:val="006825C4"/>
    <w:rsid w:val="00686E62"/>
    <w:rsid w:val="006963BC"/>
    <w:rsid w:val="006A13FB"/>
    <w:rsid w:val="006A1B46"/>
    <w:rsid w:val="006A1CFC"/>
    <w:rsid w:val="006A4621"/>
    <w:rsid w:val="006B12A4"/>
    <w:rsid w:val="006B431C"/>
    <w:rsid w:val="006B744D"/>
    <w:rsid w:val="006C4037"/>
    <w:rsid w:val="006C6AC7"/>
    <w:rsid w:val="006D0FCC"/>
    <w:rsid w:val="006D4036"/>
    <w:rsid w:val="006D4E86"/>
    <w:rsid w:val="006E648C"/>
    <w:rsid w:val="006E7CBB"/>
    <w:rsid w:val="006F6B82"/>
    <w:rsid w:val="007026FA"/>
    <w:rsid w:val="00742841"/>
    <w:rsid w:val="007446DC"/>
    <w:rsid w:val="0075009F"/>
    <w:rsid w:val="00750DF5"/>
    <w:rsid w:val="00752376"/>
    <w:rsid w:val="00752AEA"/>
    <w:rsid w:val="00753DD8"/>
    <w:rsid w:val="00753E9B"/>
    <w:rsid w:val="00763112"/>
    <w:rsid w:val="00765F46"/>
    <w:rsid w:val="007731B5"/>
    <w:rsid w:val="0077771F"/>
    <w:rsid w:val="00780671"/>
    <w:rsid w:val="00785C77"/>
    <w:rsid w:val="007B32C3"/>
    <w:rsid w:val="007B3BBB"/>
    <w:rsid w:val="007D4CBB"/>
    <w:rsid w:val="007F00CB"/>
    <w:rsid w:val="007F2956"/>
    <w:rsid w:val="007F2B70"/>
    <w:rsid w:val="007F5956"/>
    <w:rsid w:val="008017C6"/>
    <w:rsid w:val="00803CA2"/>
    <w:rsid w:val="0080418D"/>
    <w:rsid w:val="00804B51"/>
    <w:rsid w:val="00807CAC"/>
    <w:rsid w:val="00810D18"/>
    <w:rsid w:val="008115BF"/>
    <w:rsid w:val="00824D81"/>
    <w:rsid w:val="00853ABC"/>
    <w:rsid w:val="0085608E"/>
    <w:rsid w:val="00860A08"/>
    <w:rsid w:val="008666C5"/>
    <w:rsid w:val="0087252A"/>
    <w:rsid w:val="008764F8"/>
    <w:rsid w:val="00881405"/>
    <w:rsid w:val="0088603B"/>
    <w:rsid w:val="0089069F"/>
    <w:rsid w:val="00894412"/>
    <w:rsid w:val="00895D18"/>
    <w:rsid w:val="00895DA2"/>
    <w:rsid w:val="00897359"/>
    <w:rsid w:val="008B201D"/>
    <w:rsid w:val="008B48C9"/>
    <w:rsid w:val="008D25B7"/>
    <w:rsid w:val="008D4891"/>
    <w:rsid w:val="008D5479"/>
    <w:rsid w:val="008E0DF5"/>
    <w:rsid w:val="008E107C"/>
    <w:rsid w:val="008E3273"/>
    <w:rsid w:val="008F30C3"/>
    <w:rsid w:val="008F54B8"/>
    <w:rsid w:val="00902780"/>
    <w:rsid w:val="0091214F"/>
    <w:rsid w:val="009171DB"/>
    <w:rsid w:val="009219DA"/>
    <w:rsid w:val="00932F3F"/>
    <w:rsid w:val="00940C0F"/>
    <w:rsid w:val="0096083A"/>
    <w:rsid w:val="00962F13"/>
    <w:rsid w:val="009744C8"/>
    <w:rsid w:val="00981886"/>
    <w:rsid w:val="00990FEC"/>
    <w:rsid w:val="00991E3B"/>
    <w:rsid w:val="009940BD"/>
    <w:rsid w:val="009A1B08"/>
    <w:rsid w:val="009A4BAD"/>
    <w:rsid w:val="009B3771"/>
    <w:rsid w:val="009B525A"/>
    <w:rsid w:val="009C4A13"/>
    <w:rsid w:val="009C4A3D"/>
    <w:rsid w:val="009C4D1F"/>
    <w:rsid w:val="009C5687"/>
    <w:rsid w:val="009C5C26"/>
    <w:rsid w:val="009D4631"/>
    <w:rsid w:val="009D7120"/>
    <w:rsid w:val="009E1C9D"/>
    <w:rsid w:val="009E2648"/>
    <w:rsid w:val="009E47A1"/>
    <w:rsid w:val="009E5A45"/>
    <w:rsid w:val="009E6CB0"/>
    <w:rsid w:val="009F7DE3"/>
    <w:rsid w:val="009F7E4D"/>
    <w:rsid w:val="00A069C4"/>
    <w:rsid w:val="00A1074A"/>
    <w:rsid w:val="00A1116D"/>
    <w:rsid w:val="00A139D3"/>
    <w:rsid w:val="00A17AA5"/>
    <w:rsid w:val="00A250FF"/>
    <w:rsid w:val="00A2511E"/>
    <w:rsid w:val="00A25B8E"/>
    <w:rsid w:val="00A2604E"/>
    <w:rsid w:val="00A308A5"/>
    <w:rsid w:val="00A40BBD"/>
    <w:rsid w:val="00A4442F"/>
    <w:rsid w:val="00A455E0"/>
    <w:rsid w:val="00A52CA7"/>
    <w:rsid w:val="00A5324E"/>
    <w:rsid w:val="00A55C62"/>
    <w:rsid w:val="00A569FC"/>
    <w:rsid w:val="00A61935"/>
    <w:rsid w:val="00A637C6"/>
    <w:rsid w:val="00A664DF"/>
    <w:rsid w:val="00A70FFE"/>
    <w:rsid w:val="00A713D0"/>
    <w:rsid w:val="00A72574"/>
    <w:rsid w:val="00A732AF"/>
    <w:rsid w:val="00A8018C"/>
    <w:rsid w:val="00A8289E"/>
    <w:rsid w:val="00A82A29"/>
    <w:rsid w:val="00A905FB"/>
    <w:rsid w:val="00A93FC7"/>
    <w:rsid w:val="00AA516A"/>
    <w:rsid w:val="00AA5B0E"/>
    <w:rsid w:val="00AB018C"/>
    <w:rsid w:val="00AB4DBF"/>
    <w:rsid w:val="00AC1813"/>
    <w:rsid w:val="00AC750B"/>
    <w:rsid w:val="00AD04E3"/>
    <w:rsid w:val="00AD0779"/>
    <w:rsid w:val="00AD4787"/>
    <w:rsid w:val="00AD7C7A"/>
    <w:rsid w:val="00AE1F12"/>
    <w:rsid w:val="00AE3957"/>
    <w:rsid w:val="00AE4155"/>
    <w:rsid w:val="00AE4B7C"/>
    <w:rsid w:val="00AE520A"/>
    <w:rsid w:val="00AF349B"/>
    <w:rsid w:val="00B01B16"/>
    <w:rsid w:val="00B0560B"/>
    <w:rsid w:val="00B13BBA"/>
    <w:rsid w:val="00B14722"/>
    <w:rsid w:val="00B14CDE"/>
    <w:rsid w:val="00B14D80"/>
    <w:rsid w:val="00B20A05"/>
    <w:rsid w:val="00B2218D"/>
    <w:rsid w:val="00B273D5"/>
    <w:rsid w:val="00B274C1"/>
    <w:rsid w:val="00B37C47"/>
    <w:rsid w:val="00B447D7"/>
    <w:rsid w:val="00B462F6"/>
    <w:rsid w:val="00B4757E"/>
    <w:rsid w:val="00B5364C"/>
    <w:rsid w:val="00B54454"/>
    <w:rsid w:val="00B73E99"/>
    <w:rsid w:val="00B74526"/>
    <w:rsid w:val="00B76A1F"/>
    <w:rsid w:val="00B81048"/>
    <w:rsid w:val="00B8153E"/>
    <w:rsid w:val="00B82F8C"/>
    <w:rsid w:val="00B8318A"/>
    <w:rsid w:val="00B958F1"/>
    <w:rsid w:val="00BA36D6"/>
    <w:rsid w:val="00BB0733"/>
    <w:rsid w:val="00BB41AE"/>
    <w:rsid w:val="00BC75F9"/>
    <w:rsid w:val="00BD033D"/>
    <w:rsid w:val="00BD4D03"/>
    <w:rsid w:val="00BD74AE"/>
    <w:rsid w:val="00BE3FE7"/>
    <w:rsid w:val="00BE4786"/>
    <w:rsid w:val="00BF052D"/>
    <w:rsid w:val="00BF2D74"/>
    <w:rsid w:val="00BF4CC8"/>
    <w:rsid w:val="00BF5FB3"/>
    <w:rsid w:val="00BF777B"/>
    <w:rsid w:val="00C004BF"/>
    <w:rsid w:val="00C04AD7"/>
    <w:rsid w:val="00C1124F"/>
    <w:rsid w:val="00C120B6"/>
    <w:rsid w:val="00C16999"/>
    <w:rsid w:val="00C24B32"/>
    <w:rsid w:val="00C32032"/>
    <w:rsid w:val="00C33B18"/>
    <w:rsid w:val="00C37BFF"/>
    <w:rsid w:val="00C47937"/>
    <w:rsid w:val="00C51458"/>
    <w:rsid w:val="00C53580"/>
    <w:rsid w:val="00C55838"/>
    <w:rsid w:val="00C7256C"/>
    <w:rsid w:val="00C77EF7"/>
    <w:rsid w:val="00C820F1"/>
    <w:rsid w:val="00C8285B"/>
    <w:rsid w:val="00C83079"/>
    <w:rsid w:val="00C91512"/>
    <w:rsid w:val="00CA6636"/>
    <w:rsid w:val="00CA6D76"/>
    <w:rsid w:val="00CA6F82"/>
    <w:rsid w:val="00CA7E11"/>
    <w:rsid w:val="00CB094D"/>
    <w:rsid w:val="00CB5083"/>
    <w:rsid w:val="00CD02A6"/>
    <w:rsid w:val="00CD3A11"/>
    <w:rsid w:val="00CE04EC"/>
    <w:rsid w:val="00CE21CB"/>
    <w:rsid w:val="00CE4163"/>
    <w:rsid w:val="00CE64F2"/>
    <w:rsid w:val="00CF4753"/>
    <w:rsid w:val="00CF71C7"/>
    <w:rsid w:val="00D0083B"/>
    <w:rsid w:val="00D00FEF"/>
    <w:rsid w:val="00D027FE"/>
    <w:rsid w:val="00D05445"/>
    <w:rsid w:val="00D07607"/>
    <w:rsid w:val="00D13A4A"/>
    <w:rsid w:val="00D16A4D"/>
    <w:rsid w:val="00D16B23"/>
    <w:rsid w:val="00D31FAD"/>
    <w:rsid w:val="00D36594"/>
    <w:rsid w:val="00D40132"/>
    <w:rsid w:val="00D42618"/>
    <w:rsid w:val="00D44183"/>
    <w:rsid w:val="00D52804"/>
    <w:rsid w:val="00D56938"/>
    <w:rsid w:val="00D62FA2"/>
    <w:rsid w:val="00D65A70"/>
    <w:rsid w:val="00D66C92"/>
    <w:rsid w:val="00D7518B"/>
    <w:rsid w:val="00D76B9C"/>
    <w:rsid w:val="00D84037"/>
    <w:rsid w:val="00D919F8"/>
    <w:rsid w:val="00D92295"/>
    <w:rsid w:val="00DA19FA"/>
    <w:rsid w:val="00DA529F"/>
    <w:rsid w:val="00DB4395"/>
    <w:rsid w:val="00DC5017"/>
    <w:rsid w:val="00DD2459"/>
    <w:rsid w:val="00DD7F1B"/>
    <w:rsid w:val="00DE3D4B"/>
    <w:rsid w:val="00E11C4A"/>
    <w:rsid w:val="00E25832"/>
    <w:rsid w:val="00E35EB2"/>
    <w:rsid w:val="00E41DB9"/>
    <w:rsid w:val="00E456D3"/>
    <w:rsid w:val="00E459E1"/>
    <w:rsid w:val="00E5206C"/>
    <w:rsid w:val="00E569CD"/>
    <w:rsid w:val="00E64260"/>
    <w:rsid w:val="00E7324A"/>
    <w:rsid w:val="00E73C11"/>
    <w:rsid w:val="00E762BB"/>
    <w:rsid w:val="00E8661B"/>
    <w:rsid w:val="00E87FD8"/>
    <w:rsid w:val="00E91E31"/>
    <w:rsid w:val="00E97924"/>
    <w:rsid w:val="00EA689F"/>
    <w:rsid w:val="00EB4ACD"/>
    <w:rsid w:val="00EC4686"/>
    <w:rsid w:val="00EE7D33"/>
    <w:rsid w:val="00EF33BE"/>
    <w:rsid w:val="00F01171"/>
    <w:rsid w:val="00F309CB"/>
    <w:rsid w:val="00F34E03"/>
    <w:rsid w:val="00F3639F"/>
    <w:rsid w:val="00F36DBF"/>
    <w:rsid w:val="00F37C37"/>
    <w:rsid w:val="00F44A0E"/>
    <w:rsid w:val="00F45D5B"/>
    <w:rsid w:val="00F50EDA"/>
    <w:rsid w:val="00F523B7"/>
    <w:rsid w:val="00F53B91"/>
    <w:rsid w:val="00F60482"/>
    <w:rsid w:val="00F715B1"/>
    <w:rsid w:val="00F8287A"/>
    <w:rsid w:val="00F8349E"/>
    <w:rsid w:val="00FA28D3"/>
    <w:rsid w:val="00FB3DDD"/>
    <w:rsid w:val="00FB3EF0"/>
    <w:rsid w:val="00FB4C6F"/>
    <w:rsid w:val="00FB67CE"/>
    <w:rsid w:val="00FB6C6C"/>
    <w:rsid w:val="00FB6D19"/>
    <w:rsid w:val="00FC3F00"/>
    <w:rsid w:val="00FC4A94"/>
    <w:rsid w:val="00FC5AF0"/>
    <w:rsid w:val="00FC6E0F"/>
    <w:rsid w:val="00FE1CBC"/>
    <w:rsid w:val="00FE270D"/>
    <w:rsid w:val="00FF1D71"/>
    <w:rsid w:val="00FF7742"/>
    <w:rsid w:val="034942F8"/>
    <w:rsid w:val="1B72662D"/>
    <w:rsid w:val="1DE0E39E"/>
    <w:rsid w:val="3EF420C8"/>
    <w:rsid w:val="5ADF5C56"/>
    <w:rsid w:val="74F93BBC"/>
    <w:rsid w:val="7A5CA610"/>
    <w:rsid w:val="7D7B1E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5BEF3DC2-B169-4B01-9DB2-07387EFA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Styl,Style 11,Style 12,Style 13,Style 15,Style 16,Style 17,Style 18,Style 19,Style 20,Style 28,Style 7,Style 8,Style 9,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UnresolvedMention">
    <w:name w:val="Unresolved Mention"/>
    <w:basedOn w:val="DefaultParagraphFont"/>
    <w:uiPriority w:val="99"/>
    <w:semiHidden/>
    <w:unhideWhenUsed/>
    <w:rsid w:val="00BF777B"/>
    <w:rPr>
      <w:color w:val="605E5C"/>
      <w:shd w:val="clear" w:color="auto" w:fill="E1DFDD"/>
    </w:rPr>
  </w:style>
  <w:style w:type="paragraph" w:styleId="ListParagraph">
    <w:name w:val="List Paragraph"/>
    <w:basedOn w:val="Normal"/>
    <w:uiPriority w:val="34"/>
    <w:qFormat/>
    <w:rsid w:val="00314877"/>
    <w:pPr>
      <w:ind w:left="720"/>
      <w:contextualSpacing/>
    </w:pPr>
  </w:style>
  <w:style w:type="character" w:styleId="FollowedHyperlink">
    <w:name w:val="FollowedHyperlink"/>
    <w:basedOn w:val="DefaultParagraphFont"/>
    <w:uiPriority w:val="99"/>
    <w:semiHidden/>
    <w:unhideWhenUsed/>
    <w:rsid w:val="006169DF"/>
    <w:rPr>
      <w:color w:val="954F72" w:themeColor="followedHyperlink"/>
      <w:u w:val="single"/>
    </w:rPr>
  </w:style>
  <w:style w:type="table" w:styleId="TableGrid">
    <w:name w:val="Table Grid"/>
    <w:basedOn w:val="TableNormal"/>
    <w:uiPriority w:val="39"/>
    <w:rsid w:val="00FF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https://www.ferc.gov/ferc-online/overview"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F7AEB66-7C6B-4B1C-8186-475AE981FD6E}">
  <ds:schemaRefs>
    <ds:schemaRef ds:uri="Microsoft.SharePoint.Taxonomy.ContentTypeSync"/>
  </ds:schemaRefs>
</ds:datastoreItem>
</file>

<file path=customXml/itemProps3.xml><?xml version="1.0" encoding="utf-8"?>
<ds:datastoreItem xmlns:ds="http://schemas.openxmlformats.org/officeDocument/2006/customXml" ds:itemID="{0D3FBD16-6606-4999-8545-8D016F1D713E}">
  <ds:schemaRefs>
    <ds:schemaRef ds:uri="http://schemas.openxmlformats.org/officeDocument/2006/bibliography"/>
  </ds:schemaRefs>
</ds:datastoreItem>
</file>

<file path=customXml/itemProps4.xml><?xml version="1.0" encoding="utf-8"?>
<ds:datastoreItem xmlns:ds="http://schemas.openxmlformats.org/officeDocument/2006/customXml" ds:itemID="{12FC73FE-26B7-4BC2-9D84-50B5FDFEB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2018-03-29T18:10:00Z</cp:lastPrinted>
  <dcterms:created xsi:type="dcterms:W3CDTF">2024-04-18T20:12:00Z</dcterms:created>
  <dcterms:modified xsi:type="dcterms:W3CDTF">2024-04-18T20:12:00Z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30c50274-3f86-4570-8fa9-e76bd80e6044</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2024-04-18T20:09:24Z</vt:lpwstr>
  </property>
  <property fmtid="{D5CDD505-2E9C-101B-9397-08002B2CF9AE}" pid="8" name="MSIP_Label_6155a89b-0f08-4a93-8ea2-8a916d6643b5_SiteId">
    <vt:lpwstr>19caa9e9-04ff-43fa-885f-d77fac387903</vt:lpwstr>
  </property>
</Properties>
</file>