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92801" w:rsidRPr="00B36F4D" w:rsidP="00292801" w14:paraId="62D7A0AB" w14:textId="77777777">
      <w:pPr>
        <w:pStyle w:val="L1-FlLSp12"/>
        <w:jc w:val="center"/>
        <w:rPr>
          <w:b/>
        </w:rPr>
      </w:pPr>
      <w:r w:rsidRPr="00B36F4D">
        <w:rPr>
          <w:b/>
        </w:rPr>
        <w:t>SUPPORTING STATEMENT</w:t>
      </w:r>
    </w:p>
    <w:p w:rsidR="00292801" w:rsidRPr="00B36F4D" w:rsidP="00292801" w14:paraId="053BB2FD" w14:textId="77777777">
      <w:pPr>
        <w:pStyle w:val="L1-FlLSp12"/>
        <w:jc w:val="center"/>
        <w:rPr>
          <w:b/>
        </w:rPr>
      </w:pPr>
      <w:r>
        <w:rPr>
          <w:b/>
        </w:rPr>
        <w:t xml:space="preserve">2024 </w:t>
      </w:r>
      <w:r w:rsidRPr="00B36F4D">
        <w:rPr>
          <w:b/>
        </w:rPr>
        <w:t>N</w:t>
      </w:r>
      <w:r>
        <w:rPr>
          <w:b/>
        </w:rPr>
        <w:t>extGen N</w:t>
      </w:r>
      <w:r w:rsidRPr="00B36F4D">
        <w:rPr>
          <w:b/>
        </w:rPr>
        <w:t>ational Household Travel Survey</w:t>
      </w:r>
      <w:r>
        <w:rPr>
          <w:b/>
        </w:rPr>
        <w:t xml:space="preserve"> (NHTS) Developing and Delivering Post-Pandemic National Traveler Behavior Core Data</w:t>
      </w:r>
    </w:p>
    <w:p w:rsidR="00292801" w:rsidRPr="00B36F4D" w:rsidP="00292801" w14:paraId="5E4E58D8" w14:textId="77777777">
      <w:pPr>
        <w:pStyle w:val="L1-FlLSp12"/>
      </w:pPr>
    </w:p>
    <w:p w:rsidR="00292801" w:rsidRPr="00B36F4D" w:rsidP="00292801" w14:paraId="7EB33480" w14:textId="35B24BFB">
      <w:pPr>
        <w:pStyle w:val="NHTSBody"/>
      </w:pPr>
      <w:r w:rsidRPr="00B36F4D">
        <w:t xml:space="preserve">This is </w:t>
      </w:r>
      <w:r>
        <w:t>a</w:t>
      </w:r>
      <w:r w:rsidRPr="00B36F4D">
        <w:t xml:space="preserve"> request</w:t>
      </w:r>
      <w:r>
        <w:t xml:space="preserve"> for</w:t>
      </w:r>
      <w:r w:rsidRPr="00B36F4D">
        <w:t xml:space="preserve"> </w:t>
      </w:r>
      <w:r>
        <w:t xml:space="preserve">an </w:t>
      </w:r>
      <w:r w:rsidRPr="00B36F4D">
        <w:t xml:space="preserve">Office of Management and Budget (OMB) approved clearance for </w:t>
      </w:r>
      <w:r w:rsidR="00A04198">
        <w:t xml:space="preserve">revision of a currently approved </w:t>
      </w:r>
      <w:r w:rsidRPr="00B36F4D" w:rsidR="00A04198">
        <w:t xml:space="preserve">information collection </w:t>
      </w:r>
      <w:r w:rsidRPr="00B36F4D">
        <w:t>entitled “</w:t>
      </w:r>
      <w:r>
        <w:t xml:space="preserve">2024 Next Generation </w:t>
      </w:r>
      <w:r w:rsidRPr="00B36F4D">
        <w:t>National Household Travel Survey</w:t>
      </w:r>
      <w:r>
        <w:t>” (NextGen NHTS)</w:t>
      </w:r>
      <w:r w:rsidRPr="00B36F4D">
        <w:t>.</w:t>
      </w:r>
    </w:p>
    <w:p w:rsidR="006109AD" w:rsidRPr="007F17F7" w:rsidP="000367D8" w14:paraId="0E4CA2C5" w14:textId="77777777">
      <w:pPr>
        <w:pStyle w:val="Heading1"/>
      </w:pPr>
      <w:r w:rsidRPr="007F17F7">
        <w:t>Part B. Statistical Methods</w:t>
      </w:r>
    </w:p>
    <w:p w:rsidR="006109AD" w:rsidRPr="007F17F7" w:rsidP="003C0D0A" w14:paraId="6C637EDA" w14:textId="3E8B77E7">
      <w:pPr>
        <w:pStyle w:val="Heading2"/>
        <w:numPr>
          <w:ilvl w:val="0"/>
          <w:numId w:val="26"/>
        </w:numPr>
      </w:pPr>
      <w:r w:rsidRPr="007F17F7">
        <w:t>Describe potential respondent universe and any sampling selection method to be used</w:t>
      </w:r>
    </w:p>
    <w:p w:rsidR="006109AD" w:rsidRPr="007F17F7" w:rsidP="00FF61C0" w14:paraId="051704A3" w14:textId="5E5FE820">
      <w:pPr>
        <w:pStyle w:val="NHTSBody"/>
      </w:pPr>
      <w:r>
        <w:t xml:space="preserve">The NHTS is a study conducted by the U.S. Department of Transportation (DOT) Federal Highway Administration (FHWA) </w:t>
      </w:r>
      <w:r w:rsidR="004D2560">
        <w:t>to</w:t>
      </w:r>
      <w:r>
        <w:t xml:space="preserve"> obtain data on key aspects of travel by the American public. The survey is focused on the household as the basic unit of observation.</w:t>
      </w:r>
    </w:p>
    <w:p w:rsidR="29453964" w:rsidP="58D3A15B" w14:paraId="48855370" w14:textId="49C5A405">
      <w:pPr>
        <w:pStyle w:val="NHTSBody"/>
        <w:rPr>
          <w:vertAlign w:val="subscript"/>
        </w:rPr>
      </w:pPr>
      <w:r>
        <w:t>The sample design for the 2024 NHTS uses address-based sampling (ABS)</w:t>
      </w:r>
      <w:r w:rsidR="0F6D0B0B">
        <w:t>, a</w:t>
      </w:r>
      <w:r>
        <w:t xml:space="preserve"> design</w:t>
      </w:r>
      <w:r w:rsidR="2455CFEE">
        <w:t xml:space="preserve"> that</w:t>
      </w:r>
      <w:r>
        <w:t xml:space="preserve"> uses a frame that covers virtually all households. It is imperative </w:t>
      </w:r>
      <w:r w:rsidR="16426A19">
        <w:t xml:space="preserve">also </w:t>
      </w:r>
      <w:r>
        <w:t xml:space="preserve">to address overall declining response rates, with significant focus placed on the respondent experience. For further information about the survey design contact Daniel Jenkins at FHWA, 202-366-1067, </w:t>
      </w:r>
      <w:hyperlink r:id="rId9" w:history="1">
        <w:r>
          <w:t>Daniel.Jenkins@dot.gov</w:t>
        </w:r>
      </w:hyperlink>
      <w:r w:rsidRPr="58D3A15B">
        <w:rPr>
          <w:rStyle w:val="Hyperlink"/>
        </w:rPr>
        <w:t>.</w:t>
      </w:r>
    </w:p>
    <w:p w:rsidR="006109AD" w:rsidRPr="007F17F7" w:rsidP="00FF61C0" w14:paraId="711FB65A" w14:textId="6CA47682">
      <w:pPr>
        <w:pStyle w:val="Heading3"/>
      </w:pPr>
      <w:r w:rsidRPr="007F17F7">
        <w:t>Respondent Universe</w:t>
      </w:r>
    </w:p>
    <w:p w:rsidR="006109AD" w:rsidRPr="007F17F7" w:rsidP="00FF61C0" w14:paraId="68A39726" w14:textId="1DA06C27">
      <w:pPr>
        <w:pStyle w:val="NHTSBody"/>
      </w:pPr>
      <w:r w:rsidRPr="007F17F7">
        <w:t xml:space="preserve">The population of inferential interest for the </w:t>
      </w:r>
      <w:r w:rsidR="001069CD">
        <w:t>2024 NextGen NHTS</w:t>
      </w:r>
      <w:r w:rsidRPr="007F17F7">
        <w:t xml:space="preserve"> </w:t>
      </w:r>
      <w:r w:rsidR="004D2560">
        <w:t>i</w:t>
      </w:r>
      <w:r w:rsidRPr="007F17F7">
        <w:t>s defined as households living in the U.S, excluding group quarters</w:t>
      </w:r>
      <w:r>
        <w:rPr>
          <w:rStyle w:val="FootnoteReference"/>
        </w:rPr>
        <w:footnoteReference w:id="3"/>
      </w:r>
      <w:r w:rsidRPr="007F17F7">
        <w:t>. The universe for sample selection is households within the 50 states and the District of Columbia.</w:t>
      </w:r>
    </w:p>
    <w:p w:rsidR="00B31A1B" w:rsidP="00FF61C0" w14:paraId="6F5E0217" w14:textId="4DD76066">
      <w:pPr>
        <w:pStyle w:val="NHTSBody"/>
        <w:rPr>
          <w:rStyle w:val="normaltextrun"/>
          <w:color w:val="000000"/>
          <w:szCs w:val="22"/>
          <w:shd w:val="clear" w:color="auto" w:fill="FFFFFF"/>
        </w:rPr>
      </w:pPr>
      <w:r w:rsidRPr="007F17F7">
        <w:t xml:space="preserve">The </w:t>
      </w:r>
      <w:r w:rsidR="001069CD">
        <w:t>2024 NextGen NHTS</w:t>
      </w:r>
      <w:r w:rsidRPr="007F17F7">
        <w:t xml:space="preserve"> will comprise a sample of addresses that will be selected from the ABS frame maintained by Marketing Systems Group (MSG). MSG’s ABS frame originates from the U.S. Postal Service (USPS) Computerized Delivery Sequence file (CDS</w:t>
      </w:r>
      <w:r w:rsidRPr="007F17F7" w:rsidR="00D2690A">
        <w:t>) and</w:t>
      </w:r>
      <w:r w:rsidRPr="007F17F7">
        <w:t xml:space="preserve"> is updated </w:t>
      </w:r>
      <w:r w:rsidRPr="007F17F7" w:rsidR="00C479DF">
        <w:t>monthly</w:t>
      </w:r>
      <w:r w:rsidRPr="007F17F7">
        <w:t>.</w:t>
      </w:r>
      <w:r>
        <w:t xml:space="preserve"> </w:t>
      </w:r>
      <w:r w:rsidR="00B05099">
        <w:rPr>
          <w:rStyle w:val="normaltextrun"/>
          <w:color w:val="000000"/>
          <w:szCs w:val="22"/>
          <w:shd w:val="clear" w:color="auto" w:fill="FFFFFF"/>
        </w:rPr>
        <w:t xml:space="preserve">The </w:t>
      </w:r>
      <w:r w:rsidR="005E4651">
        <w:rPr>
          <w:rStyle w:val="normaltextrun"/>
          <w:color w:val="000000"/>
          <w:szCs w:val="22"/>
          <w:shd w:val="clear" w:color="auto" w:fill="FFFFFF"/>
        </w:rPr>
        <w:t xml:space="preserve">survey contractor </w:t>
      </w:r>
      <w:r w:rsidR="00B05099">
        <w:rPr>
          <w:rStyle w:val="normaltextrun"/>
          <w:color w:val="000000"/>
          <w:szCs w:val="22"/>
          <w:shd w:val="clear" w:color="auto" w:fill="FFFFFF"/>
        </w:rPr>
        <w:t>team</w:t>
      </w:r>
      <w:r w:rsidR="00C53FA8">
        <w:rPr>
          <w:rStyle w:val="normaltextrun"/>
          <w:color w:val="000000"/>
          <w:szCs w:val="22"/>
          <w:shd w:val="clear" w:color="auto" w:fill="FFFFFF"/>
        </w:rPr>
        <w:t xml:space="preserve"> has decades-long experience in obtaining samples (both random digit dial and ABS) from MSG, and </w:t>
      </w:r>
      <w:r w:rsidR="00330AB1">
        <w:rPr>
          <w:rStyle w:val="normaltextrun"/>
          <w:color w:val="000000"/>
          <w:szCs w:val="22"/>
          <w:shd w:val="clear" w:color="auto" w:fill="FFFFFF"/>
        </w:rPr>
        <w:t xml:space="preserve">their </w:t>
      </w:r>
      <w:r w:rsidR="00C53FA8">
        <w:rPr>
          <w:rStyle w:val="normaltextrun"/>
          <w:color w:val="000000"/>
          <w:szCs w:val="22"/>
          <w:shd w:val="clear" w:color="auto" w:fill="FFFFFF"/>
        </w:rPr>
        <w:t xml:space="preserve">evaluations have consistently found MSG’s sampling frames to be of very high quality. </w:t>
      </w:r>
    </w:p>
    <w:p w:rsidR="006109AD" w:rsidRPr="007F17F7" w:rsidP="00FF61C0" w14:paraId="4D812ACC" w14:textId="220E68C7">
      <w:pPr>
        <w:pStyle w:val="NHTSBody"/>
      </w:pPr>
      <w:r>
        <w:t>MSG</w:t>
      </w:r>
      <w:r>
        <w:t xml:space="preserve"> has taken great strides to evaluate and enhance the standard CDS-based list. For example, MSG has augmented simplified addresses with no specific street address to provide an ability to match auxiliary variables to a set of sampled addresses. In addition, use of this ABS frame can associate characteristics such as Hispanic surnames that can be matched to about 90 percent of addresses. Other characteristics of addresses (e.g., race/ethnicity, education, household income) may also be matched to some addresses. However, these items are subject to error (see Roth, Han &amp;</w:t>
      </w:r>
      <w:r w:rsidR="00DC712A">
        <w:t xml:space="preserve"> </w:t>
      </w:r>
      <w:r>
        <w:t>Montaquila, 2013</w:t>
      </w:r>
      <w:r>
        <w:rPr>
          <w:rStyle w:val="FootnoteReference"/>
          <w:szCs w:val="22"/>
        </w:rPr>
        <w:footnoteReference w:id="4"/>
      </w:r>
      <w:r>
        <w:t xml:space="preserve">), but may still prove useful for data collection purposes. Another benefit to MSG addresses is that their addresses are geocoded which </w:t>
      </w:r>
      <w:r>
        <w:t xml:space="preserve">can be appended to the Decennial Census and the American Community Survey characteristics of block, block group, and track level, which is very useful for data collection </w:t>
      </w:r>
      <w:r w:rsidR="001C4E36">
        <w:t xml:space="preserve">and/or weighting </w:t>
      </w:r>
      <w:r>
        <w:t>purposes.</w:t>
      </w:r>
    </w:p>
    <w:p w:rsidR="008D7203" w:rsidP="00FF61C0" w14:paraId="21A4623F" w14:textId="19D7ECDD">
      <w:pPr>
        <w:pStyle w:val="NHTSBody"/>
        <w:rPr>
          <w:rStyle w:val="eop"/>
          <w:color w:val="000000"/>
          <w:shd w:val="clear" w:color="auto" w:fill="FFFFFF"/>
        </w:rPr>
      </w:pPr>
      <w:r>
        <w:rPr>
          <w:rStyle w:val="normaltextrun"/>
          <w:color w:val="000000"/>
          <w:shd w:val="clear" w:color="auto" w:fill="FFFFFF"/>
        </w:rPr>
        <w:t xml:space="preserve">The ABS frame is comprehensive, covering nearly 100 percent of the households in the United States. Variations in achieved coverage rates that have been described in the literature are due primarily to two factors: the treatment of households that receive mail only through P.O. box addresses (referred to as “only way to get mail,” or OWGM, P.O. box households) and the impact of geocoding errors. To ensure full coverage, OWGM P.O. box households </w:t>
      </w:r>
      <w:r w:rsidR="007127EA">
        <w:rPr>
          <w:rStyle w:val="normaltextrun"/>
          <w:color w:val="000000"/>
          <w:shd w:val="clear" w:color="auto" w:fill="FFFFFF"/>
        </w:rPr>
        <w:t xml:space="preserve">will be included </w:t>
      </w:r>
      <w:r>
        <w:rPr>
          <w:rStyle w:val="normaltextrun"/>
          <w:color w:val="000000"/>
          <w:shd w:val="clear" w:color="auto" w:fill="FFFFFF"/>
        </w:rPr>
        <w:t>as a part of the sample frame. Additionally, since the NHTS is a national sample, geocoding errors (essentially, inaccurate placement of an address on a map) do not affect coverage.</w:t>
      </w:r>
    </w:p>
    <w:p w:rsidR="006109AD" w:rsidRPr="007F17F7" w:rsidP="00FF61C0" w14:paraId="63BD89FF" w14:textId="77777777">
      <w:pPr>
        <w:pStyle w:val="Heading3"/>
      </w:pPr>
      <w:r w:rsidRPr="007F17F7">
        <w:t>Sample Selection</w:t>
      </w:r>
    </w:p>
    <w:p w:rsidR="006109AD" w:rsidRPr="00B05762" w:rsidP="00B05762" w14:paraId="2F9238B8" w14:textId="3808C140">
      <w:pPr>
        <w:pStyle w:val="NHTSBody"/>
      </w:pPr>
      <w:r w:rsidRPr="00B05762">
        <w:t xml:space="preserve">The </w:t>
      </w:r>
      <w:r w:rsidR="001069CD">
        <w:t>2024 NextGen NHTS</w:t>
      </w:r>
      <w:r w:rsidRPr="00B05762">
        <w:t xml:space="preserve"> will </w:t>
      </w:r>
      <w:r w:rsidRPr="00B05762" w:rsidR="008E70D8">
        <w:t>target the captur</w:t>
      </w:r>
      <w:r w:rsidRPr="00B05762" w:rsidR="009C3CD1">
        <w:t xml:space="preserve">e of travel behavior data from a sample of 7,500 households across the nation </w:t>
      </w:r>
      <w:r w:rsidRPr="00B05762">
        <w:t xml:space="preserve">using an Address Based Sampling frame as discussed above. </w:t>
      </w:r>
      <w:r w:rsidR="003B382F">
        <w:t xml:space="preserve">The sample will be stratified by Census Division and urban/rural classification (18 </w:t>
      </w:r>
      <w:r w:rsidR="006761B0">
        <w:t>groups</w:t>
      </w:r>
      <w:r w:rsidR="003B382F">
        <w:t xml:space="preserve"> total)</w:t>
      </w:r>
      <w:r w:rsidRPr="00B05762" w:rsidR="5AADFF3E">
        <w:t>.</w:t>
      </w:r>
      <w:r w:rsidRPr="00B05762" w:rsidR="009C3CD1">
        <w:t xml:space="preserve"> </w:t>
      </w:r>
      <w:r w:rsidRPr="00B05762" w:rsidR="00922B22">
        <w:rPr>
          <w:rStyle w:val="normaltextrun"/>
        </w:rPr>
        <w:t xml:space="preserve">The target sample size (of responding households) will then be initially allocated among the strata according to the proportion of addresses falling in the stratum determined by the counts of </w:t>
      </w:r>
      <w:r w:rsidRPr="01DE08E6" w:rsidR="27FC0E8B">
        <w:rPr>
          <w:rStyle w:val="normaltextrun"/>
        </w:rPr>
        <w:t>occ</w:t>
      </w:r>
      <w:r w:rsidR="00703B3A">
        <w:rPr>
          <w:rStyle w:val="normaltextrun"/>
        </w:rPr>
        <w:t>up</w:t>
      </w:r>
      <w:r w:rsidRPr="01DE08E6" w:rsidR="27FC0E8B">
        <w:rPr>
          <w:rStyle w:val="normaltextrun"/>
        </w:rPr>
        <w:t>ied housing units</w:t>
      </w:r>
      <w:r w:rsidRPr="00B05762" w:rsidR="00922B22">
        <w:rPr>
          <w:rStyle w:val="normaltextrun"/>
        </w:rPr>
        <w:t xml:space="preserve"> from the </w:t>
      </w:r>
      <w:r w:rsidRPr="01DE08E6" w:rsidR="619E95BF">
        <w:rPr>
          <w:rStyle w:val="normaltextrun"/>
        </w:rPr>
        <w:t>2020 Decennial Census</w:t>
      </w:r>
      <w:r w:rsidRPr="01DE08E6" w:rsidR="00922B22">
        <w:rPr>
          <w:rStyle w:val="normaltextrun"/>
        </w:rPr>
        <w:t>.</w:t>
      </w:r>
    </w:p>
    <w:p w:rsidR="00626C1F" w:rsidRPr="00B05762" w:rsidP="00B05762" w14:paraId="7A63E2EB" w14:textId="37A544B5">
      <w:pPr>
        <w:pStyle w:val="NHTSBody"/>
        <w:rPr>
          <w:rStyle w:val="normaltextrun"/>
        </w:rPr>
      </w:pPr>
      <w:r w:rsidRPr="00B05762">
        <w:rPr>
          <w:rStyle w:val="normaltextrun"/>
        </w:rPr>
        <w:t>Once the sample of responding households has been allocated in the manner described above, the sample size will be inflated to account for expected losses due to ineligible addresses (an assumed rate of e</w:t>
      </w:r>
      <w:r w:rsidRPr="00B05762" w:rsidR="52B61980">
        <w:rPr>
          <w:rStyle w:val="normaltextrun"/>
        </w:rPr>
        <w:t>ight</w:t>
      </w:r>
      <w:r w:rsidRPr="00B05762">
        <w:rPr>
          <w:rStyle w:val="normaltextrun"/>
        </w:rPr>
        <w:t xml:space="preserve"> percent of addresses, based on other National ABS mail studies conducted by </w:t>
      </w:r>
      <w:r w:rsidR="00477DE1">
        <w:rPr>
          <w:rStyle w:val="normaltextrun"/>
        </w:rPr>
        <w:t>the survey contractor team</w:t>
      </w:r>
      <w:r w:rsidRPr="00B05762">
        <w:rPr>
          <w:rStyle w:val="normaltextrun"/>
        </w:rPr>
        <w:t xml:space="preserve">), response to the recruitment effort (an assumed response rate of 26 percent of eligible addresses), and response to the diary survey (an assumed response rate of 60 percent of recruited households). An estimated </w:t>
      </w:r>
      <w:r w:rsidR="00F519B7">
        <w:rPr>
          <w:rStyle w:val="normaltextrun"/>
        </w:rPr>
        <w:t>52,258</w:t>
      </w:r>
      <w:r w:rsidRPr="00B05762">
        <w:rPr>
          <w:rStyle w:val="normaltextrun"/>
        </w:rPr>
        <w:t xml:space="preserve"> addresses will be sampled to yield 7,500 completed households. </w:t>
      </w:r>
    </w:p>
    <w:p w:rsidR="006109AD" w:rsidRPr="00B05762" w:rsidP="00B05762" w14:paraId="094CF591" w14:textId="01457403">
      <w:pPr>
        <w:pStyle w:val="NHTSBody"/>
      </w:pPr>
      <w:r>
        <w:rPr>
          <w:rStyle w:val="normaltextrun"/>
        </w:rPr>
        <w:t>A</w:t>
      </w:r>
      <w:r w:rsidRPr="00B05762" w:rsidR="00AD2476">
        <w:rPr>
          <w:rStyle w:val="normaltextrun"/>
        </w:rPr>
        <w:t xml:space="preserve">n additional reserve sample of addresses </w:t>
      </w:r>
      <w:r>
        <w:rPr>
          <w:rStyle w:val="normaltextrun"/>
        </w:rPr>
        <w:t>will be selected</w:t>
      </w:r>
      <w:r w:rsidR="001B4211">
        <w:rPr>
          <w:rStyle w:val="normaltextrun"/>
        </w:rPr>
        <w:t xml:space="preserve">, </w:t>
      </w:r>
      <w:r w:rsidRPr="00B05762" w:rsidR="00AD2476">
        <w:rPr>
          <w:rStyle w:val="normaltextrun"/>
        </w:rPr>
        <w:t>to be fielded</w:t>
      </w:r>
      <w:r w:rsidR="001B4211">
        <w:rPr>
          <w:rStyle w:val="normaltextrun"/>
        </w:rPr>
        <w:t>,</w:t>
      </w:r>
      <w:r w:rsidRPr="00B05762" w:rsidR="00AD2476">
        <w:rPr>
          <w:rStyle w:val="normaltextrun"/>
        </w:rPr>
        <w:t xml:space="preserve"> if response rates are below expected rates. The rates given here are overall National rates; varying response rates among strata will be used based on relative rates from a prior NHTS (either the </w:t>
      </w:r>
      <w:r w:rsidRPr="00B05762" w:rsidR="009D2663">
        <w:rPr>
          <w:rStyle w:val="normaltextrun"/>
        </w:rPr>
        <w:t>202</w:t>
      </w:r>
      <w:r w:rsidR="009D2663">
        <w:rPr>
          <w:rStyle w:val="normaltextrun"/>
        </w:rPr>
        <w:t>2</w:t>
      </w:r>
      <w:r w:rsidRPr="00B05762" w:rsidR="009D2663">
        <w:rPr>
          <w:rStyle w:val="normaltextrun"/>
        </w:rPr>
        <w:t xml:space="preserve"> </w:t>
      </w:r>
      <w:r w:rsidRPr="00B05762" w:rsidR="00AD2476">
        <w:rPr>
          <w:rStyle w:val="normaltextrun"/>
        </w:rPr>
        <w:t xml:space="preserve">NHTS, if available, or the 2017 NHTS). These differences (departures from proportional allocation of responding households and variations in response rates) will result in a sample of addresses selected with variable sampling rates. </w:t>
      </w:r>
      <w:r w:rsidRPr="00B05762">
        <w:t>These variations in sampling rates will be properly accounted for in the computation of the survey weights.</w:t>
      </w:r>
    </w:p>
    <w:p w:rsidR="009B179B" w:rsidP="009B179B" w14:paraId="4CB6EE66" w14:textId="27AA252D">
      <w:pPr>
        <w:pStyle w:val="NHTSBody"/>
      </w:pPr>
      <w:r w:rsidRPr="00B05762">
        <w:rPr>
          <w:rStyle w:val="normaltextrun"/>
        </w:rPr>
        <w:t xml:space="preserve">Within each </w:t>
      </w:r>
      <w:r w:rsidR="003B382F">
        <w:rPr>
          <w:rStyle w:val="normaltextrun"/>
        </w:rPr>
        <w:t>of the 18 strat</w:t>
      </w:r>
      <w:r w:rsidR="006761B0">
        <w:rPr>
          <w:rStyle w:val="normaltextrun"/>
        </w:rPr>
        <w:t>a</w:t>
      </w:r>
      <w:r w:rsidR="003B382F">
        <w:rPr>
          <w:rStyle w:val="normaltextrun"/>
        </w:rPr>
        <w:t xml:space="preserve"> (9 Census Divisions by Urban/Rural classification) </w:t>
      </w:r>
      <w:r w:rsidRPr="00B05762">
        <w:rPr>
          <w:rStyle w:val="normaltextrun"/>
        </w:rPr>
        <w:t>, the ABS frame will be sorted in a prescribed manner prior to sample selection. The sort used by MSG is geographic in nature, and addresses are sampled systematically using the geographic sort.</w:t>
      </w:r>
      <w:r w:rsidRPr="00B05762" w:rsidR="00FF61C0">
        <w:t xml:space="preserve"> </w:t>
      </w:r>
      <w:r w:rsidRPr="001F241E">
        <w:t xml:space="preserve">As summarized in Table 1, </w:t>
      </w:r>
      <w:r>
        <w:t>the survey contractor’s</w:t>
      </w:r>
      <w:r w:rsidRPr="001F241E">
        <w:t xml:space="preserve"> experience with similar past </w:t>
      </w:r>
      <w:r>
        <w:t>HTS</w:t>
      </w:r>
      <w:r w:rsidRPr="001F241E">
        <w:t xml:space="preserve"> suggests that a total of </w:t>
      </w:r>
      <w:r w:rsidR="00082A1E">
        <w:t>52,258</w:t>
      </w:r>
      <w:r w:rsidRPr="001F241E">
        <w:t xml:space="preserve"> households will need to be sampled to ensure no less than 7,500 surveys are completed for the NHTS 202</w:t>
      </w:r>
      <w:r>
        <w:t xml:space="preserve">4. </w:t>
      </w:r>
      <w:r w:rsidRPr="00B05762">
        <w:t xml:space="preserve">Table </w:t>
      </w:r>
      <w:r>
        <w:t>2</w:t>
      </w:r>
      <w:r w:rsidRPr="00B05762">
        <w:t xml:space="preserve"> presents the estimated sample sizes aggregated over the sub-strata described above</w:t>
      </w:r>
      <w:r>
        <w:t>.</w:t>
      </w:r>
    </w:p>
    <w:p w:rsidR="006109AD" w:rsidRPr="00B05762" w:rsidP="00B05762" w14:paraId="770F1269" w14:textId="30EAC906">
      <w:pPr>
        <w:pStyle w:val="NHTSBody"/>
      </w:pPr>
    </w:p>
    <w:p w:rsidR="009B179B" w14:paraId="372DBDFC" w14:textId="77777777">
      <w:pPr>
        <w:tabs>
          <w:tab w:val="clear" w:pos="1152"/>
        </w:tabs>
        <w:spacing w:after="200" w:line="276" w:lineRule="auto"/>
        <w:sectPr>
          <w:footerReference w:type="default" r:id="rId10"/>
          <w:pgSz w:w="12240" w:h="15840"/>
          <w:pgMar w:top="1440" w:right="1440" w:bottom="1440" w:left="1440" w:header="720" w:footer="720" w:gutter="0"/>
          <w:cols w:space="720"/>
          <w:docGrid w:linePitch="360"/>
        </w:sectPr>
      </w:pPr>
    </w:p>
    <w:p w:rsidR="009B179B" w:rsidRPr="00A04495" w:rsidP="009B179B" w14:paraId="720F5E4F" w14:textId="77777777">
      <w:pPr>
        <w:tabs>
          <w:tab w:val="clear" w:pos="1152"/>
        </w:tabs>
        <w:spacing w:after="200" w:line="276" w:lineRule="auto"/>
      </w:pPr>
      <w:r w:rsidRPr="00A04495">
        <w:t xml:space="preserve">Table 1. </w:t>
      </w:r>
      <w:r>
        <w:t>Universe and Sampling Assumptions</w:t>
      </w:r>
    </w:p>
    <w:tbl>
      <w:tblPr>
        <w:tblStyle w:val="TableGrid"/>
        <w:tblW w:w="5000" w:type="pct"/>
        <w:tblLook w:val="04A0"/>
      </w:tblPr>
      <w:tblGrid>
        <w:gridCol w:w="6475"/>
        <w:gridCol w:w="6475"/>
      </w:tblGrid>
      <w:tr w14:paraId="29F02F21" w14:textId="77777777" w:rsidTr="0092783F">
        <w:tblPrEx>
          <w:tblW w:w="5000" w:type="pct"/>
          <w:tblLook w:val="04A0"/>
        </w:tblPrEx>
        <w:tc>
          <w:tcPr>
            <w:tcW w:w="2500" w:type="pct"/>
            <w:shd w:val="clear" w:color="auto" w:fill="0070C0"/>
          </w:tcPr>
          <w:p w:rsidR="009B179B" w:rsidRPr="009205E5" w:rsidP="0092783F" w14:paraId="52A1E9CB" w14:textId="77777777">
            <w:pPr>
              <w:jc w:val="center"/>
              <w:rPr>
                <w:rFonts w:eastAsia="Calibri"/>
                <w:b/>
                <w:color w:val="FFFFFF" w:themeColor="background1"/>
                <w:sz w:val="20"/>
                <w:szCs w:val="20"/>
              </w:rPr>
            </w:pPr>
            <w:r w:rsidRPr="009205E5">
              <w:rPr>
                <w:rFonts w:eastAsia="Calibri"/>
                <w:b/>
                <w:color w:val="FFFFFF" w:themeColor="background1"/>
                <w:sz w:val="20"/>
                <w:szCs w:val="20"/>
              </w:rPr>
              <w:t>Description</w:t>
            </w:r>
          </w:p>
        </w:tc>
        <w:tc>
          <w:tcPr>
            <w:tcW w:w="2500" w:type="pct"/>
            <w:shd w:val="clear" w:color="auto" w:fill="0070C0"/>
          </w:tcPr>
          <w:p w:rsidR="009B179B" w:rsidRPr="009205E5" w:rsidP="0092783F" w14:paraId="2892FC92" w14:textId="77777777">
            <w:pPr>
              <w:jc w:val="center"/>
              <w:rPr>
                <w:rFonts w:eastAsia="Calibri"/>
                <w:b/>
                <w:color w:val="FFFFFF" w:themeColor="background1"/>
                <w:sz w:val="20"/>
                <w:szCs w:val="20"/>
              </w:rPr>
            </w:pPr>
            <w:r>
              <w:rPr>
                <w:rFonts w:eastAsia="Calibri"/>
                <w:b/>
                <w:color w:val="FFFFFF" w:themeColor="background1"/>
                <w:sz w:val="20"/>
                <w:szCs w:val="20"/>
              </w:rPr>
              <w:t>Households</w:t>
            </w:r>
          </w:p>
        </w:tc>
      </w:tr>
      <w:tr w14:paraId="413215B8" w14:textId="77777777" w:rsidTr="0092783F">
        <w:tblPrEx>
          <w:tblW w:w="5000" w:type="pct"/>
          <w:tblLook w:val="04A0"/>
        </w:tblPrEx>
        <w:tc>
          <w:tcPr>
            <w:tcW w:w="2500" w:type="pct"/>
          </w:tcPr>
          <w:p w:rsidR="009B179B" w:rsidP="0092783F" w14:paraId="7E4CC067" w14:textId="77777777">
            <w:pPr>
              <w:tabs>
                <w:tab w:val="clear" w:pos="1152"/>
              </w:tabs>
              <w:spacing w:line="276" w:lineRule="auto"/>
            </w:pPr>
            <w:r w:rsidRPr="00783835">
              <w:t>Total U.S.</w:t>
            </w:r>
          </w:p>
        </w:tc>
        <w:tc>
          <w:tcPr>
            <w:tcW w:w="2500" w:type="pct"/>
          </w:tcPr>
          <w:p w:rsidR="009B179B" w:rsidP="0092783F" w14:paraId="617E3131" w14:textId="77777777">
            <w:pPr>
              <w:tabs>
                <w:tab w:val="clear" w:pos="1152"/>
              </w:tabs>
              <w:spacing w:line="276" w:lineRule="auto"/>
              <w:jc w:val="right"/>
            </w:pPr>
            <w:r w:rsidRPr="005A245B">
              <w:t>140,498,736</w:t>
            </w:r>
          </w:p>
        </w:tc>
      </w:tr>
      <w:tr w14:paraId="3413D342" w14:textId="77777777" w:rsidTr="0092783F">
        <w:tblPrEx>
          <w:tblW w:w="5000" w:type="pct"/>
          <w:tblLook w:val="04A0"/>
        </w:tblPrEx>
        <w:tc>
          <w:tcPr>
            <w:tcW w:w="2500" w:type="pct"/>
          </w:tcPr>
          <w:p w:rsidR="009B179B" w:rsidP="0092783F" w14:paraId="3978036B" w14:textId="77777777">
            <w:pPr>
              <w:tabs>
                <w:tab w:val="clear" w:pos="1152"/>
              </w:tabs>
              <w:spacing w:line="276" w:lineRule="auto"/>
            </w:pPr>
            <w:r>
              <w:t>Sampled Addresses</w:t>
            </w:r>
          </w:p>
        </w:tc>
        <w:tc>
          <w:tcPr>
            <w:tcW w:w="2500" w:type="pct"/>
          </w:tcPr>
          <w:p w:rsidR="009B179B" w:rsidP="0092783F" w14:paraId="4C27F5F7" w14:textId="65E5AD1C">
            <w:pPr>
              <w:tabs>
                <w:tab w:val="clear" w:pos="1152"/>
              </w:tabs>
              <w:spacing w:line="276" w:lineRule="auto"/>
              <w:jc w:val="right"/>
            </w:pPr>
            <w:r>
              <w:t>52,258</w:t>
            </w:r>
          </w:p>
        </w:tc>
      </w:tr>
      <w:tr w14:paraId="68C9A4EC" w14:textId="77777777" w:rsidTr="0092783F">
        <w:tblPrEx>
          <w:tblW w:w="5000" w:type="pct"/>
          <w:tblLook w:val="04A0"/>
        </w:tblPrEx>
        <w:tc>
          <w:tcPr>
            <w:tcW w:w="2500" w:type="pct"/>
          </w:tcPr>
          <w:p w:rsidR="00F519B7" w:rsidP="0092783F" w14:paraId="47C8D639" w14:textId="788A7961">
            <w:pPr>
              <w:tabs>
                <w:tab w:val="clear" w:pos="1152"/>
              </w:tabs>
              <w:spacing w:line="276" w:lineRule="auto"/>
            </w:pPr>
            <w:r>
              <w:t>Recruited but Not Completed</w:t>
            </w:r>
          </w:p>
        </w:tc>
        <w:tc>
          <w:tcPr>
            <w:tcW w:w="2500" w:type="pct"/>
          </w:tcPr>
          <w:p w:rsidR="00F519B7" w:rsidP="0092783F" w14:paraId="7ECF10EF" w14:textId="38660B16">
            <w:pPr>
              <w:tabs>
                <w:tab w:val="clear" w:pos="1152"/>
              </w:tabs>
              <w:spacing w:line="276" w:lineRule="auto"/>
              <w:jc w:val="right"/>
            </w:pPr>
            <w:r>
              <w:t>5,000</w:t>
            </w:r>
          </w:p>
        </w:tc>
      </w:tr>
      <w:tr w14:paraId="38C555FC" w14:textId="77777777" w:rsidTr="0092783F">
        <w:tblPrEx>
          <w:tblW w:w="5000" w:type="pct"/>
          <w:tblLook w:val="04A0"/>
        </w:tblPrEx>
        <w:tc>
          <w:tcPr>
            <w:tcW w:w="2500" w:type="pct"/>
          </w:tcPr>
          <w:p w:rsidR="009B179B" w:rsidP="0092783F" w14:paraId="779C4C3C" w14:textId="019CE42F">
            <w:pPr>
              <w:tabs>
                <w:tab w:val="clear" w:pos="1152"/>
              </w:tabs>
              <w:spacing w:line="276" w:lineRule="auto"/>
            </w:pPr>
            <w:r w:rsidRPr="00783835">
              <w:t xml:space="preserve">Completed NHTS </w:t>
            </w:r>
            <w:r>
              <w:t>2024</w:t>
            </w:r>
            <w:r w:rsidRPr="00783835">
              <w:t xml:space="preserve"> </w:t>
            </w:r>
            <w:r w:rsidR="00A34149">
              <w:t xml:space="preserve">Travel Diary </w:t>
            </w:r>
            <w:r w:rsidRPr="00783835">
              <w:t>surveys</w:t>
            </w:r>
          </w:p>
        </w:tc>
        <w:tc>
          <w:tcPr>
            <w:tcW w:w="2500" w:type="pct"/>
          </w:tcPr>
          <w:p w:rsidR="009B179B" w:rsidP="0092783F" w14:paraId="4225A204" w14:textId="77777777">
            <w:pPr>
              <w:tabs>
                <w:tab w:val="clear" w:pos="1152"/>
              </w:tabs>
              <w:spacing w:line="276" w:lineRule="auto"/>
              <w:jc w:val="right"/>
            </w:pPr>
            <w:r>
              <w:t>7,500</w:t>
            </w:r>
          </w:p>
        </w:tc>
      </w:tr>
    </w:tbl>
    <w:p w:rsidR="009B179B" w:rsidP="009B179B" w14:paraId="058078EC" w14:textId="77777777">
      <w:pPr>
        <w:tabs>
          <w:tab w:val="clear" w:pos="1152"/>
        </w:tabs>
        <w:spacing w:after="200" w:line="276" w:lineRule="auto"/>
      </w:pPr>
    </w:p>
    <w:p w:rsidR="009B179B" w:rsidRPr="00A04495" w:rsidP="009B179B" w14:paraId="2CAB9714" w14:textId="77777777">
      <w:pPr>
        <w:tabs>
          <w:tab w:val="clear" w:pos="1152"/>
        </w:tabs>
        <w:spacing w:after="200" w:line="276" w:lineRule="auto"/>
      </w:pPr>
      <w:r w:rsidRPr="00A04495">
        <w:t xml:space="preserve">Table </w:t>
      </w:r>
      <w:r>
        <w:t>2</w:t>
      </w:r>
      <w:r w:rsidRPr="00A04495">
        <w:t>. Expected Sample Sizes for the National Sample by Primary Stratum</w:t>
      </w:r>
    </w:p>
    <w:tbl>
      <w:tblPr>
        <w:tblW w:w="5000" w:type="pct"/>
        <w:tblLook w:val="04A0"/>
      </w:tblPr>
      <w:tblGrid>
        <w:gridCol w:w="993"/>
        <w:gridCol w:w="1897"/>
        <w:gridCol w:w="1216"/>
        <w:gridCol w:w="1115"/>
        <w:gridCol w:w="1201"/>
        <w:gridCol w:w="1007"/>
        <w:gridCol w:w="919"/>
        <w:gridCol w:w="919"/>
        <w:gridCol w:w="919"/>
        <w:gridCol w:w="919"/>
        <w:gridCol w:w="919"/>
        <w:gridCol w:w="916"/>
      </w:tblGrid>
      <w:tr w14:paraId="1982C925" w14:textId="77777777" w:rsidTr="0092783F">
        <w:tblPrEx>
          <w:tblW w:w="5000" w:type="pct"/>
          <w:tblLook w:val="04A0"/>
        </w:tblPrEx>
        <w:trPr>
          <w:trHeight w:val="300"/>
        </w:trPr>
        <w:tc>
          <w:tcPr>
            <w:tcW w:w="384" w:type="pct"/>
            <w:vMerge w:val="restart"/>
            <w:tcBorders>
              <w:top w:val="single" w:sz="8" w:space="0" w:color="auto"/>
              <w:left w:val="single" w:sz="8" w:space="0" w:color="auto"/>
              <w:bottom w:val="single" w:sz="8" w:space="0" w:color="auto"/>
              <w:right w:val="single" w:sz="8" w:space="0" w:color="auto"/>
            </w:tcBorders>
            <w:shd w:val="clear" w:color="auto" w:fill="2F75B5"/>
            <w:tcMar>
              <w:left w:w="108" w:type="dxa"/>
              <w:right w:w="108" w:type="dxa"/>
            </w:tcMar>
            <w:vAlign w:val="bottom"/>
          </w:tcPr>
          <w:p w:rsidR="009B179B" w:rsidRPr="0098639E" w:rsidP="0092783F" w14:paraId="4DCFAD96" w14:textId="3A2EAB3E">
            <w:pPr>
              <w:jc w:val="center"/>
              <w:rPr>
                <w:rFonts w:eastAsia="Calibri"/>
                <w:b/>
                <w:color w:val="FFFFFF" w:themeColor="background1"/>
                <w:sz w:val="20"/>
                <w:szCs w:val="20"/>
              </w:rPr>
            </w:pPr>
          </w:p>
        </w:tc>
        <w:tc>
          <w:tcPr>
            <w:tcW w:w="733" w:type="pct"/>
            <w:vMerge w:val="restart"/>
            <w:tcBorders>
              <w:top w:val="single" w:sz="8" w:space="0" w:color="auto"/>
              <w:left w:val="single" w:sz="8" w:space="0" w:color="auto"/>
              <w:bottom w:val="single" w:sz="8" w:space="0" w:color="auto"/>
              <w:right w:val="nil"/>
            </w:tcBorders>
            <w:shd w:val="clear" w:color="auto" w:fill="2F75B5"/>
            <w:tcMar>
              <w:left w:w="108" w:type="dxa"/>
              <w:right w:w="108" w:type="dxa"/>
            </w:tcMar>
            <w:vAlign w:val="bottom"/>
          </w:tcPr>
          <w:p w:rsidR="009B179B" w:rsidRPr="0098639E" w:rsidP="0092783F" w14:paraId="33432CBC" w14:textId="2B6C4EFA">
            <w:pPr>
              <w:jc w:val="center"/>
              <w:rPr>
                <w:rFonts w:eastAsia="Calibri"/>
                <w:b/>
                <w:color w:val="FFFFFF" w:themeColor="background1"/>
                <w:sz w:val="20"/>
                <w:szCs w:val="20"/>
              </w:rPr>
            </w:pPr>
          </w:p>
        </w:tc>
        <w:tc>
          <w:tcPr>
            <w:tcW w:w="1754" w:type="pct"/>
            <w:gridSpan w:val="4"/>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3317E896" w14:textId="751EA469">
            <w:pPr>
              <w:jc w:val="center"/>
              <w:rPr>
                <w:rFonts w:eastAsia="Calibri"/>
                <w:b/>
                <w:color w:val="FFFFFF" w:themeColor="background1"/>
                <w:sz w:val="20"/>
                <w:szCs w:val="20"/>
              </w:rPr>
            </w:pPr>
          </w:p>
        </w:tc>
        <w:tc>
          <w:tcPr>
            <w:tcW w:w="1064" w:type="pct"/>
            <w:gridSpan w:val="3"/>
            <w:tcBorders>
              <w:top w:val="single" w:sz="8" w:space="0" w:color="auto"/>
              <w:left w:val="nil"/>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3742967D" w14:textId="339636F2">
            <w:pPr>
              <w:jc w:val="center"/>
              <w:rPr>
                <w:rFonts w:eastAsia="Calibri"/>
                <w:b/>
                <w:color w:val="FFFFFF" w:themeColor="background1"/>
                <w:sz w:val="20"/>
                <w:szCs w:val="20"/>
              </w:rPr>
            </w:pPr>
          </w:p>
        </w:tc>
        <w:tc>
          <w:tcPr>
            <w:tcW w:w="1065" w:type="pct"/>
            <w:gridSpan w:val="3"/>
            <w:tcBorders>
              <w:top w:val="single" w:sz="8" w:space="0" w:color="auto"/>
              <w:left w:val="nil"/>
              <w:bottom w:val="single" w:sz="8" w:space="0" w:color="auto"/>
              <w:right w:val="single" w:sz="8" w:space="0" w:color="000000" w:themeColor="text1"/>
            </w:tcBorders>
            <w:shd w:val="clear" w:color="auto" w:fill="2F75B5"/>
          </w:tcPr>
          <w:p w:rsidR="009B179B" w:rsidRPr="0098639E" w:rsidP="0092783F" w14:paraId="109404A4" w14:textId="24C6C3D9">
            <w:pPr>
              <w:jc w:val="center"/>
              <w:rPr>
                <w:rFonts w:eastAsia="Calibri"/>
                <w:b/>
                <w:color w:val="FFFFFF" w:themeColor="background1"/>
                <w:sz w:val="20"/>
                <w:szCs w:val="20"/>
              </w:rPr>
            </w:pPr>
          </w:p>
        </w:tc>
      </w:tr>
      <w:tr w14:paraId="7B89B01D" w14:textId="77777777" w:rsidTr="0092783F">
        <w:tblPrEx>
          <w:tblW w:w="5000" w:type="pct"/>
          <w:tblLook w:val="04A0"/>
        </w:tblPrEx>
        <w:trPr>
          <w:trHeight w:val="300"/>
        </w:trPr>
        <w:tc>
          <w:tcPr>
            <w:tcW w:w="384" w:type="pct"/>
            <w:vMerge/>
            <w:tcBorders>
              <w:left w:val="single" w:sz="0" w:space="0" w:color="auto"/>
              <w:bottom w:val="single" w:sz="0" w:space="0" w:color="auto"/>
              <w:right w:val="single" w:sz="0" w:space="0" w:color="auto"/>
            </w:tcBorders>
            <w:vAlign w:val="center"/>
          </w:tcPr>
          <w:p w:rsidR="009B179B" w:rsidRPr="0098639E" w:rsidP="0092783F" w14:paraId="496B4172" w14:textId="77777777">
            <w:pPr>
              <w:rPr>
                <w:sz w:val="20"/>
                <w:szCs w:val="20"/>
              </w:rPr>
            </w:pPr>
          </w:p>
        </w:tc>
        <w:tc>
          <w:tcPr>
            <w:tcW w:w="733" w:type="pct"/>
            <w:vMerge/>
            <w:tcBorders>
              <w:left w:val="single" w:sz="0" w:space="0" w:color="auto"/>
              <w:bottom w:val="single" w:sz="0" w:space="0" w:color="auto"/>
            </w:tcBorders>
            <w:vAlign w:val="center"/>
          </w:tcPr>
          <w:p w:rsidR="009B179B" w:rsidRPr="0098639E" w:rsidP="0092783F" w14:paraId="32BA8450" w14:textId="77777777">
            <w:pPr>
              <w:rPr>
                <w:sz w:val="20"/>
                <w:szCs w:val="20"/>
              </w:rPr>
            </w:pPr>
          </w:p>
        </w:tc>
        <w:tc>
          <w:tcPr>
            <w:tcW w:w="470" w:type="pct"/>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3872B8FF" w14:textId="78541ED1">
            <w:pPr>
              <w:jc w:val="center"/>
              <w:rPr>
                <w:rFonts w:eastAsia="Calibri"/>
                <w:b/>
                <w:color w:val="FFFFFF" w:themeColor="background1"/>
                <w:sz w:val="20"/>
                <w:szCs w:val="20"/>
              </w:rPr>
            </w:pPr>
          </w:p>
        </w:tc>
        <w:tc>
          <w:tcPr>
            <w:tcW w:w="431"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9B179B" w:rsidRPr="0098639E" w:rsidP="0092783F" w14:paraId="242FD080" w14:textId="4E2F209A">
            <w:pPr>
              <w:jc w:val="center"/>
              <w:rPr>
                <w:rFonts w:eastAsia="Calibri"/>
                <w:b/>
                <w:color w:val="FFFFFF" w:themeColor="background1"/>
                <w:sz w:val="20"/>
                <w:szCs w:val="20"/>
              </w:rPr>
            </w:pPr>
          </w:p>
        </w:tc>
        <w:tc>
          <w:tcPr>
            <w:tcW w:w="464"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9B179B" w:rsidRPr="0098639E" w:rsidP="0092783F" w14:paraId="595E8B60" w14:textId="01028459">
            <w:pPr>
              <w:jc w:val="center"/>
              <w:rPr>
                <w:rFonts w:eastAsia="Calibri"/>
                <w:b/>
                <w:color w:val="FFFFFF" w:themeColor="background1"/>
                <w:sz w:val="20"/>
                <w:szCs w:val="20"/>
              </w:rPr>
            </w:pPr>
          </w:p>
        </w:tc>
        <w:tc>
          <w:tcPr>
            <w:tcW w:w="389" w:type="pct"/>
            <w:tcBorders>
              <w:top w:val="nil"/>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1B15C9A7" w14:textId="589BF9FC">
            <w:pPr>
              <w:jc w:val="center"/>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2DE5D519" w14:textId="72D22677">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9B179B" w:rsidRPr="0098639E" w:rsidP="0092783F" w14:paraId="652CFA38" w14:textId="031A9A72">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098823E4" w14:textId="2EA3BA97">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000000" w:themeColor="text1"/>
            </w:tcBorders>
            <w:shd w:val="clear" w:color="auto" w:fill="2F75B5"/>
            <w:vAlign w:val="bottom"/>
          </w:tcPr>
          <w:p w:rsidR="009B179B" w:rsidRPr="0098639E" w:rsidP="0092783F" w14:paraId="46D5AABC" w14:textId="5A3A0F05">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000000" w:themeColor="text1"/>
            </w:tcBorders>
            <w:shd w:val="clear" w:color="auto" w:fill="2F75B5"/>
            <w:vAlign w:val="bottom"/>
          </w:tcPr>
          <w:p w:rsidR="009B179B" w:rsidRPr="0098639E" w:rsidP="0092783F" w14:paraId="0E03BE06" w14:textId="005F0D56">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000000" w:themeColor="text1"/>
            </w:tcBorders>
            <w:shd w:val="clear" w:color="auto" w:fill="2F75B5"/>
            <w:vAlign w:val="bottom"/>
          </w:tcPr>
          <w:p w:rsidR="009B179B" w:rsidRPr="0098639E" w:rsidP="0092783F" w14:paraId="409DA9D9" w14:textId="598F398A">
            <w:pPr>
              <w:jc w:val="center"/>
              <w:rPr>
                <w:rFonts w:eastAsia="Calibri"/>
                <w:b/>
                <w:color w:val="FFFFFF" w:themeColor="background1"/>
                <w:sz w:val="20"/>
                <w:szCs w:val="20"/>
              </w:rPr>
            </w:pPr>
          </w:p>
        </w:tc>
      </w:tr>
      <w:tr w14:paraId="791E0B73" w14:textId="77777777" w:rsidTr="0092783F">
        <w:tblPrEx>
          <w:tblW w:w="5000" w:type="pct"/>
          <w:tblLook w:val="04A0"/>
        </w:tblPrEx>
        <w:trPr>
          <w:trHeight w:val="300"/>
        </w:trPr>
        <w:tc>
          <w:tcPr>
            <w:tcW w:w="384" w:type="pct"/>
            <w:vMerge w:val="restart"/>
            <w:tcBorders>
              <w:top w:val="nil"/>
              <w:left w:val="single" w:sz="8" w:space="0" w:color="auto"/>
              <w:right w:val="single" w:sz="8" w:space="0" w:color="auto"/>
            </w:tcBorders>
            <w:tcMar>
              <w:left w:w="108" w:type="dxa"/>
              <w:right w:w="108" w:type="dxa"/>
            </w:tcMar>
            <w:vAlign w:val="center"/>
          </w:tcPr>
          <w:p w:rsidR="009B179B" w:rsidRPr="0098639E" w:rsidP="0092783F" w14:paraId="6C3630E8" w14:textId="669F3DCC">
            <w:pPr>
              <w:rPr>
                <w:rFonts w:eastAsia="Calibri"/>
                <w:sz w:val="20"/>
                <w:szCs w:val="20"/>
              </w:rPr>
            </w:pPr>
          </w:p>
        </w:tc>
        <w:tc>
          <w:tcPr>
            <w:tcW w:w="733" w:type="pct"/>
            <w:tcBorders>
              <w:top w:val="nil"/>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75FF3588" w14:textId="06129B19">
            <w:pPr>
              <w:rPr>
                <w:rFonts w:eastAsia="Calibri"/>
                <w:sz w:val="20"/>
                <w:szCs w:val="20"/>
              </w:rPr>
            </w:pPr>
          </w:p>
        </w:tc>
        <w:tc>
          <w:tcPr>
            <w:tcW w:w="470"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5AB588FB" w14:textId="12D4B559">
            <w:pPr>
              <w:jc w:val="right"/>
              <w:rPr>
                <w:rFonts w:eastAsia="Calibri"/>
                <w:sz w:val="20"/>
                <w:szCs w:val="20"/>
              </w:rPr>
            </w:pPr>
          </w:p>
        </w:tc>
        <w:tc>
          <w:tcPr>
            <w:tcW w:w="43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154F8A7" w14:textId="053DD1B5">
            <w:pPr>
              <w:jc w:val="right"/>
              <w:rPr>
                <w:rFonts w:eastAsia="Calibri"/>
                <w:sz w:val="20"/>
                <w:szCs w:val="20"/>
              </w:rPr>
            </w:pPr>
          </w:p>
        </w:tc>
        <w:tc>
          <w:tcPr>
            <w:tcW w:w="46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33D3CEA0" w14:textId="2FA2ACF9">
            <w:pPr>
              <w:jc w:val="right"/>
              <w:rPr>
                <w:rFonts w:eastAsia="Calibri"/>
                <w:sz w:val="20"/>
                <w:szCs w:val="20"/>
              </w:rPr>
            </w:pPr>
          </w:p>
        </w:tc>
        <w:tc>
          <w:tcPr>
            <w:tcW w:w="38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5FAA8D31" w14:textId="0ED2AA58">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2CF77791" w14:textId="42DDBC4C">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2CB2C0E8" w14:textId="4F8D90A4">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609F45D8" w14:textId="04F2C60A">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594746D5" w14:textId="70A414AB">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1E7551A4" w14:textId="61B9D64F">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15C9C883" w14:textId="315F8E02">
            <w:pPr>
              <w:jc w:val="right"/>
              <w:rPr>
                <w:rFonts w:eastAsia="Calibri"/>
                <w:sz w:val="20"/>
                <w:szCs w:val="20"/>
              </w:rPr>
            </w:pPr>
          </w:p>
        </w:tc>
      </w:tr>
      <w:tr w14:paraId="57F1E296" w14:textId="77777777" w:rsidTr="0092783F">
        <w:tblPrEx>
          <w:tblW w:w="5000" w:type="pct"/>
          <w:tblLook w:val="04A0"/>
        </w:tblPrEx>
        <w:trPr>
          <w:trHeight w:val="300"/>
        </w:trPr>
        <w:tc>
          <w:tcPr>
            <w:tcW w:w="384" w:type="pct"/>
            <w:vMerge/>
            <w:tcBorders>
              <w:left w:val="single" w:sz="8" w:space="0" w:color="auto"/>
              <w:bottom w:val="single" w:sz="8" w:space="0" w:color="auto"/>
              <w:right w:val="single" w:sz="8" w:space="0" w:color="auto"/>
            </w:tcBorders>
            <w:tcMar>
              <w:left w:w="108" w:type="dxa"/>
              <w:right w:w="108" w:type="dxa"/>
            </w:tcMar>
            <w:vAlign w:val="bottom"/>
          </w:tcPr>
          <w:p w:rsidR="009B179B" w:rsidRPr="0098639E" w:rsidP="0092783F" w14:paraId="10AA2E05"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9B179B" w:rsidRPr="0098639E" w:rsidP="0092783F" w14:paraId="6BB43760" w14:textId="39D7BF7D">
            <w:pPr>
              <w:rPr>
                <w:rFonts w:eastAsia="Calibri"/>
                <w:sz w:val="20"/>
                <w:szCs w:val="20"/>
              </w:rPr>
            </w:pPr>
          </w:p>
        </w:tc>
        <w:tc>
          <w:tcPr>
            <w:tcW w:w="470"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7BBD5B9A" w14:textId="24D9F34E">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2A701B5B" w14:textId="5857C975">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29D64801" w14:textId="3AD86A57">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1C950EF4" w14:textId="1B746778">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1D6B7026" w14:textId="5BB23498">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3DBA1C8D" w14:textId="5E98886E">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27E61049" w14:textId="1CB6BC4E">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400B89CD" w14:textId="2962B5BC">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15B249AD" w14:textId="4AE2A604">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73C14145" w14:textId="7407D48C">
            <w:pPr>
              <w:jc w:val="right"/>
              <w:rPr>
                <w:rFonts w:eastAsia="Calibri"/>
                <w:sz w:val="20"/>
                <w:szCs w:val="20"/>
              </w:rPr>
            </w:pPr>
          </w:p>
        </w:tc>
      </w:tr>
      <w:tr w14:paraId="4CB0536D" w14:textId="77777777" w:rsidTr="0092783F">
        <w:tblPrEx>
          <w:tblW w:w="5000" w:type="pct"/>
          <w:tblLook w:val="04A0"/>
        </w:tblPrEx>
        <w:trPr>
          <w:trHeight w:val="300"/>
        </w:trPr>
        <w:tc>
          <w:tcPr>
            <w:tcW w:w="384" w:type="pct"/>
            <w:vMerge w:val="restart"/>
            <w:tcBorders>
              <w:top w:val="single" w:sz="8" w:space="0" w:color="auto"/>
              <w:left w:val="single" w:sz="8" w:space="0" w:color="auto"/>
              <w:right w:val="single" w:sz="8" w:space="0" w:color="auto"/>
            </w:tcBorders>
            <w:tcMar>
              <w:left w:w="108" w:type="dxa"/>
              <w:right w:w="108" w:type="dxa"/>
            </w:tcMar>
            <w:vAlign w:val="center"/>
          </w:tcPr>
          <w:p w:rsidR="009B179B" w:rsidRPr="0098639E" w:rsidP="0092783F" w14:paraId="758E6B55" w14:textId="6B71EAAE">
            <w:pPr>
              <w:rPr>
                <w:rFonts w:eastAsia="Calibri"/>
                <w:sz w:val="20"/>
                <w:szCs w:val="20"/>
              </w:rPr>
            </w:pPr>
          </w:p>
        </w:tc>
        <w:tc>
          <w:tcPr>
            <w:tcW w:w="73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73B889B9" w14:textId="0C44FDBD">
            <w:pPr>
              <w:rPr>
                <w:rFonts w:eastAsia="Calibri"/>
                <w:sz w:val="20"/>
                <w:szCs w:val="20"/>
              </w:rPr>
            </w:pPr>
          </w:p>
        </w:tc>
        <w:tc>
          <w:tcPr>
            <w:tcW w:w="470"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9886324" w14:textId="4DC6FE1F">
            <w:pPr>
              <w:jc w:val="right"/>
              <w:rPr>
                <w:rFonts w:eastAsia="Calibri"/>
                <w:sz w:val="20"/>
                <w:szCs w:val="20"/>
              </w:rPr>
            </w:pPr>
          </w:p>
        </w:tc>
        <w:tc>
          <w:tcPr>
            <w:tcW w:w="43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505002F7" w14:textId="660FC985">
            <w:pPr>
              <w:jc w:val="right"/>
              <w:rPr>
                <w:rFonts w:eastAsia="Calibri"/>
                <w:sz w:val="20"/>
                <w:szCs w:val="20"/>
              </w:rPr>
            </w:pPr>
          </w:p>
        </w:tc>
        <w:tc>
          <w:tcPr>
            <w:tcW w:w="46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288EA1FC" w14:textId="06B2E07E">
            <w:pPr>
              <w:jc w:val="right"/>
              <w:rPr>
                <w:rFonts w:eastAsia="Calibri"/>
                <w:sz w:val="20"/>
                <w:szCs w:val="20"/>
              </w:rPr>
            </w:pPr>
          </w:p>
        </w:tc>
        <w:tc>
          <w:tcPr>
            <w:tcW w:w="38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2E91BBD" w14:textId="175AE7D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43D9D74F" w14:textId="157CE113">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1725CDA4" w14:textId="72D351B1">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204ED230" w14:textId="2FF1F18E">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0AE24B77" w14:textId="6FCCB0F8">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2675C769" w14:textId="1AAE18E0">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0F6FBCF2" w14:textId="23FD09BE">
            <w:pPr>
              <w:jc w:val="right"/>
              <w:rPr>
                <w:rFonts w:eastAsia="Calibri"/>
                <w:sz w:val="20"/>
                <w:szCs w:val="20"/>
              </w:rPr>
            </w:pPr>
          </w:p>
        </w:tc>
      </w:tr>
      <w:tr w14:paraId="7515E92C" w14:textId="77777777" w:rsidTr="0092783F">
        <w:tblPrEx>
          <w:tblW w:w="5000" w:type="pct"/>
          <w:tblLook w:val="04A0"/>
        </w:tblPrEx>
        <w:trPr>
          <w:trHeight w:val="300"/>
        </w:trPr>
        <w:tc>
          <w:tcPr>
            <w:tcW w:w="384" w:type="pct"/>
            <w:vMerge/>
            <w:tcBorders>
              <w:left w:val="single" w:sz="8" w:space="0" w:color="auto"/>
              <w:right w:val="single" w:sz="8" w:space="0" w:color="auto"/>
            </w:tcBorders>
            <w:tcMar>
              <w:left w:w="108" w:type="dxa"/>
              <w:right w:w="108" w:type="dxa"/>
            </w:tcMar>
            <w:vAlign w:val="bottom"/>
          </w:tcPr>
          <w:p w:rsidR="009B179B" w:rsidRPr="0098639E" w:rsidP="0092783F" w14:paraId="237D4954"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1872CEFE" w14:textId="3D6B72A0">
            <w:pPr>
              <w:rPr>
                <w:rFonts w:eastAsia="Calibri"/>
                <w:sz w:val="20"/>
                <w:szCs w:val="20"/>
              </w:rPr>
            </w:pPr>
          </w:p>
        </w:tc>
        <w:tc>
          <w:tcPr>
            <w:tcW w:w="470"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77BB7F3" w14:textId="5E192B3B">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304C984E" w14:textId="069C5EBD">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57BB691" w14:textId="37EB2624">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76177E10" w14:textId="532316BB">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7E4C1E26" w14:textId="042BF41B">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492D9F33" w14:textId="25406010">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76414A0E" w14:textId="31B21EC1">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9B179B" w:rsidRPr="0098639E" w:rsidP="0092783F" w14:paraId="41C2F5D2" w14:textId="19529CE5">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9B179B" w:rsidRPr="0098639E" w:rsidP="0092783F" w14:paraId="6F5D4125" w14:textId="1159BB4F">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9B179B" w:rsidRPr="0098639E" w:rsidP="0092783F" w14:paraId="679909B2" w14:textId="3A738F6E">
            <w:pPr>
              <w:jc w:val="right"/>
              <w:rPr>
                <w:rFonts w:eastAsia="Calibri"/>
                <w:sz w:val="20"/>
                <w:szCs w:val="20"/>
              </w:rPr>
            </w:pPr>
          </w:p>
        </w:tc>
      </w:tr>
      <w:tr w14:paraId="0477E9FE" w14:textId="77777777" w:rsidTr="0092783F">
        <w:tblPrEx>
          <w:tblW w:w="5000" w:type="pct"/>
          <w:tblLook w:val="04A0"/>
        </w:tblPrEx>
        <w:trPr>
          <w:trHeight w:val="300"/>
        </w:trPr>
        <w:tc>
          <w:tcPr>
            <w:tcW w:w="384" w:type="pct"/>
            <w:vMerge/>
            <w:tcBorders>
              <w:left w:val="single" w:sz="8" w:space="0" w:color="auto"/>
              <w:bottom w:val="single" w:sz="8" w:space="0" w:color="auto"/>
              <w:right w:val="single" w:sz="8" w:space="0" w:color="auto"/>
            </w:tcBorders>
            <w:tcMar>
              <w:left w:w="108" w:type="dxa"/>
              <w:right w:w="108" w:type="dxa"/>
            </w:tcMar>
            <w:vAlign w:val="bottom"/>
          </w:tcPr>
          <w:p w:rsidR="009B179B" w:rsidRPr="0098639E" w:rsidP="0092783F" w14:paraId="649F3252"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9B179B" w:rsidRPr="0098639E" w:rsidP="0092783F" w14:paraId="4A5A5F03" w14:textId="7E523E9B">
            <w:pPr>
              <w:rPr>
                <w:rFonts w:eastAsia="Calibri"/>
                <w:sz w:val="20"/>
                <w:szCs w:val="20"/>
              </w:rPr>
            </w:pPr>
          </w:p>
        </w:tc>
        <w:tc>
          <w:tcPr>
            <w:tcW w:w="470"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07FBCD29" w14:textId="3438C3BC">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61FA53EB" w14:textId="00B9CDDB">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5B7236C9" w14:textId="731AF3C4">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47ACA3BF" w14:textId="6C06A2A8">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4512B15A" w14:textId="559B0788">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792A90CD" w14:textId="377CDA0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7101F0C5" w14:textId="4BC50E6B">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727EAFC6" w14:textId="61C6EA79">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012A22AA" w14:textId="271E085D">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48807E3E" w14:textId="46339A8C">
            <w:pPr>
              <w:jc w:val="right"/>
              <w:rPr>
                <w:rFonts w:eastAsia="Calibri"/>
                <w:sz w:val="20"/>
                <w:szCs w:val="20"/>
              </w:rPr>
            </w:pPr>
          </w:p>
        </w:tc>
      </w:tr>
      <w:tr w14:paraId="5A668467" w14:textId="77777777" w:rsidTr="0092783F">
        <w:tblPrEx>
          <w:tblW w:w="5000" w:type="pct"/>
          <w:tblLook w:val="04A0"/>
        </w:tblPrEx>
        <w:trPr>
          <w:trHeight w:val="300"/>
        </w:trPr>
        <w:tc>
          <w:tcPr>
            <w:tcW w:w="384" w:type="pct"/>
            <w:vMerge w:val="restart"/>
            <w:tcBorders>
              <w:top w:val="single" w:sz="8" w:space="0" w:color="auto"/>
              <w:left w:val="single" w:sz="8" w:space="0" w:color="auto"/>
              <w:right w:val="single" w:sz="8" w:space="0" w:color="auto"/>
            </w:tcBorders>
            <w:tcMar>
              <w:left w:w="108" w:type="dxa"/>
              <w:right w:w="108" w:type="dxa"/>
            </w:tcMar>
            <w:vAlign w:val="center"/>
          </w:tcPr>
          <w:p w:rsidR="009B179B" w:rsidRPr="0098639E" w:rsidP="0092783F" w14:paraId="07586F92" w14:textId="44BCC0A1">
            <w:pPr>
              <w:rPr>
                <w:rFonts w:eastAsia="Calibri"/>
                <w:sz w:val="20"/>
                <w:szCs w:val="20"/>
              </w:rPr>
            </w:pPr>
          </w:p>
        </w:tc>
        <w:tc>
          <w:tcPr>
            <w:tcW w:w="73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66BCF3A7" w14:textId="1836BD2D">
            <w:pPr>
              <w:rPr>
                <w:rFonts w:eastAsia="Calibri"/>
                <w:sz w:val="20"/>
                <w:szCs w:val="20"/>
              </w:rPr>
            </w:pPr>
          </w:p>
        </w:tc>
        <w:tc>
          <w:tcPr>
            <w:tcW w:w="470"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79DC2FAC" w14:textId="07043547">
            <w:pPr>
              <w:jc w:val="right"/>
              <w:rPr>
                <w:rFonts w:eastAsia="Calibri"/>
                <w:sz w:val="20"/>
                <w:szCs w:val="20"/>
              </w:rPr>
            </w:pPr>
          </w:p>
        </w:tc>
        <w:tc>
          <w:tcPr>
            <w:tcW w:w="43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F1DC9CE" w14:textId="477C94AC">
            <w:pPr>
              <w:jc w:val="right"/>
              <w:rPr>
                <w:rFonts w:eastAsia="Calibri"/>
                <w:sz w:val="20"/>
                <w:szCs w:val="20"/>
              </w:rPr>
            </w:pPr>
          </w:p>
        </w:tc>
        <w:tc>
          <w:tcPr>
            <w:tcW w:w="46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4D3A21B" w14:textId="116066F3">
            <w:pPr>
              <w:jc w:val="right"/>
              <w:rPr>
                <w:rFonts w:eastAsia="Calibri"/>
                <w:sz w:val="20"/>
                <w:szCs w:val="20"/>
              </w:rPr>
            </w:pPr>
          </w:p>
        </w:tc>
        <w:tc>
          <w:tcPr>
            <w:tcW w:w="38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45FE971D" w14:textId="3A5A314C">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52F7FAF1" w14:textId="3122133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0E62CD5D" w14:textId="03480052">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7F6D2C24" w14:textId="7C410D5F">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1A436C99" w14:textId="66AAEF92">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27A9E574" w14:textId="46B5A0C3">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3BD44BA3" w14:textId="40E521D2">
            <w:pPr>
              <w:jc w:val="right"/>
              <w:rPr>
                <w:rFonts w:eastAsia="Calibri"/>
                <w:sz w:val="20"/>
                <w:szCs w:val="20"/>
              </w:rPr>
            </w:pPr>
          </w:p>
        </w:tc>
      </w:tr>
      <w:tr w14:paraId="0697A441" w14:textId="77777777" w:rsidTr="0092783F">
        <w:tblPrEx>
          <w:tblW w:w="5000" w:type="pct"/>
          <w:tblLook w:val="04A0"/>
        </w:tblPrEx>
        <w:trPr>
          <w:trHeight w:val="300"/>
        </w:trPr>
        <w:tc>
          <w:tcPr>
            <w:tcW w:w="384" w:type="pct"/>
            <w:vMerge/>
            <w:tcBorders>
              <w:left w:val="single" w:sz="8" w:space="0" w:color="auto"/>
              <w:bottom w:val="single" w:sz="8" w:space="0" w:color="auto"/>
              <w:right w:val="single" w:sz="8" w:space="0" w:color="auto"/>
            </w:tcBorders>
            <w:tcMar>
              <w:left w:w="108" w:type="dxa"/>
              <w:right w:w="108" w:type="dxa"/>
            </w:tcMar>
            <w:vAlign w:val="bottom"/>
          </w:tcPr>
          <w:p w:rsidR="009B179B" w:rsidRPr="0098639E" w:rsidP="0092783F" w14:paraId="29F25B9B"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9B179B" w:rsidRPr="0098639E" w:rsidP="0092783F" w14:paraId="51B10A45" w14:textId="314F4BFB">
            <w:pPr>
              <w:rPr>
                <w:rFonts w:eastAsia="Calibri"/>
                <w:sz w:val="20"/>
                <w:szCs w:val="20"/>
              </w:rPr>
            </w:pPr>
          </w:p>
        </w:tc>
        <w:tc>
          <w:tcPr>
            <w:tcW w:w="470"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0FE3E56A" w14:textId="4A22BC17">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34E4E003" w14:textId="3196AB61">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4B729806" w14:textId="7C3966BA">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063EFC38" w14:textId="4126DA24">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395EA23F" w14:textId="0A8B7890">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7E8323AC" w14:textId="239CEBDB">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07FC870E" w14:textId="5610E53B">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7DD5EA71" w14:textId="6136FCDF">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128FE066" w14:textId="158FDB32">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34A05989" w14:textId="4AD8BB05">
            <w:pPr>
              <w:jc w:val="right"/>
              <w:rPr>
                <w:rFonts w:eastAsia="Calibri"/>
                <w:sz w:val="20"/>
                <w:szCs w:val="20"/>
              </w:rPr>
            </w:pPr>
          </w:p>
        </w:tc>
      </w:tr>
      <w:tr w14:paraId="33A8AA5A" w14:textId="77777777" w:rsidTr="0092783F">
        <w:tblPrEx>
          <w:tblW w:w="5000" w:type="pct"/>
          <w:tblLook w:val="04A0"/>
        </w:tblPrEx>
        <w:trPr>
          <w:trHeight w:val="300"/>
        </w:trPr>
        <w:tc>
          <w:tcPr>
            <w:tcW w:w="384" w:type="pct"/>
            <w:vMerge w:val="restart"/>
            <w:tcBorders>
              <w:top w:val="single" w:sz="8" w:space="0" w:color="auto"/>
              <w:left w:val="single" w:sz="8" w:space="0" w:color="auto"/>
              <w:right w:val="single" w:sz="8" w:space="0" w:color="auto"/>
            </w:tcBorders>
            <w:tcMar>
              <w:left w:w="108" w:type="dxa"/>
              <w:right w:w="108" w:type="dxa"/>
            </w:tcMar>
            <w:vAlign w:val="center"/>
          </w:tcPr>
          <w:p w:rsidR="009B179B" w:rsidRPr="0098639E" w:rsidP="0092783F" w14:paraId="02851008" w14:textId="778B8EF2">
            <w:pPr>
              <w:rPr>
                <w:rFonts w:eastAsia="Calibri"/>
                <w:sz w:val="20"/>
                <w:szCs w:val="20"/>
              </w:rPr>
            </w:pPr>
          </w:p>
        </w:tc>
        <w:tc>
          <w:tcPr>
            <w:tcW w:w="73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45C4C225" w14:textId="3FF7DBD7">
            <w:pPr>
              <w:rPr>
                <w:rFonts w:eastAsia="Calibri"/>
                <w:sz w:val="20"/>
                <w:szCs w:val="20"/>
              </w:rPr>
            </w:pPr>
          </w:p>
        </w:tc>
        <w:tc>
          <w:tcPr>
            <w:tcW w:w="470"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2858EAF9" w14:textId="22B99FBF">
            <w:pPr>
              <w:jc w:val="right"/>
              <w:rPr>
                <w:rFonts w:eastAsia="Calibri"/>
                <w:sz w:val="20"/>
                <w:szCs w:val="20"/>
              </w:rPr>
            </w:pPr>
          </w:p>
        </w:tc>
        <w:tc>
          <w:tcPr>
            <w:tcW w:w="43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763B21A7" w14:textId="463237A8">
            <w:pPr>
              <w:jc w:val="right"/>
              <w:rPr>
                <w:rFonts w:eastAsia="Calibri"/>
                <w:sz w:val="20"/>
                <w:szCs w:val="20"/>
              </w:rPr>
            </w:pPr>
          </w:p>
        </w:tc>
        <w:tc>
          <w:tcPr>
            <w:tcW w:w="46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558703A5" w14:textId="0F8DF6A2">
            <w:pPr>
              <w:jc w:val="right"/>
              <w:rPr>
                <w:rFonts w:eastAsia="Calibri"/>
                <w:sz w:val="20"/>
                <w:szCs w:val="20"/>
              </w:rPr>
            </w:pPr>
          </w:p>
        </w:tc>
        <w:tc>
          <w:tcPr>
            <w:tcW w:w="38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37A3B413" w14:textId="543B6D15">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1E3FFC4B" w14:textId="06D49C5E">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17BE965A" w14:textId="257F7E8B">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059AAAA7" w14:textId="27265D69">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199185BD" w14:textId="05DA407E">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7EC4588E" w14:textId="20E8CFDB">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4D8648EE" w14:textId="1E7AD33C">
            <w:pPr>
              <w:jc w:val="right"/>
              <w:rPr>
                <w:rFonts w:eastAsia="Calibri"/>
                <w:sz w:val="20"/>
                <w:szCs w:val="20"/>
              </w:rPr>
            </w:pPr>
          </w:p>
        </w:tc>
      </w:tr>
      <w:tr w14:paraId="1BA2986C" w14:textId="77777777" w:rsidTr="0092783F">
        <w:tblPrEx>
          <w:tblW w:w="5000" w:type="pct"/>
          <w:tblLook w:val="04A0"/>
        </w:tblPrEx>
        <w:trPr>
          <w:trHeight w:val="300"/>
        </w:trPr>
        <w:tc>
          <w:tcPr>
            <w:tcW w:w="384" w:type="pct"/>
            <w:vMerge/>
            <w:tcBorders>
              <w:left w:val="single" w:sz="8" w:space="0" w:color="auto"/>
              <w:bottom w:val="single" w:sz="8" w:space="0" w:color="auto"/>
              <w:right w:val="single" w:sz="8" w:space="0" w:color="auto"/>
            </w:tcBorders>
            <w:tcMar>
              <w:left w:w="108" w:type="dxa"/>
              <w:right w:w="108" w:type="dxa"/>
            </w:tcMar>
            <w:vAlign w:val="bottom"/>
          </w:tcPr>
          <w:p w:rsidR="009B179B" w:rsidRPr="0098639E" w:rsidP="0092783F" w14:paraId="689C1B01"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9B179B" w:rsidRPr="0098639E" w:rsidP="0092783F" w14:paraId="47C4ED2C" w14:textId="690673FE">
            <w:pPr>
              <w:rPr>
                <w:rFonts w:eastAsia="Calibri"/>
                <w:sz w:val="20"/>
                <w:szCs w:val="20"/>
              </w:rPr>
            </w:pPr>
          </w:p>
        </w:tc>
        <w:tc>
          <w:tcPr>
            <w:tcW w:w="470"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68CB9BD4" w14:textId="379CD740">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662614F7" w14:textId="16FA9562">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5DFF38B9" w14:textId="26418FFE">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232FE7C0" w14:textId="3C3DD060">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7FDA82B8" w14:textId="2A6FC932">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7CD5C21A" w14:textId="1D86403C">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2F8469FD" w14:textId="425AF2B2">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05E2E335" w14:textId="361D79A5">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6C3328FD" w14:textId="23D086C2">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01B86FB8" w14:textId="11CE95D3">
            <w:pPr>
              <w:jc w:val="right"/>
              <w:rPr>
                <w:rFonts w:eastAsia="Calibri"/>
                <w:sz w:val="20"/>
                <w:szCs w:val="20"/>
              </w:rPr>
            </w:pPr>
          </w:p>
        </w:tc>
      </w:tr>
      <w:tr w14:paraId="297BF7DF" w14:textId="77777777" w:rsidTr="0092783F">
        <w:tblPrEx>
          <w:tblW w:w="5000" w:type="pct"/>
          <w:tblLook w:val="04A0"/>
        </w:tblPrEx>
        <w:trPr>
          <w:trHeight w:val="315"/>
        </w:trPr>
        <w:tc>
          <w:tcPr>
            <w:tcW w:w="1117" w:type="pct"/>
            <w:gridSpan w:val="2"/>
            <w:tcBorders>
              <w:top w:val="single" w:sz="8" w:space="0" w:color="auto"/>
              <w:left w:val="single" w:sz="8" w:space="0" w:color="auto"/>
              <w:bottom w:val="single" w:sz="8" w:space="0" w:color="auto"/>
              <w:right w:val="nil"/>
            </w:tcBorders>
            <w:shd w:val="clear" w:color="auto" w:fill="0070C0"/>
            <w:tcMar>
              <w:left w:w="108" w:type="dxa"/>
              <w:right w:w="108" w:type="dxa"/>
            </w:tcMar>
            <w:vAlign w:val="bottom"/>
          </w:tcPr>
          <w:p w:rsidR="009B179B" w:rsidRPr="0098639E" w:rsidP="0092783F" w14:paraId="47BE3204" w14:textId="3D566EDC">
            <w:pPr>
              <w:rPr>
                <w:rFonts w:eastAsia="Calibri"/>
                <w:b/>
                <w:color w:val="FFFFFF" w:themeColor="background1"/>
                <w:sz w:val="20"/>
                <w:szCs w:val="20"/>
              </w:rPr>
            </w:pPr>
          </w:p>
        </w:tc>
        <w:tc>
          <w:tcPr>
            <w:tcW w:w="470"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9B179B" w:rsidRPr="00674EA1" w:rsidP="0092783F" w14:paraId="66919892" w14:textId="37E7B208">
            <w:pPr>
              <w:jc w:val="right"/>
              <w:rPr>
                <w:rFonts w:eastAsia="Calibri"/>
                <w:b/>
                <w:color w:val="FFFFFF" w:themeColor="background1"/>
                <w:sz w:val="20"/>
                <w:szCs w:val="20"/>
              </w:rPr>
            </w:pPr>
          </w:p>
        </w:tc>
        <w:tc>
          <w:tcPr>
            <w:tcW w:w="431"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9B179B" w:rsidRPr="00674EA1" w:rsidP="0092783F" w14:paraId="7A970010" w14:textId="4EA5BB04">
            <w:pPr>
              <w:jc w:val="right"/>
              <w:rPr>
                <w:rFonts w:eastAsia="Calibri"/>
                <w:b/>
                <w:color w:val="FFFFFF" w:themeColor="background1"/>
                <w:sz w:val="20"/>
                <w:szCs w:val="20"/>
              </w:rPr>
            </w:pPr>
          </w:p>
        </w:tc>
        <w:tc>
          <w:tcPr>
            <w:tcW w:w="464"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9B179B" w:rsidRPr="00674EA1" w:rsidP="0092783F" w14:paraId="0DEA5CA7" w14:textId="470467B0">
            <w:pPr>
              <w:jc w:val="right"/>
              <w:rPr>
                <w:rFonts w:eastAsia="Calibri"/>
                <w:b/>
                <w:color w:val="FFFFFF" w:themeColor="background1"/>
                <w:sz w:val="20"/>
                <w:szCs w:val="20"/>
              </w:rPr>
            </w:pPr>
          </w:p>
        </w:tc>
        <w:tc>
          <w:tcPr>
            <w:tcW w:w="389"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9B179B" w:rsidRPr="00674EA1" w:rsidP="0092783F" w14:paraId="72F12970" w14:textId="0F0A9F9C">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rsidR="009B179B" w:rsidRPr="00D51215" w:rsidP="0092783F" w14:paraId="28CFA56D" w14:textId="2599E0E4">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rsidR="009B179B" w:rsidRPr="00D51215" w:rsidP="0092783F" w14:paraId="410A0444" w14:textId="1B554DAB">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rsidR="009B179B" w:rsidRPr="00D51215" w:rsidP="0092783F" w14:paraId="38526AFD" w14:textId="32914D7F">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tcPr>
          <w:p w:rsidR="009B179B" w:rsidRPr="00674EA1" w:rsidP="0092783F" w14:paraId="4CDF2DEC" w14:textId="0B56D9B5">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vAlign w:val="bottom"/>
          </w:tcPr>
          <w:p w:rsidR="009B179B" w:rsidRPr="00674EA1" w:rsidP="0092783F" w14:paraId="28F1918D" w14:textId="1DEA9CB1">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vAlign w:val="bottom"/>
          </w:tcPr>
          <w:p w:rsidR="009B179B" w:rsidRPr="00674EA1" w:rsidP="0092783F" w14:paraId="56698764" w14:textId="4C8A0505">
            <w:pPr>
              <w:jc w:val="right"/>
              <w:rPr>
                <w:rFonts w:eastAsia="Calibri"/>
                <w:b/>
                <w:color w:val="FFFFFF" w:themeColor="background1"/>
                <w:sz w:val="20"/>
                <w:szCs w:val="20"/>
              </w:rPr>
            </w:pPr>
          </w:p>
        </w:tc>
      </w:tr>
    </w:tbl>
    <w:p w:rsidR="00082A1E" w:rsidP="009B179B" w14:paraId="13E0F91C" w14:textId="34ABCA9D">
      <w:pPr>
        <w:ind w:left="-20" w:right="-20"/>
        <w:rPr>
          <w:rFonts w:ascii="Calibri" w:eastAsia="Calibri" w:hAnsi="Calibri" w:cs="Calibri"/>
        </w:rPr>
      </w:pPr>
    </w:p>
    <w:p w:rsidR="00082A1E" w14:paraId="3D88A880" w14:textId="77777777">
      <w:pPr>
        <w:tabs>
          <w:tab w:val="clear" w:pos="1152"/>
        </w:tabs>
        <w:spacing w:after="200" w:line="276" w:lineRule="auto"/>
        <w:rPr>
          <w:rFonts w:ascii="Calibri" w:eastAsia="Calibri" w:hAnsi="Calibri" w:cs="Calibri"/>
        </w:rPr>
      </w:pPr>
      <w:r>
        <w:rPr>
          <w:rFonts w:ascii="Calibri" w:eastAsia="Calibri" w:hAnsi="Calibri" w:cs="Calibri"/>
        </w:rPr>
        <w:br w:type="page"/>
      </w:r>
    </w:p>
    <w:p w:rsidR="009B179B" w:rsidP="009B179B" w14:paraId="2A2DA8A7" w14:textId="77777777">
      <w:pPr>
        <w:ind w:left="-20" w:right="-20"/>
        <w:rPr>
          <w:rFonts w:ascii="Calibri" w:eastAsia="Calibri" w:hAnsi="Calibri" w:cs="Calibri"/>
        </w:rPr>
      </w:pPr>
    </w:p>
    <w:tbl>
      <w:tblPr>
        <w:tblW w:w="5000" w:type="pct"/>
        <w:tblLayout w:type="fixed"/>
        <w:tblLook w:val="04A0"/>
      </w:tblPr>
      <w:tblGrid>
        <w:gridCol w:w="1156"/>
        <w:gridCol w:w="1198"/>
        <w:gridCol w:w="1416"/>
        <w:gridCol w:w="1351"/>
        <w:gridCol w:w="1258"/>
        <w:gridCol w:w="810"/>
        <w:gridCol w:w="903"/>
        <w:gridCol w:w="883"/>
        <w:gridCol w:w="810"/>
        <w:gridCol w:w="813"/>
        <w:gridCol w:w="867"/>
        <w:gridCol w:w="771"/>
        <w:gridCol w:w="704"/>
      </w:tblGrid>
      <w:tr w14:paraId="0FA6EC21" w14:textId="77777777" w:rsidTr="00FC2DC1">
        <w:tblPrEx>
          <w:tblW w:w="5000" w:type="pct"/>
          <w:tblLayout w:type="fixed"/>
          <w:tblLook w:val="04A0"/>
        </w:tblPrEx>
        <w:trPr>
          <w:trHeight w:val="300"/>
        </w:trPr>
        <w:tc>
          <w:tcPr>
            <w:tcW w:w="447" w:type="pct"/>
            <w:vMerge w:val="restart"/>
            <w:tcBorders>
              <w:top w:val="single" w:sz="8" w:space="0" w:color="auto"/>
              <w:left w:val="single" w:sz="8" w:space="0" w:color="auto"/>
              <w:bottom w:val="single" w:sz="8" w:space="0" w:color="auto"/>
              <w:right w:val="single" w:sz="8" w:space="0" w:color="auto"/>
            </w:tcBorders>
            <w:shd w:val="clear" w:color="auto" w:fill="2F75B5"/>
            <w:tcMar>
              <w:left w:w="108" w:type="dxa"/>
              <w:right w:w="108" w:type="dxa"/>
            </w:tcMar>
            <w:vAlign w:val="bottom"/>
          </w:tcPr>
          <w:p w:rsidR="00F519B7" w:rsidRPr="0098639E" w:rsidP="00FC2DC1" w14:paraId="76EE80A6" w14:textId="77777777">
            <w:pPr>
              <w:jc w:val="center"/>
              <w:rPr>
                <w:rFonts w:eastAsia="Calibri"/>
                <w:b/>
                <w:color w:val="FFFFFF" w:themeColor="background1"/>
                <w:sz w:val="20"/>
                <w:szCs w:val="20"/>
              </w:rPr>
            </w:pPr>
            <w:r w:rsidRPr="0098639E">
              <w:rPr>
                <w:rFonts w:eastAsia="Calibri"/>
                <w:b/>
                <w:color w:val="FFFFFF" w:themeColor="background1"/>
                <w:sz w:val="20"/>
                <w:szCs w:val="20"/>
              </w:rPr>
              <w:t>Region</w:t>
            </w:r>
          </w:p>
        </w:tc>
        <w:tc>
          <w:tcPr>
            <w:tcW w:w="463" w:type="pct"/>
            <w:vMerge w:val="restart"/>
            <w:tcBorders>
              <w:top w:val="single" w:sz="8" w:space="0" w:color="auto"/>
              <w:left w:val="single" w:sz="8" w:space="0" w:color="auto"/>
              <w:bottom w:val="single" w:sz="8" w:space="0" w:color="auto"/>
              <w:right w:val="nil"/>
            </w:tcBorders>
            <w:shd w:val="clear" w:color="auto" w:fill="2F75B5"/>
            <w:tcMar>
              <w:left w:w="108" w:type="dxa"/>
              <w:right w:w="108" w:type="dxa"/>
            </w:tcMar>
            <w:vAlign w:val="bottom"/>
          </w:tcPr>
          <w:p w:rsidR="00F519B7" w:rsidRPr="0098639E" w:rsidP="00FC2DC1" w14:paraId="36CA659A" w14:textId="77777777">
            <w:pPr>
              <w:jc w:val="center"/>
              <w:rPr>
                <w:rFonts w:eastAsia="Calibri"/>
                <w:b/>
                <w:color w:val="FFFFFF" w:themeColor="background1"/>
                <w:sz w:val="20"/>
                <w:szCs w:val="20"/>
              </w:rPr>
            </w:pPr>
            <w:r w:rsidRPr="0098639E">
              <w:rPr>
                <w:rFonts w:eastAsia="Calibri"/>
                <w:b/>
                <w:color w:val="FFFFFF" w:themeColor="background1"/>
                <w:sz w:val="20"/>
                <w:szCs w:val="20"/>
              </w:rPr>
              <w:t>Division</w:t>
            </w:r>
          </w:p>
        </w:tc>
        <w:tc>
          <w:tcPr>
            <w:tcW w:w="2217" w:type="pct"/>
            <w:gridSpan w:val="5"/>
            <w:tcBorders>
              <w:top w:val="single" w:sz="8" w:space="0" w:color="auto"/>
              <w:left w:val="single" w:sz="8" w:space="0" w:color="auto"/>
              <w:bottom w:val="single" w:sz="8" w:space="0" w:color="auto"/>
              <w:right w:val="single" w:sz="8" w:space="0" w:color="000000" w:themeColor="text1"/>
            </w:tcBorders>
            <w:shd w:val="clear" w:color="auto" w:fill="2F75B5"/>
          </w:tcPr>
          <w:p w:rsidR="00F519B7" w:rsidRPr="0098639E" w:rsidP="00FC2DC1" w14:paraId="0DA8A42F" w14:textId="77777777">
            <w:pPr>
              <w:jc w:val="center"/>
              <w:rPr>
                <w:rFonts w:eastAsia="Calibri"/>
                <w:b/>
                <w:color w:val="FFFFFF" w:themeColor="background1"/>
                <w:sz w:val="20"/>
                <w:szCs w:val="20"/>
              </w:rPr>
            </w:pPr>
            <w:r w:rsidRPr="0098639E">
              <w:rPr>
                <w:rFonts w:eastAsia="Calibri"/>
                <w:b/>
                <w:color w:val="FFFFFF" w:themeColor="background1"/>
                <w:sz w:val="20"/>
                <w:szCs w:val="20"/>
              </w:rPr>
              <w:t>Housing Units</w:t>
            </w:r>
          </w:p>
        </w:tc>
        <w:tc>
          <w:tcPr>
            <w:tcW w:w="968" w:type="pct"/>
            <w:gridSpan w:val="3"/>
            <w:tcBorders>
              <w:top w:val="single" w:sz="8" w:space="0" w:color="auto"/>
              <w:left w:val="nil"/>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19AF4D62" w14:textId="77777777">
            <w:pPr>
              <w:jc w:val="center"/>
              <w:rPr>
                <w:rFonts w:eastAsia="Calibri"/>
                <w:b/>
                <w:color w:val="FFFFFF" w:themeColor="background1"/>
                <w:sz w:val="20"/>
                <w:szCs w:val="20"/>
              </w:rPr>
            </w:pPr>
            <w:r w:rsidRPr="0098639E">
              <w:rPr>
                <w:rFonts w:eastAsia="Calibri"/>
                <w:b/>
                <w:color w:val="FFFFFF" w:themeColor="background1"/>
                <w:sz w:val="20"/>
                <w:szCs w:val="20"/>
              </w:rPr>
              <w:t>Sample Allocation</w:t>
            </w:r>
          </w:p>
        </w:tc>
        <w:tc>
          <w:tcPr>
            <w:tcW w:w="905" w:type="pct"/>
            <w:gridSpan w:val="3"/>
            <w:tcBorders>
              <w:top w:val="single" w:sz="8" w:space="0" w:color="auto"/>
              <w:left w:val="nil"/>
              <w:bottom w:val="single" w:sz="8" w:space="0" w:color="auto"/>
              <w:right w:val="single" w:sz="8" w:space="0" w:color="000000" w:themeColor="text1"/>
            </w:tcBorders>
            <w:shd w:val="clear" w:color="auto" w:fill="2F75B5"/>
          </w:tcPr>
          <w:p w:rsidR="00F519B7" w:rsidRPr="0098639E" w:rsidP="00FC2DC1" w14:paraId="753865D1" w14:textId="77777777">
            <w:pPr>
              <w:jc w:val="center"/>
              <w:rPr>
                <w:rFonts w:eastAsia="Calibri"/>
                <w:b/>
                <w:color w:val="FFFFFF" w:themeColor="background1"/>
                <w:sz w:val="20"/>
                <w:szCs w:val="20"/>
              </w:rPr>
            </w:pPr>
            <w:r>
              <w:rPr>
                <w:rFonts w:eastAsia="Calibri"/>
                <w:b/>
                <w:color w:val="FFFFFF" w:themeColor="background1"/>
                <w:sz w:val="20"/>
                <w:szCs w:val="20"/>
              </w:rPr>
              <w:t>Completed Households</w:t>
            </w:r>
          </w:p>
        </w:tc>
      </w:tr>
      <w:tr w14:paraId="641A0D92" w14:textId="77777777" w:rsidTr="00FC2DC1">
        <w:tblPrEx>
          <w:tblW w:w="5000" w:type="pct"/>
          <w:tblLayout w:type="fixed"/>
          <w:tblLook w:val="04A0"/>
        </w:tblPrEx>
        <w:trPr>
          <w:trHeight w:val="300"/>
        </w:trPr>
        <w:tc>
          <w:tcPr>
            <w:tcW w:w="447" w:type="pct"/>
            <w:vMerge/>
            <w:tcBorders>
              <w:left w:val="single" w:sz="0" w:space="0" w:color="auto"/>
              <w:bottom w:val="single" w:sz="0" w:space="0" w:color="auto"/>
              <w:right w:val="single" w:sz="0" w:space="0" w:color="auto"/>
            </w:tcBorders>
            <w:vAlign w:val="center"/>
          </w:tcPr>
          <w:p w:rsidR="00F519B7" w:rsidRPr="0098639E" w:rsidP="00FC2DC1" w14:paraId="11BD625E" w14:textId="77777777">
            <w:pPr>
              <w:rPr>
                <w:sz w:val="20"/>
                <w:szCs w:val="20"/>
              </w:rPr>
            </w:pPr>
          </w:p>
        </w:tc>
        <w:tc>
          <w:tcPr>
            <w:tcW w:w="463" w:type="pct"/>
            <w:vMerge/>
            <w:tcBorders>
              <w:left w:val="single" w:sz="0" w:space="0" w:color="auto"/>
              <w:bottom w:val="single" w:sz="0" w:space="0" w:color="auto"/>
            </w:tcBorders>
            <w:vAlign w:val="center"/>
          </w:tcPr>
          <w:p w:rsidR="00F519B7" w:rsidRPr="0098639E" w:rsidP="00FC2DC1" w14:paraId="2973625A" w14:textId="77777777">
            <w:pPr>
              <w:rPr>
                <w:sz w:val="20"/>
                <w:szCs w:val="20"/>
              </w:rPr>
            </w:pPr>
          </w:p>
        </w:tc>
        <w:tc>
          <w:tcPr>
            <w:tcW w:w="547" w:type="pct"/>
            <w:tcBorders>
              <w:left w:val="single" w:sz="8" w:space="0" w:color="auto"/>
              <w:bottom w:val="single" w:sz="8" w:space="0" w:color="auto"/>
              <w:right w:val="single" w:sz="8" w:space="0" w:color="auto"/>
            </w:tcBorders>
            <w:shd w:val="clear" w:color="auto" w:fill="2F75B5"/>
          </w:tcPr>
          <w:p w:rsidR="00F519B7" w:rsidRPr="0098639E" w:rsidP="00FC2DC1" w14:paraId="4A90E4FF" w14:textId="77777777">
            <w:pPr>
              <w:jc w:val="center"/>
              <w:rPr>
                <w:rFonts w:eastAsia="Calibri"/>
                <w:b/>
                <w:color w:val="FFFFFF" w:themeColor="background1"/>
                <w:sz w:val="20"/>
                <w:szCs w:val="20"/>
              </w:rPr>
            </w:pPr>
            <w:r>
              <w:rPr>
                <w:rFonts w:eastAsia="Calibri"/>
                <w:b/>
                <w:color w:val="FFFFFF" w:themeColor="background1"/>
                <w:sz w:val="20"/>
                <w:szCs w:val="20"/>
              </w:rPr>
              <w:t>Total</w:t>
            </w:r>
          </w:p>
        </w:tc>
        <w:tc>
          <w:tcPr>
            <w:tcW w:w="522" w:type="pct"/>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33ADDD5C" w14:textId="77777777">
            <w:pPr>
              <w:jc w:val="center"/>
              <w:rPr>
                <w:rFonts w:eastAsia="Calibri"/>
                <w:b/>
                <w:color w:val="FFFFFF" w:themeColor="background1"/>
                <w:sz w:val="20"/>
                <w:szCs w:val="20"/>
              </w:rPr>
            </w:pPr>
            <w:r w:rsidRPr="0098639E">
              <w:rPr>
                <w:rFonts w:eastAsia="Calibri"/>
                <w:b/>
                <w:color w:val="FFFFFF" w:themeColor="background1"/>
                <w:sz w:val="20"/>
                <w:szCs w:val="20"/>
              </w:rPr>
              <w:t>Urban</w:t>
            </w:r>
          </w:p>
        </w:tc>
        <w:tc>
          <w:tcPr>
            <w:tcW w:w="486"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F519B7" w:rsidRPr="0098639E" w:rsidP="00FC2DC1" w14:paraId="3011DA48" w14:textId="77777777">
            <w:pPr>
              <w:jc w:val="center"/>
              <w:rPr>
                <w:rFonts w:eastAsia="Calibri"/>
                <w:b/>
                <w:color w:val="FFFFFF" w:themeColor="background1"/>
                <w:sz w:val="20"/>
                <w:szCs w:val="20"/>
              </w:rPr>
            </w:pPr>
            <w:r w:rsidRPr="0098639E">
              <w:rPr>
                <w:rFonts w:eastAsia="Calibri"/>
                <w:b/>
                <w:color w:val="FFFFFF" w:themeColor="background1"/>
                <w:sz w:val="20"/>
                <w:szCs w:val="20"/>
              </w:rPr>
              <w:t>Rural</w:t>
            </w:r>
          </w:p>
        </w:tc>
        <w:tc>
          <w:tcPr>
            <w:tcW w:w="313"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F519B7" w:rsidRPr="0098639E" w:rsidP="00FC2DC1" w14:paraId="37EFB70D" w14:textId="77777777">
            <w:pPr>
              <w:jc w:val="center"/>
              <w:rPr>
                <w:rFonts w:eastAsia="Calibri"/>
                <w:b/>
                <w:color w:val="FFFFFF" w:themeColor="background1"/>
                <w:sz w:val="20"/>
                <w:szCs w:val="20"/>
              </w:rPr>
            </w:pPr>
            <w:r w:rsidRPr="0098639E">
              <w:rPr>
                <w:rFonts w:eastAsia="Calibri"/>
                <w:b/>
                <w:color w:val="FFFFFF" w:themeColor="background1"/>
                <w:sz w:val="20"/>
                <w:szCs w:val="20"/>
              </w:rPr>
              <w:t>% Urban</w:t>
            </w:r>
          </w:p>
        </w:tc>
        <w:tc>
          <w:tcPr>
            <w:tcW w:w="349" w:type="pct"/>
            <w:tcBorders>
              <w:top w:val="nil"/>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024E3EB9" w14:textId="77777777">
            <w:pPr>
              <w:jc w:val="center"/>
              <w:rPr>
                <w:rFonts w:eastAsia="Calibri"/>
                <w:b/>
                <w:color w:val="FFFFFF" w:themeColor="background1"/>
                <w:sz w:val="20"/>
                <w:szCs w:val="20"/>
              </w:rPr>
            </w:pPr>
            <w:r w:rsidRPr="0098639E">
              <w:rPr>
                <w:rFonts w:eastAsia="Calibri"/>
                <w:b/>
                <w:color w:val="FFFFFF" w:themeColor="background1"/>
                <w:sz w:val="20"/>
                <w:szCs w:val="20"/>
              </w:rPr>
              <w:t>% Rural</w:t>
            </w:r>
          </w:p>
        </w:tc>
        <w:tc>
          <w:tcPr>
            <w:tcW w:w="341" w:type="pct"/>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0EC90040" w14:textId="77777777">
            <w:pPr>
              <w:jc w:val="center"/>
              <w:rPr>
                <w:rFonts w:eastAsia="Calibri"/>
                <w:b/>
                <w:color w:val="FFFFFF" w:themeColor="background1"/>
                <w:sz w:val="20"/>
                <w:szCs w:val="20"/>
              </w:rPr>
            </w:pPr>
            <w:r w:rsidRPr="0098639E">
              <w:rPr>
                <w:rFonts w:eastAsia="Calibri"/>
                <w:b/>
                <w:color w:val="FFFFFF" w:themeColor="background1"/>
                <w:sz w:val="20"/>
                <w:szCs w:val="20"/>
              </w:rPr>
              <w:t>Overall</w:t>
            </w:r>
          </w:p>
        </w:tc>
        <w:tc>
          <w:tcPr>
            <w:tcW w:w="313"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F519B7" w:rsidRPr="0098639E" w:rsidP="00FC2DC1" w14:paraId="501B3DD7" w14:textId="77777777">
            <w:pPr>
              <w:jc w:val="center"/>
              <w:rPr>
                <w:rFonts w:eastAsia="Calibri"/>
                <w:b/>
                <w:color w:val="FFFFFF" w:themeColor="background1"/>
                <w:sz w:val="20"/>
                <w:szCs w:val="20"/>
              </w:rPr>
            </w:pPr>
            <w:r w:rsidRPr="0098639E">
              <w:rPr>
                <w:rFonts w:eastAsia="Calibri"/>
                <w:b/>
                <w:color w:val="FFFFFF" w:themeColor="background1"/>
                <w:sz w:val="20"/>
                <w:szCs w:val="20"/>
              </w:rPr>
              <w:t>Urban</w:t>
            </w:r>
          </w:p>
        </w:tc>
        <w:tc>
          <w:tcPr>
            <w:tcW w:w="314" w:type="pct"/>
            <w:tcBorders>
              <w:top w:val="nil"/>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4020407D" w14:textId="77777777">
            <w:pPr>
              <w:jc w:val="center"/>
              <w:rPr>
                <w:rFonts w:eastAsia="Calibri"/>
                <w:b/>
                <w:color w:val="FFFFFF" w:themeColor="background1"/>
                <w:sz w:val="20"/>
                <w:szCs w:val="20"/>
              </w:rPr>
            </w:pPr>
            <w:r w:rsidRPr="0098639E">
              <w:rPr>
                <w:rFonts w:eastAsia="Calibri"/>
                <w:b/>
                <w:color w:val="FFFFFF" w:themeColor="background1"/>
                <w:sz w:val="20"/>
                <w:szCs w:val="20"/>
              </w:rPr>
              <w:t>Rural</w:t>
            </w:r>
          </w:p>
        </w:tc>
        <w:tc>
          <w:tcPr>
            <w:tcW w:w="335" w:type="pct"/>
            <w:tcBorders>
              <w:top w:val="nil"/>
              <w:left w:val="single" w:sz="8" w:space="0" w:color="auto"/>
              <w:bottom w:val="single" w:sz="8" w:space="0" w:color="auto"/>
              <w:right w:val="single" w:sz="8" w:space="0" w:color="000000" w:themeColor="text1"/>
            </w:tcBorders>
            <w:shd w:val="clear" w:color="auto" w:fill="2F75B5"/>
            <w:vAlign w:val="bottom"/>
          </w:tcPr>
          <w:p w:rsidR="00F519B7" w:rsidRPr="0098639E" w:rsidP="00FC2DC1" w14:paraId="3056DE04" w14:textId="77777777">
            <w:pPr>
              <w:jc w:val="center"/>
              <w:rPr>
                <w:rFonts w:eastAsia="Calibri"/>
                <w:b/>
                <w:color w:val="FFFFFF" w:themeColor="background1"/>
                <w:sz w:val="20"/>
                <w:szCs w:val="20"/>
              </w:rPr>
            </w:pPr>
            <w:r w:rsidRPr="0098639E">
              <w:rPr>
                <w:rFonts w:eastAsia="Calibri"/>
                <w:b/>
                <w:color w:val="FFFFFF" w:themeColor="background1"/>
                <w:sz w:val="20"/>
                <w:szCs w:val="20"/>
              </w:rPr>
              <w:t>Overall</w:t>
            </w:r>
          </w:p>
        </w:tc>
        <w:tc>
          <w:tcPr>
            <w:tcW w:w="298" w:type="pct"/>
            <w:tcBorders>
              <w:top w:val="nil"/>
              <w:left w:val="single" w:sz="8" w:space="0" w:color="auto"/>
              <w:bottom w:val="single" w:sz="8" w:space="0" w:color="auto"/>
              <w:right w:val="single" w:sz="8" w:space="0" w:color="000000" w:themeColor="text1"/>
            </w:tcBorders>
            <w:shd w:val="clear" w:color="auto" w:fill="2F75B5"/>
            <w:vAlign w:val="bottom"/>
          </w:tcPr>
          <w:p w:rsidR="00F519B7" w:rsidRPr="0098639E" w:rsidP="00FC2DC1" w14:paraId="0F901ACB" w14:textId="77777777">
            <w:pPr>
              <w:jc w:val="center"/>
              <w:rPr>
                <w:rFonts w:eastAsia="Calibri"/>
                <w:b/>
                <w:color w:val="FFFFFF" w:themeColor="background1"/>
                <w:sz w:val="20"/>
                <w:szCs w:val="20"/>
              </w:rPr>
            </w:pPr>
            <w:r w:rsidRPr="0098639E">
              <w:rPr>
                <w:rFonts w:eastAsia="Calibri"/>
                <w:b/>
                <w:color w:val="FFFFFF" w:themeColor="background1"/>
                <w:sz w:val="20"/>
                <w:szCs w:val="20"/>
              </w:rPr>
              <w:t>Urban</w:t>
            </w:r>
          </w:p>
        </w:tc>
        <w:tc>
          <w:tcPr>
            <w:tcW w:w="272" w:type="pct"/>
            <w:tcBorders>
              <w:top w:val="nil"/>
              <w:left w:val="single" w:sz="8" w:space="0" w:color="auto"/>
              <w:bottom w:val="single" w:sz="8" w:space="0" w:color="auto"/>
              <w:right w:val="single" w:sz="8" w:space="0" w:color="000000" w:themeColor="text1"/>
            </w:tcBorders>
            <w:shd w:val="clear" w:color="auto" w:fill="2F75B5"/>
            <w:vAlign w:val="bottom"/>
          </w:tcPr>
          <w:p w:rsidR="00F519B7" w:rsidRPr="0098639E" w:rsidP="00FC2DC1" w14:paraId="2660A155" w14:textId="77777777">
            <w:pPr>
              <w:jc w:val="center"/>
              <w:rPr>
                <w:rFonts w:eastAsia="Calibri"/>
                <w:b/>
                <w:color w:val="FFFFFF" w:themeColor="background1"/>
                <w:sz w:val="20"/>
                <w:szCs w:val="20"/>
              </w:rPr>
            </w:pPr>
            <w:r w:rsidRPr="0098639E">
              <w:rPr>
                <w:rFonts w:eastAsia="Calibri"/>
                <w:b/>
                <w:color w:val="FFFFFF" w:themeColor="background1"/>
                <w:sz w:val="20"/>
                <w:szCs w:val="20"/>
              </w:rPr>
              <w:t>Rural</w:t>
            </w:r>
          </w:p>
        </w:tc>
      </w:tr>
      <w:tr w14:paraId="37BAD0F5" w14:textId="77777777" w:rsidTr="00FC2DC1">
        <w:tblPrEx>
          <w:tblW w:w="5000" w:type="pct"/>
          <w:tblLayout w:type="fixed"/>
          <w:tblLook w:val="04A0"/>
        </w:tblPrEx>
        <w:trPr>
          <w:trHeight w:val="300"/>
        </w:trPr>
        <w:tc>
          <w:tcPr>
            <w:tcW w:w="447" w:type="pct"/>
            <w:vMerge w:val="restart"/>
            <w:tcBorders>
              <w:top w:val="nil"/>
              <w:left w:val="single" w:sz="8" w:space="0" w:color="auto"/>
              <w:right w:val="single" w:sz="8" w:space="0" w:color="auto"/>
            </w:tcBorders>
            <w:tcMar>
              <w:left w:w="108" w:type="dxa"/>
              <w:right w:w="108" w:type="dxa"/>
            </w:tcMar>
            <w:vAlign w:val="center"/>
          </w:tcPr>
          <w:p w:rsidR="00F519B7" w:rsidRPr="0098639E" w:rsidP="00FC2DC1" w14:paraId="5687961F" w14:textId="77777777">
            <w:pPr>
              <w:rPr>
                <w:rFonts w:eastAsia="Calibri"/>
                <w:sz w:val="20"/>
                <w:szCs w:val="20"/>
              </w:rPr>
            </w:pPr>
            <w:r w:rsidRPr="0098639E">
              <w:rPr>
                <w:rFonts w:eastAsia="Calibri"/>
                <w:sz w:val="20"/>
                <w:szCs w:val="20"/>
              </w:rPr>
              <w:t>Northeast</w:t>
            </w:r>
          </w:p>
        </w:tc>
        <w:tc>
          <w:tcPr>
            <w:tcW w:w="463" w:type="pct"/>
            <w:tcBorders>
              <w:top w:val="nil"/>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2A96F54F" w14:textId="77777777">
            <w:pPr>
              <w:rPr>
                <w:rFonts w:eastAsia="Calibri"/>
                <w:sz w:val="20"/>
                <w:szCs w:val="20"/>
              </w:rPr>
            </w:pPr>
            <w:r w:rsidRPr="0098639E">
              <w:rPr>
                <w:rFonts w:eastAsia="Calibri"/>
                <w:sz w:val="20"/>
                <w:szCs w:val="20"/>
              </w:rPr>
              <w:t>Middle Atlantic</w:t>
            </w:r>
          </w:p>
        </w:tc>
        <w:tc>
          <w:tcPr>
            <w:tcW w:w="547"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7C4DAD90" w14:textId="77777777">
            <w:pPr>
              <w:jc w:val="right"/>
              <w:rPr>
                <w:rFonts w:eastAsia="Calibri"/>
                <w:sz w:val="20"/>
                <w:szCs w:val="20"/>
              </w:rPr>
            </w:pPr>
            <w:r>
              <w:rPr>
                <w:rFonts w:ascii="Calibri" w:hAnsi="Calibri" w:cs="Calibri"/>
                <w:color w:val="000000"/>
              </w:rPr>
              <w:t>17,992,123</w:t>
            </w:r>
          </w:p>
        </w:tc>
        <w:tc>
          <w:tcPr>
            <w:tcW w:w="522"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4B0873A9" w14:textId="77777777">
            <w:pPr>
              <w:jc w:val="right"/>
              <w:rPr>
                <w:rFonts w:eastAsia="Calibri"/>
                <w:sz w:val="20"/>
                <w:szCs w:val="20"/>
              </w:rPr>
            </w:pPr>
            <w:r w:rsidRPr="0098639E">
              <w:rPr>
                <w:rFonts w:eastAsia="Calibri"/>
                <w:sz w:val="20"/>
                <w:szCs w:val="20"/>
              </w:rPr>
              <w:t xml:space="preserve">15,148,182 </w:t>
            </w:r>
          </w:p>
        </w:tc>
        <w:tc>
          <w:tcPr>
            <w:tcW w:w="486"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1E49E819" w14:textId="77777777">
            <w:pPr>
              <w:jc w:val="right"/>
              <w:rPr>
                <w:rFonts w:eastAsia="Calibri"/>
                <w:sz w:val="20"/>
                <w:szCs w:val="20"/>
              </w:rPr>
            </w:pPr>
            <w:r w:rsidRPr="0098639E">
              <w:rPr>
                <w:rFonts w:eastAsia="Calibri"/>
                <w:sz w:val="20"/>
                <w:szCs w:val="20"/>
              </w:rPr>
              <w:t xml:space="preserve">2,843,941 </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1459C86C" w14:textId="77777777">
            <w:pPr>
              <w:jc w:val="right"/>
              <w:rPr>
                <w:rFonts w:eastAsia="Calibri"/>
                <w:sz w:val="20"/>
                <w:szCs w:val="20"/>
              </w:rPr>
            </w:pPr>
            <w:r w:rsidRPr="0098639E">
              <w:rPr>
                <w:rFonts w:eastAsia="Calibri"/>
                <w:sz w:val="20"/>
                <w:szCs w:val="20"/>
              </w:rPr>
              <w:t>84.2%</w:t>
            </w:r>
          </w:p>
        </w:tc>
        <w:tc>
          <w:tcPr>
            <w:tcW w:w="34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36A99B2" w14:textId="77777777">
            <w:pPr>
              <w:jc w:val="right"/>
              <w:rPr>
                <w:rFonts w:eastAsia="Calibri"/>
                <w:sz w:val="20"/>
                <w:szCs w:val="20"/>
              </w:rPr>
            </w:pPr>
            <w:r w:rsidRPr="0098639E">
              <w:rPr>
                <w:rFonts w:eastAsia="Calibri"/>
                <w:sz w:val="20"/>
                <w:szCs w:val="20"/>
              </w:rPr>
              <w:t>15.8%</w:t>
            </w:r>
          </w:p>
        </w:tc>
        <w:tc>
          <w:tcPr>
            <w:tcW w:w="34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B971FED" w14:textId="77777777">
            <w:pPr>
              <w:jc w:val="right"/>
              <w:rPr>
                <w:rFonts w:eastAsia="Calibri"/>
                <w:sz w:val="20"/>
                <w:szCs w:val="20"/>
              </w:rPr>
            </w:pPr>
            <w:r>
              <w:rPr>
                <w:rFonts w:ascii="Calibri" w:hAnsi="Calibri" w:cs="Calibri"/>
                <w:color w:val="000000"/>
              </w:rPr>
              <w:t>6,692</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2FB08DE8" w14:textId="77777777">
            <w:pPr>
              <w:jc w:val="right"/>
              <w:rPr>
                <w:rFonts w:eastAsia="Calibri"/>
                <w:sz w:val="20"/>
                <w:szCs w:val="20"/>
              </w:rPr>
            </w:pPr>
            <w:r>
              <w:rPr>
                <w:rFonts w:ascii="Calibri" w:hAnsi="Calibri" w:cs="Calibri"/>
                <w:color w:val="000000"/>
              </w:rPr>
              <w:t>5,635</w:t>
            </w:r>
          </w:p>
        </w:tc>
        <w:tc>
          <w:tcPr>
            <w:tcW w:w="31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2340C9B6" w14:textId="77777777">
            <w:pPr>
              <w:jc w:val="right"/>
              <w:rPr>
                <w:rFonts w:eastAsia="Calibri"/>
                <w:sz w:val="20"/>
                <w:szCs w:val="20"/>
              </w:rPr>
            </w:pPr>
            <w:r>
              <w:rPr>
                <w:rFonts w:ascii="Calibri" w:hAnsi="Calibri" w:cs="Calibri"/>
                <w:color w:val="000000"/>
              </w:rPr>
              <w:t>1,057</w:t>
            </w:r>
          </w:p>
        </w:tc>
        <w:tc>
          <w:tcPr>
            <w:tcW w:w="335"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07870916" w14:textId="77777777">
            <w:pPr>
              <w:jc w:val="right"/>
              <w:rPr>
                <w:rFonts w:eastAsia="Calibri"/>
                <w:sz w:val="20"/>
                <w:szCs w:val="20"/>
              </w:rPr>
            </w:pPr>
            <w:r w:rsidRPr="0098639E">
              <w:rPr>
                <w:rFonts w:eastAsia="Calibri"/>
                <w:sz w:val="20"/>
                <w:szCs w:val="20"/>
              </w:rPr>
              <w:t xml:space="preserve">960 </w:t>
            </w:r>
          </w:p>
        </w:tc>
        <w:tc>
          <w:tcPr>
            <w:tcW w:w="298"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62744CC8" w14:textId="77777777">
            <w:pPr>
              <w:jc w:val="right"/>
              <w:rPr>
                <w:rFonts w:eastAsia="Calibri"/>
                <w:sz w:val="20"/>
                <w:szCs w:val="20"/>
              </w:rPr>
            </w:pPr>
            <w:r w:rsidRPr="0098639E">
              <w:rPr>
                <w:rFonts w:eastAsia="Calibri"/>
                <w:sz w:val="20"/>
                <w:szCs w:val="20"/>
              </w:rPr>
              <w:t xml:space="preserve">809 </w:t>
            </w:r>
          </w:p>
        </w:tc>
        <w:tc>
          <w:tcPr>
            <w:tcW w:w="272"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22B292EA" w14:textId="77777777">
            <w:pPr>
              <w:jc w:val="right"/>
              <w:rPr>
                <w:rFonts w:eastAsia="Calibri"/>
                <w:sz w:val="20"/>
                <w:szCs w:val="20"/>
              </w:rPr>
            </w:pPr>
            <w:r w:rsidRPr="0098639E">
              <w:rPr>
                <w:rFonts w:eastAsia="Calibri"/>
                <w:sz w:val="20"/>
                <w:szCs w:val="20"/>
              </w:rPr>
              <w:t xml:space="preserve">152 </w:t>
            </w:r>
          </w:p>
        </w:tc>
      </w:tr>
      <w:tr w14:paraId="41060639" w14:textId="77777777" w:rsidTr="00FC2DC1">
        <w:tblPrEx>
          <w:tblW w:w="5000" w:type="pct"/>
          <w:tblLayout w:type="fixed"/>
          <w:tblLook w:val="04A0"/>
        </w:tblPrEx>
        <w:trPr>
          <w:trHeight w:val="300"/>
        </w:trPr>
        <w:tc>
          <w:tcPr>
            <w:tcW w:w="447" w:type="pct"/>
            <w:vMerge/>
            <w:tcBorders>
              <w:left w:val="single" w:sz="8" w:space="0" w:color="auto"/>
              <w:bottom w:val="single" w:sz="8" w:space="0" w:color="auto"/>
              <w:right w:val="single" w:sz="8" w:space="0" w:color="auto"/>
            </w:tcBorders>
            <w:tcMar>
              <w:left w:w="108" w:type="dxa"/>
              <w:right w:w="108" w:type="dxa"/>
            </w:tcMar>
            <w:vAlign w:val="bottom"/>
          </w:tcPr>
          <w:p w:rsidR="00F519B7" w:rsidRPr="0098639E" w:rsidP="00FC2DC1" w14:paraId="14EF1874"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F519B7" w:rsidRPr="0098639E" w:rsidP="00FC2DC1" w14:paraId="3389DEA0" w14:textId="77777777">
            <w:pPr>
              <w:rPr>
                <w:rFonts w:eastAsia="Calibri"/>
                <w:sz w:val="20"/>
                <w:szCs w:val="20"/>
              </w:rPr>
            </w:pPr>
            <w:r w:rsidRPr="0098639E">
              <w:rPr>
                <w:rFonts w:eastAsia="Calibri"/>
                <w:sz w:val="20"/>
                <w:szCs w:val="20"/>
              </w:rPr>
              <w:t>New England</w:t>
            </w:r>
          </w:p>
        </w:tc>
        <w:tc>
          <w:tcPr>
            <w:tcW w:w="547"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4B2E7AB7" w14:textId="77777777">
            <w:pPr>
              <w:jc w:val="right"/>
              <w:rPr>
                <w:rFonts w:eastAsia="Calibri"/>
                <w:sz w:val="20"/>
                <w:szCs w:val="20"/>
              </w:rPr>
            </w:pPr>
            <w:r>
              <w:rPr>
                <w:rFonts w:ascii="Calibri" w:hAnsi="Calibri" w:cs="Calibri"/>
                <w:color w:val="000000"/>
              </w:rPr>
              <w:t>6,724,393</w:t>
            </w:r>
          </w:p>
        </w:tc>
        <w:tc>
          <w:tcPr>
            <w:tcW w:w="522"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5126891C" w14:textId="77777777">
            <w:pPr>
              <w:jc w:val="right"/>
              <w:rPr>
                <w:rFonts w:eastAsia="Calibri"/>
                <w:sz w:val="20"/>
                <w:szCs w:val="20"/>
              </w:rPr>
            </w:pPr>
            <w:r w:rsidRPr="0098639E">
              <w:rPr>
                <w:rFonts w:eastAsia="Calibri"/>
                <w:sz w:val="20"/>
                <w:szCs w:val="20"/>
              </w:rPr>
              <w:t xml:space="preserve">5,233,371 </w:t>
            </w:r>
          </w:p>
        </w:tc>
        <w:tc>
          <w:tcPr>
            <w:tcW w:w="486"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E66CDB7" w14:textId="77777777">
            <w:pPr>
              <w:jc w:val="right"/>
              <w:rPr>
                <w:rFonts w:eastAsia="Calibri"/>
                <w:sz w:val="20"/>
                <w:szCs w:val="20"/>
              </w:rPr>
            </w:pPr>
            <w:r w:rsidRPr="0098639E">
              <w:rPr>
                <w:rFonts w:eastAsia="Calibri"/>
                <w:sz w:val="20"/>
                <w:szCs w:val="20"/>
              </w:rPr>
              <w:t xml:space="preserve">1,491,022 </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58EEB773" w14:textId="77777777">
            <w:pPr>
              <w:jc w:val="right"/>
              <w:rPr>
                <w:rFonts w:eastAsia="Calibri"/>
                <w:sz w:val="20"/>
                <w:szCs w:val="20"/>
              </w:rPr>
            </w:pPr>
            <w:r w:rsidRPr="0098639E">
              <w:rPr>
                <w:rFonts w:eastAsia="Calibri"/>
                <w:sz w:val="20"/>
                <w:szCs w:val="20"/>
              </w:rPr>
              <w:t>77.8%</w:t>
            </w:r>
          </w:p>
        </w:tc>
        <w:tc>
          <w:tcPr>
            <w:tcW w:w="34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5900AC0A" w14:textId="77777777">
            <w:pPr>
              <w:jc w:val="right"/>
              <w:rPr>
                <w:rFonts w:eastAsia="Calibri"/>
                <w:sz w:val="20"/>
                <w:szCs w:val="20"/>
              </w:rPr>
            </w:pPr>
            <w:r w:rsidRPr="0098639E">
              <w:rPr>
                <w:rFonts w:eastAsia="Calibri"/>
                <w:sz w:val="20"/>
                <w:szCs w:val="20"/>
              </w:rPr>
              <w:t>22.2%</w:t>
            </w:r>
          </w:p>
        </w:tc>
        <w:tc>
          <w:tcPr>
            <w:tcW w:w="34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9D4DFBE" w14:textId="77777777">
            <w:pPr>
              <w:jc w:val="right"/>
              <w:rPr>
                <w:rFonts w:eastAsia="Calibri"/>
                <w:sz w:val="20"/>
                <w:szCs w:val="20"/>
              </w:rPr>
            </w:pPr>
            <w:r>
              <w:rPr>
                <w:rFonts w:ascii="Calibri" w:hAnsi="Calibri" w:cs="Calibri"/>
                <w:color w:val="000000"/>
              </w:rPr>
              <w:t>2,501</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69822E9" w14:textId="77777777">
            <w:pPr>
              <w:jc w:val="right"/>
              <w:rPr>
                <w:rFonts w:eastAsia="Calibri"/>
                <w:sz w:val="20"/>
                <w:szCs w:val="20"/>
              </w:rPr>
            </w:pPr>
            <w:r>
              <w:rPr>
                <w:rFonts w:ascii="Calibri" w:hAnsi="Calibri" w:cs="Calibri"/>
                <w:color w:val="000000"/>
              </w:rPr>
              <w:t>1,946</w:t>
            </w:r>
          </w:p>
        </w:tc>
        <w:tc>
          <w:tcPr>
            <w:tcW w:w="31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558028E6" w14:textId="77777777">
            <w:pPr>
              <w:jc w:val="right"/>
              <w:rPr>
                <w:rFonts w:eastAsia="Calibri"/>
                <w:sz w:val="20"/>
                <w:szCs w:val="20"/>
              </w:rPr>
            </w:pPr>
            <w:r>
              <w:rPr>
                <w:rFonts w:ascii="Calibri" w:hAnsi="Calibri" w:cs="Calibri"/>
                <w:color w:val="000000"/>
              </w:rPr>
              <w:t>555</w:t>
            </w:r>
          </w:p>
        </w:tc>
        <w:tc>
          <w:tcPr>
            <w:tcW w:w="335"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30ADDABE" w14:textId="77777777">
            <w:pPr>
              <w:jc w:val="right"/>
              <w:rPr>
                <w:rFonts w:eastAsia="Calibri"/>
                <w:sz w:val="20"/>
                <w:szCs w:val="20"/>
              </w:rPr>
            </w:pPr>
            <w:r w:rsidRPr="0098639E">
              <w:rPr>
                <w:rFonts w:eastAsia="Calibri"/>
                <w:sz w:val="20"/>
                <w:szCs w:val="20"/>
              </w:rPr>
              <w:t xml:space="preserve">359 </w:t>
            </w:r>
          </w:p>
        </w:tc>
        <w:tc>
          <w:tcPr>
            <w:tcW w:w="298"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18AD870A" w14:textId="77777777">
            <w:pPr>
              <w:jc w:val="right"/>
              <w:rPr>
                <w:rFonts w:eastAsia="Calibri"/>
                <w:sz w:val="20"/>
                <w:szCs w:val="20"/>
              </w:rPr>
            </w:pPr>
            <w:r w:rsidRPr="0098639E">
              <w:rPr>
                <w:rFonts w:eastAsia="Calibri"/>
                <w:sz w:val="20"/>
                <w:szCs w:val="20"/>
              </w:rPr>
              <w:t xml:space="preserve">279 </w:t>
            </w:r>
          </w:p>
        </w:tc>
        <w:tc>
          <w:tcPr>
            <w:tcW w:w="272"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54224035" w14:textId="77777777">
            <w:pPr>
              <w:jc w:val="right"/>
              <w:rPr>
                <w:rFonts w:eastAsia="Calibri"/>
                <w:sz w:val="20"/>
                <w:szCs w:val="20"/>
              </w:rPr>
            </w:pPr>
            <w:r w:rsidRPr="0098639E">
              <w:rPr>
                <w:rFonts w:eastAsia="Calibri"/>
                <w:sz w:val="20"/>
                <w:szCs w:val="20"/>
              </w:rPr>
              <w:t xml:space="preserve"> 80 </w:t>
            </w:r>
          </w:p>
        </w:tc>
      </w:tr>
      <w:tr w14:paraId="1473E03C" w14:textId="77777777" w:rsidTr="00FC2DC1">
        <w:tblPrEx>
          <w:tblW w:w="5000" w:type="pct"/>
          <w:tblLayout w:type="fixed"/>
          <w:tblLook w:val="04A0"/>
        </w:tblPrEx>
        <w:trPr>
          <w:trHeight w:val="300"/>
        </w:trPr>
        <w:tc>
          <w:tcPr>
            <w:tcW w:w="447" w:type="pct"/>
            <w:vMerge w:val="restart"/>
            <w:tcBorders>
              <w:top w:val="single" w:sz="8" w:space="0" w:color="auto"/>
              <w:left w:val="single" w:sz="8" w:space="0" w:color="auto"/>
              <w:right w:val="single" w:sz="8" w:space="0" w:color="auto"/>
            </w:tcBorders>
            <w:tcMar>
              <w:left w:w="108" w:type="dxa"/>
              <w:right w:w="108" w:type="dxa"/>
            </w:tcMar>
            <w:vAlign w:val="center"/>
          </w:tcPr>
          <w:p w:rsidR="00F519B7" w:rsidRPr="0098639E" w:rsidP="00FC2DC1" w14:paraId="1F2991CD" w14:textId="77777777">
            <w:pPr>
              <w:rPr>
                <w:rFonts w:eastAsia="Calibri"/>
                <w:sz w:val="20"/>
                <w:szCs w:val="20"/>
              </w:rPr>
            </w:pPr>
            <w:r w:rsidRPr="0098639E">
              <w:rPr>
                <w:rFonts w:eastAsia="Calibri"/>
                <w:sz w:val="20"/>
                <w:szCs w:val="20"/>
              </w:rPr>
              <w:t>South</w:t>
            </w:r>
          </w:p>
        </w:tc>
        <w:tc>
          <w:tcPr>
            <w:tcW w:w="46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18CB17D4" w14:textId="77777777">
            <w:pPr>
              <w:rPr>
                <w:rFonts w:eastAsia="Calibri"/>
                <w:sz w:val="20"/>
                <w:szCs w:val="20"/>
              </w:rPr>
            </w:pPr>
            <w:r w:rsidRPr="0098639E">
              <w:rPr>
                <w:rFonts w:eastAsia="Calibri"/>
                <w:sz w:val="20"/>
                <w:szCs w:val="20"/>
              </w:rPr>
              <w:t>East South Central</w:t>
            </w:r>
          </w:p>
        </w:tc>
        <w:tc>
          <w:tcPr>
            <w:tcW w:w="547"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425DD5E4" w14:textId="77777777">
            <w:pPr>
              <w:jc w:val="right"/>
              <w:rPr>
                <w:rFonts w:eastAsia="Calibri"/>
                <w:sz w:val="20"/>
                <w:szCs w:val="20"/>
              </w:rPr>
            </w:pPr>
            <w:r>
              <w:rPr>
                <w:rFonts w:ascii="Calibri" w:hAnsi="Calibri" w:cs="Calibri"/>
                <w:color w:val="000000"/>
              </w:rPr>
              <w:t>8,634,203</w:t>
            </w:r>
          </w:p>
        </w:tc>
        <w:tc>
          <w:tcPr>
            <w:tcW w:w="522"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24E3564F" w14:textId="77777777">
            <w:pPr>
              <w:jc w:val="right"/>
              <w:rPr>
                <w:rFonts w:eastAsia="Calibri"/>
                <w:sz w:val="20"/>
                <w:szCs w:val="20"/>
              </w:rPr>
            </w:pPr>
            <w:r w:rsidRPr="0098639E">
              <w:rPr>
                <w:rFonts w:eastAsia="Calibri"/>
                <w:sz w:val="20"/>
                <w:szCs w:val="20"/>
              </w:rPr>
              <w:t xml:space="preserve">5,102,039 </w:t>
            </w:r>
          </w:p>
        </w:tc>
        <w:tc>
          <w:tcPr>
            <w:tcW w:w="486"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4072DD4E" w14:textId="77777777">
            <w:pPr>
              <w:jc w:val="right"/>
              <w:rPr>
                <w:rFonts w:eastAsia="Calibri"/>
                <w:sz w:val="20"/>
                <w:szCs w:val="20"/>
              </w:rPr>
            </w:pPr>
            <w:r w:rsidRPr="0098639E">
              <w:rPr>
                <w:rFonts w:eastAsia="Calibri"/>
                <w:sz w:val="20"/>
                <w:szCs w:val="20"/>
              </w:rPr>
              <w:t xml:space="preserve">3,532,164 </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11A0D38E" w14:textId="77777777">
            <w:pPr>
              <w:jc w:val="right"/>
              <w:rPr>
                <w:rFonts w:eastAsia="Calibri"/>
                <w:sz w:val="20"/>
                <w:szCs w:val="20"/>
              </w:rPr>
            </w:pPr>
            <w:r w:rsidRPr="0098639E">
              <w:rPr>
                <w:rFonts w:eastAsia="Calibri"/>
                <w:sz w:val="20"/>
                <w:szCs w:val="20"/>
              </w:rPr>
              <w:t>59.1%</w:t>
            </w:r>
          </w:p>
        </w:tc>
        <w:tc>
          <w:tcPr>
            <w:tcW w:w="34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1E0965F" w14:textId="77777777">
            <w:pPr>
              <w:jc w:val="right"/>
              <w:rPr>
                <w:rFonts w:eastAsia="Calibri"/>
                <w:sz w:val="20"/>
                <w:szCs w:val="20"/>
              </w:rPr>
            </w:pPr>
            <w:r w:rsidRPr="0098639E">
              <w:rPr>
                <w:rFonts w:eastAsia="Calibri"/>
                <w:sz w:val="20"/>
                <w:szCs w:val="20"/>
              </w:rPr>
              <w:t>40.9%</w:t>
            </w:r>
          </w:p>
        </w:tc>
        <w:tc>
          <w:tcPr>
            <w:tcW w:w="34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7FF5A5A8" w14:textId="77777777">
            <w:pPr>
              <w:jc w:val="right"/>
              <w:rPr>
                <w:rFonts w:eastAsia="Calibri"/>
                <w:sz w:val="20"/>
                <w:szCs w:val="20"/>
              </w:rPr>
            </w:pPr>
            <w:r>
              <w:rPr>
                <w:rFonts w:ascii="Calibri" w:hAnsi="Calibri" w:cs="Calibri"/>
                <w:color w:val="000000"/>
              </w:rPr>
              <w:t>3,211</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DE1147F" w14:textId="77777777">
            <w:pPr>
              <w:jc w:val="right"/>
              <w:rPr>
                <w:rFonts w:eastAsia="Calibri"/>
                <w:sz w:val="20"/>
                <w:szCs w:val="20"/>
              </w:rPr>
            </w:pPr>
            <w:r>
              <w:rPr>
                <w:rFonts w:ascii="Calibri" w:hAnsi="Calibri" w:cs="Calibri"/>
                <w:color w:val="000000"/>
              </w:rPr>
              <w:t>1,898</w:t>
            </w:r>
          </w:p>
        </w:tc>
        <w:tc>
          <w:tcPr>
            <w:tcW w:w="31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EDC065C" w14:textId="77777777">
            <w:pPr>
              <w:jc w:val="right"/>
              <w:rPr>
                <w:rFonts w:eastAsia="Calibri"/>
                <w:sz w:val="20"/>
                <w:szCs w:val="20"/>
              </w:rPr>
            </w:pPr>
            <w:r>
              <w:rPr>
                <w:rFonts w:ascii="Calibri" w:hAnsi="Calibri" w:cs="Calibri"/>
                <w:color w:val="000000"/>
              </w:rPr>
              <w:t>1,313</w:t>
            </w:r>
          </w:p>
        </w:tc>
        <w:tc>
          <w:tcPr>
            <w:tcW w:w="335"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29ECB012" w14:textId="77777777">
            <w:pPr>
              <w:jc w:val="right"/>
              <w:rPr>
                <w:rFonts w:eastAsia="Calibri"/>
                <w:sz w:val="20"/>
                <w:szCs w:val="20"/>
              </w:rPr>
            </w:pPr>
            <w:r w:rsidRPr="0098639E">
              <w:rPr>
                <w:rFonts w:eastAsia="Calibri"/>
                <w:sz w:val="20"/>
                <w:szCs w:val="20"/>
              </w:rPr>
              <w:t xml:space="preserve">461 </w:t>
            </w:r>
          </w:p>
        </w:tc>
        <w:tc>
          <w:tcPr>
            <w:tcW w:w="298"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782B624D" w14:textId="77777777">
            <w:pPr>
              <w:jc w:val="right"/>
              <w:rPr>
                <w:rFonts w:eastAsia="Calibri"/>
                <w:sz w:val="20"/>
                <w:szCs w:val="20"/>
              </w:rPr>
            </w:pPr>
            <w:r w:rsidRPr="0098639E">
              <w:rPr>
                <w:rFonts w:eastAsia="Calibri"/>
                <w:sz w:val="20"/>
                <w:szCs w:val="20"/>
              </w:rPr>
              <w:t xml:space="preserve">272 </w:t>
            </w:r>
          </w:p>
        </w:tc>
        <w:tc>
          <w:tcPr>
            <w:tcW w:w="272"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336713EB" w14:textId="77777777">
            <w:pPr>
              <w:jc w:val="right"/>
              <w:rPr>
                <w:rFonts w:eastAsia="Calibri"/>
                <w:sz w:val="20"/>
                <w:szCs w:val="20"/>
              </w:rPr>
            </w:pPr>
            <w:r w:rsidRPr="0098639E">
              <w:rPr>
                <w:rFonts w:eastAsia="Calibri"/>
                <w:sz w:val="20"/>
                <w:szCs w:val="20"/>
              </w:rPr>
              <w:t xml:space="preserve">189 </w:t>
            </w:r>
          </w:p>
        </w:tc>
      </w:tr>
      <w:tr w14:paraId="65A7F784" w14:textId="77777777" w:rsidTr="00FC2DC1">
        <w:tblPrEx>
          <w:tblW w:w="5000" w:type="pct"/>
          <w:tblLayout w:type="fixed"/>
          <w:tblLook w:val="04A0"/>
        </w:tblPrEx>
        <w:trPr>
          <w:trHeight w:val="300"/>
        </w:trPr>
        <w:tc>
          <w:tcPr>
            <w:tcW w:w="447" w:type="pct"/>
            <w:vMerge/>
            <w:tcBorders>
              <w:left w:val="single" w:sz="8" w:space="0" w:color="auto"/>
              <w:right w:val="single" w:sz="8" w:space="0" w:color="auto"/>
            </w:tcBorders>
            <w:tcMar>
              <w:left w:w="108" w:type="dxa"/>
              <w:right w:w="108" w:type="dxa"/>
            </w:tcMar>
            <w:vAlign w:val="bottom"/>
          </w:tcPr>
          <w:p w:rsidR="00F519B7" w:rsidRPr="0098639E" w:rsidP="00FC2DC1" w14:paraId="3C6E2AAD"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6967F042" w14:textId="77777777">
            <w:pPr>
              <w:rPr>
                <w:rFonts w:eastAsia="Calibri"/>
                <w:sz w:val="20"/>
                <w:szCs w:val="20"/>
              </w:rPr>
            </w:pPr>
            <w:r w:rsidRPr="0098639E">
              <w:rPr>
                <w:rFonts w:eastAsia="Calibri"/>
                <w:sz w:val="20"/>
                <w:szCs w:val="20"/>
              </w:rPr>
              <w:t>South Atlantic</w:t>
            </w:r>
          </w:p>
        </w:tc>
        <w:tc>
          <w:tcPr>
            <w:tcW w:w="547"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F519B7" w:rsidRPr="0098639E" w:rsidP="00FC2DC1" w14:paraId="537903C5" w14:textId="77777777">
            <w:pPr>
              <w:jc w:val="right"/>
              <w:rPr>
                <w:rFonts w:eastAsia="Calibri"/>
                <w:sz w:val="20"/>
                <w:szCs w:val="20"/>
              </w:rPr>
            </w:pPr>
            <w:r>
              <w:rPr>
                <w:rFonts w:ascii="Calibri" w:hAnsi="Calibri" w:cs="Calibri"/>
                <w:color w:val="000000"/>
              </w:rPr>
              <w:t>29,133,804</w:t>
            </w:r>
          </w:p>
        </w:tc>
        <w:tc>
          <w:tcPr>
            <w:tcW w:w="522"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49276B4" w14:textId="77777777">
            <w:pPr>
              <w:jc w:val="right"/>
              <w:rPr>
                <w:rFonts w:eastAsia="Calibri"/>
                <w:sz w:val="20"/>
                <w:szCs w:val="20"/>
              </w:rPr>
            </w:pPr>
            <w:r w:rsidRPr="0098639E">
              <w:rPr>
                <w:rFonts w:eastAsia="Calibri"/>
                <w:sz w:val="20"/>
                <w:szCs w:val="20"/>
              </w:rPr>
              <w:t xml:space="preserve">22,945,567 </w:t>
            </w:r>
          </w:p>
        </w:tc>
        <w:tc>
          <w:tcPr>
            <w:tcW w:w="486"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1E0C4EF" w14:textId="77777777">
            <w:pPr>
              <w:jc w:val="right"/>
              <w:rPr>
                <w:rFonts w:eastAsia="Calibri"/>
                <w:sz w:val="20"/>
                <w:szCs w:val="20"/>
              </w:rPr>
            </w:pPr>
            <w:r w:rsidRPr="0098639E">
              <w:rPr>
                <w:rFonts w:eastAsia="Calibri"/>
                <w:sz w:val="20"/>
                <w:szCs w:val="20"/>
              </w:rPr>
              <w:t xml:space="preserve">6,188,237 </w:t>
            </w:r>
          </w:p>
        </w:tc>
        <w:tc>
          <w:tcPr>
            <w:tcW w:w="313"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6EFF419" w14:textId="77777777">
            <w:pPr>
              <w:jc w:val="right"/>
              <w:rPr>
                <w:rFonts w:eastAsia="Calibri"/>
                <w:sz w:val="20"/>
                <w:szCs w:val="20"/>
              </w:rPr>
            </w:pPr>
            <w:r w:rsidRPr="0098639E">
              <w:rPr>
                <w:rFonts w:eastAsia="Calibri"/>
                <w:sz w:val="20"/>
                <w:szCs w:val="20"/>
              </w:rPr>
              <w:t>78.8%</w:t>
            </w:r>
          </w:p>
        </w:tc>
        <w:tc>
          <w:tcPr>
            <w:tcW w:w="349"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E740C71" w14:textId="77777777">
            <w:pPr>
              <w:jc w:val="right"/>
              <w:rPr>
                <w:rFonts w:eastAsia="Calibri"/>
                <w:sz w:val="20"/>
                <w:szCs w:val="20"/>
              </w:rPr>
            </w:pPr>
            <w:r w:rsidRPr="0098639E">
              <w:rPr>
                <w:rFonts w:eastAsia="Calibri"/>
                <w:sz w:val="20"/>
                <w:szCs w:val="20"/>
              </w:rPr>
              <w:t>21.2%</w:t>
            </w:r>
          </w:p>
        </w:tc>
        <w:tc>
          <w:tcPr>
            <w:tcW w:w="341"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50E2F15" w14:textId="77777777">
            <w:pPr>
              <w:jc w:val="right"/>
              <w:rPr>
                <w:rFonts w:eastAsia="Calibri"/>
                <w:sz w:val="20"/>
                <w:szCs w:val="20"/>
              </w:rPr>
            </w:pPr>
            <w:r>
              <w:rPr>
                <w:rFonts w:ascii="Calibri" w:hAnsi="Calibri" w:cs="Calibri"/>
                <w:color w:val="000000"/>
              </w:rPr>
              <w:t>10,836</w:t>
            </w:r>
          </w:p>
        </w:tc>
        <w:tc>
          <w:tcPr>
            <w:tcW w:w="313"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C30FEEA" w14:textId="77777777">
            <w:pPr>
              <w:jc w:val="right"/>
              <w:rPr>
                <w:rFonts w:eastAsia="Calibri"/>
                <w:sz w:val="20"/>
                <w:szCs w:val="20"/>
              </w:rPr>
            </w:pPr>
            <w:r>
              <w:rPr>
                <w:rFonts w:ascii="Calibri" w:hAnsi="Calibri" w:cs="Calibri"/>
                <w:color w:val="000000"/>
              </w:rPr>
              <w:t>8,539</w:t>
            </w:r>
          </w:p>
        </w:tc>
        <w:tc>
          <w:tcPr>
            <w:tcW w:w="314"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4EB01905" w14:textId="77777777">
            <w:pPr>
              <w:jc w:val="right"/>
              <w:rPr>
                <w:rFonts w:eastAsia="Calibri"/>
                <w:sz w:val="20"/>
                <w:szCs w:val="20"/>
              </w:rPr>
            </w:pPr>
            <w:r>
              <w:rPr>
                <w:rFonts w:ascii="Calibri" w:hAnsi="Calibri" w:cs="Calibri"/>
                <w:color w:val="000000"/>
              </w:rPr>
              <w:t>2,297</w:t>
            </w:r>
          </w:p>
        </w:tc>
        <w:tc>
          <w:tcPr>
            <w:tcW w:w="335"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F519B7" w:rsidRPr="0098639E" w:rsidP="00FC2DC1" w14:paraId="54BCAFA1" w14:textId="77777777">
            <w:pPr>
              <w:jc w:val="right"/>
              <w:rPr>
                <w:rFonts w:eastAsia="Calibri"/>
                <w:sz w:val="20"/>
                <w:szCs w:val="20"/>
              </w:rPr>
            </w:pPr>
            <w:r w:rsidRPr="0098639E">
              <w:rPr>
                <w:rFonts w:eastAsia="Calibri"/>
                <w:sz w:val="20"/>
                <w:szCs w:val="20"/>
              </w:rPr>
              <w:t xml:space="preserve">1,555 </w:t>
            </w:r>
          </w:p>
        </w:tc>
        <w:tc>
          <w:tcPr>
            <w:tcW w:w="298"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F519B7" w:rsidRPr="0098639E" w:rsidP="00FC2DC1" w14:paraId="65AA9305" w14:textId="77777777">
            <w:pPr>
              <w:jc w:val="right"/>
              <w:rPr>
                <w:rFonts w:eastAsia="Calibri"/>
                <w:sz w:val="20"/>
                <w:szCs w:val="20"/>
              </w:rPr>
            </w:pPr>
            <w:r w:rsidRPr="0098639E">
              <w:rPr>
                <w:rFonts w:eastAsia="Calibri"/>
                <w:sz w:val="20"/>
                <w:szCs w:val="20"/>
              </w:rPr>
              <w:t xml:space="preserve"> 1,225 </w:t>
            </w:r>
          </w:p>
        </w:tc>
        <w:tc>
          <w:tcPr>
            <w:tcW w:w="272"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F519B7" w:rsidRPr="0098639E" w:rsidP="00FC2DC1" w14:paraId="5BD7175B" w14:textId="77777777">
            <w:pPr>
              <w:jc w:val="right"/>
              <w:rPr>
                <w:rFonts w:eastAsia="Calibri"/>
                <w:sz w:val="20"/>
                <w:szCs w:val="20"/>
              </w:rPr>
            </w:pPr>
            <w:r w:rsidRPr="0098639E">
              <w:rPr>
                <w:rFonts w:eastAsia="Calibri"/>
                <w:sz w:val="20"/>
                <w:szCs w:val="20"/>
              </w:rPr>
              <w:t xml:space="preserve">330 </w:t>
            </w:r>
          </w:p>
        </w:tc>
      </w:tr>
      <w:tr w14:paraId="2962A871" w14:textId="77777777" w:rsidTr="00FC2DC1">
        <w:tblPrEx>
          <w:tblW w:w="5000" w:type="pct"/>
          <w:tblLayout w:type="fixed"/>
          <w:tblLook w:val="04A0"/>
        </w:tblPrEx>
        <w:trPr>
          <w:trHeight w:val="300"/>
        </w:trPr>
        <w:tc>
          <w:tcPr>
            <w:tcW w:w="447" w:type="pct"/>
            <w:vMerge/>
            <w:tcBorders>
              <w:left w:val="single" w:sz="8" w:space="0" w:color="auto"/>
              <w:bottom w:val="single" w:sz="8" w:space="0" w:color="auto"/>
              <w:right w:val="single" w:sz="8" w:space="0" w:color="auto"/>
            </w:tcBorders>
            <w:tcMar>
              <w:left w:w="108" w:type="dxa"/>
              <w:right w:w="108" w:type="dxa"/>
            </w:tcMar>
            <w:vAlign w:val="bottom"/>
          </w:tcPr>
          <w:p w:rsidR="00F519B7" w:rsidRPr="0098639E" w:rsidP="00FC2DC1" w14:paraId="77CF6DA6"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F519B7" w:rsidRPr="0098639E" w:rsidP="00FC2DC1" w14:paraId="6BAE6C51" w14:textId="77777777">
            <w:pPr>
              <w:rPr>
                <w:rFonts w:eastAsia="Calibri"/>
                <w:sz w:val="20"/>
                <w:szCs w:val="20"/>
              </w:rPr>
            </w:pPr>
            <w:r w:rsidRPr="0098639E">
              <w:rPr>
                <w:rFonts w:eastAsia="Calibri"/>
                <w:sz w:val="20"/>
                <w:szCs w:val="20"/>
              </w:rPr>
              <w:t>West South Central</w:t>
            </w:r>
          </w:p>
        </w:tc>
        <w:tc>
          <w:tcPr>
            <w:tcW w:w="547"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1D7E58BD" w14:textId="77777777">
            <w:pPr>
              <w:jc w:val="right"/>
              <w:rPr>
                <w:rFonts w:eastAsia="Calibri"/>
                <w:sz w:val="20"/>
                <w:szCs w:val="20"/>
              </w:rPr>
            </w:pPr>
            <w:r>
              <w:rPr>
                <w:rFonts w:ascii="Calibri" w:hAnsi="Calibri" w:cs="Calibri"/>
                <w:color w:val="000000"/>
              </w:rPr>
              <w:t>16,774,596</w:t>
            </w:r>
          </w:p>
        </w:tc>
        <w:tc>
          <w:tcPr>
            <w:tcW w:w="522"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131F0123" w14:textId="77777777">
            <w:pPr>
              <w:jc w:val="right"/>
              <w:rPr>
                <w:rFonts w:eastAsia="Calibri"/>
                <w:sz w:val="20"/>
                <w:szCs w:val="20"/>
              </w:rPr>
            </w:pPr>
            <w:r w:rsidRPr="0098639E">
              <w:rPr>
                <w:rFonts w:eastAsia="Calibri"/>
                <w:sz w:val="20"/>
                <w:szCs w:val="20"/>
              </w:rPr>
              <w:t xml:space="preserve">12,978,221 </w:t>
            </w:r>
          </w:p>
        </w:tc>
        <w:tc>
          <w:tcPr>
            <w:tcW w:w="486"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77B5137" w14:textId="77777777">
            <w:pPr>
              <w:jc w:val="right"/>
              <w:rPr>
                <w:rFonts w:eastAsia="Calibri"/>
                <w:sz w:val="20"/>
                <w:szCs w:val="20"/>
              </w:rPr>
            </w:pPr>
            <w:r w:rsidRPr="0098639E">
              <w:rPr>
                <w:rFonts w:eastAsia="Calibri"/>
                <w:sz w:val="20"/>
                <w:szCs w:val="20"/>
              </w:rPr>
              <w:t xml:space="preserve">3,796,375 </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0E778FB" w14:textId="77777777">
            <w:pPr>
              <w:jc w:val="right"/>
              <w:rPr>
                <w:rFonts w:eastAsia="Calibri"/>
                <w:sz w:val="20"/>
                <w:szCs w:val="20"/>
              </w:rPr>
            </w:pPr>
            <w:r w:rsidRPr="0098639E">
              <w:rPr>
                <w:rFonts w:eastAsia="Calibri"/>
                <w:sz w:val="20"/>
                <w:szCs w:val="20"/>
              </w:rPr>
              <w:t>77.4%</w:t>
            </w:r>
          </w:p>
        </w:tc>
        <w:tc>
          <w:tcPr>
            <w:tcW w:w="34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B191266" w14:textId="77777777">
            <w:pPr>
              <w:jc w:val="right"/>
              <w:rPr>
                <w:rFonts w:eastAsia="Calibri"/>
                <w:sz w:val="20"/>
                <w:szCs w:val="20"/>
              </w:rPr>
            </w:pPr>
            <w:r w:rsidRPr="0098639E">
              <w:rPr>
                <w:rFonts w:eastAsia="Calibri"/>
                <w:sz w:val="20"/>
                <w:szCs w:val="20"/>
              </w:rPr>
              <w:t>22.6%</w:t>
            </w:r>
          </w:p>
        </w:tc>
        <w:tc>
          <w:tcPr>
            <w:tcW w:w="34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5BE38508" w14:textId="77777777">
            <w:pPr>
              <w:jc w:val="right"/>
              <w:rPr>
                <w:rFonts w:eastAsia="Calibri"/>
                <w:sz w:val="20"/>
                <w:szCs w:val="20"/>
              </w:rPr>
            </w:pPr>
            <w:r>
              <w:rPr>
                <w:rFonts w:ascii="Calibri" w:hAnsi="Calibri" w:cs="Calibri"/>
                <w:color w:val="000000"/>
              </w:rPr>
              <w:t>6,239</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27363AA" w14:textId="77777777">
            <w:pPr>
              <w:jc w:val="right"/>
              <w:rPr>
                <w:rFonts w:eastAsia="Calibri"/>
                <w:sz w:val="20"/>
                <w:szCs w:val="20"/>
              </w:rPr>
            </w:pPr>
            <w:r>
              <w:rPr>
                <w:rFonts w:ascii="Calibri" w:hAnsi="Calibri" w:cs="Calibri"/>
                <w:color w:val="000000"/>
              </w:rPr>
              <w:t>4,829</w:t>
            </w:r>
          </w:p>
        </w:tc>
        <w:tc>
          <w:tcPr>
            <w:tcW w:w="31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5FC34FD7" w14:textId="77777777">
            <w:pPr>
              <w:jc w:val="right"/>
              <w:rPr>
                <w:rFonts w:eastAsia="Calibri"/>
                <w:sz w:val="20"/>
                <w:szCs w:val="20"/>
              </w:rPr>
            </w:pPr>
            <w:r>
              <w:rPr>
                <w:rFonts w:ascii="Calibri" w:hAnsi="Calibri" w:cs="Calibri"/>
                <w:color w:val="000000"/>
              </w:rPr>
              <w:t>1,410</w:t>
            </w:r>
          </w:p>
        </w:tc>
        <w:tc>
          <w:tcPr>
            <w:tcW w:w="335"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62DAD833" w14:textId="77777777">
            <w:pPr>
              <w:jc w:val="right"/>
              <w:rPr>
                <w:rFonts w:eastAsia="Calibri"/>
                <w:sz w:val="20"/>
                <w:szCs w:val="20"/>
              </w:rPr>
            </w:pPr>
            <w:r w:rsidRPr="0098639E">
              <w:rPr>
                <w:rFonts w:eastAsia="Calibri"/>
                <w:sz w:val="20"/>
                <w:szCs w:val="20"/>
              </w:rPr>
              <w:t xml:space="preserve">895 </w:t>
            </w:r>
          </w:p>
        </w:tc>
        <w:tc>
          <w:tcPr>
            <w:tcW w:w="298"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00A5085A" w14:textId="77777777">
            <w:pPr>
              <w:jc w:val="right"/>
              <w:rPr>
                <w:rFonts w:eastAsia="Calibri"/>
                <w:sz w:val="20"/>
                <w:szCs w:val="20"/>
              </w:rPr>
            </w:pPr>
            <w:r w:rsidRPr="0098639E">
              <w:rPr>
                <w:rFonts w:eastAsia="Calibri"/>
                <w:sz w:val="20"/>
                <w:szCs w:val="20"/>
              </w:rPr>
              <w:t xml:space="preserve">693 </w:t>
            </w:r>
          </w:p>
        </w:tc>
        <w:tc>
          <w:tcPr>
            <w:tcW w:w="272"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563E26C8" w14:textId="77777777">
            <w:pPr>
              <w:jc w:val="right"/>
              <w:rPr>
                <w:rFonts w:eastAsia="Calibri"/>
                <w:sz w:val="20"/>
                <w:szCs w:val="20"/>
              </w:rPr>
            </w:pPr>
            <w:r w:rsidRPr="0098639E">
              <w:rPr>
                <w:rFonts w:eastAsia="Calibri"/>
                <w:sz w:val="20"/>
                <w:szCs w:val="20"/>
              </w:rPr>
              <w:t xml:space="preserve">203 </w:t>
            </w:r>
          </w:p>
        </w:tc>
      </w:tr>
      <w:tr w14:paraId="02DDD87D" w14:textId="77777777" w:rsidTr="00FC2DC1">
        <w:tblPrEx>
          <w:tblW w:w="5000" w:type="pct"/>
          <w:tblLayout w:type="fixed"/>
          <w:tblLook w:val="04A0"/>
        </w:tblPrEx>
        <w:trPr>
          <w:trHeight w:val="300"/>
        </w:trPr>
        <w:tc>
          <w:tcPr>
            <w:tcW w:w="447" w:type="pct"/>
            <w:vMerge w:val="restart"/>
            <w:tcBorders>
              <w:top w:val="single" w:sz="8" w:space="0" w:color="auto"/>
              <w:left w:val="single" w:sz="8" w:space="0" w:color="auto"/>
              <w:right w:val="single" w:sz="8" w:space="0" w:color="auto"/>
            </w:tcBorders>
            <w:tcMar>
              <w:left w:w="108" w:type="dxa"/>
              <w:right w:w="108" w:type="dxa"/>
            </w:tcMar>
            <w:vAlign w:val="center"/>
          </w:tcPr>
          <w:p w:rsidR="00F519B7" w:rsidRPr="0098639E" w:rsidP="00FC2DC1" w14:paraId="48E4B790" w14:textId="77777777">
            <w:pPr>
              <w:rPr>
                <w:rFonts w:eastAsia="Calibri"/>
                <w:sz w:val="20"/>
                <w:szCs w:val="20"/>
              </w:rPr>
            </w:pPr>
            <w:r w:rsidRPr="0098639E">
              <w:rPr>
                <w:rFonts w:eastAsia="Calibri"/>
                <w:sz w:val="20"/>
                <w:szCs w:val="20"/>
              </w:rPr>
              <w:t>Midwest</w:t>
            </w:r>
          </w:p>
        </w:tc>
        <w:tc>
          <w:tcPr>
            <w:tcW w:w="46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0962F837" w14:textId="77777777">
            <w:pPr>
              <w:rPr>
                <w:rFonts w:eastAsia="Calibri"/>
                <w:sz w:val="20"/>
                <w:szCs w:val="20"/>
              </w:rPr>
            </w:pPr>
            <w:r w:rsidRPr="0098639E">
              <w:rPr>
                <w:rFonts w:eastAsia="Calibri"/>
                <w:sz w:val="20"/>
                <w:szCs w:val="20"/>
              </w:rPr>
              <w:t>East North Central</w:t>
            </w:r>
          </w:p>
        </w:tc>
        <w:tc>
          <w:tcPr>
            <w:tcW w:w="547"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34D914D9" w14:textId="77777777">
            <w:pPr>
              <w:jc w:val="right"/>
              <w:rPr>
                <w:rFonts w:eastAsia="Calibri"/>
                <w:sz w:val="20"/>
                <w:szCs w:val="20"/>
              </w:rPr>
            </w:pPr>
            <w:r>
              <w:rPr>
                <w:rFonts w:ascii="Calibri" w:hAnsi="Calibri" w:cs="Calibri"/>
                <w:color w:val="000000"/>
              </w:rPr>
              <w:t>20,890,027</w:t>
            </w:r>
          </w:p>
        </w:tc>
        <w:tc>
          <w:tcPr>
            <w:tcW w:w="522"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7018B86" w14:textId="77777777">
            <w:pPr>
              <w:jc w:val="right"/>
              <w:rPr>
                <w:rFonts w:eastAsia="Calibri"/>
                <w:sz w:val="20"/>
                <w:szCs w:val="20"/>
              </w:rPr>
            </w:pPr>
            <w:r w:rsidRPr="0098639E">
              <w:rPr>
                <w:rFonts w:eastAsia="Calibri"/>
                <w:sz w:val="20"/>
                <w:szCs w:val="20"/>
              </w:rPr>
              <w:t xml:space="preserve">15,903,089 </w:t>
            </w:r>
          </w:p>
        </w:tc>
        <w:tc>
          <w:tcPr>
            <w:tcW w:w="486"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1523A1E" w14:textId="77777777">
            <w:pPr>
              <w:jc w:val="right"/>
              <w:rPr>
                <w:rFonts w:eastAsia="Calibri"/>
                <w:sz w:val="20"/>
                <w:szCs w:val="20"/>
              </w:rPr>
            </w:pPr>
            <w:r w:rsidRPr="0098639E">
              <w:rPr>
                <w:rFonts w:eastAsia="Calibri"/>
                <w:sz w:val="20"/>
                <w:szCs w:val="20"/>
              </w:rPr>
              <w:t xml:space="preserve">4,986,938 </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2A8C71B5" w14:textId="77777777">
            <w:pPr>
              <w:jc w:val="right"/>
              <w:rPr>
                <w:rFonts w:eastAsia="Calibri"/>
                <w:sz w:val="20"/>
                <w:szCs w:val="20"/>
              </w:rPr>
            </w:pPr>
            <w:r w:rsidRPr="0098639E">
              <w:rPr>
                <w:rFonts w:eastAsia="Calibri"/>
                <w:sz w:val="20"/>
                <w:szCs w:val="20"/>
              </w:rPr>
              <w:t>76.1%</w:t>
            </w:r>
          </w:p>
        </w:tc>
        <w:tc>
          <w:tcPr>
            <w:tcW w:w="34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8F2FA4D" w14:textId="77777777">
            <w:pPr>
              <w:jc w:val="right"/>
              <w:rPr>
                <w:rFonts w:eastAsia="Calibri"/>
                <w:sz w:val="20"/>
                <w:szCs w:val="20"/>
              </w:rPr>
            </w:pPr>
            <w:r w:rsidRPr="0098639E">
              <w:rPr>
                <w:rFonts w:eastAsia="Calibri"/>
                <w:sz w:val="20"/>
                <w:szCs w:val="20"/>
              </w:rPr>
              <w:t>23.9%</w:t>
            </w:r>
          </w:p>
        </w:tc>
        <w:tc>
          <w:tcPr>
            <w:tcW w:w="34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4C795C19" w14:textId="77777777">
            <w:pPr>
              <w:jc w:val="right"/>
              <w:rPr>
                <w:rFonts w:eastAsia="Calibri"/>
                <w:sz w:val="20"/>
                <w:szCs w:val="20"/>
              </w:rPr>
            </w:pPr>
            <w:r>
              <w:rPr>
                <w:rFonts w:ascii="Calibri" w:hAnsi="Calibri" w:cs="Calibri"/>
                <w:color w:val="000000"/>
              </w:rPr>
              <w:t>7,770</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6CF1C26" w14:textId="77777777">
            <w:pPr>
              <w:jc w:val="right"/>
              <w:rPr>
                <w:rFonts w:eastAsia="Calibri"/>
                <w:sz w:val="20"/>
                <w:szCs w:val="20"/>
              </w:rPr>
            </w:pPr>
            <w:r>
              <w:rPr>
                <w:rFonts w:ascii="Calibri" w:hAnsi="Calibri" w:cs="Calibri"/>
                <w:color w:val="000000"/>
              </w:rPr>
              <w:t>5,913</w:t>
            </w:r>
          </w:p>
        </w:tc>
        <w:tc>
          <w:tcPr>
            <w:tcW w:w="31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277BB51" w14:textId="77777777">
            <w:pPr>
              <w:jc w:val="right"/>
              <w:rPr>
                <w:rFonts w:eastAsia="Calibri"/>
                <w:sz w:val="20"/>
                <w:szCs w:val="20"/>
              </w:rPr>
            </w:pPr>
            <w:r>
              <w:rPr>
                <w:rFonts w:ascii="Calibri" w:hAnsi="Calibri" w:cs="Calibri"/>
                <w:color w:val="000000"/>
              </w:rPr>
              <w:t>1,857</w:t>
            </w:r>
          </w:p>
        </w:tc>
        <w:tc>
          <w:tcPr>
            <w:tcW w:w="335"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3659E047" w14:textId="77777777">
            <w:pPr>
              <w:jc w:val="right"/>
              <w:rPr>
                <w:rFonts w:eastAsia="Calibri"/>
                <w:sz w:val="20"/>
                <w:szCs w:val="20"/>
              </w:rPr>
            </w:pPr>
            <w:r w:rsidRPr="0098639E">
              <w:rPr>
                <w:rFonts w:eastAsia="Calibri"/>
                <w:sz w:val="20"/>
                <w:szCs w:val="20"/>
              </w:rPr>
              <w:t xml:space="preserve">1,115 </w:t>
            </w:r>
          </w:p>
        </w:tc>
        <w:tc>
          <w:tcPr>
            <w:tcW w:w="298"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30FDD311" w14:textId="77777777">
            <w:pPr>
              <w:jc w:val="right"/>
              <w:rPr>
                <w:rFonts w:eastAsia="Calibri"/>
                <w:sz w:val="20"/>
                <w:szCs w:val="20"/>
              </w:rPr>
            </w:pPr>
            <w:r w:rsidRPr="0098639E">
              <w:rPr>
                <w:rFonts w:eastAsia="Calibri"/>
                <w:sz w:val="20"/>
                <w:szCs w:val="20"/>
              </w:rPr>
              <w:t xml:space="preserve">849 </w:t>
            </w:r>
          </w:p>
        </w:tc>
        <w:tc>
          <w:tcPr>
            <w:tcW w:w="272"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149713C3" w14:textId="77777777">
            <w:pPr>
              <w:jc w:val="right"/>
              <w:rPr>
                <w:rFonts w:eastAsia="Calibri"/>
                <w:sz w:val="20"/>
                <w:szCs w:val="20"/>
              </w:rPr>
            </w:pPr>
            <w:r w:rsidRPr="0098639E">
              <w:rPr>
                <w:rFonts w:eastAsia="Calibri"/>
                <w:sz w:val="20"/>
                <w:szCs w:val="20"/>
              </w:rPr>
              <w:t xml:space="preserve">266 </w:t>
            </w:r>
          </w:p>
        </w:tc>
      </w:tr>
      <w:tr w14:paraId="2F8E2398" w14:textId="77777777" w:rsidTr="00FC2DC1">
        <w:tblPrEx>
          <w:tblW w:w="5000" w:type="pct"/>
          <w:tblLayout w:type="fixed"/>
          <w:tblLook w:val="04A0"/>
        </w:tblPrEx>
        <w:trPr>
          <w:trHeight w:val="300"/>
        </w:trPr>
        <w:tc>
          <w:tcPr>
            <w:tcW w:w="447" w:type="pct"/>
            <w:vMerge/>
            <w:tcBorders>
              <w:left w:val="single" w:sz="8" w:space="0" w:color="auto"/>
              <w:bottom w:val="single" w:sz="8" w:space="0" w:color="auto"/>
              <w:right w:val="single" w:sz="8" w:space="0" w:color="auto"/>
            </w:tcBorders>
            <w:tcMar>
              <w:left w:w="108" w:type="dxa"/>
              <w:right w:w="108" w:type="dxa"/>
            </w:tcMar>
            <w:vAlign w:val="bottom"/>
          </w:tcPr>
          <w:p w:rsidR="00F519B7" w:rsidRPr="0098639E" w:rsidP="00FC2DC1" w14:paraId="13C6F32D"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F519B7" w:rsidRPr="0098639E" w:rsidP="00FC2DC1" w14:paraId="526BCEEE" w14:textId="77777777">
            <w:pPr>
              <w:rPr>
                <w:rFonts w:eastAsia="Calibri"/>
                <w:sz w:val="20"/>
                <w:szCs w:val="20"/>
              </w:rPr>
            </w:pPr>
            <w:r w:rsidRPr="0098639E">
              <w:rPr>
                <w:rFonts w:eastAsia="Calibri"/>
                <w:sz w:val="20"/>
                <w:szCs w:val="20"/>
              </w:rPr>
              <w:t>West North Central</w:t>
            </w:r>
          </w:p>
        </w:tc>
        <w:tc>
          <w:tcPr>
            <w:tcW w:w="547"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0CEE592E" w14:textId="77777777">
            <w:pPr>
              <w:jc w:val="right"/>
              <w:rPr>
                <w:rFonts w:eastAsia="Calibri"/>
                <w:sz w:val="20"/>
                <w:szCs w:val="20"/>
              </w:rPr>
            </w:pPr>
            <w:r>
              <w:rPr>
                <w:rFonts w:ascii="Calibri" w:hAnsi="Calibri" w:cs="Calibri"/>
                <w:color w:val="000000"/>
              </w:rPr>
              <w:t>9,568,952</w:t>
            </w:r>
          </w:p>
        </w:tc>
        <w:tc>
          <w:tcPr>
            <w:tcW w:w="522"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EDFEF96" w14:textId="77777777">
            <w:pPr>
              <w:jc w:val="right"/>
              <w:rPr>
                <w:rFonts w:eastAsia="Calibri"/>
                <w:sz w:val="20"/>
                <w:szCs w:val="20"/>
              </w:rPr>
            </w:pPr>
            <w:r w:rsidRPr="0098639E">
              <w:rPr>
                <w:rFonts w:eastAsia="Calibri"/>
                <w:sz w:val="20"/>
                <w:szCs w:val="20"/>
              </w:rPr>
              <w:t xml:space="preserve">6,495,301 </w:t>
            </w:r>
          </w:p>
        </w:tc>
        <w:tc>
          <w:tcPr>
            <w:tcW w:w="486"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5FF717F8" w14:textId="77777777">
            <w:pPr>
              <w:jc w:val="right"/>
              <w:rPr>
                <w:rFonts w:eastAsia="Calibri"/>
                <w:sz w:val="20"/>
                <w:szCs w:val="20"/>
              </w:rPr>
            </w:pPr>
            <w:r w:rsidRPr="0098639E">
              <w:rPr>
                <w:rFonts w:eastAsia="Calibri"/>
                <w:sz w:val="20"/>
                <w:szCs w:val="20"/>
              </w:rPr>
              <w:t xml:space="preserve">3,073,651 </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55F7411" w14:textId="77777777">
            <w:pPr>
              <w:jc w:val="right"/>
              <w:rPr>
                <w:rFonts w:eastAsia="Calibri"/>
                <w:sz w:val="20"/>
                <w:szCs w:val="20"/>
              </w:rPr>
            </w:pPr>
            <w:r w:rsidRPr="0098639E">
              <w:rPr>
                <w:rFonts w:eastAsia="Calibri"/>
                <w:sz w:val="20"/>
                <w:szCs w:val="20"/>
              </w:rPr>
              <w:t>67.9%</w:t>
            </w:r>
          </w:p>
        </w:tc>
        <w:tc>
          <w:tcPr>
            <w:tcW w:w="34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59F46406" w14:textId="77777777">
            <w:pPr>
              <w:jc w:val="right"/>
              <w:rPr>
                <w:rFonts w:eastAsia="Calibri"/>
                <w:sz w:val="20"/>
                <w:szCs w:val="20"/>
              </w:rPr>
            </w:pPr>
            <w:r w:rsidRPr="0098639E">
              <w:rPr>
                <w:rFonts w:eastAsia="Calibri"/>
                <w:sz w:val="20"/>
                <w:szCs w:val="20"/>
              </w:rPr>
              <w:t>32.1%</w:t>
            </w:r>
          </w:p>
        </w:tc>
        <w:tc>
          <w:tcPr>
            <w:tcW w:w="34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FAE2EB2" w14:textId="77777777">
            <w:pPr>
              <w:jc w:val="right"/>
              <w:rPr>
                <w:rFonts w:eastAsia="Calibri"/>
                <w:sz w:val="20"/>
                <w:szCs w:val="20"/>
              </w:rPr>
            </w:pPr>
            <w:r>
              <w:rPr>
                <w:rFonts w:ascii="Calibri" w:hAnsi="Calibri" w:cs="Calibri"/>
                <w:color w:val="000000"/>
              </w:rPr>
              <w:t>3,559</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8422773" w14:textId="77777777">
            <w:pPr>
              <w:jc w:val="right"/>
              <w:rPr>
                <w:rFonts w:eastAsia="Calibri"/>
                <w:sz w:val="20"/>
                <w:szCs w:val="20"/>
              </w:rPr>
            </w:pPr>
            <w:r>
              <w:rPr>
                <w:rFonts w:ascii="Calibri" w:hAnsi="Calibri" w:cs="Calibri"/>
                <w:color w:val="000000"/>
              </w:rPr>
              <w:t>2,417</w:t>
            </w:r>
          </w:p>
        </w:tc>
        <w:tc>
          <w:tcPr>
            <w:tcW w:w="31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CF036E1" w14:textId="77777777">
            <w:pPr>
              <w:jc w:val="right"/>
              <w:rPr>
                <w:rFonts w:eastAsia="Calibri"/>
                <w:sz w:val="20"/>
                <w:szCs w:val="20"/>
              </w:rPr>
            </w:pPr>
            <w:r>
              <w:rPr>
                <w:rFonts w:ascii="Calibri" w:hAnsi="Calibri" w:cs="Calibri"/>
                <w:color w:val="000000"/>
              </w:rPr>
              <w:t>1,142</w:t>
            </w:r>
          </w:p>
        </w:tc>
        <w:tc>
          <w:tcPr>
            <w:tcW w:w="335"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76760FE1" w14:textId="77777777">
            <w:pPr>
              <w:jc w:val="right"/>
              <w:rPr>
                <w:rFonts w:eastAsia="Calibri"/>
                <w:sz w:val="20"/>
                <w:szCs w:val="20"/>
              </w:rPr>
            </w:pPr>
            <w:r w:rsidRPr="0098639E">
              <w:rPr>
                <w:rFonts w:eastAsia="Calibri"/>
                <w:sz w:val="20"/>
                <w:szCs w:val="20"/>
              </w:rPr>
              <w:t xml:space="preserve">511 </w:t>
            </w:r>
          </w:p>
        </w:tc>
        <w:tc>
          <w:tcPr>
            <w:tcW w:w="298"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2A4C2925" w14:textId="77777777">
            <w:pPr>
              <w:jc w:val="right"/>
              <w:rPr>
                <w:rFonts w:eastAsia="Calibri"/>
                <w:sz w:val="20"/>
                <w:szCs w:val="20"/>
              </w:rPr>
            </w:pPr>
            <w:r w:rsidRPr="0098639E">
              <w:rPr>
                <w:rFonts w:eastAsia="Calibri"/>
                <w:sz w:val="20"/>
                <w:szCs w:val="20"/>
              </w:rPr>
              <w:t xml:space="preserve">347 </w:t>
            </w:r>
          </w:p>
        </w:tc>
        <w:tc>
          <w:tcPr>
            <w:tcW w:w="272"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46D33467" w14:textId="77777777">
            <w:pPr>
              <w:jc w:val="right"/>
              <w:rPr>
                <w:rFonts w:eastAsia="Calibri"/>
                <w:sz w:val="20"/>
                <w:szCs w:val="20"/>
              </w:rPr>
            </w:pPr>
            <w:r w:rsidRPr="0098639E">
              <w:rPr>
                <w:rFonts w:eastAsia="Calibri"/>
                <w:sz w:val="20"/>
                <w:szCs w:val="20"/>
              </w:rPr>
              <w:t xml:space="preserve">164 </w:t>
            </w:r>
          </w:p>
        </w:tc>
      </w:tr>
      <w:tr w14:paraId="7D8AA826" w14:textId="77777777" w:rsidTr="00FC2DC1">
        <w:tblPrEx>
          <w:tblW w:w="5000" w:type="pct"/>
          <w:tblLayout w:type="fixed"/>
          <w:tblLook w:val="04A0"/>
        </w:tblPrEx>
        <w:trPr>
          <w:trHeight w:val="300"/>
        </w:trPr>
        <w:tc>
          <w:tcPr>
            <w:tcW w:w="447" w:type="pct"/>
            <w:vMerge w:val="restart"/>
            <w:tcBorders>
              <w:top w:val="single" w:sz="8" w:space="0" w:color="auto"/>
              <w:left w:val="single" w:sz="8" w:space="0" w:color="auto"/>
              <w:right w:val="single" w:sz="8" w:space="0" w:color="auto"/>
            </w:tcBorders>
            <w:tcMar>
              <w:left w:w="108" w:type="dxa"/>
              <w:right w:w="108" w:type="dxa"/>
            </w:tcMar>
            <w:vAlign w:val="center"/>
          </w:tcPr>
          <w:p w:rsidR="00F519B7" w:rsidRPr="0098639E" w:rsidP="00FC2DC1" w14:paraId="7AF83F54" w14:textId="77777777">
            <w:pPr>
              <w:rPr>
                <w:rFonts w:eastAsia="Calibri"/>
                <w:sz w:val="20"/>
                <w:szCs w:val="20"/>
              </w:rPr>
            </w:pPr>
            <w:r w:rsidRPr="0098639E">
              <w:rPr>
                <w:rFonts w:eastAsia="Calibri"/>
                <w:sz w:val="20"/>
                <w:szCs w:val="20"/>
              </w:rPr>
              <w:t>West</w:t>
            </w:r>
          </w:p>
        </w:tc>
        <w:tc>
          <w:tcPr>
            <w:tcW w:w="46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20A273CD" w14:textId="77777777">
            <w:pPr>
              <w:rPr>
                <w:rFonts w:eastAsia="Calibri"/>
                <w:sz w:val="20"/>
                <w:szCs w:val="20"/>
              </w:rPr>
            </w:pPr>
            <w:r w:rsidRPr="0098639E">
              <w:rPr>
                <w:rFonts w:eastAsia="Calibri"/>
                <w:sz w:val="20"/>
                <w:szCs w:val="20"/>
              </w:rPr>
              <w:t>Mountain</w:t>
            </w:r>
          </w:p>
        </w:tc>
        <w:tc>
          <w:tcPr>
            <w:tcW w:w="547"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134143BC" w14:textId="77777777">
            <w:pPr>
              <w:jc w:val="right"/>
              <w:rPr>
                <w:rFonts w:eastAsia="Calibri"/>
                <w:sz w:val="20"/>
                <w:szCs w:val="20"/>
              </w:rPr>
            </w:pPr>
            <w:r>
              <w:rPr>
                <w:rFonts w:ascii="Calibri" w:hAnsi="Calibri" w:cs="Calibri"/>
                <w:color w:val="000000"/>
              </w:rPr>
              <w:t>10,485,244</w:t>
            </w:r>
          </w:p>
        </w:tc>
        <w:tc>
          <w:tcPr>
            <w:tcW w:w="522"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49D048FB" w14:textId="77777777">
            <w:pPr>
              <w:jc w:val="right"/>
              <w:rPr>
                <w:rFonts w:eastAsia="Calibri"/>
                <w:sz w:val="20"/>
                <w:szCs w:val="20"/>
              </w:rPr>
            </w:pPr>
            <w:r w:rsidRPr="0098639E">
              <w:rPr>
                <w:rFonts w:eastAsia="Calibri"/>
                <w:sz w:val="20"/>
                <w:szCs w:val="20"/>
              </w:rPr>
              <w:t xml:space="preserve">8,686,243 </w:t>
            </w:r>
          </w:p>
        </w:tc>
        <w:tc>
          <w:tcPr>
            <w:tcW w:w="486"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68C9C2D" w14:textId="77777777">
            <w:pPr>
              <w:jc w:val="right"/>
              <w:rPr>
                <w:rFonts w:eastAsia="Calibri"/>
                <w:sz w:val="20"/>
                <w:szCs w:val="20"/>
              </w:rPr>
            </w:pPr>
            <w:r w:rsidRPr="0098639E">
              <w:rPr>
                <w:rFonts w:eastAsia="Calibri"/>
                <w:sz w:val="20"/>
                <w:szCs w:val="20"/>
              </w:rPr>
              <w:t xml:space="preserve">1,799,001 </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B503FC3" w14:textId="77777777">
            <w:pPr>
              <w:jc w:val="right"/>
              <w:rPr>
                <w:rFonts w:eastAsia="Calibri"/>
                <w:sz w:val="20"/>
                <w:szCs w:val="20"/>
              </w:rPr>
            </w:pPr>
            <w:r w:rsidRPr="0098639E">
              <w:rPr>
                <w:rFonts w:eastAsia="Calibri"/>
                <w:sz w:val="20"/>
                <w:szCs w:val="20"/>
              </w:rPr>
              <w:t>82.8%</w:t>
            </w:r>
          </w:p>
        </w:tc>
        <w:tc>
          <w:tcPr>
            <w:tcW w:w="34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0AB1EBE" w14:textId="77777777">
            <w:pPr>
              <w:jc w:val="right"/>
              <w:rPr>
                <w:rFonts w:eastAsia="Calibri"/>
                <w:sz w:val="20"/>
                <w:szCs w:val="20"/>
              </w:rPr>
            </w:pPr>
            <w:r w:rsidRPr="0098639E">
              <w:rPr>
                <w:rFonts w:eastAsia="Calibri"/>
                <w:sz w:val="20"/>
                <w:szCs w:val="20"/>
              </w:rPr>
              <w:t>17.2%</w:t>
            </w:r>
          </w:p>
        </w:tc>
        <w:tc>
          <w:tcPr>
            <w:tcW w:w="34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FC71F16" w14:textId="77777777">
            <w:pPr>
              <w:jc w:val="right"/>
              <w:rPr>
                <w:rFonts w:eastAsia="Calibri"/>
                <w:sz w:val="20"/>
                <w:szCs w:val="20"/>
              </w:rPr>
            </w:pPr>
            <w:r>
              <w:rPr>
                <w:rFonts w:ascii="Calibri" w:hAnsi="Calibri" w:cs="Calibri"/>
                <w:color w:val="000000"/>
              </w:rPr>
              <w:t>3,900</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5007472" w14:textId="77777777">
            <w:pPr>
              <w:jc w:val="right"/>
              <w:rPr>
                <w:rFonts w:eastAsia="Calibri"/>
                <w:sz w:val="20"/>
                <w:szCs w:val="20"/>
              </w:rPr>
            </w:pPr>
            <w:r>
              <w:rPr>
                <w:rFonts w:ascii="Calibri" w:hAnsi="Calibri" w:cs="Calibri"/>
                <w:color w:val="000000"/>
              </w:rPr>
              <w:t>3,229</w:t>
            </w:r>
          </w:p>
        </w:tc>
        <w:tc>
          <w:tcPr>
            <w:tcW w:w="31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D801C79" w14:textId="77777777">
            <w:pPr>
              <w:jc w:val="right"/>
              <w:rPr>
                <w:rFonts w:eastAsia="Calibri"/>
                <w:sz w:val="20"/>
                <w:szCs w:val="20"/>
              </w:rPr>
            </w:pPr>
            <w:r>
              <w:rPr>
                <w:rFonts w:ascii="Calibri" w:hAnsi="Calibri" w:cs="Calibri"/>
                <w:color w:val="000000"/>
              </w:rPr>
              <w:t>671</w:t>
            </w:r>
          </w:p>
        </w:tc>
        <w:tc>
          <w:tcPr>
            <w:tcW w:w="335"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06D10662" w14:textId="77777777">
            <w:pPr>
              <w:jc w:val="right"/>
              <w:rPr>
                <w:rFonts w:eastAsia="Calibri"/>
                <w:sz w:val="20"/>
                <w:szCs w:val="20"/>
              </w:rPr>
            </w:pPr>
            <w:r w:rsidRPr="0098639E">
              <w:rPr>
                <w:rFonts w:eastAsia="Calibri"/>
                <w:sz w:val="20"/>
                <w:szCs w:val="20"/>
              </w:rPr>
              <w:t xml:space="preserve">560 </w:t>
            </w:r>
          </w:p>
        </w:tc>
        <w:tc>
          <w:tcPr>
            <w:tcW w:w="298"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1BEE8877" w14:textId="77777777">
            <w:pPr>
              <w:jc w:val="right"/>
              <w:rPr>
                <w:rFonts w:eastAsia="Calibri"/>
                <w:sz w:val="20"/>
                <w:szCs w:val="20"/>
              </w:rPr>
            </w:pPr>
            <w:r w:rsidRPr="0098639E">
              <w:rPr>
                <w:rFonts w:eastAsia="Calibri"/>
                <w:sz w:val="20"/>
                <w:szCs w:val="20"/>
              </w:rPr>
              <w:t xml:space="preserve">464 </w:t>
            </w:r>
          </w:p>
        </w:tc>
        <w:tc>
          <w:tcPr>
            <w:tcW w:w="272"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28F5ECD0" w14:textId="77777777">
            <w:pPr>
              <w:jc w:val="right"/>
              <w:rPr>
                <w:rFonts w:eastAsia="Calibri"/>
                <w:sz w:val="20"/>
                <w:szCs w:val="20"/>
              </w:rPr>
            </w:pPr>
            <w:r w:rsidRPr="0098639E">
              <w:rPr>
                <w:rFonts w:eastAsia="Calibri"/>
                <w:sz w:val="20"/>
                <w:szCs w:val="20"/>
              </w:rPr>
              <w:t xml:space="preserve"> 96 </w:t>
            </w:r>
          </w:p>
        </w:tc>
      </w:tr>
      <w:tr w14:paraId="2049DBF7" w14:textId="77777777" w:rsidTr="00FC2DC1">
        <w:tblPrEx>
          <w:tblW w:w="5000" w:type="pct"/>
          <w:tblLayout w:type="fixed"/>
          <w:tblLook w:val="04A0"/>
        </w:tblPrEx>
        <w:trPr>
          <w:trHeight w:val="300"/>
        </w:trPr>
        <w:tc>
          <w:tcPr>
            <w:tcW w:w="447" w:type="pct"/>
            <w:vMerge/>
            <w:tcBorders>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B61A9AC"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F519B7" w:rsidRPr="0098639E" w:rsidP="00FC2DC1" w14:paraId="7CB70CAA" w14:textId="77777777">
            <w:pPr>
              <w:rPr>
                <w:rFonts w:eastAsia="Calibri"/>
                <w:sz w:val="20"/>
                <w:szCs w:val="20"/>
              </w:rPr>
            </w:pPr>
            <w:r w:rsidRPr="0098639E">
              <w:rPr>
                <w:rFonts w:eastAsia="Calibri"/>
                <w:sz w:val="20"/>
                <w:szCs w:val="20"/>
              </w:rPr>
              <w:t>Pacific</w:t>
            </w:r>
          </w:p>
        </w:tc>
        <w:tc>
          <w:tcPr>
            <w:tcW w:w="547"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156DC627" w14:textId="77777777">
            <w:pPr>
              <w:jc w:val="right"/>
              <w:rPr>
                <w:rFonts w:eastAsia="Calibri"/>
                <w:sz w:val="20"/>
                <w:szCs w:val="20"/>
              </w:rPr>
            </w:pPr>
            <w:r>
              <w:rPr>
                <w:rFonts w:ascii="Calibri" w:hAnsi="Calibri" w:cs="Calibri"/>
                <w:color w:val="000000"/>
              </w:rPr>
              <w:t>20,295,394</w:t>
            </w:r>
          </w:p>
        </w:tc>
        <w:tc>
          <w:tcPr>
            <w:tcW w:w="522"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F578B54" w14:textId="77777777">
            <w:pPr>
              <w:jc w:val="right"/>
              <w:rPr>
                <w:rFonts w:eastAsia="Calibri"/>
                <w:sz w:val="20"/>
                <w:szCs w:val="20"/>
              </w:rPr>
            </w:pPr>
            <w:r w:rsidRPr="0098639E">
              <w:rPr>
                <w:rFonts w:eastAsia="Calibri"/>
                <w:sz w:val="20"/>
                <w:szCs w:val="20"/>
              </w:rPr>
              <w:t xml:space="preserve">18,200,305 </w:t>
            </w:r>
          </w:p>
        </w:tc>
        <w:tc>
          <w:tcPr>
            <w:tcW w:w="486"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C88E218" w14:textId="77777777">
            <w:pPr>
              <w:jc w:val="right"/>
              <w:rPr>
                <w:rFonts w:eastAsia="Calibri"/>
                <w:sz w:val="20"/>
                <w:szCs w:val="20"/>
              </w:rPr>
            </w:pPr>
            <w:r w:rsidRPr="0098639E">
              <w:rPr>
                <w:rFonts w:eastAsia="Calibri"/>
                <w:sz w:val="20"/>
                <w:szCs w:val="20"/>
              </w:rPr>
              <w:t xml:space="preserve">2,095,089 </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3A567E9F" w14:textId="77777777">
            <w:pPr>
              <w:jc w:val="right"/>
              <w:rPr>
                <w:rFonts w:eastAsia="Calibri"/>
                <w:sz w:val="20"/>
                <w:szCs w:val="20"/>
              </w:rPr>
            </w:pPr>
            <w:r w:rsidRPr="0098639E">
              <w:rPr>
                <w:rFonts w:eastAsia="Calibri"/>
                <w:sz w:val="20"/>
                <w:szCs w:val="20"/>
              </w:rPr>
              <w:t>89.7%</w:t>
            </w:r>
          </w:p>
        </w:tc>
        <w:tc>
          <w:tcPr>
            <w:tcW w:w="34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34473AE" w14:textId="77777777">
            <w:pPr>
              <w:jc w:val="right"/>
              <w:rPr>
                <w:rFonts w:eastAsia="Calibri"/>
                <w:sz w:val="20"/>
                <w:szCs w:val="20"/>
              </w:rPr>
            </w:pPr>
            <w:r w:rsidRPr="0098639E">
              <w:rPr>
                <w:rFonts w:eastAsia="Calibri"/>
                <w:sz w:val="20"/>
                <w:szCs w:val="20"/>
              </w:rPr>
              <w:t>10.3%</w:t>
            </w:r>
          </w:p>
        </w:tc>
        <w:tc>
          <w:tcPr>
            <w:tcW w:w="34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14168C7E" w14:textId="77777777">
            <w:pPr>
              <w:jc w:val="right"/>
              <w:rPr>
                <w:rFonts w:eastAsia="Calibri"/>
                <w:sz w:val="20"/>
                <w:szCs w:val="20"/>
              </w:rPr>
            </w:pPr>
            <w:r>
              <w:rPr>
                <w:rFonts w:ascii="Calibri" w:hAnsi="Calibri" w:cs="Calibri"/>
                <w:color w:val="000000"/>
              </w:rPr>
              <w:t>7,549</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0186CAE" w14:textId="77777777">
            <w:pPr>
              <w:jc w:val="right"/>
              <w:rPr>
                <w:rFonts w:eastAsia="Calibri"/>
                <w:sz w:val="20"/>
                <w:szCs w:val="20"/>
              </w:rPr>
            </w:pPr>
            <w:r>
              <w:rPr>
                <w:rFonts w:ascii="Calibri" w:hAnsi="Calibri" w:cs="Calibri"/>
                <w:color w:val="000000"/>
              </w:rPr>
              <w:t>6,771</w:t>
            </w:r>
          </w:p>
        </w:tc>
        <w:tc>
          <w:tcPr>
            <w:tcW w:w="31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40E1DD1" w14:textId="77777777">
            <w:pPr>
              <w:jc w:val="right"/>
              <w:rPr>
                <w:rFonts w:eastAsia="Calibri"/>
                <w:sz w:val="20"/>
                <w:szCs w:val="20"/>
              </w:rPr>
            </w:pPr>
            <w:r>
              <w:rPr>
                <w:rFonts w:ascii="Calibri" w:hAnsi="Calibri" w:cs="Calibri"/>
                <w:color w:val="000000"/>
              </w:rPr>
              <w:t>778</w:t>
            </w:r>
          </w:p>
        </w:tc>
        <w:tc>
          <w:tcPr>
            <w:tcW w:w="335"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2C9A7CCB" w14:textId="77777777">
            <w:pPr>
              <w:jc w:val="right"/>
              <w:rPr>
                <w:rFonts w:eastAsia="Calibri"/>
                <w:sz w:val="20"/>
                <w:szCs w:val="20"/>
              </w:rPr>
            </w:pPr>
            <w:r w:rsidRPr="0098639E">
              <w:rPr>
                <w:rFonts w:eastAsia="Calibri"/>
                <w:sz w:val="20"/>
                <w:szCs w:val="20"/>
              </w:rPr>
              <w:t xml:space="preserve">1,083 </w:t>
            </w:r>
          </w:p>
        </w:tc>
        <w:tc>
          <w:tcPr>
            <w:tcW w:w="298"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3DB2557B" w14:textId="77777777">
            <w:pPr>
              <w:jc w:val="right"/>
              <w:rPr>
                <w:rFonts w:eastAsia="Calibri"/>
                <w:sz w:val="20"/>
                <w:szCs w:val="20"/>
              </w:rPr>
            </w:pPr>
            <w:r w:rsidRPr="0098639E">
              <w:rPr>
                <w:rFonts w:eastAsia="Calibri"/>
                <w:sz w:val="20"/>
                <w:szCs w:val="20"/>
              </w:rPr>
              <w:t xml:space="preserve">972 </w:t>
            </w:r>
          </w:p>
        </w:tc>
        <w:tc>
          <w:tcPr>
            <w:tcW w:w="272"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7D863270" w14:textId="77777777">
            <w:pPr>
              <w:jc w:val="right"/>
              <w:rPr>
                <w:rFonts w:eastAsia="Calibri"/>
                <w:sz w:val="20"/>
                <w:szCs w:val="20"/>
              </w:rPr>
            </w:pPr>
            <w:r w:rsidRPr="0098639E">
              <w:rPr>
                <w:rFonts w:eastAsia="Calibri"/>
                <w:sz w:val="20"/>
                <w:szCs w:val="20"/>
              </w:rPr>
              <w:t xml:space="preserve">112 </w:t>
            </w:r>
          </w:p>
        </w:tc>
      </w:tr>
      <w:tr w14:paraId="5B5F4EFB" w14:textId="77777777" w:rsidTr="00FC2DC1">
        <w:tblPrEx>
          <w:tblW w:w="5000" w:type="pct"/>
          <w:tblLayout w:type="fixed"/>
          <w:tblLook w:val="04A0"/>
        </w:tblPrEx>
        <w:trPr>
          <w:trHeight w:val="315"/>
        </w:trPr>
        <w:tc>
          <w:tcPr>
            <w:tcW w:w="910" w:type="pct"/>
            <w:gridSpan w:val="2"/>
            <w:tcBorders>
              <w:top w:val="single" w:sz="8" w:space="0" w:color="auto"/>
              <w:left w:val="single" w:sz="8" w:space="0" w:color="auto"/>
              <w:bottom w:val="single" w:sz="8" w:space="0" w:color="auto"/>
              <w:right w:val="nil"/>
            </w:tcBorders>
            <w:shd w:val="clear" w:color="auto" w:fill="0070C0"/>
            <w:tcMar>
              <w:left w:w="108" w:type="dxa"/>
              <w:right w:w="108" w:type="dxa"/>
            </w:tcMar>
            <w:vAlign w:val="bottom"/>
          </w:tcPr>
          <w:p w:rsidR="00F519B7" w:rsidRPr="0098639E" w:rsidP="00FC2DC1" w14:paraId="4C884E26" w14:textId="77777777">
            <w:pPr>
              <w:rPr>
                <w:rFonts w:eastAsia="Calibri"/>
                <w:b/>
                <w:color w:val="FFFFFF" w:themeColor="background1"/>
                <w:sz w:val="20"/>
                <w:szCs w:val="20"/>
              </w:rPr>
            </w:pPr>
            <w:r w:rsidRPr="0098639E">
              <w:rPr>
                <w:rFonts w:eastAsia="Calibri"/>
                <w:b/>
                <w:color w:val="FFFFFF" w:themeColor="background1"/>
                <w:sz w:val="20"/>
                <w:szCs w:val="20"/>
              </w:rPr>
              <w:t>Total</w:t>
            </w:r>
          </w:p>
        </w:tc>
        <w:tc>
          <w:tcPr>
            <w:tcW w:w="547" w:type="pct"/>
            <w:tcBorders>
              <w:top w:val="single" w:sz="8" w:space="0" w:color="auto"/>
              <w:left w:val="single" w:sz="8" w:space="0" w:color="auto"/>
              <w:bottom w:val="single" w:sz="8" w:space="0" w:color="auto"/>
              <w:right w:val="single" w:sz="8" w:space="0" w:color="auto"/>
            </w:tcBorders>
            <w:shd w:val="clear" w:color="auto" w:fill="0070C0"/>
            <w:vAlign w:val="bottom"/>
          </w:tcPr>
          <w:p w:rsidR="00F519B7" w:rsidRPr="00873808" w:rsidP="00FC2DC1" w14:paraId="242AE338" w14:textId="77777777">
            <w:pPr>
              <w:jc w:val="right"/>
              <w:rPr>
                <w:rFonts w:ascii="Calibri" w:hAnsi="Calibri" w:cs="Calibri"/>
                <w:color w:val="000000"/>
              </w:rPr>
            </w:pPr>
            <w:r>
              <w:rPr>
                <w:rFonts w:ascii="Calibri" w:hAnsi="Calibri" w:cs="Calibri"/>
                <w:color w:val="000000"/>
              </w:rPr>
              <w:t>140,498,736</w:t>
            </w:r>
          </w:p>
        </w:tc>
        <w:tc>
          <w:tcPr>
            <w:tcW w:w="522"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674EA1" w:rsidP="00FC2DC1" w14:paraId="1C5BA5E6" w14:textId="77777777">
            <w:pPr>
              <w:jc w:val="right"/>
              <w:rPr>
                <w:rFonts w:eastAsia="Calibri"/>
                <w:b/>
                <w:color w:val="FFFFFF" w:themeColor="background1"/>
                <w:sz w:val="20"/>
                <w:szCs w:val="20"/>
              </w:rPr>
            </w:pPr>
            <w:r w:rsidRPr="00674EA1">
              <w:rPr>
                <w:rFonts w:eastAsia="Calibri"/>
                <w:b/>
                <w:color w:val="FFFFFF" w:themeColor="background1"/>
                <w:sz w:val="20"/>
                <w:szCs w:val="20"/>
              </w:rPr>
              <w:t xml:space="preserve">110,692,318 </w:t>
            </w:r>
          </w:p>
        </w:tc>
        <w:tc>
          <w:tcPr>
            <w:tcW w:w="486"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674EA1" w:rsidP="00FC2DC1" w14:paraId="02F83822" w14:textId="77777777">
            <w:pPr>
              <w:jc w:val="right"/>
              <w:rPr>
                <w:rFonts w:eastAsia="Calibri"/>
                <w:b/>
                <w:color w:val="FFFFFF" w:themeColor="background1"/>
                <w:sz w:val="20"/>
                <w:szCs w:val="20"/>
              </w:rPr>
            </w:pPr>
            <w:r w:rsidRPr="00674EA1">
              <w:rPr>
                <w:rFonts w:eastAsia="Calibri"/>
                <w:b/>
                <w:color w:val="FFFFFF" w:themeColor="background1"/>
                <w:sz w:val="20"/>
                <w:szCs w:val="20"/>
              </w:rPr>
              <w:t xml:space="preserve">29,806,418 </w:t>
            </w:r>
          </w:p>
        </w:tc>
        <w:tc>
          <w:tcPr>
            <w:tcW w:w="313"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674EA1" w:rsidP="00FC2DC1" w14:paraId="078E2016" w14:textId="77777777">
            <w:pPr>
              <w:jc w:val="right"/>
              <w:rPr>
                <w:rFonts w:eastAsia="Calibri"/>
                <w:b/>
                <w:color w:val="FFFFFF" w:themeColor="background1"/>
                <w:sz w:val="20"/>
                <w:szCs w:val="20"/>
              </w:rPr>
            </w:pPr>
            <w:r w:rsidRPr="00674EA1">
              <w:rPr>
                <w:rFonts w:eastAsia="Calibri"/>
                <w:b/>
                <w:color w:val="FFFFFF" w:themeColor="background1"/>
                <w:sz w:val="20"/>
                <w:szCs w:val="20"/>
              </w:rPr>
              <w:t>78.8%</w:t>
            </w:r>
          </w:p>
        </w:tc>
        <w:tc>
          <w:tcPr>
            <w:tcW w:w="349"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674EA1" w:rsidP="00FC2DC1" w14:paraId="72719427" w14:textId="77777777">
            <w:pPr>
              <w:jc w:val="right"/>
              <w:rPr>
                <w:rFonts w:eastAsia="Calibri"/>
                <w:b/>
                <w:color w:val="FFFFFF" w:themeColor="background1"/>
                <w:sz w:val="20"/>
                <w:szCs w:val="20"/>
              </w:rPr>
            </w:pPr>
            <w:r w:rsidRPr="00674EA1">
              <w:rPr>
                <w:rFonts w:eastAsia="Calibri"/>
                <w:b/>
                <w:color w:val="FFFFFF" w:themeColor="background1"/>
                <w:sz w:val="20"/>
                <w:szCs w:val="20"/>
              </w:rPr>
              <w:t>21.2%</w:t>
            </w:r>
          </w:p>
        </w:tc>
        <w:tc>
          <w:tcPr>
            <w:tcW w:w="341"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D51215" w:rsidP="00FC2DC1" w14:paraId="0A4D9ACB" w14:textId="77777777">
            <w:pPr>
              <w:jc w:val="right"/>
              <w:rPr>
                <w:rFonts w:eastAsia="Calibri"/>
                <w:b/>
                <w:color w:val="FFFFFF" w:themeColor="background1"/>
                <w:sz w:val="20"/>
                <w:szCs w:val="20"/>
              </w:rPr>
            </w:pPr>
            <w:r>
              <w:rPr>
                <w:rFonts w:ascii="Calibri" w:hAnsi="Calibri" w:cs="Calibri"/>
                <w:color w:val="000000"/>
              </w:rPr>
              <w:t>52,258</w:t>
            </w:r>
          </w:p>
        </w:tc>
        <w:tc>
          <w:tcPr>
            <w:tcW w:w="313"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D51215" w:rsidP="00FC2DC1" w14:paraId="5E380109" w14:textId="77777777">
            <w:pPr>
              <w:jc w:val="right"/>
              <w:rPr>
                <w:rFonts w:eastAsia="Calibri"/>
                <w:b/>
                <w:color w:val="FFFFFF" w:themeColor="background1"/>
                <w:sz w:val="20"/>
                <w:szCs w:val="20"/>
              </w:rPr>
            </w:pPr>
            <w:r>
              <w:rPr>
                <w:rFonts w:ascii="Calibri" w:hAnsi="Calibri" w:cs="Calibri"/>
                <w:color w:val="000000"/>
              </w:rPr>
              <w:t>41,177</w:t>
            </w:r>
          </w:p>
        </w:tc>
        <w:tc>
          <w:tcPr>
            <w:tcW w:w="314"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D51215" w:rsidP="00FC2DC1" w14:paraId="258CA551" w14:textId="77777777">
            <w:pPr>
              <w:jc w:val="right"/>
              <w:rPr>
                <w:rFonts w:eastAsia="Calibri"/>
                <w:b/>
                <w:color w:val="FFFFFF" w:themeColor="background1"/>
                <w:sz w:val="20"/>
                <w:szCs w:val="20"/>
              </w:rPr>
            </w:pPr>
            <w:r>
              <w:rPr>
                <w:rFonts w:ascii="Calibri" w:hAnsi="Calibri" w:cs="Calibri"/>
                <w:color w:val="000000"/>
              </w:rPr>
              <w:t>11,081</w:t>
            </w:r>
          </w:p>
        </w:tc>
        <w:tc>
          <w:tcPr>
            <w:tcW w:w="335" w:type="pct"/>
            <w:tcBorders>
              <w:top w:val="single" w:sz="8" w:space="0" w:color="auto"/>
              <w:left w:val="single" w:sz="8" w:space="0" w:color="auto"/>
              <w:bottom w:val="single" w:sz="8" w:space="0" w:color="auto"/>
              <w:right w:val="single" w:sz="8" w:space="0" w:color="auto"/>
            </w:tcBorders>
            <w:shd w:val="clear" w:color="auto" w:fill="0070C0"/>
            <w:vAlign w:val="bottom"/>
          </w:tcPr>
          <w:p w:rsidR="00F519B7" w:rsidRPr="00674EA1" w:rsidP="00FC2DC1" w14:paraId="1FAECF3F" w14:textId="77777777">
            <w:pPr>
              <w:jc w:val="right"/>
              <w:rPr>
                <w:rFonts w:eastAsia="Calibri"/>
                <w:b/>
                <w:color w:val="FFFFFF" w:themeColor="background1"/>
                <w:sz w:val="20"/>
                <w:szCs w:val="20"/>
              </w:rPr>
            </w:pPr>
            <w:r>
              <w:rPr>
                <w:rFonts w:eastAsia="Calibri"/>
                <w:b/>
                <w:color w:val="FFFFFF" w:themeColor="background1"/>
                <w:sz w:val="20"/>
                <w:szCs w:val="20"/>
              </w:rPr>
              <w:t>7,500</w:t>
            </w:r>
          </w:p>
        </w:tc>
        <w:tc>
          <w:tcPr>
            <w:tcW w:w="298" w:type="pct"/>
            <w:tcBorders>
              <w:top w:val="single" w:sz="8" w:space="0" w:color="auto"/>
              <w:left w:val="single" w:sz="8" w:space="0" w:color="auto"/>
              <w:bottom w:val="single" w:sz="8" w:space="0" w:color="auto"/>
              <w:right w:val="single" w:sz="8" w:space="0" w:color="auto"/>
            </w:tcBorders>
            <w:shd w:val="clear" w:color="auto" w:fill="0070C0"/>
            <w:vAlign w:val="bottom"/>
          </w:tcPr>
          <w:p w:rsidR="00F519B7" w:rsidRPr="00674EA1" w:rsidP="00FC2DC1" w14:paraId="10516DEB" w14:textId="77777777">
            <w:pPr>
              <w:jc w:val="right"/>
              <w:rPr>
                <w:rFonts w:eastAsia="Calibri"/>
                <w:b/>
                <w:color w:val="FFFFFF" w:themeColor="background1"/>
                <w:sz w:val="20"/>
                <w:szCs w:val="20"/>
              </w:rPr>
            </w:pPr>
            <w:r w:rsidRPr="00674EA1">
              <w:rPr>
                <w:rFonts w:eastAsia="Calibri"/>
                <w:b/>
                <w:color w:val="FFFFFF" w:themeColor="background1"/>
                <w:sz w:val="20"/>
                <w:szCs w:val="20"/>
              </w:rPr>
              <w:t xml:space="preserve">5,909 </w:t>
            </w:r>
          </w:p>
        </w:tc>
        <w:tc>
          <w:tcPr>
            <w:tcW w:w="272" w:type="pct"/>
            <w:tcBorders>
              <w:top w:val="single" w:sz="8" w:space="0" w:color="auto"/>
              <w:left w:val="single" w:sz="8" w:space="0" w:color="auto"/>
              <w:bottom w:val="single" w:sz="8" w:space="0" w:color="auto"/>
              <w:right w:val="single" w:sz="8" w:space="0" w:color="auto"/>
            </w:tcBorders>
            <w:shd w:val="clear" w:color="auto" w:fill="0070C0"/>
            <w:vAlign w:val="bottom"/>
          </w:tcPr>
          <w:p w:rsidR="00F519B7" w:rsidRPr="00674EA1" w:rsidP="00FC2DC1" w14:paraId="1EF29588" w14:textId="77777777">
            <w:pPr>
              <w:jc w:val="right"/>
              <w:rPr>
                <w:rFonts w:eastAsia="Calibri"/>
                <w:b/>
                <w:color w:val="FFFFFF" w:themeColor="background1"/>
                <w:sz w:val="20"/>
                <w:szCs w:val="20"/>
              </w:rPr>
            </w:pPr>
            <w:r w:rsidRPr="00674EA1">
              <w:rPr>
                <w:rFonts w:eastAsia="Calibri"/>
                <w:b/>
                <w:color w:val="FFFFFF" w:themeColor="background1"/>
                <w:sz w:val="20"/>
                <w:szCs w:val="20"/>
              </w:rPr>
              <w:t xml:space="preserve">1,591 </w:t>
            </w:r>
          </w:p>
        </w:tc>
      </w:tr>
    </w:tbl>
    <w:p w:rsidR="00F519B7" w:rsidP="009B179B" w14:paraId="03BB4519" w14:textId="77777777">
      <w:pPr>
        <w:ind w:left="-20" w:right="-20"/>
        <w:rPr>
          <w:rFonts w:ascii="Calibri" w:eastAsia="Calibri" w:hAnsi="Calibri" w:cs="Calibri"/>
        </w:rPr>
      </w:pPr>
    </w:p>
    <w:p w:rsidR="00F519B7" w:rsidRPr="007F17F7" w:rsidP="009B179B" w14:paraId="350DDF60" w14:textId="77777777">
      <w:pPr>
        <w:ind w:left="-20" w:right="-20"/>
        <w:rPr>
          <w:rFonts w:ascii="Calibri" w:eastAsia="Calibri" w:hAnsi="Calibri" w:cs="Calibri"/>
        </w:rPr>
      </w:pPr>
    </w:p>
    <w:p w:rsidR="006109AD" w:rsidP="0098639E" w14:paraId="4AEADC74" w14:textId="2A318723">
      <w:pPr>
        <w:ind w:left="-20" w:right="-20"/>
        <w:rPr>
          <w:rFonts w:ascii="Calibri" w:eastAsia="Calibri" w:hAnsi="Calibri" w:cs="Calibri"/>
        </w:rPr>
      </w:pPr>
    </w:p>
    <w:p w:rsidR="009B179B" w:rsidP="0098639E" w14:paraId="322082C2" w14:textId="77777777">
      <w:pPr>
        <w:ind w:left="-20" w:right="-20"/>
        <w:rPr>
          <w:rFonts w:ascii="Calibri" w:eastAsia="Calibri" w:hAnsi="Calibri" w:cs="Calibri"/>
        </w:rPr>
        <w:sectPr w:rsidSect="00B30414">
          <w:pgSz w:w="15840" w:h="12240" w:orient="landscape"/>
          <w:pgMar w:top="1440" w:right="1440" w:bottom="1440" w:left="1440" w:header="720" w:footer="720" w:gutter="0"/>
          <w:cols w:space="720"/>
          <w:docGrid w:linePitch="360"/>
        </w:sectPr>
      </w:pPr>
    </w:p>
    <w:p w:rsidR="00401B67" w:rsidRPr="00631B6C" w:rsidP="00401B67" w14:paraId="0688F287" w14:textId="77777777">
      <w:pPr>
        <w:pStyle w:val="NHTSBody"/>
        <w:rPr>
          <w:rStyle w:val="normaltextrun"/>
          <w:shd w:val="clear" w:color="auto" w:fill="FFFFFF"/>
        </w:rPr>
      </w:pPr>
      <w:r w:rsidRPr="009E5BAD">
        <w:rPr>
          <w:rStyle w:val="normaltextrun"/>
          <w:color w:val="000000"/>
          <w:shd w:val="clear" w:color="auto" w:fill="FFFFFF"/>
        </w:rPr>
        <w:t xml:space="preserve">The ABS sample will be selected quarterly. </w:t>
      </w:r>
      <w:r>
        <w:rPr>
          <w:rStyle w:val="normaltextrun"/>
          <w:shd w:val="clear" w:color="auto" w:fill="FFFFFF"/>
        </w:rPr>
        <w:t>The survey contractor team will</w:t>
      </w:r>
      <w:r w:rsidRPr="00631B6C">
        <w:rPr>
          <w:rStyle w:val="normaltextrun"/>
          <w:shd w:val="clear" w:color="auto" w:fill="FFFFFF"/>
        </w:rPr>
        <w:t xml:space="preserve"> select four samples, one each quarter, using the most current ABS frame as the sampling frame for each selection. This will allow the sample to reflect updates to the ABS frame after the original selection and will also allow adjustment to the sampling rates as needed (e.g., to account for response rates that differ from prior expectations).</w:t>
      </w:r>
    </w:p>
    <w:p w:rsidR="00401B67" w:rsidP="00401B67" w14:paraId="4ECCCF27" w14:textId="77777777">
      <w:pPr>
        <w:pStyle w:val="NHTSBody"/>
        <w:rPr>
          <w:rStyle w:val="normaltextrun"/>
          <w:color w:val="000000"/>
          <w:shd w:val="clear" w:color="auto" w:fill="FFFFFF"/>
        </w:rPr>
      </w:pPr>
      <w:r>
        <w:rPr>
          <w:rStyle w:val="normaltextrun"/>
          <w:color w:val="000000"/>
          <w:shd w:val="clear" w:color="auto" w:fill="FFFFFF"/>
        </w:rPr>
        <w:t>O</w:t>
      </w:r>
      <w:r w:rsidRPr="009E5BAD">
        <w:rPr>
          <w:rStyle w:val="normaltextrun"/>
          <w:color w:val="000000"/>
          <w:shd w:val="clear" w:color="auto" w:fill="FFFFFF"/>
        </w:rPr>
        <w:t>ne-fourth the target number</w:t>
      </w:r>
      <w:r>
        <w:rPr>
          <w:rStyle w:val="normaltextrun"/>
          <w:color w:val="000000"/>
          <w:shd w:val="clear" w:color="auto" w:fill="FFFFFF"/>
        </w:rPr>
        <w:t xml:space="preserve"> </w:t>
      </w:r>
      <w:r w:rsidRPr="009E5BAD">
        <w:rPr>
          <w:rStyle w:val="normaltextrun"/>
          <w:color w:val="000000"/>
          <w:shd w:val="clear" w:color="auto" w:fill="FFFFFF"/>
        </w:rPr>
        <w:t>of sampled addresses</w:t>
      </w:r>
      <w:r>
        <w:rPr>
          <w:rStyle w:val="normaltextrun"/>
          <w:color w:val="000000"/>
          <w:shd w:val="clear" w:color="auto" w:fill="FFFFFF"/>
        </w:rPr>
        <w:t>, i</w:t>
      </w:r>
      <w:r w:rsidRPr="009E5BAD">
        <w:rPr>
          <w:rStyle w:val="normaltextrun"/>
          <w:color w:val="000000"/>
          <w:shd w:val="clear" w:color="auto" w:fill="FFFFFF"/>
        </w:rPr>
        <w:t xml:space="preserve">n each sampling stratum, will be selected prior to the start of fieldwork. </w:t>
      </w:r>
      <w:r w:rsidRPr="00631B6C">
        <w:rPr>
          <w:rStyle w:val="normaltextrun"/>
          <w:color w:val="000000"/>
          <w:shd w:val="clear" w:color="auto" w:fill="FFFFFF"/>
        </w:rPr>
        <w:t xml:space="preserve">If, during the first quarter, there is </w:t>
      </w:r>
      <w:r w:rsidRPr="00631B6C">
        <w:rPr>
          <w:rStyle w:val="normaltextrun"/>
          <w:shd w:val="clear" w:color="auto" w:fill="FFFFFF"/>
        </w:rPr>
        <w:t>not enough evidence to suggest a lower-than-expected eligibility or response rate, the size of the second sample will also be one quarter of the target number</w:t>
      </w:r>
      <w:r>
        <w:rPr>
          <w:rStyle w:val="normaltextrun"/>
          <w:shd w:val="clear" w:color="auto" w:fill="FFFFFF"/>
        </w:rPr>
        <w:t xml:space="preserve"> of sample addresses</w:t>
      </w:r>
      <w:r w:rsidRPr="00631B6C">
        <w:rPr>
          <w:rStyle w:val="normaltextrun"/>
          <w:shd w:val="clear" w:color="auto" w:fill="FFFFFF"/>
        </w:rPr>
        <w:t>. If, on the other hand, the results show that response rates are higher or lower than expected, the size of the second sample will be adjusted downward or upward to reflect the observed response rates</w:t>
      </w:r>
      <w:r>
        <w:rPr>
          <w:rStyle w:val="normaltextrun"/>
          <w:shd w:val="clear" w:color="auto" w:fill="FFFFFF"/>
        </w:rPr>
        <w:t>. This process will be repeated for the third and fourth quarter draws.</w:t>
      </w:r>
    </w:p>
    <w:p w:rsidR="00401B67" w:rsidP="00401B67" w14:paraId="2233E828" w14:textId="77777777">
      <w:pPr>
        <w:pStyle w:val="NHTSBody"/>
      </w:pPr>
      <w:r>
        <w:rPr>
          <w:rStyle w:val="normaltextrun"/>
          <w:color w:val="000000"/>
          <w:shd w:val="clear" w:color="auto" w:fill="FFFFFF"/>
        </w:rPr>
        <w:t>When deciding whether to make any possible adjustment to the rates for the next quarter of the sample, the survey contractor team will consider that the result will be an over- or under-sampling of the remainder of the year. While the differences between the four quarterly samples will be accounted for in the weighting, the variations in the weights (due to imbalances between the samples in the four quarter-years) will need to be considered in the decision of the extent to which to change the rates.</w:t>
      </w:r>
    </w:p>
    <w:p w:rsidR="00401B67" w:rsidP="00401B67" w14:paraId="3C5E09F8" w14:textId="77777777">
      <w:pPr>
        <w:pStyle w:val="NHTSBody"/>
        <w:rPr>
          <w:rStyle w:val="normaltextrun"/>
          <w:color w:val="000000"/>
          <w:shd w:val="clear" w:color="auto" w:fill="FFFFFF"/>
        </w:rPr>
      </w:pPr>
      <w:r>
        <w:rPr>
          <w:rStyle w:val="normaltextrun"/>
          <w:color w:val="000000"/>
          <w:shd w:val="clear" w:color="auto" w:fill="FFFFFF"/>
        </w:rPr>
        <w:t>Sampled addresses will be randomly assigned a day of the week equally distributed across all days to ensure a balanced day of week distribution. This is the approach used by the survey contractor in other travel surveys. Sample will be released on a weekly basis, to control the balance of travel days by month, to the extent possible.</w:t>
      </w:r>
    </w:p>
    <w:p w:rsidR="006109AD" w:rsidRPr="00CF6AFF" w:rsidP="00FF61C0" w14:paraId="503D2CAA" w14:textId="020A6687">
      <w:pPr>
        <w:pStyle w:val="Heading2"/>
        <w:numPr>
          <w:ilvl w:val="0"/>
          <w:numId w:val="26"/>
        </w:numPr>
      </w:pPr>
      <w:r w:rsidRPr="00B36F4D">
        <w:t xml:space="preserve">Describe procedures for collecting information, </w:t>
      </w:r>
      <w:r w:rsidRPr="00AE455E">
        <w:rPr>
          <w:shd w:val="clear" w:color="auto" w:fill="FFFFFF" w:themeFill="background1"/>
        </w:rPr>
        <w:t>including statistical methodology for stratification, and sample selection</w:t>
      </w:r>
      <w:r w:rsidRPr="0096730C">
        <w:t xml:space="preserve">, </w:t>
      </w:r>
      <w:r w:rsidRPr="00CF6AFF">
        <w:t>estimation procedures, degree of accuracy needed, and less than annual periodic data cycles:</w:t>
      </w:r>
    </w:p>
    <w:p w:rsidR="006109AD" w:rsidRPr="00265BD3" w:rsidP="00F86D2C" w14:paraId="55E756F0" w14:textId="77777777">
      <w:pPr>
        <w:pStyle w:val="Heading3"/>
        <w:rPr>
          <w:b/>
        </w:rPr>
      </w:pPr>
      <w:r w:rsidRPr="00265BD3">
        <w:t>Data Collection Procedures</w:t>
      </w:r>
    </w:p>
    <w:p w:rsidR="006109AD" w:rsidP="006F2A86" w14:paraId="26FF2595" w14:textId="50646DFB">
      <w:pPr>
        <w:pStyle w:val="NHTSBody"/>
      </w:pPr>
      <w:r>
        <w:t xml:space="preserve">As in previous series of the NHTS, the </w:t>
      </w:r>
      <w:r w:rsidR="001069CD">
        <w:t>2024 NextGen NHTS</w:t>
      </w:r>
      <w:r>
        <w:t xml:space="preserve"> will maintain a two-phase study, which includes a household recruitment survey (phase 1) and trip level </w:t>
      </w:r>
      <w:r w:rsidR="000A4720">
        <w:t>diary</w:t>
      </w:r>
      <w:r>
        <w:t xml:space="preserve"> survey (phase 2) with all eligible household members ages 5 and older. </w:t>
      </w:r>
      <w:r w:rsidRPr="00265BD3">
        <w:t>As described in the sections above, the data collection will use an ABS frame to randomly invite households to participate in the 20</w:t>
      </w:r>
      <w:r w:rsidR="000A4720">
        <w:t>24</w:t>
      </w:r>
      <w:r w:rsidRPr="00265BD3">
        <w:t xml:space="preserve"> </w:t>
      </w:r>
      <w:r w:rsidR="000A4720">
        <w:t xml:space="preserve">NextGen </w:t>
      </w:r>
      <w:r w:rsidRPr="00265BD3">
        <w:t>NHTS. These addresses will be contacted by mail and asked to complete a brief</w:t>
      </w:r>
      <w:r>
        <w:t>,</w:t>
      </w:r>
      <w:r w:rsidRPr="00265BD3">
        <w:t xml:space="preserve"> household-level survey instrument. </w:t>
      </w:r>
      <w:r w:rsidR="0052710C">
        <w:t>In the diary phase, m</w:t>
      </w:r>
      <w:r w:rsidRPr="00265BD3">
        <w:t xml:space="preserve">embers of recruited households will be asked to keep track of all the places they go for one day and to report that information </w:t>
      </w:r>
      <w:r w:rsidR="00B8331E">
        <w:t>via a web survey, smartphone application</w:t>
      </w:r>
      <w:r w:rsidRPr="00265BD3">
        <w:t xml:space="preserve"> or by telephone. </w:t>
      </w:r>
    </w:p>
    <w:p w:rsidR="004D79D1" w:rsidP="004D79D1" w14:paraId="4F9D9D84" w14:textId="77777777">
      <w:pPr>
        <w:pStyle w:val="NHTSBody"/>
        <w:rPr>
          <w:rStyle w:val="normaltextrun"/>
          <w:szCs w:val="22"/>
        </w:rPr>
      </w:pPr>
      <w:r>
        <w:rPr>
          <w:rStyle w:val="normaltextrun"/>
          <w:i/>
          <w:szCs w:val="22"/>
        </w:rPr>
        <w:t xml:space="preserve">Accessibility. </w:t>
      </w:r>
      <w:r w:rsidRPr="00B0302B">
        <w:rPr>
          <w:rStyle w:val="normaltextrun"/>
          <w:szCs w:val="22"/>
        </w:rPr>
        <w:t>The</w:t>
      </w:r>
      <w:r>
        <w:rPr>
          <w:rStyle w:val="normaltextrun"/>
          <w:szCs w:val="22"/>
        </w:rPr>
        <w:t xml:space="preserve"> </w:t>
      </w:r>
      <w:r>
        <w:rPr>
          <w:rStyle w:val="normaltextrun"/>
          <w:szCs w:val="22"/>
        </w:rPr>
        <w:t>survey website, online questionnaires, and respondent materials will be Section 508 compliant and will be in both English and Spanish language forms.</w:t>
      </w:r>
    </w:p>
    <w:p w:rsidR="004D79D1" w:rsidP="004D79D1" w14:paraId="6CB0ABC4" w14:textId="77777777">
      <w:pPr>
        <w:pStyle w:val="NHTSBody"/>
        <w:rPr>
          <w:rFonts w:ascii="Segoe UI" w:hAnsi="Segoe UI" w:cs="Segoe UI"/>
          <w:sz w:val="18"/>
          <w:szCs w:val="18"/>
        </w:rPr>
      </w:pPr>
      <w:r>
        <w:rPr>
          <w:rStyle w:val="normaltextrun"/>
          <w:i/>
          <w:szCs w:val="22"/>
        </w:rPr>
        <w:t xml:space="preserve">Privacy and Security. </w:t>
      </w:r>
      <w:r>
        <w:rPr>
          <w:rStyle w:val="normaltextrun"/>
          <w:szCs w:val="22"/>
        </w:rPr>
        <w:t>The study will use strong data encryption of all data entry and transmission points. Online applications and data pipelines run on containers which are orchestrated using Kubernetes clusters hosted at the survey contractor team’s data center. The study’s compute environment and security controls meet the Federal Information Security Modernization Act (FISMA) moderate standard, and all web applications will pass an in-depth automated security vulnerability scan before the start of data collection.</w:t>
      </w:r>
      <w:r>
        <w:rPr>
          <w:rStyle w:val="eop"/>
          <w:szCs w:val="22"/>
        </w:rPr>
        <w:t> </w:t>
      </w:r>
    </w:p>
    <w:p w:rsidR="004D79D1" w:rsidP="004D79D1" w14:paraId="50BA5DBC" w14:textId="77777777">
      <w:pPr>
        <w:pStyle w:val="NHTSBody"/>
        <w:rPr>
          <w:rFonts w:ascii="Segoe UI" w:hAnsi="Segoe UI" w:cs="Segoe UI"/>
          <w:sz w:val="18"/>
          <w:szCs w:val="18"/>
        </w:rPr>
      </w:pPr>
      <w:r w:rsidRPr="754949EE">
        <w:rPr>
          <w:rStyle w:val="normaltextrun"/>
          <w:i/>
          <w:szCs w:val="22"/>
        </w:rPr>
        <w:t>Cognitive</w:t>
      </w:r>
      <w:r w:rsidRPr="754949EE">
        <w:rPr>
          <w:rStyle w:val="normaltextrun"/>
          <w:i/>
          <w:iCs/>
          <w:szCs w:val="22"/>
        </w:rPr>
        <w:t xml:space="preserve"> Testing</w:t>
      </w:r>
      <w:r w:rsidRPr="754949EE">
        <w:rPr>
          <w:rStyle w:val="normaltextrun"/>
          <w:szCs w:val="22"/>
        </w:rPr>
        <w:t xml:space="preserve">. </w:t>
      </w:r>
      <w:r>
        <w:rPr>
          <w:rStyle w:val="normaltextrun"/>
          <w:szCs w:val="22"/>
        </w:rPr>
        <w:t>Cognitive testing focused on n</w:t>
      </w:r>
      <w:r w:rsidRPr="754949EE">
        <w:rPr>
          <w:rStyle w:val="normaltextrun"/>
          <w:szCs w:val="22"/>
        </w:rPr>
        <w:t xml:space="preserve">ew questions. Materials used in cognitive testing are </w:t>
      </w:r>
      <w:r w:rsidRPr="00C37161">
        <w:rPr>
          <w:rStyle w:val="normaltextrun"/>
          <w:szCs w:val="22"/>
        </w:rPr>
        <w:t>included in Appendix 2.</w:t>
      </w:r>
      <w:r w:rsidRPr="754949EE">
        <w:rPr>
          <w:rStyle w:val="normaltextrun"/>
          <w:szCs w:val="22"/>
        </w:rPr>
        <w:t xml:space="preserve"> Experienced methodologists conducted all interviews</w:t>
      </w:r>
      <w:r>
        <w:rPr>
          <w:rStyle w:val="normaltextrun"/>
          <w:szCs w:val="22"/>
        </w:rPr>
        <w:t xml:space="preserve"> with nine purposefully recruited respondents</w:t>
      </w:r>
      <w:r w:rsidRPr="754949EE">
        <w:rPr>
          <w:rStyle w:val="normaltextrun"/>
          <w:szCs w:val="22"/>
        </w:rPr>
        <w:t xml:space="preserve">. </w:t>
      </w:r>
    </w:p>
    <w:p w:rsidR="004D79D1" w:rsidP="004D79D1" w14:paraId="18AAE5EB" w14:textId="77777777">
      <w:pPr>
        <w:pStyle w:val="NHTSBody"/>
      </w:pPr>
      <w:r>
        <w:rPr>
          <w:b/>
        </w:rPr>
        <w:t>Recruitment Materials.</w:t>
      </w:r>
      <w:r w:rsidRPr="004D30E3">
        <w:t xml:space="preserve"> </w:t>
      </w:r>
      <w:r>
        <w:t>The f</w:t>
      </w:r>
      <w:r w:rsidRPr="004D30E3">
        <w:t xml:space="preserve">ield materials </w:t>
      </w:r>
      <w:r>
        <w:t xml:space="preserve">will be used </w:t>
      </w:r>
      <w:r w:rsidRPr="004D30E3">
        <w:t>to introduce the survey</w:t>
      </w:r>
      <w:r>
        <w:t>’</w:t>
      </w:r>
      <w:r w:rsidRPr="004D30E3">
        <w:t>s purpose, provide instructions for survey participation, remind households to complete survey requirements, and thank respondents for their participation. These materials include:</w:t>
      </w:r>
    </w:p>
    <w:p w:rsidR="004D79D1" w:rsidP="004D79D1" w14:paraId="6F431C12" w14:textId="77777777">
      <w:pPr>
        <w:pStyle w:val="NHTSBody"/>
      </w:pPr>
      <w:r w:rsidRPr="002E10F6">
        <w:rPr>
          <w:bCs/>
          <w:i/>
          <w:iCs/>
        </w:rPr>
        <w:t>Invitation Letter.</w:t>
      </w:r>
      <w:r w:rsidRPr="004C534E">
        <w:t xml:space="preserve"> </w:t>
      </w:r>
      <w:r>
        <w:t>The</w:t>
      </w:r>
      <w:r w:rsidRPr="004C534E">
        <w:t xml:space="preserve"> proposed method</w:t>
      </w:r>
      <w:r>
        <w:t>ology</w:t>
      </w:r>
      <w:r w:rsidRPr="004C534E">
        <w:t xml:space="preserve"> </w:t>
      </w:r>
      <w:r>
        <w:t>includes an</w:t>
      </w:r>
      <w:r w:rsidRPr="004C534E">
        <w:t xml:space="preserve"> </w:t>
      </w:r>
      <w:r>
        <w:t xml:space="preserve">invitation </w:t>
      </w:r>
      <w:r w:rsidRPr="00C37161">
        <w:t>letter (Appendix 3) that</w:t>
      </w:r>
      <w:r>
        <w:t xml:space="preserve"> will be mailed to each sampled address in a 9x12 envelope (Appendix 4)</w:t>
      </w:r>
      <w:r w:rsidRPr="004C534E">
        <w:t xml:space="preserve">. The letter will introduce the </w:t>
      </w:r>
      <w:r>
        <w:t xml:space="preserve">NextGen </w:t>
      </w:r>
      <w:r w:rsidRPr="004C534E">
        <w:t xml:space="preserve">NHTS, </w:t>
      </w:r>
      <w:r>
        <w:t>discuss the importance of participation</w:t>
      </w:r>
      <w:r w:rsidRPr="004C534E">
        <w:t xml:space="preserve">, </w:t>
      </w:r>
      <w:r>
        <w:t xml:space="preserve">include a cash pre-incentive ($2), and </w:t>
      </w:r>
      <w:r w:rsidRPr="004D30E3">
        <w:t xml:space="preserve">offer a promised incentive of </w:t>
      </w:r>
      <w:r>
        <w:t xml:space="preserve">up to </w:t>
      </w:r>
      <w:r w:rsidRPr="004D30E3">
        <w:t>$</w:t>
      </w:r>
      <w:r>
        <w:t>2</w:t>
      </w:r>
      <w:r w:rsidRPr="004D30E3">
        <w:t xml:space="preserve">0 per person for completing the </w:t>
      </w:r>
      <w:r>
        <w:t xml:space="preserve">entire survey (i.e., recruitment and diary survey). Households will be eligible for this $10 per person (regardless of age) base incentive regardless of completion mode (web, app, telephone interview). An additional </w:t>
      </w:r>
      <w:r w:rsidRPr="004D30E3">
        <w:t xml:space="preserve">$10 per person </w:t>
      </w:r>
      <w:r>
        <w:t>will be offered for each person who reports travel using the app for a total promised incentive of $20 per person</w:t>
      </w:r>
      <w:r w:rsidRPr="004D30E3">
        <w:t>.</w:t>
      </w:r>
      <w:r>
        <w:t xml:space="preserve"> The letter </w:t>
      </w:r>
      <w:r w:rsidRPr="004D30E3">
        <w:t xml:space="preserve">will encourage </w:t>
      </w:r>
      <w:r>
        <w:t>a household representative</w:t>
      </w:r>
      <w:r w:rsidRPr="004D30E3">
        <w:t xml:space="preserve"> to complete a brief 5-minute survey online.</w:t>
      </w:r>
      <w:r>
        <w:t xml:space="preserve"> </w:t>
      </w:r>
      <w:r w:rsidRPr="004C534E">
        <w:t xml:space="preserve">To increase the perceived legitimacy of the </w:t>
      </w:r>
      <w:r>
        <w:t xml:space="preserve">study, the </w:t>
      </w:r>
      <w:r w:rsidRPr="004C534E">
        <w:t xml:space="preserve">letter will include the </w:t>
      </w:r>
      <w:r>
        <w:t>USDOT</w:t>
      </w:r>
      <w:r w:rsidRPr="004C534E">
        <w:t xml:space="preserve"> logo </w:t>
      </w:r>
      <w:r>
        <w:t>and be signed by a USDOT official</w:t>
      </w:r>
      <w:r w:rsidRPr="004C534E">
        <w:t>.</w:t>
      </w:r>
      <w:r>
        <w:rPr>
          <w:rStyle w:val="CommentReference"/>
          <w:rFonts w:eastAsiaTheme="minorHAnsi" w:cstheme="minorBidi"/>
        </w:rPr>
        <w:t xml:space="preserve"> </w:t>
      </w:r>
      <w:r w:rsidRPr="00F43657">
        <w:rPr>
          <w:rStyle w:val="CommentReference"/>
          <w:rFonts w:eastAsiaTheme="minorHAnsi" w:cstheme="minorBidi"/>
        </w:rPr>
        <w:t>I</w:t>
      </w:r>
      <w:r w:rsidRPr="004C534E">
        <w:t xml:space="preserve">ncluding a $2 cash “primer” incentive in the </w:t>
      </w:r>
      <w:r>
        <w:t>invitation</w:t>
      </w:r>
      <w:r w:rsidRPr="004C534E">
        <w:t xml:space="preserve"> letter </w:t>
      </w:r>
      <w:r>
        <w:t xml:space="preserve">is expected </w:t>
      </w:r>
      <w:r w:rsidRPr="004C534E">
        <w:t xml:space="preserve">to encourage households to begin participation. </w:t>
      </w:r>
      <w:r>
        <w:t xml:space="preserve">A toll-free number on the survey materials will be provided and a QR code to facilitate easy access to the web survey. All data collected in the recruitment survey will be used to populate the household record in the diary survey database. </w:t>
      </w:r>
    </w:p>
    <w:p w:rsidR="004D79D1" w:rsidP="004D79D1" w14:paraId="7C98C51D" w14:textId="77777777">
      <w:pPr>
        <w:pStyle w:val="NHTSBody"/>
      </w:pPr>
      <w:r w:rsidRPr="00655D5B">
        <w:rPr>
          <w:bCs/>
          <w:i/>
          <w:iCs/>
        </w:rPr>
        <w:t xml:space="preserve">Reminder </w:t>
      </w:r>
      <w:r>
        <w:rPr>
          <w:bCs/>
          <w:i/>
          <w:iCs/>
        </w:rPr>
        <w:t>Mailings</w:t>
      </w:r>
      <w:r w:rsidRPr="00655D5B">
        <w:rPr>
          <w:bCs/>
          <w:i/>
          <w:iCs/>
        </w:rPr>
        <w:t>.</w:t>
      </w:r>
      <w:r w:rsidRPr="00C554D6">
        <w:t xml:space="preserve"> </w:t>
      </w:r>
      <w:r w:rsidRPr="004D30E3">
        <w:t>Nonrespondents will receive three additional prompts after the invitation letter via the mailing of two postcards</w:t>
      </w:r>
      <w:r>
        <w:t xml:space="preserve"> </w:t>
      </w:r>
      <w:r w:rsidRPr="004817E9">
        <w:t>(see Appendix 5 and 6)</w:t>
      </w:r>
      <w:r w:rsidRPr="00280A48">
        <w:t xml:space="preserve"> and</w:t>
      </w:r>
      <w:r w:rsidRPr="004D30E3">
        <w:t xml:space="preserve"> </w:t>
      </w:r>
      <w:r>
        <w:t>a second</w:t>
      </w:r>
      <w:r w:rsidRPr="004D30E3">
        <w:t xml:space="preserve"> </w:t>
      </w:r>
      <w:r w:rsidRPr="005C4E3B">
        <w:t>letter (see Appendix 7).</w:t>
      </w:r>
    </w:p>
    <w:p w:rsidR="004D79D1" w:rsidP="004D79D1" w14:paraId="0BCEDD01" w14:textId="37DC1FE9">
      <w:pPr>
        <w:pStyle w:val="NHTSBody"/>
      </w:pPr>
      <w:r w:rsidRPr="004D30E3">
        <w:rPr>
          <w:i/>
        </w:rPr>
        <w:t xml:space="preserve">Travel Day Assignment. </w:t>
      </w:r>
      <w:r w:rsidRPr="004D30E3">
        <w:t xml:space="preserve">Once a participant completes the online recruitment survey, </w:t>
      </w:r>
      <w:r>
        <w:t>they will be</w:t>
      </w:r>
      <w:r w:rsidRPr="004D30E3">
        <w:t xml:space="preserve"> route</w:t>
      </w:r>
      <w:r>
        <w:t>d</w:t>
      </w:r>
      <w:r w:rsidRPr="004D30E3">
        <w:t xml:space="preserve"> to a participant dashboard (Figure </w:t>
      </w:r>
      <w:r w:rsidR="00E6623F">
        <w:t>1</w:t>
      </w:r>
      <w:r>
        <w:t xml:space="preserve"> is an example of a dashboard used on a state travel study</w:t>
      </w:r>
      <w:r w:rsidRPr="004D30E3">
        <w:t xml:space="preserve">) designed to improve participation and present their assigned travel date, promote smartphone app use, communicate the steps to complete the travel diary survey and use gamification to show the total incentive their household is eligible to earn for participation. </w:t>
      </w:r>
      <w:r>
        <w:t>H</w:t>
      </w:r>
      <w:r w:rsidRPr="004D30E3">
        <w:t xml:space="preserve">ouseholds that complete the recruitment survey via telephone interview (5 – 10 percent), will </w:t>
      </w:r>
      <w:r>
        <w:t xml:space="preserve">be </w:t>
      </w:r>
      <w:r w:rsidRPr="004D30E3">
        <w:t>provide</w:t>
      </w:r>
      <w:r>
        <w:t>d</w:t>
      </w:r>
      <w:r w:rsidRPr="004D30E3">
        <w:t xml:space="preserve"> with the URL and their credentials to login to the participant dashboard.</w:t>
      </w:r>
    </w:p>
    <w:p w:rsidR="004D79D1" w:rsidRPr="004D30E3" w:rsidP="004D79D1" w14:paraId="1A011F65" w14:textId="77777777">
      <w:pPr>
        <w:tabs>
          <w:tab w:val="clear" w:pos="1152"/>
        </w:tabs>
        <w:spacing w:line="276" w:lineRule="auto"/>
        <w:jc w:val="center"/>
        <w:textAlignment w:val="baseline"/>
        <w:rPr>
          <w:rFonts w:ascii="Segoe UI" w:hAnsi="Segoe UI" w:cs="Segoe UI"/>
          <w:color w:val="auto"/>
          <w:sz w:val="18"/>
          <w:szCs w:val="18"/>
        </w:rPr>
      </w:pPr>
      <w:r w:rsidRPr="004D30E3">
        <w:rPr>
          <w:color w:val="auto"/>
        </w:rPr>
        <w:t> </w:t>
      </w:r>
      <w:r>
        <w:rPr>
          <w:noProof/>
        </w:rPr>
        <w:drawing>
          <wp:inline distT="0" distB="0" distL="0" distR="0">
            <wp:extent cx="5943600" cy="3085465"/>
            <wp:effectExtent l="0" t="0" r="0" b="635"/>
            <wp:docPr id="813921845" name="Picture 81392184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21845" name="Picture 1" descr="A screenshot of a computer&#10;&#10;Description automatically generated"/>
                    <pic:cNvPicPr/>
                  </pic:nvPicPr>
                  <pic:blipFill>
                    <a:blip xmlns:r="http://schemas.openxmlformats.org/officeDocument/2006/relationships" r:embed="rId11"/>
                    <a:stretch>
                      <a:fillRect/>
                    </a:stretch>
                  </pic:blipFill>
                  <pic:spPr>
                    <a:xfrm>
                      <a:off x="0" y="0"/>
                      <a:ext cx="5943600" cy="3085465"/>
                    </a:xfrm>
                    <a:prstGeom prst="rect">
                      <a:avLst/>
                    </a:prstGeom>
                  </pic:spPr>
                </pic:pic>
              </a:graphicData>
            </a:graphic>
          </wp:inline>
        </w:drawing>
      </w:r>
    </w:p>
    <w:p w:rsidR="004D79D1" w:rsidRPr="004D30E3" w:rsidP="004D79D1" w14:paraId="381E29BA" w14:textId="12C0EC70">
      <w:pPr>
        <w:tabs>
          <w:tab w:val="clear" w:pos="1152"/>
        </w:tabs>
        <w:spacing w:line="276" w:lineRule="auto"/>
        <w:jc w:val="center"/>
        <w:textAlignment w:val="baseline"/>
        <w:rPr>
          <w:rFonts w:ascii="Segoe UI" w:hAnsi="Segoe UI" w:cs="Segoe UI"/>
          <w:color w:val="auto"/>
          <w:sz w:val="18"/>
          <w:szCs w:val="18"/>
        </w:rPr>
      </w:pPr>
      <w:r w:rsidRPr="004D30E3">
        <w:rPr>
          <w:i/>
          <w:iCs/>
          <w:color w:val="auto"/>
        </w:rPr>
        <w:t xml:space="preserve">Figure </w:t>
      </w:r>
      <w:r w:rsidR="00E6623F">
        <w:rPr>
          <w:i/>
          <w:iCs/>
          <w:color w:val="auto"/>
        </w:rPr>
        <w:t>1</w:t>
      </w:r>
      <w:r w:rsidRPr="004D30E3">
        <w:rPr>
          <w:i/>
          <w:iCs/>
          <w:color w:val="auto"/>
        </w:rPr>
        <w:t>: Participant Dashboard Example</w:t>
      </w:r>
      <w:r w:rsidRPr="004D30E3">
        <w:rPr>
          <w:color w:val="auto"/>
        </w:rPr>
        <w:t> </w:t>
      </w:r>
    </w:p>
    <w:p w:rsidR="004D79D1" w:rsidP="004D79D1" w14:paraId="78339BB5" w14:textId="77777777">
      <w:pPr>
        <w:tabs>
          <w:tab w:val="clear" w:pos="1152"/>
        </w:tabs>
        <w:spacing w:line="276" w:lineRule="auto"/>
        <w:textAlignment w:val="baseline"/>
        <w:rPr>
          <w:i/>
          <w:iCs/>
          <w:color w:val="auto"/>
          <w:lang w:val="en-IN"/>
        </w:rPr>
      </w:pPr>
    </w:p>
    <w:p w:rsidR="004D79D1" w:rsidRPr="00CC1EBA" w:rsidP="004D79D1" w14:paraId="6EE97878" w14:textId="77777777">
      <w:pPr>
        <w:pStyle w:val="NHTSBody"/>
        <w:rPr>
          <w:rStyle w:val="NHTSBodyChar"/>
        </w:rPr>
      </w:pPr>
      <w:r w:rsidRPr="004D30E3">
        <w:rPr>
          <w:i/>
          <w:lang w:val="en-IN"/>
        </w:rPr>
        <w:t xml:space="preserve">Diary Survey </w:t>
      </w:r>
      <w:r>
        <w:rPr>
          <w:i/>
          <w:lang w:val="en-IN"/>
        </w:rPr>
        <w:t>Invitation</w:t>
      </w:r>
      <w:r w:rsidRPr="004D30E3">
        <w:rPr>
          <w:lang w:val="en-IN"/>
        </w:rPr>
        <w:t xml:space="preserve">. </w:t>
      </w:r>
      <w:r>
        <w:rPr>
          <w:rStyle w:val="NHTSBodyChar"/>
        </w:rPr>
        <w:t>The</w:t>
      </w:r>
      <w:r w:rsidRPr="00CC1EBA">
        <w:rPr>
          <w:rStyle w:val="NHTSBodyChar"/>
        </w:rPr>
        <w:t xml:space="preserve"> method of diary survey invitation </w:t>
      </w:r>
      <w:r>
        <w:rPr>
          <w:rStyle w:val="NHTSBodyChar"/>
        </w:rPr>
        <w:t xml:space="preserve">will be varied </w:t>
      </w:r>
      <w:r w:rsidRPr="00CC1EBA">
        <w:rPr>
          <w:rStyle w:val="NHTSBodyChar"/>
        </w:rPr>
        <w:t xml:space="preserve">based on household demographics, to provide a </w:t>
      </w:r>
      <w:r>
        <w:rPr>
          <w:rStyle w:val="NHTSBodyChar"/>
        </w:rPr>
        <w:t>mode</w:t>
      </w:r>
      <w:r w:rsidRPr="00CC1EBA">
        <w:rPr>
          <w:rStyle w:val="NHTSBodyChar"/>
        </w:rPr>
        <w:t xml:space="preserve"> that increases their likelihood of participation. The overall content of the messaging will be consistent, but the </w:t>
      </w:r>
      <w:r>
        <w:rPr>
          <w:rStyle w:val="NHTSBodyChar"/>
        </w:rPr>
        <w:t>mode</w:t>
      </w:r>
      <w:r w:rsidRPr="00CC1EBA">
        <w:rPr>
          <w:rStyle w:val="NHTSBodyChar"/>
        </w:rPr>
        <w:t xml:space="preserve"> (e.g., electronic or mailed letter invitation) will differ depending on the household’s assumed proclivity to use the smartphone app. Throughout the invitation and reminder process, participants </w:t>
      </w:r>
      <w:r>
        <w:rPr>
          <w:rStyle w:val="NHTSBodyChar"/>
        </w:rPr>
        <w:t xml:space="preserve">will be continually encouraged </w:t>
      </w:r>
      <w:r w:rsidRPr="00CC1EBA">
        <w:rPr>
          <w:rStyle w:val="NHTSBodyChar"/>
        </w:rPr>
        <w:t xml:space="preserve">to visit the participant dashboard, which will provide further detail about how to participate, the incentives that their household is eligible to earn, and a toll-free number that participants may call if they need help. </w:t>
      </w:r>
    </w:p>
    <w:p w:rsidR="004D79D1" w:rsidRPr="00CC1EBA" w:rsidP="004D79D1" w14:paraId="0DBF8E68" w14:textId="77777777">
      <w:pPr>
        <w:pStyle w:val="NHTSBody"/>
        <w:rPr>
          <w:rStyle w:val="NHTSBodyChar"/>
        </w:rPr>
      </w:pPr>
      <w:r w:rsidRPr="00CC1EBA">
        <w:rPr>
          <w:rStyle w:val="NHTSBodyChar"/>
        </w:rPr>
        <w:t xml:space="preserve">For smartphone households, in which the main respondent owns a smartphone, provides contact information, and is younger than 75 years of age, invitations </w:t>
      </w:r>
      <w:r>
        <w:rPr>
          <w:rStyle w:val="NHTSBodyChar"/>
        </w:rPr>
        <w:t xml:space="preserve">to the diary survey will be sent electronically </w:t>
      </w:r>
      <w:r w:rsidRPr="00CC1EBA">
        <w:rPr>
          <w:rStyle w:val="NHTSBodyChar"/>
        </w:rPr>
        <w:t>(e.g., email, text messages) detailing the smartphone-push approach, which guides participants on installing the app and on recording their travel for 7 days. Though the emphasis will be on recording travel via the app</w:t>
      </w:r>
      <w:r>
        <w:rPr>
          <w:rStyle w:val="NHTSBodyChar"/>
        </w:rPr>
        <w:t>,</w:t>
      </w:r>
      <w:r w:rsidRPr="00CC1EBA">
        <w:rPr>
          <w:rStyle w:val="NHTSBodyChar"/>
        </w:rPr>
        <w:t xml:space="preserve"> because of improved data quality, online or telephone options</w:t>
      </w:r>
      <w:r>
        <w:rPr>
          <w:rStyle w:val="NHTSBodyChar"/>
        </w:rPr>
        <w:t xml:space="preserve"> will be offered</w:t>
      </w:r>
      <w:r w:rsidRPr="00CC1EBA">
        <w:rPr>
          <w:rStyle w:val="NHTSBodyChar"/>
        </w:rPr>
        <w:t xml:space="preserve"> as well so that households are able to participate in the mode that best suits them. Furthermore, household members may choose the individual participation mode they wish as well. </w:t>
      </w:r>
    </w:p>
    <w:p w:rsidR="004D79D1" w:rsidRPr="00265BD3" w:rsidP="006F2A86" w14:paraId="50330E08" w14:textId="55747414">
      <w:pPr>
        <w:pStyle w:val="NHTSBody"/>
      </w:pPr>
      <w:r>
        <w:rPr>
          <w:rStyle w:val="NHTSBodyChar"/>
        </w:rPr>
        <w:t>N</w:t>
      </w:r>
      <w:r w:rsidRPr="00CC1EBA">
        <w:rPr>
          <w:rStyle w:val="NHTSBodyChar"/>
        </w:rPr>
        <w:t xml:space="preserve">on-smartphone households, in which the main respondent does not own a smartphone, does not provide contact information, or is older than 75 years of age, will </w:t>
      </w:r>
      <w:r>
        <w:rPr>
          <w:rStyle w:val="NHTSBodyChar"/>
        </w:rPr>
        <w:t xml:space="preserve">be </w:t>
      </w:r>
      <w:r w:rsidRPr="00CC1EBA">
        <w:rPr>
          <w:rStyle w:val="NHTSBodyChar"/>
        </w:rPr>
        <w:t>mail</w:t>
      </w:r>
      <w:r>
        <w:rPr>
          <w:rStyle w:val="NHTSBodyChar"/>
        </w:rPr>
        <w:t>ed</w:t>
      </w:r>
      <w:r w:rsidRPr="00CC1EBA">
        <w:rPr>
          <w:rStyle w:val="NHTSBodyChar"/>
        </w:rPr>
        <w:t xml:space="preserve"> a diary survey invitation package that includes a letter </w:t>
      </w:r>
      <w:r>
        <w:rPr>
          <w:rStyle w:val="NHTSBodyChar"/>
        </w:rPr>
        <w:t xml:space="preserve">(Appendix 8) </w:t>
      </w:r>
      <w:r w:rsidRPr="00CC1EBA">
        <w:rPr>
          <w:rStyle w:val="NHTSBodyChar"/>
        </w:rPr>
        <w:t xml:space="preserve">detailing the multimode approach to allow participants to report their travel by web, phone, or by using the </w:t>
      </w:r>
      <w:r>
        <w:rPr>
          <w:rStyle w:val="NHTSBodyChar"/>
        </w:rPr>
        <w:t>Smartphone app</w:t>
      </w:r>
      <w:r>
        <w:rPr>
          <w:rStyle w:val="FootnoteReference"/>
        </w:rPr>
        <w:footnoteReference w:id="5"/>
      </w:r>
      <w:r w:rsidRPr="00CC1EBA">
        <w:rPr>
          <w:rStyle w:val="NHTSBodyChar"/>
        </w:rPr>
        <w:t xml:space="preserve"> to record 7 days of travel. The package will include a travel log (</w:t>
      </w:r>
      <w:r>
        <w:rPr>
          <w:rStyle w:val="NHTSBodyChar"/>
        </w:rPr>
        <w:t>Appendix 9</w:t>
      </w:r>
      <w:r w:rsidRPr="00CC1EBA">
        <w:rPr>
          <w:rStyle w:val="NHTSBodyChar"/>
        </w:rPr>
        <w:t>) for each household member, aged 5 and older, to jot down all the places they go on their assigned travel date. Packages will be mailed within a few days of recruitment completion with travel dates assigned at least 10 days in the future to allow for the package to arrive a few days prior to the travel date.</w:t>
      </w:r>
    </w:p>
    <w:p w:rsidR="006109AD" w:rsidRPr="006F2A86" w:rsidP="009C47D2" w14:paraId="1BA4DB82" w14:textId="77777777">
      <w:pPr>
        <w:pStyle w:val="Heading3"/>
      </w:pPr>
      <w:r w:rsidRPr="006F2A86">
        <w:t>Statistical Methodology for Stratification</w:t>
      </w:r>
    </w:p>
    <w:p w:rsidR="006109AD" w:rsidP="006F2A86" w14:paraId="0E6EF5AD" w14:textId="77777777">
      <w:pPr>
        <w:pStyle w:val="NHTSBody"/>
      </w:pPr>
      <w:r w:rsidRPr="00250AF0">
        <w:t>Please see write-up included in question 1</w:t>
      </w:r>
      <w:r w:rsidRPr="00F97758">
        <w:t>.</w:t>
      </w:r>
    </w:p>
    <w:p w:rsidR="006109AD" w:rsidRPr="003055C5" w:rsidP="009C47D2" w14:paraId="3D682FC4" w14:textId="77777777">
      <w:pPr>
        <w:pStyle w:val="Heading3"/>
      </w:pPr>
      <w:r w:rsidRPr="003055C5">
        <w:t>Estimation Procedures</w:t>
      </w:r>
    </w:p>
    <w:p w:rsidR="006109AD" w:rsidP="006F2A86" w14:paraId="70B42FA8" w14:textId="562805FD">
      <w:pPr>
        <w:pStyle w:val="NHTSBody"/>
        <w:rPr>
          <w:rStyle w:val="normaltextrun"/>
          <w:color w:val="000000"/>
          <w:shd w:val="clear" w:color="auto" w:fill="FFFFFF"/>
        </w:rPr>
      </w:pPr>
      <w:r w:rsidRPr="003055C5">
        <w:t xml:space="preserve">Sample weights for the </w:t>
      </w:r>
      <w:r w:rsidR="00F60524">
        <w:t>2024</w:t>
      </w:r>
      <w:r w:rsidRPr="003055C5">
        <w:t xml:space="preserve"> </w:t>
      </w:r>
      <w:r w:rsidR="004826C2">
        <w:t xml:space="preserve">NextGen </w:t>
      </w:r>
      <w:r w:rsidRPr="003055C5">
        <w:t xml:space="preserve">NHTS will be developed and assigned to the records representing various analytic </w:t>
      </w:r>
      <w:r w:rsidR="00F60524">
        <w:t xml:space="preserve">units associated with the study, including responding households, </w:t>
      </w:r>
      <w:r w:rsidRPr="003055C5">
        <w:t xml:space="preserve">persons within responding households, vehicles, and trips. The weights will be designed to permit inference to the corresponding target populations. </w:t>
      </w:r>
      <w:r w:rsidR="00F60524">
        <w:rPr>
          <w:rStyle w:val="normaltextrun"/>
          <w:color w:val="000000"/>
          <w:shd w:val="clear" w:color="auto" w:fill="FFFFFF"/>
        </w:rPr>
        <w:t xml:space="preserve">The weights will be designed to permit inference to the corresponding target populations. These “standard” weights will reflect a seven-day week. </w:t>
      </w:r>
      <w:r w:rsidR="001B4211">
        <w:rPr>
          <w:rStyle w:val="normaltextrun"/>
          <w:color w:val="000000"/>
          <w:shd w:val="clear" w:color="auto" w:fill="FFFFFF"/>
        </w:rPr>
        <w:t>A</w:t>
      </w:r>
      <w:r w:rsidR="00F60524">
        <w:rPr>
          <w:rStyle w:val="normaltextrun"/>
          <w:color w:val="000000"/>
          <w:shd w:val="clear" w:color="auto" w:fill="FFFFFF"/>
        </w:rPr>
        <w:t xml:space="preserve"> second set of weights </w:t>
      </w:r>
      <w:r w:rsidR="001B4211">
        <w:rPr>
          <w:rStyle w:val="normaltextrun"/>
          <w:color w:val="000000"/>
          <w:shd w:val="clear" w:color="auto" w:fill="FFFFFF"/>
        </w:rPr>
        <w:t xml:space="preserve">will be developed </w:t>
      </w:r>
      <w:r w:rsidR="00F60524">
        <w:rPr>
          <w:rStyle w:val="normaltextrun"/>
          <w:color w:val="000000"/>
          <w:shd w:val="clear" w:color="auto" w:fill="FFFFFF"/>
        </w:rPr>
        <w:t>to reflect Monday through Friday travel days (weekday-only weights), and a third set of weights to reflect Saturday and Sunday travel days (weekend-only weights). The standard weights, weekday-only weights, and weekend-only weights will be created using the same procedures.</w:t>
      </w:r>
    </w:p>
    <w:p w:rsidR="000866E2" w:rsidRPr="003055C5" w:rsidP="006F2A86" w14:paraId="13BB95CD" w14:textId="1748E33E">
      <w:pPr>
        <w:pStyle w:val="NHTSBody"/>
      </w:pPr>
      <w:r>
        <w:rPr>
          <w:rStyle w:val="normaltextrun"/>
          <w:color w:val="000000"/>
          <w:shd w:val="clear" w:color="auto" w:fill="FFFFFF"/>
        </w:rPr>
        <w:t>The primary set of household weights are the ‘useable household’ weights, in which households are defined as completed when travel behavior core data is collected for all eligible persons aged 5 and older in the household. The household-level weights are designed to represent all households in the study area. The vehicle-level weights are designed to represent all vehicles in the study area. The person-level weights are designed to represent all persons in the study area. The travel-day trip-level weights are designed to represent all trips in the designated time period in the study area. </w:t>
      </w:r>
    </w:p>
    <w:p w:rsidR="006109AD" w:rsidRPr="003055C5" w:rsidP="006F2A86" w14:paraId="35D7061A" w14:textId="77777777">
      <w:pPr>
        <w:pStyle w:val="NHTSBody"/>
      </w:pPr>
      <w:r w:rsidRPr="003055C5">
        <w:t>The process of weighting has three major components. The first is the provision of a base weight, which is the inverse of the overall selection probability of each selected unit. Base weights are needed to account for the varying probabilities of selection among sample units in any given sample. Probabilities vary purposefully to some extent. Since no subsampling within households will take place, household- and person-level base weights will be identical. That is, the base weight for each person in a household is identical to their corresponding household base weight.</w:t>
      </w:r>
    </w:p>
    <w:p w:rsidR="006109AD" w:rsidRPr="003055C5" w:rsidP="006F2A86" w14:paraId="6A8F8949" w14:textId="77777777">
      <w:pPr>
        <w:pStyle w:val="NHTSBody"/>
      </w:pPr>
      <w:r w:rsidRPr="003055C5">
        <w:t>The second component of the weighting process consists of adjustments for nonresponse. Nonresponse can occur at the household level at the recruitment stage when a household declines to participate or at the retrieval stage when a household initially participates in the recruitment survey but does not actually participate in the retrieval survey. In either case, selected households who should have participated (according to the sampling scheme) ultimately did not participate. Results for the nonparticipating households are not reflected by the use of base weights, and therefore nonresponse adjustments to these weights are made in an effort to represent the full household population by adjusting the weights of the actual participating sample to account for the nonparticipating households.</w:t>
      </w:r>
    </w:p>
    <w:p w:rsidR="006109AD" w:rsidRPr="003055C5" w:rsidP="006F2A86" w14:paraId="5894BFEC" w14:textId="733F760B">
      <w:pPr>
        <w:pStyle w:val="NHTSBody"/>
      </w:pPr>
      <w:r w:rsidRPr="003055C5">
        <w:t xml:space="preserve">The third major component of the weighting is the application of additional adjustments, </w:t>
      </w:r>
      <w:r w:rsidR="000866E2">
        <w:t>including</w:t>
      </w:r>
      <w:r w:rsidRPr="003055C5">
        <w:t xml:space="preserve"> weight trimming and calibration. Unlike the previous two components, this step is not directed primarily at minimizing the bias of survey estimates, but rather at reducing their variance, permitting more precise statements to be made about the travel patterns and behavior and comparisons among subgroups and over time. Trimming consists of reducing the weights for each participating sample unit whose weight, as a result of the calculation of base weights and the application of nonresponse adjustments, makes an unduly large relative contribution to the total weighted data set. Calibration consists of adjusting the weights of sample units in population subgroups so that the sum is equal to an independent, relatively reliable benchmark estimate of the size of that population subgroup. Calibration will be done at both the household and person levels by using raking procedures. Characteristics such as race, ethnicity, Census Division, MSA size, household size, number of household vehicles, and worker status will be considered for calibration. </w:t>
      </w:r>
      <w:r w:rsidR="00330CF5">
        <w:t>The</w:t>
      </w:r>
      <w:r w:rsidRPr="003055C5">
        <w:t xml:space="preserve"> weight trimming procedure </w:t>
      </w:r>
      <w:r w:rsidR="00330CF5">
        <w:t xml:space="preserve">will be implemented </w:t>
      </w:r>
      <w:r w:rsidRPr="003055C5">
        <w:t>iteratively with the raking process so that the trimmed portions of the weights will be redistributed across all the remaining weights. This will ensure that the final weights will achieve consistency with the external population distributions without any excessively large survey weights.</w:t>
      </w:r>
    </w:p>
    <w:p w:rsidR="006109AD" w:rsidRPr="003055C5" w:rsidP="006F2A86" w14:paraId="0649C0CA" w14:textId="18933D59">
      <w:pPr>
        <w:pStyle w:val="NHTSBody"/>
      </w:pPr>
      <w:r w:rsidRPr="003055C5">
        <w:t>Deriving these components of survey weights and combining them to produce a final weight is standard practice in complex sample surveys with some nonresponse. The underlying principles and standard practices are described in texts on survey sampling (e.g., Sarndal, Swensson, and Wretman, 1992; Lohr, 1999; Heeringa et a</w:t>
      </w:r>
      <w:r>
        <w:t xml:space="preserve">l., 2010) and are reflected in </w:t>
      </w:r>
      <w:r w:rsidR="00477DE1">
        <w:t>the survey contractor team</w:t>
      </w:r>
      <w:r w:rsidRPr="003055C5" w:rsidR="00477DE1">
        <w:t xml:space="preserve">’s </w:t>
      </w:r>
      <w:r w:rsidRPr="003055C5">
        <w:t xml:space="preserve">standard weighting procedures. </w:t>
      </w:r>
    </w:p>
    <w:p w:rsidR="00185967" w:rsidRPr="003055C5" w:rsidP="006F2A86" w14:paraId="759AD0D7" w14:textId="5382E6E5">
      <w:pPr>
        <w:pStyle w:val="NHTSBody"/>
      </w:pPr>
      <w:r w:rsidRPr="003055C5">
        <w:t xml:space="preserve">In addition to the full-sample weights used to generate estimates from the survey, a set of replicate weights will also be created to allow users to compute variances of survey estimates and to conduct inferential statistical analyses. Replication methods work by dividing the sample into subsamples (also referred to as replicates) that mirror the sample design. A weight is calculated for each replicate using the same procedures as used for the full-sample weight (as described above). That is, the nonresponse, trimming, and calibration adjustments will be replicated so the replicate variance estimator correctly accounts for the effects of these adjustments. The variation among the replicate estimates is then used to estimate the variance for the survey estimates. Replicate weights for the NHTS sample will be generated using the jackknife procedure, in which sampled households are formed into groups reflecting the sample design and each replicate corresponds to dropping one group. The replicate weights can be used with a software package, such </w:t>
      </w:r>
      <w:r>
        <w:t>as WesVar, SUDAAN, STATA</w:t>
      </w:r>
      <w:r w:rsidR="00215886">
        <w:t>,</w:t>
      </w:r>
      <w:r>
        <w:t xml:space="preserve"> SAS</w:t>
      </w:r>
      <w:r w:rsidR="00215886">
        <w:t xml:space="preserve">, or </w:t>
      </w:r>
      <w:r w:rsidR="00F440E5">
        <w:t>R</w:t>
      </w:r>
      <w:r w:rsidRPr="003055C5">
        <w:t xml:space="preserve"> to produce consistent variance estimators for totals, means, ratios, linear and logistic regression coefficients, etc.</w:t>
      </w:r>
      <w:r w:rsidR="004A4C84">
        <w:t xml:space="preserve"> In </w:t>
      </w:r>
      <w:r w:rsidR="007A75CF">
        <w:t>addition,</w:t>
      </w:r>
      <w:r w:rsidR="004A4C84">
        <w:t xml:space="preserve"> </w:t>
      </w:r>
      <w:r w:rsidR="0072508C">
        <w:t xml:space="preserve">the survey contractor </w:t>
      </w:r>
      <w:r w:rsidR="004A4C84">
        <w:t>will provide the variables designating the variance strata and units to be used for Taylor series approximation.</w:t>
      </w:r>
    </w:p>
    <w:p w:rsidR="006109AD" w:rsidRPr="003055C5" w:rsidP="009C47D2" w14:paraId="420F79A7" w14:textId="77777777">
      <w:pPr>
        <w:pStyle w:val="Heading3"/>
      </w:pPr>
      <w:r w:rsidRPr="4BF5A552">
        <w:t>Degree of Accuracy Needed</w:t>
      </w:r>
    </w:p>
    <w:p w:rsidR="00EE3BE0" w:rsidRPr="00B05762" w:rsidP="00B05762" w14:paraId="566E3625" w14:textId="77777777">
      <w:pPr>
        <w:pStyle w:val="NHTSBody"/>
        <w:rPr>
          <w:rStyle w:val="normaltextrun"/>
        </w:rPr>
      </w:pPr>
      <w:r w:rsidRPr="00B05762">
        <w:rPr>
          <w:rStyle w:val="normaltextrun"/>
        </w:rPr>
        <w:t>The goal is to achieve valid statistical representation (VSR) for a national sample of 7,500 completed households at a margin of error that does not exceed 5 percent with a confidence level of 95 percent. An effective sample size of 400 is required to meet this precision level. For the national and regional estimates, the requirement will be exceeded with 7,500 observations.</w:t>
      </w:r>
    </w:p>
    <w:p w:rsidR="006109AD" w:rsidRPr="00B05762" w:rsidP="00B05762" w14:paraId="1C1AD3C8" w14:textId="1222A6B5">
      <w:pPr>
        <w:pStyle w:val="NHTSBody"/>
      </w:pPr>
      <w:r w:rsidRPr="00B05762">
        <w:rPr>
          <w:rStyle w:val="normaltextrun"/>
        </w:rPr>
        <w:t xml:space="preserve">Table </w:t>
      </w:r>
      <w:r w:rsidR="00E6623F">
        <w:rPr>
          <w:rStyle w:val="normaltextrun"/>
        </w:rPr>
        <w:t>3</w:t>
      </w:r>
      <w:r w:rsidRPr="00B05762" w:rsidR="00E6623F">
        <w:rPr>
          <w:rStyle w:val="normaltextrun"/>
        </w:rPr>
        <w:t xml:space="preserve"> </w:t>
      </w:r>
      <w:r w:rsidRPr="00B05762" w:rsidR="18959AD0">
        <w:t>shows the relative margins of error (MOE) for trip rates for several subgroups of interest</w:t>
      </w:r>
      <w:r w:rsidR="00741EE4">
        <w:t xml:space="preserve"> highlighting the </w:t>
      </w:r>
      <w:r w:rsidRPr="00B05762" w:rsidR="18959AD0">
        <w:t>relative MOEs for both a 95 percent confidence limit and a 90 percent confidence limit. At the 95 percent confidence limit, cells with MOEs that exceed 5 percentage points</w:t>
      </w:r>
      <w:r w:rsidRPr="00B05762" w:rsidR="00C17930">
        <w:t xml:space="preserve"> are highlighted in red font</w:t>
      </w:r>
      <w:r w:rsidRPr="00B05762" w:rsidR="18959AD0">
        <w:t xml:space="preserve"> and at the 90 percent confidence limit, cells with MOEs that exceed 10 percentage points</w:t>
      </w:r>
      <w:r w:rsidRPr="00B05762" w:rsidR="00C17930">
        <w:t xml:space="preserve"> are highlighted in red font</w:t>
      </w:r>
      <w:r w:rsidRPr="00B05762" w:rsidR="18959AD0">
        <w:t>. The results clarify that meeting precision requirements of MOEs within 5 percentage points at 95 percent confidence limit is not possible for all categories of all items. However, many more categories of interest in these items can meet the relaxed precision requirements of 90% and 10%.</w:t>
      </w:r>
    </w:p>
    <w:p w:rsidR="002775E6" w14:paraId="5919FA83" w14:textId="77777777">
      <w:pPr>
        <w:tabs>
          <w:tab w:val="clear" w:pos="1152"/>
        </w:tabs>
        <w:spacing w:after="200" w:line="276" w:lineRule="auto"/>
        <w:rPr>
          <w:rFonts w:ascii="Arial" w:eastAsia="Arial" w:hAnsi="Arial" w:cs="Arial"/>
          <w:b/>
          <w:bCs/>
        </w:rPr>
      </w:pPr>
      <w:r>
        <w:rPr>
          <w:rFonts w:ascii="Arial" w:eastAsia="Arial" w:hAnsi="Arial" w:cs="Arial"/>
          <w:b/>
          <w:bCs/>
        </w:rPr>
        <w:br w:type="page"/>
      </w:r>
    </w:p>
    <w:p w:rsidR="006109AD" w:rsidRPr="0052413E" w:rsidP="106CCE02" w14:paraId="4560983B" w14:textId="566227D3">
      <w:pPr>
        <w:spacing w:after="120" w:line="276" w:lineRule="auto"/>
        <w:ind w:left="1440" w:hanging="1440"/>
      </w:pPr>
      <w:r>
        <w:rPr>
          <w:rFonts w:ascii="Arial" w:eastAsia="Arial" w:hAnsi="Arial" w:cs="Arial"/>
          <w:b/>
          <w:bCs/>
        </w:rPr>
        <w:t xml:space="preserve">Table </w:t>
      </w:r>
      <w:r w:rsidR="00E6623F">
        <w:rPr>
          <w:rFonts w:ascii="Arial" w:eastAsia="Arial" w:hAnsi="Arial" w:cs="Arial"/>
          <w:b/>
          <w:bCs/>
        </w:rPr>
        <w:t>3</w:t>
      </w:r>
      <w:r w:rsidRPr="106CCE02" w:rsidR="3A14BEB2">
        <w:rPr>
          <w:rFonts w:ascii="Arial" w:eastAsia="Arial" w:hAnsi="Arial" w:cs="Arial"/>
          <w:b/>
          <w:bCs/>
        </w:rPr>
        <w:t>.</w:t>
      </w:r>
      <w:r w:rsidR="00EE3BE0">
        <w:tab/>
      </w:r>
      <w:r w:rsidRPr="106CCE02" w:rsidR="3A14BEB2">
        <w:rPr>
          <w:rFonts w:ascii="Arial" w:eastAsia="Arial" w:hAnsi="Arial" w:cs="Arial"/>
          <w:b/>
          <w:bCs/>
        </w:rPr>
        <w:t>Relative margins of error for estimated total number of trips at 95% and 90% confidence levels for a national sample of 7,500 households</w:t>
      </w:r>
    </w:p>
    <w:tbl>
      <w:tblPr>
        <w:tblStyle w:val="TableGrid"/>
        <w:tblW w:w="0" w:type="auto"/>
        <w:tblLayout w:type="fixed"/>
        <w:tblLook w:val="04A0"/>
      </w:tblPr>
      <w:tblGrid>
        <w:gridCol w:w="5401"/>
        <w:gridCol w:w="1979"/>
        <w:gridCol w:w="1981"/>
      </w:tblGrid>
      <w:tr w14:paraId="624243D1" w14:textId="77777777" w:rsidTr="00672E70">
        <w:tblPrEx>
          <w:tblW w:w="0" w:type="auto"/>
          <w:tblLayout w:type="fixed"/>
          <w:tblLook w:val="04A0"/>
        </w:tblPrEx>
        <w:trPr>
          <w:trHeight w:val="150"/>
          <w:tblHeader/>
        </w:trPr>
        <w:tc>
          <w:tcPr>
            <w:tcW w:w="5401" w:type="dxa"/>
            <w:tcBorders>
              <w:top w:val="single" w:sz="8" w:space="0" w:color="auto"/>
              <w:left w:val="nil"/>
              <w:bottom w:val="single" w:sz="8" w:space="0" w:color="auto"/>
              <w:right w:val="nil"/>
            </w:tcBorders>
            <w:shd w:val="clear" w:color="auto" w:fill="AFBED7"/>
            <w:tcMar>
              <w:left w:w="108" w:type="dxa"/>
              <w:right w:w="108" w:type="dxa"/>
            </w:tcMar>
            <w:vAlign w:val="bottom"/>
          </w:tcPr>
          <w:p w:rsidR="106CCE02" w:rsidRPr="006F2A86" w:rsidP="106CCE02" w14:paraId="2B6CAA52" w14:textId="7C686E5D">
            <w:pPr>
              <w:jc w:val="center"/>
            </w:pPr>
            <w:r w:rsidRPr="006F2A86">
              <w:rPr>
                <w:rFonts w:eastAsia="Arial"/>
                <w:b/>
                <w:bCs/>
              </w:rPr>
              <w:t>Subgroup</w:t>
            </w:r>
          </w:p>
        </w:tc>
        <w:tc>
          <w:tcPr>
            <w:tcW w:w="1979" w:type="dxa"/>
            <w:tcBorders>
              <w:top w:val="single" w:sz="8" w:space="0" w:color="auto"/>
              <w:left w:val="nil"/>
              <w:bottom w:val="single" w:sz="8" w:space="0" w:color="auto"/>
              <w:right w:val="nil"/>
            </w:tcBorders>
            <w:shd w:val="clear" w:color="auto" w:fill="AFBED7"/>
            <w:tcMar>
              <w:left w:w="108" w:type="dxa"/>
              <w:right w:w="108" w:type="dxa"/>
            </w:tcMar>
            <w:vAlign w:val="bottom"/>
          </w:tcPr>
          <w:p w:rsidR="106CCE02" w:rsidRPr="006F2A86" w:rsidP="106CCE02" w14:paraId="6E9363CF" w14:textId="25B09421">
            <w:pPr>
              <w:jc w:val="center"/>
            </w:pPr>
            <w:r w:rsidRPr="006F2A86">
              <w:rPr>
                <w:rFonts w:eastAsia="Arial"/>
                <w:b/>
                <w:bCs/>
              </w:rPr>
              <w:t>Relative MOE* (95% CI)**</w:t>
            </w:r>
          </w:p>
        </w:tc>
        <w:tc>
          <w:tcPr>
            <w:tcW w:w="1981" w:type="dxa"/>
            <w:tcBorders>
              <w:top w:val="single" w:sz="8" w:space="0" w:color="auto"/>
              <w:left w:val="nil"/>
              <w:bottom w:val="single" w:sz="8" w:space="0" w:color="auto"/>
              <w:right w:val="nil"/>
            </w:tcBorders>
            <w:shd w:val="clear" w:color="auto" w:fill="AFBED7"/>
            <w:tcMar>
              <w:left w:w="108" w:type="dxa"/>
              <w:right w:w="108" w:type="dxa"/>
            </w:tcMar>
            <w:vAlign w:val="bottom"/>
          </w:tcPr>
          <w:p w:rsidR="106CCE02" w:rsidRPr="006F2A86" w:rsidP="106CCE02" w14:paraId="22B43524" w14:textId="1AF33319">
            <w:pPr>
              <w:jc w:val="center"/>
            </w:pPr>
            <w:r w:rsidRPr="006F2A86">
              <w:rPr>
                <w:rFonts w:eastAsia="Arial"/>
                <w:b/>
                <w:bCs/>
              </w:rPr>
              <w:t>Relative MOE (90% CI)***</w:t>
            </w:r>
          </w:p>
        </w:tc>
      </w:tr>
      <w:tr w14:paraId="528F0F12"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6F565295" w14:textId="300A6CE3">
            <w:r w:rsidRPr="006F2A86">
              <w:rPr>
                <w:b/>
                <w:bCs/>
              </w:rPr>
              <w:t>Travel mode</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1CDA2205" w14:textId="46972939"/>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750B651E" w14:textId="5DCCDE28"/>
        </w:tc>
      </w:tr>
      <w:tr w14:paraId="4A4B5EF5"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36E08D3E" w14:textId="65357C15">
            <w:pPr>
              <w:ind w:firstLine="480"/>
            </w:pPr>
            <w:r w:rsidRPr="006F2A86">
              <w:t>POV</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02BCBE38" w14:textId="12F7D920">
            <w:pPr>
              <w:tabs>
                <w:tab w:val="decimal" w:pos="878"/>
              </w:tabs>
            </w:pPr>
            <w:r w:rsidRPr="006F2A86">
              <w:t>0.02</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3F86AE46" w14:textId="280FE80D">
            <w:pPr>
              <w:tabs>
                <w:tab w:val="decimal" w:pos="878"/>
              </w:tabs>
            </w:pPr>
            <w:r w:rsidRPr="006F2A86">
              <w:t>0.02</w:t>
            </w:r>
          </w:p>
        </w:tc>
      </w:tr>
      <w:tr w14:paraId="3D75C94B"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6D67286C" w14:textId="4EFFB591">
            <w:pPr>
              <w:ind w:firstLine="480"/>
            </w:pPr>
            <w:r w:rsidRPr="006F2A86">
              <w:t>Transit</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FC5CB63" w14:textId="0455C539">
            <w:pPr>
              <w:tabs>
                <w:tab w:val="decimal" w:pos="878"/>
              </w:tabs>
            </w:pPr>
            <w:r w:rsidRPr="006F2A86">
              <w:rPr>
                <w:color w:val="9C0006"/>
              </w:rPr>
              <w:t>0.10</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172AD1A" w14:textId="7E0D44A7">
            <w:pPr>
              <w:tabs>
                <w:tab w:val="decimal" w:pos="878"/>
              </w:tabs>
            </w:pPr>
            <w:r w:rsidRPr="006F2A86">
              <w:t>0.08</w:t>
            </w:r>
          </w:p>
        </w:tc>
      </w:tr>
      <w:tr w14:paraId="7446C007"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CBE0FB1" w14:textId="18D0D116">
            <w:pPr>
              <w:ind w:firstLine="480"/>
            </w:pPr>
            <w:r w:rsidRPr="006F2A86">
              <w:t>Walk</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72AC0DD" w14:textId="231B18BE">
            <w:pPr>
              <w:tabs>
                <w:tab w:val="decimal" w:pos="878"/>
              </w:tabs>
            </w:pPr>
            <w:r w:rsidRPr="006F2A86">
              <w:rPr>
                <w:color w:val="9C0006"/>
              </w:rPr>
              <w:t>0.08</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140FF85" w14:textId="0DD99DF3">
            <w:pPr>
              <w:tabs>
                <w:tab w:val="decimal" w:pos="878"/>
              </w:tabs>
            </w:pPr>
            <w:r w:rsidRPr="006F2A86">
              <w:t>0.06</w:t>
            </w:r>
          </w:p>
        </w:tc>
      </w:tr>
      <w:tr w14:paraId="755F7F78"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19DF57F3" w14:textId="69A4DC99">
            <w:pPr>
              <w:ind w:firstLine="480"/>
            </w:pPr>
            <w:r w:rsidRPr="006F2A86">
              <w:t>Other</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173DF340" w14:textId="559A13D4">
            <w:pPr>
              <w:tabs>
                <w:tab w:val="decimal" w:pos="878"/>
              </w:tabs>
            </w:pPr>
            <w:r w:rsidRPr="006F2A86">
              <w:rPr>
                <w:color w:val="9C0006"/>
              </w:rPr>
              <w:t>0.07</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10C54601" w14:textId="08CB5200">
            <w:pPr>
              <w:tabs>
                <w:tab w:val="decimal" w:pos="878"/>
              </w:tabs>
            </w:pPr>
            <w:r w:rsidRPr="006F2A86">
              <w:t>0.06</w:t>
            </w:r>
          </w:p>
        </w:tc>
      </w:tr>
      <w:tr w14:paraId="39E2F572"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6987BC58" w14:textId="612C3547">
            <w:r w:rsidRPr="006F2A86">
              <w:rPr>
                <w:b/>
                <w:bCs/>
              </w:rPr>
              <w:t>Household size</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4242372E" w14:textId="65831805"/>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0C07E6EB" w14:textId="17356B10"/>
        </w:tc>
      </w:tr>
      <w:tr w14:paraId="10BBDCB8"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5667388E" w14:textId="0F601BEC">
            <w:pPr>
              <w:ind w:firstLine="480"/>
            </w:pPr>
            <w:r w:rsidRPr="006F2A86">
              <w:t>One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0A360B41" w14:textId="539F27FC">
            <w:pPr>
              <w:tabs>
                <w:tab w:val="decimal" w:pos="878"/>
              </w:tabs>
            </w:pPr>
            <w:r w:rsidRPr="006F2A86">
              <w:rPr>
                <w:color w:val="9C0006"/>
              </w:rPr>
              <w:t>0.05</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03B4DDCE" w14:textId="122398D0">
            <w:pPr>
              <w:tabs>
                <w:tab w:val="decimal" w:pos="878"/>
              </w:tabs>
            </w:pPr>
            <w:r w:rsidRPr="006F2A86">
              <w:t>0.04</w:t>
            </w:r>
          </w:p>
        </w:tc>
      </w:tr>
      <w:tr w14:paraId="44D7C4DB"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1B079CE" w14:textId="0022951E">
            <w:pPr>
              <w:ind w:firstLine="480"/>
            </w:pPr>
            <w:r w:rsidRPr="006F2A86">
              <w:t>Two</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58CA2AA8" w14:textId="507C03FB">
            <w:pPr>
              <w:tabs>
                <w:tab w:val="decimal" w:pos="878"/>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020B7C4" w14:textId="7961F5F6">
            <w:pPr>
              <w:tabs>
                <w:tab w:val="decimal" w:pos="878"/>
              </w:tabs>
            </w:pPr>
            <w:r w:rsidRPr="006F2A86">
              <w:t>0.02</w:t>
            </w:r>
          </w:p>
        </w:tc>
      </w:tr>
      <w:tr w14:paraId="1196F28C"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36D94538" w14:textId="71D89F9C">
            <w:pPr>
              <w:ind w:firstLine="480"/>
            </w:pPr>
            <w:r w:rsidRPr="006F2A86">
              <w:t>Three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089B73D9" w14:textId="059659BF">
            <w:pPr>
              <w:tabs>
                <w:tab w:val="decimal" w:pos="878"/>
              </w:tabs>
            </w:pPr>
            <w:r w:rsidRPr="006F2A86">
              <w:t>0.04</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166B58A5" w14:textId="2D3AF26F">
            <w:pPr>
              <w:tabs>
                <w:tab w:val="decimal" w:pos="878"/>
              </w:tabs>
            </w:pPr>
            <w:r w:rsidRPr="006F2A86">
              <w:t>0.04</w:t>
            </w:r>
          </w:p>
        </w:tc>
      </w:tr>
      <w:tr w14:paraId="3D46C6D0"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E4A68AA" w14:textId="67B333A8">
            <w:pPr>
              <w:ind w:firstLine="480"/>
            </w:pPr>
            <w:r w:rsidRPr="006F2A86">
              <w:t>Four or more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F9FA714" w14:textId="483D8BBD">
            <w:pPr>
              <w:tabs>
                <w:tab w:val="decimal" w:pos="878"/>
              </w:tabs>
            </w:pPr>
            <w:r w:rsidRPr="006F2A86">
              <w:rPr>
                <w:color w:val="9C0006"/>
              </w:rPr>
              <w:t>0.06</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172DC6A" w14:textId="7CE1382A">
            <w:pPr>
              <w:tabs>
                <w:tab w:val="decimal" w:pos="878"/>
              </w:tabs>
            </w:pPr>
            <w:r w:rsidRPr="006F2A86">
              <w:t>0.05</w:t>
            </w:r>
          </w:p>
        </w:tc>
      </w:tr>
      <w:tr w14:paraId="3D3CEF24"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18D725CD" w14:textId="592817B3">
            <w:r w:rsidRPr="006F2A86">
              <w:rPr>
                <w:b/>
                <w:bCs/>
              </w:rPr>
              <w:t>Household vehicle ownership</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658E76E3" w14:textId="04BF46EC"/>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4B88AD19" w14:textId="6F2A0FCE"/>
        </w:tc>
      </w:tr>
      <w:tr w14:paraId="3E88737E"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16E6DF51" w14:textId="63853E51">
            <w:pPr>
              <w:ind w:firstLine="480"/>
            </w:pPr>
            <w:r w:rsidRPr="006F2A86">
              <w:t>0 vehicles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7103868" w14:textId="4F3A0851">
            <w:pPr>
              <w:tabs>
                <w:tab w:val="decimal" w:pos="878"/>
              </w:tabs>
            </w:pPr>
            <w:r w:rsidRPr="006F2A86">
              <w:rPr>
                <w:color w:val="9C0006"/>
              </w:rPr>
              <w:t>0.10</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03209CBD" w14:textId="7FFF8CBC">
            <w:pPr>
              <w:tabs>
                <w:tab w:val="decimal" w:pos="878"/>
              </w:tabs>
            </w:pPr>
            <w:r w:rsidRPr="006F2A86">
              <w:t>0.08</w:t>
            </w:r>
          </w:p>
        </w:tc>
      </w:tr>
      <w:tr w14:paraId="5A39C6B3"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3BAFC5A" w14:textId="6411F0C8">
            <w:pPr>
              <w:ind w:firstLine="480"/>
            </w:pPr>
            <w:r w:rsidRPr="006F2A86">
              <w:t>1 vehicle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37D6EFFF" w14:textId="37DD22D7">
            <w:pPr>
              <w:tabs>
                <w:tab w:val="decimal" w:pos="878"/>
              </w:tabs>
            </w:pPr>
            <w:r w:rsidRPr="006F2A86">
              <w:rPr>
                <w:color w:val="9C0006"/>
              </w:rPr>
              <w:t>0.06</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2759507" w14:textId="0447C5AF">
            <w:pPr>
              <w:tabs>
                <w:tab w:val="decimal" w:pos="878"/>
              </w:tabs>
            </w:pPr>
            <w:r w:rsidRPr="006F2A86">
              <w:t>0.05</w:t>
            </w:r>
          </w:p>
        </w:tc>
      </w:tr>
      <w:tr w14:paraId="1BFEBEFF"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B736863" w14:textId="5D947425">
            <w:pPr>
              <w:ind w:firstLine="480"/>
            </w:pPr>
            <w:r w:rsidRPr="006F2A86">
              <w:t>2 vehicles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1EAA26E0" w14:textId="21991462">
            <w:pPr>
              <w:tabs>
                <w:tab w:val="decimal" w:pos="882"/>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FF5E4E4" w14:textId="114D8010">
            <w:pPr>
              <w:tabs>
                <w:tab w:val="decimal" w:pos="882"/>
              </w:tabs>
            </w:pPr>
            <w:r w:rsidRPr="006F2A86">
              <w:t>0.03</w:t>
            </w:r>
          </w:p>
        </w:tc>
      </w:tr>
      <w:tr w14:paraId="43D18704"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0BF7EFDA" w14:textId="4FBC2A25">
            <w:pPr>
              <w:ind w:firstLine="480"/>
            </w:pPr>
            <w:r w:rsidRPr="006F2A86">
              <w:t>3 vehicles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C50E889" w14:textId="56585A9B">
            <w:pPr>
              <w:tabs>
                <w:tab w:val="decimal" w:pos="882"/>
              </w:tabs>
            </w:pPr>
            <w:r w:rsidRPr="006F2A86">
              <w:rPr>
                <w:color w:val="9C0006"/>
              </w:rPr>
              <w:t>0.07</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62E56620" w14:textId="15822EF5">
            <w:pPr>
              <w:tabs>
                <w:tab w:val="decimal" w:pos="882"/>
              </w:tabs>
            </w:pPr>
            <w:r w:rsidRPr="006F2A86">
              <w:t>0.05</w:t>
            </w:r>
          </w:p>
        </w:tc>
      </w:tr>
      <w:tr w14:paraId="064A9CBD"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6B099BE3" w14:textId="736B87B8">
            <w:pPr>
              <w:ind w:firstLine="480"/>
            </w:pPr>
            <w:r w:rsidRPr="006F2A86">
              <w:t>4-or-more vehicles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39ECF9CB" w14:textId="2E0B2BDB">
            <w:pPr>
              <w:tabs>
                <w:tab w:val="decimal" w:pos="882"/>
              </w:tabs>
            </w:pPr>
            <w:r w:rsidRPr="006F2A86">
              <w:rPr>
                <w:color w:val="9C0006"/>
              </w:rPr>
              <w:t>0.16</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5EB68B4" w14:textId="66ADDE76">
            <w:pPr>
              <w:tabs>
                <w:tab w:val="decimal" w:pos="882"/>
              </w:tabs>
            </w:pPr>
            <w:r w:rsidRPr="006F2A86">
              <w:rPr>
                <w:color w:val="9C0006"/>
              </w:rPr>
              <w:t>0.13</w:t>
            </w:r>
          </w:p>
        </w:tc>
      </w:tr>
      <w:tr w14:paraId="5FCBA134"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50A4FCFB" w14:textId="63DC94FE">
            <w:r w:rsidRPr="006F2A86">
              <w:rPr>
                <w:b/>
                <w:bCs/>
              </w:rPr>
              <w:t>Gender</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2EC89E1A" w14:textId="0FD071A6"/>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38CEBDBE" w14:textId="71F74C41"/>
        </w:tc>
      </w:tr>
      <w:tr w14:paraId="07E863BD"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38EDDAA3" w14:textId="7FE94503">
            <w:pPr>
              <w:ind w:firstLine="480"/>
            </w:pPr>
            <w:r w:rsidRPr="006F2A86">
              <w:t>Male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DE677B3" w14:textId="091E18CD">
            <w:pPr>
              <w:tabs>
                <w:tab w:val="decimal" w:pos="882"/>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3275E0D" w14:textId="146A7EAB">
            <w:pPr>
              <w:tabs>
                <w:tab w:val="decimal" w:pos="882"/>
              </w:tabs>
            </w:pPr>
            <w:r w:rsidRPr="006F2A86">
              <w:t>0.03</w:t>
            </w:r>
          </w:p>
        </w:tc>
      </w:tr>
      <w:tr w14:paraId="71C42E53"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579B3BA0" w14:textId="6E6E5FAB">
            <w:pPr>
              <w:ind w:firstLine="480"/>
            </w:pPr>
            <w:r w:rsidRPr="006F2A86">
              <w:t>Female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0808FAF7" w14:textId="18F960C1">
            <w:pPr>
              <w:tabs>
                <w:tab w:val="decimal" w:pos="882"/>
              </w:tabs>
            </w:pPr>
            <w:r w:rsidRPr="006F2A86">
              <w:t>0.02</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529616DC" w14:textId="46706069">
            <w:pPr>
              <w:tabs>
                <w:tab w:val="decimal" w:pos="882"/>
              </w:tabs>
            </w:pPr>
            <w:r w:rsidRPr="006F2A86">
              <w:t>0.02</w:t>
            </w:r>
          </w:p>
        </w:tc>
      </w:tr>
      <w:tr w14:paraId="5F617852"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2924361F" w14:textId="4F44B210">
            <w:r w:rsidRPr="006F2A86">
              <w:rPr>
                <w:b/>
                <w:bCs/>
              </w:rPr>
              <w:t>Race</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4CFD263B" w14:textId="28FAA308"/>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6C873DBD" w14:textId="35078A86"/>
        </w:tc>
      </w:tr>
      <w:tr w14:paraId="32085139"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02CB99CE" w14:textId="08F0485F">
            <w:pPr>
              <w:ind w:firstLine="480"/>
            </w:pPr>
            <w:r w:rsidRPr="006F2A86">
              <w:t>White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5CD64D88" w14:textId="67430A32">
            <w:pPr>
              <w:tabs>
                <w:tab w:val="decimal" w:pos="882"/>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23B6EDD1" w14:textId="1597390A">
            <w:pPr>
              <w:tabs>
                <w:tab w:val="decimal" w:pos="882"/>
              </w:tabs>
            </w:pPr>
            <w:r w:rsidRPr="006F2A86">
              <w:t>0.02</w:t>
            </w:r>
          </w:p>
        </w:tc>
      </w:tr>
      <w:tr w14:paraId="0BFF7FCE"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7454D074" w14:textId="18D0FCB9">
            <w:pPr>
              <w:ind w:firstLine="480"/>
            </w:pPr>
            <w:r w:rsidRPr="006F2A86">
              <w:t>Black or African American</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20F7315" w14:textId="60E31DDC">
            <w:pPr>
              <w:tabs>
                <w:tab w:val="decimal" w:pos="882"/>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62E0A44C" w14:textId="6DD27382">
            <w:pPr>
              <w:tabs>
                <w:tab w:val="decimal" w:pos="882"/>
              </w:tabs>
            </w:pPr>
            <w:r w:rsidRPr="006F2A86">
              <w:t>0.03</w:t>
            </w:r>
          </w:p>
        </w:tc>
      </w:tr>
      <w:tr w14:paraId="5061EED3"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7586AD48" w14:textId="45289957">
            <w:pPr>
              <w:ind w:firstLine="480"/>
            </w:pPr>
            <w:r w:rsidRPr="006F2A86">
              <w:t>Asian</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08B41CB4" w14:textId="092E8939">
            <w:pPr>
              <w:tabs>
                <w:tab w:val="decimal" w:pos="882"/>
              </w:tabs>
            </w:pPr>
            <w:r w:rsidRPr="006F2A86">
              <w:rPr>
                <w:color w:val="9C0006"/>
              </w:rPr>
              <w:t>0.13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14BA6387" w14:textId="5C908D6B">
            <w:pPr>
              <w:tabs>
                <w:tab w:val="decimal" w:pos="882"/>
              </w:tabs>
            </w:pPr>
            <w:r w:rsidRPr="006F2A86">
              <w:rPr>
                <w:color w:val="9C0006"/>
              </w:rPr>
              <w:t>0.11</w:t>
            </w:r>
          </w:p>
        </w:tc>
      </w:tr>
      <w:tr w14:paraId="1C8D8C8E"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1C875AEC" w14:textId="487D6C50">
            <w:pPr>
              <w:ind w:firstLine="480"/>
            </w:pPr>
            <w:r w:rsidRPr="006F2A86">
              <w:t>American Indian or Alaska Native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089E485F" w14:textId="40AC36A1">
            <w:pPr>
              <w:tabs>
                <w:tab w:val="decimal" w:pos="882"/>
              </w:tabs>
            </w:pPr>
            <w:r w:rsidRPr="006F2A86">
              <w:rPr>
                <w:color w:val="9C0006"/>
              </w:rPr>
              <w:t>0.38</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3415636E" w14:textId="32D485CB">
            <w:pPr>
              <w:tabs>
                <w:tab w:val="decimal" w:pos="882"/>
              </w:tabs>
            </w:pPr>
            <w:r w:rsidRPr="006F2A86">
              <w:rPr>
                <w:color w:val="9C0006"/>
              </w:rPr>
              <w:t>0.32</w:t>
            </w:r>
          </w:p>
        </w:tc>
      </w:tr>
      <w:tr w14:paraId="59F0B22A"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30DE78B" w14:textId="3466EB21">
            <w:pPr>
              <w:ind w:firstLine="480"/>
            </w:pPr>
            <w:r w:rsidRPr="006F2A86">
              <w:t>Native Hawaiian or other Pacific Islander</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61CA59C" w14:textId="104FD8CE">
            <w:pPr>
              <w:tabs>
                <w:tab w:val="decimal" w:pos="882"/>
              </w:tabs>
            </w:pPr>
            <w:r w:rsidRPr="006F2A86">
              <w:rPr>
                <w:color w:val="9C0006"/>
              </w:rPr>
              <w:t>0.33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79ADF7D" w14:textId="1866934F">
            <w:pPr>
              <w:tabs>
                <w:tab w:val="decimal" w:pos="882"/>
              </w:tabs>
            </w:pPr>
            <w:r w:rsidRPr="006F2A86">
              <w:rPr>
                <w:color w:val="9C0006"/>
              </w:rPr>
              <w:t>0.28</w:t>
            </w:r>
          </w:p>
        </w:tc>
      </w:tr>
      <w:tr w14:paraId="5AB5AF3F"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7DD10A33" w14:textId="6DDD4222">
            <w:pPr>
              <w:ind w:firstLine="480"/>
            </w:pPr>
            <w:r w:rsidRPr="006F2A86">
              <w:t>Multiple responses selected</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76D8196B" w14:textId="1AB911F3">
            <w:pPr>
              <w:tabs>
                <w:tab w:val="decimal" w:pos="882"/>
              </w:tabs>
            </w:pPr>
            <w:r w:rsidRPr="006F2A86">
              <w:rPr>
                <w:color w:val="9C0006"/>
              </w:rPr>
              <w:t>0.16</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314E820D" w14:textId="04EF7F03">
            <w:pPr>
              <w:tabs>
                <w:tab w:val="decimal" w:pos="882"/>
              </w:tabs>
            </w:pPr>
            <w:r w:rsidRPr="006F2A86">
              <w:rPr>
                <w:color w:val="9C0006"/>
              </w:rPr>
              <w:t>0.14</w:t>
            </w:r>
          </w:p>
        </w:tc>
      </w:tr>
      <w:tr w14:paraId="0BA82412"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0FD9828" w14:textId="3D4F9887">
            <w:pPr>
              <w:ind w:firstLine="480"/>
            </w:pPr>
            <w:r w:rsidRPr="006F2A86">
              <w:t>Some other race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6FCD5779" w14:textId="551BA48B">
            <w:pPr>
              <w:tabs>
                <w:tab w:val="decimal" w:pos="882"/>
              </w:tabs>
            </w:pPr>
            <w:r w:rsidRPr="006F2A86">
              <w:rPr>
                <w:color w:val="9C0006"/>
              </w:rPr>
              <w:t>0.17</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1CFECB7A" w14:textId="0059F87D">
            <w:pPr>
              <w:tabs>
                <w:tab w:val="decimal" w:pos="882"/>
              </w:tabs>
            </w:pPr>
            <w:r w:rsidRPr="006F2A86">
              <w:rPr>
                <w:color w:val="9C0006"/>
              </w:rPr>
              <w:t>0.14</w:t>
            </w:r>
          </w:p>
        </w:tc>
      </w:tr>
      <w:tr w14:paraId="4EB7043F"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735FF9EA" w14:textId="0CA3F1CB">
            <w:r w:rsidRPr="006F2A86">
              <w:rPr>
                <w:b/>
                <w:bCs/>
              </w:rPr>
              <w:t>Employment status</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7D680ACD" w14:textId="14C5D4D1"/>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5B6F5583" w14:textId="504FC20A"/>
        </w:tc>
      </w:tr>
      <w:tr w14:paraId="1D7571B1"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679202AE" w14:textId="474C259D">
            <w:pPr>
              <w:ind w:firstLine="480"/>
            </w:pPr>
            <w:r w:rsidRPr="006F2A86">
              <w:t>Working</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236708A" w14:textId="3E84C1EA">
            <w:pPr>
              <w:tabs>
                <w:tab w:val="decimal" w:pos="882"/>
              </w:tabs>
            </w:pPr>
            <w:r w:rsidRPr="006F2A86">
              <w:t>0.02</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8E6D1A6" w14:textId="2E5D2BBC">
            <w:pPr>
              <w:tabs>
                <w:tab w:val="decimal" w:pos="882"/>
              </w:tabs>
            </w:pPr>
            <w:r w:rsidRPr="006F2A86">
              <w:t>0.01</w:t>
            </w:r>
          </w:p>
        </w:tc>
      </w:tr>
      <w:tr w14:paraId="0DC73CBC"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1A13D177" w14:textId="39090BE7">
            <w:pPr>
              <w:ind w:firstLine="480"/>
            </w:pPr>
            <w:r w:rsidRPr="006F2A86">
              <w:t>Temporarily absent from a job or business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32F779A" w14:textId="5ED6CA31">
            <w:pPr>
              <w:tabs>
                <w:tab w:val="decimal" w:pos="882"/>
              </w:tabs>
            </w:pPr>
            <w:r w:rsidRPr="006F2A86">
              <w:rPr>
                <w:color w:val="9C0006"/>
              </w:rPr>
              <w:t>0.12</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268EE3E7" w14:textId="13C73E88">
            <w:pPr>
              <w:tabs>
                <w:tab w:val="decimal" w:pos="882"/>
              </w:tabs>
            </w:pPr>
            <w:r w:rsidRPr="006F2A86">
              <w:t>0.10</w:t>
            </w:r>
          </w:p>
        </w:tc>
      </w:tr>
      <w:tr w14:paraId="4A5B84B6"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239080A" w14:textId="6F032D76">
            <w:pPr>
              <w:ind w:firstLine="480"/>
            </w:pPr>
            <w:r w:rsidRPr="006F2A86">
              <w:t>Looking for work / unemployed</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5BEC0A3" w14:textId="21FB523C">
            <w:pPr>
              <w:tabs>
                <w:tab w:val="decimal" w:pos="882"/>
              </w:tabs>
            </w:pPr>
            <w:r w:rsidRPr="006F2A86">
              <w:rPr>
                <w:color w:val="9C0006"/>
              </w:rPr>
              <w:t>0.14</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5DD0E67D" w14:textId="7EF08D83">
            <w:pPr>
              <w:tabs>
                <w:tab w:val="decimal" w:pos="882"/>
              </w:tabs>
            </w:pPr>
            <w:r w:rsidRPr="006F2A86">
              <w:rPr>
                <w:color w:val="9C0006"/>
              </w:rPr>
              <w:t>0.11</w:t>
            </w:r>
          </w:p>
        </w:tc>
      </w:tr>
      <w:tr w14:paraId="5D5ADF35"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53B21C23" w14:textId="6F9538E7">
            <w:pPr>
              <w:ind w:firstLine="480"/>
            </w:pPr>
            <w:r w:rsidRPr="006F2A86">
              <w:t>A homemaker</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2AFB5B0" w14:textId="3C6E0145">
            <w:pPr>
              <w:tabs>
                <w:tab w:val="decimal" w:pos="882"/>
              </w:tabs>
            </w:pPr>
            <w:r w:rsidRPr="006F2A86">
              <w:rPr>
                <w:color w:val="9C0006"/>
              </w:rPr>
              <w:t>0.07</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CDC444F" w14:textId="3D770968">
            <w:pPr>
              <w:tabs>
                <w:tab w:val="decimal" w:pos="882"/>
              </w:tabs>
            </w:pPr>
            <w:r w:rsidRPr="006F2A86">
              <w:t>0.06</w:t>
            </w:r>
          </w:p>
        </w:tc>
      </w:tr>
      <w:tr w14:paraId="1A578B1B"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64C0288" w14:textId="741ED976">
            <w:pPr>
              <w:ind w:firstLine="480"/>
            </w:pPr>
            <w:r w:rsidRPr="006F2A86">
              <w:t>Going to school</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01651E4A" w14:textId="0B3D4816">
            <w:pPr>
              <w:tabs>
                <w:tab w:val="decimal" w:pos="882"/>
              </w:tabs>
            </w:pPr>
            <w:r w:rsidRPr="006F2A86">
              <w:rPr>
                <w:color w:val="9C0006"/>
              </w:rPr>
              <w:t>0.09</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35DAAD81" w14:textId="618818D5">
            <w:pPr>
              <w:tabs>
                <w:tab w:val="decimal" w:pos="882"/>
              </w:tabs>
            </w:pPr>
            <w:r w:rsidRPr="006F2A86">
              <w:t>0.08</w:t>
            </w:r>
          </w:p>
        </w:tc>
      </w:tr>
      <w:tr w14:paraId="360012E2"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1EC12598" w14:textId="7E27B334">
            <w:pPr>
              <w:ind w:firstLine="480"/>
            </w:pPr>
            <w:r w:rsidRPr="006F2A86">
              <w:t>Retired</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15296F4" w14:textId="31D2174E">
            <w:pPr>
              <w:tabs>
                <w:tab w:val="decimal" w:pos="882"/>
              </w:tabs>
            </w:pPr>
            <w:r w:rsidRPr="006F2A86">
              <w:t>0.04</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1B08A4D" w14:textId="498D2208">
            <w:pPr>
              <w:tabs>
                <w:tab w:val="decimal" w:pos="882"/>
              </w:tabs>
            </w:pPr>
            <w:r w:rsidRPr="006F2A86">
              <w:t>0.03</w:t>
            </w:r>
          </w:p>
        </w:tc>
      </w:tr>
      <w:tr w14:paraId="1310647F"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6AE1BD82" w14:textId="2D733D26">
            <w:pPr>
              <w:ind w:firstLine="480"/>
            </w:pPr>
            <w:r w:rsidRPr="006F2A86">
              <w:t>Something else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174DFB65" w14:textId="44AE7DF1">
            <w:pPr>
              <w:tabs>
                <w:tab w:val="decimal" w:pos="882"/>
              </w:tabs>
            </w:pPr>
            <w:r w:rsidRPr="006F2A86">
              <w:rPr>
                <w:color w:val="9C0006"/>
              </w:rPr>
              <w:t>0.07</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2A25DC3" w14:textId="74AB7850">
            <w:pPr>
              <w:tabs>
                <w:tab w:val="decimal" w:pos="882"/>
              </w:tabs>
            </w:pPr>
            <w:r w:rsidRPr="006F2A86">
              <w:t>0.06</w:t>
            </w:r>
          </w:p>
        </w:tc>
      </w:tr>
    </w:tbl>
    <w:p w:rsidR="006109AD" w:rsidRPr="006A5600" w:rsidP="006A5600" w14:paraId="038A6823" w14:textId="68AC1DBA">
      <w:pPr>
        <w:spacing w:line="276" w:lineRule="auto"/>
        <w:ind w:left="115" w:hanging="115"/>
        <w:jc w:val="both"/>
        <w:rPr>
          <w:sz w:val="18"/>
          <w:szCs w:val="18"/>
        </w:rPr>
      </w:pPr>
      <w:r w:rsidRPr="006A5600">
        <w:rPr>
          <w:rFonts w:eastAsia="Arial"/>
          <w:sz w:val="18"/>
          <w:szCs w:val="18"/>
        </w:rPr>
        <w:t xml:space="preserve">* Relative MOE is the absolute MOE divided by the point estimate. </w:t>
      </w:r>
    </w:p>
    <w:p w:rsidR="006109AD" w:rsidRPr="006A5600" w:rsidP="006A5600" w14:paraId="174B7AEA" w14:textId="6EB6A414">
      <w:pPr>
        <w:spacing w:line="276" w:lineRule="auto"/>
        <w:ind w:left="115" w:hanging="115"/>
        <w:jc w:val="both"/>
        <w:rPr>
          <w:sz w:val="18"/>
          <w:szCs w:val="18"/>
        </w:rPr>
      </w:pPr>
      <w:r w:rsidRPr="006A5600">
        <w:rPr>
          <w:rFonts w:eastAsia="Arial"/>
          <w:sz w:val="18"/>
          <w:szCs w:val="18"/>
        </w:rPr>
        <w:t>** Highlighted cells</w:t>
      </w:r>
      <w:r w:rsidRPr="006A5600" w:rsidR="009B1574">
        <w:rPr>
          <w:rFonts w:eastAsia="Arial"/>
          <w:sz w:val="18"/>
          <w:szCs w:val="18"/>
        </w:rPr>
        <w:t xml:space="preserve"> (red font)</w:t>
      </w:r>
      <w:r w:rsidRPr="006A5600">
        <w:rPr>
          <w:rFonts w:eastAsia="Arial"/>
          <w:sz w:val="18"/>
          <w:szCs w:val="18"/>
        </w:rPr>
        <w:t xml:space="preserve"> &gt; 0.05</w:t>
      </w:r>
    </w:p>
    <w:p w:rsidR="009748F8" w:rsidP="006A5600" w14:paraId="386DC739" w14:textId="77777777">
      <w:pPr>
        <w:pStyle w:val="BodyText"/>
        <w:spacing w:line="276" w:lineRule="auto"/>
        <w:rPr>
          <w:sz w:val="22"/>
          <w:szCs w:val="22"/>
        </w:rPr>
      </w:pPr>
      <w:r w:rsidRPr="006A5600">
        <w:rPr>
          <w:sz w:val="18"/>
          <w:szCs w:val="18"/>
        </w:rPr>
        <w:t>*** Highlighted cells</w:t>
      </w:r>
      <w:r w:rsidRPr="006A5600" w:rsidR="009B1574">
        <w:rPr>
          <w:sz w:val="18"/>
          <w:szCs w:val="18"/>
        </w:rPr>
        <w:t xml:space="preserve"> (red font)</w:t>
      </w:r>
      <w:r w:rsidRPr="006A5600">
        <w:rPr>
          <w:sz w:val="18"/>
          <w:szCs w:val="18"/>
        </w:rPr>
        <w:t xml:space="preserve"> &gt; 0.10</w:t>
      </w:r>
      <w:r w:rsidRPr="003055C5" w:rsidR="006109AD">
        <w:rPr>
          <w:sz w:val="22"/>
          <w:szCs w:val="22"/>
        </w:rPr>
        <w:t xml:space="preserve"> </w:t>
      </w:r>
    </w:p>
    <w:p w:rsidR="002E1A33" w:rsidP="002E1A33" w14:paraId="1378B275" w14:textId="77777777">
      <w:pPr>
        <w:pStyle w:val="BodyText"/>
        <w:spacing w:line="276" w:lineRule="auto"/>
        <w:rPr>
          <w:b/>
        </w:rPr>
      </w:pPr>
    </w:p>
    <w:p w:rsidR="006109AD" w:rsidRPr="0052413E" w:rsidP="002E1A33" w14:paraId="79D626AC" w14:textId="312BEB7F">
      <w:pPr>
        <w:pStyle w:val="BodyText"/>
      </w:pPr>
      <w:r w:rsidRPr="009C47D2">
        <w:rPr>
          <w:rStyle w:val="Heading3Char"/>
        </w:rPr>
        <w:t>Nonresponse Follow-up Methodology</w:t>
      </w:r>
    </w:p>
    <w:p w:rsidR="006109AD" w:rsidRPr="00520F9B" w:rsidP="006F2A86" w14:paraId="0FFC9599" w14:textId="098CFD85">
      <w:pPr>
        <w:pStyle w:val="NHTSBody"/>
      </w:pPr>
      <w:r w:rsidRPr="008F0039">
        <w:t xml:space="preserve">A well-designed plan for follow-up of nonrespondents during data collection is critical to maximizing response rates. Because the information available to contact sampled households differs across the two phases of data collection, </w:t>
      </w:r>
      <w:r>
        <w:t>a</w:t>
      </w:r>
      <w:r w:rsidRPr="008F0039">
        <w:t xml:space="preserve"> nonresponse follow-up </w:t>
      </w:r>
      <w:r>
        <w:t>will be</w:t>
      </w:r>
      <w:r w:rsidRPr="008F0039">
        <w:t xml:space="preserve"> </w:t>
      </w:r>
      <w:r w:rsidRPr="008F0039" w:rsidR="00932EFD">
        <w:t>phase specific</w:t>
      </w:r>
      <w:r w:rsidRPr="008F0039">
        <w:t xml:space="preserve">. </w:t>
      </w:r>
      <w:r w:rsidR="00715758">
        <w:t>As described in Part A</w:t>
      </w:r>
      <w:r w:rsidR="00F61391">
        <w:t xml:space="preserve">, </w:t>
      </w:r>
      <w:r w:rsidR="00E97C5B">
        <w:t xml:space="preserve">for the recruitment phase, </w:t>
      </w:r>
      <w:r w:rsidRPr="008F0039">
        <w:t xml:space="preserve">a sequence of </w:t>
      </w:r>
      <w:r w:rsidR="00F61391">
        <w:t xml:space="preserve">mail </w:t>
      </w:r>
      <w:r w:rsidRPr="008F0039">
        <w:t xml:space="preserve">contacts </w:t>
      </w:r>
      <w:r>
        <w:t>will be</w:t>
      </w:r>
      <w:r w:rsidR="002C4A28">
        <w:t xml:space="preserve"> made </w:t>
      </w:r>
      <w:r w:rsidR="000F1062">
        <w:t xml:space="preserve">to each sampled household </w:t>
      </w:r>
      <w:r w:rsidR="00322D62">
        <w:t>using information</w:t>
      </w:r>
      <w:r w:rsidR="00E97C5B">
        <w:t xml:space="preserve"> from the sample frame</w:t>
      </w:r>
      <w:r w:rsidRPr="008F0039">
        <w:t xml:space="preserve">. </w:t>
      </w:r>
      <w:r w:rsidR="00013424">
        <w:t>Su</w:t>
      </w:r>
      <w:r w:rsidR="008D296D">
        <w:t>bsequently</w:t>
      </w:r>
      <w:r w:rsidR="00013424">
        <w:t xml:space="preserve">, during the </w:t>
      </w:r>
      <w:r w:rsidR="00E60C7E">
        <w:t>recruitment survey</w:t>
      </w:r>
      <w:r w:rsidR="00013424">
        <w:t xml:space="preserve"> </w:t>
      </w:r>
      <w:r w:rsidR="00E60C7E">
        <w:t xml:space="preserve">contact information is collected for </w:t>
      </w:r>
      <w:r w:rsidR="008D296D">
        <w:t xml:space="preserve">individual household members </w:t>
      </w:r>
      <w:r w:rsidR="00E60C7E">
        <w:t>aged 16 and older</w:t>
      </w:r>
      <w:r w:rsidR="00A3081C">
        <w:t xml:space="preserve">. </w:t>
      </w:r>
      <w:r w:rsidR="003825F2">
        <w:t>This information will be used during the diary survey phase to send</w:t>
      </w:r>
      <w:r>
        <w:t xml:space="preserve"> telephone</w:t>
      </w:r>
      <w:r w:rsidR="008D296D">
        <w:t xml:space="preserve">, </w:t>
      </w:r>
      <w:r>
        <w:t>email</w:t>
      </w:r>
      <w:r w:rsidR="008D296D">
        <w:t>,</w:t>
      </w:r>
      <w:r w:rsidR="005463D0">
        <w:t xml:space="preserve"> app notifications,</w:t>
      </w:r>
      <w:r w:rsidR="008D296D">
        <w:t xml:space="preserve"> and text prompts. </w:t>
      </w:r>
      <w:r w:rsidR="000C4CC1">
        <w:t xml:space="preserve">For </w:t>
      </w:r>
      <w:r w:rsidR="005152E6">
        <w:t>example</w:t>
      </w:r>
      <w:r w:rsidR="000C4CC1">
        <w:t>, a responden</w:t>
      </w:r>
      <w:r w:rsidR="00CD0D03">
        <w:t xml:space="preserve">t, who provided their </w:t>
      </w:r>
      <w:r w:rsidR="00B845DB">
        <w:t xml:space="preserve">phone number and email address, </w:t>
      </w:r>
      <w:r w:rsidR="005463D0">
        <w:t>could</w:t>
      </w:r>
      <w:r w:rsidR="000C4CC1">
        <w:t xml:space="preserve"> receive text </w:t>
      </w:r>
      <w:r w:rsidR="005463D0">
        <w:t xml:space="preserve">or e-mail </w:t>
      </w:r>
      <w:r w:rsidR="00725F65">
        <w:t>reminding them to start recording their travel tomorrow or prompting them to finish the survey. In addition to these messages, a</w:t>
      </w:r>
      <w:r w:rsidR="000C4CC1">
        <w:t xml:space="preserve">pp </w:t>
      </w:r>
      <w:r w:rsidR="00725F65">
        <w:t xml:space="preserve">respondents </w:t>
      </w:r>
      <w:r w:rsidR="000C4CC1">
        <w:t xml:space="preserve">will </w:t>
      </w:r>
      <w:r w:rsidR="00725F65">
        <w:t xml:space="preserve">also </w:t>
      </w:r>
      <w:r w:rsidR="000C4CC1">
        <w:t xml:space="preserve">receive </w:t>
      </w:r>
      <w:r w:rsidR="009C493B">
        <w:t xml:space="preserve">in-phone </w:t>
      </w:r>
      <w:r w:rsidR="000C4CC1">
        <w:t xml:space="preserve">push </w:t>
      </w:r>
      <w:r w:rsidR="009C493B">
        <w:t>notifications</w:t>
      </w:r>
      <w:r w:rsidR="000C4CC1">
        <w:t xml:space="preserve"> via the app.</w:t>
      </w:r>
    </w:p>
    <w:p w:rsidR="006109AD" w:rsidRPr="008F0039" w:rsidP="006F2A86" w14:paraId="752CB49E" w14:textId="24B8A792">
      <w:pPr>
        <w:pStyle w:val="NHTSBody"/>
      </w:pPr>
      <w:r w:rsidRPr="00900AF3">
        <w:t>Nonresponse</w:t>
      </w:r>
      <w:r w:rsidRPr="008F0039">
        <w:t xml:space="preserve"> may bias survey estimates if the characteristics of respondents differ from those of nonrespondents. Traditionally, the size of the bias has been viewed as a deterministic function of the extent and size of the response difference and the response rate (see, for example, Sarndal</w:t>
      </w:r>
      <w:r w:rsidR="00BA2BF9">
        <w:t xml:space="preserve"> </w:t>
      </w:r>
      <w:r w:rsidRPr="008F0039">
        <w:t>&amp; Lundström, 2005,</w:t>
      </w:r>
      <w:r>
        <w:rPr>
          <w:vertAlign w:val="superscript"/>
        </w:rPr>
        <w:footnoteReference w:id="6"/>
      </w:r>
      <w:r w:rsidRPr="008F0039">
        <w:t xml:space="preserve"> for discussion). More recently, the emphasis has shifted toward a stochastic perspective that characterizes nonresponse bias by examining the relationship between the key variable and the response propensity (Groves et al., 2007</w:t>
      </w:r>
      <w:r>
        <w:rPr>
          <w:vertAlign w:val="superscript"/>
        </w:rPr>
        <w:footnoteReference w:id="7"/>
      </w:r>
      <w:r w:rsidRPr="008F0039">
        <w:t>; Montaquila et al., 2007</w:t>
      </w:r>
      <w:r>
        <w:rPr>
          <w:vertAlign w:val="superscript"/>
        </w:rPr>
        <w:footnoteReference w:id="8"/>
      </w:r>
      <w:r w:rsidRPr="008F0039">
        <w:t>). Adjustments to the survey weights aim to reduce bias due to nonresponse. However, even with such adjustments, it is important to have a plan to evaluate the potential for nonresponse bias</w:t>
      </w:r>
      <w:r>
        <w:t xml:space="preserve"> as described below</w:t>
      </w:r>
      <w:r w:rsidRPr="008F0039">
        <w:t>.</w:t>
      </w:r>
    </w:p>
    <w:p w:rsidR="006109AD" w:rsidRPr="008F0039" w:rsidP="006F2A86" w14:paraId="32174140" w14:textId="24311367">
      <w:pPr>
        <w:pStyle w:val="NHTSBody"/>
      </w:pPr>
      <w:r>
        <w:t>With respect to nonresponse, the largest concern for the 20</w:t>
      </w:r>
      <w:r w:rsidR="00175F4D">
        <w:t>24</w:t>
      </w:r>
      <w:r>
        <w:t xml:space="preserve"> </w:t>
      </w:r>
      <w:r w:rsidR="005A082A">
        <w:t xml:space="preserve">NextGen </w:t>
      </w:r>
      <w:r>
        <w:t>NHTS</w:t>
      </w:r>
      <w:r w:rsidR="00175F4D">
        <w:t xml:space="preserve"> </w:t>
      </w:r>
      <w:r>
        <w:t xml:space="preserve">is nonresponse in the recruitment phase. There are a </w:t>
      </w:r>
      <w:r w:rsidRPr="008F0039">
        <w:t xml:space="preserve">variety of </w:t>
      </w:r>
      <w:r w:rsidRPr="008F0039" w:rsidR="00932EFD">
        <w:t>methods</w:t>
      </w:r>
      <w:r w:rsidRPr="008F0039">
        <w:t xml:space="preserve"> available to assess nonresponse bias. Previous research has suggested that each of these methods has strengths and weaknesses, thus a multi-method approach is recommended for a comprehensive evaluation of nonresponse bias.</w:t>
      </w:r>
      <w:r>
        <w:t xml:space="preserve"> In previous NHTS, t</w:t>
      </w:r>
      <w:r w:rsidRPr="008F0039">
        <w:t>he recruitment phase is the phase that historically</w:t>
      </w:r>
      <w:r>
        <w:t xml:space="preserve"> </w:t>
      </w:r>
      <w:r w:rsidRPr="008F0039">
        <w:t>yielded the bulk of the nonresponse</w:t>
      </w:r>
      <w:r>
        <w:t>. T</w:t>
      </w:r>
      <w:r w:rsidRPr="008F0039">
        <w:t>hat is expected to be the case for the 20</w:t>
      </w:r>
      <w:r w:rsidR="00175F4D">
        <w:t>24</w:t>
      </w:r>
      <w:r w:rsidRPr="008F0039">
        <w:t xml:space="preserve"> survey as well</w:t>
      </w:r>
      <w:r w:rsidR="00175F4D">
        <w:t>.</w:t>
      </w:r>
      <w:r>
        <w:t xml:space="preserve"> </w:t>
      </w:r>
      <w:r w:rsidR="00175F4D">
        <w:t>T</w:t>
      </w:r>
      <w:r w:rsidRPr="008F0039">
        <w:t>he ABS approach affords the opportunity to link in covariates at both aggregate (e.g., tract-level characteristics from the American Community Survey) and address-level, for use in nonresponse adjustment and in bias analyses.</w:t>
      </w:r>
      <w:r>
        <w:t xml:space="preserve"> In addition, the recruitment survey </w:t>
      </w:r>
      <w:r w:rsidR="00BA4841">
        <w:t xml:space="preserve">takes just five minutes to complete </w:t>
      </w:r>
      <w:r>
        <w:t>to reduce the initial burden of the respondent.</w:t>
      </w:r>
    </w:p>
    <w:p w:rsidR="006109AD" w:rsidRPr="008F0039" w:rsidP="006F2A86" w14:paraId="44538481" w14:textId="2E1E2304">
      <w:pPr>
        <w:pStyle w:val="NHTSBody"/>
      </w:pPr>
      <w:r w:rsidRPr="008F0039">
        <w:t>The recruitment survey contain</w:t>
      </w:r>
      <w:r>
        <w:t>s</w:t>
      </w:r>
      <w:r w:rsidRPr="008F0039">
        <w:t xml:space="preserve"> several variables (e.g., number of household members</w:t>
      </w:r>
      <w:r>
        <w:t xml:space="preserve">, </w:t>
      </w:r>
      <w:r w:rsidR="00172182">
        <w:t>gender,</w:t>
      </w:r>
      <w:r>
        <w:t xml:space="preserve"> and ethnicity</w:t>
      </w:r>
      <w:r w:rsidRPr="008F0039">
        <w:t>) that may be associated with nonresponse to the retrieval phase and are associated with key survey outcome variables. Having this rich set of variables will be very useful for nonresponse adjustment and nonresponse bias analysis at the retrieval phase.</w:t>
      </w:r>
    </w:p>
    <w:p w:rsidR="006109AD" w:rsidRPr="00B36F4D" w:rsidP="006F2A86" w14:paraId="04EA19A1" w14:textId="77777777">
      <w:pPr>
        <w:pStyle w:val="Heading2"/>
        <w:numPr>
          <w:ilvl w:val="0"/>
          <w:numId w:val="26"/>
        </w:numPr>
      </w:pPr>
      <w:r w:rsidRPr="00B36F4D">
        <w:t>Describe methods to maximize response rate:</w:t>
      </w:r>
    </w:p>
    <w:p w:rsidR="006109AD" w:rsidRPr="00B36F4D" w:rsidP="00B05762" w14:paraId="23E5EB97" w14:textId="0066C8B2">
      <w:pPr>
        <w:pStyle w:val="NHTSBody"/>
      </w:pPr>
      <w:r>
        <w:t>The study is implementing</w:t>
      </w:r>
      <w:r w:rsidRPr="00B36F4D">
        <w:t xml:space="preserve"> the best combination of low-cost</w:t>
      </w:r>
      <w:r>
        <w:t xml:space="preserve"> and effective </w:t>
      </w:r>
      <w:r w:rsidRPr="00B36F4D">
        <w:t xml:space="preserve">data collection modes to </w:t>
      </w:r>
      <w:r>
        <w:t xml:space="preserve">maximize response </w:t>
      </w:r>
      <w:r w:rsidR="007A7479">
        <w:t>rates</w:t>
      </w:r>
      <w:r w:rsidRPr="00B36F4D">
        <w:t xml:space="preserve">. </w:t>
      </w:r>
      <w:r w:rsidR="002F1CB0">
        <w:t>As described in Part A, f</w:t>
      </w:r>
      <w:r w:rsidR="007A7479">
        <w:t xml:space="preserve">or the recruitment phase, </w:t>
      </w:r>
      <w:r w:rsidR="002F1CB0">
        <w:t xml:space="preserve">a push-to-web design </w:t>
      </w:r>
      <w:r w:rsidR="000B292E">
        <w:t xml:space="preserve">will be implemented </w:t>
      </w:r>
      <w:r w:rsidR="002F1CB0">
        <w:t xml:space="preserve">with a series of mail contacts and an incentive strategy designed to </w:t>
      </w:r>
      <w:r w:rsidR="00AE5C96">
        <w:t xml:space="preserve">get the household to complete a five-minute survey online. Subsequently, to </w:t>
      </w:r>
      <w:r w:rsidR="008A04BF">
        <w:t>improve cooperation, reduce burden</w:t>
      </w:r>
      <w:r w:rsidR="006E1F09">
        <w:t xml:space="preserve"> and improve data quality</w:t>
      </w:r>
      <w:r w:rsidR="008A04BF">
        <w:t>, the smartphone mode</w:t>
      </w:r>
      <w:r w:rsidR="006E1F09">
        <w:t xml:space="preserve"> and web modes</w:t>
      </w:r>
      <w:r w:rsidR="002A3AC7">
        <w:t xml:space="preserve"> will be </w:t>
      </w:r>
      <w:r w:rsidR="00FC0C45">
        <w:t>encouraged</w:t>
      </w:r>
      <w:r w:rsidR="006E1F09">
        <w:t xml:space="preserve">. </w:t>
      </w:r>
      <w:r w:rsidR="00C40CE9">
        <w:t>The te</w:t>
      </w:r>
      <w:r w:rsidRPr="00B36F4D">
        <w:t xml:space="preserve">lephone </w:t>
      </w:r>
      <w:r w:rsidR="00C40CE9">
        <w:t xml:space="preserve">mode </w:t>
      </w:r>
      <w:r w:rsidR="006E1F09">
        <w:t xml:space="preserve">is being used </w:t>
      </w:r>
      <w:r w:rsidRPr="00B36F4D">
        <w:t>to provide minor improvements to participation rates for a few respondents who will not participate by</w:t>
      </w:r>
      <w:r w:rsidR="007056B8">
        <w:t xml:space="preserve"> smartphone or </w:t>
      </w:r>
      <w:r w:rsidRPr="00B36F4D">
        <w:t>web. Engaging respondents using user-friendly instruments is an essential ingredient to the success of any mode. Incentives are effective, but large incentives for low-cost alternatives are not necessary or even desirable.</w:t>
      </w:r>
      <w:r>
        <w:rPr>
          <w:rStyle w:val="FootnoteReference"/>
        </w:rPr>
        <w:footnoteReference w:id="9"/>
      </w:r>
      <w:r w:rsidRPr="00B36F4D">
        <w:t xml:space="preserve"> </w:t>
      </w:r>
      <w:r>
        <w:t xml:space="preserve">The survey </w:t>
      </w:r>
      <w:r w:rsidRPr="00B36F4D">
        <w:t xml:space="preserve">design </w:t>
      </w:r>
      <w:r>
        <w:t>must</w:t>
      </w:r>
      <w:r w:rsidRPr="00B36F4D">
        <w:t xml:space="preserve"> appeal to the importance and relevance of the </w:t>
      </w:r>
      <w:r w:rsidRPr="00B36F4D" w:rsidR="00F1407A">
        <w:t>research and</w:t>
      </w:r>
      <w:r w:rsidRPr="00B36F4D">
        <w:t xml:space="preserve"> rely on social exchange theory</w:t>
      </w:r>
      <w:r>
        <w:rPr>
          <w:rStyle w:val="FootnoteReference"/>
        </w:rPr>
        <w:footnoteReference w:id="10"/>
      </w:r>
      <w:r w:rsidRPr="00B36F4D">
        <w:t xml:space="preserve"> as a way of generating responses. These principles have helped structure the </w:t>
      </w:r>
      <w:r>
        <w:t>research</w:t>
      </w:r>
      <w:r w:rsidRPr="00B36F4D">
        <w:t xml:space="preserve"> design.</w:t>
      </w:r>
    </w:p>
    <w:p w:rsidR="006109AD" w:rsidRPr="00B36F4D" w:rsidP="00B05762" w14:paraId="79404BFA" w14:textId="04DAC7A2">
      <w:pPr>
        <w:pStyle w:val="NHTSBody"/>
        <w:rPr>
          <w:vertAlign w:val="superscript"/>
        </w:rPr>
      </w:pPr>
      <w:r>
        <w:t>The research approach</w:t>
      </w:r>
      <w:r w:rsidRPr="00B36F4D">
        <w:t xml:space="preserve"> is heavily influenced by the findings of previous research, especially Messer and Dillman (2011)</w:t>
      </w:r>
      <w:r>
        <w:rPr>
          <w:rStyle w:val="FootnoteReference"/>
        </w:rPr>
        <w:footnoteReference w:id="11"/>
      </w:r>
      <w:r w:rsidRPr="00B36F4D">
        <w:t xml:space="preserve"> and Millar and Dillman (2011)</w:t>
      </w:r>
      <w:r>
        <w:rPr>
          <w:rStyle w:val="FootnoteReference"/>
        </w:rPr>
        <w:footnoteReference w:id="12"/>
      </w:r>
      <w:r w:rsidRPr="00B36F4D">
        <w:t xml:space="preserve"> who explored ways of pushing sampled persons to the web to respond. Although the requirements for their surveys were very different from those of the </w:t>
      </w:r>
      <w:r w:rsidR="00E957FA">
        <w:t xml:space="preserve">Next Gen </w:t>
      </w:r>
      <w:r w:rsidRPr="00B36F4D">
        <w:t>NHTS, their findings do generalize in several ways to this work. Other work in this area is also informative, but the lack of adequate experimental design in many cases makes it more diffi</w:t>
      </w:r>
      <w:r>
        <w:t>cult to generalize those results</w:t>
      </w:r>
      <w:r>
        <w:rPr>
          <w:rStyle w:val="FootnoteReference"/>
        </w:rPr>
        <w:footnoteReference w:id="13"/>
      </w:r>
      <w:r w:rsidRPr="00B36F4D">
        <w:rPr>
          <w:vertAlign w:val="superscript"/>
        </w:rPr>
        <w:t>,</w:t>
      </w:r>
      <w:r>
        <w:rPr>
          <w:rStyle w:val="FootnoteReference"/>
        </w:rPr>
        <w:footnoteReference w:id="14"/>
      </w:r>
      <w:r>
        <w:rPr>
          <w:vertAlign w:val="superscript"/>
        </w:rPr>
        <w:t>.</w:t>
      </w:r>
    </w:p>
    <w:p w:rsidR="00357E74" w:rsidRPr="007F17F7" w:rsidP="00B05762" w14:paraId="356D0DF9" w14:textId="71A9041E">
      <w:pPr>
        <w:pStyle w:val="NHTSBody"/>
        <w:rPr>
          <w:szCs w:val="22"/>
          <w:u w:val="single"/>
        </w:rPr>
      </w:pPr>
      <w:r>
        <w:rPr>
          <w:rStyle w:val="normaltextrun"/>
          <w:color w:val="000000"/>
          <w:szCs w:val="22"/>
          <w:shd w:val="clear" w:color="auto" w:fill="FFFFFF"/>
          <w:lang w:val="en-IN"/>
        </w:rPr>
        <w:t xml:space="preserve">The survey approach for the 2024 </w:t>
      </w:r>
      <w:r w:rsidR="001069CD">
        <w:rPr>
          <w:rStyle w:val="normaltextrun"/>
          <w:color w:val="000000"/>
          <w:szCs w:val="22"/>
          <w:shd w:val="clear" w:color="auto" w:fill="FFFFFF"/>
          <w:lang w:val="en-IN"/>
        </w:rPr>
        <w:t xml:space="preserve">NextGen </w:t>
      </w:r>
      <w:r>
        <w:rPr>
          <w:rStyle w:val="normaltextrun"/>
          <w:color w:val="000000"/>
          <w:szCs w:val="22"/>
          <w:shd w:val="clear" w:color="auto" w:fill="FFFFFF"/>
          <w:lang w:val="en-IN"/>
        </w:rPr>
        <w:t xml:space="preserve">NHTS will prioritize assigning age-qualifying participants (aged 13 years and older) to use the </w:t>
      </w:r>
      <w:r w:rsidR="00CC5C1A">
        <w:rPr>
          <w:rStyle w:val="normaltextrun"/>
          <w:color w:val="000000"/>
          <w:szCs w:val="22"/>
          <w:shd w:val="clear" w:color="auto" w:fill="FFFFFF"/>
          <w:lang w:val="en-IN"/>
        </w:rPr>
        <w:t xml:space="preserve">smartphone </w:t>
      </w:r>
      <w:r>
        <w:rPr>
          <w:rStyle w:val="normaltextrun"/>
          <w:color w:val="000000"/>
          <w:szCs w:val="22"/>
          <w:shd w:val="clear" w:color="auto" w:fill="FFFFFF"/>
          <w:lang w:val="en-IN"/>
        </w:rPr>
        <w:t xml:space="preserve">app to record their travel. </w:t>
      </w:r>
      <w:r w:rsidR="007347FD">
        <w:rPr>
          <w:rStyle w:val="normaltextrun"/>
          <w:color w:val="000000"/>
          <w:szCs w:val="22"/>
          <w:shd w:val="clear" w:color="auto" w:fill="FFFFFF"/>
          <w:lang w:val="en-IN"/>
        </w:rPr>
        <w:t xml:space="preserve">Households </w:t>
      </w:r>
      <w:r>
        <w:rPr>
          <w:rStyle w:val="normaltextrun"/>
          <w:color w:val="000000"/>
          <w:szCs w:val="22"/>
          <w:shd w:val="clear" w:color="auto" w:fill="FFFFFF"/>
          <w:lang w:val="en-IN"/>
        </w:rPr>
        <w:t xml:space="preserve">will </w:t>
      </w:r>
      <w:r w:rsidR="007347FD">
        <w:rPr>
          <w:rStyle w:val="normaltextrun"/>
          <w:color w:val="000000"/>
          <w:szCs w:val="22"/>
          <w:shd w:val="clear" w:color="auto" w:fill="FFFFFF"/>
          <w:lang w:val="en-IN"/>
        </w:rPr>
        <w:t xml:space="preserve">be </w:t>
      </w:r>
      <w:r>
        <w:rPr>
          <w:rStyle w:val="normaltextrun"/>
          <w:color w:val="000000"/>
          <w:szCs w:val="22"/>
          <w:shd w:val="clear" w:color="auto" w:fill="FFFFFF"/>
          <w:lang w:val="en-IN"/>
        </w:rPr>
        <w:t>offer</w:t>
      </w:r>
      <w:r w:rsidR="007347FD">
        <w:rPr>
          <w:rStyle w:val="normaltextrun"/>
          <w:color w:val="000000"/>
          <w:szCs w:val="22"/>
          <w:shd w:val="clear" w:color="auto" w:fill="FFFFFF"/>
          <w:lang w:val="en-IN"/>
        </w:rPr>
        <w:t>ed</w:t>
      </w:r>
      <w:r>
        <w:rPr>
          <w:rStyle w:val="normaltextrun"/>
          <w:color w:val="000000"/>
          <w:szCs w:val="22"/>
          <w:shd w:val="clear" w:color="auto" w:fill="FFFFFF"/>
          <w:lang w:val="en-IN"/>
        </w:rPr>
        <w:t xml:space="preserve"> a mixed-mode data collection structure that allows </w:t>
      </w:r>
      <w:r w:rsidR="007347FD">
        <w:rPr>
          <w:rStyle w:val="normaltextrun"/>
          <w:color w:val="000000"/>
          <w:szCs w:val="22"/>
          <w:shd w:val="clear" w:color="auto" w:fill="FFFFFF"/>
          <w:lang w:val="en-IN"/>
        </w:rPr>
        <w:t xml:space="preserve">them </w:t>
      </w:r>
      <w:r>
        <w:rPr>
          <w:rStyle w:val="normaltextrun"/>
          <w:color w:val="000000"/>
          <w:szCs w:val="22"/>
          <w:shd w:val="clear" w:color="auto" w:fill="FFFFFF"/>
          <w:lang w:val="en-IN"/>
        </w:rPr>
        <w:t xml:space="preserve">the opportunity to participate in the survey in their preferred mode. The app can be used at the individual level in addition to the household level, and participants within the same household can use multiple modes if desired. </w:t>
      </w:r>
      <w:r w:rsidR="00AE3255">
        <w:rPr>
          <w:rStyle w:val="normaltextrun"/>
          <w:color w:val="000000"/>
          <w:szCs w:val="22"/>
          <w:shd w:val="clear" w:color="auto" w:fill="FFFFFF"/>
          <w:lang w:val="en-IN"/>
        </w:rPr>
        <w:t xml:space="preserve">The survey contractor </w:t>
      </w:r>
      <w:r>
        <w:rPr>
          <w:rStyle w:val="normaltextrun"/>
          <w:color w:val="000000"/>
          <w:szCs w:val="22"/>
          <w:shd w:val="clear" w:color="auto" w:fill="FFFFFF"/>
          <w:lang w:val="en-IN"/>
        </w:rPr>
        <w:t>anticipate</w:t>
      </w:r>
      <w:r w:rsidR="00AE3255">
        <w:rPr>
          <w:rStyle w:val="normaltextrun"/>
          <w:color w:val="000000"/>
          <w:szCs w:val="22"/>
          <w:shd w:val="clear" w:color="auto" w:fill="FFFFFF"/>
          <w:lang w:val="en-IN"/>
        </w:rPr>
        <w:t>s</w:t>
      </w:r>
      <w:r>
        <w:rPr>
          <w:rStyle w:val="normaltextrun"/>
          <w:color w:val="000000"/>
          <w:szCs w:val="22"/>
          <w:shd w:val="clear" w:color="auto" w:fill="FFFFFF"/>
          <w:lang w:val="en-IN"/>
        </w:rPr>
        <w:t xml:space="preserve"> that 50 percent of households will have at least one smartphone app user.</w:t>
      </w:r>
    </w:p>
    <w:p w:rsidR="004D79D1" w:rsidRPr="004D30E3" w:rsidP="004D79D1" w14:paraId="19F98FE6" w14:textId="0E9E9ABA">
      <w:pPr>
        <w:pStyle w:val="NHTSBody"/>
        <w:rPr>
          <w:rFonts w:ascii="Segoe UI" w:hAnsi="Segoe UI" w:cs="Segoe UI"/>
          <w:sz w:val="18"/>
          <w:szCs w:val="18"/>
        </w:rPr>
      </w:pPr>
      <w:r w:rsidRPr="00693EDF">
        <w:rPr>
          <w:b/>
          <w:lang w:val="en-IN"/>
        </w:rPr>
        <w:t>Post-Recruitment Contacts.</w:t>
      </w:r>
      <w:r w:rsidRPr="004D30E3">
        <w:rPr>
          <w:b/>
          <w:bCs/>
          <w:i/>
          <w:iCs/>
          <w:lang w:val="en-IN"/>
        </w:rPr>
        <w:t xml:space="preserve"> </w:t>
      </w:r>
      <w:r>
        <w:rPr>
          <w:rStyle w:val="NHTSBodyChar"/>
        </w:rPr>
        <w:t>C</w:t>
      </w:r>
      <w:r w:rsidRPr="00057F15">
        <w:rPr>
          <w:rStyle w:val="NHTSBodyChar"/>
        </w:rPr>
        <w:t xml:space="preserve">ontact information collected in the recruitment survey </w:t>
      </w:r>
      <w:r>
        <w:rPr>
          <w:rStyle w:val="NHTSBodyChar"/>
        </w:rPr>
        <w:t xml:space="preserve">will be leveraged </w:t>
      </w:r>
      <w:r w:rsidRPr="00057F15">
        <w:rPr>
          <w:rStyle w:val="NHTSBodyChar"/>
        </w:rPr>
        <w:t xml:space="preserve">to send participants email, text, and interactive voice response (IVR) messages to increase engagement and prompt timely responses throughout data collection. Table </w:t>
      </w:r>
      <w:r w:rsidR="00E6623F">
        <w:rPr>
          <w:rStyle w:val="NHTSBodyChar"/>
        </w:rPr>
        <w:t>4</w:t>
      </w:r>
      <w:r w:rsidRPr="00057F15">
        <w:rPr>
          <w:rStyle w:val="NHTSBodyChar"/>
        </w:rPr>
        <w:t xml:space="preserve"> summarizes the planned contacts and reminders participants could receive. Electronic reminders </w:t>
      </w:r>
      <w:r>
        <w:rPr>
          <w:rStyle w:val="NHTSBodyChar"/>
        </w:rPr>
        <w:t xml:space="preserve">(Appendix 10) </w:t>
      </w:r>
      <w:r w:rsidRPr="00057F15">
        <w:rPr>
          <w:rStyle w:val="NHTSBodyChar"/>
        </w:rPr>
        <w:t xml:space="preserve">will go out daily while alternating the content and timing of the messages to heighten effectiveness. </w:t>
      </w:r>
      <w:r>
        <w:rPr>
          <w:rStyle w:val="NHTSBodyChar"/>
        </w:rPr>
        <w:t>The</w:t>
      </w:r>
      <w:r w:rsidRPr="00057F15">
        <w:rPr>
          <w:rStyle w:val="NHTSBodyChar"/>
        </w:rPr>
        <w:t xml:space="preserve"> reminder system</w:t>
      </w:r>
      <w:r>
        <w:rPr>
          <w:rStyle w:val="NHTSBodyChar"/>
        </w:rPr>
        <w:t xml:space="preserve"> will</w:t>
      </w:r>
      <w:r w:rsidRPr="00057F15">
        <w:rPr>
          <w:rStyle w:val="NHTSBodyChar"/>
        </w:rPr>
        <w:t xml:space="preserve"> automatically cease contact with a household once they complete the survey or refuse to participate.</w:t>
      </w:r>
    </w:p>
    <w:p w:rsidR="004D79D1" w:rsidRPr="004D30E3" w:rsidP="004D79D1" w14:paraId="161229A6" w14:textId="75A29993">
      <w:pPr>
        <w:tabs>
          <w:tab w:val="clear" w:pos="1152"/>
        </w:tabs>
        <w:spacing w:line="276" w:lineRule="auto"/>
        <w:jc w:val="center"/>
        <w:textAlignment w:val="baseline"/>
        <w:rPr>
          <w:rFonts w:ascii="Segoe UI" w:hAnsi="Segoe UI" w:cs="Segoe UI"/>
          <w:color w:val="auto"/>
          <w:sz w:val="18"/>
          <w:szCs w:val="18"/>
        </w:rPr>
      </w:pPr>
      <w:r w:rsidRPr="004D30E3">
        <w:rPr>
          <w:i/>
          <w:iCs/>
          <w:color w:val="auto"/>
          <w:lang w:val="en-IN"/>
        </w:rPr>
        <w:t xml:space="preserve">Table </w:t>
      </w:r>
      <w:r w:rsidR="00E6623F">
        <w:rPr>
          <w:i/>
          <w:iCs/>
          <w:color w:val="auto"/>
          <w:lang w:val="en-IN"/>
        </w:rPr>
        <w:t>4</w:t>
      </w:r>
      <w:r w:rsidRPr="004D30E3">
        <w:rPr>
          <w:i/>
          <w:iCs/>
          <w:color w:val="auto"/>
          <w:lang w:val="en-IN"/>
        </w:rPr>
        <w:t>: Summary of Data Collection Contacts with Households</w:t>
      </w:r>
      <w:r w:rsidRPr="004D30E3">
        <w:rPr>
          <w:color w:val="auto"/>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25"/>
        <w:gridCol w:w="3510"/>
        <w:gridCol w:w="2385"/>
      </w:tblGrid>
      <w:tr w14:paraId="7796716C" w14:textId="77777777" w:rsidTr="00423E3D">
        <w:tblPrEx>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blHeader/>
        </w:trPr>
        <w:tc>
          <w:tcPr>
            <w:tcW w:w="3225" w:type="dxa"/>
            <w:tcBorders>
              <w:top w:val="single" w:sz="6" w:space="0" w:color="0098C8"/>
              <w:left w:val="single" w:sz="6" w:space="0" w:color="0098C8"/>
              <w:bottom w:val="single" w:sz="6" w:space="0" w:color="0098C8"/>
              <w:right w:val="single" w:sz="6" w:space="0" w:color="0098C8"/>
            </w:tcBorders>
            <w:shd w:val="clear" w:color="auto" w:fill="EDEDED"/>
            <w:vAlign w:val="center"/>
            <w:hideMark/>
          </w:tcPr>
          <w:p w:rsidR="004D79D1" w:rsidRPr="004D30E3" w:rsidP="00423E3D" w14:paraId="51D47688" w14:textId="77777777">
            <w:pPr>
              <w:tabs>
                <w:tab w:val="clear" w:pos="1152"/>
              </w:tabs>
              <w:spacing w:line="276" w:lineRule="auto"/>
              <w:jc w:val="center"/>
              <w:textAlignment w:val="baseline"/>
              <w:rPr>
                <w:color w:val="auto"/>
                <w:sz w:val="24"/>
                <w:szCs w:val="24"/>
              </w:rPr>
            </w:pPr>
            <w:r w:rsidRPr="004D30E3">
              <w:rPr>
                <w:b/>
                <w:bCs/>
                <w:color w:val="00467F"/>
                <w:lang w:val="en-IN"/>
              </w:rPr>
              <w:t>Contact description</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EDEDED"/>
            <w:vAlign w:val="center"/>
            <w:hideMark/>
          </w:tcPr>
          <w:p w:rsidR="004D79D1" w:rsidRPr="004D30E3" w:rsidP="00423E3D" w14:paraId="5ED42635" w14:textId="77777777">
            <w:pPr>
              <w:tabs>
                <w:tab w:val="clear" w:pos="1152"/>
              </w:tabs>
              <w:spacing w:line="276" w:lineRule="auto"/>
              <w:jc w:val="center"/>
              <w:textAlignment w:val="baseline"/>
              <w:rPr>
                <w:color w:val="auto"/>
                <w:sz w:val="24"/>
                <w:szCs w:val="24"/>
              </w:rPr>
            </w:pPr>
            <w:r w:rsidRPr="004D30E3">
              <w:rPr>
                <w:b/>
                <w:bCs/>
                <w:color w:val="00467F"/>
                <w:lang w:val="en-IN"/>
              </w:rPr>
              <w:t>Time sent</w:t>
            </w:r>
            <w:r w:rsidRPr="004D30E3">
              <w:rPr>
                <w:color w:val="00467F"/>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EDEDED"/>
            <w:vAlign w:val="center"/>
            <w:hideMark/>
          </w:tcPr>
          <w:p w:rsidR="004D79D1" w:rsidRPr="004D30E3" w:rsidP="00423E3D" w14:paraId="0BCAA130" w14:textId="77777777">
            <w:pPr>
              <w:tabs>
                <w:tab w:val="clear" w:pos="1152"/>
              </w:tabs>
              <w:spacing w:line="276" w:lineRule="auto"/>
              <w:jc w:val="center"/>
              <w:textAlignment w:val="baseline"/>
              <w:rPr>
                <w:color w:val="auto"/>
                <w:sz w:val="24"/>
                <w:szCs w:val="24"/>
              </w:rPr>
            </w:pPr>
            <w:r w:rsidRPr="004D30E3">
              <w:rPr>
                <w:b/>
                <w:bCs/>
                <w:color w:val="00467F"/>
                <w:lang w:val="en-IN"/>
              </w:rPr>
              <w:t>Medium</w:t>
            </w:r>
            <w:r w:rsidRPr="004D30E3">
              <w:rPr>
                <w:color w:val="00467F"/>
              </w:rPr>
              <w:t> </w:t>
            </w:r>
          </w:p>
        </w:tc>
      </w:tr>
      <w:tr w14:paraId="3013F403"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618A24E8" w14:textId="77777777">
            <w:pPr>
              <w:tabs>
                <w:tab w:val="clear" w:pos="1152"/>
              </w:tabs>
              <w:spacing w:line="276" w:lineRule="auto"/>
              <w:textAlignment w:val="baseline"/>
              <w:rPr>
                <w:color w:val="auto"/>
                <w:sz w:val="24"/>
                <w:szCs w:val="24"/>
              </w:rPr>
            </w:pPr>
            <w:r w:rsidRPr="004D30E3">
              <w:rPr>
                <w:b/>
                <w:bCs/>
                <w:color w:val="00467F"/>
                <w:lang w:val="en-IN"/>
              </w:rPr>
              <w:t>Invitation letter</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0BB6CF0C" w14:textId="77777777">
            <w:pPr>
              <w:tabs>
                <w:tab w:val="clear" w:pos="1152"/>
              </w:tabs>
              <w:spacing w:line="276" w:lineRule="auto"/>
              <w:textAlignment w:val="baseline"/>
              <w:rPr>
                <w:color w:val="auto"/>
                <w:sz w:val="24"/>
                <w:szCs w:val="24"/>
              </w:rPr>
            </w:pPr>
            <w:r w:rsidRPr="004D30E3">
              <w:rPr>
                <w:color w:val="auto"/>
                <w:lang w:val="en-IN"/>
              </w:rPr>
              <w:t>Upon release of the sample</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7F31AF03" w14:textId="77777777">
            <w:pPr>
              <w:tabs>
                <w:tab w:val="clear" w:pos="1152"/>
              </w:tabs>
              <w:spacing w:line="276" w:lineRule="auto"/>
              <w:textAlignment w:val="baseline"/>
              <w:rPr>
                <w:color w:val="auto"/>
                <w:sz w:val="24"/>
                <w:szCs w:val="24"/>
              </w:rPr>
            </w:pPr>
            <w:r w:rsidRPr="004D30E3">
              <w:rPr>
                <w:color w:val="auto"/>
                <w:lang w:val="en-IN"/>
              </w:rPr>
              <w:t>Mail</w:t>
            </w:r>
            <w:r w:rsidRPr="004D30E3">
              <w:rPr>
                <w:color w:val="auto"/>
              </w:rPr>
              <w:t> </w:t>
            </w:r>
          </w:p>
        </w:tc>
      </w:tr>
      <w:tr w14:paraId="1814A92C"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0884DC8D" w14:textId="77777777">
            <w:pPr>
              <w:tabs>
                <w:tab w:val="clear" w:pos="1152"/>
              </w:tabs>
              <w:spacing w:line="276" w:lineRule="auto"/>
              <w:textAlignment w:val="baseline"/>
              <w:rPr>
                <w:color w:val="auto"/>
                <w:sz w:val="24"/>
                <w:szCs w:val="24"/>
              </w:rPr>
            </w:pPr>
            <w:r w:rsidRPr="004D30E3">
              <w:rPr>
                <w:b/>
                <w:bCs/>
                <w:color w:val="00467F"/>
                <w:lang w:val="en-IN"/>
              </w:rPr>
              <w:t>Initial reminder postcard 1</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6C0DCF4F" w14:textId="77777777">
            <w:pPr>
              <w:tabs>
                <w:tab w:val="clear" w:pos="1152"/>
              </w:tabs>
              <w:spacing w:line="276" w:lineRule="auto"/>
              <w:textAlignment w:val="baseline"/>
              <w:rPr>
                <w:color w:val="auto"/>
                <w:sz w:val="24"/>
                <w:szCs w:val="24"/>
              </w:rPr>
            </w:pPr>
            <w:r w:rsidRPr="004D30E3">
              <w:rPr>
                <w:color w:val="auto"/>
                <w:lang w:val="en-IN"/>
              </w:rPr>
              <w:t>7 days after the sample is released</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68D6EB7A" w14:textId="77777777">
            <w:pPr>
              <w:tabs>
                <w:tab w:val="clear" w:pos="1152"/>
              </w:tabs>
              <w:spacing w:line="276" w:lineRule="auto"/>
              <w:textAlignment w:val="baseline"/>
              <w:rPr>
                <w:color w:val="auto"/>
                <w:sz w:val="24"/>
                <w:szCs w:val="24"/>
              </w:rPr>
            </w:pPr>
            <w:r w:rsidRPr="004D30E3">
              <w:rPr>
                <w:color w:val="auto"/>
                <w:lang w:val="en-IN"/>
              </w:rPr>
              <w:t>Mail</w:t>
            </w:r>
            <w:r w:rsidRPr="004D30E3">
              <w:rPr>
                <w:color w:val="auto"/>
              </w:rPr>
              <w:t> </w:t>
            </w:r>
          </w:p>
        </w:tc>
      </w:tr>
      <w:tr w14:paraId="6E2D5F15"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6BAACE81" w14:textId="77777777">
            <w:pPr>
              <w:tabs>
                <w:tab w:val="clear" w:pos="1152"/>
              </w:tabs>
              <w:spacing w:line="276" w:lineRule="auto"/>
              <w:textAlignment w:val="baseline"/>
              <w:rPr>
                <w:color w:val="auto"/>
                <w:sz w:val="24"/>
                <w:szCs w:val="24"/>
              </w:rPr>
            </w:pPr>
            <w:r w:rsidRPr="004D30E3">
              <w:rPr>
                <w:b/>
                <w:bCs/>
                <w:color w:val="00467F"/>
                <w:lang w:val="en-IN"/>
              </w:rPr>
              <w:t>Follow-up reminder postcard 2</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12C11CAF" w14:textId="77777777">
            <w:pPr>
              <w:tabs>
                <w:tab w:val="clear" w:pos="1152"/>
              </w:tabs>
              <w:spacing w:line="276" w:lineRule="auto"/>
              <w:textAlignment w:val="baseline"/>
              <w:rPr>
                <w:color w:val="auto"/>
                <w:sz w:val="24"/>
                <w:szCs w:val="24"/>
              </w:rPr>
            </w:pPr>
            <w:r w:rsidRPr="004D30E3">
              <w:rPr>
                <w:color w:val="auto"/>
                <w:lang w:val="en-IN"/>
              </w:rPr>
              <w:t>14 days after the sample is released</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157615C2" w14:textId="77777777">
            <w:pPr>
              <w:tabs>
                <w:tab w:val="clear" w:pos="1152"/>
              </w:tabs>
              <w:spacing w:line="276" w:lineRule="auto"/>
              <w:textAlignment w:val="baseline"/>
              <w:rPr>
                <w:color w:val="auto"/>
                <w:sz w:val="24"/>
                <w:szCs w:val="24"/>
              </w:rPr>
            </w:pPr>
            <w:r w:rsidRPr="004D30E3">
              <w:rPr>
                <w:color w:val="auto"/>
                <w:lang w:val="en-IN"/>
              </w:rPr>
              <w:t>Mail</w:t>
            </w:r>
            <w:r w:rsidRPr="004D30E3">
              <w:rPr>
                <w:color w:val="auto"/>
              </w:rPr>
              <w:t> </w:t>
            </w:r>
          </w:p>
        </w:tc>
      </w:tr>
      <w:tr w14:paraId="469F9C0C"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5DA59DE4" w14:textId="77777777">
            <w:pPr>
              <w:tabs>
                <w:tab w:val="clear" w:pos="1152"/>
              </w:tabs>
              <w:spacing w:line="276" w:lineRule="auto"/>
              <w:textAlignment w:val="baseline"/>
              <w:rPr>
                <w:color w:val="auto"/>
                <w:sz w:val="24"/>
                <w:szCs w:val="24"/>
              </w:rPr>
            </w:pPr>
            <w:r w:rsidRPr="004D30E3">
              <w:rPr>
                <w:b/>
                <w:bCs/>
                <w:color w:val="00467F"/>
                <w:lang w:val="en-IN"/>
              </w:rPr>
              <w:t>Nonresponse recruitment letter</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35A71802" w14:textId="77777777">
            <w:pPr>
              <w:tabs>
                <w:tab w:val="clear" w:pos="1152"/>
              </w:tabs>
              <w:spacing w:line="276" w:lineRule="auto"/>
              <w:textAlignment w:val="baseline"/>
              <w:rPr>
                <w:color w:val="auto"/>
                <w:sz w:val="24"/>
                <w:szCs w:val="24"/>
              </w:rPr>
            </w:pPr>
            <w:r w:rsidRPr="004D30E3">
              <w:rPr>
                <w:color w:val="auto"/>
                <w:lang w:val="en-IN"/>
              </w:rPr>
              <w:t>28 days after the sample is released</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6650D8F2" w14:textId="77777777">
            <w:pPr>
              <w:tabs>
                <w:tab w:val="clear" w:pos="1152"/>
              </w:tabs>
              <w:spacing w:line="276" w:lineRule="auto"/>
              <w:textAlignment w:val="baseline"/>
              <w:rPr>
                <w:color w:val="auto"/>
                <w:sz w:val="24"/>
                <w:szCs w:val="24"/>
              </w:rPr>
            </w:pPr>
            <w:r w:rsidRPr="004D30E3">
              <w:rPr>
                <w:color w:val="auto"/>
                <w:lang w:val="en-IN"/>
              </w:rPr>
              <w:t>Mail</w:t>
            </w:r>
            <w:r w:rsidRPr="004D30E3">
              <w:rPr>
                <w:color w:val="auto"/>
              </w:rPr>
              <w:t> </w:t>
            </w:r>
          </w:p>
        </w:tc>
      </w:tr>
      <w:tr w14:paraId="5B47C321"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743253EB" w14:textId="77777777">
            <w:pPr>
              <w:tabs>
                <w:tab w:val="clear" w:pos="1152"/>
              </w:tabs>
              <w:spacing w:line="276" w:lineRule="auto"/>
              <w:textAlignment w:val="baseline"/>
              <w:rPr>
                <w:color w:val="auto"/>
                <w:sz w:val="24"/>
                <w:szCs w:val="24"/>
              </w:rPr>
            </w:pPr>
            <w:r w:rsidRPr="004D30E3">
              <w:rPr>
                <w:b/>
                <w:bCs/>
                <w:color w:val="00467F"/>
                <w:lang w:val="en-IN"/>
              </w:rPr>
              <w:t>Diary survey invitation</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49CA5D39" w14:textId="77777777">
            <w:pPr>
              <w:tabs>
                <w:tab w:val="clear" w:pos="1152"/>
              </w:tabs>
              <w:spacing w:line="276" w:lineRule="auto"/>
              <w:textAlignment w:val="baseline"/>
              <w:rPr>
                <w:color w:val="auto"/>
                <w:sz w:val="24"/>
                <w:szCs w:val="24"/>
              </w:rPr>
            </w:pPr>
            <w:r w:rsidRPr="004D30E3">
              <w:rPr>
                <w:color w:val="auto"/>
                <w:lang w:val="en-IN"/>
              </w:rPr>
              <w:t>Upon completion of recruitment</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73674179" w14:textId="77777777">
            <w:pPr>
              <w:tabs>
                <w:tab w:val="clear" w:pos="1152"/>
              </w:tabs>
              <w:spacing w:line="276" w:lineRule="auto"/>
              <w:textAlignment w:val="baseline"/>
              <w:rPr>
                <w:color w:val="auto"/>
                <w:sz w:val="24"/>
                <w:szCs w:val="24"/>
              </w:rPr>
            </w:pPr>
            <w:r w:rsidRPr="004D30E3">
              <w:rPr>
                <w:color w:val="auto"/>
                <w:lang w:val="en-IN"/>
              </w:rPr>
              <w:t>Dashboard/email/mail</w:t>
            </w:r>
            <w:r w:rsidRPr="004D30E3">
              <w:rPr>
                <w:color w:val="auto"/>
              </w:rPr>
              <w:t> </w:t>
            </w:r>
          </w:p>
        </w:tc>
      </w:tr>
      <w:tr w14:paraId="34C33478"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6B15B2B6" w14:textId="77777777">
            <w:pPr>
              <w:tabs>
                <w:tab w:val="clear" w:pos="1152"/>
              </w:tabs>
              <w:spacing w:line="276" w:lineRule="auto"/>
              <w:textAlignment w:val="baseline"/>
              <w:rPr>
                <w:color w:val="auto"/>
                <w:sz w:val="24"/>
                <w:szCs w:val="24"/>
              </w:rPr>
            </w:pPr>
            <w:r w:rsidRPr="004D30E3">
              <w:rPr>
                <w:b/>
                <w:bCs/>
                <w:color w:val="00467F"/>
                <w:lang w:val="en-IN"/>
              </w:rPr>
              <w:t>Pre-travel date reminder</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3A75D545" w14:textId="77777777">
            <w:pPr>
              <w:tabs>
                <w:tab w:val="clear" w:pos="1152"/>
              </w:tabs>
              <w:spacing w:line="276" w:lineRule="auto"/>
              <w:textAlignment w:val="baseline"/>
              <w:rPr>
                <w:color w:val="auto"/>
                <w:sz w:val="24"/>
                <w:szCs w:val="24"/>
              </w:rPr>
            </w:pPr>
            <w:r w:rsidRPr="004D30E3">
              <w:rPr>
                <w:color w:val="auto"/>
                <w:lang w:val="en-IN"/>
              </w:rPr>
              <w:t>The day before the first travel date</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55839A4C" w14:textId="77777777">
            <w:pPr>
              <w:tabs>
                <w:tab w:val="clear" w:pos="1152"/>
              </w:tabs>
              <w:spacing w:line="276" w:lineRule="auto"/>
              <w:textAlignment w:val="baseline"/>
              <w:rPr>
                <w:color w:val="auto"/>
                <w:sz w:val="24"/>
                <w:szCs w:val="24"/>
              </w:rPr>
            </w:pPr>
            <w:r w:rsidRPr="004D30E3">
              <w:rPr>
                <w:color w:val="auto"/>
                <w:lang w:val="en-IN"/>
              </w:rPr>
              <w:t>Email/text/IVR</w:t>
            </w:r>
            <w:r w:rsidRPr="004D30E3">
              <w:rPr>
                <w:color w:val="auto"/>
              </w:rPr>
              <w:t> </w:t>
            </w:r>
          </w:p>
        </w:tc>
      </w:tr>
      <w:tr w14:paraId="67BDAE4E"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3FC0B7C9" w14:textId="77777777">
            <w:pPr>
              <w:tabs>
                <w:tab w:val="clear" w:pos="1152"/>
              </w:tabs>
              <w:spacing w:line="276" w:lineRule="auto"/>
              <w:textAlignment w:val="baseline"/>
              <w:rPr>
                <w:color w:val="auto"/>
                <w:sz w:val="24"/>
                <w:szCs w:val="24"/>
              </w:rPr>
            </w:pPr>
            <w:r w:rsidRPr="004D30E3">
              <w:rPr>
                <w:b/>
                <w:bCs/>
                <w:color w:val="00467F"/>
                <w:lang w:val="en-IN"/>
              </w:rPr>
              <w:t>Post-travel reminders</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5F576BD7" w14:textId="77777777">
            <w:pPr>
              <w:tabs>
                <w:tab w:val="clear" w:pos="1152"/>
              </w:tabs>
              <w:spacing w:line="276" w:lineRule="auto"/>
              <w:textAlignment w:val="baseline"/>
              <w:rPr>
                <w:color w:val="auto"/>
                <w:sz w:val="24"/>
                <w:szCs w:val="24"/>
              </w:rPr>
            </w:pPr>
            <w:r w:rsidRPr="004D30E3">
              <w:rPr>
                <w:color w:val="auto"/>
                <w:lang w:val="en-IN"/>
              </w:rPr>
              <w:t xml:space="preserve">Days 1 through 7 after </w:t>
            </w:r>
            <w:r>
              <w:rPr>
                <w:color w:val="auto"/>
                <w:lang w:val="en-IN"/>
              </w:rPr>
              <w:t>t</w:t>
            </w:r>
            <w:r w:rsidRPr="004D30E3">
              <w:rPr>
                <w:color w:val="auto"/>
                <w:lang w:val="en-IN"/>
              </w:rPr>
              <w:t>ravel date</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37D0FE6F" w14:textId="77777777">
            <w:pPr>
              <w:tabs>
                <w:tab w:val="clear" w:pos="1152"/>
              </w:tabs>
              <w:spacing w:line="276" w:lineRule="auto"/>
              <w:textAlignment w:val="baseline"/>
              <w:rPr>
                <w:color w:val="auto"/>
                <w:sz w:val="24"/>
                <w:szCs w:val="24"/>
              </w:rPr>
            </w:pPr>
            <w:r w:rsidRPr="004D30E3">
              <w:rPr>
                <w:color w:val="auto"/>
                <w:lang w:val="en-IN"/>
              </w:rPr>
              <w:t>Email/text/IVR</w:t>
            </w:r>
            <w:r w:rsidRPr="004D30E3">
              <w:rPr>
                <w:color w:val="auto"/>
              </w:rPr>
              <w:t> </w:t>
            </w:r>
          </w:p>
        </w:tc>
      </w:tr>
      <w:tr w14:paraId="191FC835"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72D4D933" w14:textId="77777777">
            <w:pPr>
              <w:tabs>
                <w:tab w:val="clear" w:pos="1152"/>
              </w:tabs>
              <w:spacing w:line="276" w:lineRule="auto"/>
              <w:textAlignment w:val="baseline"/>
              <w:rPr>
                <w:color w:val="auto"/>
                <w:sz w:val="24"/>
                <w:szCs w:val="24"/>
              </w:rPr>
            </w:pPr>
            <w:r>
              <w:rPr>
                <w:b/>
                <w:bCs/>
                <w:color w:val="00467F"/>
                <w:lang w:val="en-IN"/>
              </w:rPr>
              <w:t>Smartphone</w:t>
            </w:r>
            <w:r w:rsidRPr="004D30E3">
              <w:rPr>
                <w:b/>
                <w:bCs/>
                <w:color w:val="00467F"/>
                <w:lang w:val="en-IN"/>
              </w:rPr>
              <w:t xml:space="preserve"> app start travel</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6A9D64D3" w14:textId="77777777">
            <w:pPr>
              <w:tabs>
                <w:tab w:val="clear" w:pos="1152"/>
              </w:tabs>
              <w:spacing w:line="276" w:lineRule="auto"/>
              <w:textAlignment w:val="baseline"/>
              <w:rPr>
                <w:color w:val="auto"/>
                <w:sz w:val="24"/>
                <w:szCs w:val="24"/>
              </w:rPr>
            </w:pPr>
            <w:r w:rsidRPr="004D30E3">
              <w:rPr>
                <w:color w:val="auto"/>
                <w:lang w:val="en-IN"/>
              </w:rPr>
              <w:t>The first travel day</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3331D0B0" w14:textId="77777777">
            <w:pPr>
              <w:tabs>
                <w:tab w:val="clear" w:pos="1152"/>
              </w:tabs>
              <w:spacing w:line="276" w:lineRule="auto"/>
              <w:textAlignment w:val="baseline"/>
              <w:rPr>
                <w:color w:val="auto"/>
                <w:sz w:val="24"/>
                <w:szCs w:val="24"/>
              </w:rPr>
            </w:pPr>
            <w:r w:rsidRPr="004D30E3">
              <w:rPr>
                <w:color w:val="auto"/>
                <w:lang w:val="en-IN"/>
              </w:rPr>
              <w:t>Phone notification</w:t>
            </w:r>
            <w:r w:rsidRPr="004D30E3">
              <w:rPr>
                <w:color w:val="auto"/>
              </w:rPr>
              <w:t> </w:t>
            </w:r>
          </w:p>
        </w:tc>
      </w:tr>
      <w:tr w14:paraId="26A5706A"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73504BAE" w14:textId="77777777">
            <w:pPr>
              <w:tabs>
                <w:tab w:val="clear" w:pos="1152"/>
              </w:tabs>
              <w:spacing w:line="276" w:lineRule="auto"/>
              <w:textAlignment w:val="baseline"/>
              <w:rPr>
                <w:color w:val="auto"/>
                <w:sz w:val="24"/>
                <w:szCs w:val="24"/>
              </w:rPr>
            </w:pPr>
            <w:r>
              <w:rPr>
                <w:b/>
                <w:bCs/>
                <w:color w:val="00467F"/>
                <w:lang w:val="en-IN"/>
              </w:rPr>
              <w:t>Smartphone</w:t>
            </w:r>
            <w:r w:rsidRPr="004D30E3">
              <w:rPr>
                <w:b/>
                <w:bCs/>
                <w:color w:val="00467F"/>
                <w:lang w:val="en-IN"/>
              </w:rPr>
              <w:t xml:space="preserve"> app daily survey</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6A74356A" w14:textId="77777777">
            <w:pPr>
              <w:tabs>
                <w:tab w:val="clear" w:pos="1152"/>
              </w:tabs>
              <w:spacing w:line="276" w:lineRule="auto"/>
              <w:textAlignment w:val="baseline"/>
              <w:rPr>
                <w:color w:val="auto"/>
                <w:sz w:val="24"/>
                <w:szCs w:val="24"/>
              </w:rPr>
            </w:pPr>
            <w:r w:rsidRPr="004D30E3">
              <w:rPr>
                <w:color w:val="auto"/>
                <w:lang w:val="en-IN"/>
              </w:rPr>
              <w:t>At the end of each travel day</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0732103C" w14:textId="77777777">
            <w:pPr>
              <w:tabs>
                <w:tab w:val="clear" w:pos="1152"/>
              </w:tabs>
              <w:spacing w:line="276" w:lineRule="auto"/>
              <w:textAlignment w:val="baseline"/>
              <w:rPr>
                <w:color w:val="auto"/>
                <w:sz w:val="24"/>
                <w:szCs w:val="24"/>
              </w:rPr>
            </w:pPr>
            <w:r w:rsidRPr="004D30E3">
              <w:rPr>
                <w:color w:val="auto"/>
                <w:lang w:val="en-IN"/>
              </w:rPr>
              <w:t>Phone notification</w:t>
            </w:r>
            <w:r w:rsidRPr="004D30E3">
              <w:rPr>
                <w:color w:val="auto"/>
              </w:rPr>
              <w:t> </w:t>
            </w:r>
          </w:p>
        </w:tc>
      </w:tr>
      <w:tr w14:paraId="4CD8B8D2"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33D66933" w14:textId="77777777">
            <w:pPr>
              <w:tabs>
                <w:tab w:val="clear" w:pos="1152"/>
              </w:tabs>
              <w:spacing w:line="276" w:lineRule="auto"/>
              <w:textAlignment w:val="baseline"/>
              <w:rPr>
                <w:color w:val="auto"/>
                <w:sz w:val="24"/>
                <w:szCs w:val="24"/>
              </w:rPr>
            </w:pPr>
            <w:r w:rsidRPr="004D30E3">
              <w:rPr>
                <w:b/>
                <w:bCs/>
                <w:color w:val="00467F"/>
                <w:lang w:val="en-IN"/>
              </w:rPr>
              <w:t>Nonresponse diary survey follow-up</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438EA970" w14:textId="77777777">
            <w:pPr>
              <w:tabs>
                <w:tab w:val="clear" w:pos="1152"/>
              </w:tabs>
              <w:spacing w:line="276" w:lineRule="auto"/>
              <w:textAlignment w:val="baseline"/>
              <w:rPr>
                <w:color w:val="auto"/>
                <w:sz w:val="24"/>
                <w:szCs w:val="24"/>
              </w:rPr>
            </w:pPr>
            <w:r w:rsidRPr="004D30E3">
              <w:rPr>
                <w:color w:val="auto"/>
                <w:lang w:val="en-IN"/>
              </w:rPr>
              <w:t>28 days after the travel date</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5306F458" w14:textId="77777777">
            <w:pPr>
              <w:tabs>
                <w:tab w:val="clear" w:pos="1152"/>
              </w:tabs>
              <w:spacing w:line="276" w:lineRule="auto"/>
              <w:textAlignment w:val="baseline"/>
              <w:rPr>
                <w:color w:val="auto"/>
                <w:sz w:val="24"/>
                <w:szCs w:val="24"/>
              </w:rPr>
            </w:pPr>
            <w:r w:rsidRPr="004D30E3">
              <w:rPr>
                <w:color w:val="auto"/>
                <w:lang w:val="en-IN"/>
              </w:rPr>
              <w:t>Email/text/mail</w:t>
            </w:r>
            <w:r w:rsidRPr="004D30E3">
              <w:rPr>
                <w:color w:val="auto"/>
              </w:rPr>
              <w:t> </w:t>
            </w:r>
          </w:p>
        </w:tc>
      </w:tr>
    </w:tbl>
    <w:p w:rsidR="004D79D1" w:rsidRPr="001B7CEF" w:rsidP="004D79D1" w14:paraId="31373CDD" w14:textId="77777777">
      <w:pPr>
        <w:tabs>
          <w:tab w:val="clear" w:pos="1152"/>
        </w:tabs>
        <w:spacing w:line="276" w:lineRule="auto"/>
        <w:textAlignment w:val="baseline"/>
        <w:rPr>
          <w:color w:val="auto"/>
        </w:rPr>
      </w:pPr>
    </w:p>
    <w:p w:rsidR="004D79D1" w:rsidP="004D79D1" w14:paraId="2F26A554" w14:textId="77777777">
      <w:pPr>
        <w:pStyle w:val="NHTSBody"/>
        <w:rPr>
          <w:lang w:val="en-IN"/>
        </w:rPr>
      </w:pPr>
      <w:r w:rsidRPr="004D30E3">
        <w:rPr>
          <w:lang w:val="en-IN"/>
        </w:rPr>
        <w:t xml:space="preserve">Our mail communications will include a quick response (QR) code, linking to </w:t>
      </w:r>
      <w:r>
        <w:rPr>
          <w:lang w:val="en-IN"/>
        </w:rPr>
        <w:t xml:space="preserve">the </w:t>
      </w:r>
      <w:r w:rsidRPr="004D30E3">
        <w:rPr>
          <w:lang w:val="en-IN"/>
        </w:rPr>
        <w:t xml:space="preserve">web survey, along with a short URL, and toll-free hotline, maximizing options that work best for each participant. Further, a Spanish tagline </w:t>
      </w:r>
      <w:r>
        <w:rPr>
          <w:lang w:val="en-IN"/>
        </w:rPr>
        <w:t xml:space="preserve">will be included </w:t>
      </w:r>
      <w:r w:rsidRPr="004D30E3">
        <w:rPr>
          <w:lang w:val="en-IN"/>
        </w:rPr>
        <w:t>on all survey materials to provide instructions on how to complete the survey in Spanish.</w:t>
      </w:r>
    </w:p>
    <w:p w:rsidR="004D79D1" w:rsidP="004D79D1" w14:paraId="78A16672" w14:textId="79EA8B98">
      <w:pPr>
        <w:pStyle w:val="NHTSBody"/>
        <w:rPr>
          <w:lang w:val="en-IN"/>
        </w:rPr>
      </w:pPr>
      <w:r>
        <w:rPr>
          <w:lang w:val="en-IN"/>
        </w:rPr>
        <w:t>A</w:t>
      </w:r>
      <w:r w:rsidRPr="004D30E3">
        <w:rPr>
          <w:lang w:val="en-IN"/>
        </w:rPr>
        <w:t xml:space="preserve"> study website (Figure </w:t>
      </w:r>
      <w:r w:rsidR="00E6623F">
        <w:rPr>
          <w:lang w:val="en-IN"/>
        </w:rPr>
        <w:t>2</w:t>
      </w:r>
      <w:r>
        <w:rPr>
          <w:lang w:val="en-IN"/>
        </w:rPr>
        <w:t xml:space="preserve"> is an example from a current study</w:t>
      </w:r>
      <w:r w:rsidRPr="004D30E3">
        <w:rPr>
          <w:lang w:val="en-IN"/>
        </w:rPr>
        <w:t xml:space="preserve">) </w:t>
      </w:r>
      <w:r>
        <w:rPr>
          <w:lang w:val="en-IN"/>
        </w:rPr>
        <w:t xml:space="preserve">will be developed made available, along with the </w:t>
      </w:r>
      <w:r w:rsidRPr="004D30E3">
        <w:rPr>
          <w:lang w:val="en-IN"/>
        </w:rPr>
        <w:t>online survey questionnaires, and smartphone app</w:t>
      </w:r>
      <w:r>
        <w:rPr>
          <w:lang w:val="en-IN"/>
        </w:rPr>
        <w:t>,</w:t>
      </w:r>
      <w:r w:rsidRPr="004D30E3">
        <w:rPr>
          <w:lang w:val="en-IN"/>
        </w:rPr>
        <w:t xml:space="preserve"> in both English and Spanish. </w:t>
      </w:r>
      <w:r>
        <w:rPr>
          <w:lang w:val="en-IN"/>
        </w:rPr>
        <w:t>P</w:t>
      </w:r>
      <w:r w:rsidRPr="004D30E3">
        <w:rPr>
          <w:lang w:val="en-IN"/>
        </w:rPr>
        <w:t>rofessional bilingual interviewing staff for telephone support</w:t>
      </w:r>
      <w:r>
        <w:rPr>
          <w:lang w:val="en-IN"/>
        </w:rPr>
        <w:t xml:space="preserve"> will also be available</w:t>
      </w:r>
      <w:r w:rsidRPr="004D30E3">
        <w:rPr>
          <w:lang w:val="en-IN"/>
        </w:rPr>
        <w:t>.</w:t>
      </w:r>
    </w:p>
    <w:p w:rsidR="004D79D1" w:rsidRPr="004D30E3" w:rsidP="004D79D1" w14:paraId="62E428EF" w14:textId="77777777">
      <w:pPr>
        <w:tabs>
          <w:tab w:val="clear" w:pos="1152"/>
        </w:tabs>
        <w:spacing w:line="276" w:lineRule="auto"/>
        <w:jc w:val="center"/>
        <w:textAlignment w:val="baseline"/>
        <w:rPr>
          <w:rFonts w:ascii="Segoe UI" w:hAnsi="Segoe UI" w:cs="Segoe UI"/>
          <w:color w:val="auto"/>
          <w:sz w:val="18"/>
          <w:szCs w:val="18"/>
        </w:rPr>
      </w:pPr>
    </w:p>
    <w:p w:rsidR="004D79D1" w:rsidRPr="00C05EDC" w:rsidP="004D79D1" w14:paraId="66034D09" w14:textId="77777777">
      <w:pPr>
        <w:tabs>
          <w:tab w:val="clear" w:pos="1152"/>
        </w:tabs>
        <w:spacing w:line="240" w:lineRule="auto"/>
        <w:jc w:val="center"/>
        <w:textAlignment w:val="baseline"/>
        <w:rPr>
          <w:i/>
          <w:iCs/>
          <w:color w:val="auto"/>
        </w:rPr>
      </w:pPr>
      <w:r w:rsidRPr="00C05EDC">
        <w:rPr>
          <w:i/>
          <w:iCs/>
          <w:color w:val="auto"/>
        </w:rPr>
        <w:t> </w:t>
      </w:r>
    </w:p>
    <w:p w:rsidR="004D79D1" w:rsidP="004D79D1" w14:paraId="27AF47E9" w14:textId="77777777">
      <w:pPr>
        <w:tabs>
          <w:tab w:val="clear" w:pos="1152"/>
        </w:tabs>
        <w:spacing w:line="240" w:lineRule="auto"/>
        <w:jc w:val="center"/>
        <w:textAlignment w:val="baseline"/>
        <w:rPr>
          <w:i/>
          <w:iCs/>
          <w:color w:val="auto"/>
          <w:lang w:val="en-IN"/>
        </w:rPr>
      </w:pPr>
      <w:r w:rsidRPr="00C05EDC">
        <w:rPr>
          <w:i/>
          <w:iCs/>
          <w:noProof/>
          <w:color w:val="auto"/>
        </w:rPr>
        <w:drawing>
          <wp:inline distT="0" distB="0" distL="0" distR="0">
            <wp:extent cx="5943600" cy="3444240"/>
            <wp:effectExtent l="0" t="0" r="0" b="3810"/>
            <wp:docPr id="1676448098" name="Picture 1676448098" descr="A screenshot of a trave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48098" name="Picture 1" descr="A screenshot of a travel website&#10;&#10;Description automatically generate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44240"/>
                    </a:xfrm>
                    <a:prstGeom prst="rect">
                      <a:avLst/>
                    </a:prstGeom>
                    <a:noFill/>
                    <a:ln>
                      <a:noFill/>
                    </a:ln>
                  </pic:spPr>
                </pic:pic>
              </a:graphicData>
            </a:graphic>
          </wp:inline>
        </w:drawing>
      </w:r>
      <w:r w:rsidRPr="00C05EDC">
        <w:rPr>
          <w:i/>
          <w:iCs/>
          <w:color w:val="auto"/>
          <w:lang w:val="en-IN"/>
        </w:rPr>
        <w:br/>
      </w:r>
    </w:p>
    <w:p w:rsidR="004D79D1" w:rsidRPr="004D30E3" w:rsidP="004D79D1" w14:paraId="0A666FDE" w14:textId="35FA3557">
      <w:pPr>
        <w:tabs>
          <w:tab w:val="clear" w:pos="1152"/>
        </w:tabs>
        <w:spacing w:line="240" w:lineRule="auto"/>
        <w:jc w:val="center"/>
        <w:textAlignment w:val="baseline"/>
        <w:rPr>
          <w:rFonts w:ascii="Segoe UI" w:hAnsi="Segoe UI" w:cs="Segoe UI"/>
          <w:color w:val="auto"/>
          <w:sz w:val="18"/>
          <w:szCs w:val="18"/>
        </w:rPr>
      </w:pPr>
      <w:r w:rsidRPr="004D30E3">
        <w:rPr>
          <w:i/>
          <w:iCs/>
          <w:color w:val="auto"/>
          <w:lang w:val="en-IN"/>
        </w:rPr>
        <w:t xml:space="preserve">Figure </w:t>
      </w:r>
      <w:r w:rsidR="00E6623F">
        <w:rPr>
          <w:i/>
          <w:iCs/>
          <w:color w:val="auto"/>
          <w:lang w:val="en-IN"/>
        </w:rPr>
        <w:t>2</w:t>
      </w:r>
      <w:r w:rsidRPr="004D30E3">
        <w:rPr>
          <w:i/>
          <w:iCs/>
          <w:color w:val="auto"/>
          <w:lang w:val="en-IN"/>
        </w:rPr>
        <w:t>: Example of Study Website</w:t>
      </w:r>
      <w:r w:rsidRPr="004D30E3">
        <w:rPr>
          <w:color w:val="auto"/>
        </w:rPr>
        <w:t> </w:t>
      </w:r>
    </w:p>
    <w:p w:rsidR="004D79D1" w:rsidRPr="001B7CEF" w:rsidP="004D79D1" w14:paraId="16DE504C" w14:textId="77777777">
      <w:pPr>
        <w:tabs>
          <w:tab w:val="clear" w:pos="1152"/>
        </w:tabs>
        <w:spacing w:line="240" w:lineRule="auto"/>
        <w:textAlignment w:val="baseline"/>
        <w:rPr>
          <w:color w:val="auto"/>
        </w:rPr>
      </w:pPr>
    </w:p>
    <w:p w:rsidR="004D79D1" w:rsidP="004D79D1" w14:paraId="69BB335F" w14:textId="77777777">
      <w:pPr>
        <w:pStyle w:val="NHTSBody"/>
        <w:rPr>
          <w:rStyle w:val="NHTSBodyChar"/>
        </w:rPr>
      </w:pPr>
      <w:r w:rsidRPr="000E600A">
        <w:rPr>
          <w:b/>
          <w:bCs/>
          <w:iCs/>
          <w:lang w:val="en-IN"/>
        </w:rPr>
        <w:t>Diary Survey Nonresponse Follow-up</w:t>
      </w:r>
      <w:r w:rsidRPr="004D30E3">
        <w:rPr>
          <w:lang w:val="en-IN"/>
        </w:rPr>
        <w:t>.</w:t>
      </w:r>
      <w:r w:rsidRPr="004D30E3">
        <w:t xml:space="preserve"> </w:t>
      </w:r>
      <w:r w:rsidRPr="00057F15">
        <w:rPr>
          <w:rStyle w:val="NHTSBodyChar"/>
        </w:rPr>
        <w:t>To achieve a representative sample, households that complete the recruitment survey but do not complete the travel diary survey</w:t>
      </w:r>
      <w:r>
        <w:rPr>
          <w:rStyle w:val="NHTSBodyChar"/>
        </w:rPr>
        <w:t xml:space="preserve"> will be recontacted as a part of the nonresponse follow-up protocol</w:t>
      </w:r>
      <w:r w:rsidRPr="00057F15">
        <w:rPr>
          <w:rStyle w:val="NHTSBodyChar"/>
        </w:rPr>
        <w:t xml:space="preserve">. </w:t>
      </w:r>
      <w:r>
        <w:rPr>
          <w:rStyle w:val="NHTSBodyChar"/>
        </w:rPr>
        <w:t>These households will be reassigned</w:t>
      </w:r>
      <w:r w:rsidRPr="00057F15">
        <w:rPr>
          <w:rStyle w:val="NHTSBodyChar"/>
        </w:rPr>
        <w:t xml:space="preserve"> a new travel date and offer</w:t>
      </w:r>
      <w:r>
        <w:rPr>
          <w:rStyle w:val="NHTSBodyChar"/>
        </w:rPr>
        <w:t>ed</w:t>
      </w:r>
      <w:r w:rsidRPr="00057F15">
        <w:rPr>
          <w:rStyle w:val="NHTSBodyChar"/>
        </w:rPr>
        <w:t xml:space="preserve"> an additional $10 </w:t>
      </w:r>
      <w:r>
        <w:rPr>
          <w:rStyle w:val="NHTSBodyChar"/>
        </w:rPr>
        <w:t xml:space="preserve">per household </w:t>
      </w:r>
      <w:r w:rsidRPr="00057F15">
        <w:rPr>
          <w:rStyle w:val="NHTSBodyChar"/>
        </w:rPr>
        <w:t>incentive, on top of their already promised incentive, for their participation.</w:t>
      </w:r>
    </w:p>
    <w:p w:rsidR="003637A0" w:rsidP="00B05762" w14:paraId="13B9ABD3" w14:textId="356B937A">
      <w:pPr>
        <w:pStyle w:val="NHTSBody"/>
      </w:pPr>
    </w:p>
    <w:p w:rsidR="006109AD" w:rsidP="00B05762" w14:paraId="49770152" w14:textId="00D173CE">
      <w:pPr>
        <w:pStyle w:val="NHTSBody"/>
      </w:pPr>
      <w:r>
        <w:t>To</w:t>
      </w:r>
      <w:r>
        <w:t xml:space="preserve"> facilitate responses from those with disabilities, the </w:t>
      </w:r>
      <w:r w:rsidR="00C65A9A">
        <w:t xml:space="preserve">study </w:t>
      </w:r>
      <w:r>
        <w:t xml:space="preserve">will ensure that </w:t>
      </w:r>
      <w:r w:rsidR="00C41A66">
        <w:t xml:space="preserve">the study website and web </w:t>
      </w:r>
      <w:r w:rsidRPr="00036FB4">
        <w:t xml:space="preserve">instrument </w:t>
      </w:r>
      <w:r>
        <w:t>meet</w:t>
      </w:r>
      <w:r w:rsidRPr="00036FB4">
        <w:t xml:space="preserve"> Section 508 compliance using the rules specified in sections 1194.22 – ‘Web-based intranet and internet information and applications’ and 1194.23 – ‘Telecommunications products.</w:t>
      </w:r>
    </w:p>
    <w:p w:rsidR="006109AD" w:rsidRPr="00036FB4" w:rsidP="00B05762" w14:paraId="7771B47C" w14:textId="61F58392">
      <w:pPr>
        <w:pStyle w:val="NHTSBody"/>
      </w:pPr>
      <w:r>
        <w:t xml:space="preserve">All </w:t>
      </w:r>
      <w:r w:rsidR="00F10345">
        <w:t xml:space="preserve">NextGen </w:t>
      </w:r>
      <w:r>
        <w:t>NHTS materials will be available in both English and Spanish language forms to help maximize participation by Hispanic households</w:t>
      </w:r>
      <w:r w:rsidR="00B06C21">
        <w:t xml:space="preserve">. </w:t>
      </w:r>
      <w:r>
        <w:t>An evaluation of previous surveys indicated that interviewing in Spanish was an important factor in gaining the cooperation of Hispanic respondents, a rapidly increasing proportion of the overall population. The Spanish translations of survey materials were developed using industry standards including reverse-translation protocols.</w:t>
      </w:r>
    </w:p>
    <w:p w:rsidR="006109AD" w:rsidP="006F2A86" w14:paraId="586BD45E" w14:textId="77777777">
      <w:pPr>
        <w:pStyle w:val="Heading2"/>
        <w:numPr>
          <w:ilvl w:val="0"/>
          <w:numId w:val="26"/>
        </w:numPr>
      </w:pPr>
      <w:r w:rsidRPr="00B36F4D">
        <w:t>Describe tests of procedures or methods:</w:t>
      </w:r>
    </w:p>
    <w:p w:rsidR="006109AD" w:rsidRPr="007B39FD" w:rsidP="009C47D2" w14:paraId="28C83564" w14:textId="77777777">
      <w:pPr>
        <w:pStyle w:val="Heading3"/>
      </w:pPr>
      <w:r w:rsidRPr="007B39FD">
        <w:t>Mixed Mode Surveys</w:t>
      </w:r>
    </w:p>
    <w:p w:rsidR="006109AD" w:rsidRPr="00B36F4D" w:rsidP="00B05762" w14:paraId="23B5185E" w14:textId="5F627E13">
      <w:pPr>
        <w:pStyle w:val="NHTSBody"/>
      </w:pPr>
      <w:r w:rsidRPr="00B36F4D">
        <w:t xml:space="preserve">Experiments conducted by </w:t>
      </w:r>
      <w:r w:rsidR="00BE5795">
        <w:t>the survey contractor team</w:t>
      </w:r>
      <w:r w:rsidRPr="00B36F4D">
        <w:t>,</w:t>
      </w:r>
      <w:r>
        <w:rPr>
          <w:rStyle w:val="FootnoteReference"/>
        </w:rPr>
        <w:footnoteReference w:id="15"/>
      </w:r>
      <w:r w:rsidRPr="00B36F4D">
        <w:rPr>
          <w:vertAlign w:val="superscript"/>
        </w:rPr>
        <w:t>,</w:t>
      </w:r>
      <w:r>
        <w:rPr>
          <w:rStyle w:val="FootnoteReference"/>
        </w:rPr>
        <w:footnoteReference w:id="16"/>
      </w:r>
      <w:r w:rsidRPr="00B36F4D">
        <w:t xml:space="preserve"> and confirmed by others,</w:t>
      </w:r>
      <w:r>
        <w:rPr>
          <w:rStyle w:val="FootnoteReference"/>
        </w:rPr>
        <w:footnoteReference w:id="17"/>
      </w:r>
      <w:r w:rsidRPr="00B36F4D">
        <w:rPr>
          <w:vertAlign w:val="superscript"/>
        </w:rPr>
        <w:t>,</w:t>
      </w:r>
      <w:r>
        <w:rPr>
          <w:rStyle w:val="FootnoteReference"/>
        </w:rPr>
        <w:footnoteReference w:id="18"/>
      </w:r>
      <w:r w:rsidRPr="00B36F4D">
        <w:t xml:space="preserve"> using mixed mode collection methods have found that telephone is not the best mode </w:t>
      </w:r>
      <w:r w:rsidR="00396BD1">
        <w:t xml:space="preserve">today </w:t>
      </w:r>
      <w:r w:rsidRPr="00B36F4D">
        <w:t xml:space="preserve">for conducting interviews with ABSs. This does not imply telephone data collection cannot be used to enhance response rates, but that it is </w:t>
      </w:r>
      <w:r>
        <w:t>not as an effective choice</w:t>
      </w:r>
      <w:r w:rsidRPr="00B36F4D">
        <w:t xml:space="preserve"> as a primary mode. </w:t>
      </w:r>
      <w:r w:rsidRPr="00B36F4D" w:rsidR="00806C35">
        <w:t>So,</w:t>
      </w:r>
      <w:r w:rsidRPr="00B36F4D">
        <w:t xml:space="preserve"> when pairing a data collection mode with an ABS frame, researchers have begun to look beyond the traditional telephone-based approach. </w:t>
      </w:r>
      <w:r w:rsidR="001139CE">
        <w:t xml:space="preserve">Based on this research and </w:t>
      </w:r>
      <w:r w:rsidR="00BE5795">
        <w:t xml:space="preserve">the survey contractor team’s </w:t>
      </w:r>
      <w:r w:rsidR="001139CE">
        <w:t xml:space="preserve">experience conducting </w:t>
      </w:r>
      <w:r w:rsidR="00A41A9E">
        <w:t xml:space="preserve">national, </w:t>
      </w:r>
      <w:r w:rsidR="00B06C21">
        <w:t>state,</w:t>
      </w:r>
      <w:r w:rsidR="001139CE">
        <w:t xml:space="preserve"> and local surveys, </w:t>
      </w:r>
      <w:r w:rsidRPr="00B36F4D">
        <w:t>the</w:t>
      </w:r>
      <w:r w:rsidRPr="00B36F4D">
        <w:t xml:space="preserve"> </w:t>
      </w:r>
      <w:r w:rsidRPr="00B36F4D">
        <w:t xml:space="preserve">methodological approach </w:t>
      </w:r>
      <w:r w:rsidR="006B5645">
        <w:t xml:space="preserve">planned </w:t>
      </w:r>
      <w:r w:rsidRPr="00B36F4D">
        <w:t>for the 20</w:t>
      </w:r>
      <w:r w:rsidR="00610150">
        <w:t>24</w:t>
      </w:r>
      <w:r w:rsidRPr="00B36F4D">
        <w:t xml:space="preserve"> </w:t>
      </w:r>
      <w:r w:rsidR="00610150">
        <w:t xml:space="preserve">NextGen </w:t>
      </w:r>
      <w:r w:rsidRPr="00B36F4D">
        <w:t>NHTS</w:t>
      </w:r>
      <w:r w:rsidR="00610150">
        <w:t xml:space="preserve"> is a mixed-mode design</w:t>
      </w:r>
      <w:r w:rsidR="001A0DA4">
        <w:t>. Respondents will be able to use the web, a smartphone app</w:t>
      </w:r>
      <w:r w:rsidR="008D0190">
        <w:t>, and</w:t>
      </w:r>
      <w:r w:rsidR="001A0DA4">
        <w:t xml:space="preserve"> the telephone to participate</w:t>
      </w:r>
      <w:r w:rsidRPr="00B36F4D">
        <w:t xml:space="preserve">. </w:t>
      </w:r>
    </w:p>
    <w:p w:rsidR="006109AD" w:rsidP="00B05762" w14:paraId="159A1AE4" w14:textId="7AB406FB">
      <w:pPr>
        <w:pStyle w:val="NHTSBody"/>
      </w:pPr>
      <w:r w:rsidRPr="00B36F4D">
        <w:t xml:space="preserve">The </w:t>
      </w:r>
      <w:r w:rsidR="001A0DA4">
        <w:t xml:space="preserve">push-to-web </w:t>
      </w:r>
      <w:r w:rsidRPr="00B36F4D">
        <w:t xml:space="preserve">recruitment approach described here has been tested and found to be successful in several surveys with large sample sizes covering vast geographic regions. </w:t>
      </w:r>
      <w:r>
        <w:t xml:space="preserve">For these reasons, </w:t>
      </w:r>
      <w:r w:rsidRPr="00B36F4D">
        <w:t xml:space="preserve">this approach </w:t>
      </w:r>
      <w:r>
        <w:t xml:space="preserve">has been selected </w:t>
      </w:r>
      <w:r w:rsidRPr="00B36F4D">
        <w:t>in response to declining recruitm</w:t>
      </w:r>
      <w:r>
        <w:t>ent rates. In recent studies</w:t>
      </w:r>
      <w:r w:rsidR="00BE5795">
        <w:t>,</w:t>
      </w:r>
      <w:r>
        <w:t xml:space="preserve"> </w:t>
      </w:r>
      <w:r w:rsidR="00BE5795">
        <w:t xml:space="preserve">the survey contractor team </w:t>
      </w:r>
      <w:r>
        <w:t>has</w:t>
      </w:r>
      <w:r w:rsidRPr="00B36F4D">
        <w:t xml:space="preserve"> observed response rates ranging from 28 to 38 percent</w:t>
      </w:r>
      <w:r w:rsidRPr="00411CAD">
        <w:t xml:space="preserve"> </w:t>
      </w:r>
      <w:r w:rsidRPr="00B36F4D">
        <w:t>with the proposed method.</w:t>
      </w:r>
    </w:p>
    <w:p w:rsidR="006109AD" w:rsidRPr="00F26F82" w:rsidP="009C47D2" w14:paraId="106EDB95" w14:textId="77777777">
      <w:pPr>
        <w:pStyle w:val="Heading3"/>
      </w:pPr>
      <w:r w:rsidRPr="00F26F82">
        <w:t>Testing and Review</w:t>
      </w:r>
    </w:p>
    <w:p w:rsidR="006109AD" w:rsidP="001C53C3" w14:paraId="07EA9436" w14:textId="77777777">
      <w:pPr>
        <w:pStyle w:val="NHTSBody"/>
      </w:pPr>
      <w:r>
        <w:t>All field materials were subject to a series of tests to assess their utility and validity as survey instruments. These tests are described below.</w:t>
      </w:r>
    </w:p>
    <w:p w:rsidR="006109AD" w:rsidRPr="00AA2941" w:rsidP="009C47D2" w14:paraId="23B4D97F" w14:textId="77777777">
      <w:pPr>
        <w:pStyle w:val="Heading3"/>
      </w:pPr>
      <w:r w:rsidRPr="004379C5">
        <w:t>Cognitive Testing</w:t>
      </w:r>
    </w:p>
    <w:p w:rsidR="006109AD" w:rsidRPr="00AA2941" w:rsidP="001C53C3" w14:paraId="6C08A870" w14:textId="3F2B1507">
      <w:pPr>
        <w:pStyle w:val="NHTSBody"/>
      </w:pPr>
      <w:r>
        <w:t xml:space="preserve">The survey contractor team </w:t>
      </w:r>
      <w:r>
        <w:t>conducted c</w:t>
      </w:r>
      <w:r w:rsidRPr="00AA2941">
        <w:t xml:space="preserve">ognitive testing </w:t>
      </w:r>
      <w:r>
        <w:t xml:space="preserve">using </w:t>
      </w:r>
      <w:r w:rsidRPr="00AA2941">
        <w:t>in-d</w:t>
      </w:r>
      <w:r>
        <w:t xml:space="preserve">epth, semi-structured interviews </w:t>
      </w:r>
      <w:r w:rsidRPr="00AA2941">
        <w:t>to gather insights into the cognitive sources of potential misinterpretation (Willis, 2005)</w:t>
      </w:r>
      <w:r w:rsidR="00AD6E66">
        <w:t xml:space="preserve"> for all </w:t>
      </w:r>
      <w:r w:rsidR="00200A2F">
        <w:t>new questions added since the 2022 NextGen NHTS</w:t>
      </w:r>
      <w:r w:rsidRPr="00AA2941">
        <w:t>. This qualitative methodology focuses on examining the respondents’ thought processes, allowing survey researchers to identify and refine question wordings that are either misunderstood or understood differently by different respondents; instructions that are insufficient, overlooked, or misinterpreted; ambiguous instructions; and confusing response options. In addition to question wording, cognitive testing can reveal any issues with the visual presentation of the survey and materials. Visual design elements such as color, contrast, or spacing are crucial to correctly guide respondents through an instrument.</w:t>
      </w:r>
    </w:p>
    <w:p w:rsidR="006109AD" w:rsidP="001C53C3" w14:paraId="2C0D3C7A" w14:textId="465D4CC1">
      <w:pPr>
        <w:pStyle w:val="NHTSBody"/>
      </w:pPr>
      <w:r w:rsidRPr="00FB01AA">
        <w:t xml:space="preserve">In keeping with OMB regulations, the cognitive testing was limited to nine respondents per </w:t>
      </w:r>
      <w:r w:rsidR="005035C6">
        <w:t>question.</w:t>
      </w:r>
      <w:r w:rsidRPr="00FB01AA">
        <w:t xml:space="preserve"> </w:t>
      </w:r>
      <w:r w:rsidR="00656853">
        <w:t xml:space="preserve">The </w:t>
      </w:r>
      <w:r w:rsidR="00477DE1">
        <w:t>survey contractor team</w:t>
      </w:r>
      <w:r w:rsidRPr="00FB01AA" w:rsidR="00477DE1">
        <w:t xml:space="preserve"> </w:t>
      </w:r>
      <w:r w:rsidRPr="00FB01AA">
        <w:t xml:space="preserve">conducted </w:t>
      </w:r>
      <w:r w:rsidR="007560AF">
        <w:t>one</w:t>
      </w:r>
      <w:r w:rsidRPr="00FB01AA">
        <w:t xml:space="preserve"> set of 9 interviews with adults ages 18 and older</w:t>
      </w:r>
      <w:r w:rsidR="007560AF">
        <w:t xml:space="preserve"> to test all new questions to the 2024 NextGen NHTS.</w:t>
      </w:r>
      <w:r w:rsidR="002B217A">
        <w:t xml:space="preserve"> </w:t>
      </w:r>
      <w:r w:rsidRPr="00FB01AA">
        <w:t>Respondent</w:t>
      </w:r>
      <w:r w:rsidR="007560AF">
        <w:t xml:space="preserve"> r</w:t>
      </w:r>
      <w:r w:rsidRPr="00FB01AA">
        <w:t xml:space="preserve">ecruitment was </w:t>
      </w:r>
      <w:r w:rsidR="00B06C21">
        <w:t>purposeful</w:t>
      </w:r>
      <w:r w:rsidRPr="00FB01AA" w:rsidR="00B06C21">
        <w:t xml:space="preserve"> </w:t>
      </w:r>
      <w:r w:rsidRPr="00FB01AA">
        <w:t>and sought adults with a variety of day-to-day travel experiences</w:t>
      </w:r>
      <w:r w:rsidR="002B217A">
        <w:t xml:space="preserve">. </w:t>
      </w:r>
      <w:r w:rsidRPr="00FB01AA" w:rsidR="00187030">
        <w:t>The</w:t>
      </w:r>
      <w:r w:rsidRPr="00FB01AA">
        <w:t xml:space="preserve"> interviewing staff consisted of senior survey methodologists who have extensive experience using cognitive interview methods to test survey questionnaires and materials. Results were compiled and presented to FHWA for consideration.</w:t>
      </w:r>
    </w:p>
    <w:p w:rsidR="006109AD" w:rsidRPr="00AA2941" w:rsidP="009C47D2" w14:paraId="33AE519C" w14:textId="77777777">
      <w:pPr>
        <w:pStyle w:val="Heading3"/>
      </w:pPr>
      <w:r>
        <w:t xml:space="preserve">Survey </w:t>
      </w:r>
      <w:r w:rsidRPr="00D16E6A">
        <w:t>P</w:t>
      </w:r>
      <w:r>
        <w:t>retest</w:t>
      </w:r>
      <w:r w:rsidRPr="00AA2941">
        <w:t xml:space="preserve"> </w:t>
      </w:r>
    </w:p>
    <w:p w:rsidR="006109AD" w:rsidRPr="004C534E" w:rsidP="001C53C3" w14:paraId="42ED6DC8" w14:textId="55322F3D">
      <w:pPr>
        <w:pStyle w:val="NHTSBody"/>
      </w:pPr>
      <w:r>
        <w:t xml:space="preserve">The pretest </w:t>
      </w:r>
      <w:r w:rsidR="00D265F6">
        <w:t xml:space="preserve">will include </w:t>
      </w:r>
      <w:r>
        <w:t xml:space="preserve">all facets of data collection and will be designed to complete </w:t>
      </w:r>
      <w:r w:rsidR="00AE771E">
        <w:t>surveys with</w:t>
      </w:r>
      <w:r>
        <w:t xml:space="preserve"> </w:t>
      </w:r>
      <w:r w:rsidR="00990DF8">
        <w:t>100 households</w:t>
      </w:r>
      <w:r>
        <w:t xml:space="preserve">. The </w:t>
      </w:r>
      <w:r w:rsidR="00AE771E">
        <w:t>p</w:t>
      </w:r>
      <w:r>
        <w:t>retest provides an opportunity to employ and evaluate all planned protocols and materials, and to determine whether changes are needed before the main survey is conducted</w:t>
      </w:r>
      <w:r w:rsidR="009E4AE6">
        <w:t>.</w:t>
      </w:r>
      <w:r>
        <w:t xml:space="preserve"> The final Survey Plan</w:t>
      </w:r>
      <w:r w:rsidR="00D265F6">
        <w:t xml:space="preserve"> will reflect any </w:t>
      </w:r>
      <w:r w:rsidR="009C0707">
        <w:t>findings from</w:t>
      </w:r>
      <w:r w:rsidR="00D265F6">
        <w:t xml:space="preserve"> the Pretest.</w:t>
      </w:r>
      <w:r>
        <w:t xml:space="preserve"> Details will</w:t>
      </w:r>
      <w:r w:rsidRPr="004C534E">
        <w:t xml:space="preserve"> </w:t>
      </w:r>
      <w:r>
        <w:t>include survey methodology, questionnaire design, sampling, nonresponse analysis, estimation procedures,</w:t>
      </w:r>
      <w:r w:rsidRPr="004C534E">
        <w:t xml:space="preserve"> and procedures and </w:t>
      </w:r>
      <w:r>
        <w:t>protocols used to conduct the study.</w:t>
      </w:r>
    </w:p>
    <w:p w:rsidR="006109AD" w:rsidRPr="00B36F4D" w:rsidP="009C47D2" w14:paraId="201805C5" w14:textId="3A09A1C0">
      <w:pPr>
        <w:pStyle w:val="Heading2"/>
        <w:numPr>
          <w:ilvl w:val="0"/>
          <w:numId w:val="26"/>
        </w:numPr>
      </w:pPr>
      <w:r w:rsidRPr="00B36F4D">
        <w:t>Provide name and telephone number of individuals who were consulted on statistical aspects of the IC and who will collect and/or analyze the information:</w:t>
      </w:r>
    </w:p>
    <w:p w:rsidR="006109AD" w:rsidRPr="00B36F4D" w:rsidP="006109AD" w14:paraId="54A2222B" w14:textId="77777777">
      <w:pPr>
        <w:pStyle w:val="L1-FlLSp12"/>
        <w:ind w:left="360"/>
      </w:pPr>
      <w:r>
        <w:t>J. Michael Brick, Ph.D.</w:t>
      </w:r>
      <w:r>
        <w:tab/>
        <w:t>301-294-2004</w:t>
      </w:r>
    </w:p>
    <w:p w:rsidR="006109AD" w:rsidRPr="00B36F4D" w:rsidP="006109AD" w14:paraId="6B05B006" w14:textId="77777777">
      <w:pPr>
        <w:pStyle w:val="L1-FlLSp12"/>
        <w:ind w:left="360"/>
      </w:pPr>
      <w:r w:rsidRPr="00B36F4D">
        <w:t>Jill Montaquila</w:t>
      </w:r>
      <w:r>
        <w:tab/>
      </w:r>
      <w:r>
        <w:tab/>
        <w:t>301-517-4046</w:t>
      </w:r>
    </w:p>
    <w:p w:rsidR="00E700B8" w:rsidP="00376727" w14:paraId="541FE6F4" w14:textId="0D64332D">
      <w:pPr>
        <w:pStyle w:val="L1-FlLSp12"/>
        <w:ind w:left="360"/>
      </w:pPr>
      <w:r>
        <w:t>Shell</w:t>
      </w:r>
      <w:r w:rsidR="00562392">
        <w:t>e</w:t>
      </w:r>
      <w:r>
        <w:t>y Brock</w:t>
      </w:r>
      <w:r>
        <w:tab/>
      </w:r>
      <w:r>
        <w:tab/>
        <w:t>301-517-8042</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367591820"/>
      <w:docPartObj>
        <w:docPartGallery w:val="Page Numbers (Bottom of Page)"/>
        <w:docPartUnique/>
      </w:docPartObj>
    </w:sdtPr>
    <w:sdtEndPr>
      <w:rPr>
        <w:noProof/>
      </w:rPr>
    </w:sdtEndPr>
    <w:sdtContent>
      <w:p w:rsidR="00293D73" w14:paraId="60EF6A13" w14:textId="2AF6C0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3D73" w14:paraId="04A61A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A02D3" w:rsidP="006109AD" w14:paraId="2A543F69" w14:textId="77777777">
      <w:pPr>
        <w:spacing w:line="240" w:lineRule="auto"/>
      </w:pPr>
      <w:r>
        <w:separator/>
      </w:r>
    </w:p>
  </w:footnote>
  <w:footnote w:type="continuationSeparator" w:id="1">
    <w:p w:rsidR="002A02D3" w:rsidP="006109AD" w14:paraId="225B2D39" w14:textId="77777777">
      <w:pPr>
        <w:spacing w:line="240" w:lineRule="auto"/>
      </w:pPr>
      <w:r>
        <w:continuationSeparator/>
      </w:r>
    </w:p>
  </w:footnote>
  <w:footnote w:type="continuationNotice" w:id="2">
    <w:p w:rsidR="002A02D3" w14:paraId="75C33843" w14:textId="77777777">
      <w:pPr>
        <w:spacing w:line="240" w:lineRule="auto"/>
      </w:pPr>
    </w:p>
  </w:footnote>
  <w:footnote w:id="3">
    <w:p w:rsidR="00495292" w14:paraId="2E61C46C" w14:textId="49F44841">
      <w:pPr>
        <w:pStyle w:val="FootnoteText"/>
      </w:pPr>
      <w:r>
        <w:rPr>
          <w:rStyle w:val="FootnoteReference"/>
        </w:rPr>
        <w:footnoteRef/>
      </w:r>
      <w:r>
        <w:t xml:space="preserve"> Group quarters, as defined by the Census, are </w:t>
      </w:r>
      <w:r w:rsidRPr="00B93490">
        <w:t>places where people live or stay, in a group living arrangement, that is owned or managed by an entity or organization providing housing and/or services for the residents</w:t>
      </w:r>
      <w:r>
        <w:t>.</w:t>
      </w:r>
    </w:p>
  </w:footnote>
  <w:footnote w:id="4">
    <w:p w:rsidR="006109AD" w:rsidP="006109AD" w14:paraId="4C675496" w14:textId="46B93803">
      <w:pPr>
        <w:pStyle w:val="FootnoteText"/>
      </w:pPr>
      <w:r>
        <w:rPr>
          <w:rStyle w:val="FootnoteReference"/>
        </w:rPr>
        <w:footnoteRef/>
      </w:r>
      <w:r>
        <w:t xml:space="preserve"> Roth, S.B., Han, </w:t>
      </w:r>
      <w:r w:rsidR="00B06C21">
        <w:t>D.,</w:t>
      </w:r>
      <w:r>
        <w:t xml:space="preserve"> and Montaquila, J.M. (2013). The ABS Frame: Quality and considerations. Survey Practice, 6(4). Available from http://surveypractice.org/index.php/SurveyPractice/article/view/73/pdf.</w:t>
      </w:r>
    </w:p>
  </w:footnote>
  <w:footnote w:id="5">
    <w:p w:rsidR="004D79D1" w:rsidP="004D79D1" w14:paraId="09EF5ED6" w14:textId="77777777">
      <w:pPr>
        <w:pStyle w:val="FootnoteText"/>
      </w:pPr>
      <w:r>
        <w:rPr>
          <w:rStyle w:val="FootnoteReference"/>
        </w:rPr>
        <w:footnoteRef/>
      </w:r>
      <w:r>
        <w:t xml:space="preserve"> The app owned by the survey contractor team is designed to capture travel. See </w:t>
      </w:r>
      <w:hyperlink r:id="rId1" w:history="1">
        <w:r w:rsidRPr="00F42777">
          <w:rPr>
            <w:rStyle w:val="Hyperlink"/>
          </w:rPr>
          <w:t>https://dailytravelapp.com/</w:t>
        </w:r>
      </w:hyperlink>
      <w:r>
        <w:t xml:space="preserve"> for additional information.</w:t>
      </w:r>
    </w:p>
  </w:footnote>
  <w:footnote w:id="6">
    <w:p w:rsidR="006109AD" w:rsidP="006109AD" w14:paraId="11C56E27" w14:textId="77777777">
      <w:pPr>
        <w:pStyle w:val="FootnoteText"/>
      </w:pPr>
      <w:r>
        <w:rPr>
          <w:rStyle w:val="FootnoteReference"/>
        </w:rPr>
        <w:footnoteRef/>
      </w:r>
      <w:r>
        <w:t xml:space="preserve"> </w:t>
      </w:r>
      <w:r w:rsidRPr="00BE4D39">
        <w:rPr>
          <w:color w:val="222222"/>
          <w:szCs w:val="20"/>
        </w:rPr>
        <w:t xml:space="preserve">Särndal, C. E., and Lundström, S. (2005). </w:t>
      </w:r>
      <w:r w:rsidRPr="00BE4D39">
        <w:rPr>
          <w:i/>
          <w:iCs/>
          <w:color w:val="222222"/>
          <w:szCs w:val="20"/>
        </w:rPr>
        <w:t>Estimation in surveys with nonresponse</w:t>
      </w:r>
      <w:r w:rsidRPr="00BE4D39">
        <w:rPr>
          <w:color w:val="222222"/>
          <w:szCs w:val="20"/>
        </w:rPr>
        <w:t>. John Wiley &amp; Sons.</w:t>
      </w:r>
    </w:p>
  </w:footnote>
  <w:footnote w:id="7">
    <w:p w:rsidR="006109AD" w:rsidP="006109AD" w14:paraId="5E1F963F" w14:textId="77777777">
      <w:pPr>
        <w:pStyle w:val="FootnoteText"/>
        <w:spacing w:before="0"/>
      </w:pPr>
      <w:r>
        <w:rPr>
          <w:rStyle w:val="FootnoteReference"/>
        </w:rPr>
        <w:footnoteRef/>
      </w:r>
      <w:r>
        <w:t xml:space="preserve"> </w:t>
      </w:r>
      <w:r w:rsidRPr="00BE4D39">
        <w:rPr>
          <w:color w:val="222222"/>
          <w:szCs w:val="18"/>
        </w:rPr>
        <w:t xml:space="preserve">Groves, R. M., Couper, M. P., Presser, S., Singer, E., Tourangeau, R., Acosta, G. P., and Nelson, L. (2006). Experiments in producing nonresponse bias. </w:t>
      </w:r>
      <w:r w:rsidRPr="00BE4D39">
        <w:rPr>
          <w:i/>
          <w:iCs/>
          <w:color w:val="222222"/>
          <w:szCs w:val="18"/>
        </w:rPr>
        <w:t>Public Opinion Quarterly</w:t>
      </w:r>
      <w:r w:rsidRPr="00BE4D39">
        <w:rPr>
          <w:color w:val="222222"/>
          <w:szCs w:val="18"/>
        </w:rPr>
        <w:t xml:space="preserve">, </w:t>
      </w:r>
      <w:r w:rsidRPr="00BE4D39">
        <w:rPr>
          <w:iCs/>
          <w:color w:val="222222"/>
          <w:szCs w:val="18"/>
        </w:rPr>
        <w:t>70</w:t>
      </w:r>
      <w:r w:rsidRPr="00BE4D39">
        <w:rPr>
          <w:color w:val="222222"/>
          <w:szCs w:val="18"/>
        </w:rPr>
        <w:t>(5), 720-736.</w:t>
      </w:r>
    </w:p>
  </w:footnote>
  <w:footnote w:id="8">
    <w:p w:rsidR="006109AD" w:rsidP="006109AD" w14:paraId="7CD3E50C" w14:textId="77777777">
      <w:pPr>
        <w:pStyle w:val="FootnoteText"/>
        <w:spacing w:before="0"/>
      </w:pPr>
      <w:r>
        <w:rPr>
          <w:rStyle w:val="FootnoteReference"/>
        </w:rPr>
        <w:footnoteRef/>
      </w:r>
      <w:r>
        <w:t xml:space="preserve"> </w:t>
      </w:r>
      <w:r w:rsidRPr="00BE4D39">
        <w:rPr>
          <w:color w:val="222222"/>
          <w:szCs w:val="20"/>
        </w:rPr>
        <w:t xml:space="preserve">Montaquila, J. M., Brick, J. M., Hagedorn, M. C., Kennedy, C., and Keeter, S. (2007). Aspects of nonresponse bias in RDD telephone surveys. </w:t>
      </w:r>
      <w:r>
        <w:rPr>
          <w:color w:val="222222"/>
          <w:szCs w:val="20"/>
        </w:rPr>
        <w:t xml:space="preserve">In </w:t>
      </w:r>
      <w:r w:rsidRPr="00BE4D39">
        <w:rPr>
          <w:i/>
          <w:iCs/>
          <w:color w:val="222222"/>
          <w:szCs w:val="20"/>
        </w:rPr>
        <w:t>Advances in telephone survey methodology</w:t>
      </w:r>
      <w:r w:rsidRPr="00BE4D39">
        <w:rPr>
          <w:color w:val="222222"/>
          <w:szCs w:val="20"/>
        </w:rPr>
        <w:t xml:space="preserve"> </w:t>
      </w:r>
      <w:r>
        <w:rPr>
          <w:color w:val="222222"/>
          <w:szCs w:val="20"/>
        </w:rPr>
        <w:t xml:space="preserve">(pp. </w:t>
      </w:r>
      <w:r w:rsidRPr="00BE4D39">
        <w:rPr>
          <w:color w:val="222222"/>
          <w:szCs w:val="20"/>
        </w:rPr>
        <w:t>561-586</w:t>
      </w:r>
      <w:r>
        <w:rPr>
          <w:color w:val="222222"/>
          <w:szCs w:val="20"/>
        </w:rPr>
        <w:t>)</w:t>
      </w:r>
      <w:r w:rsidRPr="00BE4D39">
        <w:rPr>
          <w:color w:val="222222"/>
          <w:szCs w:val="20"/>
        </w:rPr>
        <w:t>.</w:t>
      </w:r>
      <w:r>
        <w:rPr>
          <w:color w:val="222222"/>
          <w:szCs w:val="20"/>
        </w:rPr>
        <w:t xml:space="preserve"> NJ: Wiley &amp; Sons.</w:t>
      </w:r>
    </w:p>
  </w:footnote>
  <w:footnote w:id="9">
    <w:p w:rsidR="006109AD" w:rsidRPr="009C375F" w:rsidP="006109AD" w14:paraId="6806E85B" w14:textId="77777777">
      <w:pPr>
        <w:pStyle w:val="FootnoteText"/>
        <w:spacing w:before="0" w:line="240" w:lineRule="auto"/>
        <w:rPr>
          <w:szCs w:val="18"/>
        </w:rPr>
      </w:pPr>
      <w:r w:rsidRPr="009C375F">
        <w:rPr>
          <w:rStyle w:val="FootnoteReference"/>
          <w:szCs w:val="18"/>
        </w:rPr>
        <w:footnoteRef/>
      </w:r>
      <w:r w:rsidRPr="009C375F">
        <w:rPr>
          <w:szCs w:val="18"/>
        </w:rPr>
        <w:t xml:space="preserve"> Han, D., Montaquila, J., and Brick, J.M. (2013). An </w:t>
      </w:r>
      <w:r>
        <w:rPr>
          <w:szCs w:val="18"/>
        </w:rPr>
        <w:t>e</w:t>
      </w:r>
      <w:r w:rsidRPr="009C375F">
        <w:rPr>
          <w:szCs w:val="18"/>
        </w:rPr>
        <w:t xml:space="preserve">valuation of </w:t>
      </w:r>
      <w:r>
        <w:rPr>
          <w:szCs w:val="18"/>
        </w:rPr>
        <w:t>i</w:t>
      </w:r>
      <w:r w:rsidRPr="009C375F">
        <w:rPr>
          <w:szCs w:val="18"/>
        </w:rPr>
        <w:t xml:space="preserve">ncentive </w:t>
      </w:r>
      <w:r>
        <w:rPr>
          <w:szCs w:val="18"/>
        </w:rPr>
        <w:t>e</w:t>
      </w:r>
      <w:r w:rsidRPr="009C375F">
        <w:rPr>
          <w:szCs w:val="18"/>
        </w:rPr>
        <w:t xml:space="preserve">xperiments in a </w:t>
      </w:r>
      <w:r>
        <w:rPr>
          <w:szCs w:val="18"/>
        </w:rPr>
        <w:t>t</w:t>
      </w:r>
      <w:r w:rsidRPr="009C375F">
        <w:rPr>
          <w:szCs w:val="18"/>
        </w:rPr>
        <w:t>wo-</w:t>
      </w:r>
      <w:r>
        <w:rPr>
          <w:szCs w:val="18"/>
        </w:rPr>
        <w:t>p</w:t>
      </w:r>
      <w:r w:rsidRPr="009C375F">
        <w:rPr>
          <w:szCs w:val="18"/>
        </w:rPr>
        <w:t xml:space="preserve">hase </w:t>
      </w:r>
      <w:r>
        <w:rPr>
          <w:szCs w:val="18"/>
        </w:rPr>
        <w:t>a</w:t>
      </w:r>
      <w:r w:rsidRPr="009C375F">
        <w:rPr>
          <w:szCs w:val="18"/>
        </w:rPr>
        <w:t>ddress-</w:t>
      </w:r>
      <w:r>
        <w:rPr>
          <w:szCs w:val="18"/>
        </w:rPr>
        <w:t>b</w:t>
      </w:r>
      <w:r w:rsidRPr="009C375F">
        <w:rPr>
          <w:szCs w:val="18"/>
        </w:rPr>
        <w:t xml:space="preserve">ased </w:t>
      </w:r>
      <w:r>
        <w:rPr>
          <w:szCs w:val="18"/>
        </w:rPr>
        <w:t>s</w:t>
      </w:r>
      <w:r w:rsidRPr="009C375F">
        <w:rPr>
          <w:szCs w:val="18"/>
        </w:rPr>
        <w:t xml:space="preserve">ample </w:t>
      </w:r>
      <w:r>
        <w:rPr>
          <w:szCs w:val="18"/>
        </w:rPr>
        <w:t>m</w:t>
      </w:r>
      <w:r w:rsidRPr="009C375F">
        <w:rPr>
          <w:szCs w:val="18"/>
        </w:rPr>
        <w:t xml:space="preserve">ail </w:t>
      </w:r>
      <w:r>
        <w:rPr>
          <w:szCs w:val="18"/>
        </w:rPr>
        <w:t>s</w:t>
      </w:r>
      <w:r w:rsidRPr="009C375F">
        <w:rPr>
          <w:szCs w:val="18"/>
        </w:rPr>
        <w:t>urvey</w:t>
      </w:r>
      <w:r>
        <w:rPr>
          <w:szCs w:val="18"/>
        </w:rPr>
        <w:t>.</w:t>
      </w:r>
      <w:r w:rsidRPr="009C375F">
        <w:rPr>
          <w:szCs w:val="18"/>
        </w:rPr>
        <w:t xml:space="preserve"> </w:t>
      </w:r>
      <w:r w:rsidRPr="009C375F">
        <w:rPr>
          <w:i/>
          <w:szCs w:val="18"/>
        </w:rPr>
        <w:t>Survey Research Methods</w:t>
      </w:r>
      <w:r w:rsidRPr="009C375F">
        <w:rPr>
          <w:szCs w:val="18"/>
        </w:rPr>
        <w:t>, 7, 207-218.</w:t>
      </w:r>
    </w:p>
  </w:footnote>
  <w:footnote w:id="10">
    <w:p w:rsidR="006109AD" w:rsidRPr="009C375F" w:rsidP="006109AD" w14:paraId="6C0CD395" w14:textId="77777777">
      <w:pPr>
        <w:pStyle w:val="FootnoteText"/>
        <w:spacing w:before="0" w:line="240" w:lineRule="auto"/>
        <w:rPr>
          <w:szCs w:val="18"/>
        </w:rPr>
      </w:pPr>
      <w:r w:rsidRPr="009C375F">
        <w:rPr>
          <w:rStyle w:val="FootnoteReference"/>
          <w:szCs w:val="18"/>
        </w:rPr>
        <w:footnoteRef/>
      </w:r>
      <w:r w:rsidRPr="009C375F">
        <w:rPr>
          <w:szCs w:val="18"/>
        </w:rPr>
        <w:t xml:space="preserve"> Dillman, </w:t>
      </w:r>
      <w:r>
        <w:rPr>
          <w:szCs w:val="18"/>
        </w:rPr>
        <w:t>D.</w:t>
      </w:r>
      <w:r w:rsidRPr="009C375F">
        <w:rPr>
          <w:szCs w:val="18"/>
        </w:rPr>
        <w:t xml:space="preserve">, Smyth, </w:t>
      </w:r>
      <w:r>
        <w:rPr>
          <w:szCs w:val="18"/>
        </w:rPr>
        <w:t xml:space="preserve">J., </w:t>
      </w:r>
      <w:r w:rsidRPr="009C375F">
        <w:rPr>
          <w:szCs w:val="18"/>
        </w:rPr>
        <w:t>and Christian</w:t>
      </w:r>
      <w:r>
        <w:rPr>
          <w:szCs w:val="18"/>
        </w:rPr>
        <w:t>, L</w:t>
      </w:r>
      <w:r w:rsidRPr="009C375F">
        <w:rPr>
          <w:szCs w:val="18"/>
        </w:rPr>
        <w:t>. (2009)</w:t>
      </w:r>
      <w:r w:rsidRPr="009C375F">
        <w:rPr>
          <w:i/>
          <w:szCs w:val="18"/>
        </w:rPr>
        <w:t xml:space="preserve">. Internet, </w:t>
      </w:r>
      <w:r>
        <w:rPr>
          <w:i/>
          <w:szCs w:val="18"/>
        </w:rPr>
        <w:t>m</w:t>
      </w:r>
      <w:r w:rsidRPr="009C375F">
        <w:rPr>
          <w:i/>
          <w:szCs w:val="18"/>
        </w:rPr>
        <w:t xml:space="preserve">ail, and </w:t>
      </w:r>
      <w:r>
        <w:rPr>
          <w:i/>
          <w:szCs w:val="18"/>
        </w:rPr>
        <w:t>m</w:t>
      </w:r>
      <w:r w:rsidRPr="009C375F">
        <w:rPr>
          <w:i/>
          <w:szCs w:val="18"/>
        </w:rPr>
        <w:t>ixed-</w:t>
      </w:r>
      <w:r>
        <w:rPr>
          <w:i/>
          <w:szCs w:val="18"/>
        </w:rPr>
        <w:t>m</w:t>
      </w:r>
      <w:r w:rsidRPr="009C375F">
        <w:rPr>
          <w:i/>
          <w:szCs w:val="18"/>
        </w:rPr>
        <w:t xml:space="preserve">ode </w:t>
      </w:r>
      <w:r>
        <w:rPr>
          <w:i/>
          <w:szCs w:val="18"/>
        </w:rPr>
        <w:t>s</w:t>
      </w:r>
      <w:r w:rsidRPr="009C375F">
        <w:rPr>
          <w:i/>
          <w:szCs w:val="18"/>
        </w:rPr>
        <w:t xml:space="preserve">urveys: The </w:t>
      </w:r>
      <w:r>
        <w:rPr>
          <w:i/>
          <w:szCs w:val="18"/>
        </w:rPr>
        <w:t>t</w:t>
      </w:r>
      <w:r w:rsidRPr="009C375F">
        <w:rPr>
          <w:i/>
          <w:szCs w:val="18"/>
        </w:rPr>
        <w:t xml:space="preserve">ailored </w:t>
      </w:r>
      <w:r>
        <w:rPr>
          <w:i/>
          <w:szCs w:val="18"/>
        </w:rPr>
        <w:t>d</w:t>
      </w:r>
      <w:r w:rsidRPr="009C375F">
        <w:rPr>
          <w:i/>
          <w:szCs w:val="18"/>
        </w:rPr>
        <w:t xml:space="preserve">esign </w:t>
      </w:r>
      <w:r>
        <w:rPr>
          <w:i/>
          <w:szCs w:val="18"/>
        </w:rPr>
        <w:t>m</w:t>
      </w:r>
      <w:r w:rsidRPr="009C375F">
        <w:rPr>
          <w:i/>
          <w:szCs w:val="18"/>
        </w:rPr>
        <w:t>ethod</w:t>
      </w:r>
      <w:r w:rsidRPr="009C375F">
        <w:rPr>
          <w:szCs w:val="18"/>
        </w:rPr>
        <w:t>. Hoboken, NJ</w:t>
      </w:r>
      <w:r>
        <w:rPr>
          <w:szCs w:val="18"/>
        </w:rPr>
        <w:t>:</w:t>
      </w:r>
      <w:r w:rsidRPr="009C375F">
        <w:rPr>
          <w:szCs w:val="18"/>
        </w:rPr>
        <w:t xml:space="preserve"> John Wiley &amp; Sons.</w:t>
      </w:r>
    </w:p>
  </w:footnote>
  <w:footnote w:id="11">
    <w:p w:rsidR="006109AD" w:rsidRPr="009C375F" w:rsidP="006109AD" w14:paraId="431DE3E1" w14:textId="77777777">
      <w:pPr>
        <w:pStyle w:val="FootnoteText"/>
        <w:spacing w:before="0" w:line="240" w:lineRule="auto"/>
        <w:rPr>
          <w:szCs w:val="18"/>
        </w:rPr>
      </w:pPr>
      <w:r w:rsidRPr="009C375F">
        <w:rPr>
          <w:rStyle w:val="FootnoteReference"/>
          <w:szCs w:val="18"/>
        </w:rPr>
        <w:footnoteRef/>
      </w:r>
      <w:r w:rsidRPr="009C375F">
        <w:rPr>
          <w:szCs w:val="18"/>
        </w:rPr>
        <w:t xml:space="preserve"> </w:t>
      </w:r>
      <w:r w:rsidRPr="009C375F">
        <w:rPr>
          <w:color w:val="222222"/>
          <w:szCs w:val="18"/>
          <w:shd w:val="clear" w:color="auto" w:fill="FFFFFF"/>
        </w:rPr>
        <w:t xml:space="preserve">Messer, </w:t>
      </w:r>
      <w:r>
        <w:rPr>
          <w:color w:val="222222"/>
          <w:szCs w:val="18"/>
          <w:shd w:val="clear" w:color="auto" w:fill="FFFFFF"/>
        </w:rPr>
        <w:t>B.</w:t>
      </w:r>
      <w:r w:rsidRPr="009C375F">
        <w:rPr>
          <w:color w:val="222222"/>
          <w:szCs w:val="18"/>
          <w:shd w:val="clear" w:color="auto" w:fill="FFFFFF"/>
        </w:rPr>
        <w:t>L</w:t>
      </w:r>
      <w:r>
        <w:rPr>
          <w:color w:val="222222"/>
          <w:szCs w:val="18"/>
          <w:shd w:val="clear" w:color="auto" w:fill="FFFFFF"/>
        </w:rPr>
        <w:t>.,</w:t>
      </w:r>
      <w:r w:rsidRPr="009C375F">
        <w:rPr>
          <w:color w:val="222222"/>
          <w:szCs w:val="18"/>
          <w:shd w:val="clear" w:color="auto" w:fill="FFFFFF"/>
        </w:rPr>
        <w:t xml:space="preserve"> and Dillman</w:t>
      </w:r>
      <w:r>
        <w:rPr>
          <w:color w:val="222222"/>
          <w:szCs w:val="18"/>
          <w:shd w:val="clear" w:color="auto" w:fill="FFFFFF"/>
        </w:rPr>
        <w:t>, D</w:t>
      </w:r>
      <w:r w:rsidRPr="009C375F">
        <w:rPr>
          <w:color w:val="222222"/>
          <w:szCs w:val="18"/>
          <w:shd w:val="clear" w:color="auto" w:fill="FFFFFF"/>
        </w:rPr>
        <w:t xml:space="preserve">. (2011). Surveying the general public over the internet using address-based sampling and mail contact procedures. </w:t>
      </w:r>
      <w:r w:rsidRPr="009C375F">
        <w:rPr>
          <w:i/>
          <w:iCs/>
          <w:color w:val="222222"/>
          <w:szCs w:val="18"/>
          <w:shd w:val="clear" w:color="auto" w:fill="FFFFFF"/>
        </w:rPr>
        <w:t>Public Opinion Quarterly</w:t>
      </w:r>
      <w:r>
        <w:rPr>
          <w:i/>
          <w:iCs/>
          <w:color w:val="222222"/>
          <w:szCs w:val="18"/>
          <w:shd w:val="clear" w:color="auto" w:fill="FFFFFF"/>
        </w:rPr>
        <w:t>,</w:t>
      </w:r>
      <w:r w:rsidRPr="009C375F">
        <w:rPr>
          <w:rStyle w:val="apple-converted-space"/>
          <w:color w:val="222222"/>
          <w:szCs w:val="18"/>
          <w:shd w:val="clear" w:color="auto" w:fill="FFFFFF"/>
        </w:rPr>
        <w:t> </w:t>
      </w:r>
      <w:r w:rsidRPr="009C375F">
        <w:rPr>
          <w:color w:val="222222"/>
          <w:szCs w:val="18"/>
          <w:shd w:val="clear" w:color="auto" w:fill="FFFFFF"/>
        </w:rPr>
        <w:t>75</w:t>
      </w:r>
      <w:r>
        <w:rPr>
          <w:color w:val="222222"/>
          <w:szCs w:val="18"/>
          <w:shd w:val="clear" w:color="auto" w:fill="FFFFFF"/>
        </w:rPr>
        <w:t>(3),</w:t>
      </w:r>
      <w:r w:rsidRPr="009C375F">
        <w:rPr>
          <w:color w:val="222222"/>
          <w:szCs w:val="18"/>
          <w:shd w:val="clear" w:color="auto" w:fill="FFFFFF"/>
        </w:rPr>
        <w:t xml:space="preserve"> 429-457.</w:t>
      </w:r>
    </w:p>
  </w:footnote>
  <w:footnote w:id="12">
    <w:p w:rsidR="006109AD" w:rsidRPr="009C375F" w:rsidP="006109AD" w14:paraId="6CBC062D" w14:textId="77777777">
      <w:pPr>
        <w:pStyle w:val="FootnoteText"/>
        <w:spacing w:before="0" w:line="240" w:lineRule="auto"/>
        <w:rPr>
          <w:szCs w:val="18"/>
        </w:rPr>
      </w:pPr>
      <w:r w:rsidRPr="009C375F">
        <w:rPr>
          <w:rStyle w:val="FootnoteReference"/>
          <w:szCs w:val="18"/>
        </w:rPr>
        <w:footnoteRef/>
      </w:r>
      <w:r w:rsidRPr="009C375F">
        <w:rPr>
          <w:szCs w:val="18"/>
        </w:rPr>
        <w:t xml:space="preserve"> Millar, </w:t>
      </w:r>
      <w:r>
        <w:rPr>
          <w:szCs w:val="18"/>
        </w:rPr>
        <w:t>M.,</w:t>
      </w:r>
      <w:r w:rsidRPr="009C375F">
        <w:rPr>
          <w:szCs w:val="18"/>
        </w:rPr>
        <w:t xml:space="preserve"> and Dillman</w:t>
      </w:r>
      <w:r>
        <w:rPr>
          <w:szCs w:val="18"/>
        </w:rPr>
        <w:t>, D</w:t>
      </w:r>
      <w:r w:rsidRPr="009C375F">
        <w:rPr>
          <w:szCs w:val="18"/>
        </w:rPr>
        <w:t xml:space="preserve">. (2011). Improving </w:t>
      </w:r>
      <w:r>
        <w:rPr>
          <w:szCs w:val="18"/>
        </w:rPr>
        <w:t>r</w:t>
      </w:r>
      <w:r w:rsidRPr="009C375F">
        <w:rPr>
          <w:szCs w:val="18"/>
        </w:rPr>
        <w:t xml:space="preserve">esponse to </w:t>
      </w:r>
      <w:r>
        <w:rPr>
          <w:szCs w:val="18"/>
        </w:rPr>
        <w:t>w</w:t>
      </w:r>
      <w:r w:rsidRPr="009C375F">
        <w:rPr>
          <w:szCs w:val="18"/>
        </w:rPr>
        <w:t xml:space="preserve">eb and </w:t>
      </w:r>
      <w:r>
        <w:rPr>
          <w:szCs w:val="18"/>
        </w:rPr>
        <w:t>m</w:t>
      </w:r>
      <w:r w:rsidRPr="009C375F">
        <w:rPr>
          <w:szCs w:val="18"/>
        </w:rPr>
        <w:t>ixed-</w:t>
      </w:r>
      <w:r>
        <w:rPr>
          <w:szCs w:val="18"/>
        </w:rPr>
        <w:t>m</w:t>
      </w:r>
      <w:r w:rsidRPr="009C375F">
        <w:rPr>
          <w:szCs w:val="18"/>
        </w:rPr>
        <w:t xml:space="preserve">ode </w:t>
      </w:r>
      <w:r>
        <w:rPr>
          <w:szCs w:val="18"/>
        </w:rPr>
        <w:t>s</w:t>
      </w:r>
      <w:r w:rsidRPr="009C375F">
        <w:rPr>
          <w:szCs w:val="18"/>
        </w:rPr>
        <w:t xml:space="preserve">urveys. </w:t>
      </w:r>
      <w:r w:rsidRPr="009C375F">
        <w:rPr>
          <w:i/>
          <w:szCs w:val="18"/>
        </w:rPr>
        <w:t>Public Opinion Quarterly</w:t>
      </w:r>
      <w:r w:rsidRPr="009C375F">
        <w:rPr>
          <w:szCs w:val="18"/>
        </w:rPr>
        <w:t>, 75, 249</w:t>
      </w:r>
      <w:r>
        <w:rPr>
          <w:szCs w:val="18"/>
        </w:rPr>
        <w:t>-</w:t>
      </w:r>
      <w:r w:rsidRPr="009C375F">
        <w:rPr>
          <w:szCs w:val="18"/>
        </w:rPr>
        <w:t>269.</w:t>
      </w:r>
    </w:p>
  </w:footnote>
  <w:footnote w:id="13">
    <w:p w:rsidR="006109AD" w:rsidRPr="009C375F" w:rsidP="006109AD" w14:paraId="0445EB94" w14:textId="77777777">
      <w:pPr>
        <w:pStyle w:val="FootnoteText"/>
        <w:spacing w:before="0" w:line="240" w:lineRule="auto"/>
        <w:rPr>
          <w:szCs w:val="18"/>
        </w:rPr>
      </w:pPr>
      <w:r w:rsidRPr="009C375F">
        <w:rPr>
          <w:rStyle w:val="FootnoteReference"/>
          <w:szCs w:val="18"/>
        </w:rPr>
        <w:footnoteRef/>
      </w:r>
      <w:r w:rsidRPr="009C375F">
        <w:rPr>
          <w:szCs w:val="18"/>
        </w:rPr>
        <w:t xml:space="preserve"> Ormond, </w:t>
      </w:r>
      <w:r>
        <w:rPr>
          <w:szCs w:val="18"/>
        </w:rPr>
        <w:t>B.</w:t>
      </w:r>
      <w:r w:rsidRPr="009C375F">
        <w:rPr>
          <w:szCs w:val="18"/>
        </w:rPr>
        <w:t xml:space="preserve">A., Triplett, </w:t>
      </w:r>
      <w:r>
        <w:rPr>
          <w:szCs w:val="18"/>
        </w:rPr>
        <w:t>T</w:t>
      </w:r>
      <w:r w:rsidRPr="009C375F">
        <w:rPr>
          <w:szCs w:val="18"/>
        </w:rPr>
        <w:t>.</w:t>
      </w:r>
      <w:r>
        <w:rPr>
          <w:szCs w:val="18"/>
        </w:rPr>
        <w:t>,</w:t>
      </w:r>
      <w:r w:rsidRPr="009C375F">
        <w:rPr>
          <w:szCs w:val="18"/>
        </w:rPr>
        <w:t xml:space="preserve"> Long, </w:t>
      </w:r>
      <w:r>
        <w:rPr>
          <w:szCs w:val="18"/>
        </w:rPr>
        <w:t>S.K.,</w:t>
      </w:r>
      <w:r w:rsidRPr="009C375F">
        <w:rPr>
          <w:szCs w:val="18"/>
        </w:rPr>
        <w:t xml:space="preserve"> Dutwin</w:t>
      </w:r>
      <w:r>
        <w:rPr>
          <w:szCs w:val="18"/>
        </w:rPr>
        <w:t>, D.,</w:t>
      </w:r>
      <w:r w:rsidRPr="009C375F">
        <w:rPr>
          <w:szCs w:val="18"/>
        </w:rPr>
        <w:t xml:space="preserve"> and Rapoport</w:t>
      </w:r>
      <w:r>
        <w:rPr>
          <w:szCs w:val="18"/>
        </w:rPr>
        <w:t>, R</w:t>
      </w:r>
      <w:r w:rsidRPr="009C375F">
        <w:rPr>
          <w:szCs w:val="18"/>
        </w:rPr>
        <w:t xml:space="preserve">. (2010). 2009 District of Columbia Health Insurance Survey: Methodology </w:t>
      </w:r>
      <w:r>
        <w:rPr>
          <w:szCs w:val="18"/>
        </w:rPr>
        <w:t>r</w:t>
      </w:r>
      <w:r w:rsidRPr="009C375F">
        <w:rPr>
          <w:szCs w:val="18"/>
        </w:rPr>
        <w:t>eport.</w:t>
      </w:r>
      <w:r>
        <w:rPr>
          <w:szCs w:val="18"/>
        </w:rPr>
        <w:t xml:space="preserve"> Available from</w:t>
      </w:r>
      <w:r w:rsidRPr="009C375F">
        <w:rPr>
          <w:szCs w:val="18"/>
        </w:rPr>
        <w:t xml:space="preserve"> </w:t>
      </w:r>
      <w:hyperlink r:id="rId2" w:history="1">
        <w:r w:rsidRPr="009C375F">
          <w:rPr>
            <w:rStyle w:val="Hyperlink"/>
            <w:szCs w:val="18"/>
          </w:rPr>
          <w:t>http://www.urban.org/publications/1001376.html</w:t>
        </w:r>
      </w:hyperlink>
      <w:r w:rsidRPr="009C375F">
        <w:rPr>
          <w:szCs w:val="18"/>
        </w:rPr>
        <w:t>.</w:t>
      </w:r>
    </w:p>
  </w:footnote>
  <w:footnote w:id="14">
    <w:p w:rsidR="006109AD" w:rsidRPr="009C375F" w:rsidP="006109AD" w14:paraId="096B50BB" w14:textId="77777777">
      <w:pPr>
        <w:pStyle w:val="FootnoteText"/>
        <w:spacing w:before="0" w:line="240" w:lineRule="auto"/>
        <w:rPr>
          <w:szCs w:val="18"/>
        </w:rPr>
      </w:pPr>
      <w:r w:rsidRPr="009C375F">
        <w:rPr>
          <w:rStyle w:val="FootnoteReference"/>
          <w:szCs w:val="18"/>
        </w:rPr>
        <w:footnoteRef/>
      </w:r>
      <w:r w:rsidRPr="009C375F">
        <w:rPr>
          <w:szCs w:val="18"/>
        </w:rPr>
        <w:t xml:space="preserve"> Ormond, </w:t>
      </w:r>
      <w:r>
        <w:rPr>
          <w:szCs w:val="18"/>
        </w:rPr>
        <w:t>B.</w:t>
      </w:r>
      <w:r w:rsidRPr="009C375F">
        <w:rPr>
          <w:szCs w:val="18"/>
        </w:rPr>
        <w:t xml:space="preserve">A., Triplett, </w:t>
      </w:r>
      <w:r>
        <w:rPr>
          <w:szCs w:val="18"/>
        </w:rPr>
        <w:t xml:space="preserve">T., </w:t>
      </w:r>
      <w:r w:rsidRPr="009C375F">
        <w:rPr>
          <w:szCs w:val="18"/>
        </w:rPr>
        <w:t xml:space="preserve">Long, </w:t>
      </w:r>
      <w:r>
        <w:rPr>
          <w:szCs w:val="18"/>
        </w:rPr>
        <w:t xml:space="preserve">S.K., </w:t>
      </w:r>
      <w:r w:rsidRPr="009C375F">
        <w:rPr>
          <w:szCs w:val="18"/>
        </w:rPr>
        <w:t>Dutwin</w:t>
      </w:r>
      <w:r>
        <w:rPr>
          <w:szCs w:val="18"/>
        </w:rPr>
        <w:t>, D.,</w:t>
      </w:r>
      <w:r w:rsidRPr="009C375F">
        <w:rPr>
          <w:szCs w:val="18"/>
        </w:rPr>
        <w:t xml:space="preserve"> and Rapoport</w:t>
      </w:r>
      <w:r>
        <w:rPr>
          <w:szCs w:val="18"/>
        </w:rPr>
        <w:t>, R.</w:t>
      </w:r>
      <w:r w:rsidRPr="009C375F">
        <w:rPr>
          <w:szCs w:val="18"/>
        </w:rPr>
        <w:t xml:space="preserve"> (2010). 2009 District of Columbia Health Insurance Survey: Methodology </w:t>
      </w:r>
      <w:r>
        <w:rPr>
          <w:szCs w:val="18"/>
        </w:rPr>
        <w:t>r</w:t>
      </w:r>
      <w:r w:rsidRPr="009C375F">
        <w:rPr>
          <w:szCs w:val="18"/>
        </w:rPr>
        <w:t>eport.</w:t>
      </w:r>
      <w:r>
        <w:rPr>
          <w:szCs w:val="18"/>
        </w:rPr>
        <w:t xml:space="preserve"> Available from</w:t>
      </w:r>
      <w:r w:rsidRPr="009C375F">
        <w:rPr>
          <w:szCs w:val="18"/>
        </w:rPr>
        <w:t xml:space="preserve"> </w:t>
      </w:r>
      <w:hyperlink r:id="rId2" w:history="1">
        <w:r w:rsidRPr="009C375F">
          <w:rPr>
            <w:rStyle w:val="Hyperlink"/>
            <w:szCs w:val="18"/>
          </w:rPr>
          <w:t>http://www.urban.org/publications/1001376.html</w:t>
        </w:r>
      </w:hyperlink>
      <w:r w:rsidRPr="009C375F">
        <w:rPr>
          <w:szCs w:val="18"/>
        </w:rPr>
        <w:t>.</w:t>
      </w:r>
    </w:p>
  </w:footnote>
  <w:footnote w:id="15">
    <w:p w:rsidR="006109AD" w:rsidRPr="009C375F" w:rsidP="006109AD" w14:paraId="7504BFBE" w14:textId="77777777">
      <w:pPr>
        <w:pStyle w:val="FootnoteText"/>
        <w:spacing w:before="0" w:line="240" w:lineRule="auto"/>
        <w:rPr>
          <w:szCs w:val="18"/>
        </w:rPr>
      </w:pPr>
      <w:r w:rsidRPr="009C375F">
        <w:rPr>
          <w:rStyle w:val="FootnoteReference"/>
          <w:szCs w:val="18"/>
        </w:rPr>
        <w:footnoteRef/>
      </w:r>
      <w:r w:rsidRPr="009C375F">
        <w:rPr>
          <w:szCs w:val="18"/>
        </w:rPr>
        <w:t xml:space="preserve"> Brick,</w:t>
      </w:r>
      <w:r>
        <w:rPr>
          <w:szCs w:val="18"/>
        </w:rPr>
        <w:t xml:space="preserve"> </w:t>
      </w:r>
      <w:r w:rsidRPr="009C375F">
        <w:rPr>
          <w:szCs w:val="18"/>
        </w:rPr>
        <w:t>J.</w:t>
      </w:r>
      <w:r>
        <w:rPr>
          <w:szCs w:val="18"/>
        </w:rPr>
        <w:t>M.</w:t>
      </w:r>
      <w:r w:rsidRPr="009C375F">
        <w:rPr>
          <w:szCs w:val="18"/>
        </w:rPr>
        <w:t xml:space="preserve">, Williams, </w:t>
      </w:r>
      <w:r>
        <w:rPr>
          <w:szCs w:val="18"/>
        </w:rPr>
        <w:t>D.</w:t>
      </w:r>
      <w:r w:rsidRPr="009C375F">
        <w:rPr>
          <w:szCs w:val="18"/>
        </w:rPr>
        <w:t>, and Montaquila</w:t>
      </w:r>
      <w:r>
        <w:rPr>
          <w:szCs w:val="18"/>
        </w:rPr>
        <w:t>, J</w:t>
      </w:r>
      <w:r w:rsidRPr="009C375F">
        <w:rPr>
          <w:szCs w:val="18"/>
        </w:rPr>
        <w:t>. (2011). Address-</w:t>
      </w:r>
      <w:r>
        <w:rPr>
          <w:szCs w:val="18"/>
        </w:rPr>
        <w:t>b</w:t>
      </w:r>
      <w:r w:rsidRPr="009C375F">
        <w:rPr>
          <w:szCs w:val="18"/>
        </w:rPr>
        <w:t xml:space="preserve">ased </w:t>
      </w:r>
      <w:r>
        <w:rPr>
          <w:szCs w:val="18"/>
        </w:rPr>
        <w:t>s</w:t>
      </w:r>
      <w:r w:rsidRPr="009C375F">
        <w:rPr>
          <w:szCs w:val="18"/>
        </w:rPr>
        <w:t xml:space="preserve">ampling for </w:t>
      </w:r>
      <w:r>
        <w:rPr>
          <w:szCs w:val="18"/>
        </w:rPr>
        <w:t>s</w:t>
      </w:r>
      <w:r w:rsidRPr="009C375F">
        <w:rPr>
          <w:szCs w:val="18"/>
        </w:rPr>
        <w:t xml:space="preserve">ubpopulation </w:t>
      </w:r>
      <w:r>
        <w:rPr>
          <w:szCs w:val="18"/>
        </w:rPr>
        <w:t>s</w:t>
      </w:r>
      <w:r w:rsidRPr="009C375F">
        <w:rPr>
          <w:szCs w:val="18"/>
        </w:rPr>
        <w:t xml:space="preserve">urveys. </w:t>
      </w:r>
      <w:r w:rsidRPr="009C375F">
        <w:rPr>
          <w:i/>
          <w:iCs/>
          <w:szCs w:val="18"/>
        </w:rPr>
        <w:t>Public Opinion Quarterly</w:t>
      </w:r>
      <w:r w:rsidRPr="009C375F">
        <w:rPr>
          <w:szCs w:val="18"/>
        </w:rPr>
        <w:t>, 75, 409-428.</w:t>
      </w:r>
    </w:p>
  </w:footnote>
  <w:footnote w:id="16">
    <w:p w:rsidR="006109AD" w:rsidRPr="009C375F" w:rsidP="006109AD" w14:paraId="523CC380" w14:textId="77777777">
      <w:pPr>
        <w:pStyle w:val="FootnoteText"/>
        <w:spacing w:before="0" w:line="240" w:lineRule="auto"/>
        <w:rPr>
          <w:szCs w:val="18"/>
        </w:rPr>
      </w:pPr>
      <w:r w:rsidRPr="009C375F">
        <w:rPr>
          <w:rStyle w:val="FootnoteReference"/>
          <w:szCs w:val="18"/>
        </w:rPr>
        <w:footnoteRef/>
      </w:r>
      <w:r w:rsidRPr="009C375F">
        <w:rPr>
          <w:szCs w:val="18"/>
        </w:rPr>
        <w:t xml:space="preserve"> Edwards, S., Brick, J.M., and Lohr, S. (2013). </w:t>
      </w:r>
      <w:r w:rsidRPr="00094A0B">
        <w:rPr>
          <w:i/>
          <w:szCs w:val="18"/>
        </w:rPr>
        <w:t>Sample performance and cost in a two-stage ABS design with telephone interviewing</w:t>
      </w:r>
      <w:r w:rsidRPr="009C375F">
        <w:rPr>
          <w:szCs w:val="18"/>
        </w:rPr>
        <w:t>. Paper presented at AAPOR Conference, Boston, MA</w:t>
      </w:r>
      <w:r>
        <w:rPr>
          <w:szCs w:val="18"/>
        </w:rPr>
        <w:t>.</w:t>
      </w:r>
    </w:p>
  </w:footnote>
  <w:footnote w:id="17">
    <w:p w:rsidR="006109AD" w:rsidRPr="009C375F" w:rsidP="006109AD" w14:paraId="0024D980" w14:textId="57CA16C4">
      <w:pPr>
        <w:pStyle w:val="FootnoteText"/>
        <w:spacing w:before="0" w:line="240" w:lineRule="auto"/>
        <w:rPr>
          <w:szCs w:val="18"/>
        </w:rPr>
      </w:pPr>
      <w:r w:rsidRPr="009C375F">
        <w:rPr>
          <w:rStyle w:val="FootnoteReference"/>
          <w:szCs w:val="18"/>
        </w:rPr>
        <w:footnoteRef/>
      </w:r>
      <w:r w:rsidRPr="009C375F">
        <w:rPr>
          <w:szCs w:val="18"/>
        </w:rPr>
        <w:t xml:space="preserve">Leslyn, </w:t>
      </w:r>
      <w:r>
        <w:rPr>
          <w:szCs w:val="18"/>
        </w:rPr>
        <w:t xml:space="preserve">H., </w:t>
      </w:r>
      <w:r w:rsidRPr="009C375F">
        <w:rPr>
          <w:szCs w:val="18"/>
        </w:rPr>
        <w:t>ZuWallack</w:t>
      </w:r>
      <w:r>
        <w:rPr>
          <w:szCs w:val="18"/>
        </w:rPr>
        <w:t>, R.,</w:t>
      </w:r>
      <w:r w:rsidRPr="009C375F">
        <w:rPr>
          <w:szCs w:val="18"/>
        </w:rPr>
        <w:t xml:space="preserve"> and Eggers</w:t>
      </w:r>
      <w:r>
        <w:rPr>
          <w:szCs w:val="18"/>
        </w:rPr>
        <w:t>, F.</w:t>
      </w:r>
      <w:r w:rsidRPr="009C375F">
        <w:rPr>
          <w:szCs w:val="18"/>
        </w:rPr>
        <w:t xml:space="preserve"> (2012). </w:t>
      </w:r>
      <w:r w:rsidRPr="00094A0B">
        <w:rPr>
          <w:i/>
          <w:szCs w:val="18"/>
        </w:rPr>
        <w:t>Fair market rent survey design: Results of methodological experiment</w:t>
      </w:r>
      <w:r w:rsidRPr="009C375F">
        <w:rPr>
          <w:szCs w:val="18"/>
        </w:rPr>
        <w:t>.</w:t>
      </w:r>
      <w:r>
        <w:rPr>
          <w:szCs w:val="18"/>
        </w:rPr>
        <w:t xml:space="preserve"> U.S. Department of Housing and Urban Development. Available from </w:t>
      </w:r>
      <w:hyperlink r:id="rId3" w:history="1">
        <w:r w:rsidRPr="008F46E5">
          <w:rPr>
            <w:rStyle w:val="Hyperlink"/>
            <w:szCs w:val="18"/>
          </w:rPr>
          <w:t>http://www.huduser.org/portal/datasets/fmr/fmr2013p/FMR_Surveys_Experiment_Report_rev.pdf</w:t>
        </w:r>
      </w:hyperlink>
      <w:r>
        <w:rPr>
          <w:szCs w:val="18"/>
        </w:rPr>
        <w:t xml:space="preserve"> </w:t>
      </w:r>
    </w:p>
  </w:footnote>
  <w:footnote w:id="18">
    <w:p w:rsidR="006109AD" w:rsidRPr="009C375F" w:rsidP="006109AD" w14:paraId="20B8A85E" w14:textId="77777777">
      <w:pPr>
        <w:pStyle w:val="FootnoteText"/>
        <w:spacing w:before="0" w:line="240" w:lineRule="auto"/>
        <w:rPr>
          <w:szCs w:val="18"/>
        </w:rPr>
      </w:pPr>
      <w:r w:rsidRPr="009C375F">
        <w:rPr>
          <w:rStyle w:val="FootnoteReference"/>
          <w:szCs w:val="18"/>
        </w:rPr>
        <w:footnoteRef/>
      </w:r>
      <w:r w:rsidRPr="009C375F">
        <w:rPr>
          <w:szCs w:val="18"/>
        </w:rPr>
        <w:t xml:space="preserve"> Johnson, </w:t>
      </w:r>
      <w:r>
        <w:rPr>
          <w:szCs w:val="18"/>
        </w:rPr>
        <w:t>P.,</w:t>
      </w:r>
      <w:r w:rsidRPr="009C375F">
        <w:rPr>
          <w:szCs w:val="18"/>
        </w:rPr>
        <w:t xml:space="preserve"> and Williams</w:t>
      </w:r>
      <w:r>
        <w:rPr>
          <w:szCs w:val="18"/>
        </w:rPr>
        <w:t>, D</w:t>
      </w:r>
      <w:r w:rsidRPr="009C375F">
        <w:rPr>
          <w:szCs w:val="18"/>
        </w:rPr>
        <w:t xml:space="preserve">. (2010). Comparing ABS vs </w:t>
      </w:r>
      <w:r>
        <w:rPr>
          <w:szCs w:val="18"/>
        </w:rPr>
        <w:t>l</w:t>
      </w:r>
      <w:r w:rsidRPr="009C375F">
        <w:rPr>
          <w:szCs w:val="18"/>
        </w:rPr>
        <w:t xml:space="preserve">andline RDD </w:t>
      </w:r>
      <w:r>
        <w:rPr>
          <w:szCs w:val="18"/>
        </w:rPr>
        <w:t>s</w:t>
      </w:r>
      <w:r w:rsidRPr="009C375F">
        <w:rPr>
          <w:szCs w:val="18"/>
        </w:rPr>
        <w:t xml:space="preserve">ampling </w:t>
      </w:r>
      <w:r>
        <w:rPr>
          <w:szCs w:val="18"/>
        </w:rPr>
        <w:t>f</w:t>
      </w:r>
      <w:r w:rsidRPr="009C375F">
        <w:rPr>
          <w:szCs w:val="18"/>
        </w:rPr>
        <w:t xml:space="preserve">rames on the </w:t>
      </w:r>
      <w:r>
        <w:rPr>
          <w:szCs w:val="18"/>
        </w:rPr>
        <w:t>p</w:t>
      </w:r>
      <w:r w:rsidRPr="009C375F">
        <w:rPr>
          <w:szCs w:val="18"/>
        </w:rPr>
        <w:t xml:space="preserve">hone </w:t>
      </w:r>
      <w:r>
        <w:rPr>
          <w:szCs w:val="18"/>
        </w:rPr>
        <w:t>m</w:t>
      </w:r>
      <w:r w:rsidRPr="009C375F">
        <w:rPr>
          <w:szCs w:val="18"/>
        </w:rPr>
        <w:t xml:space="preserve">ode. </w:t>
      </w:r>
      <w:r w:rsidRPr="007523A6">
        <w:rPr>
          <w:i/>
          <w:szCs w:val="18"/>
        </w:rPr>
        <w:t>Survey Practice</w:t>
      </w:r>
      <w:r>
        <w:rPr>
          <w:szCs w:val="18"/>
        </w:rPr>
        <w:t xml:space="preserve">, 3(3). Available from </w:t>
      </w:r>
      <w:hyperlink r:id="rId4" w:history="1">
        <w:r w:rsidRPr="00A25330">
          <w:rPr>
            <w:rStyle w:val="Hyperlink"/>
            <w:szCs w:val="18"/>
          </w:rPr>
          <w:t>http://surveypractice.org/index.php/SurveyPractice/article/viewFile/251/pdf</w:t>
        </w:r>
      </w:hyperlink>
      <w:r>
        <w:rPr>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22791B"/>
    <w:multiLevelType w:val="hybridMultilevel"/>
    <w:tmpl w:val="BD60908C"/>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1">
    <w:nsid w:val="049507F6"/>
    <w:multiLevelType w:val="hybridMultilevel"/>
    <w:tmpl w:val="1864FD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B4B7256"/>
    <w:multiLevelType w:val="hybridMultilevel"/>
    <w:tmpl w:val="3EB059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F30F27"/>
    <w:multiLevelType w:val="hybridMultilevel"/>
    <w:tmpl w:val="026C48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B086AF7E"/>
    <w:lvl w:ilvl="0">
      <w:start w:val="1"/>
      <w:numFmt w:val="lowerLetter"/>
      <w:pStyle w:val="N4-4thBullet"/>
      <w:lvlText w:val="%1."/>
      <w:lvlJc w:val="left"/>
      <w:pPr>
        <w:tabs>
          <w:tab w:val="num" w:pos="2880"/>
        </w:tabs>
        <w:ind w:left="2880" w:hanging="576"/>
      </w:pPr>
      <w:rPr>
        <w:rFonts w:ascii="Times New Roman" w:hAnsi="Times New Roman" w:cs="Times New Roman" w:hint="default"/>
        <w:b w:val="0"/>
        <w:i w:val="0"/>
        <w:caps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C74920"/>
    <w:multiLevelType w:val="hybridMultilevel"/>
    <w:tmpl w:val="C34E1880"/>
    <w:lvl w:ilvl="0">
      <w:start w:val="1"/>
      <w:numFmt w:val="bullet"/>
      <w:lvlText w:val=""/>
      <w:lvlJc w:val="left"/>
      <w:pPr>
        <w:tabs>
          <w:tab w:val="num" w:pos="504"/>
        </w:tabs>
        <w:ind w:left="504"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3D6BAD"/>
    <w:multiLevelType w:val="hybridMultilevel"/>
    <w:tmpl w:val="1BDC452C"/>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7">
    <w:nsid w:val="32495D27"/>
    <w:multiLevelType w:val="singleLevel"/>
    <w:tmpl w:val="36864356"/>
    <w:lvl w:ilvl="0">
      <w:start w:val="1"/>
      <w:numFmt w:val="bullet"/>
      <w:pStyle w:val="N2-2ndBullet"/>
      <w:lvlText w:val="–"/>
      <w:lvlJc w:val="left"/>
      <w:pPr>
        <w:tabs>
          <w:tab w:val="num" w:pos="1728"/>
        </w:tabs>
        <w:ind w:left="1728" w:hanging="576"/>
      </w:pPr>
      <w:rPr>
        <w:rFonts w:ascii="Times New Roman" w:hAnsi="Times New Roman" w:cs="Times New Roman" w:hint="default"/>
        <w:sz w:val="28"/>
        <w:szCs w:val="36"/>
      </w:rPr>
    </w:lvl>
  </w:abstractNum>
  <w:abstractNum w:abstractNumId="8">
    <w:nsid w:val="32552CC1"/>
    <w:multiLevelType w:val="hybridMultilevel"/>
    <w:tmpl w:val="FC40D8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F222BA"/>
    <w:multiLevelType w:val="hybridMultilevel"/>
    <w:tmpl w:val="0A34D132"/>
    <w:lvl w:ilvl="0">
      <w:start w:val="1"/>
      <w:numFmt w:val="decimal"/>
      <w:lvlText w:val="%1."/>
      <w:lvlJc w:val="left"/>
      <w:pPr>
        <w:tabs>
          <w:tab w:val="num" w:pos="1152"/>
        </w:tabs>
        <w:ind w:left="1152" w:hanging="576"/>
      </w:pPr>
      <w:rPr>
        <w:rFont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BC06784"/>
    <w:multiLevelType w:val="hybridMultilevel"/>
    <w:tmpl w:val="F23ED1DE"/>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E272F80"/>
    <w:multiLevelType w:val="hybridMultilevel"/>
    <w:tmpl w:val="F878CE72"/>
    <w:lvl w:ilvl="0">
      <w:start w:val="1"/>
      <w:numFmt w:val="decimal"/>
      <w:pStyle w:val="N3-3rdBullet"/>
      <w:lvlText w:val="%1."/>
      <w:lvlJc w:val="left"/>
      <w:pPr>
        <w:tabs>
          <w:tab w:val="num" w:pos="2304"/>
        </w:tabs>
        <w:ind w:left="2304" w:hanging="576"/>
      </w:pPr>
      <w:rPr>
        <w:rFonts w:ascii="Times New Roman" w:hAnsi="Times New Roman" w:cs="Times New Roman"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2491D2D"/>
    <w:multiLevelType w:val="hybridMultilevel"/>
    <w:tmpl w:val="D47066E8"/>
    <w:lvl w:ilvl="0">
      <w:start w:val="1"/>
      <w:numFmt w:val="bullet"/>
      <w:pStyle w:val="N1-1stBullet"/>
      <w:lvlText w:val=""/>
      <w:lvlJc w:val="left"/>
      <w:pPr>
        <w:tabs>
          <w:tab w:val="num" w:pos="1152"/>
        </w:tabs>
        <w:ind w:left="1152" w:hanging="576"/>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99D4BC1"/>
    <w:multiLevelType w:val="hybridMultilevel"/>
    <w:tmpl w:val="1E3099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EA7249C"/>
    <w:multiLevelType w:val="hybridMultilevel"/>
    <w:tmpl w:val="5EB6DFB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532B6408"/>
    <w:multiLevelType w:val="hybridMultilevel"/>
    <w:tmpl w:val="AF4EBC8E"/>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16">
    <w:nsid w:val="53A40EBA"/>
    <w:multiLevelType w:val="hybridMultilevel"/>
    <w:tmpl w:val="3EDE2CB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7">
    <w:nsid w:val="54EB087F"/>
    <w:multiLevelType w:val="hybridMultilevel"/>
    <w:tmpl w:val="4FFE1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C957877"/>
    <w:multiLevelType w:val="hybridMultilevel"/>
    <w:tmpl w:val="9F3E9942"/>
    <w:lvl w:ilvl="0">
      <w:start w:val="1"/>
      <w:numFmt w:val="bullet"/>
      <w:lvlText w:val=""/>
      <w:lvlJc w:val="left"/>
      <w:pPr>
        <w:tabs>
          <w:tab w:val="num" w:pos="2232"/>
        </w:tabs>
        <w:ind w:left="2232" w:hanging="360"/>
      </w:pPr>
      <w:rPr>
        <w:rFonts w:ascii="Symbol" w:hAnsi="Symbol" w:hint="default"/>
      </w:rPr>
    </w:lvl>
    <w:lvl w:ilvl="1" w:tentative="1">
      <w:start w:val="1"/>
      <w:numFmt w:val="bullet"/>
      <w:lvlText w:val="o"/>
      <w:lvlJc w:val="left"/>
      <w:pPr>
        <w:tabs>
          <w:tab w:val="num" w:pos="2952"/>
        </w:tabs>
        <w:ind w:left="2952" w:hanging="360"/>
      </w:pPr>
      <w:rPr>
        <w:rFonts w:ascii="Courier New" w:hAnsi="Courier New" w:cs="Courier New" w:hint="default"/>
      </w:rPr>
    </w:lvl>
    <w:lvl w:ilvl="2" w:tentative="1">
      <w:start w:val="1"/>
      <w:numFmt w:val="bullet"/>
      <w:lvlText w:val=""/>
      <w:lvlJc w:val="left"/>
      <w:pPr>
        <w:tabs>
          <w:tab w:val="num" w:pos="3672"/>
        </w:tabs>
        <w:ind w:left="3672" w:hanging="360"/>
      </w:pPr>
      <w:rPr>
        <w:rFonts w:ascii="Wingdings" w:hAnsi="Wingdings" w:hint="default"/>
      </w:rPr>
    </w:lvl>
    <w:lvl w:ilvl="3" w:tentative="1">
      <w:start w:val="1"/>
      <w:numFmt w:val="bullet"/>
      <w:lvlText w:val=""/>
      <w:lvlJc w:val="left"/>
      <w:pPr>
        <w:tabs>
          <w:tab w:val="num" w:pos="4392"/>
        </w:tabs>
        <w:ind w:left="4392" w:hanging="360"/>
      </w:pPr>
      <w:rPr>
        <w:rFonts w:ascii="Symbol" w:hAnsi="Symbol" w:hint="default"/>
      </w:rPr>
    </w:lvl>
    <w:lvl w:ilvl="4" w:tentative="1">
      <w:start w:val="1"/>
      <w:numFmt w:val="bullet"/>
      <w:lvlText w:val="o"/>
      <w:lvlJc w:val="left"/>
      <w:pPr>
        <w:tabs>
          <w:tab w:val="num" w:pos="5112"/>
        </w:tabs>
        <w:ind w:left="5112" w:hanging="360"/>
      </w:pPr>
      <w:rPr>
        <w:rFonts w:ascii="Courier New" w:hAnsi="Courier New" w:cs="Courier New" w:hint="default"/>
      </w:rPr>
    </w:lvl>
    <w:lvl w:ilvl="5" w:tentative="1">
      <w:start w:val="1"/>
      <w:numFmt w:val="bullet"/>
      <w:lvlText w:val=""/>
      <w:lvlJc w:val="left"/>
      <w:pPr>
        <w:tabs>
          <w:tab w:val="num" w:pos="5832"/>
        </w:tabs>
        <w:ind w:left="5832" w:hanging="360"/>
      </w:pPr>
      <w:rPr>
        <w:rFonts w:ascii="Wingdings" w:hAnsi="Wingdings" w:hint="default"/>
      </w:rPr>
    </w:lvl>
    <w:lvl w:ilvl="6" w:tentative="1">
      <w:start w:val="1"/>
      <w:numFmt w:val="bullet"/>
      <w:lvlText w:val=""/>
      <w:lvlJc w:val="left"/>
      <w:pPr>
        <w:tabs>
          <w:tab w:val="num" w:pos="6552"/>
        </w:tabs>
        <w:ind w:left="6552" w:hanging="360"/>
      </w:pPr>
      <w:rPr>
        <w:rFonts w:ascii="Symbol" w:hAnsi="Symbol" w:hint="default"/>
      </w:rPr>
    </w:lvl>
    <w:lvl w:ilvl="7" w:tentative="1">
      <w:start w:val="1"/>
      <w:numFmt w:val="bullet"/>
      <w:lvlText w:val="o"/>
      <w:lvlJc w:val="left"/>
      <w:pPr>
        <w:tabs>
          <w:tab w:val="num" w:pos="7272"/>
        </w:tabs>
        <w:ind w:left="7272" w:hanging="360"/>
      </w:pPr>
      <w:rPr>
        <w:rFonts w:ascii="Courier New" w:hAnsi="Courier New" w:cs="Courier New" w:hint="default"/>
      </w:rPr>
    </w:lvl>
    <w:lvl w:ilvl="8" w:tentative="1">
      <w:start w:val="1"/>
      <w:numFmt w:val="bullet"/>
      <w:lvlText w:val=""/>
      <w:lvlJc w:val="left"/>
      <w:pPr>
        <w:tabs>
          <w:tab w:val="num" w:pos="7992"/>
        </w:tabs>
        <w:ind w:left="7992" w:hanging="360"/>
      </w:pPr>
      <w:rPr>
        <w:rFonts w:ascii="Wingdings" w:hAnsi="Wingdings" w:hint="default"/>
      </w:rPr>
    </w:lvl>
  </w:abstractNum>
  <w:abstractNum w:abstractNumId="19">
    <w:nsid w:val="5D973C69"/>
    <w:multiLevelType w:val="hybridMultilevel"/>
    <w:tmpl w:val="A0F66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5D5B3A"/>
    <w:multiLevelType w:val="hybridMultilevel"/>
    <w:tmpl w:val="1B109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AC5253"/>
    <w:multiLevelType w:val="hybridMultilevel"/>
    <w:tmpl w:val="1E3099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1BC1859"/>
    <w:multiLevelType w:val="hybridMultilevel"/>
    <w:tmpl w:val="693692C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0F6E30"/>
    <w:multiLevelType w:val="hybridMultilevel"/>
    <w:tmpl w:val="7A020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1E2DBA"/>
    <w:multiLevelType w:val="hybridMultilevel"/>
    <w:tmpl w:val="E004769A"/>
    <w:lvl w:ilvl="0">
      <w:start w:val="1"/>
      <w:numFmt w:val="bullet"/>
      <w:lvlText w:val=""/>
      <w:lvlJc w:val="left"/>
      <w:pPr>
        <w:tabs>
          <w:tab w:val="num" w:pos="3600"/>
        </w:tabs>
        <w:ind w:left="3600" w:hanging="360"/>
      </w:pPr>
      <w:rPr>
        <w:rFonts w:ascii="Symbol" w:hAnsi="Symbol" w:hint="default"/>
      </w:rPr>
    </w:lvl>
    <w:lvl w:ilvl="1" w:tentative="1">
      <w:start w:val="1"/>
      <w:numFmt w:val="bullet"/>
      <w:lvlText w:val="o"/>
      <w:lvlJc w:val="left"/>
      <w:pPr>
        <w:tabs>
          <w:tab w:val="num" w:pos="4320"/>
        </w:tabs>
        <w:ind w:left="4320" w:hanging="360"/>
      </w:pPr>
      <w:rPr>
        <w:rFonts w:ascii="Courier New" w:hAnsi="Courier New" w:cs="Courier New" w:hint="default"/>
      </w:rPr>
    </w:lvl>
    <w:lvl w:ilvl="2" w:tentative="1">
      <w:start w:val="1"/>
      <w:numFmt w:val="bullet"/>
      <w:lvlText w:val=""/>
      <w:lvlJc w:val="left"/>
      <w:pPr>
        <w:tabs>
          <w:tab w:val="num" w:pos="5040"/>
        </w:tabs>
        <w:ind w:left="5040" w:hanging="360"/>
      </w:pPr>
      <w:rPr>
        <w:rFonts w:ascii="Wingdings" w:hAnsi="Wingdings" w:hint="default"/>
      </w:rPr>
    </w:lvl>
    <w:lvl w:ilvl="3" w:tentative="1">
      <w:start w:val="1"/>
      <w:numFmt w:val="bullet"/>
      <w:lvlText w:val=""/>
      <w:lvlJc w:val="left"/>
      <w:pPr>
        <w:tabs>
          <w:tab w:val="num" w:pos="5760"/>
        </w:tabs>
        <w:ind w:left="5760" w:hanging="360"/>
      </w:pPr>
      <w:rPr>
        <w:rFonts w:ascii="Symbol" w:hAnsi="Symbol" w:hint="default"/>
      </w:rPr>
    </w:lvl>
    <w:lvl w:ilvl="4" w:tentative="1">
      <w:start w:val="1"/>
      <w:numFmt w:val="bullet"/>
      <w:lvlText w:val="o"/>
      <w:lvlJc w:val="left"/>
      <w:pPr>
        <w:tabs>
          <w:tab w:val="num" w:pos="6480"/>
        </w:tabs>
        <w:ind w:left="6480" w:hanging="360"/>
      </w:pPr>
      <w:rPr>
        <w:rFonts w:ascii="Courier New" w:hAnsi="Courier New" w:cs="Courier New" w:hint="default"/>
      </w:rPr>
    </w:lvl>
    <w:lvl w:ilvl="5" w:tentative="1">
      <w:start w:val="1"/>
      <w:numFmt w:val="bullet"/>
      <w:lvlText w:val=""/>
      <w:lvlJc w:val="left"/>
      <w:pPr>
        <w:tabs>
          <w:tab w:val="num" w:pos="7200"/>
        </w:tabs>
        <w:ind w:left="7200" w:hanging="360"/>
      </w:pPr>
      <w:rPr>
        <w:rFonts w:ascii="Wingdings" w:hAnsi="Wingdings" w:hint="default"/>
      </w:rPr>
    </w:lvl>
    <w:lvl w:ilvl="6" w:tentative="1">
      <w:start w:val="1"/>
      <w:numFmt w:val="bullet"/>
      <w:lvlText w:val=""/>
      <w:lvlJc w:val="left"/>
      <w:pPr>
        <w:tabs>
          <w:tab w:val="num" w:pos="7920"/>
        </w:tabs>
        <w:ind w:left="7920" w:hanging="360"/>
      </w:pPr>
      <w:rPr>
        <w:rFonts w:ascii="Symbol" w:hAnsi="Symbol" w:hint="default"/>
      </w:rPr>
    </w:lvl>
    <w:lvl w:ilvl="7" w:tentative="1">
      <w:start w:val="1"/>
      <w:numFmt w:val="bullet"/>
      <w:lvlText w:val="o"/>
      <w:lvlJc w:val="left"/>
      <w:pPr>
        <w:tabs>
          <w:tab w:val="num" w:pos="8640"/>
        </w:tabs>
        <w:ind w:left="8640" w:hanging="360"/>
      </w:pPr>
      <w:rPr>
        <w:rFonts w:ascii="Courier New" w:hAnsi="Courier New" w:cs="Courier New" w:hint="default"/>
      </w:rPr>
    </w:lvl>
    <w:lvl w:ilvl="8" w:tentative="1">
      <w:start w:val="1"/>
      <w:numFmt w:val="bullet"/>
      <w:lvlText w:val=""/>
      <w:lvlJc w:val="left"/>
      <w:pPr>
        <w:tabs>
          <w:tab w:val="num" w:pos="9360"/>
        </w:tabs>
        <w:ind w:left="9360" w:hanging="360"/>
      </w:pPr>
      <w:rPr>
        <w:rFonts w:ascii="Wingdings" w:hAnsi="Wingdings" w:hint="default"/>
      </w:rPr>
    </w:lvl>
  </w:abstractNum>
  <w:abstractNum w:abstractNumId="25">
    <w:nsid w:val="7E317B9E"/>
    <w:multiLevelType w:val="hybridMultilevel"/>
    <w:tmpl w:val="42869644"/>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8950985">
    <w:abstractNumId w:val="7"/>
  </w:num>
  <w:num w:numId="2" w16cid:durableId="789015628">
    <w:abstractNumId w:val="11"/>
  </w:num>
  <w:num w:numId="3" w16cid:durableId="817454248">
    <w:abstractNumId w:val="4"/>
  </w:num>
  <w:num w:numId="4" w16cid:durableId="1893036873">
    <w:abstractNumId w:val="22"/>
  </w:num>
  <w:num w:numId="5" w16cid:durableId="613823957">
    <w:abstractNumId w:val="12"/>
  </w:num>
  <w:num w:numId="6" w16cid:durableId="953444422">
    <w:abstractNumId w:val="9"/>
  </w:num>
  <w:num w:numId="7" w16cid:durableId="1856460694">
    <w:abstractNumId w:val="21"/>
  </w:num>
  <w:num w:numId="8" w16cid:durableId="30226910">
    <w:abstractNumId w:val="13"/>
  </w:num>
  <w:num w:numId="9" w16cid:durableId="566958928">
    <w:abstractNumId w:val="23"/>
  </w:num>
  <w:num w:numId="10" w16cid:durableId="2032681929">
    <w:abstractNumId w:val="19"/>
  </w:num>
  <w:num w:numId="11" w16cid:durableId="388696902">
    <w:abstractNumId w:val="25"/>
  </w:num>
  <w:num w:numId="12" w16cid:durableId="903563571">
    <w:abstractNumId w:val="5"/>
  </w:num>
  <w:num w:numId="13" w16cid:durableId="1833983583">
    <w:abstractNumId w:val="24"/>
  </w:num>
  <w:num w:numId="14" w16cid:durableId="1252547230">
    <w:abstractNumId w:val="14"/>
  </w:num>
  <w:num w:numId="15" w16cid:durableId="232588434">
    <w:abstractNumId w:val="0"/>
  </w:num>
  <w:num w:numId="16" w16cid:durableId="1728260193">
    <w:abstractNumId w:val="18"/>
  </w:num>
  <w:num w:numId="17" w16cid:durableId="952975849">
    <w:abstractNumId w:val="3"/>
  </w:num>
  <w:num w:numId="18" w16cid:durableId="771434618">
    <w:abstractNumId w:val="17"/>
  </w:num>
  <w:num w:numId="19" w16cid:durableId="1024206300">
    <w:abstractNumId w:val="6"/>
  </w:num>
  <w:num w:numId="20" w16cid:durableId="889656086">
    <w:abstractNumId w:val="15"/>
  </w:num>
  <w:num w:numId="21" w16cid:durableId="735864160">
    <w:abstractNumId w:val="20"/>
  </w:num>
  <w:num w:numId="22" w16cid:durableId="4550243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692332">
    <w:abstractNumId w:val="2"/>
  </w:num>
  <w:num w:numId="24" w16cid:durableId="1819419410">
    <w:abstractNumId w:val="16"/>
  </w:num>
  <w:num w:numId="25" w16cid:durableId="517819413">
    <w:abstractNumId w:val="1"/>
  </w:num>
  <w:num w:numId="26" w16cid:durableId="11111670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oyed, Carl (OST)">
    <w15:presenceInfo w15:providerId="AD" w15:userId="S::Carl.Cloyed@ad.dot.gov::964cc999-9c58-4e03-aa2f-415064f29329"/>
  </w15:person>
  <w15:person w15:author="Stacey Bricka [2]">
    <w15:presenceInfo w15:providerId="AD" w15:userId="S::stacey.bricka@macrosysrt.com::3d33d3c2-aea7-4864-b99b-38b986240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AD"/>
    <w:rsid w:val="00013424"/>
    <w:rsid w:val="000210A2"/>
    <w:rsid w:val="00024015"/>
    <w:rsid w:val="00027F5D"/>
    <w:rsid w:val="000367D8"/>
    <w:rsid w:val="00036FB4"/>
    <w:rsid w:val="000437A9"/>
    <w:rsid w:val="00055D4E"/>
    <w:rsid w:val="00057F15"/>
    <w:rsid w:val="000649AC"/>
    <w:rsid w:val="000656FE"/>
    <w:rsid w:val="00071861"/>
    <w:rsid w:val="00082A1E"/>
    <w:rsid w:val="000866E2"/>
    <w:rsid w:val="00091B3C"/>
    <w:rsid w:val="00094A0B"/>
    <w:rsid w:val="000A4720"/>
    <w:rsid w:val="000A4CC9"/>
    <w:rsid w:val="000A4E96"/>
    <w:rsid w:val="000A5E0F"/>
    <w:rsid w:val="000B19AD"/>
    <w:rsid w:val="000B292E"/>
    <w:rsid w:val="000C4CC1"/>
    <w:rsid w:val="000C6313"/>
    <w:rsid w:val="000E09EE"/>
    <w:rsid w:val="000E268F"/>
    <w:rsid w:val="000E4EB0"/>
    <w:rsid w:val="000E5380"/>
    <w:rsid w:val="000E600A"/>
    <w:rsid w:val="000F0F7F"/>
    <w:rsid w:val="000F1062"/>
    <w:rsid w:val="00100B3C"/>
    <w:rsid w:val="001069CD"/>
    <w:rsid w:val="001139CE"/>
    <w:rsid w:val="0011672B"/>
    <w:rsid w:val="00124D87"/>
    <w:rsid w:val="0013722C"/>
    <w:rsid w:val="0014159D"/>
    <w:rsid w:val="001471A2"/>
    <w:rsid w:val="0014745A"/>
    <w:rsid w:val="0015115A"/>
    <w:rsid w:val="00161879"/>
    <w:rsid w:val="001638AB"/>
    <w:rsid w:val="00172182"/>
    <w:rsid w:val="00175F4D"/>
    <w:rsid w:val="00185967"/>
    <w:rsid w:val="0018669C"/>
    <w:rsid w:val="00186864"/>
    <w:rsid w:val="00187030"/>
    <w:rsid w:val="001A0DA4"/>
    <w:rsid w:val="001A1D9A"/>
    <w:rsid w:val="001B4211"/>
    <w:rsid w:val="001B7CEF"/>
    <w:rsid w:val="001C4E36"/>
    <w:rsid w:val="001C53C3"/>
    <w:rsid w:val="001C5F8C"/>
    <w:rsid w:val="001D2CA4"/>
    <w:rsid w:val="001D5CA0"/>
    <w:rsid w:val="001D5FFD"/>
    <w:rsid w:val="001D7FC9"/>
    <w:rsid w:val="001E01A8"/>
    <w:rsid w:val="001F241E"/>
    <w:rsid w:val="001F4753"/>
    <w:rsid w:val="00200A2F"/>
    <w:rsid w:val="0020267C"/>
    <w:rsid w:val="00210150"/>
    <w:rsid w:val="00215886"/>
    <w:rsid w:val="002173F3"/>
    <w:rsid w:val="00225630"/>
    <w:rsid w:val="00227FA8"/>
    <w:rsid w:val="00230CB4"/>
    <w:rsid w:val="00240E43"/>
    <w:rsid w:val="00245685"/>
    <w:rsid w:val="00250AF0"/>
    <w:rsid w:val="002515B6"/>
    <w:rsid w:val="0026348F"/>
    <w:rsid w:val="00265BD3"/>
    <w:rsid w:val="0026790B"/>
    <w:rsid w:val="002775E6"/>
    <w:rsid w:val="00280A48"/>
    <w:rsid w:val="00282AE4"/>
    <w:rsid w:val="00292801"/>
    <w:rsid w:val="00293D73"/>
    <w:rsid w:val="002A02D3"/>
    <w:rsid w:val="002A3AC7"/>
    <w:rsid w:val="002B217A"/>
    <w:rsid w:val="002B5221"/>
    <w:rsid w:val="002C4491"/>
    <w:rsid w:val="002C4A28"/>
    <w:rsid w:val="002D6639"/>
    <w:rsid w:val="002D76B9"/>
    <w:rsid w:val="002E10F6"/>
    <w:rsid w:val="002E1A33"/>
    <w:rsid w:val="002E321A"/>
    <w:rsid w:val="002F1CB0"/>
    <w:rsid w:val="002F28BD"/>
    <w:rsid w:val="003042F1"/>
    <w:rsid w:val="00304811"/>
    <w:rsid w:val="00304EBB"/>
    <w:rsid w:val="003055C5"/>
    <w:rsid w:val="00310223"/>
    <w:rsid w:val="00322D62"/>
    <w:rsid w:val="003250FB"/>
    <w:rsid w:val="00327512"/>
    <w:rsid w:val="00330AB1"/>
    <w:rsid w:val="00330CF5"/>
    <w:rsid w:val="00337DCE"/>
    <w:rsid w:val="00342CB7"/>
    <w:rsid w:val="00357E74"/>
    <w:rsid w:val="00362C0C"/>
    <w:rsid w:val="003637A0"/>
    <w:rsid w:val="00375F4B"/>
    <w:rsid w:val="00376727"/>
    <w:rsid w:val="003825F2"/>
    <w:rsid w:val="00395512"/>
    <w:rsid w:val="00396BD1"/>
    <w:rsid w:val="003B382F"/>
    <w:rsid w:val="003C0D0A"/>
    <w:rsid w:val="003C5E79"/>
    <w:rsid w:val="003C7E0C"/>
    <w:rsid w:val="003D0887"/>
    <w:rsid w:val="003D7D24"/>
    <w:rsid w:val="003E13DA"/>
    <w:rsid w:val="00401B67"/>
    <w:rsid w:val="00411CAD"/>
    <w:rsid w:val="0042375A"/>
    <w:rsid w:val="00423E3D"/>
    <w:rsid w:val="00436265"/>
    <w:rsid w:val="004379C5"/>
    <w:rsid w:val="00445FB8"/>
    <w:rsid w:val="004557EF"/>
    <w:rsid w:val="00456BAB"/>
    <w:rsid w:val="00464872"/>
    <w:rsid w:val="0046511B"/>
    <w:rsid w:val="00473E50"/>
    <w:rsid w:val="00477DE1"/>
    <w:rsid w:val="004817E9"/>
    <w:rsid w:val="0048215C"/>
    <w:rsid w:val="004826C2"/>
    <w:rsid w:val="00485DDD"/>
    <w:rsid w:val="00486C01"/>
    <w:rsid w:val="00495292"/>
    <w:rsid w:val="004A2AA7"/>
    <w:rsid w:val="004A4C84"/>
    <w:rsid w:val="004B0211"/>
    <w:rsid w:val="004B323E"/>
    <w:rsid w:val="004B4E4C"/>
    <w:rsid w:val="004B56CB"/>
    <w:rsid w:val="004C110C"/>
    <w:rsid w:val="004C1666"/>
    <w:rsid w:val="004C1D1A"/>
    <w:rsid w:val="004C2A5A"/>
    <w:rsid w:val="004C534E"/>
    <w:rsid w:val="004C7BF6"/>
    <w:rsid w:val="004D1F78"/>
    <w:rsid w:val="004D2560"/>
    <w:rsid w:val="004D30E3"/>
    <w:rsid w:val="004D79D1"/>
    <w:rsid w:val="004E0AF6"/>
    <w:rsid w:val="004E3C5D"/>
    <w:rsid w:val="004F590D"/>
    <w:rsid w:val="005035C6"/>
    <w:rsid w:val="005152E6"/>
    <w:rsid w:val="00520F9B"/>
    <w:rsid w:val="0052244A"/>
    <w:rsid w:val="0052413E"/>
    <w:rsid w:val="005264F2"/>
    <w:rsid w:val="0052710C"/>
    <w:rsid w:val="00530497"/>
    <w:rsid w:val="00531007"/>
    <w:rsid w:val="00537FA0"/>
    <w:rsid w:val="00543CF7"/>
    <w:rsid w:val="005463D0"/>
    <w:rsid w:val="0055454E"/>
    <w:rsid w:val="00561D08"/>
    <w:rsid w:val="00562392"/>
    <w:rsid w:val="00563617"/>
    <w:rsid w:val="0057189A"/>
    <w:rsid w:val="00574B16"/>
    <w:rsid w:val="00592557"/>
    <w:rsid w:val="0059288D"/>
    <w:rsid w:val="005A082A"/>
    <w:rsid w:val="005A245B"/>
    <w:rsid w:val="005A44C8"/>
    <w:rsid w:val="005A4844"/>
    <w:rsid w:val="005A72A2"/>
    <w:rsid w:val="005C24A3"/>
    <w:rsid w:val="005C4E3B"/>
    <w:rsid w:val="005E4651"/>
    <w:rsid w:val="005E493B"/>
    <w:rsid w:val="005F2B65"/>
    <w:rsid w:val="00600D34"/>
    <w:rsid w:val="00610150"/>
    <w:rsid w:val="006109AD"/>
    <w:rsid w:val="006225D0"/>
    <w:rsid w:val="00626C1F"/>
    <w:rsid w:val="00627C26"/>
    <w:rsid w:val="00630213"/>
    <w:rsid w:val="00630315"/>
    <w:rsid w:val="00631B6C"/>
    <w:rsid w:val="00636A25"/>
    <w:rsid w:val="00655D5B"/>
    <w:rsid w:val="00656853"/>
    <w:rsid w:val="00672E70"/>
    <w:rsid w:val="00674EA1"/>
    <w:rsid w:val="006761B0"/>
    <w:rsid w:val="006763B0"/>
    <w:rsid w:val="006909A8"/>
    <w:rsid w:val="00693EDF"/>
    <w:rsid w:val="006A452A"/>
    <w:rsid w:val="006A5600"/>
    <w:rsid w:val="006A70B5"/>
    <w:rsid w:val="006A7CD5"/>
    <w:rsid w:val="006B4B6F"/>
    <w:rsid w:val="006B5645"/>
    <w:rsid w:val="006C04A7"/>
    <w:rsid w:val="006C064D"/>
    <w:rsid w:val="006E1F09"/>
    <w:rsid w:val="006E27A7"/>
    <w:rsid w:val="006E4158"/>
    <w:rsid w:val="006F2A86"/>
    <w:rsid w:val="007006C7"/>
    <w:rsid w:val="00703B3A"/>
    <w:rsid w:val="007056B8"/>
    <w:rsid w:val="007127EA"/>
    <w:rsid w:val="00712F99"/>
    <w:rsid w:val="00715758"/>
    <w:rsid w:val="0072508C"/>
    <w:rsid w:val="00725F65"/>
    <w:rsid w:val="007347FD"/>
    <w:rsid w:val="00735617"/>
    <w:rsid w:val="00741EE4"/>
    <w:rsid w:val="007523A6"/>
    <w:rsid w:val="007560AF"/>
    <w:rsid w:val="00760BA0"/>
    <w:rsid w:val="00762976"/>
    <w:rsid w:val="00765F4F"/>
    <w:rsid w:val="00766AE2"/>
    <w:rsid w:val="00776323"/>
    <w:rsid w:val="00780A7F"/>
    <w:rsid w:val="0078376B"/>
    <w:rsid w:val="00783835"/>
    <w:rsid w:val="007956AC"/>
    <w:rsid w:val="0079764E"/>
    <w:rsid w:val="007A6143"/>
    <w:rsid w:val="007A7479"/>
    <w:rsid w:val="007A75CF"/>
    <w:rsid w:val="007B39FD"/>
    <w:rsid w:val="007C1F24"/>
    <w:rsid w:val="007C2A17"/>
    <w:rsid w:val="007C442C"/>
    <w:rsid w:val="007D56DB"/>
    <w:rsid w:val="007D581B"/>
    <w:rsid w:val="007E54F1"/>
    <w:rsid w:val="007E7016"/>
    <w:rsid w:val="007F0385"/>
    <w:rsid w:val="007F17F7"/>
    <w:rsid w:val="0080012F"/>
    <w:rsid w:val="00804700"/>
    <w:rsid w:val="00804AB7"/>
    <w:rsid w:val="00806C35"/>
    <w:rsid w:val="00814B99"/>
    <w:rsid w:val="0081520C"/>
    <w:rsid w:val="00816D90"/>
    <w:rsid w:val="0082415C"/>
    <w:rsid w:val="00844B2E"/>
    <w:rsid w:val="00851362"/>
    <w:rsid w:val="008703CB"/>
    <w:rsid w:val="00873808"/>
    <w:rsid w:val="00882ACD"/>
    <w:rsid w:val="008855C6"/>
    <w:rsid w:val="00886F9D"/>
    <w:rsid w:val="00892DF0"/>
    <w:rsid w:val="008A04BF"/>
    <w:rsid w:val="008A2E50"/>
    <w:rsid w:val="008A5383"/>
    <w:rsid w:val="008C01FD"/>
    <w:rsid w:val="008C0BD5"/>
    <w:rsid w:val="008D0190"/>
    <w:rsid w:val="008D0237"/>
    <w:rsid w:val="008D05B1"/>
    <w:rsid w:val="008D27E8"/>
    <w:rsid w:val="008D296D"/>
    <w:rsid w:val="008D67A4"/>
    <w:rsid w:val="008D7203"/>
    <w:rsid w:val="008E70D8"/>
    <w:rsid w:val="008E78F2"/>
    <w:rsid w:val="008F0039"/>
    <w:rsid w:val="008F46E5"/>
    <w:rsid w:val="008F6C2A"/>
    <w:rsid w:val="00900AF3"/>
    <w:rsid w:val="00904761"/>
    <w:rsid w:val="00912111"/>
    <w:rsid w:val="009205E5"/>
    <w:rsid w:val="009209BF"/>
    <w:rsid w:val="00922B22"/>
    <w:rsid w:val="009249DF"/>
    <w:rsid w:val="00924ED5"/>
    <w:rsid w:val="0092783F"/>
    <w:rsid w:val="009311E0"/>
    <w:rsid w:val="00932EFD"/>
    <w:rsid w:val="00933F1B"/>
    <w:rsid w:val="0093438F"/>
    <w:rsid w:val="00943ACE"/>
    <w:rsid w:val="00952F12"/>
    <w:rsid w:val="00965CCC"/>
    <w:rsid w:val="0096730C"/>
    <w:rsid w:val="009748F8"/>
    <w:rsid w:val="00981EE8"/>
    <w:rsid w:val="0098639E"/>
    <w:rsid w:val="00990DF8"/>
    <w:rsid w:val="009965FE"/>
    <w:rsid w:val="009A2C3C"/>
    <w:rsid w:val="009B1574"/>
    <w:rsid w:val="009B179B"/>
    <w:rsid w:val="009B4914"/>
    <w:rsid w:val="009B69D2"/>
    <w:rsid w:val="009C0707"/>
    <w:rsid w:val="009C375F"/>
    <w:rsid w:val="009C3CD1"/>
    <w:rsid w:val="009C47D2"/>
    <w:rsid w:val="009C493B"/>
    <w:rsid w:val="009C4A62"/>
    <w:rsid w:val="009C56EB"/>
    <w:rsid w:val="009D2663"/>
    <w:rsid w:val="009E4AE6"/>
    <w:rsid w:val="009E5BAD"/>
    <w:rsid w:val="009F0404"/>
    <w:rsid w:val="00A00C54"/>
    <w:rsid w:val="00A04198"/>
    <w:rsid w:val="00A04495"/>
    <w:rsid w:val="00A13344"/>
    <w:rsid w:val="00A13DAE"/>
    <w:rsid w:val="00A16F62"/>
    <w:rsid w:val="00A21B78"/>
    <w:rsid w:val="00A23E12"/>
    <w:rsid w:val="00A25330"/>
    <w:rsid w:val="00A25492"/>
    <w:rsid w:val="00A3081C"/>
    <w:rsid w:val="00A34149"/>
    <w:rsid w:val="00A41011"/>
    <w:rsid w:val="00A41A9E"/>
    <w:rsid w:val="00A52C6A"/>
    <w:rsid w:val="00A576F2"/>
    <w:rsid w:val="00A579E3"/>
    <w:rsid w:val="00A6768C"/>
    <w:rsid w:val="00A73B95"/>
    <w:rsid w:val="00A77A1C"/>
    <w:rsid w:val="00A813D9"/>
    <w:rsid w:val="00A85660"/>
    <w:rsid w:val="00A942C9"/>
    <w:rsid w:val="00A96ADD"/>
    <w:rsid w:val="00AA24A6"/>
    <w:rsid w:val="00AA2941"/>
    <w:rsid w:val="00AD2476"/>
    <w:rsid w:val="00AD4C05"/>
    <w:rsid w:val="00AD4F54"/>
    <w:rsid w:val="00AD6E66"/>
    <w:rsid w:val="00AE14A7"/>
    <w:rsid w:val="00AE2D2D"/>
    <w:rsid w:val="00AE3255"/>
    <w:rsid w:val="00AE455E"/>
    <w:rsid w:val="00AE47F2"/>
    <w:rsid w:val="00AE5C96"/>
    <w:rsid w:val="00AE771E"/>
    <w:rsid w:val="00AF5F0A"/>
    <w:rsid w:val="00B0302B"/>
    <w:rsid w:val="00B0391D"/>
    <w:rsid w:val="00B04EFB"/>
    <w:rsid w:val="00B05099"/>
    <w:rsid w:val="00B05762"/>
    <w:rsid w:val="00B06C21"/>
    <w:rsid w:val="00B148C3"/>
    <w:rsid w:val="00B15C79"/>
    <w:rsid w:val="00B16E9B"/>
    <w:rsid w:val="00B24D71"/>
    <w:rsid w:val="00B30414"/>
    <w:rsid w:val="00B30D06"/>
    <w:rsid w:val="00B31A1B"/>
    <w:rsid w:val="00B35AF2"/>
    <w:rsid w:val="00B36F4D"/>
    <w:rsid w:val="00B61B11"/>
    <w:rsid w:val="00B7330F"/>
    <w:rsid w:val="00B77B79"/>
    <w:rsid w:val="00B8331E"/>
    <w:rsid w:val="00B8346F"/>
    <w:rsid w:val="00B84358"/>
    <w:rsid w:val="00B845DB"/>
    <w:rsid w:val="00B85566"/>
    <w:rsid w:val="00B90792"/>
    <w:rsid w:val="00B93490"/>
    <w:rsid w:val="00BA2212"/>
    <w:rsid w:val="00BA2BF9"/>
    <w:rsid w:val="00BA4841"/>
    <w:rsid w:val="00BB4F3E"/>
    <w:rsid w:val="00BC03CF"/>
    <w:rsid w:val="00BC5168"/>
    <w:rsid w:val="00BC64DC"/>
    <w:rsid w:val="00BD3B87"/>
    <w:rsid w:val="00BD51B1"/>
    <w:rsid w:val="00BE4D39"/>
    <w:rsid w:val="00BE5795"/>
    <w:rsid w:val="00BE6161"/>
    <w:rsid w:val="00BF383E"/>
    <w:rsid w:val="00BF6D38"/>
    <w:rsid w:val="00C05EDC"/>
    <w:rsid w:val="00C17930"/>
    <w:rsid w:val="00C25EF5"/>
    <w:rsid w:val="00C2687B"/>
    <w:rsid w:val="00C26CC9"/>
    <w:rsid w:val="00C35538"/>
    <w:rsid w:val="00C35984"/>
    <w:rsid w:val="00C36187"/>
    <w:rsid w:val="00C37161"/>
    <w:rsid w:val="00C40B19"/>
    <w:rsid w:val="00C40CE9"/>
    <w:rsid w:val="00C41A66"/>
    <w:rsid w:val="00C4382F"/>
    <w:rsid w:val="00C46DB6"/>
    <w:rsid w:val="00C479DF"/>
    <w:rsid w:val="00C535C9"/>
    <w:rsid w:val="00C53FA8"/>
    <w:rsid w:val="00C54725"/>
    <w:rsid w:val="00C554D6"/>
    <w:rsid w:val="00C6132B"/>
    <w:rsid w:val="00C61CD8"/>
    <w:rsid w:val="00C65A9A"/>
    <w:rsid w:val="00C80AFB"/>
    <w:rsid w:val="00C8412E"/>
    <w:rsid w:val="00C915B9"/>
    <w:rsid w:val="00C92784"/>
    <w:rsid w:val="00CA490A"/>
    <w:rsid w:val="00CB41CA"/>
    <w:rsid w:val="00CC1EBA"/>
    <w:rsid w:val="00CC49A5"/>
    <w:rsid w:val="00CC5C1A"/>
    <w:rsid w:val="00CD044B"/>
    <w:rsid w:val="00CD0D03"/>
    <w:rsid w:val="00CD183A"/>
    <w:rsid w:val="00CD1F9D"/>
    <w:rsid w:val="00CD529F"/>
    <w:rsid w:val="00CD7684"/>
    <w:rsid w:val="00CE1E30"/>
    <w:rsid w:val="00CE7BA5"/>
    <w:rsid w:val="00CF6AFF"/>
    <w:rsid w:val="00D10960"/>
    <w:rsid w:val="00D11D2D"/>
    <w:rsid w:val="00D16E6A"/>
    <w:rsid w:val="00D265F6"/>
    <w:rsid w:val="00D2690A"/>
    <w:rsid w:val="00D40D0E"/>
    <w:rsid w:val="00D440A9"/>
    <w:rsid w:val="00D51215"/>
    <w:rsid w:val="00D73CF1"/>
    <w:rsid w:val="00D76047"/>
    <w:rsid w:val="00D87EEF"/>
    <w:rsid w:val="00D9677E"/>
    <w:rsid w:val="00DB279E"/>
    <w:rsid w:val="00DC00DF"/>
    <w:rsid w:val="00DC446C"/>
    <w:rsid w:val="00DC6E65"/>
    <w:rsid w:val="00DC712A"/>
    <w:rsid w:val="00DE57C8"/>
    <w:rsid w:val="00DF14C5"/>
    <w:rsid w:val="00DF5822"/>
    <w:rsid w:val="00DF6AE6"/>
    <w:rsid w:val="00E05CB8"/>
    <w:rsid w:val="00E13A21"/>
    <w:rsid w:val="00E157C5"/>
    <w:rsid w:val="00E1772E"/>
    <w:rsid w:val="00E34FC4"/>
    <w:rsid w:val="00E50681"/>
    <w:rsid w:val="00E5105F"/>
    <w:rsid w:val="00E60C7E"/>
    <w:rsid w:val="00E64C39"/>
    <w:rsid w:val="00E6623F"/>
    <w:rsid w:val="00E6647E"/>
    <w:rsid w:val="00E700B8"/>
    <w:rsid w:val="00E82DA5"/>
    <w:rsid w:val="00E957FA"/>
    <w:rsid w:val="00E976ED"/>
    <w:rsid w:val="00E97C5B"/>
    <w:rsid w:val="00EA22E1"/>
    <w:rsid w:val="00EA29D7"/>
    <w:rsid w:val="00EB5B1E"/>
    <w:rsid w:val="00EE3BE0"/>
    <w:rsid w:val="00EE41F1"/>
    <w:rsid w:val="00EE48FD"/>
    <w:rsid w:val="00F10345"/>
    <w:rsid w:val="00F1407A"/>
    <w:rsid w:val="00F26F82"/>
    <w:rsid w:val="00F3374D"/>
    <w:rsid w:val="00F373E1"/>
    <w:rsid w:val="00F42777"/>
    <w:rsid w:val="00F43657"/>
    <w:rsid w:val="00F440E5"/>
    <w:rsid w:val="00F519B7"/>
    <w:rsid w:val="00F51DE9"/>
    <w:rsid w:val="00F53D00"/>
    <w:rsid w:val="00F60524"/>
    <w:rsid w:val="00F61391"/>
    <w:rsid w:val="00F65CD7"/>
    <w:rsid w:val="00F710B9"/>
    <w:rsid w:val="00F84468"/>
    <w:rsid w:val="00F86D2C"/>
    <w:rsid w:val="00F9117A"/>
    <w:rsid w:val="00F953A1"/>
    <w:rsid w:val="00F97758"/>
    <w:rsid w:val="00FB01AA"/>
    <w:rsid w:val="00FC0C45"/>
    <w:rsid w:val="00FC2DC1"/>
    <w:rsid w:val="00FC45F0"/>
    <w:rsid w:val="00FC7419"/>
    <w:rsid w:val="00FD5653"/>
    <w:rsid w:val="00FD5F6F"/>
    <w:rsid w:val="00FD6BD9"/>
    <w:rsid w:val="00FD7317"/>
    <w:rsid w:val="00FD774E"/>
    <w:rsid w:val="00FE4763"/>
    <w:rsid w:val="00FF61C0"/>
    <w:rsid w:val="01DE08E6"/>
    <w:rsid w:val="059CD9A0"/>
    <w:rsid w:val="0B09CF68"/>
    <w:rsid w:val="0F6D0B0B"/>
    <w:rsid w:val="106CCE02"/>
    <w:rsid w:val="16426A19"/>
    <w:rsid w:val="18959AD0"/>
    <w:rsid w:val="1E7C13BE"/>
    <w:rsid w:val="23F58240"/>
    <w:rsid w:val="2455CFEE"/>
    <w:rsid w:val="27FC0E8B"/>
    <w:rsid w:val="29453964"/>
    <w:rsid w:val="2DDB0A8F"/>
    <w:rsid w:val="2E96392F"/>
    <w:rsid w:val="350F866A"/>
    <w:rsid w:val="3A14BEB2"/>
    <w:rsid w:val="3B572F91"/>
    <w:rsid w:val="4A4D166F"/>
    <w:rsid w:val="4BF5A552"/>
    <w:rsid w:val="4E1321DD"/>
    <w:rsid w:val="52B61980"/>
    <w:rsid w:val="58D3A15B"/>
    <w:rsid w:val="5AADFF3E"/>
    <w:rsid w:val="5AB3C0BA"/>
    <w:rsid w:val="5D32F2FE"/>
    <w:rsid w:val="619E95BF"/>
    <w:rsid w:val="62066421"/>
    <w:rsid w:val="62B65F15"/>
    <w:rsid w:val="6B34C726"/>
    <w:rsid w:val="6CFA4AE7"/>
    <w:rsid w:val="6E3CD9BB"/>
    <w:rsid w:val="6E5C239A"/>
    <w:rsid w:val="748B8FB9"/>
    <w:rsid w:val="754949EE"/>
    <w:rsid w:val="78278400"/>
    <w:rsid w:val="7C5DE235"/>
    <w:rsid w:val="7D2D49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CDB422"/>
  <w15:chartTrackingRefBased/>
  <w15:docId w15:val="{0F46EB2D-ACBD-40CD-948F-E28C8EE0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9AD"/>
    <w:pPr>
      <w:tabs>
        <w:tab w:val="left" w:pos="1152"/>
      </w:tabs>
      <w:spacing w:after="0" w:line="360" w:lineRule="atLeast"/>
    </w:pPr>
    <w:rPr>
      <w:rFonts w:ascii="Times New Roman" w:eastAsia="Times New Roman" w:hAnsi="Times New Roman" w:cs="Times New Roman"/>
      <w:color w:val="000000" w:themeColor="text1"/>
    </w:rPr>
  </w:style>
  <w:style w:type="paragraph" w:styleId="Heading1">
    <w:name w:val="heading 1"/>
    <w:aliases w:val="H1-Chap. Head"/>
    <w:basedOn w:val="Normal"/>
    <w:link w:val="Heading1Char"/>
    <w:uiPriority w:val="9"/>
    <w:qFormat/>
    <w:rsid w:val="000367D8"/>
    <w:pPr>
      <w:keepNext/>
      <w:spacing w:before="240" w:after="120" w:line="276" w:lineRule="auto"/>
      <w:outlineLvl w:val="0"/>
    </w:pPr>
    <w:rPr>
      <w:color w:val="324162"/>
      <w:sz w:val="32"/>
    </w:rPr>
  </w:style>
  <w:style w:type="paragraph" w:styleId="Heading2">
    <w:name w:val="heading 2"/>
    <w:aliases w:val="H2-Sec. Head"/>
    <w:basedOn w:val="Heading1"/>
    <w:next w:val="P1-StandPara"/>
    <w:link w:val="Heading2Char"/>
    <w:uiPriority w:val="9"/>
    <w:qFormat/>
    <w:rsid w:val="003C0D0A"/>
    <w:pPr>
      <w:ind w:left="1152" w:hanging="1152"/>
      <w:outlineLvl w:val="1"/>
    </w:pPr>
    <w:rPr>
      <w:sz w:val="28"/>
    </w:rPr>
  </w:style>
  <w:style w:type="paragraph" w:styleId="Heading3">
    <w:name w:val="heading 3"/>
    <w:aliases w:val="H3-Sec. Head"/>
    <w:basedOn w:val="Heading1"/>
    <w:next w:val="P1-StandPara"/>
    <w:link w:val="Heading3Char"/>
    <w:uiPriority w:val="9"/>
    <w:qFormat/>
    <w:rsid w:val="006109AD"/>
    <w:pPr>
      <w:ind w:left="1152" w:hanging="1152"/>
      <w:outlineLvl w:val="2"/>
    </w:pPr>
    <w:rPr>
      <w:sz w:val="22"/>
    </w:rPr>
  </w:style>
  <w:style w:type="paragraph" w:styleId="Heading4">
    <w:name w:val="heading 4"/>
    <w:aliases w:val="H4-Sec. Head"/>
    <w:basedOn w:val="Heading1"/>
    <w:next w:val="P1-StandPara"/>
    <w:link w:val="Heading4Char"/>
    <w:uiPriority w:val="9"/>
    <w:qFormat/>
    <w:rsid w:val="006109AD"/>
    <w:pPr>
      <w:spacing w:after="360"/>
      <w:ind w:left="1152" w:hanging="1152"/>
      <w:outlineLvl w:val="3"/>
    </w:pPr>
    <w:rPr>
      <w:color w:val="000000" w:themeColor="text1"/>
      <w:sz w:val="22"/>
    </w:rPr>
  </w:style>
  <w:style w:type="paragraph" w:styleId="Heading5">
    <w:name w:val="heading 5"/>
    <w:aliases w:val="H5-Sec. Head"/>
    <w:basedOn w:val="Heading1"/>
    <w:next w:val="P1-StandPara"/>
    <w:link w:val="Heading5Char"/>
    <w:uiPriority w:val="9"/>
    <w:qFormat/>
    <w:rsid w:val="006109AD"/>
    <w:pPr>
      <w:keepLines/>
      <w:ind w:left="1152" w:hanging="1152"/>
      <w:outlineLvl w:val="4"/>
    </w:pPr>
    <w:rPr>
      <w:sz w:val="22"/>
    </w:rPr>
  </w:style>
  <w:style w:type="paragraph" w:styleId="Heading6">
    <w:name w:val="heading 6"/>
    <w:basedOn w:val="Normal"/>
    <w:next w:val="Normal"/>
    <w:link w:val="Heading6Char"/>
    <w:uiPriority w:val="9"/>
    <w:qFormat/>
    <w:rsid w:val="006109AD"/>
    <w:pPr>
      <w:keepNext/>
      <w:spacing w:before="240"/>
      <w:jc w:val="center"/>
      <w:outlineLvl w:val="5"/>
    </w:pPr>
    <w:rPr>
      <w:b/>
      <w:caps/>
    </w:rPr>
  </w:style>
  <w:style w:type="paragraph" w:styleId="Heading7">
    <w:name w:val="heading 7"/>
    <w:basedOn w:val="Normal"/>
    <w:next w:val="Normal"/>
    <w:link w:val="Heading7Char"/>
    <w:qFormat/>
    <w:rsid w:val="006109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0367D8"/>
    <w:rPr>
      <w:rFonts w:ascii="Times New Roman" w:eastAsia="Times New Roman" w:hAnsi="Times New Roman" w:cs="Times New Roman"/>
      <w:color w:val="324162"/>
      <w:sz w:val="32"/>
    </w:rPr>
  </w:style>
  <w:style w:type="character" w:customStyle="1" w:styleId="Heading2Char">
    <w:name w:val="Heading 2 Char"/>
    <w:aliases w:val="H2-Sec. Head Char"/>
    <w:basedOn w:val="DefaultParagraphFont"/>
    <w:link w:val="Heading2"/>
    <w:uiPriority w:val="9"/>
    <w:rsid w:val="003C0D0A"/>
    <w:rPr>
      <w:rFonts w:ascii="Times New Roman" w:eastAsia="Times New Roman" w:hAnsi="Times New Roman" w:cs="Times New Roman"/>
      <w:color w:val="324162"/>
      <w:sz w:val="28"/>
    </w:rPr>
  </w:style>
  <w:style w:type="character" w:customStyle="1" w:styleId="Heading3Char">
    <w:name w:val="Heading 3 Char"/>
    <w:aliases w:val="H3-Sec. Head Char"/>
    <w:basedOn w:val="DefaultParagraphFont"/>
    <w:link w:val="Heading3"/>
    <w:uiPriority w:val="9"/>
    <w:rsid w:val="006109AD"/>
    <w:rPr>
      <w:rFonts w:ascii="Times New Roman" w:eastAsia="Times New Roman" w:hAnsi="Times New Roman" w:cs="Times New Roman"/>
      <w:color w:val="324162"/>
    </w:rPr>
  </w:style>
  <w:style w:type="character" w:customStyle="1" w:styleId="Heading4Char">
    <w:name w:val="Heading 4 Char"/>
    <w:aliases w:val="H4-Sec. Head Char"/>
    <w:basedOn w:val="DefaultParagraphFont"/>
    <w:link w:val="Heading4"/>
    <w:uiPriority w:val="9"/>
    <w:rsid w:val="006109AD"/>
    <w:rPr>
      <w:rFonts w:ascii="Times New Roman" w:eastAsia="Times New Roman" w:hAnsi="Times New Roman" w:cs="Times New Roman"/>
      <w:color w:val="000000" w:themeColor="text1"/>
    </w:rPr>
  </w:style>
  <w:style w:type="character" w:customStyle="1" w:styleId="Heading5Char">
    <w:name w:val="Heading 5 Char"/>
    <w:aliases w:val="H5-Sec. Head Char"/>
    <w:basedOn w:val="DefaultParagraphFont"/>
    <w:link w:val="Heading5"/>
    <w:uiPriority w:val="9"/>
    <w:rsid w:val="006109AD"/>
    <w:rPr>
      <w:rFonts w:ascii="Times New Roman" w:eastAsia="Times New Roman" w:hAnsi="Times New Roman" w:cs="Times New Roman"/>
      <w:color w:val="324162"/>
    </w:rPr>
  </w:style>
  <w:style w:type="character" w:customStyle="1" w:styleId="Heading6Char">
    <w:name w:val="Heading 6 Char"/>
    <w:basedOn w:val="DefaultParagraphFont"/>
    <w:link w:val="Heading6"/>
    <w:uiPriority w:val="9"/>
    <w:rsid w:val="006109AD"/>
    <w:rPr>
      <w:rFonts w:ascii="Times New Roman" w:eastAsia="Times New Roman" w:hAnsi="Times New Roman" w:cs="Times New Roman"/>
      <w:b/>
      <w:caps/>
      <w:color w:val="000000" w:themeColor="text1"/>
    </w:rPr>
  </w:style>
  <w:style w:type="character" w:customStyle="1" w:styleId="Heading7Char">
    <w:name w:val="Heading 7 Char"/>
    <w:basedOn w:val="DefaultParagraphFont"/>
    <w:link w:val="Heading7"/>
    <w:rsid w:val="006109AD"/>
    <w:rPr>
      <w:rFonts w:ascii="Times New Roman" w:eastAsia="Times New Roman" w:hAnsi="Times New Roman" w:cs="Times New Roman"/>
      <w:color w:val="000000" w:themeColor="text1"/>
    </w:rPr>
  </w:style>
  <w:style w:type="paragraph" w:customStyle="1" w:styleId="C1-CtrBoldHd">
    <w:name w:val="C1-Ctr BoldHd"/>
    <w:rsid w:val="006109AD"/>
    <w:pPr>
      <w:keepNext/>
      <w:spacing w:after="720" w:line="240" w:lineRule="atLeast"/>
      <w:jc w:val="center"/>
    </w:pPr>
    <w:rPr>
      <w:rFonts w:ascii="Times New Roman" w:eastAsia="Times New Roman" w:hAnsi="Times New Roman" w:cs="Times New Roman"/>
      <w:b/>
      <w:color w:val="000000" w:themeColor="text1"/>
    </w:rPr>
  </w:style>
  <w:style w:type="paragraph" w:customStyle="1" w:styleId="C2-CtrSglSp">
    <w:name w:val="C2-Ctr Sgl Sp"/>
    <w:basedOn w:val="Normal"/>
    <w:rsid w:val="006109AD"/>
    <w:pPr>
      <w:keepLines/>
      <w:jc w:val="center"/>
    </w:pPr>
  </w:style>
  <w:style w:type="paragraph" w:customStyle="1" w:styleId="C3-CtrSp12">
    <w:name w:val="C3-Ctr Sp&amp;1/2"/>
    <w:basedOn w:val="Normal"/>
    <w:rsid w:val="006109AD"/>
    <w:pPr>
      <w:keepLines/>
      <w:jc w:val="center"/>
    </w:pPr>
  </w:style>
  <w:style w:type="paragraph" w:customStyle="1" w:styleId="E1-Equation">
    <w:name w:val="E1-Equation"/>
    <w:basedOn w:val="Normal"/>
    <w:rsid w:val="006109AD"/>
    <w:pPr>
      <w:tabs>
        <w:tab w:val="center" w:pos="4680"/>
        <w:tab w:val="right" w:pos="9360"/>
      </w:tabs>
    </w:pPr>
  </w:style>
  <w:style w:type="paragraph" w:customStyle="1" w:styleId="E2-Equation">
    <w:name w:val="E2-Equation"/>
    <w:basedOn w:val="Normal"/>
    <w:rsid w:val="006109AD"/>
    <w:pPr>
      <w:tabs>
        <w:tab w:val="right" w:pos="1152"/>
        <w:tab w:val="center" w:pos="1440"/>
        <w:tab w:val="left" w:pos="1728"/>
      </w:tabs>
      <w:ind w:left="1728" w:hanging="1728"/>
    </w:pPr>
  </w:style>
  <w:style w:type="paragraph" w:styleId="Footer">
    <w:name w:val="footer"/>
    <w:basedOn w:val="Normal"/>
    <w:link w:val="FooterChar"/>
    <w:uiPriority w:val="99"/>
    <w:rsid w:val="006109AD"/>
  </w:style>
  <w:style w:type="character" w:customStyle="1" w:styleId="FooterChar">
    <w:name w:val="Footer Char"/>
    <w:basedOn w:val="DefaultParagraphFont"/>
    <w:link w:val="Footer"/>
    <w:uiPriority w:val="99"/>
    <w:rsid w:val="006109AD"/>
    <w:rPr>
      <w:rFonts w:ascii="Times New Roman" w:eastAsia="Times New Roman" w:hAnsi="Times New Roman" w:cs="Times New Roman"/>
      <w:color w:val="000000" w:themeColor="text1"/>
    </w:rPr>
  </w:style>
  <w:style w:type="paragraph" w:styleId="FootnoteText">
    <w:name w:val="footnote text"/>
    <w:aliases w:val="F1"/>
    <w:link w:val="FootnoteTextChar"/>
    <w:uiPriority w:val="99"/>
    <w:rsid w:val="006109AD"/>
    <w:pPr>
      <w:tabs>
        <w:tab w:val="left" w:pos="120"/>
      </w:tabs>
      <w:spacing w:before="120" w:after="0" w:line="200" w:lineRule="atLeast"/>
      <w:ind w:left="115" w:hanging="115"/>
    </w:pPr>
    <w:rPr>
      <w:rFonts w:ascii="Times New Roman" w:eastAsia="Times New Roman" w:hAnsi="Times New Roman" w:cs="Times New Roman"/>
      <w:color w:val="000000" w:themeColor="text1"/>
      <w:sz w:val="18"/>
    </w:rPr>
  </w:style>
  <w:style w:type="character" w:customStyle="1" w:styleId="FootnoteTextChar">
    <w:name w:val="Footnote Text Char"/>
    <w:aliases w:val="F1 Char"/>
    <w:basedOn w:val="DefaultParagraphFont"/>
    <w:link w:val="FootnoteText"/>
    <w:uiPriority w:val="99"/>
    <w:rsid w:val="006109AD"/>
    <w:rPr>
      <w:rFonts w:ascii="Times New Roman" w:eastAsia="Times New Roman" w:hAnsi="Times New Roman" w:cs="Times New Roman"/>
      <w:color w:val="000000" w:themeColor="text1"/>
      <w:sz w:val="18"/>
    </w:rPr>
  </w:style>
  <w:style w:type="paragraph" w:styleId="Header">
    <w:name w:val="header"/>
    <w:basedOn w:val="Normal"/>
    <w:link w:val="HeaderChar"/>
    <w:uiPriority w:val="99"/>
    <w:rsid w:val="006109AD"/>
    <w:rPr>
      <w:sz w:val="20"/>
    </w:rPr>
  </w:style>
  <w:style w:type="character" w:customStyle="1" w:styleId="HeaderChar">
    <w:name w:val="Header Char"/>
    <w:basedOn w:val="DefaultParagraphFont"/>
    <w:link w:val="Header"/>
    <w:uiPriority w:val="99"/>
    <w:rsid w:val="006109AD"/>
    <w:rPr>
      <w:rFonts w:ascii="Times New Roman" w:eastAsia="Times New Roman" w:hAnsi="Times New Roman" w:cs="Times New Roman"/>
      <w:color w:val="000000" w:themeColor="text1"/>
      <w:sz w:val="20"/>
    </w:rPr>
  </w:style>
  <w:style w:type="paragraph" w:customStyle="1" w:styleId="L1-FlLSp12">
    <w:name w:val="L1-FlL Sp&amp;1/2"/>
    <w:basedOn w:val="Normal"/>
    <w:link w:val="L1-FlLSp12Char"/>
    <w:rsid w:val="006109AD"/>
    <w:pPr>
      <w:spacing w:line="276" w:lineRule="auto"/>
    </w:pPr>
  </w:style>
  <w:style w:type="paragraph" w:customStyle="1" w:styleId="N0-FlLftBullet">
    <w:name w:val="N0-Fl Lft Bullet"/>
    <w:basedOn w:val="Normal"/>
    <w:rsid w:val="006109AD"/>
    <w:pPr>
      <w:tabs>
        <w:tab w:val="left" w:pos="576"/>
      </w:tabs>
      <w:spacing w:after="240"/>
      <w:ind w:left="576" w:hanging="576"/>
    </w:pPr>
  </w:style>
  <w:style w:type="paragraph" w:customStyle="1" w:styleId="N1-1stBullet">
    <w:name w:val="N1-1st Bullet"/>
    <w:basedOn w:val="Normal"/>
    <w:rsid w:val="006109AD"/>
    <w:pPr>
      <w:numPr>
        <w:numId w:val="5"/>
      </w:numPr>
      <w:spacing w:after="120" w:line="276" w:lineRule="auto"/>
    </w:pPr>
  </w:style>
  <w:style w:type="paragraph" w:customStyle="1" w:styleId="N2-2ndBullet">
    <w:name w:val="N2-2nd Bullet"/>
    <w:basedOn w:val="Normal"/>
    <w:rsid w:val="006109AD"/>
    <w:pPr>
      <w:numPr>
        <w:numId w:val="1"/>
      </w:numPr>
      <w:spacing w:after="240"/>
    </w:pPr>
  </w:style>
  <w:style w:type="paragraph" w:customStyle="1" w:styleId="N3-3rdBullet">
    <w:name w:val="N3-3rd Bullet"/>
    <w:basedOn w:val="Normal"/>
    <w:rsid w:val="006109AD"/>
    <w:pPr>
      <w:numPr>
        <w:numId w:val="2"/>
      </w:numPr>
      <w:spacing w:after="240"/>
    </w:pPr>
  </w:style>
  <w:style w:type="paragraph" w:customStyle="1" w:styleId="N4-4thBullet">
    <w:name w:val="N4-4th Bullet"/>
    <w:basedOn w:val="Normal"/>
    <w:rsid w:val="006109AD"/>
    <w:pPr>
      <w:numPr>
        <w:numId w:val="3"/>
      </w:numPr>
      <w:spacing w:after="240"/>
    </w:pPr>
  </w:style>
  <w:style w:type="paragraph" w:customStyle="1" w:styleId="N5-5thBullet">
    <w:name w:val="N5-5th Bullet"/>
    <w:basedOn w:val="Normal"/>
    <w:rsid w:val="006109AD"/>
    <w:pPr>
      <w:tabs>
        <w:tab w:val="left" w:pos="3456"/>
      </w:tabs>
      <w:spacing w:after="240"/>
      <w:ind w:left="3456" w:hanging="576"/>
    </w:pPr>
  </w:style>
  <w:style w:type="paragraph" w:customStyle="1" w:styleId="N6-DateInd">
    <w:name w:val="N6-Date Ind."/>
    <w:basedOn w:val="Normal"/>
    <w:rsid w:val="006109AD"/>
    <w:pPr>
      <w:tabs>
        <w:tab w:val="left" w:pos="4910"/>
      </w:tabs>
      <w:ind w:left="4910"/>
    </w:pPr>
  </w:style>
  <w:style w:type="paragraph" w:customStyle="1" w:styleId="N7-3Block">
    <w:name w:val="N7-3&quot; Block"/>
    <w:basedOn w:val="Normal"/>
    <w:rsid w:val="006109AD"/>
    <w:pPr>
      <w:ind w:left="1152" w:right="1152"/>
    </w:pPr>
  </w:style>
  <w:style w:type="paragraph" w:customStyle="1" w:styleId="N8-QxQBlock">
    <w:name w:val="N8-QxQ Block"/>
    <w:basedOn w:val="Normal"/>
    <w:rsid w:val="006109AD"/>
    <w:pPr>
      <w:spacing w:after="360"/>
      <w:ind w:left="1152" w:hanging="1152"/>
    </w:pPr>
  </w:style>
  <w:style w:type="paragraph" w:customStyle="1" w:styleId="P1-StandPara">
    <w:name w:val="P1-Stand Para"/>
    <w:basedOn w:val="Normal"/>
    <w:link w:val="P1-StandParaChar"/>
    <w:rsid w:val="006109AD"/>
    <w:pPr>
      <w:ind w:firstLine="1152"/>
    </w:pPr>
  </w:style>
  <w:style w:type="paragraph" w:customStyle="1" w:styleId="Q1-BestFinQ">
    <w:name w:val="Q1-Best/Fin Q"/>
    <w:basedOn w:val="Heading1"/>
    <w:rsid w:val="006109AD"/>
    <w:pPr>
      <w:spacing w:line="240" w:lineRule="atLeast"/>
    </w:pPr>
    <w:rPr>
      <w:rFonts w:cs="Times New Roman Bold"/>
      <w:color w:val="auto"/>
      <w:sz w:val="24"/>
    </w:rPr>
  </w:style>
  <w:style w:type="paragraph" w:customStyle="1" w:styleId="SH-SglSpHead">
    <w:name w:val="SH-Sgl Sp Head"/>
    <w:basedOn w:val="Heading1"/>
    <w:rsid w:val="006109AD"/>
    <w:pPr>
      <w:tabs>
        <w:tab w:val="left" w:pos="576"/>
        <w:tab w:val="clear" w:pos="1152"/>
      </w:tabs>
      <w:spacing w:line="240" w:lineRule="atLeast"/>
      <w:ind w:left="576" w:hanging="576"/>
    </w:pPr>
    <w:rPr>
      <w:b/>
      <w:color w:val="000000" w:themeColor="text1"/>
      <w:sz w:val="22"/>
    </w:rPr>
  </w:style>
  <w:style w:type="paragraph" w:customStyle="1" w:styleId="SL-FlLftSgl">
    <w:name w:val="SL-Fl Lft Sgl"/>
    <w:basedOn w:val="Normal"/>
    <w:rsid w:val="006109AD"/>
    <w:pPr>
      <w:tabs>
        <w:tab w:val="clear" w:pos="1152"/>
        <w:tab w:val="left" w:pos="2160"/>
      </w:tabs>
      <w:spacing w:line="276" w:lineRule="auto"/>
    </w:pPr>
  </w:style>
  <w:style w:type="paragraph" w:customStyle="1" w:styleId="SP-SglSpPara">
    <w:name w:val="SP-Sgl Sp Para"/>
    <w:basedOn w:val="Normal"/>
    <w:rsid w:val="006109AD"/>
    <w:pPr>
      <w:tabs>
        <w:tab w:val="left" w:pos="576"/>
      </w:tabs>
      <w:ind w:firstLine="576"/>
    </w:pPr>
  </w:style>
  <w:style w:type="paragraph" w:customStyle="1" w:styleId="T0-ChapPgHd">
    <w:name w:val="T0-Chap/Pg Hd"/>
    <w:basedOn w:val="Normal"/>
    <w:rsid w:val="006109AD"/>
    <w:pPr>
      <w:tabs>
        <w:tab w:val="left" w:pos="8640"/>
      </w:tabs>
    </w:pPr>
    <w:rPr>
      <w:u w:val="words"/>
    </w:rPr>
  </w:style>
  <w:style w:type="paragraph" w:styleId="TOC1">
    <w:name w:val="toc 1"/>
    <w:basedOn w:val="Normal"/>
    <w:semiHidden/>
    <w:rsid w:val="006109AD"/>
    <w:pPr>
      <w:tabs>
        <w:tab w:val="left" w:pos="1440"/>
        <w:tab w:val="right" w:leader="dot" w:pos="8208"/>
        <w:tab w:val="left" w:pos="8640"/>
      </w:tabs>
      <w:ind w:left="1440" w:right="1800" w:hanging="1152"/>
    </w:pPr>
  </w:style>
  <w:style w:type="paragraph" w:styleId="TOC2">
    <w:name w:val="toc 2"/>
    <w:basedOn w:val="Normal"/>
    <w:semiHidden/>
    <w:rsid w:val="006109AD"/>
    <w:pPr>
      <w:tabs>
        <w:tab w:val="left" w:pos="2160"/>
        <w:tab w:val="right" w:leader="dot" w:pos="8208"/>
        <w:tab w:val="left" w:pos="8640"/>
      </w:tabs>
      <w:ind w:left="2160" w:right="1800" w:hanging="720"/>
    </w:pPr>
  </w:style>
  <w:style w:type="paragraph" w:styleId="TOC3">
    <w:name w:val="toc 3"/>
    <w:basedOn w:val="Normal"/>
    <w:semiHidden/>
    <w:rsid w:val="006109AD"/>
    <w:pPr>
      <w:tabs>
        <w:tab w:val="left" w:pos="3024"/>
        <w:tab w:val="right" w:leader="dot" w:pos="8208"/>
        <w:tab w:val="left" w:pos="8640"/>
      </w:tabs>
      <w:ind w:left="3024" w:right="1800" w:hanging="864"/>
    </w:pPr>
  </w:style>
  <w:style w:type="paragraph" w:styleId="TOC4">
    <w:name w:val="toc 4"/>
    <w:basedOn w:val="Normal"/>
    <w:semiHidden/>
    <w:rsid w:val="006109AD"/>
    <w:pPr>
      <w:tabs>
        <w:tab w:val="left" w:pos="3888"/>
        <w:tab w:val="right" w:leader="dot" w:pos="8208"/>
        <w:tab w:val="left" w:pos="8640"/>
      </w:tabs>
      <w:ind w:left="3888" w:right="1800" w:hanging="864"/>
    </w:pPr>
  </w:style>
  <w:style w:type="paragraph" w:styleId="TOC5">
    <w:name w:val="toc 5"/>
    <w:basedOn w:val="Normal"/>
    <w:semiHidden/>
    <w:rsid w:val="006109AD"/>
    <w:pPr>
      <w:tabs>
        <w:tab w:val="left" w:pos="1440"/>
        <w:tab w:val="right" w:leader="dot" w:pos="8208"/>
        <w:tab w:val="left" w:pos="8640"/>
      </w:tabs>
      <w:ind w:left="1440" w:right="1800" w:hanging="1152"/>
    </w:pPr>
  </w:style>
  <w:style w:type="paragraph" w:customStyle="1" w:styleId="TT-TableTitle">
    <w:name w:val="TT-Table Title"/>
    <w:basedOn w:val="Heading1"/>
    <w:rsid w:val="006109AD"/>
    <w:pPr>
      <w:tabs>
        <w:tab w:val="clear" w:pos="1152"/>
        <w:tab w:val="left" w:pos="1440"/>
      </w:tabs>
      <w:spacing w:line="240" w:lineRule="atLeast"/>
      <w:ind w:left="1440" w:hanging="1440"/>
    </w:pPr>
    <w:rPr>
      <w:b/>
      <w:sz w:val="22"/>
    </w:rPr>
  </w:style>
  <w:style w:type="paragraph" w:customStyle="1" w:styleId="CT-ContractInformation">
    <w:name w:val="CT-Contract Information"/>
    <w:basedOn w:val="Normal"/>
    <w:rsid w:val="006109AD"/>
    <w:pPr>
      <w:tabs>
        <w:tab w:val="left" w:pos="2232"/>
      </w:tabs>
      <w:spacing w:line="240" w:lineRule="exact"/>
    </w:pPr>
    <w:rPr>
      <w:vanish/>
    </w:rPr>
  </w:style>
  <w:style w:type="paragraph" w:customStyle="1" w:styleId="R1-ResPara">
    <w:name w:val="R1-Res. Para"/>
    <w:link w:val="R1-ResParaChar"/>
    <w:rsid w:val="006109AD"/>
    <w:pPr>
      <w:spacing w:after="0" w:line="240" w:lineRule="atLeast"/>
      <w:ind w:left="288"/>
    </w:pPr>
    <w:rPr>
      <w:rFonts w:ascii="Times New Roman" w:eastAsia="Times New Roman" w:hAnsi="Times New Roman" w:cs="Times New Roman"/>
      <w:color w:val="000000" w:themeColor="text1"/>
    </w:rPr>
  </w:style>
  <w:style w:type="paragraph" w:customStyle="1" w:styleId="R2-ResBullet">
    <w:name w:val="R2-Res Bullet"/>
    <w:basedOn w:val="Normal"/>
    <w:rsid w:val="006109AD"/>
    <w:pPr>
      <w:tabs>
        <w:tab w:val="left" w:pos="720"/>
      </w:tabs>
      <w:ind w:left="720" w:hanging="432"/>
    </w:pPr>
  </w:style>
  <w:style w:type="paragraph" w:customStyle="1" w:styleId="RF-Reference">
    <w:name w:val="RF-Reference"/>
    <w:basedOn w:val="Normal"/>
    <w:rsid w:val="006109AD"/>
    <w:pPr>
      <w:spacing w:line="240" w:lineRule="exact"/>
      <w:ind w:left="216" w:hanging="216"/>
    </w:pPr>
  </w:style>
  <w:style w:type="paragraph" w:customStyle="1" w:styleId="RH-SglSpHead">
    <w:name w:val="RH-Sgl Sp Head"/>
    <w:basedOn w:val="Heading1"/>
    <w:next w:val="RL-FlLftSgl"/>
    <w:rsid w:val="006109AD"/>
    <w:pPr>
      <w:pBdr>
        <w:bottom w:val="single" w:sz="24" w:space="1" w:color="AFBED9"/>
      </w:pBdr>
      <w:tabs>
        <w:tab w:val="clear" w:pos="1152"/>
      </w:tabs>
      <w:spacing w:after="480" w:line="360" w:lineRule="exact"/>
    </w:pPr>
    <w:rPr>
      <w:color w:val="000000" w:themeColor="text1"/>
      <w:sz w:val="22"/>
      <w:u w:color="324162"/>
    </w:rPr>
  </w:style>
  <w:style w:type="paragraph" w:customStyle="1" w:styleId="RL-FlLftSgl">
    <w:name w:val="RL-Fl Lft Sgl"/>
    <w:basedOn w:val="Heading1"/>
    <w:rsid w:val="006109AD"/>
    <w:pPr>
      <w:tabs>
        <w:tab w:val="clear" w:pos="1152"/>
      </w:tabs>
      <w:spacing w:line="240" w:lineRule="atLeast"/>
    </w:pPr>
    <w:rPr>
      <w:sz w:val="22"/>
    </w:rPr>
  </w:style>
  <w:style w:type="paragraph" w:customStyle="1" w:styleId="SU-FlLftUndln">
    <w:name w:val="SU-Fl Lft Undln"/>
    <w:basedOn w:val="Normal"/>
    <w:rsid w:val="006109AD"/>
    <w:pPr>
      <w:keepNext/>
      <w:spacing w:line="240" w:lineRule="exact"/>
    </w:pPr>
    <w:rPr>
      <w:u w:val="single"/>
    </w:rPr>
  </w:style>
  <w:style w:type="paragraph" w:customStyle="1" w:styleId="Header-1">
    <w:name w:val="Header-1"/>
    <w:basedOn w:val="Heading1"/>
    <w:rsid w:val="006109AD"/>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6109AD"/>
    <w:pPr>
      <w:numPr>
        <w:numId w:val="4"/>
      </w:numPr>
      <w:ind w:left="288" w:hanging="288"/>
    </w:pPr>
  </w:style>
  <w:style w:type="character" w:styleId="PageNumber">
    <w:name w:val="page number"/>
    <w:basedOn w:val="DefaultParagraphFont"/>
    <w:rsid w:val="006109AD"/>
  </w:style>
  <w:style w:type="paragraph" w:customStyle="1" w:styleId="R0-FLLftSglBoldItalic">
    <w:name w:val="R0-FL Lft Sgl Bold Italic"/>
    <w:basedOn w:val="Heading1"/>
    <w:rsid w:val="006109AD"/>
    <w:pPr>
      <w:tabs>
        <w:tab w:val="clear" w:pos="1152"/>
      </w:tabs>
      <w:spacing w:line="240" w:lineRule="atLeast"/>
    </w:pPr>
    <w:rPr>
      <w:b/>
      <w:i/>
      <w:color w:val="000000" w:themeColor="text1"/>
      <w:sz w:val="22"/>
    </w:rPr>
  </w:style>
  <w:style w:type="table" w:customStyle="1" w:styleId="TableWestatStandardFormat">
    <w:name w:val="Table Westat Standard Format"/>
    <w:basedOn w:val="TableNormal"/>
    <w:rsid w:val="006109AD"/>
    <w:pPr>
      <w:spacing w:after="0" w:line="240" w:lineRule="auto"/>
    </w:pPr>
    <w:rPr>
      <w:rFonts w:ascii="Franklin Gothic Medium" w:eastAsia="Times New Roman" w:hAnsi="Franklin Gothic Medium" w:cs="Times New Roman"/>
      <w:sz w:val="20"/>
      <w:szCs w:val="20"/>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109AD"/>
    <w:pPr>
      <w:pBdr>
        <w:bottom w:val="single" w:sz="24" w:space="1" w:color="AFBED7"/>
      </w:pBdr>
      <w:tabs>
        <w:tab w:val="clear" w:pos="1152"/>
      </w:tabs>
      <w:spacing w:after="720"/>
      <w:ind w:left="6869"/>
      <w:jc w:val="center"/>
    </w:pPr>
    <w:rPr>
      <w:color w:val="000000" w:themeColor="text1"/>
      <w:sz w:val="22"/>
    </w:rPr>
  </w:style>
  <w:style w:type="paragraph" w:customStyle="1" w:styleId="TF-TblFN">
    <w:name w:val="TF-Tbl FN"/>
    <w:basedOn w:val="FootnoteText"/>
    <w:rsid w:val="006109AD"/>
    <w:rPr>
      <w:rFonts w:ascii="Franklin Gothic Medium" w:hAnsi="Franklin Gothic Medium"/>
      <w:sz w:val="16"/>
      <w:szCs w:val="20"/>
    </w:rPr>
  </w:style>
  <w:style w:type="paragraph" w:customStyle="1" w:styleId="TH-TableHeading">
    <w:name w:val="TH-Table Heading"/>
    <w:basedOn w:val="Heading1"/>
    <w:rsid w:val="006109AD"/>
    <w:pPr>
      <w:spacing w:line="240" w:lineRule="atLeast"/>
      <w:jc w:val="center"/>
    </w:pPr>
    <w:rPr>
      <w:rFonts w:ascii="Franklin Gothic Medium" w:hAnsi="Franklin Gothic Medium"/>
      <w:color w:val="000000" w:themeColor="text1"/>
      <w:sz w:val="20"/>
      <w:szCs w:val="20"/>
    </w:rPr>
  </w:style>
  <w:style w:type="paragraph" w:styleId="TOC6">
    <w:name w:val="toc 6"/>
    <w:semiHidden/>
    <w:rsid w:val="006109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6109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6109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6109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6109AD"/>
    <w:rPr>
      <w:rFonts w:ascii="Franklin Gothic Medium" w:hAnsi="Franklin Gothic Medium"/>
      <w:sz w:val="20"/>
      <w:szCs w:val="20"/>
    </w:rPr>
  </w:style>
  <w:style w:type="paragraph" w:styleId="BalloonText">
    <w:name w:val="Balloon Text"/>
    <w:basedOn w:val="Normal"/>
    <w:link w:val="BalloonTextChar"/>
    <w:uiPriority w:val="99"/>
    <w:semiHidden/>
    <w:unhideWhenUsed/>
    <w:rsid w:val="006109AD"/>
    <w:rPr>
      <w:rFonts w:ascii="Tahoma" w:hAnsi="Tahoma" w:cs="Tahoma"/>
      <w:sz w:val="16"/>
      <w:szCs w:val="16"/>
    </w:rPr>
  </w:style>
  <w:style w:type="character" w:customStyle="1" w:styleId="BalloonTextChar">
    <w:name w:val="Balloon Text Char"/>
    <w:basedOn w:val="DefaultParagraphFont"/>
    <w:link w:val="BalloonText"/>
    <w:uiPriority w:val="99"/>
    <w:semiHidden/>
    <w:rsid w:val="006109AD"/>
    <w:rPr>
      <w:rFonts w:ascii="Tahoma" w:eastAsia="Times New Roman" w:hAnsi="Tahoma" w:cs="Tahoma"/>
      <w:color w:val="000000" w:themeColor="text1"/>
      <w:sz w:val="16"/>
      <w:szCs w:val="16"/>
    </w:rPr>
  </w:style>
  <w:style w:type="character" w:styleId="FootnoteReference">
    <w:name w:val="footnote reference"/>
    <w:basedOn w:val="DefaultParagraphFont"/>
    <w:uiPriority w:val="99"/>
    <w:semiHidden/>
    <w:unhideWhenUsed/>
    <w:rsid w:val="006109AD"/>
    <w:rPr>
      <w:vertAlign w:val="superscript"/>
    </w:rPr>
  </w:style>
  <w:style w:type="paragraph" w:styleId="ListParagraph">
    <w:name w:val="List Paragraph"/>
    <w:basedOn w:val="Normal"/>
    <w:uiPriority w:val="34"/>
    <w:qFormat/>
    <w:rsid w:val="006109AD"/>
    <w:pPr>
      <w:spacing w:after="200" w:line="360" w:lineRule="auto"/>
      <w:ind w:left="720"/>
      <w:contextualSpacing/>
    </w:pPr>
    <w:rPr>
      <w:rFonts w:eastAsiaTheme="minorHAnsi" w:cstheme="minorBidi"/>
    </w:rPr>
  </w:style>
  <w:style w:type="paragraph" w:styleId="Title">
    <w:name w:val="Title"/>
    <w:basedOn w:val="Normal"/>
    <w:next w:val="Normal"/>
    <w:link w:val="TitleChar"/>
    <w:uiPriority w:val="10"/>
    <w:qFormat/>
    <w:rsid w:val="00610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09A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semiHidden/>
    <w:unhideWhenUsed/>
    <w:rsid w:val="006109AD"/>
    <w:rPr>
      <w:sz w:val="16"/>
      <w:szCs w:val="16"/>
    </w:rPr>
  </w:style>
  <w:style w:type="paragraph" w:styleId="CommentText">
    <w:name w:val="annotation text"/>
    <w:basedOn w:val="Normal"/>
    <w:link w:val="CommentTextChar"/>
    <w:unhideWhenUsed/>
    <w:rsid w:val="006109AD"/>
    <w:pPr>
      <w:spacing w:after="200"/>
    </w:pPr>
    <w:rPr>
      <w:rFonts w:eastAsiaTheme="minorHAnsi" w:cstheme="minorBidi"/>
      <w:sz w:val="20"/>
      <w:szCs w:val="20"/>
    </w:rPr>
  </w:style>
  <w:style w:type="character" w:customStyle="1" w:styleId="CommentTextChar">
    <w:name w:val="Comment Text Char"/>
    <w:basedOn w:val="DefaultParagraphFont"/>
    <w:link w:val="CommentText"/>
    <w:rsid w:val="006109AD"/>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109AD"/>
    <w:rPr>
      <w:b/>
      <w:bCs/>
    </w:rPr>
  </w:style>
  <w:style w:type="character" w:customStyle="1" w:styleId="CommentSubjectChar">
    <w:name w:val="Comment Subject Char"/>
    <w:basedOn w:val="CommentTextChar"/>
    <w:link w:val="CommentSubject"/>
    <w:uiPriority w:val="99"/>
    <w:semiHidden/>
    <w:rsid w:val="006109AD"/>
    <w:rPr>
      <w:rFonts w:ascii="Times New Roman" w:hAnsi="Times New Roman"/>
      <w:b/>
      <w:bCs/>
      <w:color w:val="000000" w:themeColor="text1"/>
      <w:sz w:val="20"/>
      <w:szCs w:val="20"/>
    </w:rPr>
  </w:style>
  <w:style w:type="character" w:customStyle="1" w:styleId="L1-FlLSp12Char">
    <w:name w:val="L1-FlL Sp&amp;1/2 Char"/>
    <w:link w:val="L1-FlLSp12"/>
    <w:locked/>
    <w:rsid w:val="006109AD"/>
    <w:rPr>
      <w:rFonts w:ascii="Times New Roman" w:eastAsia="Times New Roman" w:hAnsi="Times New Roman" w:cs="Times New Roman"/>
      <w:color w:val="000000" w:themeColor="text1"/>
    </w:rPr>
  </w:style>
  <w:style w:type="paragraph" w:styleId="NormalWeb">
    <w:name w:val="Normal (Web)"/>
    <w:basedOn w:val="Normal"/>
    <w:uiPriority w:val="99"/>
    <w:semiHidden/>
    <w:unhideWhenUsed/>
    <w:rsid w:val="006109AD"/>
    <w:pPr>
      <w:spacing w:before="100" w:beforeAutospacing="1" w:after="100" w:afterAutospacing="1"/>
    </w:pPr>
    <w:rPr>
      <w:sz w:val="24"/>
      <w:szCs w:val="24"/>
    </w:rPr>
  </w:style>
  <w:style w:type="character" w:customStyle="1" w:styleId="apple-converted-space">
    <w:name w:val="apple-converted-space"/>
    <w:basedOn w:val="DefaultParagraphFont"/>
    <w:rsid w:val="006109AD"/>
  </w:style>
  <w:style w:type="character" w:styleId="Hyperlink">
    <w:name w:val="Hyperlink"/>
    <w:basedOn w:val="DefaultParagraphFont"/>
    <w:uiPriority w:val="99"/>
    <w:unhideWhenUsed/>
    <w:rsid w:val="006109AD"/>
    <w:rPr>
      <w:color w:val="0000FF" w:themeColor="hyperlink"/>
      <w:u w:val="single"/>
    </w:rPr>
  </w:style>
  <w:style w:type="character" w:customStyle="1" w:styleId="P1-StandParaChar">
    <w:name w:val="P1-Stand Para Char"/>
    <w:basedOn w:val="DefaultParagraphFont"/>
    <w:link w:val="P1-StandPara"/>
    <w:rsid w:val="006109AD"/>
    <w:rPr>
      <w:rFonts w:ascii="Times New Roman" w:eastAsia="Times New Roman" w:hAnsi="Times New Roman" w:cs="Times New Roman"/>
      <w:color w:val="000000" w:themeColor="text1"/>
    </w:rPr>
  </w:style>
  <w:style w:type="paragraph" w:styleId="NoSpacing">
    <w:name w:val="No Spacing"/>
    <w:uiPriority w:val="1"/>
    <w:qFormat/>
    <w:rsid w:val="006109AD"/>
    <w:pPr>
      <w:spacing w:after="0" w:line="240" w:lineRule="auto"/>
    </w:pPr>
  </w:style>
  <w:style w:type="paragraph" w:customStyle="1" w:styleId="Default">
    <w:name w:val="Default"/>
    <w:rsid w:val="006109AD"/>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6109AD"/>
    <w:pPr>
      <w:spacing w:line="240" w:lineRule="auto"/>
    </w:pPr>
    <w:rPr>
      <w:sz w:val="20"/>
      <w:szCs w:val="20"/>
    </w:rPr>
  </w:style>
  <w:style w:type="character" w:customStyle="1" w:styleId="EndnoteTextChar">
    <w:name w:val="Endnote Text Char"/>
    <w:basedOn w:val="DefaultParagraphFont"/>
    <w:link w:val="EndnoteText"/>
    <w:uiPriority w:val="99"/>
    <w:semiHidden/>
    <w:rsid w:val="006109AD"/>
    <w:rPr>
      <w:rFonts w:ascii="Times New Roman" w:eastAsia="Times New Roman" w:hAnsi="Times New Roman" w:cs="Times New Roman"/>
      <w:color w:val="000000" w:themeColor="text1"/>
      <w:sz w:val="20"/>
      <w:szCs w:val="20"/>
    </w:rPr>
  </w:style>
  <w:style w:type="character" w:styleId="EndnoteReference">
    <w:name w:val="endnote reference"/>
    <w:basedOn w:val="DefaultParagraphFont"/>
    <w:uiPriority w:val="99"/>
    <w:semiHidden/>
    <w:unhideWhenUsed/>
    <w:rsid w:val="006109AD"/>
    <w:rPr>
      <w:vertAlign w:val="superscript"/>
    </w:rPr>
  </w:style>
  <w:style w:type="paragraph" w:styleId="Caption">
    <w:name w:val="caption"/>
    <w:basedOn w:val="Normal"/>
    <w:next w:val="Normal"/>
    <w:uiPriority w:val="35"/>
    <w:unhideWhenUsed/>
    <w:qFormat/>
    <w:rsid w:val="006109AD"/>
    <w:pPr>
      <w:spacing w:after="200" w:line="240" w:lineRule="auto"/>
    </w:pPr>
    <w:rPr>
      <w:b/>
      <w:bCs/>
      <w:color w:val="4F81BD" w:themeColor="accent1"/>
      <w:sz w:val="18"/>
      <w:szCs w:val="18"/>
    </w:rPr>
  </w:style>
  <w:style w:type="paragraph" w:styleId="Revision">
    <w:name w:val="Revision"/>
    <w:hidden/>
    <w:uiPriority w:val="99"/>
    <w:semiHidden/>
    <w:rsid w:val="006109AD"/>
    <w:pPr>
      <w:spacing w:after="0" w:line="240" w:lineRule="auto"/>
    </w:pPr>
    <w:rPr>
      <w:rFonts w:ascii="Times New Roman" w:eastAsia="Times New Roman" w:hAnsi="Times New Roman" w:cs="Times New Roman"/>
      <w:color w:val="000000" w:themeColor="text1"/>
    </w:rPr>
  </w:style>
  <w:style w:type="character" w:customStyle="1" w:styleId="R1-ResParaChar">
    <w:name w:val="R1-Res. Para Char"/>
    <w:basedOn w:val="DefaultParagraphFont"/>
    <w:link w:val="R1-ResPara"/>
    <w:locked/>
    <w:rsid w:val="006109AD"/>
    <w:rPr>
      <w:rFonts w:ascii="Times New Roman" w:eastAsia="Times New Roman" w:hAnsi="Times New Roman" w:cs="Times New Roman"/>
      <w:color w:val="000000" w:themeColor="text1"/>
    </w:rPr>
  </w:style>
  <w:style w:type="character" w:styleId="Emphasis">
    <w:name w:val="Emphasis"/>
    <w:basedOn w:val="DefaultParagraphFont"/>
    <w:uiPriority w:val="20"/>
    <w:qFormat/>
    <w:rsid w:val="006109AD"/>
    <w:rPr>
      <w:i/>
      <w:iCs/>
    </w:rPr>
  </w:style>
  <w:style w:type="paragraph" w:styleId="BodyText">
    <w:name w:val="Body Text"/>
    <w:basedOn w:val="Normal"/>
    <w:link w:val="BodyTextChar"/>
    <w:rsid w:val="006109AD"/>
    <w:pPr>
      <w:widowControl w:val="0"/>
      <w:tabs>
        <w:tab w:val="clear" w:pos="1152"/>
      </w:tabs>
      <w:autoSpaceDE w:val="0"/>
      <w:autoSpaceDN w:val="0"/>
      <w:adjustRightInd w:val="0"/>
      <w:spacing w:line="240" w:lineRule="auto"/>
    </w:pPr>
    <w:rPr>
      <w:color w:val="auto"/>
      <w:sz w:val="24"/>
      <w:szCs w:val="24"/>
    </w:rPr>
  </w:style>
  <w:style w:type="character" w:customStyle="1" w:styleId="BodyTextChar">
    <w:name w:val="Body Text Char"/>
    <w:basedOn w:val="DefaultParagraphFont"/>
    <w:link w:val="BodyText"/>
    <w:rsid w:val="006109A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09AD"/>
    <w:rPr>
      <w:color w:val="800080" w:themeColor="followedHyperlink"/>
      <w:u w:val="single"/>
    </w:rPr>
  </w:style>
  <w:style w:type="character" w:customStyle="1" w:styleId="normaltextrun">
    <w:name w:val="normaltextrun"/>
    <w:basedOn w:val="DefaultParagraphFont"/>
    <w:rsid w:val="00922B22"/>
  </w:style>
  <w:style w:type="character" w:customStyle="1" w:styleId="eop">
    <w:name w:val="eop"/>
    <w:basedOn w:val="DefaultParagraphFont"/>
    <w:rsid w:val="00922B22"/>
  </w:style>
  <w:style w:type="character" w:styleId="Mention">
    <w:name w:val="Mention"/>
    <w:basedOn w:val="DefaultParagraphFont"/>
    <w:uiPriority w:val="99"/>
    <w:unhideWhenUsed/>
    <w:rsid w:val="001638AB"/>
    <w:rPr>
      <w:color w:val="2B579A"/>
      <w:shd w:val="clear" w:color="auto" w:fill="E1DFDD"/>
    </w:rPr>
  </w:style>
  <w:style w:type="table" w:styleId="TableGrid">
    <w:name w:val="Table Grid"/>
    <w:basedOn w:val="TableNormal"/>
    <w:uiPriority w:val="59"/>
    <w:rsid w:val="00892D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HTSBody">
    <w:name w:val="NHTS Body"/>
    <w:basedOn w:val="Normal"/>
    <w:link w:val="NHTSBodyChar"/>
    <w:qFormat/>
    <w:rsid w:val="00292801"/>
    <w:pPr>
      <w:tabs>
        <w:tab w:val="clear" w:pos="1152"/>
      </w:tabs>
      <w:spacing w:after="240" w:line="276" w:lineRule="auto"/>
    </w:pPr>
    <w:rPr>
      <w:rFonts w:eastAsia="Calibri"/>
      <w:color w:val="auto"/>
      <w:szCs w:val="24"/>
    </w:rPr>
  </w:style>
  <w:style w:type="character" w:customStyle="1" w:styleId="NHTSBodyChar">
    <w:name w:val="NHTS Body Char"/>
    <w:basedOn w:val="DefaultParagraphFont"/>
    <w:link w:val="NHTSBody"/>
    <w:rsid w:val="00292801"/>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aniel.Jenkins@dot.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ilytravelapp.com/" TargetMode="External" /><Relationship Id="rId2" Type="http://schemas.openxmlformats.org/officeDocument/2006/relationships/hyperlink" Target="http://www.urban.org/publications/1001376.html" TargetMode="External" /><Relationship Id="rId3" Type="http://schemas.openxmlformats.org/officeDocument/2006/relationships/hyperlink" Target="http://www.huduser.org/portal/datasets/fmr/fmr2013p/FMR_Surveys_Experiment_Report_rev.pdf" TargetMode="External" /><Relationship Id="rId4" Type="http://schemas.openxmlformats.org/officeDocument/2006/relationships/hyperlink" Target="http://surveypractice.org/index.php/SurveyPractice/article/viewFile/25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06bdf37-f567-445b-b9c1-43d17b5bd96f">
      <UserInfo>
        <DisplayName>Shawn McCloskey</DisplayName>
        <AccountId>16</AccountId>
        <AccountType/>
      </UserInfo>
      <UserInfo>
        <DisplayName>McCall, Nicole</DisplayName>
        <AccountId>27</AccountId>
        <AccountType/>
      </UserInfo>
    </SharedWithUsers>
    <_activity xmlns="bc716e78-9af6-4683-b4be-30a4cdccf7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CBB885107174BA7DA49C14E7E3743" ma:contentTypeVersion="15" ma:contentTypeDescription="Create a new document." ma:contentTypeScope="" ma:versionID="2a23388e06496bbca4346be6152a0ea2">
  <xsd:schema xmlns:xsd="http://www.w3.org/2001/XMLSchema" xmlns:xs="http://www.w3.org/2001/XMLSchema" xmlns:p="http://schemas.microsoft.com/office/2006/metadata/properties" xmlns:ns3="306bdf37-f567-445b-b9c1-43d17b5bd96f" xmlns:ns4="bc716e78-9af6-4683-b4be-30a4cdccf7da" targetNamespace="http://schemas.microsoft.com/office/2006/metadata/properties" ma:root="true" ma:fieldsID="a1be875242f000c2922432f20838581a" ns3:_="" ns4:_="">
    <xsd:import namespace="306bdf37-f567-445b-b9c1-43d17b5bd96f"/>
    <xsd:import namespace="bc716e78-9af6-4683-b4be-30a4cdccf7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bdf37-f567-445b-b9c1-43d17b5bd9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16e78-9af6-4683-b4be-30a4cdccf7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2D29C-E45F-40E0-B80A-5AF8AF798A0C}">
  <ds:schemaRefs>
    <ds:schemaRef ds:uri="http://schemas.microsoft.com/sharepoint/v3/contenttype/forms"/>
  </ds:schemaRefs>
</ds:datastoreItem>
</file>

<file path=customXml/itemProps2.xml><?xml version="1.0" encoding="utf-8"?>
<ds:datastoreItem xmlns:ds="http://schemas.openxmlformats.org/officeDocument/2006/customXml" ds:itemID="{9E211393-2D34-4B08-853C-7FE386091F29}">
  <ds:schemaRefs>
    <ds:schemaRef ds:uri="http://schemas.microsoft.com/office/2006/documentManagement/types"/>
    <ds:schemaRef ds:uri="bc716e78-9af6-4683-b4be-30a4cdccf7da"/>
    <ds:schemaRef ds:uri="http://purl.org/dc/dcmitype/"/>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306bdf37-f567-445b-b9c1-43d17b5bd96f"/>
  </ds:schemaRefs>
</ds:datastoreItem>
</file>

<file path=customXml/itemProps3.xml><?xml version="1.0" encoding="utf-8"?>
<ds:datastoreItem xmlns:ds="http://schemas.openxmlformats.org/officeDocument/2006/customXml" ds:itemID="{C14792A4-54DC-4784-AB59-262D1E174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bdf37-f567-445b-b9c1-43d17b5bd96f"/>
    <ds:schemaRef ds:uri="bc716e78-9af6-4683-b4be-30a4cdccf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8534A-4BCA-47F3-85E2-B9F3BB231FE0}">
  <ds:schemaRefs>
    <ds:schemaRef ds:uri="http://schemas.openxmlformats.org/officeDocument/2006/bibliography"/>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17</Pages>
  <Words>5438</Words>
  <Characters>30997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Brock</dc:creator>
  <cp:lastModifiedBy>Lewis, Jazmyne (FHWA)</cp:lastModifiedBy>
  <cp:revision>6</cp:revision>
  <dcterms:created xsi:type="dcterms:W3CDTF">2024-04-16T19:54:00Z</dcterms:created>
  <dcterms:modified xsi:type="dcterms:W3CDTF">2024-04-18T19:56:00Z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0x01010080ECBB885107174BA7DA49C14E7E3743</vt:lpwstr>
  </property>
  <property fmtid="{D5CDD505-2E9C-101B-9397-08002B2CF9AE}" pid="3" name="MediaServiceImageTags">
    <vt:lpwstr/>
  </property>
</Properties>
</file>