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252" w14:paraId="12709603" w14:textId="41FB2653">
      <w:pPr>
        <w:pStyle w:val="NormalWeb"/>
        <w:jc w:val="center"/>
        <w:rPr>
          <w:rFonts w:ascii="Arial" w:hAnsi="Arial" w:cs="Arial"/>
          <w:b/>
          <w:bCs/>
        </w:rPr>
      </w:pPr>
      <w:r>
        <w:rPr>
          <w:rFonts w:ascii="Arial" w:hAnsi="Arial" w:cs="Arial"/>
          <w:b/>
          <w:bCs/>
        </w:rPr>
        <w:t>Department of Transportation (DOT)</w:t>
      </w:r>
    </w:p>
    <w:p w:rsidR="00077252" w14:paraId="487CD12D" w14:textId="5E2911CD">
      <w:pPr>
        <w:pStyle w:val="NormalWeb"/>
        <w:jc w:val="center"/>
        <w:rPr>
          <w:rFonts w:ascii="Arial" w:hAnsi="Arial" w:cs="Arial"/>
          <w:b/>
          <w:bCs/>
        </w:rPr>
      </w:pPr>
      <w:r>
        <w:rPr>
          <w:rFonts w:ascii="Arial" w:hAnsi="Arial" w:cs="Arial"/>
          <w:b/>
          <w:bCs/>
        </w:rPr>
        <w:t>Federal Highway Administration (FHWA)</w:t>
      </w:r>
    </w:p>
    <w:p w:rsidR="00BD1BF2" w14:paraId="71C42FBC" w14:textId="3DFFE59C">
      <w:pPr>
        <w:pStyle w:val="NormalWeb"/>
        <w:jc w:val="center"/>
        <w:rPr>
          <w:rFonts w:ascii="Arial" w:hAnsi="Arial" w:cs="Arial"/>
          <w:b/>
          <w:bCs/>
        </w:rPr>
      </w:pPr>
      <w:r>
        <w:rPr>
          <w:rFonts w:ascii="Arial" w:hAnsi="Arial" w:cs="Arial"/>
          <w:b/>
          <w:bCs/>
        </w:rPr>
        <w:t>The Supporting Statemen</w:t>
      </w:r>
      <w:r w:rsidR="00077252">
        <w:rPr>
          <w:rFonts w:ascii="Arial" w:hAnsi="Arial" w:cs="Arial"/>
          <w:b/>
          <w:bCs/>
        </w:rPr>
        <w:t>t A</w:t>
      </w:r>
    </w:p>
    <w:p w:rsidR="00232C77" w14:paraId="7D7AC039" w14:textId="6E47B53A">
      <w:pPr>
        <w:pStyle w:val="NormalWeb"/>
        <w:jc w:val="center"/>
        <w:rPr>
          <w:rFonts w:ascii="Arial" w:hAnsi="Arial" w:cs="Arial"/>
          <w:b/>
          <w:bCs/>
        </w:rPr>
      </w:pPr>
      <w:r>
        <w:rPr>
          <w:rFonts w:ascii="Arial" w:hAnsi="Arial" w:cs="Arial"/>
          <w:b/>
          <w:bCs/>
        </w:rPr>
        <w:t>Request for Federal Aid Reimbursement Eligibility of Safety Hardware Devices</w:t>
      </w:r>
    </w:p>
    <w:p w:rsidR="00077252" w14:paraId="4B77228E" w14:textId="45E9C239">
      <w:pPr>
        <w:pStyle w:val="NormalWeb"/>
        <w:jc w:val="center"/>
        <w:rPr>
          <w:rFonts w:ascii="Arial" w:hAnsi="Arial" w:cs="Arial"/>
          <w:b/>
          <w:bCs/>
          <w:sz w:val="20"/>
          <w:szCs w:val="20"/>
        </w:rPr>
      </w:pPr>
      <w:r>
        <w:rPr>
          <w:rFonts w:ascii="Arial" w:hAnsi="Arial" w:cs="Arial"/>
          <w:b/>
          <w:bCs/>
        </w:rPr>
        <w:t>OMB Control No. 2125-</w:t>
      </w:r>
      <w:r w:rsidR="00160445">
        <w:rPr>
          <w:rFonts w:ascii="Arial" w:hAnsi="Arial" w:cs="Arial"/>
          <w:b/>
          <w:bCs/>
        </w:rPr>
        <w:t>XXXX</w:t>
      </w:r>
    </w:p>
    <w:p w:rsidR="00BD1BF2" w14:paraId="0E683277" w14:textId="77777777"/>
    <w:p w:rsidR="001270D6" w:rsidRPr="00E97483" w:rsidP="001270D6" w14:paraId="16BA5FB6" w14:textId="6C5B5DC7">
      <w:pPr>
        <w:rPr>
          <w:rFonts w:ascii="Arial" w:hAnsi="Arial" w:cs="Arial"/>
          <w:sz w:val="20"/>
          <w:szCs w:val="20"/>
        </w:rPr>
      </w:pPr>
      <w:r w:rsidRPr="00E97483">
        <w:rPr>
          <w:rFonts w:ascii="Arial" w:hAnsi="Arial" w:cs="Arial"/>
          <w:sz w:val="20"/>
          <w:szCs w:val="20"/>
          <w:u w:val="single"/>
        </w:rPr>
        <w:t>Introduction:</w:t>
      </w:r>
      <w:r w:rsidRPr="00E97483">
        <w:rPr>
          <w:rFonts w:ascii="Arial" w:hAnsi="Arial" w:cs="Arial"/>
          <w:sz w:val="20"/>
          <w:szCs w:val="20"/>
        </w:rPr>
        <w:t xml:space="preserve"> </w:t>
      </w:r>
      <w:r w:rsidRPr="00E97483">
        <w:rPr>
          <w:rFonts w:ascii="Arial" w:hAnsi="Arial" w:cs="Arial"/>
          <w:sz w:val="20"/>
          <w:szCs w:val="20"/>
        </w:rPr>
        <w:t>The FHWA issues Federal-aid eligibility letters as a service to State and local agencies. If an interested party (submitter) wants a Federal-aid reimbursement eligibility letter, then it must submit a request with the required information to FHWA for review.</w:t>
      </w:r>
    </w:p>
    <w:p w:rsidR="001270D6" w:rsidRPr="00E97483" w:rsidP="001270D6" w14:paraId="06F69433" w14:textId="77777777">
      <w:pPr>
        <w:rPr>
          <w:rFonts w:ascii="Arial" w:hAnsi="Arial" w:cs="Arial"/>
          <w:sz w:val="20"/>
          <w:szCs w:val="20"/>
        </w:rPr>
      </w:pPr>
    </w:p>
    <w:p w:rsidR="001270D6" w:rsidRPr="00E97483" w:rsidP="001270D6" w14:paraId="3CA01C27" w14:textId="77777777">
      <w:pPr>
        <w:rPr>
          <w:rFonts w:ascii="Arial" w:hAnsi="Arial" w:cs="Arial"/>
          <w:sz w:val="20"/>
          <w:szCs w:val="20"/>
        </w:rPr>
      </w:pPr>
      <w:r w:rsidRPr="00E97483">
        <w:rPr>
          <w:rFonts w:ascii="Arial" w:hAnsi="Arial" w:cs="Arial"/>
          <w:sz w:val="20"/>
          <w:szCs w:val="20"/>
        </w:rPr>
        <w:t xml:space="preserve">The information collection is completely voluntary. It’s not required for anyone to respond. The collected information will be FWHA records and is subject to </w:t>
      </w:r>
      <w:r w:rsidRPr="00E97483">
        <w:rPr>
          <w:rFonts w:ascii="Arial" w:hAnsi="Arial" w:cs="Arial"/>
          <w:sz w:val="20"/>
          <w:szCs w:val="20"/>
          <w:lang w:val="en"/>
        </w:rPr>
        <w:t>the Freedom of Information Act, 5 U.S.C. Â§ 552.</w:t>
      </w:r>
      <w:r w:rsidRPr="00E97483">
        <w:rPr>
          <w:rFonts w:ascii="Arial" w:hAnsi="Arial" w:cs="Arial"/>
          <w:sz w:val="20"/>
          <w:szCs w:val="20"/>
        </w:rPr>
        <w:t xml:space="preserve"> </w:t>
      </w:r>
      <w:r w:rsidRPr="00E97483">
        <w:rPr>
          <w:rFonts w:ascii="Arial" w:hAnsi="Arial" w:cs="Arial"/>
          <w:sz w:val="20"/>
          <w:szCs w:val="20"/>
          <w:lang w:val="en"/>
        </w:rPr>
        <w:t xml:space="preserve">A FHWA Federal-aid reimbursement eligibility letter will be sent electronically to the submitter in PDF format when it’s issued. Federal-aid reimbursement eligibility letters are also posted on the </w:t>
      </w:r>
      <w:hyperlink r:id="rId5" w:history="1">
        <w:r w:rsidRPr="00E97483">
          <w:rPr>
            <w:rFonts w:ascii="Arial" w:hAnsi="Arial" w:cs="Arial"/>
            <w:color w:val="0079C0"/>
            <w:sz w:val="20"/>
            <w:szCs w:val="20"/>
            <w:u w:val="single"/>
            <w:shd w:val="clear" w:color="auto" w:fill="FFFFFF"/>
          </w:rPr>
          <w:t>FHWA Eligibility Web site</w:t>
        </w:r>
      </w:hyperlink>
      <w:r w:rsidRPr="00E97483">
        <w:rPr>
          <w:rFonts w:ascii="Arial" w:hAnsi="Arial" w:cs="Arial"/>
          <w:sz w:val="20"/>
          <w:szCs w:val="20"/>
          <w:lang w:val="en"/>
        </w:rPr>
        <w:t xml:space="preserve">. </w:t>
      </w:r>
      <w:r w:rsidRPr="00E97483">
        <w:rPr>
          <w:rFonts w:ascii="Arial" w:hAnsi="Arial" w:cs="Arial"/>
          <w:sz w:val="20"/>
          <w:szCs w:val="20"/>
        </w:rPr>
        <w:t xml:space="preserve">An eligibility letter package includes the submittal form, crash test summary sheets and hardware drawings as attachments to the letter. The information collected is necessary for FHWA to analyze whether the roadside safety hardware meets criteria set by the American Association of State Highway and Transportation Officials in their “Manual on Assessing Safety Hardware.” </w:t>
      </w:r>
      <w:r w:rsidRPr="00E97483">
        <w:rPr>
          <w:rFonts w:ascii="Arial" w:hAnsi="Arial" w:cs="Arial"/>
          <w:color w:val="212529"/>
          <w:sz w:val="20"/>
          <w:szCs w:val="20"/>
          <w:shd w:val="clear" w:color="auto" w:fill="FFFFFF"/>
        </w:rPr>
        <w:t>When the FHWA issues an eligibility letter, if the attached files (hardware drawings and the crash test summaries) do not conform to Section 508 standards, FHWA will only post the eligibility letter on the agency's website without the non-conformant attachments. An electronic document with a copy of the letter and the non-conformant attachments will be sent to the requestor for posting on its public website; if the attached files (hardware drawings and crash test summaries) conform to Section 508 standards, FHWA will post the eligibility letter with the files on the agency's website </w:t>
      </w:r>
      <w:hyperlink r:id="rId5" w:history="1">
        <w:r w:rsidRPr="00E97483">
          <w:rPr>
            <w:rFonts w:ascii="Arial" w:hAnsi="Arial" w:cs="Arial"/>
            <w:color w:val="0079C0"/>
            <w:sz w:val="20"/>
            <w:szCs w:val="20"/>
            <w:u w:val="single"/>
            <w:shd w:val="clear" w:color="auto" w:fill="FFFFFF"/>
          </w:rPr>
          <w:t>FHWA Eligibility Web site</w:t>
        </w:r>
      </w:hyperlink>
      <w:r w:rsidRPr="00E97483">
        <w:rPr>
          <w:rFonts w:ascii="Arial" w:hAnsi="Arial" w:cs="Arial"/>
          <w:color w:val="212529"/>
          <w:sz w:val="20"/>
          <w:szCs w:val="20"/>
          <w:shd w:val="clear" w:color="auto" w:fill="FFFFFF"/>
        </w:rPr>
        <w:t>.</w:t>
      </w:r>
    </w:p>
    <w:p w:rsidR="00BD1BF2" w14:paraId="6564E3C6"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2902B2" w:rsidRPr="004D72BB" w:rsidP="004D72BB" w14:paraId="6A831A70"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2902B2" w:rsidRPr="00E97483" w:rsidP="002902B2" w14:paraId="429A3006" w14:textId="77777777">
      <w:pPr>
        <w:autoSpaceDE w:val="0"/>
        <w:autoSpaceDN w:val="0"/>
        <w:adjustRightInd w:val="0"/>
        <w:rPr>
          <w:rFonts w:ascii="Arial" w:hAnsi="Arial" w:cs="Arial"/>
          <w:sz w:val="20"/>
          <w:szCs w:val="20"/>
        </w:rPr>
      </w:pPr>
      <w:r w:rsidRPr="00E97483">
        <w:rPr>
          <w:rFonts w:ascii="Arial" w:hAnsi="Arial" w:cs="Arial"/>
          <w:sz w:val="20"/>
          <w:szCs w:val="20"/>
        </w:rPr>
        <w:t xml:space="preserve">The FHWA' s longstanding policy is that all roadside safety hardware installed on the National Highway System (NHS) be crashworthy. To support this policy, the AASHTO/FHWA Joint Implementation Agreement for the Manual for Assessing Safety Hardware (MASH) was adopted. This agreement implemented AASHTO MASH as the criteria for determining crashworthiness of roadside safety hardware. </w:t>
      </w:r>
    </w:p>
    <w:p w:rsidR="002902B2" w:rsidRPr="00E97483" w:rsidP="002902B2" w14:paraId="30314141" w14:textId="77777777">
      <w:pPr>
        <w:rPr>
          <w:rFonts w:ascii="Arial" w:hAnsi="Arial" w:cs="Arial"/>
          <w:sz w:val="20"/>
          <w:szCs w:val="20"/>
        </w:rPr>
      </w:pPr>
    </w:p>
    <w:p w:rsidR="002902B2" w:rsidRPr="00E97483" w:rsidP="002902B2" w14:paraId="6CA123BE" w14:textId="77777777">
      <w:pPr>
        <w:rPr>
          <w:rFonts w:ascii="Arial" w:hAnsi="Arial" w:cs="Arial"/>
          <w:sz w:val="20"/>
          <w:szCs w:val="20"/>
        </w:rPr>
      </w:pPr>
      <w:r w:rsidRPr="00E97483">
        <w:rPr>
          <w:rFonts w:ascii="Arial" w:hAnsi="Arial" w:cs="Arial"/>
          <w:sz w:val="20"/>
          <w:szCs w:val="20"/>
        </w:rPr>
        <w:t xml:space="preserve">In support of ensuring latest roadside hardware that is crash tested in accordance with MASH installed on NHS, the FHWA is providing a service to States and industry by reviewing crash test results for federal aid eligibility. An eligibility letter is not a requirement for roadside safety hardware to be determined eligible for Federal funding. Roadside safety hardware is eligible for Federal funding if it has been determined to be crash worthy by the user agency. </w:t>
      </w:r>
    </w:p>
    <w:p w:rsidR="002902B2" w:rsidRPr="00E97483" w:rsidP="002902B2" w14:paraId="7CE514A6" w14:textId="77777777">
      <w:pPr>
        <w:rPr>
          <w:rFonts w:ascii="Arial" w:hAnsi="Arial" w:cs="Arial"/>
          <w:sz w:val="20"/>
          <w:szCs w:val="20"/>
        </w:rPr>
      </w:pPr>
    </w:p>
    <w:p w:rsidR="002902B2" w:rsidRPr="00E97483" w:rsidP="002902B2" w14:paraId="3272E498" w14:textId="543D352C">
      <w:pPr>
        <w:rPr>
          <w:rFonts w:ascii="Arial" w:hAnsi="Arial" w:cs="Arial"/>
          <w:sz w:val="20"/>
          <w:szCs w:val="20"/>
        </w:rPr>
      </w:pPr>
      <w:r w:rsidRPr="00E97483">
        <w:rPr>
          <w:rFonts w:ascii="Arial" w:hAnsi="Arial" w:cs="Arial"/>
          <w:sz w:val="20"/>
          <w:szCs w:val="20"/>
        </w:rPr>
        <w:t>To issue eligibility letters for roadside safety hardware, the FHWA needs to collect and revie</w:t>
      </w:r>
      <w:r w:rsidR="00160445">
        <w:rPr>
          <w:rFonts w:ascii="Arial" w:hAnsi="Arial" w:cs="Arial"/>
          <w:sz w:val="20"/>
          <w:szCs w:val="20"/>
        </w:rPr>
        <w:t>w crash</w:t>
      </w:r>
      <w:r w:rsidRPr="00E97483">
        <w:rPr>
          <w:rFonts w:ascii="Arial" w:hAnsi="Arial" w:cs="Arial"/>
          <w:sz w:val="20"/>
          <w:szCs w:val="20"/>
        </w:rPr>
        <w:t xml:space="preserve"> test results and hardware information from the submitters. </w:t>
      </w:r>
    </w:p>
    <w:p w:rsidR="002902B2" w14:paraId="7CB87BF3" w14:textId="77777777">
      <w:pPr>
        <w:rPr>
          <w:rFonts w:ascii="Arial" w:hAnsi="Arial" w:cs="Arial"/>
          <w:color w:val="FF0000"/>
          <w:sz w:val="20"/>
          <w:szCs w:val="20"/>
        </w:rPr>
      </w:pPr>
    </w:p>
    <w:p w:rsidR="00BD1BF2" w14:paraId="4C780639"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2902B2" w:rsidRPr="00E97483" w:rsidP="002902B2" w14:paraId="339396BE" w14:textId="77777777">
      <w:pPr>
        <w:spacing w:before="100" w:beforeAutospacing="1" w:after="100" w:afterAutospacing="1"/>
        <w:rPr>
          <w:rFonts w:ascii="Arial" w:hAnsi="Arial" w:cs="Arial"/>
          <w:sz w:val="20"/>
          <w:szCs w:val="20"/>
          <w:lang w:val="en"/>
        </w:rPr>
      </w:pPr>
      <w:r w:rsidRPr="00E97483">
        <w:rPr>
          <w:rFonts w:ascii="Arial" w:hAnsi="Arial" w:cs="Arial"/>
          <w:sz w:val="20"/>
          <w:szCs w:val="20"/>
        </w:rPr>
        <w:t xml:space="preserve">All requests for FHWA review of hardware devices must include a complete "Form to Request a Federal-aid Reimbursement eligibility letter" (e-form). The e-form must be signed by both the </w:t>
      </w:r>
      <w:r w:rsidRPr="00E97483">
        <w:rPr>
          <w:rFonts w:ascii="Arial" w:hAnsi="Arial" w:cs="Arial"/>
          <w:sz w:val="20"/>
          <w:szCs w:val="20"/>
        </w:rPr>
        <w:t>submitter and a crash testing laboratory (if the submitter is not the laboratory</w:t>
      </w:r>
      <w:r w:rsidRPr="00E97483">
        <w:rPr>
          <w:rFonts w:ascii="Arial" w:hAnsi="Arial" w:cs="Arial"/>
          <w:sz w:val="20"/>
          <w:szCs w:val="20"/>
          <w:lang w:val="en"/>
        </w:rPr>
        <w:t>). The e-form should be submitted electronically and must be accompanied by the appropriate supporting documents described below in section II B. The form can be located and downloaded from the FHWA Office of Safety Web site here: </w:t>
      </w:r>
      <w:hyperlink r:id="rId6" w:anchor="forms" w:history="1">
        <w:r w:rsidRPr="00E97483">
          <w:rPr>
            <w:rFonts w:ascii="Arial" w:hAnsi="Arial" w:cs="Arial"/>
            <w:color w:val="0000FF"/>
            <w:sz w:val="20"/>
            <w:szCs w:val="20"/>
            <w:u w:val="single"/>
            <w:lang w:val="en"/>
          </w:rPr>
          <w:t>http://safety.fhwa.dot.gov/roadway_dept/ countermeasures/</w:t>
        </w:r>
        <w:r w:rsidRPr="00E97483">
          <w:rPr>
            <w:rFonts w:ascii="Arial" w:hAnsi="Arial" w:cs="Arial"/>
            <w:color w:val="0000FF"/>
            <w:sz w:val="20"/>
            <w:szCs w:val="20"/>
            <w:u w:val="single"/>
            <w:lang w:val="en"/>
          </w:rPr>
          <w:t>reduce_crash_severity</w:t>
        </w:r>
        <w:r w:rsidRPr="00E97483">
          <w:rPr>
            <w:rFonts w:ascii="Arial" w:hAnsi="Arial" w:cs="Arial"/>
            <w:color w:val="0000FF"/>
            <w:sz w:val="20"/>
            <w:szCs w:val="20"/>
            <w:u w:val="single"/>
            <w:lang w:val="en"/>
          </w:rPr>
          <w:t>/</w:t>
        </w:r>
        <w:r w:rsidRPr="00E97483">
          <w:rPr>
            <w:rFonts w:ascii="Arial" w:hAnsi="Arial" w:cs="Arial"/>
            <w:color w:val="0000FF"/>
            <w:sz w:val="20"/>
            <w:szCs w:val="20"/>
            <w:u w:val="single"/>
            <w:lang w:val="en"/>
          </w:rPr>
          <w:t>elig_process.cfm</w:t>
        </w:r>
      </w:hyperlink>
      <w:r w:rsidRPr="00E97483">
        <w:rPr>
          <w:rFonts w:ascii="Arial" w:hAnsi="Arial" w:cs="Arial"/>
          <w:sz w:val="20"/>
          <w:szCs w:val="20"/>
          <w:lang w:val="en"/>
        </w:rPr>
        <w:t>.</w:t>
      </w:r>
    </w:p>
    <w:p w:rsidR="002902B2" w:rsidRPr="00E97483" w:rsidP="002902B2" w14:paraId="400ACF4A" w14:textId="77777777">
      <w:pPr>
        <w:spacing w:before="100" w:beforeAutospacing="1" w:after="100" w:afterAutospacing="1"/>
        <w:rPr>
          <w:rFonts w:ascii="Arial" w:hAnsi="Arial" w:cs="Arial"/>
          <w:sz w:val="20"/>
          <w:szCs w:val="20"/>
          <w:lang w:val="en"/>
        </w:rPr>
      </w:pPr>
      <w:r w:rsidRPr="00E97483">
        <w:rPr>
          <w:rFonts w:ascii="Arial" w:hAnsi="Arial" w:cs="Arial"/>
          <w:sz w:val="20"/>
          <w:szCs w:val="20"/>
          <w:lang w:val="en"/>
        </w:rPr>
        <w:t xml:space="preserve">All supporting documentation, including crash test reports for the full suite of American Association of State Highway and Transportation Officials (AASHTO) Manual for Assessing Safety Hardware (MASH) recommended tests, photos, videos, and other related documentation, should be provided in an electronic format. This material may be submitted to FHWA electronically by using a file transfer protocol site (FTP) or by sending files to </w:t>
      </w:r>
      <w:hyperlink r:id="rId7" w:history="1">
        <w:r w:rsidRPr="00E97483">
          <w:rPr>
            <w:rFonts w:ascii="Arial" w:hAnsi="Arial" w:cs="Arial"/>
            <w:color w:val="0000FF"/>
            <w:sz w:val="20"/>
            <w:szCs w:val="20"/>
            <w:u w:val="single"/>
            <w:lang w:val="en"/>
          </w:rPr>
          <w:t>fhwaeligibilityinbox@dot.gov</w:t>
        </w:r>
      </w:hyperlink>
      <w:r w:rsidRPr="00E97483">
        <w:rPr>
          <w:rFonts w:ascii="Arial" w:hAnsi="Arial" w:cs="Arial"/>
          <w:sz w:val="20"/>
          <w:szCs w:val="20"/>
          <w:lang w:val="en"/>
        </w:rPr>
        <w:t xml:space="preserve">. Large files may need to be transferred via FTP or mailed to the following </w:t>
      </w:r>
      <w:r w:rsidRPr="00E97483">
        <w:rPr>
          <w:rFonts w:ascii="Arial" w:hAnsi="Arial" w:cs="Arial"/>
          <w:sz w:val="20"/>
          <w:szCs w:val="20"/>
          <w:lang w:val="en"/>
        </w:rPr>
        <w:t>address</w:t>
      </w:r>
    </w:p>
    <w:p w:rsidR="002902B2" w:rsidRPr="00E97483" w:rsidP="002902B2" w14:paraId="79BF22AB" w14:textId="77777777">
      <w:pPr>
        <w:spacing w:beforeAutospacing="1" w:afterAutospacing="1"/>
        <w:ind w:left="2160"/>
        <w:rPr>
          <w:rFonts w:ascii="Arial" w:hAnsi="Arial" w:cs="Arial"/>
          <w:sz w:val="20"/>
          <w:szCs w:val="20"/>
          <w:lang w:val="en"/>
        </w:rPr>
      </w:pPr>
      <w:r w:rsidRPr="00E97483">
        <w:rPr>
          <w:rFonts w:ascii="Arial" w:hAnsi="Arial" w:cs="Arial"/>
          <w:sz w:val="20"/>
          <w:szCs w:val="20"/>
          <w:lang w:val="en"/>
        </w:rPr>
        <w:t>Safety Design Team, Room E71-322</w:t>
      </w:r>
      <w:r w:rsidRPr="00E97483">
        <w:rPr>
          <w:rFonts w:ascii="Arial" w:hAnsi="Arial" w:cs="Arial"/>
          <w:sz w:val="20"/>
          <w:szCs w:val="20"/>
          <w:lang w:val="en"/>
        </w:rPr>
        <w:br/>
        <w:t>Office of Safety Technologies – HSST</w:t>
      </w:r>
      <w:r w:rsidRPr="00E97483">
        <w:rPr>
          <w:rFonts w:ascii="Arial" w:hAnsi="Arial" w:cs="Arial"/>
          <w:sz w:val="20"/>
          <w:szCs w:val="20"/>
          <w:lang w:val="en"/>
        </w:rPr>
        <w:br/>
        <w:t>Federal Highway Administration</w:t>
      </w:r>
      <w:r w:rsidRPr="00E97483">
        <w:rPr>
          <w:rFonts w:ascii="Arial" w:hAnsi="Arial" w:cs="Arial"/>
          <w:sz w:val="20"/>
          <w:szCs w:val="20"/>
          <w:lang w:val="en"/>
        </w:rPr>
        <w:br/>
        <w:t>1200 New Jersey Avenue, SE</w:t>
      </w:r>
      <w:r w:rsidRPr="00E97483">
        <w:rPr>
          <w:rFonts w:ascii="Arial" w:hAnsi="Arial" w:cs="Arial"/>
          <w:sz w:val="20"/>
          <w:szCs w:val="20"/>
          <w:lang w:val="en"/>
        </w:rPr>
        <w:br/>
        <w:t>Washington DC 20590</w:t>
      </w:r>
    </w:p>
    <w:p w:rsidR="002902B2" w:rsidRPr="00E97483" w:rsidP="002902B2" w14:paraId="34A203B1" w14:textId="77777777">
      <w:pPr>
        <w:spacing w:before="100" w:beforeAutospacing="1" w:after="100" w:afterAutospacing="1"/>
        <w:rPr>
          <w:rFonts w:ascii="Arial" w:hAnsi="Arial" w:cs="Arial"/>
          <w:sz w:val="20"/>
          <w:szCs w:val="20"/>
          <w:lang w:val="en"/>
        </w:rPr>
      </w:pPr>
    </w:p>
    <w:p w:rsidR="002902B2" w:rsidRPr="00E97483" w:rsidP="002902B2" w14:paraId="467463A9" w14:textId="77777777">
      <w:pPr>
        <w:spacing w:before="100" w:beforeAutospacing="1" w:after="100" w:afterAutospacing="1"/>
        <w:rPr>
          <w:rFonts w:ascii="Arial" w:hAnsi="Arial" w:cs="Arial"/>
          <w:sz w:val="20"/>
          <w:szCs w:val="20"/>
          <w:lang w:val="en"/>
        </w:rPr>
      </w:pPr>
      <w:r w:rsidRPr="00E97483">
        <w:rPr>
          <w:rFonts w:ascii="Arial" w:hAnsi="Arial" w:cs="Arial"/>
          <w:sz w:val="20"/>
          <w:szCs w:val="20"/>
          <w:lang w:val="en"/>
        </w:rPr>
        <w:t xml:space="preserve">The FHWA posts information about devices on its website whenever it issues a Federal-aid reimbursement eligibility letter. </w:t>
      </w:r>
    </w:p>
    <w:p w:rsidR="002902B2" w:rsidRPr="00E97483" w:rsidP="002902B2" w14:paraId="7A20135F" w14:textId="77777777">
      <w:pPr>
        <w:widowControl w:val="0"/>
        <w:tabs>
          <w:tab w:val="left" w:pos="540"/>
        </w:tabs>
        <w:rPr>
          <w:rFonts w:ascii="Arial" w:hAnsi="Arial" w:cs="Arial"/>
          <w:sz w:val="20"/>
          <w:szCs w:val="20"/>
        </w:rPr>
      </w:pPr>
      <w:r w:rsidRPr="00E97483">
        <w:rPr>
          <w:rFonts w:ascii="Arial" w:hAnsi="Arial" w:cs="Arial"/>
          <w:sz w:val="20"/>
          <w:szCs w:val="20"/>
        </w:rPr>
        <w:t xml:space="preserve">Some </w:t>
      </w:r>
      <w:r w:rsidRPr="00E97483">
        <w:rPr>
          <w:rFonts w:ascii="Arial" w:hAnsi="Arial" w:cs="Arial"/>
          <w:sz w:val="20"/>
          <w:szCs w:val="20"/>
        </w:rPr>
        <w:t xml:space="preserve">State </w:t>
      </w:r>
      <w:r w:rsidRPr="00E97483">
        <w:rPr>
          <w:rFonts w:ascii="Arial" w:hAnsi="Arial" w:cs="Arial"/>
          <w:sz w:val="20"/>
          <w:szCs w:val="20"/>
        </w:rPr>
        <w:t>Departments of Transportation</w:t>
      </w:r>
      <w:r w:rsidRPr="00E97483">
        <w:rPr>
          <w:rFonts w:ascii="Arial" w:hAnsi="Arial" w:cs="Arial"/>
          <w:sz w:val="20"/>
          <w:szCs w:val="20"/>
        </w:rPr>
        <w:t xml:space="preserve"> do not </w:t>
      </w:r>
      <w:r w:rsidRPr="00E97483">
        <w:rPr>
          <w:rFonts w:ascii="Arial" w:hAnsi="Arial" w:cs="Arial"/>
          <w:sz w:val="20"/>
          <w:szCs w:val="20"/>
        </w:rPr>
        <w:t xml:space="preserve">currently </w:t>
      </w:r>
      <w:r w:rsidRPr="00E97483">
        <w:rPr>
          <w:rFonts w:ascii="Arial" w:hAnsi="Arial" w:cs="Arial"/>
          <w:sz w:val="20"/>
          <w:szCs w:val="20"/>
        </w:rPr>
        <w:t xml:space="preserve">review </w:t>
      </w:r>
      <w:r w:rsidRPr="00E97483">
        <w:rPr>
          <w:rFonts w:ascii="Arial" w:hAnsi="Arial" w:cs="Arial"/>
          <w:sz w:val="20"/>
          <w:szCs w:val="20"/>
        </w:rPr>
        <w:t xml:space="preserve">roadside safety hardware </w:t>
      </w:r>
      <w:r w:rsidRPr="00E97483">
        <w:rPr>
          <w:rFonts w:ascii="Arial" w:hAnsi="Arial" w:cs="Arial"/>
          <w:sz w:val="20"/>
          <w:szCs w:val="20"/>
        </w:rPr>
        <w:t>crash test results</w:t>
      </w:r>
      <w:r w:rsidRPr="00E97483">
        <w:rPr>
          <w:rFonts w:ascii="Arial" w:hAnsi="Arial" w:cs="Arial"/>
          <w:sz w:val="20"/>
          <w:szCs w:val="20"/>
        </w:rPr>
        <w:t>; rather they rely on FHWA to review and issue eligibility letters</w:t>
      </w:r>
      <w:r w:rsidRPr="00E97483">
        <w:rPr>
          <w:rFonts w:ascii="Arial" w:hAnsi="Arial" w:cs="Arial"/>
          <w:sz w:val="20"/>
          <w:szCs w:val="20"/>
        </w:rPr>
        <w:t xml:space="preserve">. By posting the eligibility letters on </w:t>
      </w:r>
      <w:r w:rsidRPr="00E97483">
        <w:rPr>
          <w:rFonts w:ascii="Arial" w:hAnsi="Arial" w:cs="Arial"/>
          <w:sz w:val="20"/>
          <w:szCs w:val="20"/>
        </w:rPr>
        <w:t xml:space="preserve">the </w:t>
      </w:r>
      <w:r w:rsidRPr="00E97483">
        <w:rPr>
          <w:rFonts w:ascii="Arial" w:hAnsi="Arial" w:cs="Arial"/>
          <w:sz w:val="20"/>
          <w:szCs w:val="20"/>
        </w:rPr>
        <w:t xml:space="preserve">FHWA website, the State agencies </w:t>
      </w:r>
      <w:r w:rsidRPr="00E97483">
        <w:rPr>
          <w:rFonts w:ascii="Arial" w:hAnsi="Arial" w:cs="Arial"/>
          <w:sz w:val="20"/>
          <w:szCs w:val="20"/>
        </w:rPr>
        <w:t>are able to see</w:t>
      </w:r>
      <w:r w:rsidRPr="00E97483">
        <w:rPr>
          <w:rFonts w:ascii="Arial" w:hAnsi="Arial" w:cs="Arial"/>
          <w:sz w:val="20"/>
          <w:szCs w:val="20"/>
        </w:rPr>
        <w:t xml:space="preserve"> roadside </w:t>
      </w:r>
      <w:r w:rsidRPr="00E97483">
        <w:rPr>
          <w:rFonts w:ascii="Arial" w:hAnsi="Arial" w:cs="Arial"/>
          <w:sz w:val="20"/>
          <w:szCs w:val="20"/>
        </w:rPr>
        <w:t>safety hardware</w:t>
      </w:r>
      <w:r w:rsidRPr="00E97483">
        <w:rPr>
          <w:rFonts w:ascii="Arial" w:hAnsi="Arial" w:cs="Arial"/>
          <w:sz w:val="20"/>
          <w:szCs w:val="20"/>
        </w:rPr>
        <w:t xml:space="preserve"> that has been crash tested in accordance with MASH. </w:t>
      </w:r>
    </w:p>
    <w:p w:rsidR="002902B2" w14:paraId="3B942091" w14:textId="77777777">
      <w:pPr>
        <w:rPr>
          <w:rFonts w:ascii="Arial" w:hAnsi="Arial" w:cs="Arial"/>
          <w:color w:val="FF0000"/>
          <w:sz w:val="20"/>
          <w:szCs w:val="20"/>
        </w:rPr>
      </w:pPr>
    </w:p>
    <w:p w:rsidR="002902B2" w:rsidRPr="00160445" w:rsidP="004D72BB" w14:paraId="3CB23AA9" w14:textId="77777777">
      <w:pPr>
        <w:pStyle w:val="NormalWeb"/>
        <w:rPr>
          <w:rFonts w:ascii="Arial" w:hAnsi="Arial" w:cs="Arial"/>
          <w:sz w:val="20"/>
          <w:szCs w:val="20"/>
        </w:rPr>
      </w:pPr>
      <w:r w:rsidRPr="00160445">
        <w:rPr>
          <w:rFonts w:ascii="Arial" w:hAnsi="Arial" w:cs="Arial"/>
          <w:sz w:val="20"/>
          <w:szCs w:val="20"/>
        </w:rPr>
        <w:t xml:space="preserve">3. </w:t>
      </w:r>
      <w:r w:rsidRPr="00160445">
        <w:rPr>
          <w:rFonts w:ascii="Arial" w:hAnsi="Arial" w:cs="Arial"/>
          <w:sz w:val="20"/>
          <w:szCs w:val="20"/>
          <w:u w:val="single"/>
        </w:rPr>
        <w:t>Extent of automated information collection</w:t>
      </w:r>
      <w:r w:rsidRPr="00160445">
        <w:rPr>
          <w:rFonts w:ascii="Arial" w:hAnsi="Arial" w:cs="Arial"/>
          <w:sz w:val="20"/>
          <w:szCs w:val="20"/>
        </w:rPr>
        <w:t>:</w:t>
      </w:r>
    </w:p>
    <w:p w:rsidR="002902B2" w:rsidRPr="00E97483" w:rsidP="002902B2" w14:paraId="1C813306" w14:textId="77777777">
      <w:pPr>
        <w:spacing w:before="100" w:beforeAutospacing="1" w:after="100" w:afterAutospacing="1"/>
        <w:rPr>
          <w:rFonts w:ascii="Arial" w:hAnsi="Arial" w:cs="Arial"/>
          <w:sz w:val="20"/>
          <w:szCs w:val="20"/>
          <w:lang w:val="en"/>
        </w:rPr>
      </w:pPr>
      <w:r w:rsidRPr="00E97483">
        <w:rPr>
          <w:rFonts w:ascii="Arial" w:hAnsi="Arial" w:cs="Arial"/>
          <w:sz w:val="20"/>
          <w:szCs w:val="20"/>
          <w:lang w:val="en"/>
        </w:rPr>
        <w:t>All requests for FHWA review of hardware devices must include a complete "Form to Request a Federal-aid Reimbursement eligibility letter" (e-form). The e-form must be signed by both the submitter and a crash testing laboratory (if the submitter is not the laboratory). The e-form should be submitted electronically and must be accompanied by the appropriate supporting documents described below in section II B. The form can be located and downloaded from the FHWA Office of Safety Web site here: </w:t>
      </w:r>
      <w:hyperlink r:id="rId6" w:anchor="forms" w:history="1">
        <w:r w:rsidRPr="00E97483">
          <w:rPr>
            <w:rFonts w:ascii="Arial" w:hAnsi="Arial" w:cs="Arial"/>
            <w:color w:val="0000FF"/>
            <w:sz w:val="20"/>
            <w:szCs w:val="20"/>
            <w:u w:val="single"/>
            <w:lang w:val="en"/>
          </w:rPr>
          <w:t>http://safety.fhwa.dot.gov/roadway_dept/ countermeasures/</w:t>
        </w:r>
        <w:r w:rsidRPr="00E97483">
          <w:rPr>
            <w:rFonts w:ascii="Arial" w:hAnsi="Arial" w:cs="Arial"/>
            <w:color w:val="0000FF"/>
            <w:sz w:val="20"/>
            <w:szCs w:val="20"/>
            <w:u w:val="single"/>
            <w:lang w:val="en"/>
          </w:rPr>
          <w:t>reduce_crash_severity</w:t>
        </w:r>
        <w:r w:rsidRPr="00E97483">
          <w:rPr>
            <w:rFonts w:ascii="Arial" w:hAnsi="Arial" w:cs="Arial"/>
            <w:color w:val="0000FF"/>
            <w:sz w:val="20"/>
            <w:szCs w:val="20"/>
            <w:u w:val="single"/>
            <w:lang w:val="en"/>
          </w:rPr>
          <w:t>/</w:t>
        </w:r>
        <w:r w:rsidRPr="00E97483">
          <w:rPr>
            <w:rFonts w:ascii="Arial" w:hAnsi="Arial" w:cs="Arial"/>
            <w:color w:val="0000FF"/>
            <w:sz w:val="20"/>
            <w:szCs w:val="20"/>
            <w:u w:val="single"/>
            <w:lang w:val="en"/>
          </w:rPr>
          <w:t>elig_process.cfm</w:t>
        </w:r>
      </w:hyperlink>
      <w:r w:rsidRPr="00E97483">
        <w:rPr>
          <w:rFonts w:ascii="Arial" w:hAnsi="Arial" w:cs="Arial"/>
          <w:sz w:val="20"/>
          <w:szCs w:val="20"/>
          <w:lang w:val="en"/>
        </w:rPr>
        <w:t>.</w:t>
      </w:r>
    </w:p>
    <w:p w:rsidR="002902B2" w:rsidRPr="00E97483" w:rsidP="002902B2" w14:paraId="238F278D" w14:textId="77777777">
      <w:pPr>
        <w:spacing w:before="100" w:beforeAutospacing="1" w:after="100" w:afterAutospacing="1"/>
        <w:rPr>
          <w:rFonts w:ascii="Arial" w:hAnsi="Arial" w:cs="Arial"/>
          <w:sz w:val="20"/>
          <w:szCs w:val="20"/>
          <w:lang w:val="en"/>
        </w:rPr>
      </w:pPr>
      <w:r w:rsidRPr="00E97483">
        <w:rPr>
          <w:rFonts w:ascii="Arial" w:hAnsi="Arial" w:cs="Arial"/>
          <w:sz w:val="20"/>
          <w:szCs w:val="20"/>
          <w:lang w:val="en"/>
        </w:rPr>
        <w:t xml:space="preserve">All supporting documentation, including crash test reports for the full suite of American Association of State Highway and Transportation Officials (AASHTO) Manual for Assessing Safety Hardware (MASH) recommended tests, photos, videos, and other related documentation, should be provided in an electronic format. This material may be submitted to FHWA electronically by using a file transfer protocol site (FTP) or by sending files to </w:t>
      </w:r>
      <w:hyperlink r:id="rId7" w:history="1">
        <w:r w:rsidRPr="00E97483">
          <w:rPr>
            <w:rFonts w:ascii="Arial" w:hAnsi="Arial" w:cs="Arial"/>
            <w:color w:val="0000FF"/>
            <w:sz w:val="20"/>
            <w:szCs w:val="20"/>
            <w:u w:val="single"/>
            <w:lang w:val="en"/>
          </w:rPr>
          <w:t>fhwaeligibilityinbox@dot.gov</w:t>
        </w:r>
      </w:hyperlink>
      <w:r w:rsidRPr="00E97483">
        <w:rPr>
          <w:rFonts w:ascii="Arial" w:hAnsi="Arial" w:cs="Arial"/>
          <w:sz w:val="20"/>
          <w:szCs w:val="20"/>
          <w:lang w:val="en"/>
        </w:rPr>
        <w:t xml:space="preserve">. Large files may need to be transferred via FTP or mailed to the following </w:t>
      </w:r>
      <w:r w:rsidRPr="00E97483">
        <w:rPr>
          <w:rFonts w:ascii="Arial" w:hAnsi="Arial" w:cs="Arial"/>
          <w:sz w:val="20"/>
          <w:szCs w:val="20"/>
          <w:lang w:val="en"/>
        </w:rPr>
        <w:t>address</w:t>
      </w:r>
    </w:p>
    <w:p w:rsidR="002902B2" w:rsidRPr="00E97483" w:rsidP="00D5155D" w14:paraId="45ED12CE" w14:textId="77777777">
      <w:pPr>
        <w:spacing w:beforeAutospacing="1" w:afterAutospacing="1"/>
        <w:ind w:left="2160"/>
        <w:rPr>
          <w:rFonts w:ascii="Arial" w:hAnsi="Arial" w:cs="Arial"/>
          <w:sz w:val="20"/>
          <w:szCs w:val="20"/>
          <w:lang w:val="en"/>
        </w:rPr>
      </w:pPr>
      <w:r w:rsidRPr="00E97483">
        <w:rPr>
          <w:rFonts w:ascii="Arial" w:hAnsi="Arial" w:cs="Arial"/>
          <w:sz w:val="20"/>
          <w:szCs w:val="20"/>
          <w:lang w:val="en"/>
        </w:rPr>
        <w:t>Safety Design Team, Room E71-322</w:t>
      </w:r>
      <w:r w:rsidRPr="00E97483">
        <w:rPr>
          <w:rFonts w:ascii="Arial" w:hAnsi="Arial" w:cs="Arial"/>
          <w:sz w:val="20"/>
          <w:szCs w:val="20"/>
          <w:lang w:val="en"/>
        </w:rPr>
        <w:br/>
        <w:t>Office of Safety Technologies – HSST</w:t>
      </w:r>
      <w:r w:rsidRPr="00E97483">
        <w:rPr>
          <w:rFonts w:ascii="Arial" w:hAnsi="Arial" w:cs="Arial"/>
          <w:sz w:val="20"/>
          <w:szCs w:val="20"/>
          <w:lang w:val="en"/>
        </w:rPr>
        <w:br/>
        <w:t>Federal Highway Administration</w:t>
      </w:r>
      <w:r w:rsidRPr="00E97483">
        <w:rPr>
          <w:rFonts w:ascii="Arial" w:hAnsi="Arial" w:cs="Arial"/>
          <w:sz w:val="20"/>
          <w:szCs w:val="20"/>
          <w:lang w:val="en"/>
        </w:rPr>
        <w:br/>
        <w:t>1200 New Jersey Avenue, SE</w:t>
      </w:r>
      <w:r w:rsidRPr="00E97483">
        <w:rPr>
          <w:rFonts w:ascii="Arial" w:hAnsi="Arial" w:cs="Arial"/>
          <w:sz w:val="20"/>
          <w:szCs w:val="20"/>
          <w:lang w:val="en"/>
        </w:rPr>
        <w:br/>
        <w:t>Washington DC 20590</w:t>
      </w:r>
    </w:p>
    <w:p w:rsidR="00BD1BF2" w14:paraId="32F746B9"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2902B2" w:rsidRPr="00E97483" w:rsidP="00D5155D" w14:paraId="5360F189" w14:textId="77777777">
      <w:pPr>
        <w:widowControl w:val="0"/>
        <w:tabs>
          <w:tab w:val="left" w:pos="0"/>
          <w:tab w:val="left" w:pos="540"/>
        </w:tabs>
        <w:ind w:left="-90"/>
        <w:rPr>
          <w:rFonts w:ascii="Arial" w:hAnsi="Arial" w:cs="Arial"/>
          <w:sz w:val="20"/>
          <w:szCs w:val="20"/>
        </w:rPr>
      </w:pPr>
      <w:r w:rsidRPr="00E97483">
        <w:rPr>
          <w:rFonts w:ascii="Arial" w:hAnsi="Arial" w:cs="Arial"/>
          <w:sz w:val="20"/>
          <w:szCs w:val="20"/>
        </w:rPr>
        <w:t xml:space="preserve">There is no similar or duplicate information available. </w:t>
      </w:r>
    </w:p>
    <w:p w:rsidR="00BD1BF2" w14:paraId="491EF5CD"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2902B2" w:rsidRPr="00E97483" w:rsidP="00D5155D" w14:paraId="43C89BEE" w14:textId="77777777">
      <w:pPr>
        <w:widowControl w:val="0"/>
        <w:tabs>
          <w:tab w:val="left" w:pos="0"/>
          <w:tab w:val="left" w:pos="540"/>
        </w:tabs>
        <w:ind w:left="-90"/>
        <w:rPr>
          <w:rFonts w:ascii="Arial" w:hAnsi="Arial" w:cs="Arial"/>
          <w:sz w:val="20"/>
          <w:szCs w:val="20"/>
        </w:rPr>
      </w:pPr>
      <w:r w:rsidRPr="00E97483">
        <w:rPr>
          <w:rFonts w:ascii="Arial" w:hAnsi="Arial" w:cs="Arial"/>
          <w:sz w:val="20"/>
          <w:szCs w:val="20"/>
        </w:rPr>
        <w:t>Submitting an eligibility letter request is</w:t>
      </w:r>
      <w:r w:rsidRPr="00E97483">
        <w:rPr>
          <w:rFonts w:ascii="Arial" w:hAnsi="Arial" w:cs="Arial"/>
          <w:sz w:val="20"/>
          <w:szCs w:val="20"/>
        </w:rPr>
        <w:t xml:space="preserve"> </w:t>
      </w:r>
      <w:r w:rsidRPr="00E97483" w:rsidR="00D5155D">
        <w:rPr>
          <w:rFonts w:ascii="Arial" w:hAnsi="Arial" w:cs="Arial"/>
          <w:sz w:val="20"/>
          <w:szCs w:val="20"/>
        </w:rPr>
        <w:t>voluntary</w:t>
      </w:r>
      <w:r w:rsidRPr="00E97483">
        <w:rPr>
          <w:rFonts w:ascii="Arial" w:hAnsi="Arial" w:cs="Arial"/>
          <w:sz w:val="20"/>
          <w:szCs w:val="20"/>
        </w:rPr>
        <w:t xml:space="preserve">. There is no requirement to collect the information. If the business would like the FHWA to review the device and receive an eligibility letter, they </w:t>
      </w:r>
      <w:r w:rsidRPr="00E97483" w:rsidR="0072096A">
        <w:rPr>
          <w:rFonts w:ascii="Arial" w:hAnsi="Arial" w:cs="Arial"/>
          <w:sz w:val="20"/>
          <w:szCs w:val="20"/>
        </w:rPr>
        <w:t xml:space="preserve">need to </w:t>
      </w:r>
      <w:r w:rsidRPr="00E97483">
        <w:rPr>
          <w:rFonts w:ascii="Arial" w:hAnsi="Arial" w:cs="Arial"/>
          <w:sz w:val="20"/>
          <w:szCs w:val="20"/>
        </w:rPr>
        <w:t>provide the information</w:t>
      </w:r>
      <w:r w:rsidRPr="00E97483" w:rsidR="0072096A">
        <w:rPr>
          <w:rFonts w:ascii="Arial" w:hAnsi="Arial" w:cs="Arial"/>
          <w:sz w:val="20"/>
          <w:szCs w:val="20"/>
        </w:rPr>
        <w:t xml:space="preserve"> needed for the agency to make a Federal-aid funding eligibility determination</w:t>
      </w:r>
      <w:r w:rsidRPr="00E97483">
        <w:rPr>
          <w:rFonts w:ascii="Arial" w:hAnsi="Arial" w:cs="Arial"/>
          <w:sz w:val="20"/>
          <w:szCs w:val="20"/>
        </w:rPr>
        <w:t xml:space="preserve">. </w:t>
      </w:r>
    </w:p>
    <w:p w:rsidR="00BD1BF2" w:rsidRPr="004D72BB" w:rsidP="004D72BB" w14:paraId="0212C6DE"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72096A" w:rsidRPr="00E97483" w:rsidP="0072096A" w14:paraId="2563D81D" w14:textId="77777777">
      <w:pPr>
        <w:widowControl w:val="0"/>
        <w:tabs>
          <w:tab w:val="left" w:pos="540"/>
        </w:tabs>
        <w:rPr>
          <w:rFonts w:ascii="Arial" w:hAnsi="Arial" w:cs="Arial"/>
          <w:sz w:val="20"/>
          <w:szCs w:val="20"/>
        </w:rPr>
      </w:pPr>
      <w:r w:rsidRPr="00E97483">
        <w:rPr>
          <w:rFonts w:ascii="Arial" w:hAnsi="Arial" w:cs="Arial"/>
          <w:sz w:val="20"/>
          <w:szCs w:val="20"/>
        </w:rPr>
        <w:t>Some State Departments of Transportation do not currently review roadside safety hardware crash test results; rather they rely on FHWA to review and issue eligibility letters. By posting the eligibility letters on the FHWA website, the State agencies are able to see roadside safety hardware that has been crash tested in accordance with MASH. Less collection of this information would mean State and local transportation agencies would need to conduct their own review of crash test results.</w:t>
      </w:r>
    </w:p>
    <w:p w:rsidR="002902B2" w:rsidRPr="004D72BB" w:rsidP="004D72BB" w14:paraId="0266A37D"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2902B2" w:rsidRPr="00E97483" w:rsidP="002902B2" w14:paraId="369A9973" w14:textId="77777777">
      <w:pPr>
        <w:widowControl w:val="0"/>
        <w:tabs>
          <w:tab w:val="left" w:pos="540"/>
        </w:tabs>
        <w:rPr>
          <w:rFonts w:ascii="Arial" w:hAnsi="Arial" w:cs="Arial"/>
          <w:sz w:val="20"/>
          <w:szCs w:val="20"/>
        </w:rPr>
      </w:pPr>
      <w:r w:rsidRPr="00E97483">
        <w:rPr>
          <w:rFonts w:ascii="Arial" w:hAnsi="Arial" w:cs="Arial"/>
          <w:sz w:val="20"/>
          <w:szCs w:val="20"/>
        </w:rPr>
        <w:t xml:space="preserve">Submitting an eligibility letter request is voluntary. </w:t>
      </w:r>
      <w:r w:rsidRPr="00E97483">
        <w:rPr>
          <w:rFonts w:ascii="Arial" w:hAnsi="Arial" w:cs="Arial"/>
          <w:sz w:val="20"/>
          <w:szCs w:val="20"/>
        </w:rPr>
        <w:t xml:space="preserve">Submission of information is voluntary. </w:t>
      </w:r>
      <w:r w:rsidRPr="00E97483">
        <w:rPr>
          <w:rFonts w:ascii="Arial" w:hAnsi="Arial" w:cs="Arial"/>
          <w:sz w:val="20"/>
          <w:szCs w:val="20"/>
          <w:lang w:val="en"/>
        </w:rPr>
        <w:t>All records submitted to FHWA are subject to the Freedom of Information Act, 5 U.S.C. Â§ 552. Therefore, any information submitted to FHWA that is considered trade secrets or confidential business information should be clearly labeled. Before release of trade secrets or confidential business information, FHWA will notify the submitter of the request and afford the submitter the opportunity to object to disclosure of the information and to state the basis for the objection.</w:t>
      </w:r>
    </w:p>
    <w:p w:rsidR="002902B2" w14:paraId="63FD9C9B" w14:textId="77777777">
      <w:pPr>
        <w:pStyle w:val="BodyText"/>
      </w:pPr>
    </w:p>
    <w:p w:rsidR="002902B2" w:rsidRPr="004D72BB" w:rsidP="004D72BB" w14:paraId="136DD043"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9C5B27" w14:paraId="76DB47AB" w14:textId="6C58126E">
      <w:pPr>
        <w:pStyle w:val="BodyText"/>
        <w:rPr>
          <w:color w:val="auto"/>
        </w:rPr>
      </w:pPr>
      <w:r w:rsidRPr="009C5B27">
        <w:rPr>
          <w:color w:val="auto"/>
        </w:rPr>
        <w:t xml:space="preserve">The </w:t>
      </w:r>
      <w:r w:rsidR="00E97483">
        <w:rPr>
          <w:color w:val="auto"/>
        </w:rPr>
        <w:t>60-day</w:t>
      </w:r>
      <w:r w:rsidR="00702525">
        <w:rPr>
          <w:color w:val="auto"/>
        </w:rPr>
        <w:t xml:space="preserve"> Federal Register</w:t>
      </w:r>
      <w:r w:rsidR="00160445">
        <w:rPr>
          <w:color w:val="auto"/>
        </w:rPr>
        <w:t xml:space="preserve"> </w:t>
      </w:r>
      <w:r w:rsidRPr="009C5B27">
        <w:rPr>
          <w:color w:val="auto"/>
        </w:rPr>
        <w:t xml:space="preserve">notice </w:t>
      </w:r>
      <w:r>
        <w:rPr>
          <w:color w:val="auto"/>
        </w:rPr>
        <w:t>was</w:t>
      </w:r>
      <w:r w:rsidRPr="009C5B27">
        <w:rPr>
          <w:color w:val="auto"/>
        </w:rPr>
        <w:t xml:space="preserve"> </w:t>
      </w:r>
      <w:r w:rsidR="00160445">
        <w:rPr>
          <w:color w:val="auto"/>
        </w:rPr>
        <w:t xml:space="preserve">published on </w:t>
      </w:r>
      <w:r w:rsidR="00702525">
        <w:rPr>
          <w:color w:val="auto"/>
        </w:rPr>
        <w:t>March 22, 2024, at [89 FR 20529].</w:t>
      </w:r>
      <w:r>
        <w:rPr>
          <w:color w:val="auto"/>
        </w:rPr>
        <w:t xml:space="preserve"> </w:t>
      </w:r>
    </w:p>
    <w:p w:rsidR="009C5B27" w14:paraId="55596734" w14:textId="77777777">
      <w:pPr>
        <w:pStyle w:val="BodyText"/>
        <w:rPr>
          <w:color w:val="auto"/>
        </w:rPr>
      </w:pPr>
      <w:r>
        <w:rPr>
          <w:color w:val="auto"/>
        </w:rPr>
        <w:t xml:space="preserve">Four comments were </w:t>
      </w:r>
      <w:r w:rsidR="00D5155D">
        <w:rPr>
          <w:color w:val="auto"/>
        </w:rPr>
        <w:t>received,</w:t>
      </w:r>
      <w:r>
        <w:rPr>
          <w:color w:val="auto"/>
        </w:rPr>
        <w:t xml:space="preserve"> and they are attached to this document. </w:t>
      </w:r>
    </w:p>
    <w:p w:rsidR="00047E1C" w:rsidRPr="009C5B27" w14:paraId="61D907EF" w14:textId="77777777">
      <w:pPr>
        <w:pStyle w:val="BodyText"/>
        <w:rPr>
          <w:color w:val="auto"/>
        </w:rPr>
      </w:pPr>
      <w:r>
        <w:rPr>
          <w:color w:val="auto"/>
        </w:rPr>
        <w:t xml:space="preserve"> </w:t>
      </w:r>
    </w:p>
    <w:p w:rsidR="00E54F14" w:rsidRPr="00E97483" w:rsidP="00E97483" w14:paraId="5E12580E" w14:textId="3673640D">
      <w:pPr>
        <w:pStyle w:val="BodyText"/>
        <w:rPr>
          <w:color w:val="auto"/>
        </w:rPr>
      </w:pPr>
      <w:r w:rsidRPr="00E97483">
        <w:rPr>
          <w:color w:val="auto"/>
        </w:rPr>
        <w:t xml:space="preserve">Comment received from Louisiana Department of Transportation and Development (LADOTD) on April 26, 2024. LADOTD requests that FHWA continue the service of issuance of Federal-aid eligibility letters. LADOTD expressed that it does not have staff and experience to determine MASH crashworthiness for roadside safety hardware and relies on the FHWA letters in order to </w:t>
      </w:r>
      <w:r w:rsidRPr="00702525" w:rsidR="00702525">
        <w:rPr>
          <w:color w:val="auto"/>
        </w:rPr>
        <w:t>decide</w:t>
      </w:r>
      <w:r w:rsidRPr="00E97483">
        <w:rPr>
          <w:color w:val="auto"/>
        </w:rPr>
        <w:t xml:space="preserve"> of crashworthiness. LADOTD states that if states were to be solely responsible </w:t>
      </w:r>
      <w:r w:rsidRPr="00E97483" w:rsidR="00D5155D">
        <w:rPr>
          <w:color w:val="auto"/>
        </w:rPr>
        <w:t>for determination</w:t>
      </w:r>
      <w:r w:rsidRPr="00E97483">
        <w:rPr>
          <w:color w:val="auto"/>
        </w:rPr>
        <w:t xml:space="preserve"> of crashworthiness, it would be ideal to implement an online forum/message-board for the states to share data regarding crash tests reports, so that state subject matter experts could assist and or provide comments/concerns regarding a particular device. </w:t>
      </w:r>
    </w:p>
    <w:p w:rsidR="00E54F14" w14:paraId="00C8F113" w14:textId="77777777">
      <w:pPr>
        <w:pStyle w:val="BodyText"/>
        <w:rPr>
          <w:color w:val="auto"/>
        </w:rPr>
      </w:pPr>
    </w:p>
    <w:p w:rsidR="002902B2" w14:paraId="37D50D2A" w14:textId="77777777">
      <w:pPr>
        <w:pStyle w:val="BodyText"/>
        <w:rPr>
          <w:color w:val="auto"/>
        </w:rPr>
      </w:pPr>
      <w:r w:rsidRPr="00E97483">
        <w:rPr>
          <w:color w:val="auto"/>
        </w:rPr>
        <w:t>Comment received from Virginia Department of Transportation (VDOT)</w:t>
      </w:r>
      <w:r w:rsidRPr="00E97483" w:rsidR="009C5B27">
        <w:rPr>
          <w:color w:val="auto"/>
        </w:rPr>
        <w:t xml:space="preserve"> on </w:t>
      </w:r>
      <w:r w:rsidRPr="00E97483" w:rsidR="00D87B95">
        <w:rPr>
          <w:color w:val="auto"/>
        </w:rPr>
        <w:t>May 2, 2024</w:t>
      </w:r>
      <w:r>
        <w:rPr>
          <w:color w:val="auto"/>
        </w:rPr>
        <w:t xml:space="preserve">. VDOT strongly appreciate FHWA’s current practice and role relating to issuing issuance of Federal-aid eligibility letters for roadside safety hardware. VDOT believes the information collection is necessary for FHWA to continue the service to states of issuance of eligibility letters, and there is no other organization can take over the FHWA’s role of evaluator of crashworthiness. VDOT does not have recommendation in terms of technology improvement </w:t>
      </w:r>
      <w:r w:rsidR="00B71207">
        <w:rPr>
          <w:color w:val="auto"/>
        </w:rPr>
        <w:t xml:space="preserve">to minimize burden of data collection. VDOT is willing to attest the usefulness and value of the eligibility letters issued by FHWA. </w:t>
      </w:r>
      <w:r>
        <w:rPr>
          <w:color w:val="auto"/>
        </w:rPr>
        <w:t xml:space="preserve"> </w:t>
      </w:r>
    </w:p>
    <w:p w:rsidR="008F4761" w:rsidRPr="00E97483" w:rsidP="00E97483" w14:paraId="0366E4FF" w14:textId="77777777">
      <w:pPr>
        <w:pStyle w:val="BodyText"/>
        <w:rPr>
          <w:color w:val="auto"/>
        </w:rPr>
      </w:pPr>
    </w:p>
    <w:p w:rsidR="00D87B95" w:rsidRPr="00E97483" w:rsidP="00E97483" w14:paraId="1D6BB653" w14:textId="77777777">
      <w:pPr>
        <w:pStyle w:val="BodyText"/>
        <w:rPr>
          <w:color w:val="auto"/>
        </w:rPr>
      </w:pPr>
      <w:r w:rsidRPr="00E97483">
        <w:rPr>
          <w:color w:val="auto"/>
        </w:rPr>
        <w:t xml:space="preserve">Comment received from </w:t>
      </w:r>
      <w:r w:rsidRPr="00E97483">
        <w:rPr>
          <w:color w:val="auto"/>
        </w:rPr>
        <w:t xml:space="preserve">Glenn </w:t>
      </w:r>
      <w:r w:rsidRPr="00E97483">
        <w:rPr>
          <w:color w:val="auto"/>
        </w:rPr>
        <w:t>Kowalske</w:t>
      </w:r>
      <w:r w:rsidRPr="00E97483">
        <w:rPr>
          <w:color w:val="auto"/>
        </w:rPr>
        <w:t xml:space="preserve"> </w:t>
      </w:r>
      <w:r w:rsidRPr="00E97483">
        <w:rPr>
          <w:color w:val="auto"/>
        </w:rPr>
        <w:t xml:space="preserve">on May 13, 2024. The comment is irrelevant to this notice. </w:t>
      </w:r>
      <w:r w:rsidRPr="00E97483">
        <w:rPr>
          <w:color w:val="auto"/>
        </w:rPr>
        <w:t xml:space="preserve">No action from FHWA. </w:t>
      </w:r>
    </w:p>
    <w:p w:rsidR="00D87B95" w:rsidRPr="00E97483" w:rsidP="00E97483" w14:paraId="483E3DA8" w14:textId="77777777">
      <w:pPr>
        <w:pStyle w:val="BodyText"/>
        <w:rPr>
          <w:color w:val="auto"/>
        </w:rPr>
      </w:pPr>
    </w:p>
    <w:p w:rsidR="00160445" w:rsidRPr="00E97483" w:rsidP="00E97483" w14:paraId="0E839667" w14:textId="571930D8">
      <w:pPr>
        <w:pStyle w:val="BodyText"/>
        <w:rPr>
          <w:color w:val="auto"/>
        </w:rPr>
      </w:pPr>
      <w:r w:rsidRPr="00E97483">
        <w:rPr>
          <w:color w:val="auto"/>
        </w:rPr>
        <w:t>Comment received from American Traffic Safety Services Association (ATSSA), 2024</w:t>
      </w:r>
      <w:r w:rsidRPr="00E97483" w:rsidR="00D87B95">
        <w:rPr>
          <w:color w:val="auto"/>
        </w:rPr>
        <w:t>, received May 7, 2024</w:t>
      </w:r>
      <w:r w:rsidRPr="00E97483">
        <w:rPr>
          <w:color w:val="auto"/>
        </w:rPr>
        <w:t xml:space="preserve">. </w:t>
      </w:r>
      <w:r w:rsidRPr="00E97483" w:rsidR="009C5B27">
        <w:rPr>
          <w:color w:val="auto"/>
        </w:rPr>
        <w:t xml:space="preserve">FHWA – Office of Safety has drafted a response letter to ATSSA and will the letter to ATSSA. </w:t>
      </w:r>
    </w:p>
    <w:p w:rsidR="00160445" w:rsidRPr="00E97483" w:rsidP="00E97483" w14:paraId="2EAF9E56" w14:textId="77777777">
      <w:pPr>
        <w:pStyle w:val="BodyText"/>
        <w:rPr>
          <w:color w:val="auto"/>
        </w:rPr>
      </w:pPr>
    </w:p>
    <w:p w:rsidR="00160445" w:rsidRPr="00E97483" w:rsidP="00E97483" w14:paraId="0212A6DF" w14:textId="37A8416B">
      <w:pPr>
        <w:pStyle w:val="BodyText"/>
        <w:rPr>
          <w:color w:val="auto"/>
        </w:rPr>
      </w:pPr>
      <w:r w:rsidRPr="00E97483">
        <w:rPr>
          <w:color w:val="auto"/>
        </w:rPr>
        <w:t xml:space="preserve">The </w:t>
      </w:r>
      <w:r w:rsidRPr="00E97483" w:rsidR="00E97483">
        <w:rPr>
          <w:color w:val="auto"/>
        </w:rPr>
        <w:t>30-day</w:t>
      </w:r>
      <w:r w:rsidRPr="00E97483">
        <w:rPr>
          <w:color w:val="auto"/>
        </w:rPr>
        <w:t xml:space="preserve"> Federal Register notice was published </w:t>
      </w:r>
      <w:r w:rsidRPr="00232C77">
        <w:rPr>
          <w:color w:val="auto"/>
        </w:rPr>
        <w:t xml:space="preserve">on </w:t>
      </w:r>
      <w:r w:rsidRPr="00232C77" w:rsidR="00232C77">
        <w:rPr>
          <w:color w:val="auto"/>
        </w:rPr>
        <w:t>July 19, 2024</w:t>
      </w:r>
      <w:r w:rsidRPr="00232C77">
        <w:rPr>
          <w:color w:val="auto"/>
        </w:rPr>
        <w:t xml:space="preserve">, at [89 FR </w:t>
      </w:r>
      <w:r w:rsidRPr="00232C77" w:rsidR="00232C77">
        <w:rPr>
          <w:color w:val="auto"/>
        </w:rPr>
        <w:t>58873</w:t>
      </w:r>
      <w:r w:rsidRPr="00232C77">
        <w:rPr>
          <w:color w:val="auto"/>
        </w:rPr>
        <w:t>].</w:t>
      </w:r>
    </w:p>
    <w:p w:rsidR="00BD1BF2" w14:paraId="4CB50514"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2902B2" w:rsidRPr="00E97483" w:rsidP="00D66B14" w14:paraId="5790B0FF" w14:textId="77777777">
      <w:pPr>
        <w:widowControl w:val="0"/>
        <w:tabs>
          <w:tab w:val="left" w:pos="540"/>
        </w:tabs>
        <w:rPr>
          <w:rFonts w:ascii="Arial" w:hAnsi="Arial" w:cs="Arial"/>
          <w:sz w:val="20"/>
          <w:szCs w:val="20"/>
        </w:rPr>
      </w:pPr>
      <w:r w:rsidRPr="00E97483">
        <w:rPr>
          <w:rFonts w:ascii="Arial" w:hAnsi="Arial" w:cs="Arial"/>
          <w:sz w:val="20"/>
          <w:szCs w:val="20"/>
        </w:rPr>
        <w:t xml:space="preserve">Not applicable. </w:t>
      </w:r>
    </w:p>
    <w:p w:rsidR="00BD1BF2" w14:paraId="64E31395"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2902B2" w:rsidRPr="00E97483" w:rsidP="00D5155D" w14:paraId="76731903" w14:textId="77777777">
      <w:pPr>
        <w:widowControl w:val="0"/>
        <w:tabs>
          <w:tab w:val="left" w:pos="540"/>
        </w:tabs>
        <w:rPr>
          <w:rFonts w:ascii="Arial" w:hAnsi="Arial" w:cs="Arial"/>
          <w:sz w:val="20"/>
          <w:szCs w:val="20"/>
        </w:rPr>
      </w:pPr>
      <w:r w:rsidRPr="00E97483">
        <w:rPr>
          <w:rFonts w:ascii="Arial" w:hAnsi="Arial" w:cs="Arial"/>
          <w:sz w:val="20"/>
          <w:szCs w:val="20"/>
        </w:rPr>
        <w:t>Submitting an eligibility letter request is voluntary.</w:t>
      </w:r>
      <w:r w:rsidRPr="00E97483">
        <w:rPr>
          <w:rFonts w:ascii="Arial" w:hAnsi="Arial" w:cs="Arial"/>
          <w:sz w:val="20"/>
          <w:szCs w:val="20"/>
        </w:rPr>
        <w:t xml:space="preserve"> </w:t>
      </w:r>
      <w:r w:rsidRPr="00E97483">
        <w:rPr>
          <w:rFonts w:ascii="Arial" w:hAnsi="Arial" w:cs="Arial"/>
          <w:sz w:val="20"/>
          <w:szCs w:val="20"/>
          <w:lang w:val="en"/>
        </w:rPr>
        <w:t xml:space="preserve">All records submitted to FHWA are subject to </w:t>
      </w:r>
      <w:bookmarkStart w:id="0" w:name="_Hlk170826785"/>
      <w:r w:rsidRPr="00E97483">
        <w:rPr>
          <w:rFonts w:ascii="Arial" w:hAnsi="Arial" w:cs="Arial"/>
          <w:sz w:val="20"/>
          <w:szCs w:val="20"/>
          <w:lang w:val="en"/>
        </w:rPr>
        <w:t xml:space="preserve">the Freedom of Information Act, 5 U.S.C. Â§ 552. </w:t>
      </w:r>
      <w:bookmarkEnd w:id="0"/>
      <w:r w:rsidRPr="00E97483">
        <w:rPr>
          <w:rFonts w:ascii="Arial" w:hAnsi="Arial" w:cs="Arial"/>
          <w:sz w:val="20"/>
          <w:szCs w:val="20"/>
          <w:lang w:val="en"/>
        </w:rPr>
        <w:t>Therefore, any information submitted to FHWA that is considered trade secrets or confidential business information should be clearly labeled. Before release of trade secrets or confidential business information, FHWA will notify the submitter of the request and afford the submitter the opportunity to object to disclosure of the information and to state the basis for the objection.</w:t>
      </w:r>
    </w:p>
    <w:p w:rsidR="00BD1BF2" w14:paraId="389378C8"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2902B2" w:rsidRPr="00E97483" w:rsidP="00D66B14" w14:paraId="0C8D71B1" w14:textId="77777777">
      <w:pPr>
        <w:widowControl w:val="0"/>
        <w:tabs>
          <w:tab w:val="left" w:pos="540"/>
        </w:tabs>
        <w:rPr>
          <w:rFonts w:ascii="Arial" w:hAnsi="Arial" w:cs="Arial"/>
          <w:sz w:val="20"/>
          <w:szCs w:val="20"/>
        </w:rPr>
      </w:pPr>
      <w:r w:rsidRPr="00E97483">
        <w:rPr>
          <w:rFonts w:ascii="Arial" w:hAnsi="Arial" w:cs="Arial"/>
          <w:sz w:val="20"/>
          <w:szCs w:val="20"/>
          <w:lang w:val="en"/>
        </w:rPr>
        <w:t>Sensitive information such as those listed above are not collected.  All records submitted to FHWA are subject to the Freedom of Information Act, 5 U.S.C. Â§ 552. Therefore, any information submitted to FHWA that is considered trade secrets or confidential business information should be clearly labeled. Before release of trade secrets or confidential business information, FHWA will notify the submitter of the request and afford the submitter the opportunity to object to disclosure of the information and to state the basis for the objection</w:t>
      </w:r>
      <w:r w:rsidRPr="00E97483">
        <w:rPr>
          <w:rFonts w:ascii="Arial" w:hAnsi="Arial" w:cs="Arial"/>
          <w:sz w:val="20"/>
          <w:szCs w:val="20"/>
        </w:rPr>
        <w:t xml:space="preserve">. </w:t>
      </w:r>
    </w:p>
    <w:p w:rsidR="002902B2" w:rsidRPr="004D72BB" w:rsidP="004D72BB" w14:paraId="294F4F65" w14:textId="77777777">
      <w:pPr>
        <w:pStyle w:val="NormalWeb"/>
        <w:rPr>
          <w:rFonts w:ascii="Arial" w:hAnsi="Arial" w:cs="Arial"/>
          <w:sz w:val="20"/>
          <w:szCs w:val="20"/>
        </w:rPr>
      </w:pPr>
      <w:bookmarkStart w:id="1" w:name="_Hlk170895017"/>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1739"/>
        <w:gridCol w:w="1739"/>
        <w:gridCol w:w="1724"/>
        <w:gridCol w:w="1693"/>
      </w:tblGrid>
      <w:tr w14:paraId="41C7F371" w14:textId="77777777" w:rsidTr="000F175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71" w:type="dxa"/>
            <w:shd w:val="clear" w:color="auto" w:fill="auto"/>
          </w:tcPr>
          <w:p w:rsidR="00DA3A00" w:rsidRPr="00E97483" w:rsidP="00D5155D" w14:paraId="62A5A317" w14:textId="77777777">
            <w:pPr>
              <w:rPr>
                <w:rFonts w:ascii="Arial" w:hAnsi="Arial" w:cs="Arial"/>
                <w:sz w:val="20"/>
                <w:szCs w:val="20"/>
              </w:rPr>
            </w:pPr>
            <w:r w:rsidRPr="00E97483">
              <w:rPr>
                <w:rFonts w:ascii="Arial" w:hAnsi="Arial" w:cs="Arial"/>
                <w:sz w:val="20"/>
                <w:szCs w:val="20"/>
              </w:rPr>
              <w:t xml:space="preserve">Respondent </w:t>
            </w:r>
          </w:p>
        </w:tc>
        <w:tc>
          <w:tcPr>
            <w:tcW w:w="1771" w:type="dxa"/>
            <w:shd w:val="clear" w:color="auto" w:fill="auto"/>
          </w:tcPr>
          <w:p w:rsidR="00DA3A00" w:rsidRPr="00E97483" w:rsidP="00D5155D" w14:paraId="076E9B8D" w14:textId="77777777">
            <w:pPr>
              <w:rPr>
                <w:rFonts w:ascii="Arial" w:hAnsi="Arial" w:cs="Arial"/>
                <w:sz w:val="20"/>
                <w:szCs w:val="20"/>
              </w:rPr>
            </w:pPr>
            <w:r w:rsidRPr="00E97483">
              <w:rPr>
                <w:rFonts w:ascii="Arial" w:hAnsi="Arial" w:cs="Arial"/>
                <w:sz w:val="20"/>
                <w:szCs w:val="20"/>
              </w:rPr>
              <w:t># of Respondents</w:t>
            </w:r>
          </w:p>
        </w:tc>
        <w:tc>
          <w:tcPr>
            <w:tcW w:w="1771" w:type="dxa"/>
            <w:shd w:val="clear" w:color="auto" w:fill="auto"/>
          </w:tcPr>
          <w:p w:rsidR="00DA3A00" w:rsidRPr="00E97483" w:rsidP="00D5155D" w14:paraId="39521CCE" w14:textId="77777777">
            <w:pPr>
              <w:rPr>
                <w:rFonts w:ascii="Arial" w:hAnsi="Arial" w:cs="Arial"/>
                <w:sz w:val="20"/>
                <w:szCs w:val="20"/>
              </w:rPr>
            </w:pPr>
            <w:r w:rsidRPr="00E97483">
              <w:rPr>
                <w:rFonts w:ascii="Arial" w:hAnsi="Arial" w:cs="Arial"/>
                <w:sz w:val="20"/>
                <w:szCs w:val="20"/>
              </w:rPr>
              <w:t>Frequency of Respondents</w:t>
            </w:r>
          </w:p>
        </w:tc>
        <w:tc>
          <w:tcPr>
            <w:tcW w:w="1771" w:type="dxa"/>
            <w:shd w:val="clear" w:color="auto" w:fill="auto"/>
          </w:tcPr>
          <w:p w:rsidR="00DA3A00" w:rsidRPr="00E97483" w:rsidP="00D5155D" w14:paraId="1E27E799" w14:textId="77777777">
            <w:pPr>
              <w:rPr>
                <w:rFonts w:ascii="Arial" w:hAnsi="Arial" w:cs="Arial"/>
                <w:sz w:val="20"/>
                <w:szCs w:val="20"/>
              </w:rPr>
            </w:pPr>
            <w:r w:rsidRPr="00E97483">
              <w:rPr>
                <w:rFonts w:ascii="Arial" w:hAnsi="Arial" w:cs="Arial"/>
                <w:sz w:val="20"/>
                <w:szCs w:val="20"/>
              </w:rPr>
              <w:t>Annual hour burden per respondent</w:t>
            </w:r>
          </w:p>
        </w:tc>
        <w:tc>
          <w:tcPr>
            <w:tcW w:w="1772" w:type="dxa"/>
            <w:shd w:val="clear" w:color="auto" w:fill="auto"/>
          </w:tcPr>
          <w:p w:rsidR="00DA3A00" w:rsidRPr="00E97483" w:rsidP="00D5155D" w14:paraId="7BECAD79" w14:textId="77777777">
            <w:pPr>
              <w:rPr>
                <w:rFonts w:ascii="Arial" w:hAnsi="Arial" w:cs="Arial"/>
                <w:sz w:val="20"/>
                <w:szCs w:val="20"/>
              </w:rPr>
            </w:pPr>
            <w:r w:rsidRPr="00E97483">
              <w:rPr>
                <w:rFonts w:ascii="Arial" w:hAnsi="Arial" w:cs="Arial"/>
                <w:sz w:val="20"/>
                <w:szCs w:val="20"/>
              </w:rPr>
              <w:t>Total annual hour burden</w:t>
            </w:r>
          </w:p>
        </w:tc>
      </w:tr>
      <w:tr w14:paraId="25A8D92E" w14:textId="77777777" w:rsidTr="000F1750">
        <w:tblPrEx>
          <w:tblW w:w="0" w:type="auto"/>
          <w:tblLook w:val="04A0"/>
        </w:tblPrEx>
        <w:tc>
          <w:tcPr>
            <w:tcW w:w="1771" w:type="dxa"/>
            <w:shd w:val="clear" w:color="auto" w:fill="auto"/>
          </w:tcPr>
          <w:p w:rsidR="00DA3A00" w:rsidRPr="00E97483" w:rsidP="00D5155D" w14:paraId="2ED312E3" w14:textId="77777777">
            <w:pPr>
              <w:rPr>
                <w:rFonts w:ascii="Arial" w:hAnsi="Arial" w:cs="Arial"/>
                <w:sz w:val="20"/>
                <w:szCs w:val="20"/>
              </w:rPr>
            </w:pPr>
            <w:r w:rsidRPr="00E97483">
              <w:rPr>
                <w:rFonts w:ascii="Arial" w:hAnsi="Arial" w:cs="Arial"/>
                <w:sz w:val="20"/>
                <w:szCs w:val="20"/>
              </w:rPr>
              <w:t>Manufacture</w:t>
            </w:r>
          </w:p>
        </w:tc>
        <w:tc>
          <w:tcPr>
            <w:tcW w:w="1771" w:type="dxa"/>
            <w:shd w:val="clear" w:color="auto" w:fill="auto"/>
          </w:tcPr>
          <w:p w:rsidR="00DA3A00" w:rsidRPr="00E97483" w:rsidP="00D5155D" w14:paraId="72886A53" w14:textId="77777777">
            <w:pPr>
              <w:rPr>
                <w:rFonts w:ascii="Arial" w:hAnsi="Arial" w:cs="Arial"/>
                <w:sz w:val="20"/>
                <w:szCs w:val="20"/>
              </w:rPr>
            </w:pPr>
            <w:r w:rsidRPr="00E97483">
              <w:rPr>
                <w:rFonts w:ascii="Arial" w:hAnsi="Arial" w:cs="Arial"/>
                <w:sz w:val="20"/>
                <w:szCs w:val="20"/>
              </w:rPr>
              <w:t>50</w:t>
            </w:r>
          </w:p>
        </w:tc>
        <w:tc>
          <w:tcPr>
            <w:tcW w:w="1771" w:type="dxa"/>
            <w:shd w:val="clear" w:color="auto" w:fill="auto"/>
          </w:tcPr>
          <w:p w:rsidR="00DA3A00" w:rsidRPr="00E97483" w:rsidP="00D5155D" w14:paraId="7663E683" w14:textId="77777777">
            <w:pPr>
              <w:rPr>
                <w:rFonts w:ascii="Arial" w:hAnsi="Arial" w:cs="Arial"/>
                <w:sz w:val="20"/>
                <w:szCs w:val="20"/>
              </w:rPr>
            </w:pPr>
            <w:r w:rsidRPr="00E97483">
              <w:rPr>
                <w:rFonts w:ascii="Arial" w:hAnsi="Arial" w:cs="Arial"/>
                <w:sz w:val="20"/>
                <w:szCs w:val="20"/>
              </w:rPr>
              <w:t>Annually</w:t>
            </w:r>
          </w:p>
        </w:tc>
        <w:tc>
          <w:tcPr>
            <w:tcW w:w="1771" w:type="dxa"/>
            <w:shd w:val="clear" w:color="auto" w:fill="auto"/>
          </w:tcPr>
          <w:p w:rsidR="00DA3A00" w:rsidRPr="00E97483" w:rsidP="00D5155D" w14:paraId="718F333C" w14:textId="77777777">
            <w:pPr>
              <w:rPr>
                <w:rFonts w:ascii="Arial" w:hAnsi="Arial" w:cs="Arial"/>
                <w:sz w:val="20"/>
                <w:szCs w:val="20"/>
              </w:rPr>
            </w:pPr>
            <w:r w:rsidRPr="00E97483">
              <w:rPr>
                <w:rFonts w:ascii="Arial" w:hAnsi="Arial" w:cs="Arial"/>
                <w:sz w:val="20"/>
                <w:szCs w:val="20"/>
              </w:rPr>
              <w:t>2</w:t>
            </w:r>
          </w:p>
        </w:tc>
        <w:tc>
          <w:tcPr>
            <w:tcW w:w="1772" w:type="dxa"/>
            <w:shd w:val="clear" w:color="auto" w:fill="auto"/>
          </w:tcPr>
          <w:p w:rsidR="00DA3A00" w:rsidRPr="00E97483" w:rsidP="00D5155D" w14:paraId="1DAD8A8C" w14:textId="77777777">
            <w:pPr>
              <w:rPr>
                <w:rFonts w:ascii="Arial" w:hAnsi="Arial" w:cs="Arial"/>
                <w:sz w:val="20"/>
                <w:szCs w:val="20"/>
              </w:rPr>
            </w:pPr>
            <w:r w:rsidRPr="00E97483">
              <w:rPr>
                <w:rFonts w:ascii="Arial" w:hAnsi="Arial" w:cs="Arial"/>
                <w:sz w:val="20"/>
                <w:szCs w:val="20"/>
              </w:rPr>
              <w:t>100</w:t>
            </w:r>
          </w:p>
        </w:tc>
      </w:tr>
    </w:tbl>
    <w:p w:rsidR="00DA3A00" w:rsidRPr="00E97483" w:rsidP="00D5155D" w14:paraId="59A075A7" w14:textId="77777777">
      <w:pPr>
        <w:rPr>
          <w:rFonts w:ascii="Arial" w:hAnsi="Arial" w:cs="Arial"/>
          <w:sz w:val="20"/>
          <w:szCs w:val="20"/>
        </w:rPr>
      </w:pPr>
    </w:p>
    <w:p w:rsidR="009F69EA" w:rsidRPr="00E97483" w:rsidP="00D5155D" w14:paraId="7BCE6D7E" w14:textId="77777777">
      <w:pPr>
        <w:rPr>
          <w:rFonts w:ascii="Arial" w:hAnsi="Arial" w:cs="Arial"/>
          <w:sz w:val="20"/>
          <w:szCs w:val="20"/>
        </w:rPr>
      </w:pPr>
      <w:r w:rsidRPr="00E97483">
        <w:rPr>
          <w:rFonts w:ascii="Arial" w:hAnsi="Arial" w:cs="Arial"/>
          <w:sz w:val="20"/>
          <w:szCs w:val="20"/>
        </w:rPr>
        <w:t xml:space="preserve">The estimated total annual burden hours on the 50 responding manufactures for the collection of the Federal-aid eligibility letter request is 100 hours. </w:t>
      </w:r>
    </w:p>
    <w:bookmarkEnd w:id="1"/>
    <w:p w:rsidR="00BD1BF2" w14:paraId="394B7535"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D66B14" w:rsidRPr="00E97483" w:rsidP="00D66B14" w14:paraId="1EDC449A" w14:textId="77777777">
      <w:pPr>
        <w:widowControl w:val="0"/>
        <w:tabs>
          <w:tab w:val="left" w:pos="540"/>
        </w:tabs>
        <w:rPr>
          <w:rFonts w:ascii="Arial" w:hAnsi="Arial" w:cs="Arial"/>
          <w:sz w:val="20"/>
          <w:szCs w:val="20"/>
        </w:rPr>
      </w:pPr>
      <w:r w:rsidRPr="00E97483">
        <w:rPr>
          <w:rFonts w:ascii="Arial" w:hAnsi="Arial" w:cs="Arial"/>
          <w:sz w:val="20"/>
          <w:szCs w:val="20"/>
        </w:rPr>
        <w:t xml:space="preserve">Any cost associated with submitting crash test documents would be minimal. </w:t>
      </w:r>
    </w:p>
    <w:p w:rsidR="00BD1BF2" w14:paraId="03409354" w14:textId="77777777">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D66B14" w:rsidRPr="00702525" w14:paraId="5F60A6A6" w14:textId="77777777">
      <w:pPr>
        <w:pStyle w:val="BodyText"/>
        <w:rPr>
          <w:color w:val="auto"/>
        </w:rPr>
      </w:pPr>
      <w:r w:rsidRPr="00702525">
        <w:rPr>
          <w:color w:val="auto"/>
        </w:rPr>
        <w:t>The cost would be around $</w:t>
      </w:r>
      <w:r w:rsidRPr="00702525" w:rsidR="00C63932">
        <w:rPr>
          <w:color w:val="auto"/>
        </w:rPr>
        <w:t>126,252</w:t>
      </w:r>
      <w:r w:rsidRPr="00702525">
        <w:rPr>
          <w:color w:val="auto"/>
        </w:rPr>
        <w:t xml:space="preserve"> annually.</w:t>
      </w:r>
    </w:p>
    <w:p w:rsidR="001270D6" w:rsidRPr="00702525" w14:paraId="19E623CC" w14:textId="2B9C774A">
      <w:pPr>
        <w:pStyle w:val="BodyTex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0"/>
        <w:gridCol w:w="1044"/>
        <w:gridCol w:w="1064"/>
        <w:gridCol w:w="899"/>
        <w:gridCol w:w="1070"/>
        <w:gridCol w:w="1018"/>
        <w:gridCol w:w="1044"/>
        <w:gridCol w:w="1351"/>
      </w:tblGrid>
      <w:tr w14:paraId="63E27550" w14:textId="77777777" w:rsidTr="000A12C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64" w:type="dxa"/>
            <w:shd w:val="clear" w:color="auto" w:fill="auto"/>
          </w:tcPr>
          <w:p w:rsidR="004D72BB" w:rsidRPr="00702525" w:rsidP="000A12C0" w14:paraId="2CF80C65" w14:textId="77777777">
            <w:pPr>
              <w:pStyle w:val="BodyText"/>
              <w:rPr>
                <w:color w:val="auto"/>
              </w:rPr>
            </w:pPr>
          </w:p>
        </w:tc>
        <w:tc>
          <w:tcPr>
            <w:tcW w:w="6341" w:type="dxa"/>
            <w:gridSpan w:val="6"/>
            <w:shd w:val="clear" w:color="auto" w:fill="auto"/>
          </w:tcPr>
          <w:p w:rsidR="004D72BB" w:rsidRPr="00702525" w:rsidP="000A12C0" w14:paraId="43005CE0" w14:textId="77777777">
            <w:pPr>
              <w:pStyle w:val="BodyText"/>
              <w:jc w:val="center"/>
              <w:rPr>
                <w:color w:val="auto"/>
              </w:rPr>
            </w:pPr>
            <w:r w:rsidRPr="00702525">
              <w:rPr>
                <w:color w:val="auto"/>
              </w:rPr>
              <w:t>Review Effort</w:t>
            </w:r>
          </w:p>
        </w:tc>
        <w:tc>
          <w:tcPr>
            <w:tcW w:w="1351" w:type="dxa"/>
            <w:shd w:val="clear" w:color="auto" w:fill="auto"/>
          </w:tcPr>
          <w:p w:rsidR="004D72BB" w:rsidRPr="00702525" w:rsidP="000A12C0" w14:paraId="7FF7E393" w14:textId="77777777">
            <w:pPr>
              <w:pStyle w:val="BodyText"/>
              <w:rPr>
                <w:color w:val="auto"/>
              </w:rPr>
            </w:pPr>
            <w:r w:rsidRPr="00702525">
              <w:rPr>
                <w:color w:val="auto"/>
              </w:rPr>
              <w:t>Coordination Effort</w:t>
            </w:r>
          </w:p>
        </w:tc>
      </w:tr>
      <w:tr w14:paraId="5CC0C024" w14:textId="77777777" w:rsidTr="000A12C0">
        <w:tblPrEx>
          <w:tblW w:w="0" w:type="auto"/>
          <w:tblLook w:val="04A0"/>
        </w:tblPrEx>
        <w:tc>
          <w:tcPr>
            <w:tcW w:w="1164" w:type="dxa"/>
            <w:shd w:val="clear" w:color="auto" w:fill="auto"/>
          </w:tcPr>
          <w:p w:rsidR="004D72BB" w:rsidRPr="00702525" w:rsidP="000A12C0" w14:paraId="01BB6219" w14:textId="77777777">
            <w:pPr>
              <w:pStyle w:val="BodyText"/>
              <w:rPr>
                <w:color w:val="auto"/>
              </w:rPr>
            </w:pPr>
            <w:r w:rsidRPr="00702525">
              <w:rPr>
                <w:color w:val="auto"/>
              </w:rPr>
              <w:t xml:space="preserve">Staff </w:t>
            </w:r>
          </w:p>
        </w:tc>
        <w:tc>
          <w:tcPr>
            <w:tcW w:w="1107" w:type="dxa"/>
            <w:shd w:val="clear" w:color="auto" w:fill="auto"/>
          </w:tcPr>
          <w:p w:rsidR="004D72BB" w:rsidRPr="00702525" w:rsidP="000A12C0" w14:paraId="0CAEF901" w14:textId="484B9367">
            <w:pPr>
              <w:pStyle w:val="BodyText"/>
              <w:rPr>
                <w:color w:val="auto"/>
              </w:rPr>
            </w:pPr>
            <w:r>
              <w:rPr>
                <w:color w:val="auto"/>
              </w:rPr>
              <w:t>GS-13, Step 6</w:t>
            </w:r>
          </w:p>
        </w:tc>
        <w:tc>
          <w:tcPr>
            <w:tcW w:w="1085" w:type="dxa"/>
            <w:shd w:val="clear" w:color="auto" w:fill="auto"/>
          </w:tcPr>
          <w:p w:rsidR="004D72BB" w:rsidRPr="00702525" w:rsidP="000A12C0" w14:paraId="2F935D61" w14:textId="1662A0AD">
            <w:pPr>
              <w:pStyle w:val="BodyText"/>
              <w:rPr>
                <w:color w:val="auto"/>
              </w:rPr>
            </w:pPr>
            <w:r>
              <w:rPr>
                <w:color w:val="auto"/>
              </w:rPr>
              <w:t>GS-14, Step 1</w:t>
            </w:r>
          </w:p>
        </w:tc>
        <w:tc>
          <w:tcPr>
            <w:tcW w:w="929" w:type="dxa"/>
            <w:shd w:val="clear" w:color="auto" w:fill="auto"/>
          </w:tcPr>
          <w:p w:rsidR="004D72BB" w:rsidRPr="00702525" w:rsidP="000A12C0" w14:paraId="43721DAF" w14:textId="60BAC08C">
            <w:pPr>
              <w:pStyle w:val="BodyText"/>
              <w:rPr>
                <w:color w:val="auto"/>
              </w:rPr>
            </w:pPr>
            <w:r>
              <w:rPr>
                <w:color w:val="auto"/>
              </w:rPr>
              <w:t>GS-14, Step 10</w:t>
            </w:r>
            <w:r w:rsidRPr="00702525">
              <w:rPr>
                <w:color w:val="auto"/>
              </w:rPr>
              <w:t xml:space="preserve"> </w:t>
            </w:r>
          </w:p>
        </w:tc>
        <w:tc>
          <w:tcPr>
            <w:tcW w:w="1091" w:type="dxa"/>
            <w:shd w:val="clear" w:color="auto" w:fill="auto"/>
          </w:tcPr>
          <w:p w:rsidR="004D72BB" w:rsidRPr="00702525" w:rsidP="000A12C0" w14:paraId="0BE989CC" w14:textId="7779A16F">
            <w:pPr>
              <w:pStyle w:val="BodyText"/>
              <w:rPr>
                <w:color w:val="auto"/>
              </w:rPr>
            </w:pPr>
            <w:r>
              <w:rPr>
                <w:color w:val="auto"/>
              </w:rPr>
              <w:t>GS-15, Step 10</w:t>
            </w:r>
            <w:r w:rsidRPr="00702525">
              <w:rPr>
                <w:color w:val="auto"/>
              </w:rPr>
              <w:t xml:space="preserve"> </w:t>
            </w:r>
          </w:p>
        </w:tc>
        <w:tc>
          <w:tcPr>
            <w:tcW w:w="1049" w:type="dxa"/>
            <w:shd w:val="clear" w:color="auto" w:fill="auto"/>
          </w:tcPr>
          <w:p w:rsidR="004D72BB" w:rsidRPr="00702525" w:rsidP="000A12C0" w14:paraId="1958105B" w14:textId="103312B8">
            <w:pPr>
              <w:pStyle w:val="BodyText"/>
              <w:rPr>
                <w:color w:val="auto"/>
              </w:rPr>
            </w:pPr>
            <w:r>
              <w:rPr>
                <w:color w:val="auto"/>
              </w:rPr>
              <w:t>GS-15, Step 6</w:t>
            </w:r>
            <w:r w:rsidRPr="00702525">
              <w:rPr>
                <w:color w:val="auto"/>
              </w:rPr>
              <w:t xml:space="preserve"> </w:t>
            </w:r>
          </w:p>
        </w:tc>
        <w:tc>
          <w:tcPr>
            <w:tcW w:w="1080" w:type="dxa"/>
            <w:shd w:val="clear" w:color="auto" w:fill="auto"/>
          </w:tcPr>
          <w:p w:rsidR="004D72BB" w:rsidRPr="00702525" w:rsidP="000A12C0" w14:paraId="62784434" w14:textId="1261C5D5">
            <w:pPr>
              <w:pStyle w:val="BodyText"/>
              <w:rPr>
                <w:color w:val="auto"/>
              </w:rPr>
            </w:pPr>
            <w:r>
              <w:rPr>
                <w:color w:val="auto"/>
              </w:rPr>
              <w:t>SES</w:t>
            </w:r>
            <w:r w:rsidRPr="00702525">
              <w:rPr>
                <w:color w:val="auto"/>
              </w:rPr>
              <w:t xml:space="preserve"> </w:t>
            </w:r>
          </w:p>
        </w:tc>
        <w:tc>
          <w:tcPr>
            <w:tcW w:w="1351" w:type="dxa"/>
            <w:shd w:val="clear" w:color="auto" w:fill="auto"/>
          </w:tcPr>
          <w:p w:rsidR="004D72BB" w:rsidRPr="00702525" w:rsidP="000A12C0" w14:paraId="3ADD743B" w14:textId="4BEF3D91">
            <w:pPr>
              <w:pStyle w:val="BodyText"/>
              <w:rPr>
                <w:color w:val="auto"/>
              </w:rPr>
            </w:pPr>
            <w:r>
              <w:rPr>
                <w:color w:val="auto"/>
              </w:rPr>
              <w:t>GS-14, Step 1</w:t>
            </w:r>
          </w:p>
        </w:tc>
      </w:tr>
      <w:tr w14:paraId="2B4AC9CB" w14:textId="77777777" w:rsidTr="000A12C0">
        <w:tblPrEx>
          <w:tblW w:w="0" w:type="auto"/>
          <w:tblLook w:val="04A0"/>
        </w:tblPrEx>
        <w:tc>
          <w:tcPr>
            <w:tcW w:w="1164" w:type="dxa"/>
            <w:shd w:val="clear" w:color="auto" w:fill="auto"/>
          </w:tcPr>
          <w:p w:rsidR="004D72BB" w:rsidRPr="00702525" w:rsidP="000A12C0" w14:paraId="69981492" w14:textId="50DD9056">
            <w:pPr>
              <w:pStyle w:val="BodyText"/>
              <w:rPr>
                <w:color w:val="auto"/>
              </w:rPr>
            </w:pPr>
            <w:r w:rsidRPr="00702525">
              <w:rPr>
                <w:color w:val="auto"/>
              </w:rPr>
              <w:t>Hourly Rate ($/hour)</w:t>
            </w:r>
            <w:r>
              <w:rPr>
                <w:rStyle w:val="FootnoteReference"/>
                <w:color w:val="auto"/>
              </w:rPr>
              <w:footnoteReference w:id="2"/>
            </w:r>
          </w:p>
        </w:tc>
        <w:tc>
          <w:tcPr>
            <w:tcW w:w="1107" w:type="dxa"/>
            <w:shd w:val="clear" w:color="auto" w:fill="auto"/>
          </w:tcPr>
          <w:p w:rsidR="004D72BB" w:rsidRPr="00702525" w:rsidP="000A12C0" w14:paraId="0A5A09AC" w14:textId="77777777">
            <w:pPr>
              <w:pStyle w:val="BodyText"/>
              <w:rPr>
                <w:color w:val="auto"/>
              </w:rPr>
            </w:pPr>
            <w:r w:rsidRPr="00702525">
              <w:rPr>
                <w:color w:val="auto"/>
              </w:rPr>
              <w:t>58.4</w:t>
            </w:r>
          </w:p>
        </w:tc>
        <w:tc>
          <w:tcPr>
            <w:tcW w:w="1085" w:type="dxa"/>
            <w:shd w:val="clear" w:color="auto" w:fill="auto"/>
          </w:tcPr>
          <w:p w:rsidR="004D72BB" w:rsidRPr="00702525" w:rsidP="000A12C0" w14:paraId="3B31BCCA" w14:textId="77777777">
            <w:pPr>
              <w:pStyle w:val="BodyText"/>
              <w:rPr>
                <w:color w:val="auto"/>
              </w:rPr>
            </w:pPr>
            <w:r w:rsidRPr="00702525">
              <w:rPr>
                <w:color w:val="auto"/>
              </w:rPr>
              <w:t>66.79</w:t>
            </w:r>
          </w:p>
        </w:tc>
        <w:tc>
          <w:tcPr>
            <w:tcW w:w="929" w:type="dxa"/>
            <w:shd w:val="clear" w:color="auto" w:fill="auto"/>
          </w:tcPr>
          <w:p w:rsidR="004D72BB" w:rsidRPr="00702525" w:rsidP="000A12C0" w14:paraId="7E2458C9" w14:textId="77777777">
            <w:pPr>
              <w:pStyle w:val="BodyText"/>
              <w:rPr>
                <w:color w:val="auto"/>
              </w:rPr>
            </w:pPr>
            <w:r w:rsidRPr="00702525">
              <w:rPr>
                <w:color w:val="auto"/>
              </w:rPr>
              <w:t>86.83</w:t>
            </w:r>
          </w:p>
        </w:tc>
        <w:tc>
          <w:tcPr>
            <w:tcW w:w="1091" w:type="dxa"/>
            <w:shd w:val="clear" w:color="auto" w:fill="auto"/>
          </w:tcPr>
          <w:p w:rsidR="004D72BB" w:rsidRPr="00702525" w:rsidP="000A12C0" w14:paraId="536F1B31" w14:textId="77777777">
            <w:pPr>
              <w:pStyle w:val="BodyText"/>
              <w:rPr>
                <w:color w:val="auto"/>
              </w:rPr>
            </w:pPr>
            <w:r w:rsidRPr="00702525">
              <w:rPr>
                <w:color w:val="auto"/>
              </w:rPr>
              <w:t>91.95</w:t>
            </w:r>
          </w:p>
        </w:tc>
        <w:tc>
          <w:tcPr>
            <w:tcW w:w="1049" w:type="dxa"/>
            <w:shd w:val="clear" w:color="auto" w:fill="auto"/>
          </w:tcPr>
          <w:p w:rsidR="004D72BB" w:rsidRPr="00702525" w:rsidP="000A12C0" w14:paraId="68731086" w14:textId="77777777">
            <w:pPr>
              <w:pStyle w:val="BodyText"/>
              <w:rPr>
                <w:color w:val="auto"/>
              </w:rPr>
            </w:pPr>
            <w:r w:rsidRPr="00702525">
              <w:rPr>
                <w:color w:val="auto"/>
              </w:rPr>
              <w:t>91.66</w:t>
            </w:r>
          </w:p>
        </w:tc>
        <w:tc>
          <w:tcPr>
            <w:tcW w:w="1080" w:type="dxa"/>
            <w:shd w:val="clear" w:color="auto" w:fill="auto"/>
          </w:tcPr>
          <w:p w:rsidR="004D72BB" w:rsidRPr="00702525" w:rsidP="000A12C0" w14:paraId="214DC9D6" w14:textId="77777777">
            <w:pPr>
              <w:pStyle w:val="BodyText"/>
              <w:rPr>
                <w:color w:val="auto"/>
              </w:rPr>
            </w:pPr>
            <w:r w:rsidRPr="00702525">
              <w:rPr>
                <w:color w:val="auto"/>
              </w:rPr>
              <w:t>106.68</w:t>
            </w:r>
          </w:p>
        </w:tc>
        <w:tc>
          <w:tcPr>
            <w:tcW w:w="1351" w:type="dxa"/>
            <w:shd w:val="clear" w:color="auto" w:fill="auto"/>
          </w:tcPr>
          <w:p w:rsidR="004D72BB" w:rsidRPr="00702525" w:rsidP="000A12C0" w14:paraId="4044D276" w14:textId="77777777">
            <w:pPr>
              <w:pStyle w:val="BodyText"/>
              <w:rPr>
                <w:color w:val="auto"/>
              </w:rPr>
            </w:pPr>
            <w:r w:rsidRPr="00702525">
              <w:rPr>
                <w:color w:val="auto"/>
              </w:rPr>
              <w:t>66.79</w:t>
            </w:r>
          </w:p>
        </w:tc>
      </w:tr>
      <w:tr w14:paraId="6C4722F0" w14:textId="77777777" w:rsidTr="000A12C0">
        <w:tblPrEx>
          <w:tblW w:w="0" w:type="auto"/>
          <w:tblLook w:val="04A0"/>
        </w:tblPrEx>
        <w:tc>
          <w:tcPr>
            <w:tcW w:w="1164" w:type="dxa"/>
            <w:shd w:val="clear" w:color="auto" w:fill="auto"/>
          </w:tcPr>
          <w:p w:rsidR="004D72BB" w:rsidRPr="00702525" w:rsidP="000A12C0" w14:paraId="6F2C2AD0" w14:textId="77777777">
            <w:pPr>
              <w:pStyle w:val="BodyText"/>
              <w:rPr>
                <w:color w:val="auto"/>
              </w:rPr>
            </w:pPr>
            <w:r w:rsidRPr="00702525">
              <w:rPr>
                <w:color w:val="auto"/>
              </w:rPr>
              <w:t># of requests</w:t>
            </w:r>
          </w:p>
        </w:tc>
        <w:tc>
          <w:tcPr>
            <w:tcW w:w="1107" w:type="dxa"/>
            <w:shd w:val="clear" w:color="auto" w:fill="auto"/>
          </w:tcPr>
          <w:p w:rsidR="004D72BB" w:rsidRPr="00702525" w:rsidP="000A12C0" w14:paraId="0C736500" w14:textId="77777777">
            <w:pPr>
              <w:pStyle w:val="BodyText"/>
              <w:rPr>
                <w:color w:val="auto"/>
              </w:rPr>
            </w:pPr>
            <w:r w:rsidRPr="00702525">
              <w:rPr>
                <w:color w:val="auto"/>
              </w:rPr>
              <w:t>20</w:t>
            </w:r>
          </w:p>
        </w:tc>
        <w:tc>
          <w:tcPr>
            <w:tcW w:w="1085" w:type="dxa"/>
            <w:shd w:val="clear" w:color="auto" w:fill="auto"/>
          </w:tcPr>
          <w:p w:rsidR="004D72BB" w:rsidRPr="00702525" w:rsidP="000A12C0" w14:paraId="41F67928" w14:textId="77777777">
            <w:pPr>
              <w:pStyle w:val="BodyText"/>
              <w:rPr>
                <w:color w:val="auto"/>
              </w:rPr>
            </w:pPr>
            <w:r w:rsidRPr="00702525">
              <w:rPr>
                <w:color w:val="auto"/>
              </w:rPr>
              <w:t>30</w:t>
            </w:r>
          </w:p>
        </w:tc>
        <w:tc>
          <w:tcPr>
            <w:tcW w:w="929" w:type="dxa"/>
            <w:shd w:val="clear" w:color="auto" w:fill="auto"/>
          </w:tcPr>
          <w:p w:rsidR="004D72BB" w:rsidRPr="00702525" w:rsidP="000A12C0" w14:paraId="2792CA4D" w14:textId="77777777">
            <w:pPr>
              <w:pStyle w:val="BodyText"/>
              <w:rPr>
                <w:color w:val="auto"/>
              </w:rPr>
            </w:pPr>
            <w:r w:rsidRPr="00702525">
              <w:rPr>
                <w:color w:val="auto"/>
              </w:rPr>
              <w:t>50</w:t>
            </w:r>
          </w:p>
        </w:tc>
        <w:tc>
          <w:tcPr>
            <w:tcW w:w="1091" w:type="dxa"/>
            <w:shd w:val="clear" w:color="auto" w:fill="auto"/>
          </w:tcPr>
          <w:p w:rsidR="004D72BB" w:rsidRPr="00702525" w:rsidP="000A12C0" w14:paraId="4567AC7C" w14:textId="77777777">
            <w:pPr>
              <w:pStyle w:val="BodyText"/>
              <w:rPr>
                <w:color w:val="auto"/>
              </w:rPr>
            </w:pPr>
            <w:r w:rsidRPr="00702525">
              <w:rPr>
                <w:color w:val="auto"/>
              </w:rPr>
              <w:t>50</w:t>
            </w:r>
          </w:p>
        </w:tc>
        <w:tc>
          <w:tcPr>
            <w:tcW w:w="1049" w:type="dxa"/>
            <w:shd w:val="clear" w:color="auto" w:fill="auto"/>
          </w:tcPr>
          <w:p w:rsidR="004D72BB" w:rsidRPr="00702525" w:rsidP="000A12C0" w14:paraId="3550F9F3" w14:textId="77777777">
            <w:pPr>
              <w:pStyle w:val="BodyText"/>
              <w:rPr>
                <w:color w:val="auto"/>
              </w:rPr>
            </w:pPr>
            <w:r w:rsidRPr="00702525">
              <w:rPr>
                <w:color w:val="auto"/>
              </w:rPr>
              <w:t>50</w:t>
            </w:r>
          </w:p>
        </w:tc>
        <w:tc>
          <w:tcPr>
            <w:tcW w:w="1080" w:type="dxa"/>
            <w:shd w:val="clear" w:color="auto" w:fill="auto"/>
          </w:tcPr>
          <w:p w:rsidR="004D72BB" w:rsidRPr="00702525" w:rsidP="000A12C0" w14:paraId="7E919E24" w14:textId="77777777">
            <w:pPr>
              <w:pStyle w:val="BodyText"/>
              <w:rPr>
                <w:color w:val="auto"/>
              </w:rPr>
            </w:pPr>
            <w:r w:rsidRPr="00702525">
              <w:rPr>
                <w:color w:val="auto"/>
              </w:rPr>
              <w:t>50</w:t>
            </w:r>
          </w:p>
        </w:tc>
        <w:tc>
          <w:tcPr>
            <w:tcW w:w="1351" w:type="dxa"/>
            <w:shd w:val="clear" w:color="auto" w:fill="auto"/>
          </w:tcPr>
          <w:p w:rsidR="004D72BB" w:rsidRPr="00702525" w:rsidP="000A12C0" w14:paraId="336CB421" w14:textId="77777777">
            <w:pPr>
              <w:pStyle w:val="BodyText"/>
              <w:rPr>
                <w:color w:val="auto"/>
              </w:rPr>
            </w:pPr>
            <w:r w:rsidRPr="00702525">
              <w:rPr>
                <w:color w:val="auto"/>
              </w:rPr>
              <w:t>50</w:t>
            </w:r>
          </w:p>
        </w:tc>
      </w:tr>
      <w:tr w14:paraId="6988183D" w14:textId="77777777" w:rsidTr="000A12C0">
        <w:tblPrEx>
          <w:tblW w:w="0" w:type="auto"/>
          <w:tblLook w:val="04A0"/>
        </w:tblPrEx>
        <w:tc>
          <w:tcPr>
            <w:tcW w:w="1164" w:type="dxa"/>
            <w:shd w:val="clear" w:color="auto" w:fill="auto"/>
          </w:tcPr>
          <w:p w:rsidR="004D72BB" w:rsidRPr="00702525" w:rsidP="000A12C0" w14:paraId="00143FF0" w14:textId="77777777">
            <w:pPr>
              <w:pStyle w:val="BodyText"/>
              <w:rPr>
                <w:color w:val="auto"/>
              </w:rPr>
            </w:pPr>
            <w:r w:rsidRPr="00702525">
              <w:rPr>
                <w:color w:val="auto"/>
              </w:rPr>
              <w:t># of hours for each request</w:t>
            </w:r>
          </w:p>
        </w:tc>
        <w:tc>
          <w:tcPr>
            <w:tcW w:w="1107" w:type="dxa"/>
            <w:shd w:val="clear" w:color="auto" w:fill="auto"/>
          </w:tcPr>
          <w:p w:rsidR="004D72BB" w:rsidRPr="00702525" w:rsidP="000A12C0" w14:paraId="23E57949" w14:textId="77777777">
            <w:pPr>
              <w:pStyle w:val="BodyText"/>
              <w:rPr>
                <w:color w:val="auto"/>
              </w:rPr>
            </w:pPr>
            <w:r w:rsidRPr="00702525">
              <w:rPr>
                <w:color w:val="auto"/>
              </w:rPr>
              <w:t>6</w:t>
            </w:r>
          </w:p>
        </w:tc>
        <w:tc>
          <w:tcPr>
            <w:tcW w:w="1085" w:type="dxa"/>
            <w:shd w:val="clear" w:color="auto" w:fill="auto"/>
          </w:tcPr>
          <w:p w:rsidR="004D72BB" w:rsidRPr="00702525" w:rsidP="000A12C0" w14:paraId="356AA79C" w14:textId="77777777">
            <w:pPr>
              <w:pStyle w:val="BodyText"/>
              <w:rPr>
                <w:color w:val="auto"/>
              </w:rPr>
            </w:pPr>
            <w:r w:rsidRPr="00702525">
              <w:rPr>
                <w:color w:val="auto"/>
              </w:rPr>
              <w:t>6</w:t>
            </w:r>
          </w:p>
        </w:tc>
        <w:tc>
          <w:tcPr>
            <w:tcW w:w="929" w:type="dxa"/>
            <w:shd w:val="clear" w:color="auto" w:fill="auto"/>
          </w:tcPr>
          <w:p w:rsidR="004D72BB" w:rsidRPr="00702525" w:rsidP="000A12C0" w14:paraId="57ACD4BA" w14:textId="77777777">
            <w:pPr>
              <w:pStyle w:val="BodyText"/>
              <w:rPr>
                <w:color w:val="auto"/>
              </w:rPr>
            </w:pPr>
            <w:r w:rsidRPr="00702525">
              <w:rPr>
                <w:color w:val="auto"/>
              </w:rPr>
              <w:t>2</w:t>
            </w:r>
          </w:p>
        </w:tc>
        <w:tc>
          <w:tcPr>
            <w:tcW w:w="1091" w:type="dxa"/>
            <w:shd w:val="clear" w:color="auto" w:fill="auto"/>
          </w:tcPr>
          <w:p w:rsidR="004D72BB" w:rsidRPr="00702525" w:rsidP="000A12C0" w14:paraId="1C69C13C" w14:textId="77777777">
            <w:pPr>
              <w:pStyle w:val="BodyText"/>
              <w:rPr>
                <w:color w:val="auto"/>
              </w:rPr>
            </w:pPr>
            <w:r w:rsidRPr="00702525">
              <w:rPr>
                <w:color w:val="auto"/>
              </w:rPr>
              <w:t>0.75</w:t>
            </w:r>
          </w:p>
        </w:tc>
        <w:tc>
          <w:tcPr>
            <w:tcW w:w="1049" w:type="dxa"/>
            <w:shd w:val="clear" w:color="auto" w:fill="auto"/>
          </w:tcPr>
          <w:p w:rsidR="004D72BB" w:rsidRPr="00702525" w:rsidP="000A12C0" w14:paraId="2026D039" w14:textId="77777777">
            <w:pPr>
              <w:pStyle w:val="BodyText"/>
              <w:rPr>
                <w:color w:val="auto"/>
              </w:rPr>
            </w:pPr>
            <w:r w:rsidRPr="00702525">
              <w:rPr>
                <w:color w:val="auto"/>
              </w:rPr>
              <w:t>0.5</w:t>
            </w:r>
          </w:p>
        </w:tc>
        <w:tc>
          <w:tcPr>
            <w:tcW w:w="1080" w:type="dxa"/>
            <w:shd w:val="clear" w:color="auto" w:fill="auto"/>
          </w:tcPr>
          <w:p w:rsidR="004D72BB" w:rsidRPr="00702525" w:rsidP="000A12C0" w14:paraId="0C0EE1BE" w14:textId="77777777">
            <w:pPr>
              <w:pStyle w:val="BodyText"/>
              <w:rPr>
                <w:color w:val="auto"/>
              </w:rPr>
            </w:pPr>
            <w:r w:rsidRPr="00702525">
              <w:rPr>
                <w:color w:val="auto"/>
              </w:rPr>
              <w:t>0.25</w:t>
            </w:r>
          </w:p>
        </w:tc>
        <w:tc>
          <w:tcPr>
            <w:tcW w:w="1351" w:type="dxa"/>
            <w:shd w:val="clear" w:color="auto" w:fill="auto"/>
          </w:tcPr>
          <w:p w:rsidR="004D72BB" w:rsidRPr="00702525" w:rsidP="000A12C0" w14:paraId="31F6F0FE" w14:textId="77777777">
            <w:pPr>
              <w:pStyle w:val="BodyText"/>
              <w:rPr>
                <w:color w:val="auto"/>
              </w:rPr>
            </w:pPr>
            <w:r w:rsidRPr="00702525">
              <w:rPr>
                <w:color w:val="auto"/>
              </w:rPr>
              <w:t>2</w:t>
            </w:r>
          </w:p>
        </w:tc>
      </w:tr>
      <w:tr w14:paraId="7D9B3842" w14:textId="77777777" w:rsidTr="000A12C0">
        <w:tblPrEx>
          <w:tblW w:w="0" w:type="auto"/>
          <w:tblLook w:val="04A0"/>
        </w:tblPrEx>
        <w:tc>
          <w:tcPr>
            <w:tcW w:w="1164" w:type="dxa"/>
            <w:shd w:val="clear" w:color="auto" w:fill="auto"/>
          </w:tcPr>
          <w:p w:rsidR="004D72BB" w:rsidRPr="00702525" w:rsidP="000A12C0" w14:paraId="2516BF71" w14:textId="77777777">
            <w:pPr>
              <w:pStyle w:val="BodyText"/>
              <w:rPr>
                <w:color w:val="auto"/>
              </w:rPr>
            </w:pPr>
            <w:r w:rsidRPr="00702525">
              <w:rPr>
                <w:color w:val="auto"/>
              </w:rPr>
              <w:t>Cost of each staff</w:t>
            </w:r>
          </w:p>
        </w:tc>
        <w:tc>
          <w:tcPr>
            <w:tcW w:w="1107" w:type="dxa"/>
            <w:shd w:val="clear" w:color="auto" w:fill="auto"/>
          </w:tcPr>
          <w:p w:rsidR="004D72BB" w:rsidRPr="00702525" w:rsidP="000A12C0" w14:paraId="74BB1F60" w14:textId="77777777">
            <w:pPr>
              <w:pStyle w:val="BodyText"/>
              <w:rPr>
                <w:color w:val="auto"/>
              </w:rPr>
            </w:pPr>
            <w:r w:rsidRPr="00702525">
              <w:rPr>
                <w:color w:val="auto"/>
              </w:rPr>
              <w:t>7008</w:t>
            </w:r>
          </w:p>
        </w:tc>
        <w:tc>
          <w:tcPr>
            <w:tcW w:w="1085" w:type="dxa"/>
            <w:shd w:val="clear" w:color="auto" w:fill="auto"/>
          </w:tcPr>
          <w:p w:rsidR="004D72BB" w:rsidRPr="00702525" w:rsidP="000A12C0" w14:paraId="49AF9119" w14:textId="77777777">
            <w:pPr>
              <w:pStyle w:val="BodyText"/>
              <w:rPr>
                <w:color w:val="auto"/>
              </w:rPr>
            </w:pPr>
            <w:r w:rsidRPr="00702525">
              <w:rPr>
                <w:color w:val="auto"/>
              </w:rPr>
              <w:t>12022.2</w:t>
            </w:r>
          </w:p>
        </w:tc>
        <w:tc>
          <w:tcPr>
            <w:tcW w:w="929" w:type="dxa"/>
            <w:shd w:val="clear" w:color="auto" w:fill="auto"/>
          </w:tcPr>
          <w:p w:rsidR="004D72BB" w:rsidRPr="00702525" w:rsidP="000A12C0" w14:paraId="6F5E4339" w14:textId="77777777">
            <w:pPr>
              <w:pStyle w:val="BodyText"/>
              <w:rPr>
                <w:color w:val="auto"/>
              </w:rPr>
            </w:pPr>
            <w:r w:rsidRPr="00702525">
              <w:rPr>
                <w:color w:val="auto"/>
              </w:rPr>
              <w:t>8683</w:t>
            </w:r>
          </w:p>
        </w:tc>
        <w:tc>
          <w:tcPr>
            <w:tcW w:w="1091" w:type="dxa"/>
            <w:shd w:val="clear" w:color="auto" w:fill="auto"/>
          </w:tcPr>
          <w:p w:rsidR="004D72BB" w:rsidRPr="00702525" w:rsidP="000A12C0" w14:paraId="0E45C511" w14:textId="77777777">
            <w:pPr>
              <w:pStyle w:val="BodyText"/>
              <w:rPr>
                <w:color w:val="auto"/>
              </w:rPr>
            </w:pPr>
            <w:r w:rsidRPr="00702525">
              <w:rPr>
                <w:color w:val="auto"/>
              </w:rPr>
              <w:t>3448.03</w:t>
            </w:r>
          </w:p>
        </w:tc>
        <w:tc>
          <w:tcPr>
            <w:tcW w:w="1049" w:type="dxa"/>
            <w:shd w:val="clear" w:color="auto" w:fill="auto"/>
          </w:tcPr>
          <w:p w:rsidR="004D72BB" w:rsidRPr="00702525" w:rsidP="000A12C0" w14:paraId="25A5CB42" w14:textId="77777777">
            <w:pPr>
              <w:pStyle w:val="BodyText"/>
              <w:rPr>
                <w:color w:val="auto"/>
              </w:rPr>
            </w:pPr>
            <w:r w:rsidRPr="00702525">
              <w:rPr>
                <w:color w:val="auto"/>
              </w:rPr>
              <w:t>2291.5</w:t>
            </w:r>
          </w:p>
        </w:tc>
        <w:tc>
          <w:tcPr>
            <w:tcW w:w="1080" w:type="dxa"/>
            <w:shd w:val="clear" w:color="auto" w:fill="auto"/>
          </w:tcPr>
          <w:p w:rsidR="004D72BB" w:rsidRPr="00702525" w:rsidP="000A12C0" w14:paraId="647371A6" w14:textId="77777777">
            <w:pPr>
              <w:pStyle w:val="BodyText"/>
              <w:rPr>
                <w:color w:val="auto"/>
              </w:rPr>
            </w:pPr>
            <w:r w:rsidRPr="00702525">
              <w:rPr>
                <w:color w:val="auto"/>
              </w:rPr>
              <w:t>1333.5</w:t>
            </w:r>
          </w:p>
        </w:tc>
        <w:tc>
          <w:tcPr>
            <w:tcW w:w="1351" w:type="dxa"/>
            <w:shd w:val="clear" w:color="auto" w:fill="auto"/>
          </w:tcPr>
          <w:p w:rsidR="004D72BB" w:rsidRPr="00702525" w:rsidP="000A12C0" w14:paraId="3BDBE2DE" w14:textId="77777777">
            <w:pPr>
              <w:pStyle w:val="BodyText"/>
              <w:rPr>
                <w:color w:val="auto"/>
              </w:rPr>
            </w:pPr>
            <w:r w:rsidRPr="00702525">
              <w:rPr>
                <w:color w:val="auto"/>
              </w:rPr>
              <w:t>6679</w:t>
            </w:r>
          </w:p>
        </w:tc>
      </w:tr>
      <w:tr w14:paraId="6F7BED4D" w14:textId="77777777" w:rsidTr="000A12C0">
        <w:tblPrEx>
          <w:tblW w:w="0" w:type="auto"/>
          <w:tblLook w:val="04A0"/>
        </w:tblPrEx>
        <w:tc>
          <w:tcPr>
            <w:tcW w:w="1164" w:type="dxa"/>
            <w:shd w:val="clear" w:color="auto" w:fill="auto"/>
          </w:tcPr>
          <w:p w:rsidR="00C63932" w:rsidRPr="00702525" w:rsidP="000A12C0" w14:paraId="46CA4578" w14:textId="77777777">
            <w:pPr>
              <w:pStyle w:val="BodyText"/>
              <w:rPr>
                <w:color w:val="auto"/>
              </w:rPr>
            </w:pPr>
            <w:r w:rsidRPr="00702525">
              <w:rPr>
                <w:color w:val="auto"/>
              </w:rPr>
              <w:t>Total cost of staff</w:t>
            </w:r>
          </w:p>
        </w:tc>
        <w:tc>
          <w:tcPr>
            <w:tcW w:w="7692" w:type="dxa"/>
            <w:gridSpan w:val="7"/>
            <w:shd w:val="clear" w:color="auto" w:fill="auto"/>
          </w:tcPr>
          <w:p w:rsidR="00C63932" w:rsidRPr="00702525" w:rsidP="000A12C0" w14:paraId="58D7F26C" w14:textId="77777777">
            <w:pPr>
              <w:pStyle w:val="BodyText"/>
              <w:rPr>
                <w:color w:val="auto"/>
              </w:rPr>
            </w:pPr>
            <w:r w:rsidRPr="00702525">
              <w:rPr>
                <w:color w:val="auto"/>
              </w:rPr>
              <w:t>76251.65</w:t>
            </w:r>
          </w:p>
        </w:tc>
      </w:tr>
    </w:tbl>
    <w:p w:rsidR="004D72BB" w:rsidRPr="00702525" w14:paraId="004B9B89" w14:textId="77777777">
      <w:pPr>
        <w:pStyle w:val="BodyTex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2"/>
        <w:gridCol w:w="6138"/>
      </w:tblGrid>
      <w:tr w14:paraId="27181713" w14:textId="77777777" w:rsidTr="000A12C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8" w:type="dxa"/>
            <w:shd w:val="clear" w:color="auto" w:fill="auto"/>
          </w:tcPr>
          <w:p w:rsidR="00C63932" w:rsidRPr="00702525" w14:paraId="6F9A9448" w14:textId="77777777">
            <w:pPr>
              <w:pStyle w:val="BodyText"/>
              <w:rPr>
                <w:color w:val="auto"/>
              </w:rPr>
            </w:pPr>
            <w:r w:rsidRPr="00702525">
              <w:rPr>
                <w:color w:val="auto"/>
              </w:rPr>
              <w:t xml:space="preserve">Cost of Contractor on Section 508 service </w:t>
            </w:r>
          </w:p>
        </w:tc>
        <w:tc>
          <w:tcPr>
            <w:tcW w:w="6318" w:type="dxa"/>
            <w:shd w:val="clear" w:color="auto" w:fill="auto"/>
          </w:tcPr>
          <w:p w:rsidR="00C63932" w:rsidRPr="00702525" w14:paraId="1837933C" w14:textId="77777777">
            <w:pPr>
              <w:pStyle w:val="BodyText"/>
              <w:rPr>
                <w:color w:val="auto"/>
              </w:rPr>
            </w:pPr>
            <w:r w:rsidRPr="00702525">
              <w:rPr>
                <w:color w:val="auto"/>
              </w:rPr>
              <w:t>$50,000</w:t>
            </w:r>
          </w:p>
        </w:tc>
      </w:tr>
    </w:tbl>
    <w:p w:rsidR="00C63932" w:rsidRPr="00702525" w14:paraId="623A092B" w14:textId="77777777">
      <w:pPr>
        <w:pStyle w:val="BodyText"/>
        <w:rPr>
          <w:color w:val="auto"/>
        </w:rPr>
      </w:pPr>
    </w:p>
    <w:p w:rsidR="001270D6" w14:paraId="677EAB95" w14:textId="77777777">
      <w:pPr>
        <w:pStyle w:val="BodyText"/>
        <w:rPr>
          <w:color w:val="auto"/>
        </w:rPr>
      </w:pPr>
      <w:r w:rsidRPr="00702525">
        <w:rPr>
          <w:color w:val="auto"/>
        </w:rPr>
        <w:t xml:space="preserve">Total cost = 76251.65 + 50000.00 = 126251.65. Round to $126252. </w:t>
      </w:r>
    </w:p>
    <w:p w:rsidR="00BD1BF2" w:rsidP="004D72BB" w14:paraId="018961BA"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14:paraId="0E76D3F2" w14:textId="77777777">
      <w:pPr>
        <w:rPr>
          <w:rFonts w:ascii="Arial" w:hAnsi="Arial" w:cs="Arial"/>
          <w:sz w:val="20"/>
          <w:szCs w:val="20"/>
        </w:rPr>
      </w:pPr>
      <w:r>
        <w:rPr>
          <w:rFonts w:ascii="Arial" w:hAnsi="Arial" w:cs="Arial"/>
          <w:sz w:val="20"/>
          <w:szCs w:val="20"/>
        </w:rPr>
        <w:t xml:space="preserve">None. </w:t>
      </w:r>
    </w:p>
    <w:p w:rsidR="00BD1BF2" w14:paraId="7FADA74E"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D66B14" w:rsidRPr="00E97483" w:rsidP="00D66B14" w14:paraId="43F8501D" w14:textId="77777777">
      <w:pPr>
        <w:widowControl w:val="0"/>
        <w:tabs>
          <w:tab w:val="left" w:pos="540"/>
        </w:tabs>
        <w:rPr>
          <w:rFonts w:ascii="Arial" w:hAnsi="Arial" w:cs="Arial"/>
          <w:sz w:val="20"/>
          <w:szCs w:val="20"/>
        </w:rPr>
      </w:pPr>
      <w:r w:rsidRPr="00E97483">
        <w:rPr>
          <w:rFonts w:ascii="Arial" w:hAnsi="Arial" w:cs="Arial"/>
          <w:sz w:val="20"/>
          <w:szCs w:val="20"/>
          <w:lang w:val="en"/>
        </w:rPr>
        <w:t xml:space="preserve">A FHWA Federal-aid reimbursement eligibility letter will be sent electronically to the submitter in PDF format. Federal-aid reimbursement eligibility letters from FHWA are also posted on the </w:t>
      </w:r>
      <w:hyperlink r:id="rId5" w:history="1">
        <w:r w:rsidRPr="00E97483">
          <w:rPr>
            <w:rFonts w:ascii="Arial" w:hAnsi="Arial" w:cs="Arial"/>
            <w:color w:val="0079C0"/>
            <w:sz w:val="20"/>
            <w:szCs w:val="20"/>
            <w:u w:val="single"/>
            <w:shd w:val="clear" w:color="auto" w:fill="FFFFFF"/>
          </w:rPr>
          <w:t>FHWA Eligibility Web site</w:t>
        </w:r>
      </w:hyperlink>
      <w:r w:rsidRPr="00E97483">
        <w:rPr>
          <w:rFonts w:ascii="Arial" w:hAnsi="Arial" w:cs="Arial"/>
          <w:sz w:val="20"/>
          <w:szCs w:val="20"/>
          <w:lang w:val="en"/>
        </w:rPr>
        <w:t xml:space="preserve">. </w:t>
      </w:r>
      <w:r w:rsidRPr="00E97483">
        <w:rPr>
          <w:rFonts w:ascii="Arial" w:hAnsi="Arial" w:cs="Arial"/>
          <w:sz w:val="20"/>
          <w:szCs w:val="20"/>
        </w:rPr>
        <w:t xml:space="preserve">An eligibility letter package includes submittal form, crash test summary sheets and hardware drawings as attachments to the letter. </w:t>
      </w:r>
      <w:r w:rsidRPr="00E97483">
        <w:rPr>
          <w:rFonts w:ascii="Arial" w:hAnsi="Arial" w:cs="Arial"/>
          <w:color w:val="212529"/>
          <w:sz w:val="20"/>
          <w:szCs w:val="20"/>
          <w:shd w:val="clear" w:color="auto" w:fill="FFFFFF"/>
        </w:rPr>
        <w:t>When the FHWA issues an eligibility letter, if the attached files (hardware drawings and the crash test summaries) do not conform to Section 508 standards, FHWA will only post the eligibility letter on the agency's website without the non-conformant attachments. An electronic document with a copy of the letter and the non-conformant attachments will be sent to the requestor for posting on its public website; if the attached files (hardware drawings and crash test summaries) conform to Section 508 standards, FHWA will post the eligibility letter with the files on the agency's website </w:t>
      </w:r>
      <w:hyperlink r:id="rId5" w:history="1">
        <w:r w:rsidRPr="00E97483">
          <w:rPr>
            <w:rFonts w:ascii="Arial" w:hAnsi="Arial" w:cs="Arial"/>
            <w:color w:val="0079C0"/>
            <w:sz w:val="20"/>
            <w:szCs w:val="20"/>
            <w:u w:val="single"/>
            <w:shd w:val="clear" w:color="auto" w:fill="FFFFFF"/>
          </w:rPr>
          <w:t>FHWA Eligibility Web site</w:t>
        </w:r>
      </w:hyperlink>
      <w:r w:rsidRPr="00E97483">
        <w:rPr>
          <w:rFonts w:ascii="Arial" w:hAnsi="Arial" w:cs="Arial"/>
          <w:color w:val="212529"/>
          <w:sz w:val="20"/>
          <w:szCs w:val="20"/>
          <w:shd w:val="clear" w:color="auto" w:fill="FFFFFF"/>
        </w:rPr>
        <w:t xml:space="preserve">. </w:t>
      </w:r>
      <w:r w:rsidRPr="00E97483">
        <w:rPr>
          <w:rFonts w:ascii="Arial" w:hAnsi="Arial" w:cs="Arial"/>
          <w:sz w:val="20"/>
          <w:szCs w:val="20"/>
        </w:rPr>
        <w:t xml:space="preserve">There is no set timetable for the review process and the reviewer will review the requests in the order received. A letter will be dates with the date it is issued. </w:t>
      </w:r>
    </w:p>
    <w:p w:rsidR="00D66B14" w14:paraId="282632A4" w14:textId="77777777">
      <w:pPr>
        <w:pStyle w:val="BodyText"/>
      </w:pPr>
    </w:p>
    <w:p w:rsidR="00BD1BF2" w14:paraId="5C7189B4"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D66B14" w:rsidRPr="00E97483" w:rsidP="00D66B14" w14:paraId="0ABCAD37" w14:textId="77777777">
      <w:pPr>
        <w:widowControl w:val="0"/>
        <w:tabs>
          <w:tab w:val="left" w:pos="540"/>
        </w:tabs>
        <w:rPr>
          <w:rFonts w:ascii="Arial" w:hAnsi="Arial" w:cs="Arial"/>
          <w:sz w:val="20"/>
          <w:szCs w:val="20"/>
        </w:rPr>
      </w:pPr>
      <w:r w:rsidRPr="00E97483">
        <w:rPr>
          <w:rFonts w:ascii="Arial" w:hAnsi="Arial" w:cs="Arial"/>
          <w:sz w:val="20"/>
          <w:szCs w:val="20"/>
        </w:rPr>
        <w:t xml:space="preserve">Not Applicable. </w:t>
      </w:r>
    </w:p>
    <w:p w:rsidR="00D66B14" w14:paraId="034DBCE6" w14:textId="77777777">
      <w:pPr>
        <w:pStyle w:val="BodyText"/>
      </w:pPr>
    </w:p>
    <w:p w:rsidR="00BD1BF2" w14:paraId="58547395"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702525" w:rsidRPr="00702525" w14:paraId="57CE6681" w14:textId="62C50606">
      <w:pPr>
        <w:pStyle w:val="NormalWeb"/>
        <w:rPr>
          <w:rFonts w:ascii="Arial" w:hAnsi="Arial" w:cs="Arial"/>
          <w:sz w:val="20"/>
          <w:szCs w:val="20"/>
        </w:rPr>
      </w:pPr>
      <w:r>
        <w:rPr>
          <w:rFonts w:ascii="Arial" w:hAnsi="Arial" w:cs="Arial"/>
          <w:sz w:val="20"/>
          <w:szCs w:val="20"/>
        </w:rPr>
        <w:t>Not Applicable.</w:t>
      </w:r>
    </w:p>
    <w:p w:rsidR="00BD1BF2" w:rsidP="009F69EA" w14:paraId="7425DDB9" w14:textId="5A233D8F">
      <w:pPr>
        <w:widowControl w:val="0"/>
        <w:tabs>
          <w:tab w:val="left" w:pos="540"/>
        </w:tabs>
        <w:rPr>
          <w:color w:val="FF000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85405" w:rsidP="00085405" w14:paraId="346E7D87" w14:textId="77777777">
      <w:r>
        <w:separator/>
      </w:r>
    </w:p>
  </w:footnote>
  <w:footnote w:type="continuationSeparator" w:id="1">
    <w:p w:rsidR="00085405" w:rsidP="00085405" w14:paraId="671379AD" w14:textId="77777777">
      <w:r>
        <w:continuationSeparator/>
      </w:r>
    </w:p>
  </w:footnote>
  <w:footnote w:id="2">
    <w:p w:rsidR="00085405" w14:paraId="5EF71180" w14:textId="1C77EC10">
      <w:pPr>
        <w:pStyle w:val="FootnoteText"/>
      </w:pPr>
      <w:r>
        <w:rPr>
          <w:rStyle w:val="FootnoteReference"/>
        </w:rPr>
        <w:footnoteRef/>
      </w:r>
      <w:r>
        <w:t xml:space="preserve"> The hourly wage rate is from 2024 OPM Pay Scale.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47E1C"/>
    <w:rsid w:val="00067393"/>
    <w:rsid w:val="00077252"/>
    <w:rsid w:val="00085405"/>
    <w:rsid w:val="000A12C0"/>
    <w:rsid w:val="000E0985"/>
    <w:rsid w:val="000F1750"/>
    <w:rsid w:val="001270D6"/>
    <w:rsid w:val="00160445"/>
    <w:rsid w:val="00232C77"/>
    <w:rsid w:val="002902B2"/>
    <w:rsid w:val="004C0B75"/>
    <w:rsid w:val="004D72BB"/>
    <w:rsid w:val="00563229"/>
    <w:rsid w:val="00596A2B"/>
    <w:rsid w:val="005E7BB6"/>
    <w:rsid w:val="00663648"/>
    <w:rsid w:val="006F2BF6"/>
    <w:rsid w:val="00702525"/>
    <w:rsid w:val="0072096A"/>
    <w:rsid w:val="007249FD"/>
    <w:rsid w:val="008F4761"/>
    <w:rsid w:val="009462CD"/>
    <w:rsid w:val="009C5B27"/>
    <w:rsid w:val="009F69EA"/>
    <w:rsid w:val="00A67626"/>
    <w:rsid w:val="00B034BE"/>
    <w:rsid w:val="00B71207"/>
    <w:rsid w:val="00BD1BF2"/>
    <w:rsid w:val="00C576B6"/>
    <w:rsid w:val="00C63932"/>
    <w:rsid w:val="00D5155D"/>
    <w:rsid w:val="00D66B14"/>
    <w:rsid w:val="00D87B95"/>
    <w:rsid w:val="00DA3A00"/>
    <w:rsid w:val="00E54F14"/>
    <w:rsid w:val="00E97483"/>
    <w:rsid w:val="00EA4270"/>
    <w:rsid w:val="00FA4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8C2FF8"/>
  <w15:chartTrackingRefBased/>
  <w15:docId w15:val="{59397A89-B100-4F01-B66E-9D6A40B0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Revision">
    <w:name w:val="Revision"/>
    <w:hidden/>
    <w:uiPriority w:val="99"/>
    <w:semiHidden/>
    <w:rsid w:val="009462CD"/>
    <w:rPr>
      <w:sz w:val="24"/>
      <w:szCs w:val="24"/>
    </w:rPr>
  </w:style>
  <w:style w:type="character" w:styleId="CommentReference">
    <w:name w:val="annotation reference"/>
    <w:rsid w:val="00596A2B"/>
    <w:rPr>
      <w:sz w:val="16"/>
      <w:szCs w:val="16"/>
    </w:rPr>
  </w:style>
  <w:style w:type="paragraph" w:styleId="CommentText">
    <w:name w:val="annotation text"/>
    <w:basedOn w:val="Normal"/>
    <w:link w:val="CommentTextChar"/>
    <w:rsid w:val="00596A2B"/>
    <w:rPr>
      <w:sz w:val="20"/>
      <w:szCs w:val="20"/>
    </w:rPr>
  </w:style>
  <w:style w:type="character" w:customStyle="1" w:styleId="CommentTextChar">
    <w:name w:val="Comment Text Char"/>
    <w:basedOn w:val="DefaultParagraphFont"/>
    <w:link w:val="CommentText"/>
    <w:rsid w:val="00596A2B"/>
  </w:style>
  <w:style w:type="paragraph" w:styleId="CommentSubject">
    <w:name w:val="annotation subject"/>
    <w:basedOn w:val="CommentText"/>
    <w:next w:val="CommentText"/>
    <w:link w:val="CommentSubjectChar"/>
    <w:rsid w:val="00596A2B"/>
    <w:rPr>
      <w:b/>
      <w:bCs/>
    </w:rPr>
  </w:style>
  <w:style w:type="character" w:customStyle="1" w:styleId="CommentSubjectChar">
    <w:name w:val="Comment Subject Char"/>
    <w:link w:val="CommentSubject"/>
    <w:rsid w:val="00596A2B"/>
    <w:rPr>
      <w:b/>
      <w:bCs/>
    </w:rPr>
  </w:style>
  <w:style w:type="table" w:styleId="TableGrid">
    <w:name w:val="Table Grid"/>
    <w:basedOn w:val="TableNormal"/>
    <w:rsid w:val="00DA3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85405"/>
    <w:rPr>
      <w:sz w:val="20"/>
      <w:szCs w:val="20"/>
    </w:rPr>
  </w:style>
  <w:style w:type="character" w:customStyle="1" w:styleId="FootnoteTextChar">
    <w:name w:val="Footnote Text Char"/>
    <w:basedOn w:val="DefaultParagraphFont"/>
    <w:link w:val="FootnoteText"/>
    <w:rsid w:val="00085405"/>
  </w:style>
  <w:style w:type="character" w:styleId="FootnoteReference">
    <w:name w:val="footnote reference"/>
    <w:basedOn w:val="DefaultParagraphFont"/>
    <w:rsid w:val="00085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highways.dot.gov/safety/RwD/reduce-crash-severity/hardware-eligibility-letters?combine=&amp;field_hardware_type_target_id=6411&amp;field_date_value=&amp;field_date_value_1=" TargetMode="External" /><Relationship Id="rId6" Type="http://schemas.openxmlformats.org/officeDocument/2006/relationships/hyperlink" Target="https://safety.fhwa.dot.gov/roadway_dept/countermeasures/reduce_crash_severity/elig_process.cfm" TargetMode="External" /><Relationship Id="rId7" Type="http://schemas.openxmlformats.org/officeDocument/2006/relationships/hyperlink" Target="mailto:fhwaeligibilityinbox@dot.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2021</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4</cp:revision>
  <dcterms:created xsi:type="dcterms:W3CDTF">2024-07-09T18:22:00Z</dcterms:created>
  <dcterms:modified xsi:type="dcterms:W3CDTF">2024-07-19T13:50:00Z</dcterms:modified>
</cp:coreProperties>
</file>