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332B1" w:rsidR="002332B1" w:rsidP="002332B1" w:rsidRDefault="002332B1" w14:paraId="19E91BAB" w14:textId="4881136C">
      <w:pPr>
        <w:shd w:val="clear" w:color="auto" w:fill="FFFFFF"/>
        <w:spacing w:before="300" w:after="150" w:line="240" w:lineRule="auto"/>
        <w:outlineLvl w:val="0"/>
        <w:rPr>
          <w:rFonts w:ascii="Times New Roman" w:hAnsi="Times New Roman" w:eastAsia="Times New Roman" w:cs="Times New Roman"/>
          <w:kern w:val="36"/>
          <w:sz w:val="24"/>
          <w:szCs w:val="24"/>
        </w:rPr>
      </w:pPr>
      <w:r w:rsidRPr="002332B1">
        <w:rPr>
          <w:rFonts w:ascii="Times New Roman" w:hAnsi="Times New Roman" w:eastAsia="Times New Roman" w:cs="Times New Roman"/>
          <w:kern w:val="36"/>
          <w:sz w:val="24"/>
          <w:szCs w:val="24"/>
        </w:rPr>
        <w:t>49 CFR § 381.400</w:t>
      </w:r>
    </w:p>
    <w:p w:rsidRPr="002332B1" w:rsidR="002332B1" w:rsidP="002332B1" w:rsidRDefault="002332B1" w14:paraId="575A4A33" w14:textId="77777777">
      <w:pPr>
        <w:shd w:val="clear" w:color="auto" w:fill="FFFFFF"/>
        <w:spacing w:after="0" w:line="240" w:lineRule="auto"/>
        <w:rPr>
          <w:rFonts w:ascii="Times New Roman" w:hAnsi="Times New Roman" w:eastAsia="Times New Roman" w:cs="Times New Roman"/>
          <w:b/>
          <w:bCs/>
          <w:sz w:val="24"/>
          <w:szCs w:val="24"/>
        </w:rPr>
      </w:pPr>
      <w:r w:rsidRPr="002332B1">
        <w:rPr>
          <w:rFonts w:ascii="Times New Roman" w:hAnsi="Times New Roman" w:eastAsia="Times New Roman" w:cs="Times New Roman"/>
          <w:b/>
          <w:bCs/>
          <w:sz w:val="24"/>
          <w:szCs w:val="24"/>
        </w:rPr>
        <w:t>§ 381.400 What is a pilot program?</w:t>
      </w:r>
    </w:p>
    <w:p w:rsidRPr="002332B1" w:rsidR="002332B1" w:rsidP="002332B1" w:rsidRDefault="002332B1" w14:paraId="3DDD6071" w14:textId="77777777">
      <w:pPr>
        <w:shd w:val="clear" w:color="auto" w:fill="FFFFFF"/>
        <w:spacing w:before="150" w:after="150" w:line="240" w:lineRule="auto"/>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(a)</w:t>
      </w:r>
      <w:r w:rsidRPr="002332B1">
        <w:rPr>
          <w:rFonts w:ascii="Times New Roman" w:hAnsi="Times New Roman" w:eastAsia="Times New Roman" w:cs="Times New Roman"/>
          <w:sz w:val="24"/>
          <w:szCs w:val="24"/>
        </w:rPr>
        <w:t> A pilot program is a study in which temporary regulatory relief from one or more FMCSR is given to a </w:t>
      </w:r>
      <w:hyperlink w:history="1" r:id="rId8">
        <w:r w:rsidRPr="002332B1">
          <w:rPr>
            <w:rFonts w:ascii="Times New Roman" w:hAnsi="Times New Roman" w:eastAsia="Times New Roman" w:cs="Times New Roman"/>
            <w:sz w:val="24"/>
            <w:szCs w:val="24"/>
          </w:rPr>
          <w:t>person</w:t>
        </w:r>
      </w:hyperlink>
      <w:r w:rsidRPr="002332B1">
        <w:rPr>
          <w:rFonts w:ascii="Times New Roman" w:hAnsi="Times New Roman" w:eastAsia="Times New Roman" w:cs="Times New Roman"/>
          <w:sz w:val="24"/>
          <w:szCs w:val="24"/>
        </w:rPr>
        <w:t> or class of </w:t>
      </w:r>
      <w:hyperlink w:history="1" r:id="rId9">
        <w:r w:rsidRPr="002332B1">
          <w:rPr>
            <w:rFonts w:ascii="Times New Roman" w:hAnsi="Times New Roman" w:eastAsia="Times New Roman" w:cs="Times New Roman"/>
            <w:sz w:val="24"/>
            <w:szCs w:val="24"/>
          </w:rPr>
          <w:t>persons</w:t>
        </w:r>
      </w:hyperlink>
      <w:r w:rsidRPr="002332B1">
        <w:rPr>
          <w:rFonts w:ascii="Times New Roman" w:hAnsi="Times New Roman" w:eastAsia="Times New Roman" w:cs="Times New Roman"/>
          <w:sz w:val="24"/>
          <w:szCs w:val="24"/>
        </w:rPr>
        <w:t> subject to the regulations, or a </w:t>
      </w:r>
      <w:hyperlink w:history="1" r:id="rId10">
        <w:r w:rsidRPr="002332B1">
          <w:rPr>
            <w:rFonts w:ascii="Times New Roman" w:hAnsi="Times New Roman" w:eastAsia="Times New Roman" w:cs="Times New Roman"/>
            <w:sz w:val="24"/>
            <w:szCs w:val="24"/>
          </w:rPr>
          <w:t>person</w:t>
        </w:r>
      </w:hyperlink>
      <w:r w:rsidRPr="002332B1">
        <w:rPr>
          <w:rFonts w:ascii="Times New Roman" w:hAnsi="Times New Roman" w:eastAsia="Times New Roman" w:cs="Times New Roman"/>
          <w:sz w:val="24"/>
          <w:szCs w:val="24"/>
        </w:rPr>
        <w:t> or class of </w:t>
      </w:r>
      <w:hyperlink w:history="1" r:id="rId11">
        <w:r w:rsidRPr="002332B1">
          <w:rPr>
            <w:rFonts w:ascii="Times New Roman" w:hAnsi="Times New Roman" w:eastAsia="Times New Roman" w:cs="Times New Roman"/>
            <w:sz w:val="24"/>
            <w:szCs w:val="24"/>
          </w:rPr>
          <w:t>persons</w:t>
        </w:r>
      </w:hyperlink>
      <w:r w:rsidRPr="002332B1">
        <w:rPr>
          <w:rFonts w:ascii="Times New Roman" w:hAnsi="Times New Roman" w:eastAsia="Times New Roman" w:cs="Times New Roman"/>
          <w:sz w:val="24"/>
          <w:szCs w:val="24"/>
        </w:rPr>
        <w:t> who intend to engage in an activity that would be subject to the regulations.</w:t>
      </w:r>
    </w:p>
    <w:p w:rsidRPr="002332B1" w:rsidR="002332B1" w:rsidP="002332B1" w:rsidRDefault="002332B1" w14:paraId="70C9A7B0" w14:textId="77777777">
      <w:pPr>
        <w:shd w:val="clear" w:color="auto" w:fill="FFFFFF"/>
        <w:spacing w:before="150" w:after="150" w:line="240" w:lineRule="auto"/>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(b)</w:t>
      </w:r>
      <w:r w:rsidRPr="002332B1">
        <w:rPr>
          <w:rFonts w:ascii="Times New Roman" w:hAnsi="Times New Roman" w:eastAsia="Times New Roman" w:cs="Times New Roman"/>
          <w:sz w:val="24"/>
          <w:szCs w:val="24"/>
        </w:rPr>
        <w:t> During a pilot program, the participants would be given an exemption from one or more sections or parts of the regulations for a period of up to three years.</w:t>
      </w:r>
    </w:p>
    <w:p w:rsidRPr="002332B1" w:rsidR="002332B1" w:rsidP="002332B1" w:rsidRDefault="002332B1" w14:paraId="03330693" w14:textId="77777777">
      <w:pPr>
        <w:shd w:val="clear" w:color="auto" w:fill="FFFFFF"/>
        <w:spacing w:before="150" w:after="150" w:line="240" w:lineRule="auto"/>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(c)</w:t>
      </w:r>
      <w:r w:rsidRPr="002332B1">
        <w:rPr>
          <w:rFonts w:ascii="Times New Roman" w:hAnsi="Times New Roman" w:eastAsia="Times New Roman" w:cs="Times New Roman"/>
          <w:sz w:val="24"/>
          <w:szCs w:val="24"/>
        </w:rPr>
        <w:t> A pilot program is intended for use in collecting specific data for evaluating alternatives to the regulations or innovative approaches to safety while ensuring that the safety performance goals of the regulations are satisfied.</w:t>
      </w:r>
    </w:p>
    <w:p w:rsidRPr="002332B1" w:rsidR="002332B1" w:rsidP="002332B1" w:rsidRDefault="002332B1" w14:paraId="578FDDCA" w14:textId="77777777">
      <w:pPr>
        <w:shd w:val="clear" w:color="auto" w:fill="FFFFFF"/>
        <w:spacing w:before="150" w:after="150" w:line="240" w:lineRule="auto"/>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(d)</w:t>
      </w:r>
      <w:r w:rsidRPr="002332B1">
        <w:rPr>
          <w:rFonts w:ascii="Times New Roman" w:hAnsi="Times New Roman" w:eastAsia="Times New Roman" w:cs="Times New Roman"/>
          <w:sz w:val="24"/>
          <w:szCs w:val="24"/>
        </w:rPr>
        <w:t> The number of participants in the pilot program must be large enough to ensure statistically valid findings.</w:t>
      </w:r>
    </w:p>
    <w:p w:rsidRPr="002332B1" w:rsidR="002332B1" w:rsidP="002332B1" w:rsidRDefault="002332B1" w14:paraId="453C648D" w14:textId="77777777">
      <w:pPr>
        <w:shd w:val="clear" w:color="auto" w:fill="FFFFFF"/>
        <w:spacing w:before="150" w:after="150" w:line="240" w:lineRule="auto"/>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(e)</w:t>
      </w:r>
      <w:r w:rsidRPr="002332B1">
        <w:rPr>
          <w:rFonts w:ascii="Times New Roman" w:hAnsi="Times New Roman" w:eastAsia="Times New Roman" w:cs="Times New Roman"/>
          <w:sz w:val="24"/>
          <w:szCs w:val="24"/>
        </w:rPr>
        <w:t xml:space="preserve"> Pilot programs must include an oversight plan to ensure that participants comply with the terms and conditions of participation, and procedures to protect the health and safety of study participants and the </w:t>
      </w:r>
      <w:proofErr w:type="gramStart"/>
      <w:r w:rsidRPr="002332B1">
        <w:rPr>
          <w:rFonts w:ascii="Times New Roman" w:hAnsi="Times New Roman" w:eastAsia="Times New Roman" w:cs="Times New Roman"/>
          <w:sz w:val="24"/>
          <w:szCs w:val="24"/>
        </w:rPr>
        <w:t>general public</w:t>
      </w:r>
      <w:proofErr w:type="gramEnd"/>
      <w:r w:rsidRPr="002332B1">
        <w:rPr>
          <w:rFonts w:ascii="Times New Roman" w:hAnsi="Times New Roman" w:eastAsia="Times New Roman" w:cs="Times New Roman"/>
          <w:sz w:val="24"/>
          <w:szCs w:val="24"/>
        </w:rPr>
        <w:t>.</w:t>
      </w:r>
    </w:p>
    <w:p w:rsidRPr="002332B1" w:rsidR="002332B1" w:rsidP="002332B1" w:rsidRDefault="002332B1" w14:paraId="38EA61B8" w14:textId="77777777">
      <w:pPr>
        <w:shd w:val="clear" w:color="auto" w:fill="FFFFFF"/>
        <w:spacing w:before="150" w:after="150" w:line="240" w:lineRule="auto"/>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(f)</w:t>
      </w:r>
      <w:r w:rsidRPr="002332B1">
        <w:rPr>
          <w:rFonts w:ascii="Times New Roman" w:hAnsi="Times New Roman" w:eastAsia="Times New Roman" w:cs="Times New Roman"/>
          <w:sz w:val="24"/>
          <w:szCs w:val="24"/>
        </w:rPr>
        <w:t> Exemptions for pilot programs may be granted only from one or more of the requirements contained in the following parts and sections of the FMCSRs:</w:t>
      </w:r>
    </w:p>
    <w:p w:rsidRPr="002332B1" w:rsidR="002332B1" w:rsidP="002332B1" w:rsidRDefault="002332B1" w14:paraId="12B3AA49"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(1)</w:t>
      </w:r>
      <w:r w:rsidRPr="002332B1">
        <w:rPr>
          <w:rFonts w:ascii="Times New Roman" w:hAnsi="Times New Roman" w:eastAsia="Times New Roman" w:cs="Times New Roman"/>
          <w:sz w:val="24"/>
          <w:szCs w:val="24"/>
        </w:rPr>
        <w:t xml:space="preserve"> Part 380 - Special Training </w:t>
      </w:r>
      <w:proofErr w:type="gramStart"/>
      <w:r w:rsidRPr="002332B1">
        <w:rPr>
          <w:rFonts w:ascii="Times New Roman" w:hAnsi="Times New Roman" w:eastAsia="Times New Roman" w:cs="Times New Roman"/>
          <w:sz w:val="24"/>
          <w:szCs w:val="24"/>
        </w:rPr>
        <w:t>Requirements;</w:t>
      </w:r>
      <w:proofErr w:type="gramEnd"/>
    </w:p>
    <w:p w:rsidRPr="002332B1" w:rsidR="002332B1" w:rsidP="002332B1" w:rsidRDefault="002332B1" w14:paraId="11986F37"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(2)</w:t>
      </w:r>
      <w:r w:rsidRPr="002332B1">
        <w:rPr>
          <w:rFonts w:ascii="Times New Roman" w:hAnsi="Times New Roman" w:eastAsia="Times New Roman" w:cs="Times New Roman"/>
          <w:sz w:val="24"/>
          <w:szCs w:val="24"/>
        </w:rPr>
        <w:t xml:space="preserve"> Part 382 - Controlled Substances and Alcohol Use and </w:t>
      </w:r>
      <w:proofErr w:type="gramStart"/>
      <w:r w:rsidRPr="002332B1">
        <w:rPr>
          <w:rFonts w:ascii="Times New Roman" w:hAnsi="Times New Roman" w:eastAsia="Times New Roman" w:cs="Times New Roman"/>
          <w:sz w:val="24"/>
          <w:szCs w:val="24"/>
        </w:rPr>
        <w:t>Testing;</w:t>
      </w:r>
      <w:proofErr w:type="gramEnd"/>
    </w:p>
    <w:p w:rsidRPr="002332B1" w:rsidR="002332B1" w:rsidP="002332B1" w:rsidRDefault="002332B1" w14:paraId="1FEF4967"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(3)</w:t>
      </w:r>
      <w:r w:rsidRPr="002332B1">
        <w:rPr>
          <w:rFonts w:ascii="Times New Roman" w:hAnsi="Times New Roman" w:eastAsia="Times New Roman" w:cs="Times New Roman"/>
          <w:sz w:val="24"/>
          <w:szCs w:val="24"/>
        </w:rPr>
        <w:t> Part 383 - Commercial </w:t>
      </w:r>
      <w:hyperlink w:history="1" r:id="rId12">
        <w:r w:rsidRPr="002332B1">
          <w:rPr>
            <w:rFonts w:ascii="Times New Roman" w:hAnsi="Times New Roman" w:eastAsia="Times New Roman" w:cs="Times New Roman"/>
            <w:sz w:val="24"/>
            <w:szCs w:val="24"/>
          </w:rPr>
          <w:t>Driver</w:t>
        </w:r>
      </w:hyperlink>
      <w:r w:rsidRPr="002332B1">
        <w:rPr>
          <w:rFonts w:ascii="Times New Roman" w:hAnsi="Times New Roman" w:eastAsia="Times New Roman" w:cs="Times New Roman"/>
          <w:sz w:val="24"/>
          <w:szCs w:val="24"/>
        </w:rPr>
        <w:t>'s License Standards; Requirements and Penalties;</w:t>
      </w:r>
    </w:p>
    <w:p w:rsidRPr="002332B1" w:rsidR="002332B1" w:rsidP="002332B1" w:rsidRDefault="002332B1" w14:paraId="39DFC5A4"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(4)</w:t>
      </w:r>
      <w:r w:rsidRPr="002332B1">
        <w:rPr>
          <w:rFonts w:ascii="Times New Roman" w:hAnsi="Times New Roman" w:eastAsia="Times New Roman" w:cs="Times New Roman"/>
          <w:sz w:val="24"/>
          <w:szCs w:val="24"/>
        </w:rPr>
        <w:t> Part 384 - </w:t>
      </w:r>
      <w:hyperlink w:history="1" r:id="rId13">
        <w:r w:rsidRPr="002332B1">
          <w:rPr>
            <w:rFonts w:ascii="Times New Roman" w:hAnsi="Times New Roman" w:eastAsia="Times New Roman" w:cs="Times New Roman"/>
            <w:sz w:val="24"/>
            <w:szCs w:val="24"/>
          </w:rPr>
          <w:t>State</w:t>
        </w:r>
      </w:hyperlink>
      <w:r w:rsidRPr="002332B1">
        <w:rPr>
          <w:rFonts w:ascii="Times New Roman" w:hAnsi="Times New Roman" w:eastAsia="Times New Roman" w:cs="Times New Roman"/>
          <w:sz w:val="24"/>
          <w:szCs w:val="24"/>
        </w:rPr>
        <w:t> Compliance with Commercial </w:t>
      </w:r>
      <w:hyperlink w:history="1" r:id="rId14">
        <w:r w:rsidRPr="002332B1">
          <w:rPr>
            <w:rFonts w:ascii="Times New Roman" w:hAnsi="Times New Roman" w:eastAsia="Times New Roman" w:cs="Times New Roman"/>
            <w:sz w:val="24"/>
            <w:szCs w:val="24"/>
          </w:rPr>
          <w:t>Driver</w:t>
        </w:r>
      </w:hyperlink>
      <w:r w:rsidRPr="002332B1">
        <w:rPr>
          <w:rFonts w:ascii="Times New Roman" w:hAnsi="Times New Roman" w:eastAsia="Times New Roman" w:cs="Times New Roman"/>
          <w:sz w:val="24"/>
          <w:szCs w:val="24"/>
        </w:rPr>
        <w:t>'s License Program;</w:t>
      </w:r>
    </w:p>
    <w:p w:rsidRPr="002332B1" w:rsidR="002332B1" w:rsidP="002332B1" w:rsidRDefault="002332B1" w14:paraId="58ADFA85"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(5)</w:t>
      </w:r>
      <w:r w:rsidRPr="002332B1">
        <w:rPr>
          <w:rFonts w:ascii="Times New Roman" w:hAnsi="Times New Roman" w:eastAsia="Times New Roman" w:cs="Times New Roman"/>
          <w:sz w:val="24"/>
          <w:szCs w:val="24"/>
        </w:rPr>
        <w:t xml:space="preserve"> Part 391 - Qualifications of </w:t>
      </w:r>
      <w:proofErr w:type="gramStart"/>
      <w:r w:rsidRPr="002332B1">
        <w:rPr>
          <w:rFonts w:ascii="Times New Roman" w:hAnsi="Times New Roman" w:eastAsia="Times New Roman" w:cs="Times New Roman"/>
          <w:sz w:val="24"/>
          <w:szCs w:val="24"/>
        </w:rPr>
        <w:t>Drivers;</w:t>
      </w:r>
      <w:proofErr w:type="gramEnd"/>
    </w:p>
    <w:p w:rsidRPr="002332B1" w:rsidR="002332B1" w:rsidP="002332B1" w:rsidRDefault="002332B1" w14:paraId="2570A745"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(6)</w:t>
      </w:r>
      <w:r w:rsidRPr="002332B1">
        <w:rPr>
          <w:rFonts w:ascii="Times New Roman" w:hAnsi="Times New Roman" w:eastAsia="Times New Roman" w:cs="Times New Roman"/>
          <w:sz w:val="24"/>
          <w:szCs w:val="24"/>
        </w:rPr>
        <w:t xml:space="preserve"> Part 392 - Driving of Commercial Motor </w:t>
      </w:r>
      <w:proofErr w:type="gramStart"/>
      <w:r w:rsidRPr="002332B1">
        <w:rPr>
          <w:rFonts w:ascii="Times New Roman" w:hAnsi="Times New Roman" w:eastAsia="Times New Roman" w:cs="Times New Roman"/>
          <w:sz w:val="24"/>
          <w:szCs w:val="24"/>
        </w:rPr>
        <w:t>Vehicles;</w:t>
      </w:r>
      <w:proofErr w:type="gramEnd"/>
    </w:p>
    <w:p w:rsidRPr="002332B1" w:rsidR="002332B1" w:rsidP="002332B1" w:rsidRDefault="002332B1" w14:paraId="6DCDCB92"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(7)</w:t>
      </w:r>
      <w:r w:rsidRPr="002332B1">
        <w:rPr>
          <w:rFonts w:ascii="Times New Roman" w:hAnsi="Times New Roman" w:eastAsia="Times New Roman" w:cs="Times New Roman"/>
          <w:sz w:val="24"/>
          <w:szCs w:val="24"/>
        </w:rPr>
        <w:t xml:space="preserve"> Part 393 - Parts and Accessories Necessary for Safe </w:t>
      </w:r>
      <w:proofErr w:type="gramStart"/>
      <w:r w:rsidRPr="002332B1">
        <w:rPr>
          <w:rFonts w:ascii="Times New Roman" w:hAnsi="Times New Roman" w:eastAsia="Times New Roman" w:cs="Times New Roman"/>
          <w:sz w:val="24"/>
          <w:szCs w:val="24"/>
        </w:rPr>
        <w:t>Operation;</w:t>
      </w:r>
      <w:proofErr w:type="gramEnd"/>
    </w:p>
    <w:p w:rsidRPr="002332B1" w:rsidR="002332B1" w:rsidP="002332B1" w:rsidRDefault="002332B1" w14:paraId="0B078126"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(8)</w:t>
      </w:r>
      <w:r w:rsidRPr="002332B1">
        <w:rPr>
          <w:rFonts w:ascii="Times New Roman" w:hAnsi="Times New Roman" w:eastAsia="Times New Roman" w:cs="Times New Roman"/>
          <w:sz w:val="24"/>
          <w:szCs w:val="24"/>
        </w:rPr>
        <w:t xml:space="preserve"> Part 395 - Hours of Service of </w:t>
      </w:r>
      <w:proofErr w:type="gramStart"/>
      <w:r w:rsidRPr="002332B1">
        <w:rPr>
          <w:rFonts w:ascii="Times New Roman" w:hAnsi="Times New Roman" w:eastAsia="Times New Roman" w:cs="Times New Roman"/>
          <w:sz w:val="24"/>
          <w:szCs w:val="24"/>
        </w:rPr>
        <w:t>Drivers;</w:t>
      </w:r>
      <w:proofErr w:type="gramEnd"/>
    </w:p>
    <w:p w:rsidRPr="002332B1" w:rsidR="002332B1" w:rsidP="002332B1" w:rsidRDefault="002332B1" w14:paraId="39F251DE"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(9)</w:t>
      </w:r>
      <w:r w:rsidRPr="002332B1">
        <w:rPr>
          <w:rFonts w:ascii="Times New Roman" w:hAnsi="Times New Roman" w:eastAsia="Times New Roman" w:cs="Times New Roman"/>
          <w:sz w:val="24"/>
          <w:szCs w:val="24"/>
        </w:rPr>
        <w:t> Part 396 - Inspection, Repair, and Maintenance (except for </w:t>
      </w:r>
      <w:hyperlink w:history="1" r:id="rId15">
        <w:r w:rsidRPr="002332B1">
          <w:rPr>
            <w:rFonts w:ascii="Times New Roman" w:hAnsi="Times New Roman" w:eastAsia="Times New Roman" w:cs="Times New Roman"/>
            <w:sz w:val="24"/>
            <w:szCs w:val="24"/>
          </w:rPr>
          <w:t>§ 396.25</w:t>
        </w:r>
      </w:hyperlink>
      <w:r w:rsidRPr="002332B1">
        <w:rPr>
          <w:rFonts w:ascii="Times New Roman" w:hAnsi="Times New Roman" w:eastAsia="Times New Roman" w:cs="Times New Roman"/>
          <w:sz w:val="24"/>
          <w:szCs w:val="24"/>
        </w:rPr>
        <w:t>); and</w:t>
      </w:r>
    </w:p>
    <w:p w:rsidRPr="002332B1" w:rsidR="002332B1" w:rsidP="002332B1" w:rsidRDefault="002332B1" w14:paraId="203B7AEE" w14:textId="77777777">
      <w:pPr>
        <w:shd w:val="clear" w:color="auto" w:fill="FFFFFF"/>
        <w:spacing w:after="150" w:line="240" w:lineRule="auto"/>
        <w:ind w:left="240"/>
        <w:rPr>
          <w:rFonts w:ascii="Times New Roman" w:hAnsi="Times New Roman" w:eastAsia="Times New Roman" w:cs="Times New Roman"/>
          <w:sz w:val="24"/>
          <w:szCs w:val="24"/>
        </w:rPr>
      </w:pPr>
      <w:r w:rsidRPr="002332B1">
        <w:rPr>
          <w:rFonts w:ascii="Times New Roman" w:hAnsi="Times New Roman" w:eastAsia="Times New Roman" w:cs="Times New Roman"/>
          <w:b/>
          <w:bCs/>
          <w:sz w:val="24"/>
          <w:szCs w:val="24"/>
        </w:rPr>
        <w:t>(10)</w:t>
      </w:r>
      <w:r w:rsidRPr="002332B1">
        <w:rPr>
          <w:rFonts w:ascii="Times New Roman" w:hAnsi="Times New Roman" w:eastAsia="Times New Roman" w:cs="Times New Roman"/>
          <w:sz w:val="24"/>
          <w:szCs w:val="24"/>
        </w:rPr>
        <w:t> Part 399 - Step, Handhold and Deck Requirements.</w:t>
      </w:r>
    </w:p>
    <w:p w:rsidRPr="002332B1" w:rsidR="002332B1" w:rsidP="002332B1" w:rsidRDefault="002332B1" w14:paraId="24E7C8AA" w14:textId="77777777">
      <w:pPr>
        <w:shd w:val="clear" w:color="auto" w:fill="FFFFFF"/>
        <w:spacing w:after="60" w:line="240" w:lineRule="auto"/>
        <w:rPr>
          <w:rFonts w:ascii="Times New Roman" w:hAnsi="Times New Roman" w:eastAsia="Times New Roman" w:cs="Times New Roman"/>
          <w:sz w:val="24"/>
          <w:szCs w:val="24"/>
        </w:rPr>
      </w:pPr>
      <w:r w:rsidRPr="002332B1">
        <w:rPr>
          <w:rFonts w:ascii="Times New Roman" w:hAnsi="Times New Roman" w:eastAsia="Times New Roman" w:cs="Times New Roman"/>
          <w:sz w:val="24"/>
          <w:szCs w:val="24"/>
        </w:rPr>
        <w:t>[</w:t>
      </w:r>
      <w:hyperlink w:history="1" r:id="rId16">
        <w:r w:rsidRPr="002332B1">
          <w:rPr>
            <w:rFonts w:ascii="Times New Roman" w:hAnsi="Times New Roman" w:eastAsia="Times New Roman" w:cs="Times New Roman"/>
            <w:sz w:val="24"/>
            <w:szCs w:val="24"/>
          </w:rPr>
          <w:t>63 FR 67608</w:t>
        </w:r>
      </w:hyperlink>
      <w:r w:rsidRPr="002332B1">
        <w:rPr>
          <w:rFonts w:ascii="Times New Roman" w:hAnsi="Times New Roman" w:eastAsia="Times New Roman" w:cs="Times New Roman"/>
          <w:sz w:val="24"/>
          <w:szCs w:val="24"/>
        </w:rPr>
        <w:t>, Dec. 8, 1998, as amended at </w:t>
      </w:r>
      <w:hyperlink w:history="1" r:id="rId17">
        <w:r w:rsidRPr="002332B1">
          <w:rPr>
            <w:rFonts w:ascii="Times New Roman" w:hAnsi="Times New Roman" w:eastAsia="Times New Roman" w:cs="Times New Roman"/>
            <w:sz w:val="24"/>
            <w:szCs w:val="24"/>
          </w:rPr>
          <w:t>86 FR 35639</w:t>
        </w:r>
      </w:hyperlink>
      <w:r w:rsidRPr="002332B1">
        <w:rPr>
          <w:rFonts w:ascii="Times New Roman" w:hAnsi="Times New Roman" w:eastAsia="Times New Roman" w:cs="Times New Roman"/>
          <w:sz w:val="24"/>
          <w:szCs w:val="24"/>
        </w:rPr>
        <w:t>, July 7, 2021]</w:t>
      </w:r>
    </w:p>
    <w:p w:rsidRPr="002332B1" w:rsidR="00FE507C" w:rsidRDefault="0032091F" w14:paraId="5DE1D018" w14:textId="77777777">
      <w:pPr>
        <w:rPr>
          <w:rFonts w:ascii="Times New Roman" w:hAnsi="Times New Roman" w:cs="Times New Roman"/>
          <w:sz w:val="24"/>
          <w:szCs w:val="24"/>
        </w:rPr>
      </w:pPr>
    </w:p>
    <w:sectPr w:rsidRPr="002332B1" w:rsidR="00FE50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53EF"/>
    <w:multiLevelType w:val="multilevel"/>
    <w:tmpl w:val="8CDA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B1"/>
    <w:rsid w:val="002332B1"/>
    <w:rsid w:val="0032091F"/>
    <w:rsid w:val="004011CC"/>
    <w:rsid w:val="00510ED2"/>
    <w:rsid w:val="00565294"/>
    <w:rsid w:val="005E17E3"/>
    <w:rsid w:val="006219CF"/>
    <w:rsid w:val="00B4369E"/>
    <w:rsid w:val="00C46FAB"/>
    <w:rsid w:val="00F16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7C1B1"/>
  <w15:chartTrackingRefBased/>
  <w15:docId w15:val="{8E1B498A-AB01-4483-A128-BC1F967A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332B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2B1"/>
    <w:rPr>
      <w:rFonts w:ascii="Times New Roman" w:eastAsia="Times New Roman" w:hAnsi="Times New Roman" w:cs="Times New Roman"/>
      <w:b/>
      <w:bCs/>
      <w:kern w:val="36"/>
      <w:sz w:val="48"/>
      <w:szCs w:val="48"/>
    </w:rPr>
  </w:style>
  <w:style w:type="paragraph" w:customStyle="1" w:styleId="active">
    <w:name w:val="active"/>
    <w:basedOn w:val="Normal"/>
    <w:rsid w:val="002332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32B1"/>
    <w:rPr>
      <w:color w:val="0000FF"/>
      <w:u w:val="single"/>
    </w:rPr>
  </w:style>
  <w:style w:type="paragraph" w:customStyle="1" w:styleId="psection-1">
    <w:name w:val="psection-1"/>
    <w:basedOn w:val="Normal"/>
    <w:rsid w:val="00233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2332B1"/>
  </w:style>
  <w:style w:type="paragraph" w:customStyle="1" w:styleId="psection-2">
    <w:name w:val="psection-2"/>
    <w:basedOn w:val="Normal"/>
    <w:rsid w:val="002332B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372701">
      <w:bodyDiv w:val="1"/>
      <w:marLeft w:val="0"/>
      <w:marRight w:val="0"/>
      <w:marTop w:val="0"/>
      <w:marBottom w:val="0"/>
      <w:divBdr>
        <w:top w:val="none" w:sz="0" w:space="0" w:color="auto"/>
        <w:left w:val="none" w:sz="0" w:space="0" w:color="auto"/>
        <w:bottom w:val="none" w:sz="0" w:space="0" w:color="auto"/>
        <w:right w:val="none" w:sz="0" w:space="0" w:color="auto"/>
      </w:divBdr>
      <w:divsChild>
        <w:div w:id="994842526">
          <w:marLeft w:val="0"/>
          <w:marRight w:val="0"/>
          <w:marTop w:val="0"/>
          <w:marBottom w:val="0"/>
          <w:divBdr>
            <w:top w:val="single" w:sz="6" w:space="8" w:color="EEEEEE"/>
            <w:left w:val="single" w:sz="6" w:space="8" w:color="EEEEEE"/>
            <w:bottom w:val="single" w:sz="6" w:space="8" w:color="EEEEEE"/>
            <w:right w:val="single" w:sz="6" w:space="8" w:color="EEEEEE"/>
          </w:divBdr>
          <w:divsChild>
            <w:div w:id="1325931513">
              <w:marLeft w:val="0"/>
              <w:marRight w:val="0"/>
              <w:marTop w:val="0"/>
              <w:marBottom w:val="0"/>
              <w:divBdr>
                <w:top w:val="none" w:sz="0" w:space="0" w:color="auto"/>
                <w:left w:val="none" w:sz="0" w:space="0" w:color="auto"/>
                <w:bottom w:val="none" w:sz="0" w:space="0" w:color="auto"/>
                <w:right w:val="none" w:sz="0" w:space="0" w:color="auto"/>
              </w:divBdr>
              <w:divsChild>
                <w:div w:id="1636061922">
                  <w:marLeft w:val="0"/>
                  <w:marRight w:val="0"/>
                  <w:marTop w:val="0"/>
                  <w:marBottom w:val="0"/>
                  <w:divBdr>
                    <w:top w:val="single" w:sz="6" w:space="11" w:color="EEEEEE"/>
                    <w:left w:val="none" w:sz="0" w:space="0" w:color="auto"/>
                    <w:bottom w:val="none" w:sz="0" w:space="11" w:color="auto"/>
                    <w:right w:val="none" w:sz="0" w:space="0" w:color="auto"/>
                  </w:divBdr>
                  <w:divsChild>
                    <w:div w:id="1822622292">
                      <w:marLeft w:val="0"/>
                      <w:marRight w:val="0"/>
                      <w:marTop w:val="0"/>
                      <w:marBottom w:val="0"/>
                      <w:divBdr>
                        <w:top w:val="none" w:sz="0" w:space="0" w:color="auto"/>
                        <w:left w:val="none" w:sz="0" w:space="0" w:color="auto"/>
                        <w:bottom w:val="none" w:sz="0" w:space="0" w:color="auto"/>
                        <w:right w:val="none" w:sz="0" w:space="0" w:color="auto"/>
                      </w:divBdr>
                      <w:divsChild>
                        <w:div w:id="1796942293">
                          <w:marLeft w:val="0"/>
                          <w:marRight w:val="0"/>
                          <w:marTop w:val="240"/>
                          <w:marBottom w:val="60"/>
                          <w:divBdr>
                            <w:top w:val="none" w:sz="0" w:space="0" w:color="auto"/>
                            <w:left w:val="none" w:sz="0" w:space="0" w:color="auto"/>
                            <w:bottom w:val="none" w:sz="0" w:space="0" w:color="auto"/>
                            <w:right w:val="none" w:sz="0" w:space="0" w:color="auto"/>
                          </w:divBdr>
                          <w:divsChild>
                            <w:div w:id="1541819433">
                              <w:marLeft w:val="0"/>
                              <w:marRight w:val="0"/>
                              <w:marTop w:val="0"/>
                              <w:marBottom w:val="0"/>
                              <w:divBdr>
                                <w:top w:val="none" w:sz="0" w:space="0" w:color="auto"/>
                                <w:left w:val="none" w:sz="0" w:space="0" w:color="auto"/>
                                <w:bottom w:val="none" w:sz="0" w:space="0" w:color="auto"/>
                                <w:right w:val="none" w:sz="0" w:space="0" w:color="auto"/>
                              </w:divBdr>
                              <w:divsChild>
                                <w:div w:id="1133795353">
                                  <w:marLeft w:val="0"/>
                                  <w:marRight w:val="0"/>
                                  <w:marTop w:val="0"/>
                                  <w:marBottom w:val="0"/>
                                  <w:divBdr>
                                    <w:top w:val="none" w:sz="0" w:space="0" w:color="auto"/>
                                    <w:left w:val="none" w:sz="0" w:space="0" w:color="auto"/>
                                    <w:bottom w:val="none" w:sz="0" w:space="0" w:color="auto"/>
                                    <w:right w:val="none" w:sz="0" w:space="0" w:color="auto"/>
                                  </w:divBdr>
                                </w:div>
                                <w:div w:id="17194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cornell.edu/definitions/index.php?width=840&amp;height=800&amp;iframe=true&amp;def_id=56b5df5f4e1c4e88970c5b377188462f&amp;term_occur=999&amp;term_src=Title:49:Subtitle:B:Chapter:III:Subchapter:B:Part:381:Subpart:D:381.400" TargetMode="External"/><Relationship Id="rId13" Type="http://schemas.openxmlformats.org/officeDocument/2006/relationships/hyperlink" Target="https://www.law.cornell.edu/definitions/index.php?width=840&amp;height=800&amp;iframe=true&amp;def_id=15a96cee63cfd9f1f742ac9d0b6b3783&amp;term_occur=999&amp;term_src=Title:49:Subtitle:B:Chapter:III:Subchapter:B:Part:381:Subpart:D:381.40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w.cornell.edu/definitions/index.php?width=840&amp;height=800&amp;iframe=true&amp;def_id=20a0a37c3d2ca80c127b9b73378dba6b&amp;term_occur=999&amp;term_src=Title:49:Subtitle:B:Chapter:III:Subchapter:B:Part:381:Subpart:D:381.400" TargetMode="External"/><Relationship Id="rId17" Type="http://schemas.openxmlformats.org/officeDocument/2006/relationships/hyperlink" Target="https://www.law.cornell.edu/rio/citation/86_FR_35639" TargetMode="External"/><Relationship Id="rId2" Type="http://schemas.openxmlformats.org/officeDocument/2006/relationships/customXml" Target="../customXml/item2.xml"/><Relationship Id="rId16" Type="http://schemas.openxmlformats.org/officeDocument/2006/relationships/hyperlink" Target="https://www.law.cornell.edu/rio/citation/63_FR_67608"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w.cornell.edu/definitions/index.php?width=840&amp;height=800&amp;iframe=true&amp;def_id=56b5df5f4e1c4e88970c5b377188462f&amp;term_occur=999&amp;term_src=Title:49:Subtitle:B:Chapter:III:Subchapter:B:Part:381:Subpart:D:381.400" TargetMode="External"/><Relationship Id="rId5" Type="http://schemas.openxmlformats.org/officeDocument/2006/relationships/styles" Target="styles.xml"/><Relationship Id="rId15" Type="http://schemas.openxmlformats.org/officeDocument/2006/relationships/hyperlink" Target="https://www.law.cornell.edu/cfr/text/49/396.25" TargetMode="External"/><Relationship Id="rId10" Type="http://schemas.openxmlformats.org/officeDocument/2006/relationships/hyperlink" Target="https://www.law.cornell.edu/definitions/index.php?width=840&amp;height=800&amp;iframe=true&amp;def_id=56b5df5f4e1c4e88970c5b377188462f&amp;term_occur=999&amp;term_src=Title:49:Subtitle:B:Chapter:III:Subchapter:B:Part:381:Subpart:D:381.400"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law.cornell.edu/definitions/index.php?width=840&amp;height=800&amp;iframe=true&amp;def_id=56b5df5f4e1c4e88970c5b377188462f&amp;term_occur=999&amp;term_src=Title:49:Subtitle:B:Chapter:III:Subchapter:B:Part:381:Subpart:D:381.400" TargetMode="External"/><Relationship Id="rId14" Type="http://schemas.openxmlformats.org/officeDocument/2006/relationships/hyperlink" Target="https://www.law.cornell.edu/definitions/index.php?width=840&amp;height=800&amp;iframe=true&amp;def_id=20a0a37c3d2ca80c127b9b73378dba6b&amp;term_occur=999&amp;term_src=Title:49:Subtitle:B:Chapter:III:Subchapter:B:Part:381:Subpart:D:38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0" ma:contentTypeDescription="Create a new document." ma:contentTypeScope="" ma:versionID="2ab517a169e6b38a8cc259bbb25fcfe7">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dbad9dd3c2c0d4d09f0f2080d91a2e98"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3B6547-5AAC-4164-A2D1-EBDFECDE0B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A11E1B-ADE0-4CDE-B65B-D35D71F4C0B9}">
  <ds:schemaRefs>
    <ds:schemaRef ds:uri="http://schemas.microsoft.com/sharepoint/v3/contenttype/forms"/>
  </ds:schemaRefs>
</ds:datastoreItem>
</file>

<file path=customXml/itemProps3.xml><?xml version="1.0" encoding="utf-8"?>
<ds:datastoreItem xmlns:ds="http://schemas.openxmlformats.org/officeDocument/2006/customXml" ds:itemID="{62D6596E-DDB5-4858-9002-4CC3258A8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3f2416-b220-474f-a39a-b0edae65da4f"/>
    <ds:schemaRef ds:uri="5c2dbc86-552b-4fb0-8fe2-2066762e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556</Words>
  <Characters>3175</Characters>
  <Application>Microsoft Office Word</Application>
  <DocSecurity>4</DocSecurity>
  <Lines>26</Lines>
  <Paragraphs>7</Paragraphs>
  <ScaleCrop>false</ScaleCrop>
  <Company/>
  <LinksUpToDate>false</LinksUpToDate>
  <CharactersWithSpaces>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Dykstal, Andrew CTR (FMCSA)</dc:creator>
  <cp:keywords/>
  <dc:description/>
  <cp:lastModifiedBy>Oliver, Roxane (FMCSA)</cp:lastModifiedBy>
  <cp:revision>2</cp:revision>
  <dcterms:created xsi:type="dcterms:W3CDTF">2022-01-03T20:11:00Z</dcterms:created>
  <dcterms:modified xsi:type="dcterms:W3CDTF">2022-01-03T20:11:00Z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ies>
</file>