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56819" w14:paraId="71A46B62" w14:textId="77777777">
      <w:pPr>
        <w:rPr>
          <w:sz w:val="26"/>
          <w:szCs w:val="26"/>
        </w:rPr>
      </w:pPr>
    </w:p>
    <w:p w:rsidR="00723C59" w:rsidP="00797891" w14:paraId="720A1608" w14:textId="77777777">
      <w:pPr>
        <w:jc w:val="center"/>
        <w:rPr>
          <w:b/>
          <w:bCs/>
          <w:sz w:val="26"/>
          <w:szCs w:val="26"/>
        </w:rPr>
      </w:pPr>
      <w:r>
        <w:rPr>
          <w:b/>
          <w:bCs/>
          <w:sz w:val="26"/>
          <w:szCs w:val="26"/>
        </w:rPr>
        <w:t>Department of Transportation</w:t>
      </w:r>
    </w:p>
    <w:p w:rsidR="00723C59" w:rsidP="00797891" w14:paraId="62A8336F" w14:textId="77A91612">
      <w:pPr>
        <w:jc w:val="center"/>
        <w:rPr>
          <w:sz w:val="26"/>
          <w:szCs w:val="26"/>
        </w:rPr>
      </w:pPr>
      <w:r>
        <w:rPr>
          <w:b/>
          <w:bCs/>
          <w:sz w:val="26"/>
          <w:szCs w:val="26"/>
        </w:rPr>
        <w:t>SUPPORTING STATEMENT</w:t>
      </w:r>
    </w:p>
    <w:p w:rsidR="00723C59" w:rsidP="00797891" w14:paraId="78F0846D" w14:textId="4274C632">
      <w:pPr>
        <w:jc w:val="center"/>
        <w:rPr>
          <w:sz w:val="26"/>
          <w:szCs w:val="26"/>
        </w:rPr>
      </w:pPr>
      <w:r>
        <w:rPr>
          <w:sz w:val="26"/>
          <w:szCs w:val="26"/>
        </w:rPr>
        <w:t>Report of Extension of Credit to Political Candidates (Form 183)</w:t>
      </w:r>
    </w:p>
    <w:p w:rsidR="00256A3B" w:rsidP="00797891" w14:paraId="4BB88B0F" w14:textId="2CC0ABF3">
      <w:pPr>
        <w:jc w:val="center"/>
        <w:rPr>
          <w:sz w:val="26"/>
          <w:szCs w:val="26"/>
        </w:rPr>
      </w:pPr>
      <w:r>
        <w:rPr>
          <w:sz w:val="26"/>
          <w:szCs w:val="26"/>
        </w:rPr>
        <w:t>OMB Control No. 2138-0016</w:t>
      </w:r>
    </w:p>
    <w:p w:rsidR="00256A3B" w14:paraId="01BB8D0E" w14:textId="77777777">
      <w:pPr>
        <w:rPr>
          <w:sz w:val="26"/>
          <w:szCs w:val="26"/>
        </w:rPr>
      </w:pPr>
    </w:p>
    <w:p w:rsidR="00256A3B" w14:paraId="131EF3F5" w14:textId="77777777">
      <w:pPr>
        <w:rPr>
          <w:sz w:val="26"/>
          <w:szCs w:val="26"/>
        </w:rPr>
      </w:pPr>
    </w:p>
    <w:p w:rsidR="00256A3B" w14:paraId="2581B561" w14:textId="77777777">
      <w:pPr>
        <w:rPr>
          <w:sz w:val="26"/>
          <w:szCs w:val="26"/>
        </w:rPr>
      </w:pPr>
      <w:r>
        <w:rPr>
          <w:sz w:val="26"/>
          <w:szCs w:val="26"/>
        </w:rPr>
        <w:t xml:space="preserve">A. </w:t>
      </w:r>
      <w:r>
        <w:rPr>
          <w:sz w:val="26"/>
          <w:szCs w:val="26"/>
          <w:u w:val="single"/>
        </w:rPr>
        <w:t>Justification</w:t>
      </w:r>
    </w:p>
    <w:p w:rsidR="00256A3B" w14:paraId="7C181DA1" w14:textId="77777777">
      <w:pPr>
        <w:rPr>
          <w:sz w:val="26"/>
          <w:szCs w:val="26"/>
        </w:rPr>
      </w:pPr>
    </w:p>
    <w:p w:rsidR="00256A3B" w14:paraId="4435B00F" w14:textId="77777777">
      <w:pPr>
        <w:rPr>
          <w:sz w:val="26"/>
          <w:szCs w:val="26"/>
        </w:rPr>
      </w:pPr>
      <w:r>
        <w:rPr>
          <w:b/>
          <w:bCs/>
          <w:sz w:val="26"/>
          <w:szCs w:val="26"/>
        </w:rPr>
        <w:t>1.  Explain the circumstances that make the collection of information necessary.  Identify any legal or administrative requirements that necessitate the collection.</w:t>
      </w:r>
    </w:p>
    <w:p w:rsidR="00256A3B" w14:paraId="5AB011FB" w14:textId="77777777">
      <w:pPr>
        <w:rPr>
          <w:sz w:val="26"/>
          <w:szCs w:val="26"/>
        </w:rPr>
      </w:pPr>
    </w:p>
    <w:p w:rsidR="00256A3B" w14:paraId="2FAE9E8E" w14:textId="77777777">
      <w:pPr>
        <w:rPr>
          <w:sz w:val="26"/>
          <w:szCs w:val="26"/>
        </w:rPr>
      </w:pPr>
      <w:r>
        <w:rPr>
          <w:sz w:val="26"/>
          <w:szCs w:val="26"/>
        </w:rPr>
        <w:t>Section 401 of the Federal Election Campaign Act of 1971 (2 U.S.C. 451) directed the Civil Aeronautics Board to promulgate regulations with respect to the extension of credit for air transportation furnished to candidates for Federal office, or any person acting on their behalf, in connection with political campaigns.  Title 14 Code of Federal Regulation Part 374a (14 CFR Part 374a) was adopted to implement this requirement.  Form 183 was designed as the means for reporting credit extended to political candidates for air transportation services.  Section 4(a)(7) of the Civil Aeronautics Board Sunset Act of 1984 transferred the responsibility for administering this reporting to the Secretary of Transportation.</w:t>
      </w:r>
    </w:p>
    <w:p w:rsidR="00256A3B" w14:paraId="5905754B" w14:textId="77777777">
      <w:pPr>
        <w:rPr>
          <w:sz w:val="26"/>
          <w:szCs w:val="26"/>
        </w:rPr>
      </w:pPr>
    </w:p>
    <w:p w:rsidR="00256A3B" w14:paraId="41719191" w14:textId="77777777">
      <w:pPr>
        <w:rPr>
          <w:b/>
          <w:bCs/>
          <w:sz w:val="26"/>
          <w:szCs w:val="26"/>
        </w:rPr>
      </w:pPr>
      <w:r>
        <w:rPr>
          <w:b/>
          <w:bCs/>
          <w:sz w:val="26"/>
          <w:szCs w:val="26"/>
        </w:rPr>
        <w:t>2.  Indicate how, by whom, and for what purpose the information is to be used.  Indicate the actual use the agency has made the information received from the current collection.</w:t>
      </w:r>
    </w:p>
    <w:p w:rsidR="00256A3B" w14:paraId="3CEA40EA" w14:textId="77777777">
      <w:pPr>
        <w:rPr>
          <w:sz w:val="26"/>
          <w:szCs w:val="26"/>
        </w:rPr>
      </w:pPr>
    </w:p>
    <w:p w:rsidR="00256A3B" w14:paraId="01C937AA" w14:textId="77777777">
      <w:pPr>
        <w:rPr>
          <w:sz w:val="26"/>
          <w:szCs w:val="26"/>
        </w:rPr>
      </w:pPr>
      <w:r>
        <w:rPr>
          <w:sz w:val="26"/>
          <w:szCs w:val="26"/>
        </w:rPr>
        <w:t>Air carriers certificated under 49 U.S.C. 41102 may be required to file monthly reports on Form 183 with respect to the extension of credit for air transportation furnished to political candidates.  An air carrier must submit monthly reports to the Department when the indebtedness for transportation furnished to a candidate, running for Federal office, or to persons acting on behalf of such candidate, exceeds $5,000 on the last day of a month during the 6 months before an election or nomination.  After that period, the air carrier shall file a report with the Office of Airline Information no later than the 20</w:t>
      </w:r>
      <w:r>
        <w:rPr>
          <w:sz w:val="26"/>
          <w:szCs w:val="26"/>
          <w:vertAlign w:val="superscript"/>
        </w:rPr>
        <w:t>th</w:t>
      </w:r>
      <w:r>
        <w:rPr>
          <w:sz w:val="26"/>
          <w:szCs w:val="26"/>
        </w:rPr>
        <w:t xml:space="preserve"> day following the end of the calendar month in which the election or nomination takes place and thereafter when any change occurs in that report, until a negative report is filed.  For Form 183 purposes a “negative report” is one that indicates an indebtedness of $5,000 or less.  </w:t>
      </w:r>
    </w:p>
    <w:p w:rsidR="00256A3B" w14:paraId="1F692264" w14:textId="77777777">
      <w:pPr>
        <w:rPr>
          <w:sz w:val="26"/>
          <w:szCs w:val="26"/>
        </w:rPr>
      </w:pPr>
    </w:p>
    <w:p w:rsidR="00256A3B" w14:paraId="1F592190" w14:textId="77777777">
      <w:pPr>
        <w:rPr>
          <w:sz w:val="26"/>
          <w:szCs w:val="26"/>
        </w:rPr>
      </w:pPr>
      <w:r>
        <w:rPr>
          <w:sz w:val="26"/>
          <w:szCs w:val="26"/>
        </w:rPr>
        <w:t>These disclosures have tended to reduce the lag time between when transportation is provided to political candidates and when t</w:t>
      </w:r>
      <w:r w:rsidR="00083856">
        <w:rPr>
          <w:sz w:val="26"/>
          <w:szCs w:val="26"/>
        </w:rPr>
        <w:t>he air carrier i</w:t>
      </w:r>
      <w:r>
        <w:rPr>
          <w:sz w:val="26"/>
          <w:szCs w:val="26"/>
        </w:rPr>
        <w:t>s paid.  In the past, the lag time resulted in substantial balances in accounts receivable to some air carriers.  This led to Congress to enact the Federal Election Campaign Act.</w:t>
      </w:r>
    </w:p>
    <w:p w:rsidR="00256A3B" w14:paraId="39694384" w14:textId="77777777">
      <w:pPr>
        <w:rPr>
          <w:sz w:val="26"/>
          <w:szCs w:val="26"/>
        </w:rPr>
      </w:pPr>
    </w:p>
    <w:p w:rsidR="00256A3B" w14:paraId="164FED42" w14:textId="23DCA4B5">
      <w:pPr>
        <w:rPr>
          <w:sz w:val="26"/>
          <w:szCs w:val="26"/>
        </w:rPr>
      </w:pPr>
      <w:r>
        <w:rPr>
          <w:sz w:val="26"/>
          <w:szCs w:val="26"/>
        </w:rPr>
        <w:t xml:space="preserve">When there are air carriers submitting Form 183, the Office of Airline Information </w:t>
      </w:r>
      <w:r w:rsidR="00083856">
        <w:rPr>
          <w:sz w:val="26"/>
          <w:szCs w:val="26"/>
        </w:rPr>
        <w:t>within the Bureau of Transportation Statistics</w:t>
      </w:r>
      <w:r w:rsidR="00593E64">
        <w:rPr>
          <w:sz w:val="26"/>
          <w:szCs w:val="26"/>
        </w:rPr>
        <w:t>,</w:t>
      </w:r>
      <w:r w:rsidR="00083856">
        <w:rPr>
          <w:sz w:val="26"/>
          <w:szCs w:val="26"/>
        </w:rPr>
        <w:t xml:space="preserve"> </w:t>
      </w:r>
      <w:r>
        <w:rPr>
          <w:sz w:val="26"/>
          <w:szCs w:val="26"/>
        </w:rPr>
        <w:t>comp</w:t>
      </w:r>
      <w:r w:rsidR="001E44E1">
        <w:rPr>
          <w:sz w:val="26"/>
          <w:szCs w:val="26"/>
        </w:rPr>
        <w:t>i</w:t>
      </w:r>
      <w:r>
        <w:rPr>
          <w:sz w:val="26"/>
          <w:szCs w:val="26"/>
        </w:rPr>
        <w:t>les a monthly report identifying unpaid balances due air carriers from political candidates and sends the report to the Federal Elections Commission.</w:t>
      </w:r>
    </w:p>
    <w:p w:rsidR="00256A3B" w14:paraId="134DA956" w14:textId="77777777">
      <w:pPr>
        <w:rPr>
          <w:sz w:val="26"/>
          <w:szCs w:val="26"/>
        </w:rPr>
      </w:pPr>
    </w:p>
    <w:p w:rsidR="00256A3B" w14:paraId="2566101A" w14:textId="77777777">
      <w:pPr>
        <w:rPr>
          <w:sz w:val="26"/>
          <w:szCs w:val="26"/>
        </w:rPr>
      </w:pPr>
      <w:r>
        <w:rPr>
          <w:b/>
          <w:bCs/>
          <w:sz w:val="26"/>
          <w:szCs w:val="26"/>
        </w:rPr>
        <w:t xml:space="preserve">3. Describe whether, and to what extent, the collection of information involves the use of automated, electronic, mechanical, or other technological collection techniques or other forms of information technology, </w:t>
      </w:r>
      <w:r>
        <w:rPr>
          <w:b/>
          <w:bCs/>
          <w:sz w:val="26"/>
          <w:szCs w:val="26"/>
        </w:rPr>
        <w:t>e.g.</w:t>
      </w:r>
      <w:r>
        <w:rPr>
          <w:b/>
          <w:bCs/>
          <w:sz w:val="26"/>
          <w:szCs w:val="26"/>
        </w:rPr>
        <w:t xml:space="preserve"> permitting electronic submissions of responses, and the basis for the decision for adopting this means of collection.  Also, describe any consideration of using information technology to reduce burden.</w:t>
      </w:r>
    </w:p>
    <w:p w:rsidR="00256A3B" w14:paraId="57847056" w14:textId="77777777">
      <w:pPr>
        <w:rPr>
          <w:sz w:val="26"/>
          <w:szCs w:val="26"/>
        </w:rPr>
      </w:pPr>
    </w:p>
    <w:p w:rsidR="00256A3B" w14:paraId="0ED68A9B" w14:textId="77777777">
      <w:pPr>
        <w:rPr>
          <w:sz w:val="26"/>
          <w:szCs w:val="26"/>
        </w:rPr>
      </w:pPr>
      <w:r>
        <w:rPr>
          <w:sz w:val="26"/>
          <w:szCs w:val="26"/>
        </w:rPr>
        <w:t xml:space="preserve">The </w:t>
      </w:r>
      <w:r w:rsidR="00636BBB">
        <w:rPr>
          <w:sz w:val="26"/>
          <w:szCs w:val="26"/>
        </w:rPr>
        <w:t>Office of the Assistant Secretary for Research and Technology’s</w:t>
      </w:r>
      <w:r>
        <w:rPr>
          <w:sz w:val="26"/>
          <w:szCs w:val="26"/>
        </w:rPr>
        <w:t xml:space="preserve"> Bureau of Transportation Statistics issued a final rule which was published in the 75 Federal Register, No. 136, page 41580 on July 16, </w:t>
      </w:r>
      <w:r>
        <w:rPr>
          <w:sz w:val="26"/>
          <w:szCs w:val="26"/>
        </w:rPr>
        <w:t>2010</w:t>
      </w:r>
      <w:r>
        <w:rPr>
          <w:sz w:val="26"/>
          <w:szCs w:val="26"/>
        </w:rPr>
        <w:t xml:space="preserve"> that requires reporting carriers to submit their recurrent reports to the Department via the internet using a comma separated values format or where applicable, PDF </w:t>
      </w:r>
      <w:r w:rsidR="008A0AEF">
        <w:rPr>
          <w:sz w:val="26"/>
          <w:szCs w:val="26"/>
        </w:rPr>
        <w:t xml:space="preserve">(portable document </w:t>
      </w:r>
      <w:r>
        <w:rPr>
          <w:sz w:val="26"/>
          <w:szCs w:val="26"/>
        </w:rPr>
        <w:t>format</w:t>
      </w:r>
      <w:r w:rsidR="008A0AEF">
        <w:rPr>
          <w:sz w:val="26"/>
          <w:szCs w:val="26"/>
        </w:rPr>
        <w:t>)</w:t>
      </w:r>
      <w:r>
        <w:rPr>
          <w:sz w:val="26"/>
          <w:szCs w:val="26"/>
        </w:rPr>
        <w:t xml:space="preserve">.  Carriers </w:t>
      </w:r>
      <w:r>
        <w:rPr>
          <w:sz w:val="26"/>
          <w:szCs w:val="26"/>
        </w:rPr>
        <w:t>are able to</w:t>
      </w:r>
      <w:r>
        <w:rPr>
          <w:sz w:val="26"/>
          <w:szCs w:val="26"/>
        </w:rPr>
        <w:t xml:space="preserve"> use their browsers to upload the reports into the new system.  100% of the carriers submit the requested data via the internet using their browsers.</w:t>
      </w:r>
    </w:p>
    <w:p w:rsidR="00256A3B" w14:paraId="57901D58" w14:textId="77777777">
      <w:pPr>
        <w:rPr>
          <w:sz w:val="26"/>
          <w:szCs w:val="26"/>
        </w:rPr>
      </w:pPr>
    </w:p>
    <w:p w:rsidR="00256A3B" w14:paraId="4EC2AC48" w14:textId="77777777">
      <w:pPr>
        <w:rPr>
          <w:sz w:val="26"/>
          <w:szCs w:val="26"/>
        </w:rPr>
      </w:pPr>
      <w:r>
        <w:rPr>
          <w:b/>
          <w:bCs/>
          <w:sz w:val="26"/>
          <w:szCs w:val="26"/>
        </w:rPr>
        <w:t>4.  Describe efforts to identify duplication.  Show specifically why similar information already available cannot be used or modified for use for the purposes described in Item 2 above.</w:t>
      </w:r>
    </w:p>
    <w:p w:rsidR="00256A3B" w14:paraId="1D5834E7" w14:textId="77777777">
      <w:pPr>
        <w:rPr>
          <w:sz w:val="26"/>
          <w:szCs w:val="26"/>
        </w:rPr>
      </w:pPr>
    </w:p>
    <w:p w:rsidR="00256A3B" w14:paraId="5BF2473A" w14:textId="77777777">
      <w:pPr>
        <w:rPr>
          <w:sz w:val="26"/>
          <w:szCs w:val="26"/>
        </w:rPr>
      </w:pPr>
      <w:r>
        <w:rPr>
          <w:sz w:val="26"/>
          <w:szCs w:val="26"/>
        </w:rPr>
        <w:t>Congress delegated the Department of Transportation as the successor of the Civil Aeronautics Board to collect information on the extension of credit for air transportation services to political candidates during Federal Elections.</w:t>
      </w:r>
    </w:p>
    <w:p w:rsidR="00256A3B" w14:paraId="78A35695" w14:textId="77777777">
      <w:pPr>
        <w:rPr>
          <w:sz w:val="26"/>
          <w:szCs w:val="26"/>
        </w:rPr>
      </w:pPr>
    </w:p>
    <w:p w:rsidR="00256A3B" w14:paraId="2D3D7C27" w14:textId="77777777">
      <w:pPr>
        <w:rPr>
          <w:sz w:val="26"/>
          <w:szCs w:val="26"/>
        </w:rPr>
      </w:pPr>
      <w:r>
        <w:rPr>
          <w:b/>
          <w:bCs/>
          <w:sz w:val="26"/>
          <w:szCs w:val="26"/>
        </w:rPr>
        <w:t>5.  If the collection of information impacts small businesses or other small entities, describe efforts to minimize burden.</w:t>
      </w:r>
    </w:p>
    <w:p w:rsidR="00256A3B" w14:paraId="2AD0BEE8" w14:textId="77777777">
      <w:pPr>
        <w:rPr>
          <w:sz w:val="26"/>
          <w:szCs w:val="26"/>
        </w:rPr>
      </w:pPr>
    </w:p>
    <w:p w:rsidR="00256A3B" w14:paraId="2538A2D9" w14:textId="77777777">
      <w:pPr>
        <w:rPr>
          <w:sz w:val="26"/>
          <w:szCs w:val="26"/>
        </w:rPr>
      </w:pPr>
      <w:r>
        <w:rPr>
          <w:sz w:val="26"/>
          <w:szCs w:val="26"/>
        </w:rPr>
        <w:t>Because of the minimal reporting burden (one hour or less per report) no special provisions were made for small businesses.  Moreover, no small business has subm</w:t>
      </w:r>
      <w:r w:rsidR="00083856">
        <w:rPr>
          <w:sz w:val="26"/>
          <w:szCs w:val="26"/>
        </w:rPr>
        <w:t xml:space="preserve">itted a Form 183 for the last </w:t>
      </w:r>
      <w:r w:rsidR="000B7D58">
        <w:rPr>
          <w:sz w:val="26"/>
          <w:szCs w:val="26"/>
        </w:rPr>
        <w:t>30</w:t>
      </w:r>
      <w:r>
        <w:rPr>
          <w:sz w:val="26"/>
          <w:szCs w:val="26"/>
        </w:rPr>
        <w:t xml:space="preserve"> years.</w:t>
      </w:r>
    </w:p>
    <w:p w:rsidR="00256A3B" w14:paraId="08CC2D23" w14:textId="77777777">
      <w:pPr>
        <w:rPr>
          <w:sz w:val="26"/>
          <w:szCs w:val="26"/>
        </w:rPr>
      </w:pPr>
    </w:p>
    <w:p w:rsidR="00256A3B" w14:paraId="1BEC4413" w14:textId="77777777">
      <w:pPr>
        <w:rPr>
          <w:b/>
          <w:bCs/>
          <w:sz w:val="26"/>
          <w:szCs w:val="26"/>
        </w:rPr>
      </w:pPr>
      <w:r>
        <w:rPr>
          <w:b/>
          <w:bCs/>
          <w:sz w:val="26"/>
          <w:szCs w:val="26"/>
        </w:rPr>
        <w:t>6.  Describe the consequence to the Federal Program or policy activities if the collection were not collected or conducted less frequently.</w:t>
      </w:r>
    </w:p>
    <w:p w:rsidR="00256A3B" w14:paraId="51FC54C2" w14:textId="77777777">
      <w:pPr>
        <w:rPr>
          <w:sz w:val="26"/>
          <w:szCs w:val="26"/>
        </w:rPr>
      </w:pPr>
    </w:p>
    <w:p w:rsidR="00256A3B" w14:paraId="584C77BB" w14:textId="66E67513">
      <w:pPr>
        <w:rPr>
          <w:sz w:val="26"/>
          <w:szCs w:val="26"/>
        </w:rPr>
      </w:pPr>
      <w:r>
        <w:rPr>
          <w:sz w:val="26"/>
          <w:szCs w:val="26"/>
        </w:rPr>
        <w:t xml:space="preserve">Collecting Form 183 less frequently would be counter to Congressional intent of the Federal Election Campaign Act of 1971.  Congress mandated close surveillance over large amounts of credit granted to political candidates.  The Federal Election Commission </w:t>
      </w:r>
      <w:r>
        <w:rPr>
          <w:sz w:val="26"/>
          <w:szCs w:val="26"/>
        </w:rPr>
        <w:t xml:space="preserve">requires the information on Form 183 in a timely manner </w:t>
      </w:r>
      <w:r>
        <w:rPr>
          <w:sz w:val="26"/>
          <w:szCs w:val="26"/>
        </w:rPr>
        <w:t>in order to</w:t>
      </w:r>
      <w:r>
        <w:rPr>
          <w:sz w:val="26"/>
          <w:szCs w:val="26"/>
        </w:rPr>
        <w:t xml:space="preserve"> carry out its assigned duties.  Moreover, the reporting of Form 183 is sporadic.  Most of the Form 183 reports are filed in years when there is a Presidential election.  Very few are filed in non-election years.  Reducing filing frequency would have minimal </w:t>
      </w:r>
      <w:r w:rsidR="00593E64">
        <w:rPr>
          <w:sz w:val="26"/>
          <w:szCs w:val="26"/>
        </w:rPr>
        <w:t>effect</w:t>
      </w:r>
      <w:r>
        <w:rPr>
          <w:sz w:val="26"/>
          <w:szCs w:val="26"/>
        </w:rPr>
        <w:t xml:space="preserve"> on reporting burden, while greatly hindering the Federal Election Commission’s work.</w:t>
      </w:r>
    </w:p>
    <w:p w:rsidR="00256A3B" w14:paraId="089A384C" w14:textId="77777777">
      <w:pPr>
        <w:rPr>
          <w:sz w:val="26"/>
          <w:szCs w:val="26"/>
        </w:rPr>
      </w:pPr>
    </w:p>
    <w:p w:rsidR="00256A3B" w14:paraId="1F6E7CA6" w14:textId="77777777">
      <w:pPr>
        <w:rPr>
          <w:sz w:val="26"/>
          <w:szCs w:val="26"/>
        </w:rPr>
        <w:sectPr w:rsidSect="009C1577">
          <w:footerReference w:type="even" r:id="rId4"/>
          <w:footerReference w:type="default" r:id="rId5"/>
          <w:endnotePr>
            <w:numFmt w:val="decimal"/>
          </w:endnotePr>
          <w:type w:val="continuous"/>
          <w:pgSz w:w="12240" w:h="15840"/>
          <w:pgMar w:top="1440" w:right="1440" w:bottom="1008" w:left="1440" w:header="1440" w:footer="1440" w:gutter="0"/>
          <w:cols w:space="720"/>
          <w:noEndnote/>
        </w:sectPr>
      </w:pPr>
    </w:p>
    <w:p w:rsidR="00256A3B" w14:paraId="6CB0B941" w14:textId="77777777">
      <w:pPr>
        <w:rPr>
          <w:sz w:val="26"/>
          <w:szCs w:val="26"/>
        </w:rPr>
      </w:pPr>
      <w:r>
        <w:rPr>
          <w:b/>
          <w:bCs/>
          <w:sz w:val="26"/>
          <w:szCs w:val="26"/>
        </w:rPr>
        <w:t>7.  Explain any special circumstances that would cause an information collection to be conducted in a manner:</w:t>
      </w:r>
    </w:p>
    <w:p w:rsidR="00256A3B" w14:paraId="52BFE15B" w14:textId="77777777">
      <w:pPr>
        <w:rPr>
          <w:b/>
          <w:bCs/>
          <w:sz w:val="26"/>
          <w:szCs w:val="26"/>
        </w:rPr>
      </w:pPr>
    </w:p>
    <w:p w:rsidR="00256A3B" w14:paraId="26354BE2" w14:textId="77777777">
      <w:pPr>
        <w:pStyle w:val="Level1"/>
        <w:numPr>
          <w:ilvl w:val="0"/>
          <w:numId w:val="1"/>
        </w:numPr>
        <w:tabs>
          <w:tab w:val="left" w:pos="-1440"/>
        </w:tabs>
        <w:jc w:val="both"/>
        <w:rPr>
          <w:b/>
          <w:bCs/>
          <w:sz w:val="26"/>
          <w:szCs w:val="26"/>
        </w:rPr>
      </w:pPr>
      <w:r>
        <w:rPr>
          <w:b/>
          <w:bCs/>
          <w:sz w:val="26"/>
          <w:szCs w:val="26"/>
        </w:rPr>
        <w:t xml:space="preserve">requiring respondents to report information to the agency more often than </w:t>
      </w:r>
      <w:r>
        <w:rPr>
          <w:b/>
          <w:bCs/>
          <w:sz w:val="26"/>
          <w:szCs w:val="26"/>
        </w:rPr>
        <w:t>quarterly;</w:t>
      </w:r>
    </w:p>
    <w:p w:rsidR="00256A3B" w14:paraId="65ACDF30" w14:textId="77777777">
      <w:pPr>
        <w:jc w:val="both"/>
        <w:rPr>
          <w:b/>
          <w:bCs/>
          <w:sz w:val="26"/>
          <w:szCs w:val="26"/>
        </w:rPr>
      </w:pPr>
    </w:p>
    <w:p w:rsidR="00256A3B" w14:paraId="33FB1638" w14:textId="77777777">
      <w:pPr>
        <w:pStyle w:val="Level1"/>
        <w:numPr>
          <w:ilvl w:val="0"/>
          <w:numId w:val="1"/>
        </w:numPr>
        <w:tabs>
          <w:tab w:val="left" w:pos="-1440"/>
        </w:tabs>
        <w:jc w:val="both"/>
        <w:rPr>
          <w:b/>
          <w:bCs/>
          <w:sz w:val="26"/>
          <w:szCs w:val="26"/>
        </w:rPr>
      </w:pPr>
      <w:r>
        <w:rPr>
          <w:b/>
          <w:bCs/>
          <w:sz w:val="26"/>
          <w:szCs w:val="26"/>
        </w:rPr>
        <w:t xml:space="preserve">requiring respondents to prepare a written response to a collection of information in fewer than 30 days after receipt of </w:t>
      </w:r>
      <w:r>
        <w:rPr>
          <w:b/>
          <w:bCs/>
          <w:sz w:val="26"/>
          <w:szCs w:val="26"/>
        </w:rPr>
        <w:t>it;</w:t>
      </w:r>
    </w:p>
    <w:p w:rsidR="00256A3B" w14:paraId="42903DC2" w14:textId="77777777">
      <w:pPr>
        <w:jc w:val="both"/>
        <w:rPr>
          <w:b/>
          <w:bCs/>
          <w:sz w:val="26"/>
          <w:szCs w:val="26"/>
        </w:rPr>
      </w:pPr>
    </w:p>
    <w:p w:rsidR="00256A3B" w14:paraId="329E0608" w14:textId="77777777">
      <w:pPr>
        <w:pStyle w:val="Level1"/>
        <w:numPr>
          <w:ilvl w:val="0"/>
          <w:numId w:val="1"/>
        </w:numPr>
        <w:tabs>
          <w:tab w:val="left" w:pos="-1440"/>
        </w:tabs>
        <w:jc w:val="both"/>
        <w:rPr>
          <w:b/>
          <w:bCs/>
          <w:sz w:val="26"/>
          <w:szCs w:val="26"/>
        </w:rPr>
      </w:pPr>
      <w:r>
        <w:rPr>
          <w:b/>
          <w:bCs/>
          <w:sz w:val="26"/>
          <w:szCs w:val="26"/>
        </w:rPr>
        <w:t xml:space="preserve">requiring respondents to submit more than an original and two copies of any </w:t>
      </w:r>
      <w:r>
        <w:rPr>
          <w:b/>
          <w:bCs/>
          <w:sz w:val="26"/>
          <w:szCs w:val="26"/>
        </w:rPr>
        <w:t>document;</w:t>
      </w:r>
    </w:p>
    <w:p w:rsidR="00256A3B" w14:paraId="735A307A" w14:textId="77777777">
      <w:pPr>
        <w:jc w:val="both"/>
        <w:rPr>
          <w:b/>
          <w:bCs/>
          <w:sz w:val="26"/>
          <w:szCs w:val="26"/>
        </w:rPr>
      </w:pPr>
    </w:p>
    <w:p w:rsidR="00256A3B" w14:paraId="6602B4C6" w14:textId="77777777">
      <w:pPr>
        <w:pStyle w:val="Level1"/>
        <w:numPr>
          <w:ilvl w:val="0"/>
          <w:numId w:val="1"/>
        </w:numPr>
        <w:tabs>
          <w:tab w:val="left" w:pos="-1440"/>
        </w:tabs>
        <w:jc w:val="both"/>
        <w:rPr>
          <w:b/>
          <w:bCs/>
          <w:sz w:val="26"/>
          <w:szCs w:val="26"/>
        </w:rPr>
      </w:pPr>
      <w:r>
        <w:rPr>
          <w:b/>
          <w:bCs/>
          <w:sz w:val="26"/>
          <w:szCs w:val="26"/>
        </w:rPr>
        <w:t xml:space="preserve">requiring respondents to retain records, other than health, government contracts, grant-in-aid, or tax records for more than 3 </w:t>
      </w:r>
      <w:r>
        <w:rPr>
          <w:b/>
          <w:bCs/>
          <w:sz w:val="26"/>
          <w:szCs w:val="26"/>
        </w:rPr>
        <w:t>years;</w:t>
      </w:r>
    </w:p>
    <w:p w:rsidR="00256A3B" w14:paraId="10DE04E5" w14:textId="77777777">
      <w:pPr>
        <w:jc w:val="both"/>
        <w:rPr>
          <w:b/>
          <w:bCs/>
          <w:sz w:val="26"/>
          <w:szCs w:val="26"/>
        </w:rPr>
      </w:pPr>
    </w:p>
    <w:p w:rsidR="00256A3B" w14:paraId="306E8D6C" w14:textId="77777777">
      <w:pPr>
        <w:pStyle w:val="Level1"/>
        <w:numPr>
          <w:ilvl w:val="0"/>
          <w:numId w:val="1"/>
        </w:numPr>
        <w:tabs>
          <w:tab w:val="left" w:pos="-1440"/>
        </w:tabs>
        <w:jc w:val="both"/>
        <w:rPr>
          <w:b/>
          <w:bCs/>
          <w:sz w:val="26"/>
          <w:szCs w:val="26"/>
        </w:rPr>
      </w:pPr>
      <w:r>
        <w:rPr>
          <w:b/>
          <w:bCs/>
          <w:sz w:val="26"/>
          <w:szCs w:val="26"/>
        </w:rPr>
        <w:t xml:space="preserve">in connection with a statistical survey, that is not designed to produce valid and reliable results that can be generalized to the universe of </w:t>
      </w:r>
      <w:r>
        <w:rPr>
          <w:b/>
          <w:bCs/>
          <w:sz w:val="26"/>
          <w:szCs w:val="26"/>
        </w:rPr>
        <w:t>study;</w:t>
      </w:r>
    </w:p>
    <w:p w:rsidR="00256A3B" w14:paraId="1C3445F9" w14:textId="77777777">
      <w:pPr>
        <w:jc w:val="both"/>
        <w:rPr>
          <w:b/>
          <w:bCs/>
          <w:sz w:val="26"/>
          <w:szCs w:val="26"/>
        </w:rPr>
      </w:pPr>
    </w:p>
    <w:p w:rsidR="00256A3B" w14:paraId="1C6D1DDA" w14:textId="77777777">
      <w:pPr>
        <w:pStyle w:val="Level1"/>
        <w:numPr>
          <w:ilvl w:val="0"/>
          <w:numId w:val="1"/>
        </w:numPr>
        <w:tabs>
          <w:tab w:val="left" w:pos="-1440"/>
        </w:tabs>
        <w:jc w:val="both"/>
        <w:rPr>
          <w:b/>
          <w:bCs/>
          <w:sz w:val="26"/>
          <w:szCs w:val="26"/>
        </w:rPr>
      </w:pPr>
      <w:r>
        <w:rPr>
          <w:b/>
          <w:bCs/>
          <w:sz w:val="26"/>
          <w:szCs w:val="26"/>
        </w:rPr>
        <w:t xml:space="preserve">requiring the use of statistical data classification that has not been reviewed and approved by </w:t>
      </w:r>
      <w:r>
        <w:rPr>
          <w:b/>
          <w:bCs/>
          <w:sz w:val="26"/>
          <w:szCs w:val="26"/>
        </w:rPr>
        <w:t>OMB;</w:t>
      </w:r>
    </w:p>
    <w:p w:rsidR="00256A3B" w14:paraId="211EF71C" w14:textId="77777777">
      <w:pPr>
        <w:jc w:val="both"/>
        <w:rPr>
          <w:b/>
          <w:bCs/>
          <w:sz w:val="26"/>
          <w:szCs w:val="26"/>
        </w:rPr>
      </w:pPr>
    </w:p>
    <w:p w:rsidR="00256A3B" w14:paraId="3BFAA884" w14:textId="77777777">
      <w:pPr>
        <w:pStyle w:val="Level1"/>
        <w:numPr>
          <w:ilvl w:val="0"/>
          <w:numId w:val="1"/>
        </w:numPr>
        <w:tabs>
          <w:tab w:val="left" w:pos="-1440"/>
        </w:tabs>
        <w:jc w:val="both"/>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56A3B" w14:paraId="1A1FA466" w14:textId="77777777">
      <w:pPr>
        <w:jc w:val="both"/>
        <w:rPr>
          <w:b/>
          <w:bCs/>
          <w:sz w:val="26"/>
          <w:szCs w:val="26"/>
        </w:rPr>
      </w:pPr>
    </w:p>
    <w:p w:rsidR="00256A3B" w14:paraId="4AF2ABBB" w14:textId="77777777">
      <w:pPr>
        <w:pStyle w:val="Level1"/>
        <w:numPr>
          <w:ilvl w:val="0"/>
          <w:numId w:val="1"/>
        </w:numPr>
        <w:tabs>
          <w:tab w:val="left" w:pos="-1440"/>
        </w:tabs>
        <w:jc w:val="both"/>
        <w:rPr>
          <w:sz w:val="26"/>
          <w:szCs w:val="26"/>
        </w:rPr>
      </w:pPr>
      <w:r>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256A3B" w14:paraId="5AB2F422" w14:textId="77777777">
      <w:pPr>
        <w:jc w:val="both"/>
        <w:rPr>
          <w:sz w:val="26"/>
          <w:szCs w:val="26"/>
        </w:rPr>
      </w:pPr>
    </w:p>
    <w:p w:rsidR="00256A3B" w:rsidP="00C60B8D" w14:paraId="1E4C95F8" w14:textId="77777777">
      <w:pPr>
        <w:rPr>
          <w:sz w:val="26"/>
          <w:szCs w:val="26"/>
        </w:rPr>
      </w:pPr>
      <w:r>
        <w:rPr>
          <w:sz w:val="26"/>
          <w:szCs w:val="26"/>
        </w:rPr>
        <w:t xml:space="preserve">As we have previously stated, the collection of Form 183 is sporadic.  During Federal election years, it is quite probable that a carrier would be required to report </w:t>
      </w:r>
      <w:r>
        <w:rPr>
          <w:sz w:val="26"/>
          <w:szCs w:val="26"/>
        </w:rPr>
        <w:t>on a monthly basis</w:t>
      </w:r>
      <w:r>
        <w:rPr>
          <w:sz w:val="26"/>
          <w:szCs w:val="26"/>
        </w:rPr>
        <w:t xml:space="preserve"> for six consecutive months.  However, this result is within Congressional intent of the Federal Election Campaign Act of 1971.  Also, because of the immediate need for the data by the Federal Election Commission, reports must be submitted within 20 days.</w:t>
      </w:r>
    </w:p>
    <w:p w:rsidR="00256A3B" w14:paraId="7B2207DB" w14:textId="77777777">
      <w:pPr>
        <w:jc w:val="both"/>
        <w:rPr>
          <w:sz w:val="26"/>
          <w:szCs w:val="26"/>
        </w:rPr>
      </w:pPr>
    </w:p>
    <w:p w:rsidR="009C1577" w14:paraId="4F7410DE" w14:textId="77777777">
      <w:pPr>
        <w:jc w:val="both"/>
        <w:rPr>
          <w:b/>
          <w:bCs/>
          <w:sz w:val="26"/>
          <w:szCs w:val="26"/>
        </w:rPr>
      </w:pPr>
    </w:p>
    <w:p w:rsidR="00256A3B" w14:paraId="639468AC" w14:textId="34E1A497">
      <w:pPr>
        <w:jc w:val="both"/>
        <w:rPr>
          <w:sz w:val="26"/>
          <w:szCs w:val="26"/>
        </w:rPr>
      </w:pPr>
      <w:r>
        <w:rPr>
          <w:b/>
          <w:bCs/>
          <w:sz w:val="26"/>
          <w:szCs w:val="26"/>
        </w:rPr>
        <w:t xml:space="preserve">8.  If applicable, provide a copy and identify the date and page number of </w:t>
      </w:r>
      <w:r>
        <w:rPr>
          <w:b/>
          <w:bCs/>
          <w:sz w:val="26"/>
          <w:szCs w:val="26"/>
        </w:rPr>
        <w:t>publication</w:t>
      </w:r>
      <w:r>
        <w:rPr>
          <w:b/>
          <w:bCs/>
          <w:sz w:val="26"/>
          <w:szCs w:val="26"/>
        </w:rPr>
        <w:t xml:space="preserve">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p>
    <w:p w:rsidR="00256A3B" w14:paraId="4F808219" w14:textId="77777777">
      <w:pPr>
        <w:jc w:val="both"/>
        <w:rPr>
          <w:sz w:val="26"/>
          <w:szCs w:val="26"/>
        </w:rPr>
      </w:pPr>
    </w:p>
    <w:p w:rsidR="00B14F26" w14:paraId="32A398BB" w14:textId="474506AA">
      <w:pPr>
        <w:jc w:val="both"/>
        <w:rPr>
          <w:sz w:val="26"/>
          <w:szCs w:val="26"/>
        </w:rPr>
      </w:pPr>
      <w:r>
        <w:rPr>
          <w:sz w:val="26"/>
          <w:szCs w:val="26"/>
        </w:rPr>
        <w:t xml:space="preserve">The </w:t>
      </w:r>
      <w:r w:rsidR="00FB1196">
        <w:rPr>
          <w:sz w:val="26"/>
          <w:szCs w:val="26"/>
        </w:rPr>
        <w:t xml:space="preserve">60 day </w:t>
      </w:r>
      <w:r>
        <w:rPr>
          <w:sz w:val="26"/>
          <w:szCs w:val="26"/>
        </w:rPr>
        <w:t xml:space="preserve">notice </w:t>
      </w:r>
      <w:r>
        <w:rPr>
          <w:sz w:val="26"/>
          <w:szCs w:val="26"/>
        </w:rPr>
        <w:t>inviting</w:t>
      </w:r>
      <w:r w:rsidR="00FB1196">
        <w:rPr>
          <w:sz w:val="26"/>
          <w:szCs w:val="26"/>
        </w:rPr>
        <w:t xml:space="preserve"> </w:t>
      </w:r>
      <w:r>
        <w:rPr>
          <w:sz w:val="26"/>
          <w:szCs w:val="26"/>
        </w:rPr>
        <w:t xml:space="preserve"> public</w:t>
      </w:r>
      <w:r>
        <w:rPr>
          <w:sz w:val="26"/>
          <w:szCs w:val="26"/>
        </w:rPr>
        <w:t xml:space="preserve"> comments was published in the Federal Register on </w:t>
      </w:r>
      <w:r w:rsidR="00D67818">
        <w:rPr>
          <w:sz w:val="26"/>
          <w:szCs w:val="26"/>
        </w:rPr>
        <w:t>January 12, 2024</w:t>
      </w:r>
      <w:r w:rsidR="00EB67E7">
        <w:rPr>
          <w:sz w:val="26"/>
          <w:szCs w:val="26"/>
        </w:rPr>
        <w:t xml:space="preserve">, and there </w:t>
      </w:r>
      <w:r w:rsidR="00EB67E7">
        <w:rPr>
          <w:sz w:val="26"/>
          <w:szCs w:val="26"/>
        </w:rPr>
        <w:t>was 1 comment</w:t>
      </w:r>
      <w:r w:rsidR="00593E64">
        <w:rPr>
          <w:sz w:val="26"/>
          <w:szCs w:val="26"/>
        </w:rPr>
        <w:t xml:space="preserve"> received</w:t>
      </w:r>
      <w:r>
        <w:rPr>
          <w:sz w:val="26"/>
          <w:szCs w:val="26"/>
        </w:rPr>
        <w:t>.</w:t>
      </w:r>
      <w:r w:rsidR="00FB1196">
        <w:rPr>
          <w:sz w:val="26"/>
          <w:szCs w:val="26"/>
        </w:rPr>
        <w:t xml:space="preserve">  </w:t>
      </w:r>
      <w:r>
        <w:rPr>
          <w:sz w:val="26"/>
          <w:szCs w:val="26"/>
        </w:rPr>
        <w:t xml:space="preserve">  </w:t>
      </w:r>
      <w:r w:rsidR="00DE5231">
        <w:rPr>
          <w:sz w:val="26"/>
          <w:szCs w:val="26"/>
        </w:rPr>
        <w:t xml:space="preserve">On January 24, </w:t>
      </w:r>
      <w:r w:rsidR="00DE5231">
        <w:rPr>
          <w:sz w:val="26"/>
          <w:szCs w:val="26"/>
        </w:rPr>
        <w:t>2024</w:t>
      </w:r>
      <w:r w:rsidR="00DE5231">
        <w:rPr>
          <w:sz w:val="26"/>
          <w:szCs w:val="26"/>
        </w:rPr>
        <w:t xml:space="preserve"> the following</w:t>
      </w:r>
      <w:r>
        <w:rPr>
          <w:sz w:val="26"/>
          <w:szCs w:val="26"/>
        </w:rPr>
        <w:t xml:space="preserve"> comment </w:t>
      </w:r>
      <w:r w:rsidR="00DE5231">
        <w:rPr>
          <w:sz w:val="26"/>
          <w:szCs w:val="26"/>
        </w:rPr>
        <w:t xml:space="preserve">was submitted.  </w:t>
      </w:r>
    </w:p>
    <w:p w:rsidR="00B14F26" w14:paraId="458A9102" w14:textId="77777777">
      <w:pPr>
        <w:jc w:val="both"/>
        <w:rPr>
          <w:sz w:val="26"/>
          <w:szCs w:val="26"/>
        </w:rPr>
      </w:pPr>
    </w:p>
    <w:p w:rsidR="00B14F26" w14:paraId="5F69B7D0" w14:textId="16161B8B">
      <w:pPr>
        <w:jc w:val="both"/>
        <w:rPr>
          <w:sz w:val="26"/>
          <w:szCs w:val="26"/>
        </w:rPr>
      </w:pPr>
      <w:r>
        <w:rPr>
          <w:sz w:val="26"/>
          <w:szCs w:val="26"/>
        </w:rPr>
        <w:t>NFIB</w:t>
      </w:r>
    </w:p>
    <w:p w:rsidR="00B14F26" w14:paraId="2D2B93E8" w14:textId="60DB2751">
      <w:pPr>
        <w:jc w:val="both"/>
        <w:rPr>
          <w:sz w:val="26"/>
          <w:szCs w:val="26"/>
        </w:rPr>
      </w:pPr>
      <w:r>
        <w:rPr>
          <w:sz w:val="26"/>
          <w:szCs w:val="26"/>
        </w:rPr>
        <w:t>555 Twelfth Str. NW, Suite 1001</w:t>
      </w:r>
    </w:p>
    <w:p w:rsidR="00B14F26" w14:paraId="708E5562" w14:textId="0AD1C822">
      <w:pPr>
        <w:jc w:val="both"/>
        <w:rPr>
          <w:sz w:val="26"/>
          <w:szCs w:val="26"/>
        </w:rPr>
      </w:pPr>
      <w:r>
        <w:rPr>
          <w:sz w:val="26"/>
          <w:szCs w:val="26"/>
        </w:rPr>
        <w:t xml:space="preserve">Washington, DC 20004  </w:t>
      </w:r>
    </w:p>
    <w:p w:rsidR="00B14F26" w14:paraId="1951F1ED" w14:textId="77777777">
      <w:pPr>
        <w:jc w:val="both"/>
        <w:rPr>
          <w:sz w:val="26"/>
          <w:szCs w:val="26"/>
        </w:rPr>
      </w:pPr>
    </w:p>
    <w:p w:rsidR="00B14F26" w14:paraId="2F9C87F8" w14:textId="7E988A4C">
      <w:pPr>
        <w:jc w:val="both"/>
        <w:rPr>
          <w:color w:val="212121"/>
          <w:w w:val="105"/>
        </w:rPr>
      </w:pPr>
      <w:r>
        <w:rPr>
          <w:color w:val="212121"/>
        </w:rPr>
        <w:t>A</w:t>
      </w:r>
      <w:r>
        <w:rPr>
          <w:color w:val="212121"/>
          <w:spacing w:val="-4"/>
        </w:rPr>
        <w:t xml:space="preserve"> </w:t>
      </w:r>
      <w:r>
        <w:rPr>
          <w:color w:val="212121"/>
        </w:rPr>
        <w:t>federal agency has</w:t>
      </w:r>
      <w:r>
        <w:rPr>
          <w:color w:val="212121"/>
          <w:spacing w:val="-3"/>
        </w:rPr>
        <w:t xml:space="preserve"> </w:t>
      </w:r>
      <w:r>
        <w:rPr>
          <w:color w:val="212121"/>
        </w:rPr>
        <w:t xml:space="preserve">no authority unless Congress by law grants that authority </w:t>
      </w:r>
      <w:r>
        <w:rPr>
          <w:color w:val="3B3B3B"/>
        </w:rPr>
        <w:t>to</w:t>
      </w:r>
      <w:r>
        <w:rPr>
          <w:color w:val="3B3B3B"/>
          <w:spacing w:val="-1"/>
        </w:rPr>
        <w:t xml:space="preserve"> </w:t>
      </w:r>
      <w:r>
        <w:rPr>
          <w:color w:val="212121"/>
        </w:rPr>
        <w:t xml:space="preserve">the </w:t>
      </w:r>
      <w:r>
        <w:rPr>
          <w:color w:val="212121"/>
          <w:w w:val="105"/>
        </w:rPr>
        <w:t>agency.</w:t>
      </w:r>
      <w:r>
        <w:rPr>
          <w:color w:val="212121"/>
          <w:w w:val="105"/>
          <w:vertAlign w:val="superscript"/>
        </w:rPr>
        <w:t>2</w:t>
      </w:r>
      <w:r>
        <w:rPr>
          <w:color w:val="212121"/>
          <w:spacing w:val="34"/>
          <w:w w:val="105"/>
        </w:rPr>
        <w:t xml:space="preserve"> </w:t>
      </w:r>
      <w:r>
        <w:rPr>
          <w:color w:val="212121"/>
          <w:w w:val="105"/>
        </w:rPr>
        <w:t>Moreover, when</w:t>
      </w:r>
      <w:r>
        <w:rPr>
          <w:color w:val="212121"/>
          <w:spacing w:val="-19"/>
          <w:w w:val="105"/>
        </w:rPr>
        <w:t xml:space="preserve"> </w:t>
      </w:r>
      <w:r>
        <w:rPr>
          <w:color w:val="212121"/>
          <w:w w:val="105"/>
        </w:rPr>
        <w:t>Congress grants</w:t>
      </w:r>
      <w:r>
        <w:rPr>
          <w:color w:val="212121"/>
          <w:spacing w:val="-12"/>
          <w:w w:val="105"/>
        </w:rPr>
        <w:t xml:space="preserve"> </w:t>
      </w:r>
      <w:r>
        <w:rPr>
          <w:color w:val="212121"/>
          <w:w w:val="105"/>
        </w:rPr>
        <w:t>by</w:t>
      </w:r>
      <w:r>
        <w:rPr>
          <w:color w:val="212121"/>
          <w:spacing w:val="-17"/>
          <w:w w:val="105"/>
        </w:rPr>
        <w:t xml:space="preserve"> </w:t>
      </w:r>
      <w:r>
        <w:rPr>
          <w:color w:val="212121"/>
          <w:w w:val="105"/>
        </w:rPr>
        <w:t>law</w:t>
      </w:r>
      <w:r>
        <w:rPr>
          <w:color w:val="212121"/>
          <w:spacing w:val="-7"/>
          <w:w w:val="105"/>
        </w:rPr>
        <w:t xml:space="preserve"> </w:t>
      </w:r>
      <w:r>
        <w:rPr>
          <w:color w:val="212121"/>
          <w:w w:val="105"/>
        </w:rPr>
        <w:t>to</w:t>
      </w:r>
      <w:r>
        <w:rPr>
          <w:color w:val="212121"/>
          <w:spacing w:val="-17"/>
          <w:w w:val="105"/>
        </w:rPr>
        <w:t xml:space="preserve"> </w:t>
      </w:r>
      <w:r>
        <w:rPr>
          <w:color w:val="212121"/>
          <w:w w:val="105"/>
        </w:rPr>
        <w:t>an</w:t>
      </w:r>
      <w:r>
        <w:rPr>
          <w:color w:val="212121"/>
          <w:spacing w:val="-15"/>
          <w:w w:val="105"/>
        </w:rPr>
        <w:t xml:space="preserve"> </w:t>
      </w:r>
      <w:r>
        <w:rPr>
          <w:color w:val="212121"/>
          <w:w w:val="105"/>
        </w:rPr>
        <w:t>agency</w:t>
      </w:r>
      <w:r>
        <w:rPr>
          <w:color w:val="212121"/>
          <w:spacing w:val="-11"/>
          <w:w w:val="105"/>
        </w:rPr>
        <w:t xml:space="preserve"> </w:t>
      </w:r>
      <w:r>
        <w:rPr>
          <w:color w:val="212121"/>
          <w:w w:val="105"/>
        </w:rPr>
        <w:t>the</w:t>
      </w:r>
      <w:r>
        <w:rPr>
          <w:color w:val="212121"/>
          <w:spacing w:val="-17"/>
          <w:w w:val="105"/>
        </w:rPr>
        <w:t xml:space="preserve"> </w:t>
      </w:r>
      <w:r>
        <w:rPr>
          <w:color w:val="212121"/>
          <w:w w:val="105"/>
        </w:rPr>
        <w:t>authority to regulate</w:t>
      </w:r>
      <w:r>
        <w:rPr>
          <w:color w:val="212121"/>
          <w:spacing w:val="-17"/>
          <w:w w:val="105"/>
        </w:rPr>
        <w:t xml:space="preserve"> </w:t>
      </w:r>
      <w:r>
        <w:rPr>
          <w:color w:val="212121"/>
          <w:w w:val="105"/>
        </w:rPr>
        <w:t>a</w:t>
      </w:r>
      <w:r>
        <w:rPr>
          <w:color w:val="212121"/>
          <w:spacing w:val="-17"/>
          <w:w w:val="105"/>
        </w:rPr>
        <w:t xml:space="preserve"> </w:t>
      </w:r>
      <w:r>
        <w:rPr>
          <w:color w:val="212121"/>
          <w:w w:val="105"/>
        </w:rPr>
        <w:t>subject</w:t>
      </w:r>
      <w:r>
        <w:rPr>
          <w:color w:val="212121"/>
          <w:spacing w:val="-17"/>
          <w:w w:val="105"/>
        </w:rPr>
        <w:t xml:space="preserve"> </w:t>
      </w:r>
      <w:r>
        <w:rPr>
          <w:color w:val="212121"/>
          <w:w w:val="105"/>
        </w:rPr>
        <w:t>matter,</w:t>
      </w:r>
      <w:r>
        <w:rPr>
          <w:color w:val="212121"/>
          <w:spacing w:val="-17"/>
          <w:w w:val="105"/>
        </w:rPr>
        <w:t xml:space="preserve"> </w:t>
      </w:r>
      <w:r>
        <w:rPr>
          <w:color w:val="212121"/>
          <w:w w:val="105"/>
        </w:rPr>
        <w:t>Congress</w:t>
      </w:r>
      <w:r>
        <w:rPr>
          <w:color w:val="212121"/>
          <w:spacing w:val="-16"/>
          <w:w w:val="105"/>
        </w:rPr>
        <w:t xml:space="preserve"> </w:t>
      </w:r>
      <w:r>
        <w:rPr>
          <w:color w:val="212121"/>
          <w:w w:val="105"/>
        </w:rPr>
        <w:t>must</w:t>
      </w:r>
      <w:r>
        <w:rPr>
          <w:color w:val="212121"/>
          <w:spacing w:val="-17"/>
          <w:w w:val="105"/>
        </w:rPr>
        <w:t xml:space="preserve"> </w:t>
      </w:r>
      <w:r>
        <w:rPr>
          <w:color w:val="212121"/>
          <w:w w:val="105"/>
        </w:rPr>
        <w:t>include</w:t>
      </w:r>
      <w:r>
        <w:rPr>
          <w:color w:val="212121"/>
          <w:spacing w:val="-17"/>
          <w:w w:val="105"/>
        </w:rPr>
        <w:t xml:space="preserve"> </w:t>
      </w:r>
      <w:r>
        <w:rPr>
          <w:color w:val="212121"/>
          <w:w w:val="105"/>
        </w:rPr>
        <w:t>in</w:t>
      </w:r>
      <w:r>
        <w:rPr>
          <w:color w:val="212121"/>
          <w:spacing w:val="-17"/>
          <w:w w:val="105"/>
        </w:rPr>
        <w:t xml:space="preserve"> </w:t>
      </w:r>
      <w:r>
        <w:rPr>
          <w:color w:val="212121"/>
          <w:w w:val="105"/>
        </w:rPr>
        <w:t>the</w:t>
      </w:r>
      <w:r>
        <w:rPr>
          <w:color w:val="212121"/>
          <w:spacing w:val="-16"/>
          <w:w w:val="105"/>
        </w:rPr>
        <w:t xml:space="preserve"> </w:t>
      </w:r>
      <w:r>
        <w:rPr>
          <w:color w:val="212121"/>
          <w:w w:val="105"/>
        </w:rPr>
        <w:t>law</w:t>
      </w:r>
      <w:r>
        <w:rPr>
          <w:color w:val="212121"/>
          <w:spacing w:val="-17"/>
          <w:w w:val="105"/>
        </w:rPr>
        <w:t xml:space="preserve"> </w:t>
      </w:r>
      <w:r>
        <w:rPr>
          <w:color w:val="212121"/>
          <w:w w:val="105"/>
        </w:rPr>
        <w:t>an</w:t>
      </w:r>
      <w:r>
        <w:rPr>
          <w:color w:val="212121"/>
          <w:spacing w:val="-17"/>
          <w:w w:val="105"/>
        </w:rPr>
        <w:t xml:space="preserve"> </w:t>
      </w:r>
      <w:r>
        <w:rPr>
          <w:color w:val="212121"/>
          <w:w w:val="105"/>
        </w:rPr>
        <w:t>intelligible</w:t>
      </w:r>
      <w:r>
        <w:rPr>
          <w:color w:val="212121"/>
          <w:spacing w:val="-17"/>
          <w:w w:val="105"/>
        </w:rPr>
        <w:t xml:space="preserve"> </w:t>
      </w:r>
      <w:r>
        <w:rPr>
          <w:color w:val="212121"/>
          <w:w w:val="105"/>
        </w:rPr>
        <w:t>principle</w:t>
      </w:r>
      <w:r>
        <w:rPr>
          <w:color w:val="212121"/>
          <w:spacing w:val="-17"/>
          <w:w w:val="105"/>
        </w:rPr>
        <w:t xml:space="preserve"> </w:t>
      </w:r>
      <w:r>
        <w:rPr>
          <w:color w:val="212121"/>
          <w:w w:val="105"/>
        </w:rPr>
        <w:t xml:space="preserve">to </w:t>
      </w:r>
      <w:r>
        <w:rPr>
          <w:color w:val="212121"/>
          <w:spacing w:val="-2"/>
          <w:w w:val="105"/>
        </w:rPr>
        <w:t>govern</w:t>
      </w:r>
      <w:r>
        <w:rPr>
          <w:color w:val="212121"/>
          <w:spacing w:val="-15"/>
          <w:w w:val="105"/>
        </w:rPr>
        <w:t xml:space="preserve"> </w:t>
      </w:r>
      <w:r>
        <w:rPr>
          <w:color w:val="212121"/>
          <w:spacing w:val="-2"/>
          <w:w w:val="105"/>
        </w:rPr>
        <w:t>use</w:t>
      </w:r>
      <w:r>
        <w:rPr>
          <w:color w:val="212121"/>
          <w:spacing w:val="-15"/>
          <w:w w:val="105"/>
        </w:rPr>
        <w:t xml:space="preserve"> </w:t>
      </w:r>
      <w:r>
        <w:rPr>
          <w:color w:val="212121"/>
          <w:spacing w:val="-2"/>
          <w:w w:val="105"/>
        </w:rPr>
        <w:t>of</w:t>
      </w:r>
      <w:r>
        <w:rPr>
          <w:color w:val="212121"/>
          <w:spacing w:val="-15"/>
          <w:w w:val="105"/>
        </w:rPr>
        <w:t xml:space="preserve"> </w:t>
      </w:r>
      <w:r>
        <w:rPr>
          <w:color w:val="212121"/>
          <w:spacing w:val="-2"/>
          <w:w w:val="105"/>
        </w:rPr>
        <w:t>that</w:t>
      </w:r>
      <w:r>
        <w:rPr>
          <w:color w:val="212121"/>
          <w:spacing w:val="-8"/>
          <w:w w:val="105"/>
        </w:rPr>
        <w:t xml:space="preserve"> </w:t>
      </w:r>
      <w:r>
        <w:rPr>
          <w:color w:val="212121"/>
          <w:spacing w:val="-2"/>
          <w:w w:val="105"/>
        </w:rPr>
        <w:t>authority,</w:t>
      </w:r>
      <w:r>
        <w:rPr>
          <w:color w:val="212121"/>
          <w:spacing w:val="6"/>
          <w:w w:val="105"/>
        </w:rPr>
        <w:t xml:space="preserve"> </w:t>
      </w:r>
      <w:r>
        <w:rPr>
          <w:color w:val="212121"/>
          <w:spacing w:val="-2"/>
          <w:w w:val="105"/>
        </w:rPr>
        <w:t>in</w:t>
      </w:r>
      <w:r>
        <w:rPr>
          <w:color w:val="212121"/>
          <w:spacing w:val="-30"/>
          <w:w w:val="105"/>
        </w:rPr>
        <w:t xml:space="preserve"> </w:t>
      </w:r>
      <w:r>
        <w:rPr>
          <w:color w:val="212121"/>
          <w:spacing w:val="-2"/>
          <w:w w:val="105"/>
        </w:rPr>
        <w:t>the</w:t>
      </w:r>
      <w:r>
        <w:rPr>
          <w:color w:val="212121"/>
          <w:spacing w:val="-10"/>
          <w:w w:val="105"/>
        </w:rPr>
        <w:t xml:space="preserve"> </w:t>
      </w:r>
      <w:r>
        <w:rPr>
          <w:color w:val="212121"/>
          <w:spacing w:val="-2"/>
          <w:w w:val="105"/>
        </w:rPr>
        <w:t>absence of</w:t>
      </w:r>
      <w:r>
        <w:rPr>
          <w:color w:val="212121"/>
          <w:spacing w:val="-15"/>
          <w:w w:val="105"/>
        </w:rPr>
        <w:t xml:space="preserve"> </w:t>
      </w:r>
      <w:r>
        <w:rPr>
          <w:color w:val="212121"/>
          <w:spacing w:val="-2"/>
          <w:w w:val="105"/>
        </w:rPr>
        <w:t>which</w:t>
      </w:r>
      <w:r>
        <w:rPr>
          <w:color w:val="212121"/>
          <w:spacing w:val="-4"/>
          <w:w w:val="105"/>
        </w:rPr>
        <w:t xml:space="preserve"> </w:t>
      </w:r>
      <w:r>
        <w:rPr>
          <w:color w:val="212121"/>
          <w:spacing w:val="-2"/>
          <w:w w:val="105"/>
        </w:rPr>
        <w:t>the</w:t>
      </w:r>
      <w:r>
        <w:rPr>
          <w:color w:val="212121"/>
          <w:spacing w:val="-9"/>
          <w:w w:val="105"/>
        </w:rPr>
        <w:t xml:space="preserve"> </w:t>
      </w:r>
      <w:r>
        <w:rPr>
          <w:color w:val="212121"/>
          <w:spacing w:val="-2"/>
          <w:w w:val="105"/>
        </w:rPr>
        <w:t>statute</w:t>
      </w:r>
      <w:r>
        <w:rPr>
          <w:color w:val="212121"/>
          <w:spacing w:val="-11"/>
          <w:w w:val="105"/>
        </w:rPr>
        <w:t xml:space="preserve"> </w:t>
      </w:r>
      <w:r>
        <w:rPr>
          <w:color w:val="212121"/>
          <w:spacing w:val="-2"/>
          <w:w w:val="105"/>
        </w:rPr>
        <w:t>is</w:t>
      </w:r>
      <w:r>
        <w:rPr>
          <w:color w:val="212121"/>
          <w:spacing w:val="-13"/>
          <w:w w:val="105"/>
        </w:rPr>
        <w:t xml:space="preserve"> </w:t>
      </w:r>
      <w:r>
        <w:rPr>
          <w:color w:val="212121"/>
          <w:spacing w:val="-2"/>
          <w:w w:val="105"/>
        </w:rPr>
        <w:t>an</w:t>
      </w:r>
      <w:r>
        <w:rPr>
          <w:color w:val="212121"/>
          <w:spacing w:val="-24"/>
          <w:w w:val="105"/>
        </w:rPr>
        <w:t xml:space="preserve"> </w:t>
      </w:r>
      <w:r>
        <w:rPr>
          <w:color w:val="212121"/>
          <w:spacing w:val="-2"/>
          <w:w w:val="105"/>
        </w:rPr>
        <w:t xml:space="preserve">unconstitutional </w:t>
      </w:r>
      <w:r>
        <w:rPr>
          <w:color w:val="212121"/>
          <w:w w:val="105"/>
        </w:rPr>
        <w:t>delegation to</w:t>
      </w:r>
      <w:r>
        <w:rPr>
          <w:color w:val="212121"/>
          <w:spacing w:val="-13"/>
          <w:w w:val="105"/>
        </w:rPr>
        <w:t xml:space="preserve"> </w:t>
      </w:r>
      <w:r>
        <w:rPr>
          <w:color w:val="212121"/>
          <w:w w:val="105"/>
        </w:rPr>
        <w:t>the</w:t>
      </w:r>
      <w:r>
        <w:rPr>
          <w:color w:val="212121"/>
          <w:spacing w:val="-17"/>
          <w:w w:val="105"/>
        </w:rPr>
        <w:t xml:space="preserve"> </w:t>
      </w:r>
      <w:r>
        <w:rPr>
          <w:color w:val="212121"/>
          <w:w w:val="105"/>
        </w:rPr>
        <w:t>agency of</w:t>
      </w:r>
      <w:r>
        <w:rPr>
          <w:color w:val="212121"/>
          <w:spacing w:val="-7"/>
          <w:w w:val="105"/>
        </w:rPr>
        <w:t xml:space="preserve"> </w:t>
      </w:r>
      <w:r>
        <w:rPr>
          <w:color w:val="212121"/>
          <w:w w:val="105"/>
        </w:rPr>
        <w:t>legislative</w:t>
      </w:r>
      <w:r>
        <w:rPr>
          <w:color w:val="212121"/>
          <w:spacing w:val="-7"/>
          <w:w w:val="105"/>
        </w:rPr>
        <w:t xml:space="preserve"> </w:t>
      </w:r>
      <w:r>
        <w:rPr>
          <w:color w:val="212121"/>
          <w:w w:val="105"/>
        </w:rPr>
        <w:t>power.</w:t>
      </w:r>
    </w:p>
    <w:p w:rsidR="00B14F26" w14:paraId="3CFE77E0" w14:textId="3D746BAF">
      <w:pPr>
        <w:jc w:val="both"/>
        <w:rPr>
          <w:color w:val="212121"/>
          <w:w w:val="105"/>
        </w:rPr>
      </w:pPr>
    </w:p>
    <w:p w:rsidR="00B14F26" w14:paraId="3653FC88" w14:textId="3945BF4C">
      <w:pPr>
        <w:jc w:val="both"/>
        <w:rPr>
          <w:sz w:val="26"/>
          <w:szCs w:val="26"/>
        </w:rPr>
      </w:pPr>
      <w:r>
        <w:rPr>
          <w:color w:val="212121"/>
          <w:w w:val="105"/>
        </w:rPr>
        <w:t>BTS did not respond.</w:t>
      </w:r>
    </w:p>
    <w:p w:rsidR="00B14F26" w14:paraId="5523F4C3" w14:textId="02F043A1">
      <w:pPr>
        <w:jc w:val="both"/>
        <w:rPr>
          <w:sz w:val="26"/>
          <w:szCs w:val="26"/>
        </w:rPr>
      </w:pPr>
    </w:p>
    <w:p w:rsidR="00B14F26" w14:paraId="3AA85EBB" w14:textId="77777777">
      <w:pPr>
        <w:jc w:val="both"/>
        <w:rPr>
          <w:sz w:val="26"/>
          <w:szCs w:val="26"/>
        </w:rPr>
      </w:pPr>
    </w:p>
    <w:p w:rsidR="00256A3B" w14:paraId="100BDD57" w14:textId="6B4E6C94">
      <w:pPr>
        <w:jc w:val="both"/>
        <w:rPr>
          <w:sz w:val="26"/>
          <w:szCs w:val="26"/>
        </w:rPr>
      </w:pPr>
      <w:r>
        <w:rPr>
          <w:sz w:val="26"/>
          <w:szCs w:val="26"/>
        </w:rPr>
        <w:t xml:space="preserve">The </w:t>
      </w:r>
      <w:r>
        <w:rPr>
          <w:sz w:val="26"/>
          <w:szCs w:val="26"/>
        </w:rPr>
        <w:t>30 day</w:t>
      </w:r>
      <w:r>
        <w:rPr>
          <w:sz w:val="26"/>
          <w:szCs w:val="26"/>
        </w:rPr>
        <w:t xml:space="preserve"> notice was published in the Federal Register on </w:t>
      </w:r>
      <w:r w:rsidR="001B76F2">
        <w:rPr>
          <w:sz w:val="26"/>
          <w:szCs w:val="26"/>
        </w:rPr>
        <w:t>March 19, 2024</w:t>
      </w:r>
      <w:r>
        <w:rPr>
          <w:sz w:val="26"/>
          <w:szCs w:val="26"/>
        </w:rPr>
        <w:t xml:space="preserve"> (</w:t>
      </w:r>
      <w:r w:rsidR="00C42F81">
        <w:rPr>
          <w:sz w:val="26"/>
          <w:szCs w:val="26"/>
        </w:rPr>
        <w:t>8</w:t>
      </w:r>
      <w:r w:rsidR="001B76F2">
        <w:rPr>
          <w:sz w:val="26"/>
          <w:szCs w:val="26"/>
        </w:rPr>
        <w:t>9</w:t>
      </w:r>
      <w:r>
        <w:rPr>
          <w:sz w:val="26"/>
          <w:szCs w:val="26"/>
        </w:rPr>
        <w:t xml:space="preserve"> FR</w:t>
      </w:r>
      <w:r w:rsidR="00AA4E43">
        <w:rPr>
          <w:sz w:val="26"/>
          <w:szCs w:val="26"/>
        </w:rPr>
        <w:t xml:space="preserve"> page</w:t>
      </w:r>
      <w:r>
        <w:rPr>
          <w:sz w:val="26"/>
          <w:szCs w:val="26"/>
        </w:rPr>
        <w:t xml:space="preserve"> </w:t>
      </w:r>
      <w:r w:rsidR="001B76F2">
        <w:rPr>
          <w:sz w:val="26"/>
          <w:szCs w:val="26"/>
        </w:rPr>
        <w:t>19638</w:t>
      </w:r>
      <w:r>
        <w:rPr>
          <w:sz w:val="26"/>
          <w:szCs w:val="26"/>
        </w:rPr>
        <w:t xml:space="preserve">). </w:t>
      </w:r>
      <w:r w:rsidR="00912990">
        <w:rPr>
          <w:sz w:val="26"/>
          <w:szCs w:val="26"/>
        </w:rPr>
        <w:t xml:space="preserve"> No further engagement with the public has been accomplished.</w:t>
      </w:r>
    </w:p>
    <w:p w:rsidR="00256A3B" w14:paraId="3237076E" w14:textId="77777777">
      <w:pPr>
        <w:jc w:val="both"/>
        <w:rPr>
          <w:sz w:val="26"/>
          <w:szCs w:val="26"/>
        </w:rPr>
      </w:pPr>
    </w:p>
    <w:p w:rsidR="00256A3B" w14:paraId="0424E2FA" w14:textId="77777777">
      <w:pPr>
        <w:jc w:val="both"/>
        <w:rPr>
          <w:sz w:val="26"/>
          <w:szCs w:val="26"/>
        </w:rPr>
        <w:sectPr w:rsidSect="009C1577">
          <w:endnotePr>
            <w:numFmt w:val="decimal"/>
          </w:endnotePr>
          <w:type w:val="continuous"/>
          <w:pgSz w:w="12240" w:h="15840"/>
          <w:pgMar w:top="1440" w:right="1440" w:bottom="720" w:left="1440" w:header="1440" w:footer="1440" w:gutter="0"/>
          <w:cols w:space="720"/>
          <w:noEndnote/>
        </w:sectPr>
      </w:pPr>
    </w:p>
    <w:p w:rsidR="00256A3B" w14:paraId="16244666" w14:textId="77777777">
      <w:pPr>
        <w:jc w:val="both"/>
        <w:rPr>
          <w:sz w:val="26"/>
          <w:szCs w:val="26"/>
        </w:rPr>
      </w:pPr>
      <w:r>
        <w:rPr>
          <w:b/>
          <w:bCs/>
          <w:sz w:val="26"/>
          <w:szCs w:val="26"/>
        </w:rPr>
        <w:t>9. Explain any decision to provide any payment or gift to respondents, other than re-enumeration of contractors or grantees.</w:t>
      </w:r>
    </w:p>
    <w:p w:rsidR="00256A3B" w14:paraId="08AD65AA" w14:textId="77777777">
      <w:pPr>
        <w:jc w:val="both"/>
        <w:rPr>
          <w:sz w:val="26"/>
          <w:szCs w:val="26"/>
        </w:rPr>
      </w:pPr>
    </w:p>
    <w:p w:rsidR="00256A3B" w14:paraId="7F21DD7B" w14:textId="77777777">
      <w:pPr>
        <w:jc w:val="both"/>
        <w:rPr>
          <w:sz w:val="26"/>
          <w:szCs w:val="26"/>
        </w:rPr>
      </w:pPr>
      <w:r>
        <w:rPr>
          <w:sz w:val="26"/>
          <w:szCs w:val="26"/>
        </w:rPr>
        <w:t>There were no payments or gifts to respondents.</w:t>
      </w:r>
    </w:p>
    <w:p w:rsidR="00256A3B" w14:paraId="513AB6C3" w14:textId="77777777">
      <w:pPr>
        <w:jc w:val="both"/>
        <w:rPr>
          <w:sz w:val="26"/>
          <w:szCs w:val="26"/>
        </w:rPr>
      </w:pPr>
    </w:p>
    <w:p w:rsidR="00256A3B" w14:paraId="54823313" w14:textId="77777777">
      <w:pPr>
        <w:jc w:val="both"/>
        <w:rPr>
          <w:sz w:val="26"/>
          <w:szCs w:val="26"/>
        </w:rPr>
      </w:pPr>
      <w:r>
        <w:rPr>
          <w:b/>
          <w:bCs/>
          <w:sz w:val="26"/>
          <w:szCs w:val="26"/>
        </w:rPr>
        <w:t>10.  Describe any assurances of confidentiality provided to respondents</w:t>
      </w:r>
      <w:r>
        <w:rPr>
          <w:sz w:val="26"/>
          <w:szCs w:val="26"/>
        </w:rPr>
        <w:t>.</w:t>
      </w:r>
    </w:p>
    <w:p w:rsidR="00256A3B" w14:paraId="21EE50BF" w14:textId="77777777">
      <w:pPr>
        <w:jc w:val="both"/>
        <w:rPr>
          <w:sz w:val="26"/>
          <w:szCs w:val="26"/>
        </w:rPr>
      </w:pPr>
    </w:p>
    <w:p w:rsidR="00256A3B" w14:paraId="4E9C77FE" w14:textId="77777777">
      <w:pPr>
        <w:jc w:val="both"/>
        <w:rPr>
          <w:sz w:val="26"/>
          <w:szCs w:val="26"/>
        </w:rPr>
      </w:pPr>
      <w:r>
        <w:rPr>
          <w:sz w:val="26"/>
          <w:szCs w:val="26"/>
        </w:rPr>
        <w:t>In keeping with Congressional intent, there</w:t>
      </w:r>
      <w:r>
        <w:rPr>
          <w:sz w:val="26"/>
          <w:szCs w:val="26"/>
        </w:rPr>
        <w:t xml:space="preserve"> are no guarantees of confidentiality.</w:t>
      </w:r>
    </w:p>
    <w:p w:rsidR="00256A3B" w14:paraId="63B4257C" w14:textId="77777777">
      <w:pPr>
        <w:jc w:val="both"/>
        <w:rPr>
          <w:sz w:val="26"/>
          <w:szCs w:val="26"/>
        </w:rPr>
      </w:pPr>
    </w:p>
    <w:p w:rsidR="00256A3B" w14:paraId="110EFA90" w14:textId="77777777">
      <w:pPr>
        <w:jc w:val="both"/>
        <w:rPr>
          <w:sz w:val="26"/>
          <w:szCs w:val="26"/>
        </w:rPr>
      </w:pPr>
      <w:r>
        <w:rPr>
          <w:b/>
          <w:bCs/>
          <w:sz w:val="26"/>
          <w:szCs w:val="26"/>
        </w:rPr>
        <w:t>11.  Are there any questions of a sensitive nature?</w:t>
      </w:r>
    </w:p>
    <w:p w:rsidR="00256A3B" w14:paraId="06AF2B1A" w14:textId="77777777">
      <w:pPr>
        <w:jc w:val="both"/>
        <w:rPr>
          <w:sz w:val="26"/>
          <w:szCs w:val="26"/>
        </w:rPr>
      </w:pPr>
    </w:p>
    <w:p w:rsidR="00256A3B" w14:paraId="09152E2F" w14:textId="77777777">
      <w:pPr>
        <w:jc w:val="both"/>
        <w:rPr>
          <w:sz w:val="26"/>
          <w:szCs w:val="26"/>
        </w:rPr>
      </w:pPr>
      <w:r>
        <w:rPr>
          <w:sz w:val="26"/>
          <w:szCs w:val="26"/>
        </w:rPr>
        <w:t>There are no questions of a sensitive nature.</w:t>
      </w:r>
    </w:p>
    <w:p w:rsidR="00256A3B" w14:paraId="0C997B39" w14:textId="77777777">
      <w:pPr>
        <w:jc w:val="both"/>
        <w:rPr>
          <w:sz w:val="26"/>
          <w:szCs w:val="26"/>
        </w:rPr>
      </w:pPr>
    </w:p>
    <w:p w:rsidR="00256A3B" w14:paraId="7718EB62" w14:textId="77777777">
      <w:pPr>
        <w:jc w:val="both"/>
        <w:rPr>
          <w:b/>
          <w:bCs/>
          <w:sz w:val="26"/>
          <w:szCs w:val="26"/>
        </w:rPr>
      </w:pPr>
      <w:r>
        <w:rPr>
          <w:b/>
          <w:bCs/>
          <w:sz w:val="26"/>
          <w:szCs w:val="26"/>
        </w:rPr>
        <w:t>12.  Provide estimates of reporting burden.</w:t>
      </w:r>
    </w:p>
    <w:p w:rsidR="00256A3B" w14:paraId="120AF8DA" w14:textId="77777777">
      <w:pPr>
        <w:jc w:val="both"/>
        <w:rPr>
          <w:sz w:val="26"/>
          <w:szCs w:val="26"/>
        </w:rPr>
      </w:pPr>
    </w:p>
    <w:p w:rsidR="00256A3B" w:rsidP="00C60B8D" w14:paraId="49F98C8D" w14:textId="5711F197">
      <w:pPr>
        <w:tabs>
          <w:tab w:val="left" w:pos="-1440"/>
        </w:tabs>
        <w:ind w:left="5760" w:hanging="5760"/>
        <w:jc w:val="both"/>
        <w:rPr>
          <w:sz w:val="26"/>
          <w:szCs w:val="26"/>
        </w:rPr>
      </w:pPr>
      <w:r>
        <w:rPr>
          <w:sz w:val="26"/>
          <w:szCs w:val="26"/>
        </w:rPr>
        <w:t>Average number of Respondents</w:t>
      </w:r>
      <w:r w:rsidR="00B226AD">
        <w:rPr>
          <w:sz w:val="26"/>
          <w:szCs w:val="26"/>
        </w:rPr>
        <w:t>:</w:t>
      </w:r>
      <w:r>
        <w:rPr>
          <w:sz w:val="26"/>
          <w:szCs w:val="26"/>
        </w:rPr>
        <w:tab/>
        <w:t>2</w:t>
      </w:r>
      <w:r w:rsidR="006A2B90">
        <w:rPr>
          <w:sz w:val="26"/>
          <w:szCs w:val="26"/>
        </w:rPr>
        <w:t xml:space="preserve"> (monthly average)</w:t>
      </w:r>
      <w:r>
        <w:rPr>
          <w:sz w:val="26"/>
          <w:szCs w:val="26"/>
        </w:rPr>
        <w:tab/>
      </w:r>
      <w:r>
        <w:rPr>
          <w:sz w:val="26"/>
          <w:szCs w:val="26"/>
        </w:rPr>
        <w:tab/>
        <w:t xml:space="preserve"> </w:t>
      </w:r>
    </w:p>
    <w:p w:rsidR="00256A3B" w:rsidP="00C60B8D" w14:paraId="0591D066" w14:textId="7180A4A0">
      <w:pPr>
        <w:tabs>
          <w:tab w:val="left" w:pos="-1440"/>
        </w:tabs>
        <w:ind w:hanging="720"/>
        <w:jc w:val="both"/>
        <w:rPr>
          <w:sz w:val="26"/>
          <w:szCs w:val="26"/>
        </w:rPr>
      </w:pPr>
      <w:r>
        <w:rPr>
          <w:sz w:val="26"/>
          <w:szCs w:val="26"/>
        </w:rPr>
        <w:tab/>
      </w:r>
      <w:r w:rsidR="00797891">
        <w:rPr>
          <w:sz w:val="26"/>
          <w:szCs w:val="26"/>
        </w:rPr>
        <w:t xml:space="preserve">Number of annual responses:                                    </w:t>
      </w:r>
      <w:r w:rsidR="006A2B90">
        <w:rPr>
          <w:sz w:val="26"/>
          <w:szCs w:val="26"/>
        </w:rPr>
        <w:t xml:space="preserve">    </w:t>
      </w:r>
      <w:r w:rsidR="00797891">
        <w:rPr>
          <w:sz w:val="26"/>
          <w:szCs w:val="26"/>
        </w:rPr>
        <w:t>24</w:t>
      </w:r>
    </w:p>
    <w:p w:rsidR="00256A3B" w14:paraId="45F47DFF" w14:textId="666E091E">
      <w:pPr>
        <w:tabs>
          <w:tab w:val="left" w:pos="-1440"/>
        </w:tabs>
        <w:ind w:left="6480" w:hanging="6480"/>
        <w:jc w:val="both"/>
        <w:rPr>
          <w:sz w:val="26"/>
          <w:szCs w:val="26"/>
        </w:rPr>
      </w:pPr>
      <w:r>
        <w:rPr>
          <w:sz w:val="26"/>
          <w:szCs w:val="26"/>
        </w:rPr>
        <w:t xml:space="preserve">Total burden per response:                                            </w:t>
      </w:r>
      <w:r w:rsidR="00B226AD">
        <w:rPr>
          <w:sz w:val="26"/>
          <w:szCs w:val="26"/>
        </w:rPr>
        <w:t xml:space="preserve"> </w:t>
      </w:r>
      <w:r>
        <w:rPr>
          <w:sz w:val="26"/>
          <w:szCs w:val="26"/>
        </w:rPr>
        <w:t xml:space="preserve"> 1 hour</w:t>
      </w:r>
    </w:p>
    <w:p w:rsidR="00256A3B" w:rsidP="00C60B8D" w14:paraId="4F92682B" w14:textId="2660A6E1">
      <w:pPr>
        <w:tabs>
          <w:tab w:val="left" w:pos="-1440"/>
        </w:tabs>
        <w:ind w:left="5580" w:hanging="5580"/>
        <w:jc w:val="both"/>
        <w:rPr>
          <w:sz w:val="26"/>
          <w:szCs w:val="26"/>
        </w:rPr>
      </w:pPr>
      <w:r>
        <w:rPr>
          <w:sz w:val="26"/>
          <w:szCs w:val="26"/>
        </w:rPr>
        <w:t xml:space="preserve">Total </w:t>
      </w:r>
      <w:r w:rsidR="009C1577">
        <w:rPr>
          <w:sz w:val="26"/>
          <w:szCs w:val="26"/>
        </w:rPr>
        <w:t xml:space="preserve">annual </w:t>
      </w:r>
      <w:r>
        <w:rPr>
          <w:sz w:val="26"/>
          <w:szCs w:val="26"/>
        </w:rPr>
        <w:t>burden</w:t>
      </w:r>
      <w:r w:rsidR="009C1577">
        <w:rPr>
          <w:sz w:val="26"/>
          <w:szCs w:val="26"/>
        </w:rPr>
        <w:t>:</w:t>
      </w:r>
      <w:r>
        <w:rPr>
          <w:sz w:val="26"/>
          <w:szCs w:val="26"/>
        </w:rPr>
        <w:tab/>
        <w:t>24 hours</w:t>
      </w:r>
    </w:p>
    <w:p w:rsidR="00256A3B" w14:paraId="3EB30CDE" w14:textId="77777777">
      <w:pPr>
        <w:jc w:val="both"/>
        <w:rPr>
          <w:sz w:val="26"/>
          <w:szCs w:val="26"/>
        </w:rPr>
      </w:pPr>
    </w:p>
    <w:p w:rsidR="00256A3B" w14:paraId="760172EB" w14:textId="77777777">
      <w:pPr>
        <w:jc w:val="both"/>
        <w:rPr>
          <w:b/>
          <w:bCs/>
          <w:sz w:val="26"/>
          <w:szCs w:val="26"/>
        </w:rPr>
      </w:pPr>
      <w:r>
        <w:rPr>
          <w:b/>
          <w:bCs/>
          <w:sz w:val="26"/>
          <w:szCs w:val="26"/>
        </w:rPr>
        <w:t xml:space="preserve">13.  Provide an estimate of cost to the respondents.  Do not include the cost of any hour burden shown in items 12 and 14.  General estimates should not include purchase of equipment or services or portions thereof made prior to </w:t>
      </w:r>
      <w:r>
        <w:rPr>
          <w:b/>
          <w:bCs/>
          <w:sz w:val="26"/>
          <w:szCs w:val="26"/>
        </w:rPr>
        <w:t>October,</w:t>
      </w:r>
      <w:r>
        <w:rPr>
          <w:b/>
          <w:bCs/>
          <w:sz w:val="26"/>
          <w:szCs w:val="26"/>
        </w:rPr>
        <w:t xml:space="preserve"> 1995.</w:t>
      </w:r>
    </w:p>
    <w:p w:rsidR="00256A3B" w14:paraId="30A28C25" w14:textId="77777777">
      <w:pPr>
        <w:jc w:val="both"/>
        <w:rPr>
          <w:sz w:val="26"/>
          <w:szCs w:val="26"/>
        </w:rPr>
      </w:pPr>
    </w:p>
    <w:p w:rsidR="00256A3B" w14:paraId="66E73B22" w14:textId="77777777">
      <w:pPr>
        <w:jc w:val="both"/>
        <w:rPr>
          <w:sz w:val="26"/>
          <w:szCs w:val="26"/>
        </w:rPr>
      </w:pPr>
      <w:r>
        <w:rPr>
          <w:sz w:val="26"/>
          <w:szCs w:val="26"/>
        </w:rPr>
        <w:t>There are no other costs associated with this data collection.</w:t>
      </w:r>
    </w:p>
    <w:p w:rsidR="00256A3B" w14:paraId="4FD4836F" w14:textId="7178115A">
      <w:pPr>
        <w:jc w:val="both"/>
        <w:rPr>
          <w:sz w:val="26"/>
          <w:szCs w:val="26"/>
        </w:rPr>
      </w:pPr>
    </w:p>
    <w:p w:rsidR="00B226AD" w14:paraId="263E8E07" w14:textId="17270065">
      <w:pPr>
        <w:jc w:val="both"/>
        <w:rPr>
          <w:sz w:val="26"/>
          <w:szCs w:val="26"/>
        </w:rPr>
      </w:pPr>
    </w:p>
    <w:p w:rsidR="00B226AD" w14:paraId="4E46D2B8" w14:textId="061B539B">
      <w:pPr>
        <w:jc w:val="both"/>
        <w:rPr>
          <w:sz w:val="26"/>
          <w:szCs w:val="26"/>
        </w:rPr>
      </w:pPr>
    </w:p>
    <w:p w:rsidR="00B226AD" w14:paraId="6163068C" w14:textId="77777777">
      <w:pPr>
        <w:jc w:val="both"/>
        <w:rPr>
          <w:sz w:val="26"/>
          <w:szCs w:val="26"/>
        </w:rPr>
      </w:pPr>
    </w:p>
    <w:p w:rsidR="00256A3B" w14:paraId="1BDF9639" w14:textId="77777777">
      <w:pPr>
        <w:jc w:val="both"/>
        <w:rPr>
          <w:sz w:val="26"/>
          <w:szCs w:val="26"/>
        </w:rPr>
      </w:pPr>
      <w:r>
        <w:rPr>
          <w:b/>
          <w:bCs/>
          <w:sz w:val="26"/>
          <w:szCs w:val="26"/>
        </w:rPr>
        <w:t>14.  Provide estimates of annualized cost to the Federal Government.</w:t>
      </w:r>
    </w:p>
    <w:p w:rsidR="00256A3B" w14:paraId="6B92D655" w14:textId="77777777">
      <w:pPr>
        <w:jc w:val="both"/>
        <w:rPr>
          <w:sz w:val="26"/>
          <w:szCs w:val="26"/>
        </w:rPr>
      </w:pPr>
    </w:p>
    <w:p w:rsidR="00256A3B" w14:paraId="7B355B9C" w14:textId="77777777">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Indirect</w:t>
      </w:r>
    </w:p>
    <w:p w:rsidR="00256A3B" w14:paraId="49085CB1" w14:textId="77777777">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t>Direct</w:t>
      </w:r>
      <w:r>
        <w:rPr>
          <w:sz w:val="26"/>
          <w:szCs w:val="26"/>
        </w:rPr>
        <w:tab/>
      </w:r>
      <w:r>
        <w:rPr>
          <w:sz w:val="26"/>
          <w:szCs w:val="26"/>
        </w:rPr>
        <w:tab/>
        <w:t xml:space="preserve">   Costs\</w:t>
      </w:r>
      <w:r>
        <w:rPr>
          <w:sz w:val="26"/>
          <w:szCs w:val="26"/>
        </w:rPr>
        <w:tab/>
        <w:t>Total</w:t>
      </w:r>
    </w:p>
    <w:p w:rsidR="00256A3B" w14:paraId="60D8D73A" w14:textId="77777777">
      <w:pPr>
        <w:jc w:val="both"/>
        <w:rPr>
          <w:sz w:val="26"/>
          <w:szCs w:val="26"/>
          <w:u w:val="single"/>
        </w:rPr>
      </w:pPr>
      <w:r>
        <w:rPr>
          <w:sz w:val="26"/>
          <w:szCs w:val="26"/>
        </w:rPr>
        <w:tab/>
      </w:r>
      <w:r>
        <w:rPr>
          <w:sz w:val="26"/>
          <w:szCs w:val="26"/>
        </w:rPr>
        <w:tab/>
      </w:r>
      <w:r>
        <w:rPr>
          <w:sz w:val="26"/>
          <w:szCs w:val="26"/>
        </w:rPr>
        <w:tab/>
      </w:r>
      <w:r>
        <w:rPr>
          <w:sz w:val="26"/>
          <w:szCs w:val="26"/>
        </w:rPr>
        <w:tab/>
      </w:r>
      <w:r>
        <w:rPr>
          <w:sz w:val="26"/>
          <w:szCs w:val="26"/>
        </w:rPr>
        <w:tab/>
      </w:r>
      <w:r>
        <w:rPr>
          <w:sz w:val="26"/>
          <w:szCs w:val="26"/>
          <w:u w:val="single"/>
        </w:rPr>
        <w:t>Costs</w:t>
      </w:r>
      <w:r>
        <w:rPr>
          <w:sz w:val="26"/>
          <w:szCs w:val="26"/>
        </w:rPr>
        <w:tab/>
      </w:r>
      <w:r>
        <w:rPr>
          <w:sz w:val="26"/>
          <w:szCs w:val="26"/>
        </w:rPr>
        <w:tab/>
      </w:r>
      <w:r>
        <w:rPr>
          <w:sz w:val="26"/>
          <w:szCs w:val="26"/>
          <w:u w:val="single"/>
        </w:rPr>
        <w:t>Overhead</w:t>
      </w:r>
      <w:r>
        <w:rPr>
          <w:sz w:val="26"/>
          <w:szCs w:val="26"/>
        </w:rPr>
        <w:tab/>
      </w:r>
      <w:r>
        <w:rPr>
          <w:sz w:val="26"/>
          <w:szCs w:val="26"/>
          <w:u w:val="single"/>
        </w:rPr>
        <w:t>Costs</w:t>
      </w:r>
    </w:p>
    <w:p w:rsidR="00256A3B" w14:paraId="79C5BF9B" w14:textId="77777777">
      <w:pPr>
        <w:jc w:val="both"/>
        <w:rPr>
          <w:sz w:val="26"/>
          <w:szCs w:val="26"/>
        </w:rPr>
      </w:pPr>
      <w:r>
        <w:rPr>
          <w:sz w:val="26"/>
          <w:szCs w:val="26"/>
        </w:rPr>
        <w:t>Cost allocated to Form 183             $225</w:t>
      </w:r>
      <w:r>
        <w:rPr>
          <w:sz w:val="26"/>
          <w:szCs w:val="26"/>
        </w:rPr>
        <w:tab/>
      </w:r>
      <w:r>
        <w:rPr>
          <w:sz w:val="26"/>
          <w:szCs w:val="26"/>
        </w:rPr>
        <w:tab/>
        <w:t xml:space="preserve"> $375</w:t>
      </w:r>
      <w:r>
        <w:rPr>
          <w:sz w:val="26"/>
          <w:szCs w:val="26"/>
        </w:rPr>
        <w:tab/>
      </w:r>
      <w:r>
        <w:rPr>
          <w:sz w:val="26"/>
          <w:szCs w:val="26"/>
        </w:rPr>
        <w:tab/>
        <w:t xml:space="preserve"> $600</w:t>
      </w:r>
    </w:p>
    <w:p w:rsidR="00256A3B" w14:paraId="3254A0F5" w14:textId="77777777">
      <w:pPr>
        <w:jc w:val="both"/>
        <w:rPr>
          <w:sz w:val="26"/>
          <w:szCs w:val="26"/>
        </w:rPr>
      </w:pPr>
      <w:r>
        <w:rPr>
          <w:sz w:val="26"/>
          <w:szCs w:val="26"/>
        </w:rPr>
        <w:t>Cost of Reporting Directives</w:t>
      </w:r>
      <w:r>
        <w:rPr>
          <w:sz w:val="26"/>
          <w:szCs w:val="26"/>
        </w:rPr>
        <w:tab/>
        <w:t xml:space="preserve"> $ 75</w:t>
      </w:r>
      <w:r>
        <w:rPr>
          <w:sz w:val="26"/>
          <w:szCs w:val="26"/>
        </w:rPr>
        <w:tab/>
      </w:r>
      <w:r>
        <w:rPr>
          <w:sz w:val="26"/>
          <w:szCs w:val="26"/>
        </w:rPr>
        <w:tab/>
        <w:t xml:space="preserve"> $125</w:t>
      </w:r>
      <w:r>
        <w:rPr>
          <w:sz w:val="26"/>
          <w:szCs w:val="26"/>
        </w:rPr>
        <w:tab/>
      </w:r>
      <w:r>
        <w:rPr>
          <w:sz w:val="26"/>
          <w:szCs w:val="26"/>
        </w:rPr>
        <w:tab/>
        <w:t xml:space="preserve"> $200</w:t>
      </w:r>
    </w:p>
    <w:p w:rsidR="00256A3B" w14:paraId="73AFB663" w14:textId="77777777">
      <w:pPr>
        <w:jc w:val="both"/>
        <w:rPr>
          <w:sz w:val="26"/>
          <w:szCs w:val="26"/>
        </w:rPr>
      </w:pPr>
    </w:p>
    <w:p w:rsidR="00256A3B" w14:paraId="36F4D692" w14:textId="77777777">
      <w:pPr>
        <w:jc w:val="both"/>
        <w:rPr>
          <w:sz w:val="26"/>
          <w:szCs w:val="26"/>
        </w:rPr>
      </w:pPr>
      <w:r>
        <w:rPr>
          <w:sz w:val="26"/>
          <w:szCs w:val="26"/>
        </w:rPr>
        <w:t>The cost of the Reporting Directive is incurred every other year while the cost allocated to the Form 183 collection is an annual cost.</w:t>
      </w:r>
    </w:p>
    <w:p w:rsidR="00256A3B" w14:paraId="69D87A60" w14:textId="77777777">
      <w:pPr>
        <w:jc w:val="both"/>
        <w:rPr>
          <w:b/>
          <w:bCs/>
          <w:sz w:val="26"/>
          <w:szCs w:val="26"/>
        </w:rPr>
      </w:pPr>
    </w:p>
    <w:p w:rsidR="00256A3B" w14:paraId="30DB9ED3" w14:textId="77777777">
      <w:pPr>
        <w:jc w:val="both"/>
        <w:rPr>
          <w:b/>
          <w:bCs/>
          <w:sz w:val="26"/>
          <w:szCs w:val="26"/>
        </w:rPr>
        <w:sectPr>
          <w:endnotePr>
            <w:numFmt w:val="decimal"/>
          </w:endnotePr>
          <w:type w:val="continuous"/>
          <w:pgSz w:w="12240" w:h="15840"/>
          <w:pgMar w:top="1440" w:right="1440" w:bottom="1440" w:left="1440" w:header="1440" w:footer="1440" w:gutter="0"/>
          <w:cols w:space="720"/>
          <w:noEndnote/>
        </w:sectPr>
      </w:pPr>
    </w:p>
    <w:p w:rsidR="00256A3B" w14:paraId="7468D858" w14:textId="77777777">
      <w:pPr>
        <w:jc w:val="both"/>
        <w:rPr>
          <w:sz w:val="26"/>
          <w:szCs w:val="26"/>
        </w:rPr>
      </w:pPr>
      <w:r>
        <w:rPr>
          <w:b/>
          <w:bCs/>
          <w:sz w:val="26"/>
          <w:szCs w:val="26"/>
        </w:rPr>
        <w:t>15. Explain the reasons for any program changes or adjustments in Items 13 or 14 of OMB 83-I.</w:t>
      </w:r>
    </w:p>
    <w:p w:rsidR="00256A3B" w14:paraId="7540A40C" w14:textId="77777777">
      <w:pPr>
        <w:jc w:val="both"/>
        <w:rPr>
          <w:sz w:val="26"/>
          <w:szCs w:val="26"/>
        </w:rPr>
      </w:pPr>
    </w:p>
    <w:p w:rsidR="00256A3B" w14:paraId="4BE258C5" w14:textId="77777777">
      <w:pPr>
        <w:jc w:val="both"/>
        <w:rPr>
          <w:sz w:val="26"/>
          <w:szCs w:val="26"/>
        </w:rPr>
      </w:pPr>
      <w:r>
        <w:rPr>
          <w:sz w:val="26"/>
          <w:szCs w:val="26"/>
        </w:rPr>
        <w:t>The</w:t>
      </w:r>
      <w:r w:rsidR="00C42F81">
        <w:rPr>
          <w:sz w:val="26"/>
          <w:szCs w:val="26"/>
        </w:rPr>
        <w:t>re are no changes</w:t>
      </w:r>
      <w:r>
        <w:rPr>
          <w:sz w:val="26"/>
          <w:szCs w:val="26"/>
        </w:rPr>
        <w:t xml:space="preserve">. </w:t>
      </w:r>
    </w:p>
    <w:p w:rsidR="00256A3B" w14:paraId="45745382" w14:textId="77777777">
      <w:pPr>
        <w:jc w:val="both"/>
        <w:rPr>
          <w:sz w:val="26"/>
          <w:szCs w:val="26"/>
        </w:rPr>
      </w:pPr>
    </w:p>
    <w:p w:rsidR="00256A3B" w14:paraId="1AB4892E" w14:textId="77777777">
      <w:pPr>
        <w:jc w:val="both"/>
        <w:rPr>
          <w:b/>
          <w:bCs/>
          <w:sz w:val="26"/>
          <w:szCs w:val="26"/>
        </w:rPr>
      </w:pPr>
      <w:r>
        <w:rPr>
          <w:b/>
          <w:bCs/>
          <w:sz w:val="26"/>
          <w:szCs w:val="26"/>
        </w:rPr>
        <w:t>16.  Is the information received published?</w:t>
      </w:r>
    </w:p>
    <w:p w:rsidR="00256A3B" w14:paraId="1AFF7338" w14:textId="77777777">
      <w:pPr>
        <w:jc w:val="both"/>
        <w:rPr>
          <w:sz w:val="26"/>
          <w:szCs w:val="26"/>
        </w:rPr>
      </w:pPr>
    </w:p>
    <w:p w:rsidR="00256A3B" w14:paraId="54F3E616" w14:textId="77777777">
      <w:pPr>
        <w:jc w:val="both"/>
        <w:rPr>
          <w:sz w:val="26"/>
          <w:szCs w:val="26"/>
        </w:rPr>
      </w:pPr>
      <w:r>
        <w:rPr>
          <w:sz w:val="26"/>
          <w:szCs w:val="26"/>
        </w:rPr>
        <w:t>The Department compiles a monthly report based on Form 183 and sends the report to the Federal Election Commission.</w:t>
      </w:r>
    </w:p>
    <w:p w:rsidR="00256A3B" w14:paraId="2BCEC36B" w14:textId="77777777">
      <w:pPr>
        <w:jc w:val="both"/>
        <w:rPr>
          <w:sz w:val="26"/>
          <w:szCs w:val="26"/>
        </w:rPr>
      </w:pPr>
    </w:p>
    <w:p w:rsidR="00256A3B" w14:paraId="362BA927" w14:textId="77777777">
      <w:pPr>
        <w:pStyle w:val="BodyText2"/>
        <w:rPr>
          <w:b/>
          <w:bCs/>
        </w:rPr>
      </w:pPr>
      <w:r>
        <w:rPr>
          <w:b/>
          <w:bCs/>
        </w:rPr>
        <w:t>17.  If seeking approval to not display the expiration date for OMB approval of the information collection, explain the reasons that display would be inappropriate.</w:t>
      </w:r>
    </w:p>
    <w:p w:rsidR="00256A3B" w14:paraId="4405095F" w14:textId="77777777">
      <w:pPr>
        <w:jc w:val="both"/>
        <w:rPr>
          <w:b/>
          <w:bCs/>
          <w:sz w:val="26"/>
          <w:szCs w:val="26"/>
        </w:rPr>
      </w:pPr>
    </w:p>
    <w:p w:rsidR="00256A3B" w14:paraId="104550F0" w14:textId="77777777">
      <w:pPr>
        <w:jc w:val="both"/>
        <w:rPr>
          <w:sz w:val="26"/>
          <w:szCs w:val="26"/>
        </w:rPr>
      </w:pPr>
      <w:r>
        <w:rPr>
          <w:sz w:val="26"/>
          <w:szCs w:val="26"/>
        </w:rPr>
        <w:t>We are not seeking approval to not display the expiration date on the form.</w:t>
      </w:r>
    </w:p>
    <w:p w:rsidR="00256A3B" w14:paraId="4E3ECF58" w14:textId="77777777">
      <w:pPr>
        <w:jc w:val="both"/>
        <w:rPr>
          <w:sz w:val="26"/>
          <w:szCs w:val="26"/>
        </w:rPr>
      </w:pPr>
    </w:p>
    <w:p w:rsidR="00256A3B" w14:paraId="5AA539BC" w14:textId="77777777">
      <w:pPr>
        <w:jc w:val="both"/>
        <w:rPr>
          <w:b/>
          <w:bCs/>
          <w:sz w:val="24"/>
        </w:rPr>
      </w:pPr>
      <w:r>
        <w:rPr>
          <w:b/>
          <w:bCs/>
          <w:sz w:val="24"/>
          <w:szCs w:val="26"/>
        </w:rPr>
        <w:t xml:space="preserve">18. </w:t>
      </w:r>
      <w:r>
        <w:rPr>
          <w:b/>
          <w:bCs/>
          <w:sz w:val="24"/>
        </w:rPr>
        <w:t>Explain each exception to the certification statement identified in Item 19, “Certification for Paperwork Reduction Act Submissions,” of Form 83-I</w:t>
      </w:r>
    </w:p>
    <w:p w:rsidR="00256A3B" w14:paraId="0FA4C82D" w14:textId="77777777">
      <w:pPr>
        <w:jc w:val="both"/>
        <w:rPr>
          <w:b/>
          <w:bCs/>
          <w:sz w:val="26"/>
          <w:szCs w:val="26"/>
        </w:rPr>
      </w:pPr>
    </w:p>
    <w:p w:rsidR="00256A3B" w14:paraId="3FA028E2" w14:textId="77777777">
      <w:pPr>
        <w:jc w:val="both"/>
        <w:rPr>
          <w:sz w:val="26"/>
          <w:szCs w:val="26"/>
        </w:rPr>
      </w:pPr>
      <w:r>
        <w:rPr>
          <w:sz w:val="26"/>
          <w:szCs w:val="26"/>
        </w:rPr>
        <w:t>There are no exceptions.</w:t>
      </w:r>
    </w:p>
    <w:p w:rsidR="008B4068" w14:paraId="764FBE90" w14:textId="77777777">
      <w:pPr>
        <w:jc w:val="both"/>
        <w:rPr>
          <w:sz w:val="26"/>
          <w:szCs w:val="26"/>
        </w:rPr>
      </w:pPr>
    </w:p>
    <w:p w:rsidR="008B4068" w:rsidRPr="00160C2B" w:rsidP="008B4068" w14:paraId="6C4E8DA0" w14:textId="77777777">
      <w:pPr>
        <w:rPr>
          <w:b/>
          <w:bCs/>
          <w:sz w:val="26"/>
          <w:szCs w:val="26"/>
          <w:u w:val="single"/>
        </w:rPr>
      </w:pPr>
      <w:smartTag w:uri="urn:schemas-microsoft-com:office:smarttags" w:element="place">
        <w:r w:rsidRPr="00160C2B">
          <w:rPr>
            <w:b/>
            <w:bCs/>
            <w:sz w:val="26"/>
            <w:szCs w:val="26"/>
            <w:u w:val="single"/>
          </w:rPr>
          <w:t>MISSION</w:t>
        </w:r>
      </w:smartTag>
      <w:r w:rsidRPr="00160C2B">
        <w:rPr>
          <w:b/>
          <w:bCs/>
          <w:sz w:val="26"/>
          <w:szCs w:val="26"/>
          <w:u w:val="single"/>
        </w:rPr>
        <w:t xml:space="preserve"> STATEMENT</w:t>
      </w:r>
    </w:p>
    <w:p w:rsidR="008B4068" w:rsidP="008B4068" w14:paraId="1C9C21F2" w14:textId="77777777">
      <w:pPr>
        <w:rPr>
          <w:b/>
          <w:bCs/>
          <w:sz w:val="26"/>
          <w:szCs w:val="26"/>
        </w:rPr>
      </w:pPr>
    </w:p>
    <w:p w:rsidR="008B4068" w:rsidP="008B4068" w14:paraId="2CCF0D44" w14:textId="77777777">
      <w:pPr>
        <w:rPr>
          <w:sz w:val="26"/>
          <w:szCs w:val="26"/>
        </w:rPr>
      </w:pPr>
      <w:r>
        <w:rPr>
          <w:sz w:val="26"/>
          <w:szCs w:val="26"/>
        </w:rPr>
        <w:t>The Department of Transportation (DOT) relies heavily on the financial data reported on Form 41 to fulfill its strategic plan.  DOT needs to monitor and study the movement of aircraft and passengers in this new information age.  DOT is committed to guide and oversee America’s air transportation system today and into the future by taking note of statistical trends caused by globalization of the economy, the rise the knowledge economy, and the pervasive nature of the information revolution.</w:t>
      </w:r>
    </w:p>
    <w:p w:rsidR="008B4068" w:rsidP="008B4068" w14:paraId="1E3CC711" w14:textId="77777777">
      <w:pPr>
        <w:rPr>
          <w:sz w:val="26"/>
          <w:szCs w:val="26"/>
        </w:rPr>
      </w:pPr>
    </w:p>
    <w:p w:rsidR="008B4068" w:rsidP="008B4068" w14:paraId="1CAD9718" w14:textId="77777777">
      <w:pPr>
        <w:rPr>
          <w:sz w:val="26"/>
          <w:szCs w:val="26"/>
        </w:rPr>
      </w:pPr>
      <w:r>
        <w:rPr>
          <w:sz w:val="26"/>
          <w:szCs w:val="26"/>
        </w:rPr>
        <w:t>Four economic trends impact transportation: (1) the globalization of commerce, (2) a growing attention to logistics in the production process, (3) a greater reliance on private investment in transportation industry, and (4) the rise of competing and complementary technologies.  The accelerated application of advanced information technologies, competitive techniques, and traffic flow information systems affect the transportation industry.  Adoption of these information-related technologies will facilitate the collection, management, integration, and distribution of more transportation information in less time with better accuracy and broader application.</w:t>
      </w:r>
    </w:p>
    <w:p w:rsidR="008B4068" w14:paraId="4A8A24DF" w14:textId="77777777">
      <w:pPr>
        <w:jc w:val="both"/>
        <w:rPr>
          <w:sz w:val="26"/>
          <w:szCs w:val="26"/>
        </w:rPr>
      </w:pPr>
    </w:p>
    <w:sectPr w:rsidSect="009C1577">
      <w:endnotePr>
        <w:numFmt w:val="decimal"/>
      </w:endnotePr>
      <w:type w:val="continuous"/>
      <w:pgSz w:w="12240" w:h="15840"/>
      <w:pgMar w:top="1440" w:right="1440" w:bottom="1008"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56A3B" w14:paraId="7D2DC10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256A3B" w14:paraId="5F5420A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56A3B" w14:paraId="07E7C95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7D58">
      <w:rPr>
        <w:rStyle w:val="PageNumber"/>
        <w:noProof/>
      </w:rPr>
      <w:t>4</w:t>
    </w:r>
    <w:r>
      <w:rPr>
        <w:rStyle w:val="PageNumber"/>
      </w:rPr>
      <w:fldChar w:fldCharType="end"/>
    </w:r>
  </w:p>
  <w:p w:rsidR="00256A3B" w14:paraId="62235762"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E1F07278"/>
    <w:lvl w:ilvl="0">
      <w:start w:val="0"/>
      <w:numFmt w:val="decimal"/>
      <w:lvlText w:val="*"/>
      <w:lvlJc w:val="left"/>
    </w:lvl>
  </w:abstractNum>
  <w:num w:numId="1" w16cid:durableId="118769091">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oone, Kim (OST)">
    <w15:presenceInfo w15:providerId="AD" w15:userId="S::Kim.Toone@ad.dot.gov::5298e2f7-b74f-4a73-98d1-df8b98c0784c"/>
  </w15:person>
  <w15:person w15:author="Rodes, Jennifer (OST)">
    <w15:presenceInfo w15:providerId="AD" w15:userId="S::Jennifer.Rodes@ad.dot.gov::aefe4b28-0ceb-4382-a7a1-4564d0198d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E1"/>
    <w:rsid w:val="00083856"/>
    <w:rsid w:val="000B7D58"/>
    <w:rsid w:val="000C5771"/>
    <w:rsid w:val="00160C2B"/>
    <w:rsid w:val="001B76F2"/>
    <w:rsid w:val="001E44E1"/>
    <w:rsid w:val="00256A3B"/>
    <w:rsid w:val="002F73D3"/>
    <w:rsid w:val="003122E1"/>
    <w:rsid w:val="0040423A"/>
    <w:rsid w:val="00443D46"/>
    <w:rsid w:val="005701E6"/>
    <w:rsid w:val="00593E64"/>
    <w:rsid w:val="00636BBB"/>
    <w:rsid w:val="006A2B90"/>
    <w:rsid w:val="006B50BE"/>
    <w:rsid w:val="00723C59"/>
    <w:rsid w:val="00797891"/>
    <w:rsid w:val="007E51A5"/>
    <w:rsid w:val="008A0AEF"/>
    <w:rsid w:val="008A58CA"/>
    <w:rsid w:val="008B3561"/>
    <w:rsid w:val="008B4068"/>
    <w:rsid w:val="00912990"/>
    <w:rsid w:val="00945190"/>
    <w:rsid w:val="00983C85"/>
    <w:rsid w:val="00995F93"/>
    <w:rsid w:val="009B7302"/>
    <w:rsid w:val="009C1577"/>
    <w:rsid w:val="00AA4E43"/>
    <w:rsid w:val="00AB4DF6"/>
    <w:rsid w:val="00AC14D2"/>
    <w:rsid w:val="00B14F26"/>
    <w:rsid w:val="00B226AD"/>
    <w:rsid w:val="00B56819"/>
    <w:rsid w:val="00BA3BBE"/>
    <w:rsid w:val="00BF0E73"/>
    <w:rsid w:val="00C04282"/>
    <w:rsid w:val="00C1746A"/>
    <w:rsid w:val="00C42F81"/>
    <w:rsid w:val="00C45A9A"/>
    <w:rsid w:val="00C5181E"/>
    <w:rsid w:val="00C60B8D"/>
    <w:rsid w:val="00C9048A"/>
    <w:rsid w:val="00CF6E70"/>
    <w:rsid w:val="00D12461"/>
    <w:rsid w:val="00D67818"/>
    <w:rsid w:val="00DE5231"/>
    <w:rsid w:val="00E50823"/>
    <w:rsid w:val="00EB67E7"/>
    <w:rsid w:val="00F42A50"/>
    <w:rsid w:val="00FB1196"/>
    <w:rsid w:val="00FC19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0E42E6"/>
  <w15:chartTrackingRefBased/>
  <w15:docId w15:val="{9C97CBD6-D56A-4299-8A7E-2232F115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odyText2">
    <w:name w:val="Body Text 2"/>
    <w:basedOn w:val="Normal"/>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723C59"/>
    <w:rPr>
      <w:szCs w:val="24"/>
    </w:rPr>
  </w:style>
  <w:style w:type="character" w:styleId="CommentReference">
    <w:name w:val="annotation reference"/>
    <w:basedOn w:val="DefaultParagraphFont"/>
    <w:rsid w:val="00B226AD"/>
    <w:rPr>
      <w:sz w:val="16"/>
      <w:szCs w:val="16"/>
    </w:rPr>
  </w:style>
  <w:style w:type="paragraph" w:styleId="CommentText">
    <w:name w:val="annotation text"/>
    <w:basedOn w:val="Normal"/>
    <w:link w:val="CommentTextChar"/>
    <w:rsid w:val="00B226AD"/>
    <w:rPr>
      <w:szCs w:val="20"/>
    </w:rPr>
  </w:style>
  <w:style w:type="character" w:customStyle="1" w:styleId="CommentTextChar">
    <w:name w:val="Comment Text Char"/>
    <w:basedOn w:val="DefaultParagraphFont"/>
    <w:link w:val="CommentText"/>
    <w:rsid w:val="00B226AD"/>
  </w:style>
  <w:style w:type="paragraph" w:styleId="CommentSubject">
    <w:name w:val="annotation subject"/>
    <w:basedOn w:val="CommentText"/>
    <w:next w:val="CommentText"/>
    <w:link w:val="CommentSubjectChar"/>
    <w:rsid w:val="00B226AD"/>
    <w:rPr>
      <w:b/>
      <w:bCs/>
    </w:rPr>
  </w:style>
  <w:style w:type="character" w:customStyle="1" w:styleId="CommentSubjectChar">
    <w:name w:val="Comment Subject Char"/>
    <w:basedOn w:val="CommentTextChar"/>
    <w:link w:val="CommentSubject"/>
    <w:rsid w:val="00B226AD"/>
    <w:rPr>
      <w:b/>
      <w:bCs/>
    </w:rPr>
  </w:style>
  <w:style w:type="paragraph" w:styleId="BodyText">
    <w:name w:val="Body Text"/>
    <w:basedOn w:val="Normal"/>
    <w:link w:val="BodyTextChar"/>
    <w:rsid w:val="00B14F26"/>
    <w:pPr>
      <w:spacing w:after="120"/>
    </w:pPr>
  </w:style>
  <w:style w:type="character" w:customStyle="1" w:styleId="BodyTextChar">
    <w:name w:val="Body Text Char"/>
    <w:basedOn w:val="DefaultParagraphFont"/>
    <w:link w:val="BodyText"/>
    <w:rsid w:val="00B14F2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BTS</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bstankus</dc:creator>
  <cp:lastModifiedBy>Webb, Kimberly (OST)</cp:lastModifiedBy>
  <cp:revision>2</cp:revision>
  <cp:lastPrinted>2003-05-08T17:15:00Z</cp:lastPrinted>
  <dcterms:created xsi:type="dcterms:W3CDTF">2024-04-02T16:40:00Z</dcterms:created>
  <dcterms:modified xsi:type="dcterms:W3CDTF">2024-04-02T16:40:00Z</dcterms:modified>
</cp:coreProperties>
</file>