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075A03" w:rsidRPr="0029762B">
      <w:pPr>
        <w:jc w:val="center"/>
        <w:rPr>
          <w:rFonts w:ascii="Times New Roman" w:hAnsi="Times New Roman"/>
          <w:b/>
          <w:bCs/>
          <w:sz w:val="32"/>
          <w:szCs w:val="32"/>
        </w:rPr>
      </w:pPr>
      <w:r w:rsidRPr="0029762B">
        <w:rPr>
          <w:rFonts w:ascii="Times New Roman" w:hAnsi="Times New Roman"/>
          <w:b/>
          <w:bCs/>
          <w:sz w:val="32"/>
          <w:szCs w:val="32"/>
        </w:rPr>
        <w:t>Supporting Statement</w:t>
      </w:r>
    </w:p>
    <w:p w:rsidR="00075A03" w:rsidRPr="0029762B">
      <w:pPr>
        <w:jc w:val="center"/>
        <w:outlineLvl w:val="0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Prompt Corrective Action</w:t>
      </w:r>
    </w:p>
    <w:p w:rsidR="00075A03" w:rsidRPr="0029762B">
      <w:pPr>
        <w:jc w:val="center"/>
        <w:outlineLvl w:val="0"/>
        <w:rPr>
          <w:rFonts w:ascii="Times New Roman" w:hAnsi="Times New Roman"/>
          <w:b/>
          <w:bCs/>
          <w:sz w:val="32"/>
          <w:szCs w:val="32"/>
        </w:rPr>
      </w:pPr>
      <w:r w:rsidRPr="0029762B">
        <w:rPr>
          <w:rFonts w:ascii="Times New Roman" w:hAnsi="Times New Roman"/>
          <w:b/>
          <w:bCs/>
          <w:sz w:val="32"/>
          <w:szCs w:val="32"/>
        </w:rPr>
        <w:t>OMB Control No. 3064-</w:t>
      </w:r>
      <w:r w:rsidR="0029762B">
        <w:rPr>
          <w:rFonts w:ascii="Times New Roman" w:hAnsi="Times New Roman"/>
          <w:b/>
          <w:bCs/>
          <w:sz w:val="32"/>
          <w:szCs w:val="32"/>
        </w:rPr>
        <w:t>0115</w:t>
      </w:r>
    </w:p>
    <w:p w:rsidR="00075A03">
      <w:pPr>
        <w:jc w:val="center"/>
        <w:outlineLvl w:val="0"/>
        <w:rPr>
          <w:rFonts w:ascii="Times New Roman" w:hAnsi="Times New Roman"/>
          <w:b/>
          <w:bCs/>
          <w:szCs w:val="24"/>
        </w:rPr>
      </w:pPr>
    </w:p>
    <w:p w:rsidR="00075A03">
      <w:pPr>
        <w:rPr>
          <w:rFonts w:ascii="Times New Roman" w:hAnsi="Times New Roman"/>
          <w:szCs w:val="24"/>
        </w:rPr>
      </w:pPr>
    </w:p>
    <w:p w:rsidR="00075A03">
      <w:pPr>
        <w:tabs>
          <w:tab w:val="left" w:pos="-1440"/>
        </w:tabs>
        <w:ind w:left="720" w:hanging="720"/>
        <w:outlineLvl w:val="0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  <w:u w:val="single"/>
        </w:rPr>
        <w:t>Introduction</w:t>
      </w:r>
    </w:p>
    <w:p w:rsidR="00075A03">
      <w:pPr>
        <w:tabs>
          <w:tab w:val="left" w:pos="-1440"/>
        </w:tabs>
        <w:ind w:left="720" w:hanging="720"/>
        <w:outlineLvl w:val="0"/>
        <w:rPr>
          <w:rFonts w:ascii="Times New Roman" w:hAnsi="Times New Roman"/>
          <w:szCs w:val="24"/>
          <w:u w:val="single"/>
        </w:rPr>
      </w:pPr>
    </w:p>
    <w:p w:rsidR="00075A03">
      <w:pPr>
        <w:tabs>
          <w:tab w:val="left" w:pos="-1440"/>
        </w:tabs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The FDIC is requesting OMB approval </w:t>
      </w:r>
      <w:r w:rsidR="00D52AF3">
        <w:rPr>
          <w:rFonts w:ascii="Times New Roman" w:hAnsi="Times New Roman"/>
          <w:szCs w:val="24"/>
        </w:rPr>
        <w:t>of an extension, without change, of</w:t>
      </w:r>
      <w:r w:rsidR="00E91C26">
        <w:rPr>
          <w:rFonts w:ascii="Times New Roman" w:hAnsi="Times New Roman"/>
          <w:szCs w:val="24"/>
        </w:rPr>
        <w:t xml:space="preserve"> an existing </w:t>
      </w:r>
      <w:r>
        <w:rPr>
          <w:rFonts w:ascii="Times New Roman" w:hAnsi="Times New Roman"/>
          <w:szCs w:val="24"/>
        </w:rPr>
        <w:t>information collection.  The collection of information is comprised of reporting</w:t>
      </w:r>
      <w:r w:rsidR="00D52AF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requirements </w:t>
      </w:r>
      <w:r w:rsidRPr="00D52AF3" w:rsidR="00D52AF3">
        <w:rPr>
          <w:rFonts w:ascii="Times New Roman" w:hAnsi="Times New Roman"/>
        </w:rPr>
        <w:t xml:space="preserve">contained in FDIC regulations 12 CFR parts 303, </w:t>
      </w:r>
      <w:r w:rsidR="00D52AF3">
        <w:rPr>
          <w:rFonts w:ascii="Times New Roman" w:hAnsi="Times New Roman"/>
        </w:rPr>
        <w:t>324, and 390</w:t>
      </w:r>
      <w:r w:rsidR="00D52AF3">
        <w:rPr>
          <w:rFonts w:ascii="Times New Roman" w:hAnsi="Times New Roman"/>
          <w:szCs w:val="24"/>
        </w:rPr>
        <w:t xml:space="preserve"> </w:t>
      </w:r>
      <w:r w:rsidRPr="00D52AF3" w:rsidR="00D52AF3">
        <w:rPr>
          <w:rFonts w:ascii="Times New Roman" w:hAnsi="Times New Roman"/>
        </w:rPr>
        <w:t xml:space="preserve">associated with Prompt Corrective Action (“PCA”).  </w:t>
      </w:r>
      <w:r w:rsidR="00D52AF3">
        <w:rPr>
          <w:rFonts w:ascii="Times New Roman" w:hAnsi="Times New Roman"/>
        </w:rPr>
        <w:t>The current clearance for this collection of information</w:t>
      </w:r>
      <w:r w:rsidRPr="00D52AF3" w:rsidR="00D52AF3">
        <w:rPr>
          <w:rFonts w:ascii="Times New Roman" w:hAnsi="Times New Roman"/>
        </w:rPr>
        <w:t xml:space="preserve"> expires on </w:t>
      </w:r>
      <w:r w:rsidR="005765FF">
        <w:rPr>
          <w:rFonts w:ascii="Times New Roman" w:hAnsi="Times New Roman"/>
        </w:rPr>
        <w:t>June 30, 2024</w:t>
      </w:r>
      <w:r w:rsidRPr="00D52AF3" w:rsidR="00D52AF3">
        <w:rPr>
          <w:rFonts w:ascii="Times New Roman" w:hAnsi="Times New Roman"/>
        </w:rPr>
        <w:t>.</w:t>
      </w:r>
    </w:p>
    <w:p w:rsidR="00075A03">
      <w:pPr>
        <w:tabs>
          <w:tab w:val="left" w:pos="-1440"/>
        </w:tabs>
        <w:ind w:left="720" w:hanging="720"/>
        <w:outlineLvl w:val="0"/>
        <w:rPr>
          <w:rFonts w:ascii="Times New Roman" w:hAnsi="Times New Roman"/>
          <w:szCs w:val="24"/>
          <w:u w:val="single"/>
        </w:rPr>
      </w:pPr>
    </w:p>
    <w:p w:rsidR="00075A03">
      <w:pPr>
        <w:tabs>
          <w:tab w:val="left" w:pos="-1440"/>
        </w:tabs>
        <w:ind w:left="720" w:hanging="720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A. Justification.</w:t>
      </w:r>
    </w:p>
    <w:p w:rsidR="00075A03">
      <w:pPr>
        <w:rPr>
          <w:rFonts w:ascii="Times New Roman" w:hAnsi="Times New Roman"/>
          <w:szCs w:val="24"/>
        </w:rPr>
      </w:pPr>
    </w:p>
    <w:p w:rsidR="00075A03">
      <w:pPr>
        <w:tabs>
          <w:tab w:val="left" w:pos="-1440"/>
        </w:tabs>
        <w:ind w:left="720" w:hanging="720"/>
        <w:outlineLvl w:val="0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</w:rPr>
        <w:t xml:space="preserve">1. </w:t>
      </w:r>
      <w:r>
        <w:rPr>
          <w:rFonts w:ascii="Times New Roman" w:hAnsi="Times New Roman"/>
          <w:szCs w:val="24"/>
          <w:u w:val="single"/>
        </w:rPr>
        <w:t>Circumstances that make the collection necessary:</w:t>
      </w:r>
    </w:p>
    <w:p w:rsidR="00075A03">
      <w:pPr>
        <w:ind w:firstLine="720"/>
        <w:rPr>
          <w:rFonts w:ascii="Times New Roman" w:hAnsi="Times New Roman"/>
          <w:szCs w:val="24"/>
        </w:rPr>
      </w:pPr>
    </w:p>
    <w:p w:rsidR="00AF78CB" w:rsidP="00714F75">
      <w:pPr>
        <w:ind w:left="270"/>
        <w:rPr>
          <w:rFonts w:ascii="Times New Roman" w:hAnsi="Times New Roman"/>
        </w:rPr>
      </w:pPr>
      <w:r w:rsidRPr="00AF78CB">
        <w:rPr>
          <w:rFonts w:ascii="Times New Roman" w:hAnsi="Times New Roman"/>
        </w:rPr>
        <w:t>The PCA provisions of section 38 of the Federal Deposit Insurance Act require or permit the FDIC and other federal banking agencies to take certain supervisory actions when FDIC-insured institutions fall within certain PCA categories.  They also restrict or prohibit certain activities and require the submission of a capital restoration plan when an insured institution becomes undercapitalized</w:t>
      </w:r>
      <w:r w:rsidRPr="00AF78CB">
        <w:rPr>
          <w:rFonts w:ascii="Times New Roman" w:hAnsi="Times New Roman"/>
        </w:rPr>
        <w:t xml:space="preserve">. </w:t>
      </w:r>
      <w:r w:rsidRPr="00AF78CB">
        <w:rPr>
          <w:rFonts w:ascii="Times New Roman" w:hAnsi="Times New Roman"/>
        </w:rPr>
        <w:t>Various provisions of the statute and the FDIC’s implementing regulations require the prior approval of the FDIC before an FDIC-supervised institution, or certain insured depository institutions, can engage in certain activities, or allow the FDIC to make exceptions to restrictions that would otherwise be imposed</w:t>
      </w:r>
      <w:r w:rsidRPr="00AF78CB">
        <w:rPr>
          <w:rFonts w:ascii="Times New Roman" w:hAnsi="Times New Roman"/>
        </w:rPr>
        <w:t xml:space="preserve">. </w:t>
      </w:r>
      <w:r w:rsidRPr="00AF78CB">
        <w:rPr>
          <w:rFonts w:ascii="Times New Roman" w:hAnsi="Times New Roman"/>
        </w:rPr>
        <w:t xml:space="preserve">This collection </w:t>
      </w:r>
      <w:r w:rsidR="00714F75">
        <w:rPr>
          <w:rFonts w:ascii="Times New Roman" w:hAnsi="Times New Roman"/>
        </w:rPr>
        <w:t xml:space="preserve">of </w:t>
      </w:r>
      <w:r w:rsidRPr="00AF78CB">
        <w:rPr>
          <w:rFonts w:ascii="Times New Roman" w:hAnsi="Times New Roman"/>
        </w:rPr>
        <w:t>information consists of the applications that are required to obtain the FDIC’s prior approval.</w:t>
      </w:r>
    </w:p>
    <w:p w:rsidR="00AF78CB" w:rsidP="00AF78CB">
      <w:pPr>
        <w:rPr>
          <w:rFonts w:ascii="Times New Roman" w:hAnsi="Times New Roman"/>
        </w:rPr>
      </w:pPr>
    </w:p>
    <w:p w:rsidR="00AF78CB" w:rsidRPr="00AF78CB" w:rsidP="00714F75">
      <w:pPr>
        <w:ind w:left="270"/>
        <w:rPr>
          <w:rFonts w:ascii="Times New Roman" w:hAnsi="Times New Roman"/>
        </w:rPr>
      </w:pPr>
      <w:r w:rsidRPr="00AF78CB">
        <w:rPr>
          <w:rFonts w:ascii="Times New Roman" w:hAnsi="Times New Roman"/>
        </w:rPr>
        <w:t>Specifically, the collection consists of applications: (1) to make a capital distribution from an FDIC-supervised institution that would be undercapitalized after making said distribution; (2) from certain undercapitalized institutions to engage in any new line of business; (3) from critically undercapitalized institutions to pay interest on subordinated debt; (4) from certain undercapitalized institutions to pay any bonus or increased compensation to any senior executive officer; (5) from critically undercapitalized institutions to enter into any material transaction other than in the usual course of business; (6) from critically undercapitalized institutions to extend credit for any highly leveraged transaction; (7) from critically undercapitalized institutions to amend their charters or bylaws under certain circumstances; (8) from critically undercapitalized institutions to make any material change in accounting methods; (9) from critically undercapitalized institutions to engage in any covered transaction as defined in section 23A(b) of the Federal Reserve Act, 12 USC 371c; and (10) from critically undercapitalized institutions to pay excessive compensation or bonuses.</w:t>
      </w:r>
    </w:p>
    <w:p w:rsidR="00852CF8">
      <w:pPr>
        <w:widowControl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br w:type="page"/>
      </w:r>
    </w:p>
    <w:p w:rsidR="00075A03" w:rsidP="00852CF8">
      <w:pPr>
        <w:widowControl/>
        <w:rPr>
          <w:rFonts w:ascii="Times New Roman" w:hAnsi="Times New Roman"/>
          <w:color w:val="000000"/>
          <w:szCs w:val="24"/>
        </w:rPr>
      </w:pPr>
    </w:p>
    <w:p w:rsidR="00075A03">
      <w:pPr>
        <w:tabs>
          <w:tab w:val="left" w:pos="-1440"/>
        </w:tabs>
        <w:ind w:left="4320" w:hanging="4320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2. </w:t>
      </w:r>
      <w:r>
        <w:rPr>
          <w:rFonts w:ascii="Times New Roman" w:hAnsi="Times New Roman"/>
          <w:szCs w:val="24"/>
          <w:u w:val="single"/>
        </w:rPr>
        <w:t>Use of the information</w:t>
      </w:r>
      <w:r w:rsidR="00852CF8">
        <w:rPr>
          <w:rFonts w:ascii="Times New Roman" w:hAnsi="Times New Roman"/>
          <w:szCs w:val="24"/>
        </w:rPr>
        <w:t>:</w:t>
      </w:r>
    </w:p>
    <w:p w:rsidR="00852CF8" w:rsidP="00852CF8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</w:p>
    <w:p w:rsidR="00075A03" w:rsidRPr="00852CF8" w:rsidP="00AC1588">
      <w:pPr>
        <w:ind w:left="270"/>
        <w:rPr>
          <w:rFonts w:ascii="Times New Roman" w:hAnsi="Times New Roman"/>
          <w:snapToGrid/>
          <w:szCs w:val="24"/>
        </w:rPr>
      </w:pPr>
      <w:r w:rsidRPr="00AF78CB">
        <w:rPr>
          <w:rFonts w:ascii="Times New Roman" w:hAnsi="Times New Roman"/>
          <w:snapToGrid/>
          <w:szCs w:val="24"/>
        </w:rPr>
        <w:t>This</w:t>
      </w:r>
      <w:r w:rsidRPr="00AF78CB">
        <w:rPr>
          <w:rFonts w:ascii="Times New Roman" w:hAnsi="Times New Roman"/>
          <w:snapToGrid/>
          <w:spacing w:val="-4"/>
          <w:szCs w:val="24"/>
        </w:rPr>
        <w:t xml:space="preserve"> </w:t>
      </w:r>
      <w:r w:rsidRPr="00714F75">
        <w:rPr>
          <w:rFonts w:ascii="Times New Roman" w:hAnsi="Times New Roman"/>
        </w:rPr>
        <w:t>in</w:t>
      </w:r>
      <w:r w:rsidRPr="00714F75">
        <w:rPr>
          <w:rFonts w:ascii="Times New Roman" w:hAnsi="Times New Roman"/>
          <w:spacing w:val="-1"/>
        </w:rPr>
        <w:t>f</w:t>
      </w:r>
      <w:r w:rsidRPr="00714F75">
        <w:rPr>
          <w:rFonts w:ascii="Times New Roman" w:hAnsi="Times New Roman"/>
        </w:rPr>
        <w:t>ormation</w:t>
      </w:r>
      <w:r w:rsidRPr="00AF78CB">
        <w:rPr>
          <w:rFonts w:ascii="Times New Roman" w:hAnsi="Times New Roman"/>
          <w:snapToGrid/>
          <w:spacing w:val="-10"/>
          <w:szCs w:val="24"/>
        </w:rPr>
        <w:t xml:space="preserve"> </w:t>
      </w:r>
      <w:r w:rsidRPr="00732394">
        <w:rPr>
          <w:rFonts w:ascii="Times New Roman" w:hAnsi="Times New Roman"/>
        </w:rPr>
        <w:t>h</w:t>
      </w:r>
      <w:r w:rsidRPr="00732394">
        <w:rPr>
          <w:rFonts w:ascii="Times New Roman" w:hAnsi="Times New Roman"/>
          <w:spacing w:val="-1"/>
        </w:rPr>
        <w:t>e</w:t>
      </w:r>
      <w:r w:rsidRPr="00732394">
        <w:rPr>
          <w:rFonts w:ascii="Times New Roman" w:hAnsi="Times New Roman"/>
        </w:rPr>
        <w:t>lps</w:t>
      </w:r>
      <w:r w:rsidRPr="00AF78CB">
        <w:rPr>
          <w:rFonts w:ascii="Times New Roman" w:hAnsi="Times New Roman"/>
          <w:snapToGrid/>
          <w:spacing w:val="-5"/>
          <w:szCs w:val="24"/>
        </w:rPr>
        <w:t xml:space="preserve"> </w:t>
      </w:r>
      <w:r w:rsidRPr="00732394">
        <w:rPr>
          <w:rFonts w:ascii="Times New Roman" w:hAnsi="Times New Roman"/>
        </w:rPr>
        <w:t>instit</w:t>
      </w:r>
      <w:r w:rsidRPr="00732394">
        <w:rPr>
          <w:rFonts w:ascii="Times New Roman" w:hAnsi="Times New Roman"/>
          <w:spacing w:val="-1"/>
        </w:rPr>
        <w:t>u</w:t>
      </w:r>
      <w:r w:rsidRPr="00732394">
        <w:rPr>
          <w:rFonts w:ascii="Times New Roman" w:hAnsi="Times New Roman"/>
        </w:rPr>
        <w:t>tio</w:t>
      </w:r>
      <w:r w:rsidRPr="00732394">
        <w:rPr>
          <w:rFonts w:ascii="Times New Roman" w:hAnsi="Times New Roman"/>
          <w:spacing w:val="-1"/>
        </w:rPr>
        <w:t>n</w:t>
      </w:r>
      <w:r w:rsidRPr="00732394">
        <w:rPr>
          <w:rFonts w:ascii="Times New Roman" w:hAnsi="Times New Roman"/>
        </w:rPr>
        <w:t>s</w:t>
      </w:r>
      <w:r w:rsidRPr="00AF78CB">
        <w:rPr>
          <w:rFonts w:ascii="Times New Roman" w:hAnsi="Times New Roman"/>
          <w:snapToGrid/>
          <w:spacing w:val="-10"/>
          <w:szCs w:val="24"/>
        </w:rPr>
        <w:t xml:space="preserve"> </w:t>
      </w:r>
      <w:r w:rsidRPr="00AF78CB">
        <w:rPr>
          <w:rFonts w:ascii="Times New Roman" w:hAnsi="Times New Roman"/>
          <w:snapToGrid/>
          <w:spacing w:val="-1"/>
          <w:szCs w:val="24"/>
        </w:rPr>
        <w:t>c</w:t>
      </w:r>
      <w:r w:rsidRPr="00AF78CB">
        <w:rPr>
          <w:rFonts w:ascii="Times New Roman" w:hAnsi="Times New Roman"/>
          <w:snapToGrid/>
          <w:spacing w:val="1"/>
          <w:szCs w:val="24"/>
        </w:rPr>
        <w:t>o</w:t>
      </w:r>
      <w:r w:rsidRPr="00AF78CB">
        <w:rPr>
          <w:rFonts w:ascii="Times New Roman" w:hAnsi="Times New Roman"/>
          <w:snapToGrid/>
          <w:spacing w:val="-2"/>
          <w:szCs w:val="24"/>
        </w:rPr>
        <w:t>m</w:t>
      </w:r>
      <w:r w:rsidRPr="00AF78CB">
        <w:rPr>
          <w:rFonts w:ascii="Times New Roman" w:hAnsi="Times New Roman"/>
          <w:snapToGrid/>
          <w:szCs w:val="24"/>
        </w:rPr>
        <w:t>ply</w:t>
      </w:r>
      <w:r w:rsidRPr="00AF78CB">
        <w:rPr>
          <w:rFonts w:ascii="Times New Roman" w:hAnsi="Times New Roman"/>
          <w:snapToGrid/>
          <w:spacing w:val="-5"/>
          <w:szCs w:val="24"/>
        </w:rPr>
        <w:t xml:space="preserve"> </w:t>
      </w:r>
      <w:r w:rsidRPr="00AF78CB">
        <w:rPr>
          <w:rFonts w:ascii="Times New Roman" w:hAnsi="Times New Roman"/>
          <w:snapToGrid/>
          <w:szCs w:val="24"/>
        </w:rPr>
        <w:t>with</w:t>
      </w:r>
      <w:r w:rsidRPr="00AF78CB">
        <w:rPr>
          <w:rFonts w:ascii="Times New Roman" w:hAnsi="Times New Roman"/>
          <w:snapToGrid/>
          <w:spacing w:val="-4"/>
          <w:szCs w:val="24"/>
        </w:rPr>
        <w:t xml:space="preserve"> </w:t>
      </w:r>
      <w:r w:rsidRPr="00AF78CB">
        <w:rPr>
          <w:rFonts w:ascii="Times New Roman" w:hAnsi="Times New Roman"/>
          <w:snapToGrid/>
          <w:szCs w:val="24"/>
        </w:rPr>
        <w:t>the</w:t>
      </w:r>
      <w:r w:rsidRPr="00AF78CB">
        <w:rPr>
          <w:rFonts w:ascii="Times New Roman" w:hAnsi="Times New Roman"/>
          <w:snapToGrid/>
          <w:spacing w:val="-3"/>
          <w:szCs w:val="24"/>
        </w:rPr>
        <w:t xml:space="preserve"> </w:t>
      </w:r>
      <w:r w:rsidRPr="00AF78CB">
        <w:rPr>
          <w:rFonts w:ascii="Times New Roman" w:hAnsi="Times New Roman"/>
          <w:snapToGrid/>
          <w:szCs w:val="24"/>
        </w:rPr>
        <w:t>st</w:t>
      </w:r>
      <w:r w:rsidRPr="00AF78CB">
        <w:rPr>
          <w:rFonts w:ascii="Times New Roman" w:hAnsi="Times New Roman"/>
          <w:snapToGrid/>
          <w:spacing w:val="-1"/>
          <w:szCs w:val="24"/>
        </w:rPr>
        <w:t>a</w:t>
      </w:r>
      <w:r w:rsidRPr="00AF78CB">
        <w:rPr>
          <w:rFonts w:ascii="Times New Roman" w:hAnsi="Times New Roman"/>
          <w:snapToGrid/>
          <w:szCs w:val="24"/>
        </w:rPr>
        <w:t>tutory</w:t>
      </w:r>
      <w:r w:rsidRPr="00AF78CB">
        <w:rPr>
          <w:rFonts w:ascii="Times New Roman" w:hAnsi="Times New Roman"/>
          <w:snapToGrid/>
          <w:spacing w:val="-8"/>
          <w:szCs w:val="24"/>
        </w:rPr>
        <w:t xml:space="preserve"> </w:t>
      </w:r>
      <w:r w:rsidRPr="00AF78CB">
        <w:rPr>
          <w:rFonts w:ascii="Times New Roman" w:hAnsi="Times New Roman"/>
          <w:snapToGrid/>
          <w:szCs w:val="24"/>
        </w:rPr>
        <w:t>requi</w:t>
      </w:r>
      <w:r w:rsidRPr="00AF78CB">
        <w:rPr>
          <w:rFonts w:ascii="Times New Roman" w:hAnsi="Times New Roman"/>
          <w:snapToGrid/>
          <w:spacing w:val="-1"/>
          <w:szCs w:val="24"/>
        </w:rPr>
        <w:t>r</w:t>
      </w:r>
      <w:r w:rsidRPr="00AF78CB">
        <w:rPr>
          <w:rFonts w:ascii="Times New Roman" w:hAnsi="Times New Roman"/>
          <w:snapToGrid/>
          <w:szCs w:val="24"/>
        </w:rPr>
        <w:t>e</w:t>
      </w:r>
      <w:r w:rsidRPr="00AF78CB">
        <w:rPr>
          <w:rFonts w:ascii="Times New Roman" w:hAnsi="Times New Roman"/>
          <w:snapToGrid/>
          <w:spacing w:val="-2"/>
          <w:szCs w:val="24"/>
        </w:rPr>
        <w:t>m</w:t>
      </w:r>
      <w:r w:rsidRPr="00AF78CB">
        <w:rPr>
          <w:rFonts w:ascii="Times New Roman" w:hAnsi="Times New Roman"/>
          <w:snapToGrid/>
          <w:szCs w:val="24"/>
        </w:rPr>
        <w:t>ents</w:t>
      </w:r>
      <w:r w:rsidRPr="00AF78CB">
        <w:rPr>
          <w:rFonts w:ascii="Times New Roman" w:hAnsi="Times New Roman"/>
          <w:snapToGrid/>
          <w:spacing w:val="-13"/>
          <w:szCs w:val="24"/>
        </w:rPr>
        <w:t xml:space="preserve"> </w:t>
      </w:r>
      <w:r w:rsidRPr="00AF78CB">
        <w:rPr>
          <w:rFonts w:ascii="Times New Roman" w:hAnsi="Times New Roman"/>
          <w:snapToGrid/>
          <w:szCs w:val="24"/>
        </w:rPr>
        <w:t>and allows</w:t>
      </w:r>
      <w:r w:rsidRPr="00AF78CB">
        <w:rPr>
          <w:rFonts w:ascii="Times New Roman" w:hAnsi="Times New Roman"/>
          <w:snapToGrid/>
          <w:spacing w:val="-6"/>
          <w:szCs w:val="24"/>
        </w:rPr>
        <w:t xml:space="preserve"> </w:t>
      </w:r>
      <w:r w:rsidRPr="00AF78CB">
        <w:rPr>
          <w:rFonts w:ascii="Times New Roman" w:hAnsi="Times New Roman"/>
          <w:snapToGrid/>
          <w:szCs w:val="24"/>
        </w:rPr>
        <w:t>the</w:t>
      </w:r>
      <w:r w:rsidRPr="00AF78CB">
        <w:rPr>
          <w:rFonts w:ascii="Times New Roman" w:hAnsi="Times New Roman"/>
          <w:snapToGrid/>
          <w:spacing w:val="-3"/>
          <w:szCs w:val="24"/>
        </w:rPr>
        <w:t xml:space="preserve"> </w:t>
      </w:r>
      <w:r w:rsidRPr="00AF78CB">
        <w:rPr>
          <w:rFonts w:ascii="Times New Roman" w:hAnsi="Times New Roman"/>
          <w:snapToGrid/>
          <w:szCs w:val="24"/>
        </w:rPr>
        <w:t xml:space="preserve">FDIC </w:t>
      </w:r>
      <w:r w:rsidRPr="00AF78CB">
        <w:rPr>
          <w:rFonts w:ascii="Times New Roman" w:hAnsi="Times New Roman"/>
          <w:snapToGrid/>
          <w:szCs w:val="24"/>
        </w:rPr>
        <w:t>to</w:t>
      </w:r>
      <w:r w:rsidRPr="00AF78CB">
        <w:rPr>
          <w:rFonts w:ascii="Times New Roman" w:hAnsi="Times New Roman"/>
          <w:snapToGrid/>
          <w:spacing w:val="-2"/>
          <w:szCs w:val="24"/>
        </w:rPr>
        <w:t xml:space="preserve"> </w:t>
      </w:r>
      <w:r w:rsidRPr="00AF78CB">
        <w:rPr>
          <w:rFonts w:ascii="Times New Roman" w:hAnsi="Times New Roman"/>
          <w:snapToGrid/>
          <w:szCs w:val="24"/>
        </w:rPr>
        <w:t>properly</w:t>
      </w:r>
      <w:r w:rsidRPr="00AF78CB">
        <w:rPr>
          <w:rFonts w:ascii="Times New Roman" w:hAnsi="Times New Roman"/>
          <w:snapToGrid/>
          <w:spacing w:val="-8"/>
          <w:szCs w:val="24"/>
        </w:rPr>
        <w:t xml:space="preserve"> </w:t>
      </w:r>
      <w:r w:rsidRPr="00AF78CB">
        <w:rPr>
          <w:rFonts w:ascii="Times New Roman" w:hAnsi="Times New Roman"/>
          <w:snapToGrid/>
          <w:szCs w:val="24"/>
        </w:rPr>
        <w:t>discharge</w:t>
      </w:r>
      <w:r w:rsidRPr="00AF78CB">
        <w:rPr>
          <w:rFonts w:ascii="Times New Roman" w:hAnsi="Times New Roman"/>
          <w:snapToGrid/>
          <w:spacing w:val="-9"/>
          <w:szCs w:val="24"/>
        </w:rPr>
        <w:t xml:space="preserve"> </w:t>
      </w:r>
      <w:r w:rsidRPr="00AF78CB">
        <w:rPr>
          <w:rFonts w:ascii="Times New Roman" w:hAnsi="Times New Roman"/>
          <w:snapToGrid/>
          <w:szCs w:val="24"/>
        </w:rPr>
        <w:t>its</w:t>
      </w:r>
      <w:r w:rsidRPr="00AF78CB">
        <w:rPr>
          <w:rFonts w:ascii="Times New Roman" w:hAnsi="Times New Roman"/>
          <w:snapToGrid/>
          <w:spacing w:val="-3"/>
          <w:szCs w:val="24"/>
        </w:rPr>
        <w:t xml:space="preserve"> </w:t>
      </w:r>
      <w:r w:rsidRPr="00AF78CB">
        <w:rPr>
          <w:rFonts w:ascii="Times New Roman" w:hAnsi="Times New Roman"/>
          <w:snapToGrid/>
          <w:szCs w:val="24"/>
        </w:rPr>
        <w:t>responsibilities</w:t>
      </w:r>
      <w:r w:rsidRPr="00AF78CB">
        <w:rPr>
          <w:rFonts w:ascii="Times New Roman" w:hAnsi="Times New Roman"/>
          <w:snapToGrid/>
          <w:spacing w:val="-15"/>
          <w:szCs w:val="24"/>
        </w:rPr>
        <w:t xml:space="preserve"> </w:t>
      </w:r>
      <w:r w:rsidRPr="00AF78CB">
        <w:rPr>
          <w:rFonts w:ascii="Times New Roman" w:hAnsi="Times New Roman"/>
          <w:snapToGrid/>
          <w:szCs w:val="24"/>
        </w:rPr>
        <w:t>under</w:t>
      </w:r>
      <w:r w:rsidRPr="00AF78CB">
        <w:rPr>
          <w:rFonts w:ascii="Times New Roman" w:hAnsi="Times New Roman"/>
          <w:snapToGrid/>
          <w:spacing w:val="-5"/>
          <w:szCs w:val="24"/>
        </w:rPr>
        <w:t xml:space="preserve"> </w:t>
      </w:r>
      <w:r w:rsidRPr="00AF78CB">
        <w:rPr>
          <w:rFonts w:ascii="Times New Roman" w:hAnsi="Times New Roman"/>
          <w:snapToGrid/>
          <w:szCs w:val="24"/>
        </w:rPr>
        <w:t>section</w:t>
      </w:r>
      <w:r w:rsidRPr="00AF78CB">
        <w:rPr>
          <w:rFonts w:ascii="Times New Roman" w:hAnsi="Times New Roman"/>
          <w:snapToGrid/>
          <w:spacing w:val="-7"/>
          <w:szCs w:val="24"/>
        </w:rPr>
        <w:t xml:space="preserve"> </w:t>
      </w:r>
      <w:r w:rsidRPr="00AF78CB">
        <w:rPr>
          <w:rFonts w:ascii="Times New Roman" w:hAnsi="Times New Roman"/>
          <w:snapToGrid/>
          <w:szCs w:val="24"/>
        </w:rPr>
        <w:t>38 of the FDI Act.</w:t>
      </w:r>
    </w:p>
    <w:p w:rsidR="00075A03">
      <w:pPr>
        <w:rPr>
          <w:rFonts w:ascii="Times New Roman" w:hAnsi="Times New Roman"/>
          <w:szCs w:val="24"/>
        </w:rPr>
      </w:pPr>
    </w:p>
    <w:p w:rsidR="00075A03">
      <w:pPr>
        <w:tabs>
          <w:tab w:val="left" w:pos="-1440"/>
        </w:tabs>
        <w:ind w:left="720" w:hanging="720"/>
        <w:outlineLvl w:val="0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</w:rPr>
        <w:t xml:space="preserve">3. </w:t>
      </w:r>
      <w:r>
        <w:rPr>
          <w:rFonts w:ascii="Times New Roman" w:hAnsi="Times New Roman"/>
          <w:szCs w:val="24"/>
          <w:u w:val="single"/>
        </w:rPr>
        <w:t>Consideration of the use of improved information technology:</w:t>
      </w:r>
    </w:p>
    <w:p w:rsidR="00075A03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</w:p>
    <w:p w:rsidR="00075A03" w:rsidP="00714F75">
      <w:pPr>
        <w:ind w:left="270"/>
        <w:rPr>
          <w:rFonts w:ascii="Times New Roman" w:hAnsi="Times New Roman"/>
        </w:rPr>
      </w:pPr>
      <w:r w:rsidRPr="007E526E">
        <w:rPr>
          <w:rFonts w:ascii="Times New Roman" w:hAnsi="Times New Roman"/>
        </w:rPr>
        <w:t>Institutions</w:t>
      </w:r>
      <w:r w:rsidRPr="007E526E">
        <w:rPr>
          <w:rFonts w:ascii="Times New Roman" w:hAnsi="Times New Roman"/>
          <w:spacing w:val="-11"/>
        </w:rPr>
        <w:t xml:space="preserve"> </w:t>
      </w:r>
      <w:r w:rsidRPr="00732394">
        <w:rPr>
          <w:rFonts w:ascii="Times New Roman" w:hAnsi="Times New Roman"/>
          <w:snapToGrid/>
          <w:szCs w:val="24"/>
        </w:rPr>
        <w:t>can</w:t>
      </w:r>
      <w:r w:rsidRPr="007E526E">
        <w:rPr>
          <w:rFonts w:ascii="Times New Roman" w:hAnsi="Times New Roman"/>
          <w:spacing w:val="-3"/>
        </w:rPr>
        <w:t xml:space="preserve"> </w:t>
      </w:r>
      <w:r w:rsidRPr="007E526E">
        <w:rPr>
          <w:rFonts w:ascii="Times New Roman" w:hAnsi="Times New Roman"/>
        </w:rPr>
        <w:t>sub</w:t>
      </w:r>
      <w:r w:rsidRPr="007E526E">
        <w:rPr>
          <w:rFonts w:ascii="Times New Roman" w:hAnsi="Times New Roman"/>
          <w:spacing w:val="-2"/>
        </w:rPr>
        <w:t>m</w:t>
      </w:r>
      <w:r w:rsidRPr="007E526E">
        <w:rPr>
          <w:rFonts w:ascii="Times New Roman" w:hAnsi="Times New Roman"/>
        </w:rPr>
        <w:t>it</w:t>
      </w:r>
      <w:r w:rsidRPr="007E526E">
        <w:rPr>
          <w:rFonts w:ascii="Times New Roman" w:hAnsi="Times New Roman"/>
          <w:spacing w:val="-7"/>
        </w:rPr>
        <w:t xml:space="preserve"> </w:t>
      </w:r>
      <w:r w:rsidRPr="007E526E">
        <w:rPr>
          <w:rFonts w:ascii="Times New Roman" w:hAnsi="Times New Roman"/>
        </w:rPr>
        <w:t>PCA-related</w:t>
      </w:r>
      <w:r w:rsidRPr="007E526E">
        <w:rPr>
          <w:rFonts w:ascii="Times New Roman" w:hAnsi="Times New Roman"/>
          <w:spacing w:val="-12"/>
        </w:rPr>
        <w:t xml:space="preserve"> </w:t>
      </w:r>
      <w:r w:rsidRPr="007E526E">
        <w:rPr>
          <w:rFonts w:ascii="Times New Roman" w:hAnsi="Times New Roman"/>
        </w:rPr>
        <w:t>appli</w:t>
      </w:r>
      <w:r w:rsidRPr="007E526E">
        <w:rPr>
          <w:rFonts w:ascii="Times New Roman" w:hAnsi="Times New Roman"/>
          <w:spacing w:val="1"/>
        </w:rPr>
        <w:t>c</w:t>
      </w:r>
      <w:r w:rsidRPr="007E526E">
        <w:rPr>
          <w:rFonts w:ascii="Times New Roman" w:hAnsi="Times New Roman"/>
        </w:rPr>
        <w:t>atio</w:t>
      </w:r>
      <w:r w:rsidRPr="007E526E">
        <w:rPr>
          <w:rFonts w:ascii="Times New Roman" w:hAnsi="Times New Roman"/>
          <w:spacing w:val="-1"/>
        </w:rPr>
        <w:t>n</w:t>
      </w:r>
      <w:r w:rsidRPr="007E526E">
        <w:rPr>
          <w:rFonts w:ascii="Times New Roman" w:hAnsi="Times New Roman"/>
        </w:rPr>
        <w:t>s</w:t>
      </w:r>
      <w:r w:rsidRPr="007E526E">
        <w:rPr>
          <w:rFonts w:ascii="Times New Roman" w:hAnsi="Times New Roman"/>
          <w:spacing w:val="-12"/>
        </w:rPr>
        <w:t xml:space="preserve"> </w:t>
      </w:r>
      <w:r w:rsidRPr="007E526E">
        <w:rPr>
          <w:rFonts w:ascii="Times New Roman" w:hAnsi="Times New Roman"/>
        </w:rPr>
        <w:t>to</w:t>
      </w:r>
      <w:r w:rsidRPr="007E526E">
        <w:rPr>
          <w:rFonts w:ascii="Times New Roman" w:hAnsi="Times New Roman"/>
          <w:spacing w:val="-2"/>
        </w:rPr>
        <w:t xml:space="preserve"> </w:t>
      </w:r>
      <w:r w:rsidRPr="007E526E">
        <w:rPr>
          <w:rFonts w:ascii="Times New Roman" w:hAnsi="Times New Roman"/>
        </w:rPr>
        <w:t>the</w:t>
      </w:r>
      <w:r w:rsidRPr="007E526E">
        <w:rPr>
          <w:rFonts w:ascii="Times New Roman" w:hAnsi="Times New Roman"/>
          <w:spacing w:val="-3"/>
        </w:rPr>
        <w:t xml:space="preserve"> </w:t>
      </w:r>
      <w:r w:rsidRPr="007E526E">
        <w:rPr>
          <w:rFonts w:ascii="Times New Roman" w:hAnsi="Times New Roman"/>
        </w:rPr>
        <w:t>FDIC via</w:t>
      </w:r>
      <w:r w:rsidRPr="007E526E">
        <w:rPr>
          <w:rFonts w:ascii="Times New Roman" w:hAnsi="Times New Roman"/>
          <w:spacing w:val="-3"/>
        </w:rPr>
        <w:t xml:space="preserve"> </w:t>
      </w:r>
      <w:r w:rsidRPr="007E526E">
        <w:rPr>
          <w:rFonts w:ascii="Times New Roman" w:hAnsi="Times New Roman"/>
        </w:rPr>
        <w:t>the</w:t>
      </w:r>
      <w:r w:rsidRPr="007E526E">
        <w:rPr>
          <w:rFonts w:ascii="Times New Roman" w:hAnsi="Times New Roman"/>
          <w:spacing w:val="-3"/>
        </w:rPr>
        <w:t xml:space="preserve"> </w:t>
      </w:r>
      <w:r w:rsidRPr="007E526E">
        <w:rPr>
          <w:rFonts w:ascii="Times New Roman" w:hAnsi="Times New Roman"/>
        </w:rPr>
        <w:t>FD</w:t>
      </w:r>
      <w:r w:rsidRPr="007E526E">
        <w:rPr>
          <w:rFonts w:ascii="Times New Roman" w:hAnsi="Times New Roman"/>
          <w:spacing w:val="-1"/>
        </w:rPr>
        <w:t>IC</w:t>
      </w:r>
      <w:r w:rsidRPr="007E526E">
        <w:rPr>
          <w:rFonts w:ascii="Times New Roman" w:hAnsi="Times New Roman"/>
        </w:rPr>
        <w:t>’s int</w:t>
      </w:r>
      <w:r w:rsidRPr="007E526E">
        <w:rPr>
          <w:rFonts w:ascii="Times New Roman" w:hAnsi="Times New Roman"/>
          <w:spacing w:val="-1"/>
        </w:rPr>
        <w:t>e</w:t>
      </w:r>
      <w:r w:rsidRPr="007E526E">
        <w:rPr>
          <w:rFonts w:ascii="Times New Roman" w:hAnsi="Times New Roman"/>
        </w:rPr>
        <w:t>ractive</w:t>
      </w:r>
      <w:r w:rsidRPr="007E526E">
        <w:rPr>
          <w:rFonts w:ascii="Times New Roman" w:hAnsi="Times New Roman"/>
          <w:spacing w:val="-10"/>
        </w:rPr>
        <w:t xml:space="preserve"> </w:t>
      </w:r>
      <w:r w:rsidRPr="007E526E">
        <w:rPr>
          <w:rFonts w:ascii="Times New Roman" w:hAnsi="Times New Roman"/>
          <w:spacing w:val="-1"/>
        </w:rPr>
        <w:t>W</w:t>
      </w:r>
      <w:r w:rsidRPr="007E526E">
        <w:rPr>
          <w:rFonts w:ascii="Times New Roman" w:hAnsi="Times New Roman"/>
        </w:rPr>
        <w:t>ebsite,</w:t>
      </w:r>
      <w:r w:rsidRPr="007E526E">
        <w:rPr>
          <w:rFonts w:ascii="Times New Roman" w:hAnsi="Times New Roman"/>
          <w:spacing w:val="-8"/>
        </w:rPr>
        <w:t xml:space="preserve"> </w:t>
      </w:r>
      <w:r w:rsidRPr="007E526E">
        <w:rPr>
          <w:rFonts w:ascii="Times New Roman" w:hAnsi="Times New Roman"/>
        </w:rPr>
        <w:t>FDI</w:t>
      </w:r>
      <w:r w:rsidRPr="007E526E">
        <w:rPr>
          <w:rFonts w:ascii="Times New Roman" w:hAnsi="Times New Roman"/>
          <w:spacing w:val="-1"/>
        </w:rPr>
        <w:t>C</w:t>
      </w:r>
      <w:r w:rsidRPr="007E526E">
        <w:rPr>
          <w:rFonts w:ascii="Times New Roman" w:hAnsi="Times New Roman"/>
          <w:i/>
        </w:rPr>
        <w:t>connect</w:t>
      </w:r>
      <w:r>
        <w:rPr>
          <w:rFonts w:ascii="Times New Roman" w:hAnsi="Times New Roman"/>
        </w:rPr>
        <w:t>.</w:t>
      </w:r>
    </w:p>
    <w:p w:rsidR="00732394" w:rsidP="00732394">
      <w:pPr>
        <w:rPr>
          <w:rFonts w:ascii="Times New Roman" w:hAnsi="Times New Roman"/>
          <w:szCs w:val="24"/>
        </w:rPr>
      </w:pPr>
    </w:p>
    <w:p w:rsidR="00075A03">
      <w:pPr>
        <w:tabs>
          <w:tab w:val="left" w:pos="-1440"/>
        </w:tabs>
        <w:ind w:left="720" w:hanging="720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4.</w:t>
      </w:r>
      <w:r w:rsidR="0042493E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  <w:u w:val="single"/>
        </w:rPr>
        <w:t>Efforts to identify duplication</w:t>
      </w:r>
      <w:r>
        <w:rPr>
          <w:rFonts w:ascii="Times New Roman" w:hAnsi="Times New Roman"/>
          <w:szCs w:val="24"/>
        </w:rPr>
        <w:t>:</w:t>
      </w:r>
    </w:p>
    <w:p w:rsidR="00075A03">
      <w:pPr>
        <w:rPr>
          <w:rFonts w:ascii="Times New Roman" w:hAnsi="Times New Roman"/>
          <w:szCs w:val="24"/>
        </w:rPr>
      </w:pPr>
    </w:p>
    <w:p w:rsidR="00732394" w:rsidRPr="00732394" w:rsidP="00714F75">
      <w:pPr>
        <w:ind w:left="270"/>
        <w:rPr>
          <w:rFonts w:ascii="Times New Roman" w:hAnsi="Times New Roman"/>
          <w:szCs w:val="24"/>
        </w:rPr>
      </w:pPr>
      <w:r w:rsidRPr="00732394">
        <w:rPr>
          <w:rFonts w:ascii="Times New Roman" w:hAnsi="Times New Roman"/>
          <w:szCs w:val="24"/>
        </w:rPr>
        <w:t>There is no duplication</w:t>
      </w:r>
      <w:r w:rsidRPr="00732394">
        <w:rPr>
          <w:rFonts w:ascii="Times New Roman" w:hAnsi="Times New Roman"/>
          <w:szCs w:val="24"/>
        </w:rPr>
        <w:t xml:space="preserve">. </w:t>
      </w:r>
      <w:r w:rsidRPr="00732394">
        <w:rPr>
          <w:rFonts w:ascii="Times New Roman" w:hAnsi="Times New Roman"/>
          <w:szCs w:val="24"/>
        </w:rPr>
        <w:t>Each application is unique</w:t>
      </w:r>
      <w:r w:rsidRPr="00732394">
        <w:rPr>
          <w:rFonts w:ascii="Times New Roman" w:hAnsi="Times New Roman"/>
          <w:szCs w:val="24"/>
        </w:rPr>
        <w:t xml:space="preserve">. </w:t>
      </w:r>
      <w:r w:rsidRPr="00732394">
        <w:rPr>
          <w:rFonts w:ascii="Times New Roman" w:hAnsi="Times New Roman"/>
          <w:szCs w:val="24"/>
        </w:rPr>
        <w:t>Similar information is not available from any other source.</w:t>
      </w:r>
    </w:p>
    <w:p w:rsidR="00075A03">
      <w:pPr>
        <w:rPr>
          <w:rFonts w:ascii="Times New Roman" w:hAnsi="Times New Roman"/>
          <w:szCs w:val="24"/>
        </w:rPr>
      </w:pPr>
    </w:p>
    <w:p w:rsidR="00075A03">
      <w:pPr>
        <w:tabs>
          <w:tab w:val="left" w:pos="-1440"/>
        </w:tabs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5. </w:t>
      </w:r>
      <w:r>
        <w:rPr>
          <w:rFonts w:ascii="Times New Roman" w:hAnsi="Times New Roman"/>
          <w:szCs w:val="24"/>
          <w:u w:val="single"/>
        </w:rPr>
        <w:t>Methods used to minimize burden if the collection has an impact on a substantial number of    small entities</w:t>
      </w:r>
      <w:r>
        <w:rPr>
          <w:rFonts w:ascii="Times New Roman" w:hAnsi="Times New Roman"/>
          <w:szCs w:val="24"/>
        </w:rPr>
        <w:t>:</w:t>
      </w:r>
    </w:p>
    <w:p w:rsidR="00075A03">
      <w:pPr>
        <w:rPr>
          <w:rFonts w:ascii="Times New Roman" w:hAnsi="Times New Roman"/>
          <w:szCs w:val="24"/>
        </w:rPr>
      </w:pPr>
    </w:p>
    <w:p w:rsidR="00075A03" w:rsidP="00714F75">
      <w:pPr>
        <w:ind w:left="270"/>
        <w:rPr>
          <w:rFonts w:ascii="Times New Roman" w:hAnsi="Times New Roman"/>
          <w:szCs w:val="24"/>
        </w:rPr>
      </w:pPr>
      <w:r w:rsidRPr="007E526E">
        <w:rPr>
          <w:rFonts w:ascii="Times New Roman" w:hAnsi="Times New Roman"/>
        </w:rPr>
        <w:t>The</w:t>
      </w:r>
      <w:r w:rsidRPr="007E526E">
        <w:rPr>
          <w:rFonts w:ascii="Times New Roman" w:hAnsi="Times New Roman"/>
          <w:spacing w:val="-4"/>
        </w:rPr>
        <w:t xml:space="preserve"> </w:t>
      </w:r>
      <w:r w:rsidRPr="007E526E">
        <w:rPr>
          <w:rFonts w:ascii="Times New Roman" w:hAnsi="Times New Roman"/>
        </w:rPr>
        <w:t>sa</w:t>
      </w:r>
      <w:r w:rsidRPr="007E526E">
        <w:rPr>
          <w:rFonts w:ascii="Times New Roman" w:hAnsi="Times New Roman"/>
          <w:spacing w:val="-2"/>
        </w:rPr>
        <w:t>m</w:t>
      </w:r>
      <w:r w:rsidRPr="007E526E">
        <w:rPr>
          <w:rFonts w:ascii="Times New Roman" w:hAnsi="Times New Roman"/>
        </w:rPr>
        <w:t>e</w:t>
      </w:r>
      <w:r w:rsidRPr="007E526E"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-5"/>
        </w:rPr>
        <w:t xml:space="preserve">statutory </w:t>
      </w:r>
      <w:r w:rsidRPr="007E526E">
        <w:rPr>
          <w:rFonts w:ascii="Times New Roman" w:hAnsi="Times New Roman"/>
        </w:rPr>
        <w:t>require</w:t>
      </w:r>
      <w:r w:rsidRPr="007E526E">
        <w:rPr>
          <w:rFonts w:ascii="Times New Roman" w:hAnsi="Times New Roman"/>
          <w:spacing w:val="-2"/>
        </w:rPr>
        <w:t>m</w:t>
      </w:r>
      <w:r w:rsidRPr="007E526E">
        <w:rPr>
          <w:rFonts w:ascii="Times New Roman" w:hAnsi="Times New Roman"/>
        </w:rPr>
        <w:t>ents</w:t>
      </w:r>
      <w:r w:rsidRPr="007E526E">
        <w:rPr>
          <w:rFonts w:ascii="Times New Roman" w:hAnsi="Times New Roman"/>
          <w:spacing w:val="-13"/>
        </w:rPr>
        <w:t xml:space="preserve"> </w:t>
      </w:r>
      <w:r w:rsidRPr="007E526E">
        <w:rPr>
          <w:rFonts w:ascii="Times New Roman" w:hAnsi="Times New Roman"/>
        </w:rPr>
        <w:t>apply</w:t>
      </w:r>
      <w:r w:rsidRPr="007E526E">
        <w:rPr>
          <w:rFonts w:ascii="Times New Roman" w:hAnsi="Times New Roman"/>
          <w:spacing w:val="-5"/>
        </w:rPr>
        <w:t xml:space="preserve"> </w:t>
      </w:r>
      <w:r w:rsidRPr="007E526E">
        <w:rPr>
          <w:rFonts w:ascii="Times New Roman" w:hAnsi="Times New Roman"/>
        </w:rPr>
        <w:t>to</w:t>
      </w:r>
      <w:r w:rsidRPr="007E526E">
        <w:rPr>
          <w:rFonts w:ascii="Times New Roman" w:hAnsi="Times New Roman"/>
          <w:spacing w:val="-2"/>
        </w:rPr>
        <w:t xml:space="preserve"> </w:t>
      </w:r>
      <w:r w:rsidRPr="007E526E">
        <w:rPr>
          <w:rFonts w:ascii="Times New Roman" w:hAnsi="Times New Roman"/>
          <w:spacing w:val="-1"/>
        </w:rPr>
        <w:t>a</w:t>
      </w:r>
      <w:r w:rsidRPr="007E526E">
        <w:rPr>
          <w:rFonts w:ascii="Times New Roman" w:hAnsi="Times New Roman"/>
        </w:rPr>
        <w:t>ll</w:t>
      </w:r>
      <w:r w:rsidRPr="007E526E">
        <w:rPr>
          <w:rFonts w:ascii="Times New Roman" w:hAnsi="Times New Roman"/>
          <w:spacing w:val="-2"/>
        </w:rPr>
        <w:t xml:space="preserve"> </w:t>
      </w:r>
      <w:r w:rsidRPr="007E526E">
        <w:rPr>
          <w:rFonts w:ascii="Times New Roman" w:hAnsi="Times New Roman"/>
        </w:rPr>
        <w:t>instit</w:t>
      </w:r>
      <w:r w:rsidRPr="007E526E">
        <w:rPr>
          <w:rFonts w:ascii="Times New Roman" w:hAnsi="Times New Roman"/>
          <w:spacing w:val="-1"/>
        </w:rPr>
        <w:t>u</w:t>
      </w:r>
      <w:r w:rsidRPr="007E526E">
        <w:rPr>
          <w:rFonts w:ascii="Times New Roman" w:hAnsi="Times New Roman"/>
        </w:rPr>
        <w:t>tio</w:t>
      </w:r>
      <w:r w:rsidRPr="007E526E">
        <w:rPr>
          <w:rFonts w:ascii="Times New Roman" w:hAnsi="Times New Roman"/>
          <w:spacing w:val="-1"/>
        </w:rPr>
        <w:t>n</w:t>
      </w:r>
      <w:r w:rsidRPr="007E526E">
        <w:rPr>
          <w:rFonts w:ascii="Times New Roman" w:hAnsi="Times New Roman"/>
        </w:rPr>
        <w:t>s</w:t>
      </w:r>
      <w:r w:rsidRPr="007E526E">
        <w:rPr>
          <w:rFonts w:ascii="Times New Roman" w:hAnsi="Times New Roman"/>
          <w:spacing w:val="-10"/>
        </w:rPr>
        <w:t xml:space="preserve"> </w:t>
      </w:r>
      <w:r w:rsidRPr="007E526E">
        <w:rPr>
          <w:rFonts w:ascii="Times New Roman" w:hAnsi="Times New Roman"/>
          <w:spacing w:val="-1"/>
        </w:rPr>
        <w:t>r</w:t>
      </w:r>
      <w:r w:rsidRPr="007E526E">
        <w:rPr>
          <w:rFonts w:ascii="Times New Roman" w:hAnsi="Times New Roman"/>
        </w:rPr>
        <w:t>egardless</w:t>
      </w:r>
      <w:r w:rsidRPr="007E526E">
        <w:rPr>
          <w:rFonts w:ascii="Times New Roman" w:hAnsi="Times New Roman"/>
          <w:spacing w:val="-9"/>
        </w:rPr>
        <w:t xml:space="preserve"> </w:t>
      </w:r>
      <w:r w:rsidRPr="007E526E">
        <w:rPr>
          <w:rFonts w:ascii="Times New Roman" w:hAnsi="Times New Roman"/>
        </w:rPr>
        <w:t>of</w:t>
      </w:r>
      <w:r w:rsidRPr="007E526E">
        <w:rPr>
          <w:rFonts w:ascii="Times New Roman" w:hAnsi="Times New Roman"/>
          <w:spacing w:val="-1"/>
        </w:rPr>
        <w:t xml:space="preserve"> </w:t>
      </w:r>
      <w:r w:rsidRPr="007E526E">
        <w:rPr>
          <w:rFonts w:ascii="Times New Roman" w:hAnsi="Times New Roman"/>
        </w:rPr>
        <w:t>size</w:t>
      </w:r>
      <w:r w:rsidRPr="005D1420">
        <w:rPr>
          <w:rFonts w:ascii="Times New Roman" w:hAnsi="Times New Roman"/>
        </w:rPr>
        <w:t>.</w:t>
      </w:r>
      <w:r w:rsidR="0070148F">
        <w:rPr>
          <w:rFonts w:ascii="Times New Roman" w:hAnsi="Times New Roman"/>
          <w:szCs w:val="24"/>
        </w:rPr>
        <w:t xml:space="preserve">  </w:t>
      </w:r>
      <w:r>
        <w:rPr>
          <w:rFonts w:ascii="Times New Roman" w:hAnsi="Times New Roman"/>
          <w:szCs w:val="24"/>
        </w:rPr>
        <w:t xml:space="preserve"> </w:t>
      </w:r>
    </w:p>
    <w:p w:rsidR="00075A03">
      <w:pPr>
        <w:tabs>
          <w:tab w:val="left" w:pos="-1440"/>
        </w:tabs>
        <w:ind w:left="720" w:hanging="720"/>
        <w:outlineLvl w:val="0"/>
        <w:rPr>
          <w:rFonts w:ascii="Times New Roman" w:hAnsi="Times New Roman"/>
          <w:szCs w:val="24"/>
        </w:rPr>
      </w:pPr>
    </w:p>
    <w:p w:rsidR="00075A03">
      <w:pPr>
        <w:tabs>
          <w:tab w:val="left" w:pos="-1440"/>
        </w:tabs>
        <w:ind w:left="720" w:hanging="720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6. </w:t>
      </w:r>
      <w:r>
        <w:rPr>
          <w:rFonts w:ascii="Times New Roman" w:hAnsi="Times New Roman"/>
          <w:szCs w:val="24"/>
          <w:u w:val="single"/>
        </w:rPr>
        <w:t xml:space="preserve">Consequences to the Federal program if the collection </w:t>
      </w:r>
      <w:r>
        <w:rPr>
          <w:rFonts w:ascii="Times New Roman" w:hAnsi="Times New Roman"/>
          <w:szCs w:val="24"/>
          <w:u w:val="single"/>
        </w:rPr>
        <w:t>were conducted</w:t>
      </w:r>
      <w:r>
        <w:rPr>
          <w:rFonts w:ascii="Times New Roman" w:hAnsi="Times New Roman"/>
          <w:szCs w:val="24"/>
          <w:u w:val="single"/>
        </w:rPr>
        <w:t xml:space="preserve"> less frequently</w:t>
      </w:r>
      <w:r>
        <w:rPr>
          <w:rFonts w:ascii="Times New Roman" w:hAnsi="Times New Roman"/>
          <w:szCs w:val="24"/>
        </w:rPr>
        <w:t>:</w:t>
      </w:r>
    </w:p>
    <w:p w:rsidR="00075A03">
      <w:pPr>
        <w:rPr>
          <w:rFonts w:ascii="Times New Roman" w:hAnsi="Times New Roman"/>
          <w:szCs w:val="24"/>
        </w:rPr>
      </w:pPr>
    </w:p>
    <w:p w:rsidR="00075A03" w:rsidP="00714F75">
      <w:pPr>
        <w:ind w:left="27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Conducting the collection less frequently would present safety and soundness risks and </w:t>
      </w:r>
      <w:r w:rsidR="00732394">
        <w:rPr>
          <w:rFonts w:ascii="Times New Roman" w:hAnsi="Times New Roman"/>
          <w:szCs w:val="24"/>
        </w:rPr>
        <w:t xml:space="preserve">would violate </w:t>
      </w:r>
      <w:r w:rsidRPr="00714F75" w:rsidR="00732394">
        <w:rPr>
          <w:rFonts w:ascii="Times New Roman" w:hAnsi="Times New Roman"/>
        </w:rPr>
        <w:t>the</w:t>
      </w:r>
      <w:r w:rsidR="00732394">
        <w:rPr>
          <w:rFonts w:ascii="Times New Roman" w:hAnsi="Times New Roman"/>
          <w:szCs w:val="24"/>
        </w:rPr>
        <w:t xml:space="preserve"> statutory provisions. </w:t>
      </w:r>
    </w:p>
    <w:p w:rsidR="00075A03">
      <w:pPr>
        <w:rPr>
          <w:rFonts w:ascii="Times New Roman" w:hAnsi="Times New Roman"/>
          <w:szCs w:val="24"/>
        </w:rPr>
      </w:pPr>
    </w:p>
    <w:p w:rsidR="00075A03">
      <w:pPr>
        <w:tabs>
          <w:tab w:val="left" w:pos="-1440"/>
        </w:tabs>
        <w:ind w:left="720" w:hanging="720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7. </w:t>
      </w:r>
      <w:r>
        <w:rPr>
          <w:rFonts w:ascii="Times New Roman" w:hAnsi="Times New Roman"/>
          <w:szCs w:val="24"/>
          <w:u w:val="single"/>
        </w:rPr>
        <w:t xml:space="preserve">Special circumstances necessitating collection inconsistent with </w:t>
      </w:r>
      <w:r>
        <w:rPr>
          <w:rFonts w:ascii="Times New Roman" w:hAnsi="Times New Roman"/>
          <w:szCs w:val="24"/>
          <w:u w:val="single"/>
        </w:rPr>
        <w:t>5</w:t>
      </w:r>
      <w:r>
        <w:rPr>
          <w:rFonts w:ascii="Times New Roman" w:hAnsi="Times New Roman"/>
          <w:szCs w:val="24"/>
          <w:u w:val="single"/>
        </w:rPr>
        <w:t xml:space="preserve"> CFR Part 1320</w:t>
      </w:r>
      <w:r>
        <w:rPr>
          <w:rFonts w:ascii="Times New Roman" w:hAnsi="Times New Roman"/>
          <w:szCs w:val="24"/>
        </w:rPr>
        <w:t>:</w:t>
      </w:r>
    </w:p>
    <w:p w:rsidR="00075A03">
      <w:pPr>
        <w:rPr>
          <w:rFonts w:ascii="Times New Roman" w:hAnsi="Times New Roman"/>
          <w:szCs w:val="24"/>
        </w:rPr>
      </w:pPr>
    </w:p>
    <w:p w:rsidR="00600EF6" w:rsidRPr="00600EF6" w:rsidP="00714F75">
      <w:pPr>
        <w:ind w:left="270"/>
        <w:rPr>
          <w:rFonts w:ascii="Times New Roman TUR" w:hAnsi="Times New Roman TUR" w:cs="Times New Roman TUR"/>
          <w:snapToGrid/>
        </w:rPr>
      </w:pPr>
      <w:r>
        <w:rPr>
          <w:rFonts w:ascii="Times New Roman" w:hAnsi="Times New Roman"/>
          <w:szCs w:val="24"/>
        </w:rPr>
        <w:t>None.</w:t>
      </w:r>
      <w:r>
        <w:rPr>
          <w:rFonts w:ascii="Times New Roman" w:hAnsi="Times New Roman"/>
          <w:szCs w:val="24"/>
        </w:rPr>
        <w:t xml:space="preserve">  </w:t>
      </w:r>
      <w:r w:rsidRPr="00714F75">
        <w:rPr>
          <w:rFonts w:ascii="Times New Roman" w:hAnsi="Times New Roman"/>
        </w:rPr>
        <w:t>This</w:t>
      </w:r>
      <w:r w:rsidRPr="00600EF6">
        <w:rPr>
          <w:rFonts w:ascii="Times New Roman TUR" w:hAnsi="Times New Roman TUR" w:cs="Times New Roman TUR"/>
          <w:snapToGrid/>
        </w:rPr>
        <w:t xml:space="preserve"> information collection is conducted in a manner consistent with the </w:t>
      </w:r>
      <w:r w:rsidRPr="00600EF6">
        <w:rPr>
          <w:rFonts w:ascii="Times New Roman" w:hAnsi="Times New Roman"/>
          <w:szCs w:val="24"/>
        </w:rPr>
        <w:t>guidelines</w:t>
      </w:r>
      <w:r w:rsidRPr="00600EF6">
        <w:rPr>
          <w:rFonts w:ascii="Times New Roman TUR" w:hAnsi="Times New Roman TUR" w:cs="Times New Roman TUR"/>
          <w:snapToGrid/>
        </w:rPr>
        <w:t xml:space="preserve"> in </w:t>
      </w:r>
      <w:r w:rsidRPr="00600EF6">
        <w:rPr>
          <w:rFonts w:ascii="Times New Roman TUR" w:hAnsi="Times New Roman TUR" w:cs="Times New Roman TUR"/>
          <w:snapToGrid/>
        </w:rPr>
        <w:t>5</w:t>
      </w:r>
      <w:r w:rsidRPr="00600EF6">
        <w:rPr>
          <w:rFonts w:ascii="Times New Roman TUR" w:hAnsi="Times New Roman TUR" w:cs="Times New Roman TUR"/>
          <w:snapToGrid/>
        </w:rPr>
        <w:t xml:space="preserve"> CFR 1320.</w:t>
      </w:r>
    </w:p>
    <w:p w:rsidR="00075A03">
      <w:pPr>
        <w:rPr>
          <w:rFonts w:ascii="Times New Roman" w:hAnsi="Times New Roman"/>
          <w:szCs w:val="24"/>
        </w:rPr>
      </w:pPr>
    </w:p>
    <w:p w:rsidR="00075A03">
      <w:pPr>
        <w:tabs>
          <w:tab w:val="left" w:pos="-1440"/>
        </w:tabs>
        <w:ind w:left="720" w:hanging="720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8. </w:t>
      </w:r>
      <w:r>
        <w:rPr>
          <w:rFonts w:ascii="Times New Roman" w:hAnsi="Times New Roman"/>
          <w:szCs w:val="24"/>
          <w:u w:val="single"/>
        </w:rPr>
        <w:t>Efforts to consult with persons outside the agency</w:t>
      </w:r>
      <w:r>
        <w:rPr>
          <w:rFonts w:ascii="Times New Roman" w:hAnsi="Times New Roman"/>
          <w:szCs w:val="24"/>
        </w:rPr>
        <w:t>:</w:t>
      </w:r>
    </w:p>
    <w:p w:rsidR="00075A03">
      <w:pPr>
        <w:rPr>
          <w:rFonts w:ascii="Times New Roman" w:hAnsi="Times New Roman"/>
          <w:szCs w:val="24"/>
        </w:rPr>
      </w:pPr>
    </w:p>
    <w:p w:rsidR="00075A03" w:rsidP="00714F75">
      <w:pPr>
        <w:ind w:left="270"/>
        <w:rPr>
          <w:rFonts w:ascii="Times New Roman" w:hAnsi="Times New Roman"/>
          <w:szCs w:val="24"/>
        </w:rPr>
      </w:pPr>
      <w:r w:rsidRPr="00600EF6">
        <w:rPr>
          <w:rFonts w:ascii="Times New Roman" w:hAnsi="Times New Roman"/>
          <w:szCs w:val="24"/>
        </w:rPr>
        <w:t xml:space="preserve">A notice </w:t>
      </w:r>
      <w:r w:rsidRPr="00714F75">
        <w:rPr>
          <w:rFonts w:ascii="Times New Roman" w:hAnsi="Times New Roman"/>
        </w:rPr>
        <w:t>seeking</w:t>
      </w:r>
      <w:r w:rsidRPr="00600EF6">
        <w:rPr>
          <w:rFonts w:ascii="Times New Roman" w:hAnsi="Times New Roman"/>
          <w:szCs w:val="24"/>
        </w:rPr>
        <w:t xml:space="preserve"> public comment for a 60-day period </w:t>
      </w:r>
      <w:r w:rsidRPr="00600EF6">
        <w:rPr>
          <w:rFonts w:ascii="Times New Roman" w:hAnsi="Times New Roman"/>
          <w:szCs w:val="24"/>
        </w:rPr>
        <w:t>was published</w:t>
      </w:r>
      <w:r w:rsidRPr="00600EF6">
        <w:rPr>
          <w:rFonts w:ascii="Times New Roman" w:hAnsi="Times New Roman"/>
          <w:szCs w:val="24"/>
        </w:rPr>
        <w:t xml:space="preserve"> in the </w:t>
      </w:r>
      <w:r w:rsidRPr="00600EF6">
        <w:rPr>
          <w:rFonts w:ascii="Times New Roman" w:hAnsi="Times New Roman"/>
          <w:i/>
          <w:szCs w:val="24"/>
        </w:rPr>
        <w:t>Federal</w:t>
      </w:r>
      <w:r w:rsidRPr="00600EF6">
        <w:rPr>
          <w:rFonts w:ascii="Times New Roman" w:hAnsi="Times New Roman"/>
          <w:szCs w:val="24"/>
        </w:rPr>
        <w:t xml:space="preserve"> </w:t>
      </w:r>
      <w:r w:rsidRPr="00600EF6">
        <w:rPr>
          <w:rFonts w:ascii="Times New Roman" w:hAnsi="Times New Roman"/>
          <w:i/>
          <w:szCs w:val="24"/>
        </w:rPr>
        <w:t>Register</w:t>
      </w:r>
      <w:r w:rsidRPr="00600EF6">
        <w:rPr>
          <w:rFonts w:ascii="Times New Roman" w:hAnsi="Times New Roman"/>
          <w:szCs w:val="24"/>
        </w:rPr>
        <w:t xml:space="preserve"> on </w:t>
      </w:r>
      <w:r w:rsidR="005765FF">
        <w:rPr>
          <w:rFonts w:ascii="Times New Roman" w:hAnsi="Times New Roman"/>
          <w:szCs w:val="24"/>
        </w:rPr>
        <w:t>March 11, 2024 (89</w:t>
      </w:r>
      <w:r w:rsidRPr="00600EF6">
        <w:rPr>
          <w:rFonts w:ascii="Times New Roman" w:hAnsi="Times New Roman"/>
          <w:szCs w:val="24"/>
        </w:rPr>
        <w:t xml:space="preserve"> FR </w:t>
      </w:r>
      <w:r w:rsidR="005765FF">
        <w:rPr>
          <w:rFonts w:ascii="Times New Roman" w:hAnsi="Times New Roman"/>
          <w:szCs w:val="24"/>
        </w:rPr>
        <w:t>17468</w:t>
      </w:r>
      <w:r w:rsidRPr="00600EF6">
        <w:rPr>
          <w:rFonts w:ascii="Times New Roman" w:hAnsi="Times New Roman"/>
          <w:szCs w:val="24"/>
        </w:rPr>
        <w:t xml:space="preserve">).  </w:t>
      </w:r>
      <w:r w:rsidR="0070148F">
        <w:rPr>
          <w:rFonts w:ascii="Times New Roman" w:hAnsi="Times New Roman"/>
          <w:szCs w:val="24"/>
        </w:rPr>
        <w:t xml:space="preserve">No comments </w:t>
      </w:r>
      <w:r w:rsidR="0070148F">
        <w:rPr>
          <w:rFonts w:ascii="Times New Roman" w:hAnsi="Times New Roman"/>
          <w:szCs w:val="24"/>
        </w:rPr>
        <w:t xml:space="preserve">were </w:t>
      </w:r>
      <w:r>
        <w:rPr>
          <w:rFonts w:ascii="Times New Roman" w:hAnsi="Times New Roman"/>
          <w:szCs w:val="24"/>
        </w:rPr>
        <w:t>received</w:t>
      </w:r>
      <w:r>
        <w:rPr>
          <w:rFonts w:ascii="Times New Roman" w:hAnsi="Times New Roman"/>
          <w:szCs w:val="24"/>
        </w:rPr>
        <w:t>.</w:t>
      </w:r>
    </w:p>
    <w:p w:rsidR="00075A03">
      <w:pPr>
        <w:rPr>
          <w:rFonts w:ascii="Times New Roman" w:hAnsi="Times New Roman"/>
          <w:szCs w:val="24"/>
        </w:rPr>
      </w:pPr>
    </w:p>
    <w:p w:rsidR="00075A03">
      <w:pPr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9. </w:t>
      </w:r>
      <w:r>
        <w:rPr>
          <w:rFonts w:ascii="Times New Roman" w:hAnsi="Times New Roman"/>
          <w:szCs w:val="24"/>
          <w:u w:val="single"/>
        </w:rPr>
        <w:t>Payment to respondents</w:t>
      </w:r>
      <w:r>
        <w:rPr>
          <w:rFonts w:ascii="Times New Roman" w:hAnsi="Times New Roman"/>
          <w:szCs w:val="24"/>
        </w:rPr>
        <w:t>:</w:t>
      </w:r>
    </w:p>
    <w:p w:rsidR="00075A03">
      <w:pPr>
        <w:rPr>
          <w:rFonts w:ascii="Times New Roman" w:hAnsi="Times New Roman"/>
          <w:szCs w:val="24"/>
        </w:rPr>
      </w:pPr>
    </w:p>
    <w:p w:rsidR="00075A03" w:rsidP="00714F75">
      <w:pPr>
        <w:ind w:left="270"/>
        <w:rPr>
          <w:rFonts w:ascii="Times New Roman" w:hAnsi="Times New Roman"/>
          <w:szCs w:val="24"/>
        </w:rPr>
      </w:pPr>
      <w:r w:rsidRPr="00714F75">
        <w:rPr>
          <w:rFonts w:ascii="Times New Roman" w:hAnsi="Times New Roman"/>
        </w:rPr>
        <w:t>None</w:t>
      </w:r>
      <w:r>
        <w:rPr>
          <w:rFonts w:ascii="Times New Roman" w:hAnsi="Times New Roman"/>
          <w:szCs w:val="24"/>
        </w:rPr>
        <w:t>.</w:t>
      </w:r>
    </w:p>
    <w:p w:rsidR="00714F75">
      <w:pPr>
        <w:widowControl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br w:type="page"/>
      </w:r>
    </w:p>
    <w:p w:rsidR="00075A03">
      <w:pPr>
        <w:rPr>
          <w:rFonts w:ascii="Times New Roman" w:hAnsi="Times New Roman"/>
          <w:szCs w:val="24"/>
        </w:rPr>
      </w:pPr>
    </w:p>
    <w:p w:rsidR="00075A03">
      <w:pPr>
        <w:tabs>
          <w:tab w:val="left" w:pos="-1440"/>
        </w:tabs>
        <w:ind w:left="720" w:hanging="720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10. </w:t>
      </w:r>
      <w:r>
        <w:rPr>
          <w:rFonts w:ascii="Times New Roman" w:hAnsi="Times New Roman"/>
          <w:szCs w:val="24"/>
          <w:u w:val="single"/>
        </w:rPr>
        <w:t>Any assurance of confidentiality</w:t>
      </w:r>
      <w:r>
        <w:rPr>
          <w:rFonts w:ascii="Times New Roman" w:hAnsi="Times New Roman"/>
          <w:szCs w:val="24"/>
        </w:rPr>
        <w:t>:</w:t>
      </w:r>
    </w:p>
    <w:p w:rsidR="00075A03">
      <w:pPr>
        <w:rPr>
          <w:rFonts w:ascii="Times New Roman" w:hAnsi="Times New Roman"/>
          <w:szCs w:val="24"/>
        </w:rPr>
      </w:pPr>
    </w:p>
    <w:p w:rsidR="00075A03" w:rsidP="00714F75">
      <w:pPr>
        <w:ind w:left="270"/>
        <w:rPr>
          <w:rFonts w:ascii="Times New Roman" w:hAnsi="Times New Roman"/>
          <w:szCs w:val="24"/>
        </w:rPr>
      </w:pPr>
      <w:r w:rsidRPr="00714F75">
        <w:rPr>
          <w:rFonts w:ascii="Times New Roman" w:hAnsi="Times New Roman"/>
          <w:szCs w:val="24"/>
        </w:rPr>
        <w:t xml:space="preserve">Any information deemed to be of a confidential nature would be exempt from public disclosure in </w:t>
      </w:r>
      <w:r w:rsidRPr="00714F75">
        <w:rPr>
          <w:rFonts w:ascii="Times New Roman" w:hAnsi="Times New Roman"/>
        </w:rPr>
        <w:t>accordance</w:t>
      </w:r>
      <w:r w:rsidRPr="00714F75">
        <w:rPr>
          <w:rFonts w:ascii="Times New Roman" w:hAnsi="Times New Roman"/>
          <w:szCs w:val="24"/>
        </w:rPr>
        <w:t xml:space="preserve"> with the provisions of the Freedom of Information Act (</w:t>
      </w:r>
      <w:r w:rsidRPr="00714F75">
        <w:rPr>
          <w:rFonts w:ascii="Times New Roman" w:hAnsi="Times New Roman"/>
          <w:szCs w:val="24"/>
        </w:rPr>
        <w:t>5</w:t>
      </w:r>
      <w:r w:rsidRPr="00714F75">
        <w:rPr>
          <w:rFonts w:ascii="Times New Roman" w:hAnsi="Times New Roman"/>
          <w:szCs w:val="24"/>
        </w:rPr>
        <w:t xml:space="preserve"> U.S.C. 552).</w:t>
      </w:r>
      <w:r>
        <w:rPr>
          <w:rFonts w:ascii="Times New Roman" w:hAnsi="Times New Roman"/>
          <w:szCs w:val="24"/>
        </w:rPr>
        <w:t xml:space="preserve">  Information </w:t>
      </w:r>
      <w:r>
        <w:rPr>
          <w:rFonts w:ascii="Times New Roman" w:hAnsi="Times New Roman"/>
          <w:szCs w:val="24"/>
        </w:rPr>
        <w:t>will be kept</w:t>
      </w:r>
      <w:r>
        <w:rPr>
          <w:rFonts w:ascii="Times New Roman" w:hAnsi="Times New Roman"/>
          <w:szCs w:val="24"/>
        </w:rPr>
        <w:t xml:space="preserve"> private to the extent allowed by law.</w:t>
      </w:r>
    </w:p>
    <w:p w:rsidR="00075A03">
      <w:pPr>
        <w:rPr>
          <w:rFonts w:ascii="Times New Roman" w:hAnsi="Times New Roman"/>
          <w:szCs w:val="24"/>
        </w:rPr>
      </w:pPr>
    </w:p>
    <w:p w:rsidR="00075A03">
      <w:pPr>
        <w:tabs>
          <w:tab w:val="left" w:pos="-1440"/>
        </w:tabs>
        <w:ind w:left="720" w:hanging="720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11. </w:t>
      </w:r>
      <w:r>
        <w:rPr>
          <w:rFonts w:ascii="Times New Roman" w:hAnsi="Times New Roman"/>
          <w:szCs w:val="24"/>
          <w:u w:val="single"/>
        </w:rPr>
        <w:t>Justification for questions of a sensitive nature</w:t>
      </w:r>
      <w:r>
        <w:rPr>
          <w:rFonts w:ascii="Times New Roman" w:hAnsi="Times New Roman"/>
          <w:szCs w:val="24"/>
        </w:rPr>
        <w:t>:</w:t>
      </w:r>
    </w:p>
    <w:p w:rsidR="00075A03">
      <w:pPr>
        <w:rPr>
          <w:rFonts w:ascii="Times New Roman" w:hAnsi="Times New Roman"/>
          <w:szCs w:val="24"/>
        </w:rPr>
      </w:pPr>
    </w:p>
    <w:p w:rsidR="00075A03" w:rsidP="00714F75">
      <w:pPr>
        <w:ind w:left="270"/>
        <w:rPr>
          <w:rFonts w:ascii="Times New Roman" w:hAnsi="Times New Roman"/>
          <w:szCs w:val="24"/>
        </w:rPr>
      </w:pPr>
      <w:r w:rsidRPr="00714F75">
        <w:rPr>
          <w:rFonts w:ascii="Times New Roman" w:hAnsi="Times New Roman"/>
          <w:szCs w:val="24"/>
        </w:rPr>
        <w:t xml:space="preserve">This </w:t>
      </w:r>
      <w:r w:rsidRPr="00714F75">
        <w:rPr>
          <w:rFonts w:ascii="Times New Roman" w:hAnsi="Times New Roman"/>
        </w:rPr>
        <w:t>collection</w:t>
      </w:r>
      <w:r w:rsidRPr="00714F75">
        <w:rPr>
          <w:rFonts w:ascii="Times New Roman" w:hAnsi="Times New Roman"/>
          <w:szCs w:val="24"/>
        </w:rPr>
        <w:t xml:space="preserve"> contains no sensitive information.</w:t>
      </w:r>
    </w:p>
    <w:p w:rsidR="00714F75">
      <w:pPr>
        <w:rPr>
          <w:rFonts w:ascii="Times New Roman" w:hAnsi="Times New Roman"/>
          <w:szCs w:val="24"/>
        </w:rPr>
      </w:pPr>
    </w:p>
    <w:p w:rsidR="00075A03" w:rsidP="00714F75">
      <w:pPr>
        <w:autoSpaceDE w:val="0"/>
        <w:autoSpaceDN w:val="0"/>
        <w:adjustRightInd w:val="0"/>
        <w:rPr>
          <w:rFonts w:ascii="Times New Roman" w:hAnsi="Times New Roman"/>
          <w:snapToGrid/>
          <w:spacing w:val="-3"/>
          <w:szCs w:val="24"/>
        </w:rPr>
      </w:pPr>
      <w:r>
        <w:rPr>
          <w:rFonts w:ascii="Times New Roman" w:hAnsi="Times New Roman"/>
          <w:szCs w:val="24"/>
        </w:rPr>
        <w:t xml:space="preserve">12. </w:t>
      </w:r>
      <w:r w:rsidRPr="00714F75" w:rsidR="00714F75">
        <w:rPr>
          <w:rFonts w:ascii="Times New Roman" w:hAnsi="Times New Roman"/>
          <w:snapToGrid/>
          <w:spacing w:val="-3"/>
          <w:szCs w:val="24"/>
          <w:u w:val="single"/>
        </w:rPr>
        <w:t>Estimates o</w:t>
      </w:r>
      <w:r w:rsidR="00714F75">
        <w:rPr>
          <w:rFonts w:ascii="Times New Roman" w:hAnsi="Times New Roman"/>
          <w:snapToGrid/>
          <w:spacing w:val="-3"/>
          <w:szCs w:val="24"/>
          <w:u w:val="single"/>
        </w:rPr>
        <w:t>f Hour Burden and Annualized Cos</w:t>
      </w:r>
      <w:r w:rsidRPr="00714F75" w:rsidR="00714F75">
        <w:rPr>
          <w:rFonts w:ascii="Times New Roman" w:hAnsi="Times New Roman"/>
          <w:snapToGrid/>
          <w:spacing w:val="-3"/>
          <w:szCs w:val="24"/>
          <w:u w:val="single"/>
        </w:rPr>
        <w:t>t</w:t>
      </w:r>
      <w:r w:rsidR="00714F75">
        <w:rPr>
          <w:rFonts w:ascii="Times New Roman" w:hAnsi="Times New Roman"/>
          <w:snapToGrid/>
          <w:spacing w:val="-3"/>
          <w:szCs w:val="24"/>
        </w:rPr>
        <w:t>:</w:t>
      </w:r>
    </w:p>
    <w:p w:rsidR="0009791F" w:rsidP="00714F75">
      <w:pPr>
        <w:autoSpaceDE w:val="0"/>
        <w:autoSpaceDN w:val="0"/>
        <w:adjustRightInd w:val="0"/>
        <w:rPr>
          <w:rFonts w:ascii="Times New Roman" w:hAnsi="Times New Roman"/>
          <w:snapToGrid/>
          <w:spacing w:val="-3"/>
          <w:szCs w:val="24"/>
        </w:rPr>
      </w:pPr>
    </w:p>
    <w:p w:rsidR="0009791F" w:rsidRPr="00714F75" w:rsidP="00714F75">
      <w:pPr>
        <w:autoSpaceDE w:val="0"/>
        <w:autoSpaceDN w:val="0"/>
        <w:adjustRightInd w:val="0"/>
        <w:rPr>
          <w:rFonts w:ascii="Times New Roman" w:hAnsi="Times New Roman"/>
          <w:snapToGrid/>
          <w:spacing w:val="-3"/>
          <w:szCs w:val="24"/>
        </w:rPr>
      </w:pPr>
    </w:p>
    <w:p w:rsidR="00075A03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tbl>
      <w:tblPr>
        <w:tblW w:w="9700" w:type="dxa"/>
        <w:jc w:val="center"/>
        <w:tblLook w:val="04A0"/>
      </w:tblPr>
      <w:tblGrid>
        <w:gridCol w:w="1900"/>
        <w:gridCol w:w="1420"/>
        <w:gridCol w:w="1180"/>
        <w:gridCol w:w="1140"/>
        <w:gridCol w:w="1100"/>
        <w:gridCol w:w="900"/>
        <w:gridCol w:w="1080"/>
        <w:gridCol w:w="980"/>
      </w:tblGrid>
      <w:tr w:rsidTr="00B0558C">
        <w:tblPrEx>
          <w:tblW w:w="9700" w:type="dxa"/>
          <w:jc w:val="center"/>
          <w:tblLook w:val="04A0"/>
        </w:tblPrEx>
        <w:trPr>
          <w:trHeight w:val="288"/>
          <w:jc w:val="center"/>
        </w:trPr>
        <w:tc>
          <w:tcPr>
            <w:tcW w:w="97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F75" w:rsidRPr="00714F75" w:rsidP="00714F75">
            <w:pPr>
              <w:widowControl/>
              <w:jc w:val="center"/>
              <w:rPr>
                <w:rFonts w:ascii="Times New Roman" w:hAnsi="Times New Roman"/>
                <w:b/>
                <w:bCs/>
                <w:snapToGrid/>
                <w:color w:val="000000"/>
                <w:sz w:val="16"/>
                <w:szCs w:val="16"/>
              </w:rPr>
            </w:pPr>
            <w:r w:rsidRPr="00714F75">
              <w:rPr>
                <w:rFonts w:ascii="Times New Roman" w:hAnsi="Times New Roman"/>
                <w:b/>
                <w:bCs/>
                <w:snapToGrid/>
                <w:color w:val="000000"/>
                <w:sz w:val="16"/>
                <w:szCs w:val="16"/>
              </w:rPr>
              <w:t xml:space="preserve"> Summary of Annual Burden and Internal Cost (3064-0115)</w:t>
            </w:r>
          </w:p>
        </w:tc>
      </w:tr>
      <w:tr w:rsidTr="00B0558C">
        <w:tblPrEx>
          <w:tblW w:w="9700" w:type="dxa"/>
          <w:jc w:val="center"/>
          <w:tblLook w:val="04A0"/>
        </w:tblPrEx>
        <w:trPr>
          <w:trHeight w:val="612"/>
          <w:jc w:val="center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F75" w:rsidRPr="00714F75" w:rsidP="00714F75">
            <w:pPr>
              <w:widowControl/>
              <w:rPr>
                <w:rFonts w:ascii="Times New Roman" w:hAnsi="Times New Roman"/>
                <w:snapToGrid/>
                <w:color w:val="000000"/>
                <w:sz w:val="16"/>
                <w:szCs w:val="16"/>
              </w:rPr>
            </w:pPr>
            <w:r w:rsidRPr="00714F75">
              <w:rPr>
                <w:rFonts w:ascii="Times New Roman" w:hAnsi="Times New Roman"/>
                <w:snapToGrid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F75" w:rsidRPr="00714F75" w:rsidP="00714F75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 w:val="16"/>
                <w:szCs w:val="16"/>
              </w:rPr>
            </w:pPr>
            <w:r w:rsidRPr="00714F75">
              <w:rPr>
                <w:rFonts w:ascii="Times New Roman" w:hAnsi="Times New Roman"/>
                <w:snapToGrid/>
                <w:color w:val="000000"/>
                <w:sz w:val="16"/>
                <w:szCs w:val="16"/>
              </w:rPr>
              <w:t>Type of Burden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F75" w:rsidRPr="00714F75" w:rsidP="00714F75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 w:val="16"/>
                <w:szCs w:val="16"/>
              </w:rPr>
            </w:pPr>
            <w:r w:rsidRPr="00714F75">
              <w:rPr>
                <w:rFonts w:ascii="Times New Roman" w:hAnsi="Times New Roman"/>
                <w:snapToGrid/>
                <w:color w:val="000000"/>
                <w:sz w:val="16"/>
                <w:szCs w:val="16"/>
              </w:rPr>
              <w:t>Obligation to Respond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F75" w:rsidRPr="00714F75" w:rsidP="00714F75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 w:val="16"/>
                <w:szCs w:val="16"/>
              </w:rPr>
            </w:pPr>
            <w:r w:rsidRPr="00714F75">
              <w:rPr>
                <w:rFonts w:ascii="Times New Roman" w:hAnsi="Times New Roman"/>
                <w:snapToGrid/>
                <w:color w:val="000000"/>
                <w:sz w:val="16"/>
                <w:szCs w:val="16"/>
              </w:rPr>
              <w:t>Estimated Number of Respondents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F75" w:rsidRPr="00714F75" w:rsidP="00714F75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 w:val="16"/>
                <w:szCs w:val="16"/>
              </w:rPr>
            </w:pPr>
            <w:r w:rsidRPr="00714F75">
              <w:rPr>
                <w:rFonts w:ascii="Times New Roman" w:hAnsi="Times New Roman"/>
                <w:snapToGrid/>
                <w:color w:val="000000"/>
                <w:sz w:val="16"/>
                <w:szCs w:val="16"/>
              </w:rPr>
              <w:t>Estimated Frequency of Responses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F75" w:rsidRPr="00714F75" w:rsidP="00714F75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 w:val="16"/>
                <w:szCs w:val="16"/>
              </w:rPr>
            </w:pPr>
            <w:r w:rsidRPr="00714F75">
              <w:rPr>
                <w:rFonts w:ascii="Times New Roman" w:hAnsi="Times New Roman"/>
                <w:snapToGrid/>
                <w:color w:val="000000"/>
                <w:sz w:val="16"/>
                <w:szCs w:val="16"/>
              </w:rPr>
              <w:t>Estimated Time per Response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F75" w:rsidRPr="00714F75" w:rsidP="00714F75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/>
                <w:color w:val="000000"/>
                <w:sz w:val="16"/>
                <w:szCs w:val="16"/>
              </w:rPr>
              <w:t>Estimated   Average Number of Responses per Respondent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F75" w:rsidRPr="00714F75" w:rsidP="00714F75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 w:val="16"/>
                <w:szCs w:val="16"/>
              </w:rPr>
            </w:pPr>
            <w:r w:rsidRPr="00714F75">
              <w:rPr>
                <w:rFonts w:ascii="Times New Roman" w:hAnsi="Times New Roman"/>
                <w:snapToGrid/>
                <w:color w:val="000000"/>
                <w:sz w:val="16"/>
                <w:szCs w:val="16"/>
              </w:rPr>
              <w:t>Total Annual Estimated Burden</w:t>
            </w:r>
          </w:p>
        </w:tc>
      </w:tr>
      <w:tr w:rsidTr="00B0558C">
        <w:tblPrEx>
          <w:tblW w:w="9700" w:type="dxa"/>
          <w:jc w:val="center"/>
          <w:tblLook w:val="04A0"/>
        </w:tblPrEx>
        <w:trPr>
          <w:trHeight w:val="408"/>
          <w:jc w:val="center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F75" w:rsidRPr="00714F75" w:rsidP="00714F75">
            <w:pPr>
              <w:widowControl/>
              <w:rPr>
                <w:rFonts w:ascii="Times New Roman" w:hAnsi="Times New Roman"/>
                <w:b/>
                <w:bCs/>
                <w:snapToGrid/>
                <w:sz w:val="16"/>
                <w:szCs w:val="16"/>
              </w:rPr>
            </w:pPr>
            <w:r w:rsidRPr="00714F75">
              <w:rPr>
                <w:rFonts w:ascii="Times New Roman" w:hAnsi="Times New Roman"/>
                <w:b/>
                <w:bCs/>
                <w:snapToGrid/>
                <w:sz w:val="16"/>
                <w:szCs w:val="16"/>
              </w:rPr>
              <w:t xml:space="preserve">Prompt Corrective Action                          </w:t>
            </w:r>
            <w:r w:rsidRPr="00714F75">
              <w:rPr>
                <w:rFonts w:ascii="Times New Roman" w:hAnsi="Times New Roman"/>
                <w:snapToGrid/>
                <w:sz w:val="16"/>
                <w:szCs w:val="16"/>
              </w:rPr>
              <w:t>(12 CFR parts 303, 324, and 390)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F75" w:rsidRPr="00714F75" w:rsidP="00714F75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 w:val="16"/>
                <w:szCs w:val="16"/>
              </w:rPr>
            </w:pPr>
            <w:r w:rsidRPr="00714F75">
              <w:rPr>
                <w:rFonts w:ascii="Times New Roman" w:hAnsi="Times New Roman"/>
                <w:snapToGrid/>
                <w:color w:val="000000"/>
                <w:sz w:val="16"/>
                <w:szCs w:val="16"/>
              </w:rPr>
              <w:t>Reporting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F75" w:rsidRPr="00714F75" w:rsidP="00714F75">
            <w:pPr>
              <w:widowControl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714F75">
              <w:rPr>
                <w:rFonts w:ascii="Times New Roman" w:hAnsi="Times New Roman"/>
                <w:snapToGrid/>
                <w:sz w:val="16"/>
                <w:szCs w:val="16"/>
              </w:rPr>
              <w:t>Voluntary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F75" w:rsidRPr="00714F75" w:rsidP="00714F75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 w:val="16"/>
                <w:szCs w:val="16"/>
              </w:rPr>
            </w:pPr>
            <w:r w:rsidRPr="00714F75">
              <w:rPr>
                <w:rFonts w:ascii="Times New Roman" w:hAnsi="Times New Roman"/>
                <w:snapToGrid/>
                <w:color w:val="000000"/>
                <w:sz w:val="16"/>
                <w:szCs w:val="16"/>
              </w:rPr>
              <w:t>1</w:t>
            </w:r>
            <w:r w:rsidR="00016B87">
              <w:rPr>
                <w:rFonts w:ascii="Times New Roman" w:hAnsi="Times New Roman"/>
                <w:snapToGrid/>
                <w:color w:val="000000"/>
                <w:sz w:val="16"/>
                <w:szCs w:val="16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F75" w:rsidRPr="00714F75" w:rsidP="00714F75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/>
                <w:color w:val="000000"/>
                <w:sz w:val="16"/>
                <w:szCs w:val="16"/>
              </w:rPr>
              <w:t>On Occasion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F75" w:rsidRPr="00714F75" w:rsidP="00714F75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 w:val="16"/>
                <w:szCs w:val="16"/>
              </w:rPr>
            </w:pPr>
            <w:r w:rsidRPr="00714F75">
              <w:rPr>
                <w:rFonts w:ascii="Times New Roman" w:hAnsi="Times New Roman"/>
                <w:snapToGrid/>
                <w:color w:val="000000"/>
                <w:sz w:val="16"/>
                <w:szCs w:val="16"/>
              </w:rPr>
              <w:t>4</w:t>
            </w:r>
            <w:r w:rsidR="00016B87">
              <w:rPr>
                <w:rFonts w:ascii="Times New Roman" w:hAnsi="Times New Roman"/>
                <w:snapToGrid/>
                <w:color w:val="000000"/>
                <w:sz w:val="16"/>
                <w:szCs w:val="16"/>
              </w:rPr>
              <w:t xml:space="preserve"> hours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F75" w:rsidRPr="00714F75" w:rsidP="00714F75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/>
                <w:color w:val="000000"/>
                <w:sz w:val="16"/>
                <w:szCs w:val="16"/>
              </w:rPr>
              <w:t>1.334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F75" w:rsidRPr="00714F75" w:rsidP="00714F75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/>
                <w:color w:val="000000"/>
                <w:sz w:val="16"/>
                <w:szCs w:val="16"/>
              </w:rPr>
              <w:t>64</w:t>
            </w:r>
            <w:r w:rsidRPr="00714F75">
              <w:rPr>
                <w:rFonts w:ascii="Times New Roman" w:hAnsi="Times New Roman"/>
                <w:snapToGrid/>
                <w:color w:val="000000"/>
                <w:sz w:val="16"/>
                <w:szCs w:val="16"/>
              </w:rPr>
              <w:t xml:space="preserve"> hours</w:t>
            </w:r>
          </w:p>
        </w:tc>
      </w:tr>
      <w:tr w:rsidTr="00B0558C">
        <w:tblPrEx>
          <w:tblW w:w="9700" w:type="dxa"/>
          <w:jc w:val="center"/>
          <w:tblLook w:val="04A0"/>
        </w:tblPrEx>
        <w:trPr>
          <w:trHeight w:val="204"/>
          <w:jc w:val="center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F75" w:rsidRPr="00714F75" w:rsidP="0009791F">
            <w:pPr>
              <w:widowControl/>
              <w:rPr>
                <w:rFonts w:ascii="Times New Roman" w:hAnsi="Times New Roman"/>
                <w:b/>
                <w:bCs/>
                <w:snapToGrid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napToGrid/>
                <w:color w:val="000000"/>
                <w:sz w:val="16"/>
                <w:szCs w:val="16"/>
              </w:rPr>
              <w:t>Total Estimated Annual Burden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F75" w:rsidRPr="00714F75" w:rsidP="00714F75">
            <w:pPr>
              <w:widowControl/>
              <w:rPr>
                <w:rFonts w:ascii="Times New Roman" w:hAnsi="Times New Roman"/>
                <w:snapToGrid/>
                <w:color w:val="000000"/>
                <w:sz w:val="16"/>
                <w:szCs w:val="16"/>
              </w:rPr>
            </w:pPr>
            <w:r w:rsidRPr="00714F75">
              <w:rPr>
                <w:rFonts w:ascii="Times New Roman" w:hAnsi="Times New Roman"/>
                <w:snapToGrid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F75" w:rsidRPr="00714F75" w:rsidP="00714F75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 w:val="16"/>
                <w:szCs w:val="16"/>
              </w:rPr>
            </w:pPr>
            <w:r w:rsidRPr="00714F75">
              <w:rPr>
                <w:rFonts w:ascii="Times New Roman" w:hAnsi="Times New Roman"/>
                <w:snapToGrid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F75" w:rsidRPr="00714F75" w:rsidP="00714F75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 w:val="16"/>
                <w:szCs w:val="16"/>
              </w:rPr>
            </w:pPr>
            <w:r w:rsidRPr="00714F75">
              <w:rPr>
                <w:rFonts w:ascii="Times New Roman" w:hAnsi="Times New Roman"/>
                <w:snapToGrid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F75" w:rsidRPr="00714F75" w:rsidP="00714F75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 w:val="16"/>
                <w:szCs w:val="16"/>
              </w:rPr>
            </w:pPr>
            <w:r w:rsidRPr="00714F75">
              <w:rPr>
                <w:rFonts w:ascii="Times New Roman" w:hAnsi="Times New Roman"/>
                <w:snapToGrid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F75" w:rsidRPr="00714F75" w:rsidP="00714F75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 w:val="16"/>
                <w:szCs w:val="16"/>
              </w:rPr>
            </w:pPr>
            <w:r w:rsidRPr="00714F75">
              <w:rPr>
                <w:rFonts w:ascii="Times New Roman" w:hAnsi="Times New Roman"/>
                <w:snapToGrid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F75" w:rsidRPr="00714F75" w:rsidP="00714F75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 w:val="16"/>
                <w:szCs w:val="16"/>
              </w:rPr>
            </w:pPr>
            <w:r w:rsidRPr="00714F75">
              <w:rPr>
                <w:rFonts w:ascii="Times New Roman" w:hAnsi="Times New Roman"/>
                <w:snapToGrid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F75" w:rsidRPr="00714F75" w:rsidP="00714F75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napToGrid/>
                <w:color w:val="000000"/>
                <w:sz w:val="16"/>
                <w:szCs w:val="16"/>
              </w:rPr>
              <w:t>64</w:t>
            </w:r>
            <w:r w:rsidRPr="00714F75">
              <w:rPr>
                <w:rFonts w:ascii="Times New Roman" w:hAnsi="Times New Roman"/>
                <w:snapToGrid/>
                <w:color w:val="000000"/>
                <w:sz w:val="16"/>
                <w:szCs w:val="16"/>
              </w:rPr>
              <w:t xml:space="preserve"> hours</w:t>
            </w:r>
          </w:p>
        </w:tc>
      </w:tr>
    </w:tbl>
    <w:p w:rsidR="001A1972">
      <w:pPr>
        <w:rPr>
          <w:rFonts w:ascii="Times New Roman" w:hAnsi="Times New Roman"/>
        </w:rPr>
      </w:pPr>
    </w:p>
    <w:p w:rsidR="0009791F" w:rsidRPr="00F11177" w:rsidP="0009791F">
      <w:pPr>
        <w:ind w:left="270"/>
        <w:rPr>
          <w:rFonts w:ascii="Times New Roman" w:hAnsi="Times New Roman"/>
          <w:snapToGrid/>
          <w:szCs w:val="24"/>
        </w:rPr>
      </w:pPr>
      <w:r>
        <w:rPr>
          <w:rFonts w:ascii="Times New Roman" w:hAnsi="Times New Roman"/>
          <w:u w:val="single"/>
          <w:lang w:bidi="en-US"/>
        </w:rPr>
        <w:t>Estimated Hourly Labor Compensation Rates</w:t>
      </w:r>
      <w:r>
        <w:rPr>
          <w:rFonts w:ascii="Times New Roman" w:hAnsi="Times New Roman"/>
          <w:lang w:bidi="en-US"/>
        </w:rPr>
        <w:t xml:space="preserve"> -</w:t>
      </w:r>
      <w:r w:rsidRPr="00F11177">
        <w:rPr>
          <w:rFonts w:ascii="Times New Roman" w:hAnsi="Times New Roman"/>
          <w:snapToGrid/>
          <w:szCs w:val="24"/>
        </w:rPr>
        <w:t xml:space="preserve">To estimate the weighted average hourly compensation cost of the burdens described above, </w:t>
      </w:r>
      <w:r>
        <w:rPr>
          <w:rFonts w:ascii="Times New Roman" w:hAnsi="Times New Roman"/>
          <w:snapToGrid/>
          <w:szCs w:val="24"/>
        </w:rPr>
        <w:t>FDIC</w:t>
      </w:r>
      <w:r w:rsidRPr="00F11177">
        <w:rPr>
          <w:rFonts w:ascii="Times New Roman" w:hAnsi="Times New Roman"/>
          <w:snapToGrid/>
          <w:szCs w:val="24"/>
        </w:rPr>
        <w:t xml:space="preserve"> use</w:t>
      </w:r>
      <w:r>
        <w:rPr>
          <w:rFonts w:ascii="Times New Roman" w:hAnsi="Times New Roman"/>
          <w:snapToGrid/>
          <w:szCs w:val="24"/>
        </w:rPr>
        <w:t>s</w:t>
      </w:r>
      <w:r w:rsidRPr="00F11177">
        <w:rPr>
          <w:rFonts w:ascii="Times New Roman" w:hAnsi="Times New Roman"/>
          <w:snapToGrid/>
          <w:szCs w:val="24"/>
        </w:rPr>
        <w:t xml:space="preserve"> the 75th percentile hourly wages reported by the Bureau of Labor Statistics (BLS) National Industry-Specific Occupational Employment and Wage Estimates for the relevant occupations in the Depository Credit Intermedia</w:t>
      </w:r>
      <w:r w:rsidR="00835C89">
        <w:rPr>
          <w:rFonts w:ascii="Times New Roman" w:hAnsi="Times New Roman"/>
          <w:snapToGrid/>
          <w:szCs w:val="24"/>
        </w:rPr>
        <w:t>tion sector, as of </w:t>
      </w:r>
      <w:r w:rsidR="00835C89">
        <w:rPr>
          <w:rFonts w:ascii="Times New Roman" w:hAnsi="Times New Roman"/>
          <w:snapToGrid/>
          <w:szCs w:val="24"/>
        </w:rPr>
        <w:t>May,</w:t>
      </w:r>
      <w:r w:rsidR="00835C89">
        <w:rPr>
          <w:rFonts w:ascii="Times New Roman" w:hAnsi="Times New Roman"/>
          <w:snapToGrid/>
          <w:szCs w:val="24"/>
        </w:rPr>
        <w:t xml:space="preserve"> 2022</w:t>
      </w:r>
      <w:r w:rsidRPr="00F11177">
        <w:rPr>
          <w:rFonts w:ascii="Times New Roman" w:hAnsi="Times New Roman"/>
          <w:snapToGrid/>
          <w:szCs w:val="24"/>
        </w:rPr>
        <w:t>.  </w:t>
      </w:r>
    </w:p>
    <w:p w:rsidR="0009791F" w:rsidRPr="00F11177" w:rsidP="0009791F">
      <w:pPr>
        <w:widowControl/>
        <w:textAlignment w:val="baseline"/>
        <w:rPr>
          <w:rFonts w:ascii="Times New Roman" w:hAnsi="Times New Roman"/>
          <w:snapToGrid/>
          <w:szCs w:val="24"/>
        </w:rPr>
      </w:pPr>
    </w:p>
    <w:p w:rsidR="0009791F" w:rsidRPr="00F11177" w:rsidP="0009791F">
      <w:pPr>
        <w:ind w:left="270"/>
        <w:rPr>
          <w:rFonts w:ascii="Times New Roman" w:hAnsi="Times New Roman"/>
          <w:snapToGrid/>
          <w:szCs w:val="24"/>
        </w:rPr>
      </w:pPr>
      <w:r w:rsidRPr="00F11177">
        <w:rPr>
          <w:rFonts w:ascii="Times New Roman" w:hAnsi="Times New Roman"/>
          <w:lang w:bidi="en-US"/>
        </w:rPr>
        <w:t>The</w:t>
      </w:r>
      <w:r w:rsidRPr="00F11177">
        <w:rPr>
          <w:rFonts w:ascii="Times New Roman" w:hAnsi="Times New Roman"/>
          <w:snapToGrid/>
          <w:szCs w:val="24"/>
        </w:rPr>
        <w:t xml:space="preserve"> hourly wage rates reported do not include non-monetary compensation.</w:t>
      </w:r>
      <w:r w:rsidR="00835C89">
        <w:rPr>
          <w:rFonts w:ascii="Times New Roman" w:hAnsi="Times New Roman"/>
          <w:snapToGrid/>
          <w:szCs w:val="24"/>
        </w:rPr>
        <w:t xml:space="preserve">  According to the May 2022</w:t>
      </w:r>
      <w:r w:rsidRPr="00F11177">
        <w:rPr>
          <w:rFonts w:ascii="Times New Roman" w:hAnsi="Times New Roman"/>
          <w:snapToGrid/>
          <w:szCs w:val="24"/>
        </w:rPr>
        <w:t> Employer Cost of Employee Compensation data, compensation rates for health and other benefits are 34 percent of total compensation</w:t>
      </w:r>
      <w:r w:rsidRPr="00F11177">
        <w:rPr>
          <w:rFonts w:ascii="Times New Roman" w:hAnsi="Times New Roman"/>
          <w:snapToGrid/>
          <w:szCs w:val="24"/>
        </w:rPr>
        <w:t>. </w:t>
      </w:r>
      <w:r w:rsidRPr="00F11177">
        <w:rPr>
          <w:rFonts w:ascii="Times New Roman" w:hAnsi="Times New Roman"/>
          <w:snapToGrid/>
          <w:szCs w:val="24"/>
        </w:rPr>
        <w:t xml:space="preserve">To account </w:t>
      </w:r>
      <w:r>
        <w:rPr>
          <w:rFonts w:ascii="Times New Roman" w:hAnsi="Times New Roman"/>
          <w:snapToGrid/>
          <w:szCs w:val="24"/>
        </w:rPr>
        <w:t>for non-monetary compensation, FDIC</w:t>
      </w:r>
      <w:r w:rsidRPr="00F11177">
        <w:rPr>
          <w:rFonts w:ascii="Times New Roman" w:hAnsi="Times New Roman"/>
          <w:snapToGrid/>
          <w:szCs w:val="24"/>
        </w:rPr>
        <w:t xml:space="preserve"> adjust</w:t>
      </w:r>
      <w:r>
        <w:rPr>
          <w:rFonts w:ascii="Times New Roman" w:hAnsi="Times New Roman"/>
          <w:snapToGrid/>
          <w:szCs w:val="24"/>
        </w:rPr>
        <w:t>s</w:t>
      </w:r>
      <w:r w:rsidRPr="00F11177">
        <w:rPr>
          <w:rFonts w:ascii="Times New Roman" w:hAnsi="Times New Roman"/>
          <w:snapToGrid/>
          <w:szCs w:val="24"/>
        </w:rPr>
        <w:t xml:space="preserve"> the hourly wage rates repor</w:t>
      </w:r>
      <w:r>
        <w:rPr>
          <w:rFonts w:ascii="Times New Roman" w:hAnsi="Times New Roman"/>
          <w:snapToGrid/>
          <w:szCs w:val="24"/>
        </w:rPr>
        <w:t>ted by BLS by that percentage</w:t>
      </w:r>
      <w:r>
        <w:rPr>
          <w:rFonts w:ascii="Times New Roman" w:hAnsi="Times New Roman"/>
          <w:snapToGrid/>
          <w:szCs w:val="24"/>
        </w:rPr>
        <w:t xml:space="preserve">. </w:t>
      </w:r>
      <w:r>
        <w:rPr>
          <w:rFonts w:ascii="Times New Roman" w:hAnsi="Times New Roman"/>
          <w:snapToGrid/>
          <w:szCs w:val="24"/>
        </w:rPr>
        <w:t>FDIC</w:t>
      </w:r>
      <w:r w:rsidRPr="00F11177">
        <w:rPr>
          <w:rFonts w:ascii="Times New Roman" w:hAnsi="Times New Roman"/>
          <w:snapToGrid/>
          <w:szCs w:val="24"/>
        </w:rPr>
        <w:t xml:space="preserve"> also adjust</w:t>
      </w:r>
      <w:r>
        <w:rPr>
          <w:rFonts w:ascii="Times New Roman" w:hAnsi="Times New Roman"/>
          <w:snapToGrid/>
          <w:szCs w:val="24"/>
        </w:rPr>
        <w:t>s</w:t>
      </w:r>
      <w:r w:rsidRPr="00F11177">
        <w:rPr>
          <w:rFonts w:ascii="Times New Roman" w:hAnsi="Times New Roman"/>
          <w:snapToGrid/>
          <w:szCs w:val="24"/>
        </w:rPr>
        <w:t xml:space="preserve"> the hourly wage by 1.71 percent based on changes in the Consumer Price Index for Urban</w:t>
      </w:r>
      <w:r w:rsidR="00835C89">
        <w:rPr>
          <w:rFonts w:ascii="Times New Roman" w:hAnsi="Times New Roman"/>
          <w:snapToGrid/>
          <w:szCs w:val="24"/>
        </w:rPr>
        <w:t xml:space="preserve"> Consumers (CPI-U) from March 2022 to June 2023</w:t>
      </w:r>
      <w:r w:rsidRPr="00F11177">
        <w:rPr>
          <w:rFonts w:ascii="Times New Roman" w:hAnsi="Times New Roman"/>
          <w:snapToGrid/>
          <w:szCs w:val="24"/>
        </w:rPr>
        <w:t> to account for inflation and ensure that the wage information is contemporaneous with the non-monetary compensation statistic.</w:t>
      </w:r>
    </w:p>
    <w:p w:rsidR="0009791F" w:rsidRPr="00F11177" w:rsidP="0009791F">
      <w:pPr>
        <w:widowControl/>
        <w:textAlignment w:val="baseline"/>
        <w:rPr>
          <w:rFonts w:ascii="Times New Roman" w:hAnsi="Times New Roman"/>
          <w:snapToGrid/>
          <w:szCs w:val="24"/>
        </w:rPr>
      </w:pPr>
    </w:p>
    <w:p w:rsidR="0009791F" w:rsidRPr="00F11177" w:rsidP="0009791F">
      <w:pPr>
        <w:ind w:left="270"/>
        <w:rPr>
          <w:rFonts w:ascii="Times New Roman" w:hAnsi="Times New Roman"/>
          <w:snapToGrid/>
          <w:szCs w:val="24"/>
        </w:rPr>
      </w:pPr>
      <w:r w:rsidRPr="00F11177">
        <w:rPr>
          <w:rFonts w:ascii="Times New Roman" w:hAnsi="Times New Roman"/>
          <w:snapToGrid/>
          <w:szCs w:val="24"/>
        </w:rPr>
        <w:t>After calculating these adju</w:t>
      </w:r>
      <w:r>
        <w:rPr>
          <w:rFonts w:ascii="Times New Roman" w:hAnsi="Times New Roman"/>
          <w:snapToGrid/>
          <w:szCs w:val="24"/>
        </w:rPr>
        <w:t>stments, FDIC</w:t>
      </w:r>
      <w:r w:rsidRPr="00F11177">
        <w:rPr>
          <w:rFonts w:ascii="Times New Roman" w:hAnsi="Times New Roman"/>
          <w:snapToGrid/>
          <w:szCs w:val="24"/>
        </w:rPr>
        <w:t xml:space="preserve"> then weight</w:t>
      </w:r>
      <w:r>
        <w:rPr>
          <w:rFonts w:ascii="Times New Roman" w:hAnsi="Times New Roman"/>
          <w:snapToGrid/>
          <w:szCs w:val="24"/>
        </w:rPr>
        <w:t>s</w:t>
      </w:r>
      <w:r w:rsidRPr="00F11177">
        <w:rPr>
          <w:rFonts w:ascii="Times New Roman" w:hAnsi="Times New Roman"/>
          <w:snapToGrid/>
          <w:szCs w:val="24"/>
        </w:rPr>
        <w:t xml:space="preserve"> the total</w:t>
      </w:r>
      <w:r w:rsidR="00CD3987">
        <w:rPr>
          <w:rFonts w:ascii="Times New Roman" w:hAnsi="Times New Roman"/>
          <w:snapToGrid/>
          <w:szCs w:val="24"/>
        </w:rPr>
        <w:t xml:space="preserve"> hourly compensation for the five</w:t>
      </w:r>
      <w:r w:rsidRPr="00F11177">
        <w:rPr>
          <w:rFonts w:ascii="Times New Roman" w:hAnsi="Times New Roman"/>
          <w:snapToGrid/>
          <w:szCs w:val="24"/>
        </w:rPr>
        <w:t xml:space="preserve"> occupations (Executives and Managers, Lawyers, Comp</w:t>
      </w:r>
      <w:r w:rsidR="00CD3987">
        <w:rPr>
          <w:rFonts w:ascii="Times New Roman" w:hAnsi="Times New Roman"/>
          <w:snapToGrid/>
          <w:szCs w:val="24"/>
        </w:rPr>
        <w:t>liance Officers,</w:t>
      </w:r>
      <w:r w:rsidRPr="00F11177">
        <w:rPr>
          <w:rFonts w:ascii="Times New Roman" w:hAnsi="Times New Roman"/>
          <w:snapToGrid/>
          <w:szCs w:val="24"/>
        </w:rPr>
        <w:t xml:space="preserve"> Financial Analysts, and Clerical), using the </w:t>
      </w:r>
      <w:r>
        <w:rPr>
          <w:rFonts w:ascii="Times New Roman" w:hAnsi="Times New Roman"/>
          <w:snapToGrid/>
          <w:szCs w:val="24"/>
        </w:rPr>
        <w:t>agency’s</w:t>
      </w:r>
      <w:r w:rsidRPr="00F11177">
        <w:rPr>
          <w:rFonts w:ascii="Times New Roman" w:hAnsi="Times New Roman"/>
          <w:snapToGrid/>
          <w:szCs w:val="24"/>
        </w:rPr>
        <w:t xml:space="preserve"> estimated allocation of labor to find the estimated hourly cost of complying with this IC.</w:t>
      </w:r>
      <w:r>
        <w:rPr>
          <w:rFonts w:ascii="Times New Roman" w:hAnsi="Times New Roman"/>
          <w:snapToGrid/>
          <w:szCs w:val="24"/>
          <w:vertAlign w:val="superscript"/>
        </w:rPr>
        <w:footnoteReference w:id="2"/>
      </w:r>
      <w:r w:rsidRPr="00F11177">
        <w:rPr>
          <w:rFonts w:ascii="Times New Roman" w:hAnsi="Times New Roman"/>
          <w:snapToGrid/>
          <w:szCs w:val="24"/>
        </w:rPr>
        <w:t xml:space="preserve">  The estimated hourly compensation rates are as follows: </w:t>
      </w:r>
    </w:p>
    <w:p w:rsidR="0009791F" w:rsidRPr="00F11177" w:rsidP="0009791F">
      <w:pPr>
        <w:widowControl/>
        <w:textAlignment w:val="baseline"/>
        <w:rPr>
          <w:rFonts w:ascii="Times New Roman" w:hAnsi="Times New Roman"/>
          <w:snapToGrid/>
          <w:szCs w:val="24"/>
        </w:rPr>
      </w:pPr>
    </w:p>
    <w:p w:rsidR="0009791F" w:rsidRPr="00F11177" w:rsidP="0009791F">
      <w:pPr>
        <w:suppressAutoHyphens/>
        <w:autoSpaceDE w:val="0"/>
        <w:autoSpaceDN w:val="0"/>
        <w:spacing w:after="240" w:line="260" w:lineRule="exact"/>
        <w:ind w:right="-86"/>
        <w:jc w:val="center"/>
        <w:rPr>
          <w:rFonts w:ascii="Times New Roman" w:hAnsi="Times New Roman"/>
          <w:b/>
          <w:bCs/>
          <w:snapToGrid/>
          <w:color w:val="000000"/>
          <w:szCs w:val="24"/>
        </w:rPr>
      </w:pPr>
    </w:p>
    <w:tbl>
      <w:tblPr>
        <w:tblStyle w:val="TableGrid1"/>
        <w:tblW w:w="0" w:type="auto"/>
        <w:tblLook w:val="04A0"/>
      </w:tblPr>
      <w:tblGrid>
        <w:gridCol w:w="4135"/>
        <w:gridCol w:w="1980"/>
        <w:gridCol w:w="1260"/>
        <w:gridCol w:w="1890"/>
      </w:tblGrid>
      <w:tr w:rsidTr="00AC0717">
        <w:tblPrEx>
          <w:tblW w:w="0" w:type="auto"/>
          <w:tblLook w:val="04A0"/>
        </w:tblPrEx>
        <w:trPr>
          <w:trHeight w:val="432"/>
        </w:trPr>
        <w:tc>
          <w:tcPr>
            <w:tcW w:w="9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91F" w:rsidRPr="00F11177" w:rsidP="00AC0717">
            <w:pPr>
              <w:keepNext/>
              <w:keepLines/>
              <w:suppressAutoHyphens/>
              <w:spacing w:line="260" w:lineRule="exact"/>
              <w:ind w:right="-86"/>
              <w:jc w:val="center"/>
              <w:rPr>
                <w:rFonts w:ascii="Times New Roman" w:eastAsia="Source Sans Pro" w:hAnsi="Times New Roman"/>
                <w:snapToGrid/>
                <w:color w:val="000000"/>
                <w:szCs w:val="24"/>
                <w:lang w:bidi="en-US"/>
              </w:rPr>
            </w:pPr>
            <w:r w:rsidRPr="00F11177">
              <w:rPr>
                <w:rFonts w:ascii="Times New Roman" w:hAnsi="Times New Roman"/>
                <w:b/>
                <w:bCs/>
                <w:snapToGrid/>
                <w:color w:val="000000"/>
                <w:szCs w:val="24"/>
              </w:rPr>
              <w:t xml:space="preserve">Summary of Hourly Burden Cost Estimate (OMB No. </w:t>
            </w:r>
            <w:r>
              <w:rPr>
                <w:rFonts w:ascii="Times New Roman" w:hAnsi="Times New Roman"/>
                <w:b/>
                <w:bCs/>
                <w:snapToGrid/>
                <w:color w:val="000000"/>
                <w:szCs w:val="24"/>
              </w:rPr>
              <w:t>3064-0115</w:t>
            </w:r>
            <w:r w:rsidRPr="00F11177">
              <w:rPr>
                <w:rFonts w:ascii="Times New Roman" w:hAnsi="Times New Roman"/>
                <w:b/>
                <w:bCs/>
                <w:snapToGrid/>
                <w:color w:val="000000"/>
                <w:szCs w:val="24"/>
              </w:rPr>
              <w:t>)</w:t>
            </w:r>
          </w:p>
        </w:tc>
      </w:tr>
      <w:tr w:rsidTr="00AC0717">
        <w:tblPrEx>
          <w:tblW w:w="0" w:type="auto"/>
          <w:tblLook w:val="04A0"/>
        </w:tblPrEx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91F" w:rsidRPr="00F11177" w:rsidP="00AC0717">
            <w:pPr>
              <w:keepNext/>
              <w:keepLines/>
              <w:suppressAutoHyphens/>
              <w:spacing w:after="240" w:line="260" w:lineRule="exact"/>
              <w:ind w:right="-86"/>
              <w:jc w:val="center"/>
              <w:rPr>
                <w:rFonts w:ascii="Times New Roman" w:eastAsia="Source Sans Pro" w:hAnsi="Times New Roman"/>
                <w:b/>
                <w:snapToGrid/>
                <w:sz w:val="20"/>
                <w:szCs w:val="20"/>
                <w:lang w:bidi="en-US"/>
              </w:rPr>
            </w:pPr>
            <w:r w:rsidRPr="00F11177">
              <w:rPr>
                <w:rFonts w:ascii="Times New Roman" w:eastAsia="Source Sans Pro" w:hAnsi="Times New Roman"/>
                <w:b/>
                <w:snapToGrid/>
                <w:color w:val="000000"/>
                <w:sz w:val="20"/>
                <w:szCs w:val="20"/>
                <w:lang w:bidi="en-US"/>
              </w:rPr>
              <w:t>Estimated Category of Personnel Responsible for Complying with the PRA Burden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91F" w:rsidRPr="00F11177" w:rsidP="00AC0717">
            <w:pPr>
              <w:keepNext/>
              <w:keepLines/>
              <w:suppressAutoHyphens/>
              <w:spacing w:after="240" w:line="260" w:lineRule="exact"/>
              <w:ind w:right="-86"/>
              <w:jc w:val="center"/>
              <w:rPr>
                <w:rFonts w:ascii="Times New Roman" w:eastAsia="Source Sans Pro" w:hAnsi="Times New Roman"/>
                <w:b/>
                <w:snapToGrid/>
                <w:sz w:val="20"/>
                <w:szCs w:val="20"/>
                <w:lang w:bidi="en-US"/>
              </w:rPr>
            </w:pPr>
            <w:r w:rsidRPr="00F11177">
              <w:rPr>
                <w:rFonts w:ascii="Times New Roman" w:eastAsia="Source Sans Pro" w:hAnsi="Times New Roman"/>
                <w:b/>
                <w:snapToGrid/>
                <w:color w:val="000000"/>
                <w:sz w:val="20"/>
                <w:szCs w:val="20"/>
                <w:lang w:bidi="en-US"/>
              </w:rPr>
              <w:t>Total Estimated Hourly Compensation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91F" w:rsidRPr="00F11177" w:rsidP="00AC0717">
            <w:pPr>
              <w:keepNext/>
              <w:keepLines/>
              <w:suppressAutoHyphens/>
              <w:spacing w:after="240" w:line="260" w:lineRule="exact"/>
              <w:ind w:right="-86"/>
              <w:jc w:val="center"/>
              <w:rPr>
                <w:rFonts w:ascii="Times New Roman" w:eastAsia="Source Sans Pro" w:hAnsi="Times New Roman"/>
                <w:b/>
                <w:snapToGrid/>
                <w:sz w:val="20"/>
                <w:szCs w:val="20"/>
                <w:lang w:bidi="en-US"/>
              </w:rPr>
            </w:pPr>
            <w:r w:rsidRPr="00F11177">
              <w:rPr>
                <w:rFonts w:ascii="Times New Roman" w:eastAsia="Source Sans Pro" w:hAnsi="Times New Roman"/>
                <w:b/>
                <w:snapToGrid/>
                <w:color w:val="000000"/>
                <w:sz w:val="20"/>
                <w:szCs w:val="20"/>
                <w:lang w:bidi="en-US"/>
              </w:rPr>
              <w:t>Allocated Weights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91F" w:rsidRPr="00F11177" w:rsidP="00AC0717">
            <w:pPr>
              <w:keepNext/>
              <w:keepLines/>
              <w:suppressAutoHyphens/>
              <w:spacing w:after="240" w:line="260" w:lineRule="exact"/>
              <w:ind w:right="-86"/>
              <w:jc w:val="center"/>
              <w:rPr>
                <w:rFonts w:ascii="Times New Roman" w:eastAsia="Source Sans Pro" w:hAnsi="Times New Roman"/>
                <w:b/>
                <w:snapToGrid/>
                <w:sz w:val="20"/>
                <w:szCs w:val="20"/>
                <w:lang w:bidi="en-US"/>
              </w:rPr>
            </w:pPr>
            <w:r w:rsidRPr="00F11177">
              <w:rPr>
                <w:rFonts w:ascii="Times New Roman" w:eastAsia="Source Sans Pro" w:hAnsi="Times New Roman"/>
                <w:b/>
                <w:snapToGrid/>
                <w:color w:val="000000"/>
                <w:sz w:val="20"/>
                <w:szCs w:val="20"/>
                <w:lang w:bidi="en-US"/>
              </w:rPr>
              <w:t>Weighted Hourly Compensation</w:t>
            </w:r>
          </w:p>
        </w:tc>
      </w:tr>
      <w:tr w:rsidTr="00AC0717">
        <w:tblPrEx>
          <w:tblW w:w="0" w:type="auto"/>
          <w:tblLook w:val="04A0"/>
        </w:tblPrEx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91F" w:rsidRPr="00F11177" w:rsidP="00AC0717">
            <w:pPr>
              <w:keepNext/>
              <w:keepLines/>
              <w:suppressAutoHyphens/>
              <w:spacing w:after="240" w:line="260" w:lineRule="exact"/>
              <w:ind w:right="-86"/>
              <w:rPr>
                <w:rFonts w:ascii="Times New Roman" w:eastAsia="Source Sans Pro" w:hAnsi="Times New Roman"/>
                <w:snapToGrid/>
                <w:color w:val="000000"/>
                <w:sz w:val="20"/>
                <w:szCs w:val="20"/>
                <w:lang w:bidi="en-US"/>
              </w:rPr>
            </w:pPr>
            <w:r w:rsidRPr="00F11177">
              <w:rPr>
                <w:rFonts w:ascii="Times New Roman" w:eastAsia="Source Sans Pro" w:hAnsi="Times New Roman"/>
                <w:snapToGrid/>
                <w:color w:val="000000"/>
                <w:sz w:val="20"/>
                <w:szCs w:val="20"/>
                <w:lang w:bidi="en-US"/>
              </w:rPr>
              <w:t>Executives and Managers</w:t>
            </w:r>
            <w:r>
              <w:rPr>
                <w:rFonts w:ascii="Times New Roman" w:eastAsia="Source Sans Pro" w:hAnsi="Times New Roman"/>
                <w:snapToGrid/>
                <w:color w:val="000000"/>
                <w:sz w:val="20"/>
                <w:szCs w:val="20"/>
                <w:vertAlign w:val="superscript"/>
                <w:lang w:bidi="en-US"/>
              </w:rPr>
              <w:footnoteReference w:id="3"/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91F" w:rsidRPr="00F11177" w:rsidP="00AC0717">
            <w:pPr>
              <w:keepNext/>
              <w:keepLines/>
              <w:suppressAutoHyphens/>
              <w:spacing w:after="240" w:line="260" w:lineRule="exact"/>
              <w:jc w:val="right"/>
              <w:rPr>
                <w:rFonts w:ascii="Times New Roman" w:eastAsia="Source Sans Pro" w:hAnsi="Times New Roman"/>
                <w:snapToGrid/>
                <w:color w:val="000000"/>
                <w:sz w:val="20"/>
                <w:szCs w:val="20"/>
                <w:lang w:bidi="en-US"/>
              </w:rPr>
            </w:pPr>
            <w:r>
              <w:rPr>
                <w:rFonts w:ascii="Times New Roman" w:eastAsia="Source Sans Pro" w:hAnsi="Times New Roman"/>
                <w:snapToGrid/>
                <w:sz w:val="20"/>
                <w:szCs w:val="20"/>
                <w:lang w:bidi="en-US"/>
              </w:rPr>
              <w:t>$131.66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91F" w:rsidRPr="00F11177" w:rsidP="00AC0717">
            <w:pPr>
              <w:keepNext/>
              <w:keepLines/>
              <w:suppressAutoHyphens/>
              <w:spacing w:after="240" w:line="260" w:lineRule="exact"/>
              <w:jc w:val="right"/>
              <w:rPr>
                <w:rFonts w:ascii="Times New Roman" w:eastAsia="Source Sans Pro" w:hAnsi="Times New Roman"/>
                <w:snapToGrid/>
                <w:color w:val="000000"/>
                <w:sz w:val="20"/>
                <w:szCs w:val="20"/>
                <w:lang w:bidi="en-US"/>
              </w:rPr>
            </w:pPr>
            <w:r>
              <w:rPr>
                <w:rFonts w:ascii="Times New Roman" w:eastAsia="Source Sans Pro" w:hAnsi="Times New Roman"/>
                <w:snapToGrid/>
                <w:color w:val="000000"/>
                <w:sz w:val="20"/>
                <w:szCs w:val="20"/>
                <w:lang w:bidi="en-US"/>
              </w:rPr>
              <w:t>40</w:t>
            </w:r>
            <w:r w:rsidRPr="00F11177">
              <w:rPr>
                <w:rFonts w:ascii="Times New Roman" w:eastAsia="Source Sans Pro" w:hAnsi="Times New Roman"/>
                <w:snapToGrid/>
                <w:color w:val="000000"/>
                <w:sz w:val="20"/>
                <w:szCs w:val="20"/>
                <w:lang w:bidi="en-US"/>
              </w:rPr>
              <w:t>%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791F" w:rsidRPr="00F11177" w:rsidP="00B5385A">
            <w:pPr>
              <w:keepNext/>
              <w:keepLines/>
              <w:suppressAutoHyphens/>
              <w:spacing w:after="240" w:line="260" w:lineRule="exact"/>
              <w:jc w:val="right"/>
              <w:rPr>
                <w:rFonts w:ascii="Times New Roman" w:eastAsia="Source Sans Pro" w:hAnsi="Times New Roman"/>
                <w:snapToGrid/>
                <w:color w:val="000000"/>
                <w:sz w:val="20"/>
                <w:szCs w:val="20"/>
                <w:lang w:bidi="en-US"/>
              </w:rPr>
            </w:pPr>
            <w:r>
              <w:rPr>
                <w:rFonts w:ascii="Times New Roman" w:eastAsia="Source Sans Pro" w:hAnsi="Times New Roman"/>
                <w:snapToGrid/>
                <w:color w:val="000000"/>
                <w:sz w:val="20"/>
                <w:szCs w:val="20"/>
                <w:lang w:bidi="en-US"/>
              </w:rPr>
              <w:t>$</w:t>
            </w:r>
            <w:r w:rsidR="00B5385A">
              <w:rPr>
                <w:rFonts w:ascii="Times New Roman" w:eastAsia="Source Sans Pro" w:hAnsi="Times New Roman"/>
                <w:snapToGrid/>
                <w:color w:val="000000"/>
                <w:sz w:val="20"/>
                <w:szCs w:val="20"/>
                <w:lang w:bidi="en-US"/>
              </w:rPr>
              <w:t>52.66</w:t>
            </w:r>
            <w:r w:rsidRPr="00F11177">
              <w:rPr>
                <w:rFonts w:ascii="Times New Roman" w:eastAsia="Source Sans Pro" w:hAnsi="Times New Roman"/>
                <w:snapToGrid/>
                <w:color w:val="000000"/>
                <w:sz w:val="20"/>
                <w:szCs w:val="20"/>
                <w:lang w:bidi="en-US"/>
              </w:rPr>
              <w:t xml:space="preserve"> </w:t>
            </w:r>
          </w:p>
        </w:tc>
      </w:tr>
      <w:tr w:rsidTr="00AC0717">
        <w:tblPrEx>
          <w:tblW w:w="0" w:type="auto"/>
          <w:tblLook w:val="04A0"/>
        </w:tblPrEx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91F" w:rsidRPr="00F11177" w:rsidP="00AC0717">
            <w:pPr>
              <w:keepNext/>
              <w:keepLines/>
              <w:suppressAutoHyphens/>
              <w:spacing w:after="240" w:line="260" w:lineRule="exact"/>
              <w:ind w:right="-86"/>
              <w:rPr>
                <w:rFonts w:ascii="Times New Roman" w:eastAsia="Source Sans Pro" w:hAnsi="Times New Roman"/>
                <w:snapToGrid/>
                <w:color w:val="000000"/>
                <w:sz w:val="20"/>
                <w:szCs w:val="20"/>
                <w:lang w:bidi="en-US"/>
              </w:rPr>
            </w:pPr>
            <w:r w:rsidRPr="00F11177">
              <w:rPr>
                <w:rFonts w:ascii="Times New Roman" w:eastAsia="Source Sans Pro" w:hAnsi="Times New Roman"/>
                <w:snapToGrid/>
                <w:sz w:val="20"/>
                <w:szCs w:val="20"/>
                <w:lang w:bidi="en-US"/>
              </w:rPr>
              <w:t>Lawyers</w:t>
            </w:r>
            <w:r>
              <w:rPr>
                <w:rFonts w:ascii="Times New Roman" w:eastAsia="Source Sans Pro" w:hAnsi="Times New Roman"/>
                <w:snapToGrid/>
                <w:sz w:val="20"/>
                <w:szCs w:val="20"/>
                <w:vertAlign w:val="superscript"/>
                <w:lang w:bidi="en-US"/>
              </w:rPr>
              <w:footnoteReference w:id="4"/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91F" w:rsidRPr="00F11177" w:rsidP="00AC0717">
            <w:pPr>
              <w:keepNext/>
              <w:keepLines/>
              <w:suppressAutoHyphens/>
              <w:spacing w:after="240" w:line="260" w:lineRule="exact"/>
              <w:jc w:val="right"/>
              <w:rPr>
                <w:rFonts w:ascii="Times New Roman" w:eastAsia="Source Sans Pro" w:hAnsi="Times New Roman"/>
                <w:snapToGrid/>
                <w:color w:val="000000"/>
                <w:sz w:val="20"/>
                <w:szCs w:val="20"/>
                <w:lang w:bidi="en-US"/>
              </w:rPr>
            </w:pPr>
            <w:r>
              <w:rPr>
                <w:rFonts w:ascii="Times New Roman" w:eastAsia="Source Sans Pro" w:hAnsi="Times New Roman"/>
                <w:snapToGrid/>
                <w:sz w:val="20"/>
                <w:szCs w:val="20"/>
                <w:lang w:bidi="en-US"/>
              </w:rPr>
              <w:t>169.85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1F" w:rsidRPr="00F11177" w:rsidP="00AC0717">
            <w:pPr>
              <w:keepNext/>
              <w:keepLines/>
              <w:suppressAutoHyphens/>
              <w:spacing w:after="240" w:line="260" w:lineRule="exact"/>
              <w:jc w:val="right"/>
              <w:rPr>
                <w:rFonts w:ascii="Times New Roman" w:eastAsia="Source Sans Pro" w:hAnsi="Times New Roman"/>
                <w:snapToGrid/>
                <w:color w:val="000000"/>
                <w:sz w:val="20"/>
                <w:szCs w:val="20"/>
                <w:lang w:bidi="en-US"/>
              </w:rPr>
            </w:pPr>
            <w:r>
              <w:rPr>
                <w:rFonts w:ascii="Times New Roman" w:eastAsia="Source Sans Pro" w:hAnsi="Times New Roman"/>
                <w:snapToGrid/>
                <w:color w:val="000000"/>
                <w:sz w:val="20"/>
                <w:szCs w:val="20"/>
                <w:lang w:bidi="en-US"/>
              </w:rPr>
              <w:t>30</w:t>
            </w:r>
            <w:r w:rsidRPr="00F11177">
              <w:rPr>
                <w:rFonts w:ascii="Times New Roman" w:eastAsia="Source Sans Pro" w:hAnsi="Times New Roman"/>
                <w:snapToGrid/>
                <w:color w:val="000000"/>
                <w:sz w:val="20"/>
                <w:szCs w:val="20"/>
                <w:lang w:bidi="en-US"/>
              </w:rPr>
              <w:t>%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791F" w:rsidRPr="00F11177" w:rsidP="00B5385A">
            <w:pPr>
              <w:keepNext/>
              <w:keepLines/>
              <w:suppressAutoHyphens/>
              <w:spacing w:after="240" w:line="260" w:lineRule="exact"/>
              <w:jc w:val="right"/>
              <w:rPr>
                <w:rFonts w:ascii="Times New Roman" w:eastAsia="Source Sans Pro" w:hAnsi="Times New Roman"/>
                <w:snapToGrid/>
                <w:color w:val="000000"/>
                <w:sz w:val="20"/>
                <w:szCs w:val="20"/>
                <w:lang w:bidi="en-US"/>
              </w:rPr>
            </w:pPr>
            <w:r>
              <w:rPr>
                <w:rFonts w:ascii="Times New Roman" w:eastAsia="Source Sans Pro" w:hAnsi="Times New Roman"/>
                <w:snapToGrid/>
                <w:color w:val="000000"/>
                <w:sz w:val="20"/>
                <w:szCs w:val="20"/>
                <w:lang w:bidi="en-US"/>
              </w:rPr>
              <w:t>$</w:t>
            </w:r>
            <w:r w:rsidRPr="00F11177">
              <w:rPr>
                <w:rFonts w:ascii="Times New Roman" w:eastAsia="Source Sans Pro" w:hAnsi="Times New Roman"/>
                <w:snapToGrid/>
                <w:color w:val="000000"/>
                <w:sz w:val="20"/>
                <w:szCs w:val="20"/>
                <w:lang w:bidi="en-US"/>
              </w:rPr>
              <w:t xml:space="preserve"> </w:t>
            </w:r>
            <w:r w:rsidR="00B5385A">
              <w:rPr>
                <w:rFonts w:ascii="Times New Roman" w:eastAsia="Source Sans Pro" w:hAnsi="Times New Roman"/>
                <w:snapToGrid/>
                <w:color w:val="000000"/>
                <w:sz w:val="20"/>
                <w:szCs w:val="20"/>
                <w:lang w:bidi="en-US"/>
              </w:rPr>
              <w:t>50.96</w:t>
            </w:r>
          </w:p>
        </w:tc>
      </w:tr>
      <w:tr w:rsidTr="00AC0717">
        <w:tblPrEx>
          <w:tblW w:w="0" w:type="auto"/>
          <w:tblLook w:val="04A0"/>
        </w:tblPrEx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91F" w:rsidRPr="00F11177" w:rsidP="00AC0717">
            <w:pPr>
              <w:keepNext/>
              <w:keepLines/>
              <w:suppressAutoHyphens/>
              <w:spacing w:after="240" w:line="260" w:lineRule="exact"/>
              <w:ind w:right="-86"/>
              <w:rPr>
                <w:rFonts w:ascii="Times New Roman" w:eastAsia="Source Sans Pro" w:hAnsi="Times New Roman"/>
                <w:snapToGrid/>
                <w:color w:val="000000"/>
                <w:sz w:val="20"/>
                <w:szCs w:val="20"/>
                <w:lang w:bidi="en-US"/>
              </w:rPr>
            </w:pPr>
            <w:r w:rsidRPr="00F11177">
              <w:rPr>
                <w:rFonts w:ascii="Times New Roman" w:eastAsia="Source Sans Pro" w:hAnsi="Times New Roman"/>
                <w:snapToGrid/>
                <w:sz w:val="20"/>
                <w:szCs w:val="20"/>
                <w:lang w:bidi="en-US"/>
              </w:rPr>
              <w:t>Compliance Officers</w:t>
            </w:r>
            <w:r>
              <w:rPr>
                <w:rFonts w:ascii="Times New Roman" w:eastAsia="Source Sans Pro" w:hAnsi="Times New Roman"/>
                <w:snapToGrid/>
                <w:sz w:val="20"/>
                <w:szCs w:val="20"/>
                <w:vertAlign w:val="superscript"/>
                <w:lang w:bidi="en-US"/>
              </w:rPr>
              <w:footnoteReference w:id="5"/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91F" w:rsidRPr="00F11177" w:rsidP="00AC0717">
            <w:pPr>
              <w:keepNext/>
              <w:keepLines/>
              <w:suppressAutoHyphens/>
              <w:spacing w:after="240" w:line="260" w:lineRule="exact"/>
              <w:jc w:val="right"/>
              <w:rPr>
                <w:rFonts w:ascii="Times New Roman" w:eastAsia="Source Sans Pro" w:hAnsi="Times New Roman"/>
                <w:snapToGrid/>
                <w:color w:val="000000"/>
                <w:sz w:val="20"/>
                <w:szCs w:val="20"/>
                <w:lang w:bidi="en-US"/>
              </w:rPr>
            </w:pPr>
            <w:r>
              <w:rPr>
                <w:rFonts w:ascii="Times New Roman" w:eastAsia="Source Sans Pro" w:hAnsi="Times New Roman"/>
                <w:snapToGrid/>
                <w:sz w:val="20"/>
                <w:szCs w:val="20"/>
                <w:lang w:bidi="en-US"/>
              </w:rPr>
              <w:t>65.27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1F" w:rsidRPr="00F11177" w:rsidP="00AC0717">
            <w:pPr>
              <w:keepNext/>
              <w:keepLines/>
              <w:suppressAutoHyphens/>
              <w:spacing w:after="240" w:line="260" w:lineRule="exact"/>
              <w:jc w:val="right"/>
              <w:rPr>
                <w:rFonts w:ascii="Times New Roman" w:eastAsia="Source Sans Pro" w:hAnsi="Times New Roman"/>
                <w:snapToGrid/>
                <w:color w:val="000000"/>
                <w:sz w:val="20"/>
                <w:szCs w:val="20"/>
                <w:lang w:bidi="en-US"/>
              </w:rPr>
            </w:pPr>
            <w:r>
              <w:rPr>
                <w:rFonts w:ascii="Times New Roman" w:eastAsia="Source Sans Pro" w:hAnsi="Times New Roman"/>
                <w:snapToGrid/>
                <w:color w:val="000000"/>
                <w:sz w:val="20"/>
                <w:szCs w:val="20"/>
                <w:lang w:bidi="en-US"/>
              </w:rPr>
              <w:t>10</w:t>
            </w:r>
            <w:r w:rsidRPr="00F11177">
              <w:rPr>
                <w:rFonts w:ascii="Times New Roman" w:eastAsia="Source Sans Pro" w:hAnsi="Times New Roman"/>
                <w:snapToGrid/>
                <w:color w:val="000000"/>
                <w:sz w:val="20"/>
                <w:szCs w:val="20"/>
                <w:lang w:bidi="en-US"/>
              </w:rPr>
              <w:t>%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791F" w:rsidRPr="00F11177" w:rsidP="00B5385A">
            <w:pPr>
              <w:keepNext/>
              <w:keepLines/>
              <w:suppressAutoHyphens/>
              <w:spacing w:after="240" w:line="260" w:lineRule="exact"/>
              <w:jc w:val="right"/>
              <w:rPr>
                <w:rFonts w:ascii="Times New Roman" w:eastAsia="Source Sans Pro" w:hAnsi="Times New Roman"/>
                <w:snapToGrid/>
                <w:color w:val="000000"/>
                <w:sz w:val="20"/>
                <w:szCs w:val="20"/>
                <w:lang w:bidi="en-US"/>
              </w:rPr>
            </w:pPr>
            <w:r>
              <w:rPr>
                <w:rFonts w:ascii="Times New Roman" w:eastAsia="Source Sans Pro" w:hAnsi="Times New Roman"/>
                <w:snapToGrid/>
                <w:color w:val="000000"/>
                <w:sz w:val="20"/>
                <w:szCs w:val="20"/>
                <w:lang w:bidi="en-US"/>
              </w:rPr>
              <w:t>$</w:t>
            </w:r>
            <w:r w:rsidRPr="00F11177">
              <w:rPr>
                <w:rFonts w:ascii="Times New Roman" w:eastAsia="Source Sans Pro" w:hAnsi="Times New Roman"/>
                <w:snapToGrid/>
                <w:color w:val="000000"/>
                <w:sz w:val="20"/>
                <w:szCs w:val="20"/>
                <w:lang w:bidi="en-US"/>
              </w:rPr>
              <w:t xml:space="preserve"> </w:t>
            </w:r>
            <w:r w:rsidR="00B5385A">
              <w:rPr>
                <w:rFonts w:ascii="Times New Roman" w:eastAsia="Source Sans Pro" w:hAnsi="Times New Roman"/>
                <w:snapToGrid/>
                <w:color w:val="000000"/>
                <w:sz w:val="20"/>
                <w:szCs w:val="20"/>
                <w:lang w:bidi="en-US"/>
              </w:rPr>
              <w:t>6.53</w:t>
            </w:r>
          </w:p>
        </w:tc>
      </w:tr>
      <w:tr w:rsidTr="00AC0717">
        <w:tblPrEx>
          <w:tblW w:w="0" w:type="auto"/>
          <w:tblLook w:val="04A0"/>
        </w:tblPrEx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C89" w:rsidRPr="00F11177" w:rsidP="00AC0717">
            <w:pPr>
              <w:keepNext/>
              <w:keepLines/>
              <w:suppressAutoHyphens/>
              <w:spacing w:after="240" w:line="260" w:lineRule="exact"/>
              <w:ind w:right="-86"/>
              <w:rPr>
                <w:rFonts w:ascii="Times New Roman" w:eastAsia="Source Sans Pro" w:hAnsi="Times New Roman"/>
                <w:snapToGrid/>
                <w:sz w:val="20"/>
                <w:lang w:bidi="en-US"/>
              </w:rPr>
            </w:pPr>
            <w:r>
              <w:rPr>
                <w:rFonts w:ascii="Times New Roman" w:eastAsia="Source Sans Pro" w:hAnsi="Times New Roman"/>
                <w:snapToGrid/>
                <w:sz w:val="20"/>
                <w:lang w:bidi="en-US"/>
              </w:rPr>
              <w:t>IT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C89" w:rsidP="00AC0717">
            <w:pPr>
              <w:keepNext/>
              <w:keepLines/>
              <w:suppressAutoHyphens/>
              <w:spacing w:after="240" w:line="260" w:lineRule="exact"/>
              <w:jc w:val="right"/>
              <w:rPr>
                <w:rFonts w:ascii="Times New Roman" w:eastAsia="Source Sans Pro" w:hAnsi="Times New Roman"/>
                <w:snapToGrid/>
                <w:sz w:val="20"/>
                <w:lang w:bidi="en-US"/>
              </w:rPr>
            </w:pPr>
            <w:r>
              <w:rPr>
                <w:rFonts w:ascii="Times New Roman" w:eastAsia="Source Sans Pro" w:hAnsi="Times New Roman"/>
                <w:snapToGrid/>
                <w:sz w:val="20"/>
                <w:lang w:bidi="en-US"/>
              </w:rPr>
              <w:t>103.74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89" w:rsidP="00AC0717">
            <w:pPr>
              <w:keepNext/>
              <w:keepLines/>
              <w:suppressAutoHyphens/>
              <w:spacing w:after="240" w:line="260" w:lineRule="exact"/>
              <w:jc w:val="right"/>
              <w:rPr>
                <w:rFonts w:ascii="Times New Roman" w:eastAsia="Source Sans Pro" w:hAnsi="Times New Roman"/>
                <w:snapToGrid/>
                <w:color w:val="000000"/>
                <w:sz w:val="20"/>
                <w:lang w:bidi="en-US"/>
              </w:rPr>
            </w:pPr>
            <w:r>
              <w:rPr>
                <w:rFonts w:ascii="Times New Roman" w:eastAsia="Source Sans Pro" w:hAnsi="Times New Roman"/>
                <w:snapToGrid/>
                <w:color w:val="000000"/>
                <w:sz w:val="20"/>
                <w:lang w:bidi="en-US"/>
              </w:rPr>
              <w:t>0%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5C89" w:rsidP="00AC0717">
            <w:pPr>
              <w:keepNext/>
              <w:keepLines/>
              <w:suppressAutoHyphens/>
              <w:spacing w:after="240" w:line="260" w:lineRule="exact"/>
              <w:jc w:val="right"/>
              <w:rPr>
                <w:rFonts w:ascii="Times New Roman" w:eastAsia="Source Sans Pro" w:hAnsi="Times New Roman"/>
                <w:snapToGrid/>
                <w:color w:val="000000"/>
                <w:sz w:val="20"/>
                <w:lang w:bidi="en-US"/>
              </w:rPr>
            </w:pPr>
            <w:r>
              <w:rPr>
                <w:rFonts w:ascii="Times New Roman" w:eastAsia="Source Sans Pro" w:hAnsi="Times New Roman"/>
                <w:snapToGrid/>
                <w:color w:val="000000"/>
                <w:sz w:val="20"/>
                <w:lang w:bidi="en-US"/>
              </w:rPr>
              <w:t>$0.00</w:t>
            </w:r>
          </w:p>
        </w:tc>
      </w:tr>
      <w:tr w:rsidTr="00AC0717">
        <w:tblPrEx>
          <w:tblW w:w="0" w:type="auto"/>
          <w:tblLook w:val="04A0"/>
        </w:tblPrEx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91F" w:rsidRPr="00F11177" w:rsidP="00AC0717">
            <w:pPr>
              <w:keepNext/>
              <w:keepLines/>
              <w:suppressAutoHyphens/>
              <w:spacing w:after="240" w:line="260" w:lineRule="exact"/>
              <w:ind w:right="-86"/>
              <w:rPr>
                <w:rFonts w:ascii="Times New Roman" w:eastAsia="Source Sans Pro" w:hAnsi="Times New Roman"/>
                <w:snapToGrid/>
                <w:color w:val="000000"/>
                <w:sz w:val="20"/>
                <w:szCs w:val="20"/>
                <w:lang w:bidi="en-US"/>
              </w:rPr>
            </w:pPr>
            <w:r w:rsidRPr="00F11177">
              <w:rPr>
                <w:rFonts w:ascii="Times New Roman" w:eastAsia="Source Sans Pro" w:hAnsi="Times New Roman"/>
                <w:snapToGrid/>
                <w:color w:val="000000"/>
                <w:sz w:val="20"/>
                <w:szCs w:val="20"/>
                <w:lang w:bidi="en-US"/>
              </w:rPr>
              <w:t>Financial Analysts</w:t>
            </w:r>
            <w:r>
              <w:rPr>
                <w:rFonts w:ascii="Times New Roman" w:eastAsia="Source Sans Pro" w:hAnsi="Times New Roman"/>
                <w:snapToGrid/>
                <w:color w:val="000000"/>
                <w:sz w:val="20"/>
                <w:szCs w:val="20"/>
                <w:vertAlign w:val="superscript"/>
                <w:lang w:bidi="en-US"/>
              </w:rPr>
              <w:footnoteReference w:id="6"/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91F" w:rsidRPr="00F11177" w:rsidP="00AC0717">
            <w:pPr>
              <w:keepNext/>
              <w:keepLines/>
              <w:suppressAutoHyphens/>
              <w:spacing w:after="240" w:line="260" w:lineRule="exact"/>
              <w:jc w:val="right"/>
              <w:rPr>
                <w:rFonts w:ascii="Times New Roman" w:eastAsia="Source Sans Pro" w:hAnsi="Times New Roman"/>
                <w:snapToGrid/>
                <w:color w:val="000000"/>
                <w:sz w:val="20"/>
                <w:szCs w:val="20"/>
                <w:lang w:bidi="en-US"/>
              </w:rPr>
            </w:pPr>
            <w:r>
              <w:rPr>
                <w:rFonts w:ascii="Times New Roman" w:eastAsia="Source Sans Pro" w:hAnsi="Times New Roman"/>
                <w:snapToGrid/>
                <w:sz w:val="20"/>
                <w:szCs w:val="20"/>
                <w:lang w:bidi="en-US"/>
              </w:rPr>
              <w:t>96.29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1F" w:rsidRPr="00F11177" w:rsidP="00AC0717">
            <w:pPr>
              <w:keepNext/>
              <w:keepLines/>
              <w:suppressAutoHyphens/>
              <w:spacing w:after="240" w:line="260" w:lineRule="exact"/>
              <w:jc w:val="right"/>
              <w:rPr>
                <w:rFonts w:ascii="Times New Roman" w:eastAsia="Source Sans Pro" w:hAnsi="Times New Roman"/>
                <w:snapToGrid/>
                <w:sz w:val="20"/>
                <w:szCs w:val="20"/>
                <w:lang w:bidi="en-US"/>
              </w:rPr>
            </w:pPr>
            <w:r>
              <w:rPr>
                <w:rFonts w:ascii="Times New Roman" w:eastAsia="Source Sans Pro" w:hAnsi="Times New Roman"/>
                <w:snapToGrid/>
                <w:color w:val="000000"/>
                <w:sz w:val="20"/>
                <w:szCs w:val="20"/>
                <w:lang w:bidi="en-US"/>
              </w:rPr>
              <w:t>10</w:t>
            </w:r>
            <w:r w:rsidRPr="00F11177">
              <w:rPr>
                <w:rFonts w:ascii="Times New Roman" w:eastAsia="Source Sans Pro" w:hAnsi="Times New Roman"/>
                <w:snapToGrid/>
                <w:color w:val="000000"/>
                <w:sz w:val="20"/>
                <w:szCs w:val="20"/>
                <w:lang w:bidi="en-US"/>
              </w:rPr>
              <w:t>%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791F" w:rsidRPr="00F11177" w:rsidP="00B5385A">
            <w:pPr>
              <w:keepNext/>
              <w:keepLines/>
              <w:suppressAutoHyphens/>
              <w:spacing w:after="240" w:line="260" w:lineRule="exact"/>
              <w:jc w:val="right"/>
              <w:rPr>
                <w:rFonts w:ascii="Times New Roman" w:eastAsia="Source Sans Pro" w:hAnsi="Times New Roman"/>
                <w:snapToGrid/>
                <w:sz w:val="20"/>
                <w:szCs w:val="20"/>
                <w:lang w:bidi="en-US"/>
              </w:rPr>
            </w:pPr>
            <w:r>
              <w:rPr>
                <w:rFonts w:ascii="Times New Roman" w:eastAsia="Source Sans Pro" w:hAnsi="Times New Roman"/>
                <w:snapToGrid/>
                <w:color w:val="000000"/>
                <w:sz w:val="20"/>
                <w:szCs w:val="20"/>
                <w:lang w:bidi="en-US"/>
              </w:rPr>
              <w:t>$</w:t>
            </w:r>
            <w:r w:rsidRPr="00F11177">
              <w:rPr>
                <w:rFonts w:ascii="Times New Roman" w:eastAsia="Source Sans Pro" w:hAnsi="Times New Roman"/>
                <w:snapToGrid/>
                <w:color w:val="000000"/>
                <w:sz w:val="20"/>
                <w:szCs w:val="20"/>
                <w:lang w:bidi="en-US"/>
              </w:rPr>
              <w:t xml:space="preserve"> </w:t>
            </w:r>
            <w:r w:rsidR="00B5385A">
              <w:rPr>
                <w:rFonts w:ascii="Times New Roman" w:eastAsia="Source Sans Pro" w:hAnsi="Times New Roman"/>
                <w:snapToGrid/>
                <w:color w:val="000000"/>
                <w:sz w:val="20"/>
                <w:szCs w:val="20"/>
                <w:lang w:bidi="en-US"/>
              </w:rPr>
              <w:t>9.63</w:t>
            </w:r>
          </w:p>
        </w:tc>
      </w:tr>
      <w:tr w:rsidTr="00AC0717">
        <w:tblPrEx>
          <w:tblW w:w="0" w:type="auto"/>
          <w:tblLook w:val="04A0"/>
        </w:tblPrEx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91F" w:rsidRPr="00F11177" w:rsidP="00AC0717">
            <w:pPr>
              <w:keepNext/>
              <w:keepLines/>
              <w:suppressAutoHyphens/>
              <w:spacing w:after="240" w:line="260" w:lineRule="exact"/>
              <w:ind w:right="-86"/>
              <w:rPr>
                <w:rFonts w:ascii="Times New Roman" w:eastAsia="Source Sans Pro" w:hAnsi="Times New Roman"/>
                <w:snapToGrid/>
                <w:color w:val="000000"/>
                <w:sz w:val="20"/>
                <w:szCs w:val="20"/>
                <w:lang w:bidi="en-US"/>
              </w:rPr>
            </w:pPr>
            <w:r w:rsidRPr="00F11177">
              <w:rPr>
                <w:rFonts w:ascii="Times New Roman" w:eastAsia="Source Sans Pro" w:hAnsi="Times New Roman"/>
                <w:snapToGrid/>
                <w:color w:val="000000"/>
                <w:sz w:val="20"/>
                <w:szCs w:val="20"/>
                <w:lang w:bidi="en-US"/>
              </w:rPr>
              <w:t>Clerical</w:t>
            </w:r>
            <w:r>
              <w:rPr>
                <w:rFonts w:ascii="Times New Roman" w:eastAsia="Source Sans Pro" w:hAnsi="Times New Roman"/>
                <w:snapToGrid/>
                <w:color w:val="000000"/>
                <w:sz w:val="20"/>
                <w:szCs w:val="20"/>
                <w:vertAlign w:val="superscript"/>
                <w:lang w:bidi="en-US"/>
              </w:rPr>
              <w:footnoteReference w:id="7"/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91F" w:rsidRPr="00F11177" w:rsidP="00AC0717">
            <w:pPr>
              <w:keepNext/>
              <w:keepLines/>
              <w:suppressAutoHyphens/>
              <w:spacing w:after="240" w:line="260" w:lineRule="exact"/>
              <w:jc w:val="right"/>
              <w:rPr>
                <w:rFonts w:ascii="Times New Roman" w:eastAsia="Source Sans Pro" w:hAnsi="Times New Roman"/>
                <w:snapToGrid/>
                <w:color w:val="000000"/>
                <w:sz w:val="20"/>
                <w:szCs w:val="20"/>
                <w:lang w:bidi="en-US"/>
              </w:rPr>
            </w:pPr>
            <w:r>
              <w:rPr>
                <w:rFonts w:ascii="Times New Roman" w:eastAsia="Source Sans Pro" w:hAnsi="Times New Roman"/>
                <w:snapToGrid/>
                <w:sz w:val="20"/>
                <w:szCs w:val="20"/>
                <w:lang w:bidi="en-US"/>
              </w:rPr>
              <w:t>37.09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1F" w:rsidRPr="00F11177" w:rsidP="00AC0717">
            <w:pPr>
              <w:keepNext/>
              <w:keepLines/>
              <w:suppressAutoHyphens/>
              <w:spacing w:after="240" w:line="260" w:lineRule="exact"/>
              <w:jc w:val="right"/>
              <w:rPr>
                <w:rFonts w:ascii="Times New Roman" w:eastAsia="Source Sans Pro" w:hAnsi="Times New Roman"/>
                <w:snapToGrid/>
                <w:sz w:val="20"/>
                <w:szCs w:val="20"/>
                <w:lang w:bidi="en-US"/>
              </w:rPr>
            </w:pPr>
            <w:r>
              <w:rPr>
                <w:rFonts w:ascii="Times New Roman" w:eastAsia="Source Sans Pro" w:hAnsi="Times New Roman"/>
                <w:snapToGrid/>
                <w:color w:val="000000"/>
                <w:sz w:val="20"/>
                <w:szCs w:val="20"/>
                <w:lang w:bidi="en-US"/>
              </w:rPr>
              <w:t>10</w:t>
            </w:r>
            <w:r w:rsidRPr="00F11177">
              <w:rPr>
                <w:rFonts w:ascii="Times New Roman" w:eastAsia="Source Sans Pro" w:hAnsi="Times New Roman"/>
                <w:snapToGrid/>
                <w:color w:val="000000"/>
                <w:sz w:val="20"/>
                <w:szCs w:val="20"/>
                <w:lang w:bidi="en-US"/>
              </w:rPr>
              <w:t>%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791F" w:rsidRPr="00F11177" w:rsidP="00B5385A">
            <w:pPr>
              <w:keepNext/>
              <w:keepLines/>
              <w:suppressAutoHyphens/>
              <w:spacing w:after="240" w:line="260" w:lineRule="exact"/>
              <w:jc w:val="right"/>
              <w:rPr>
                <w:rFonts w:ascii="Times New Roman" w:eastAsia="Source Sans Pro" w:hAnsi="Times New Roman"/>
                <w:snapToGrid/>
                <w:sz w:val="20"/>
                <w:szCs w:val="20"/>
                <w:lang w:bidi="en-US"/>
              </w:rPr>
            </w:pPr>
            <w:r>
              <w:rPr>
                <w:rFonts w:ascii="Times New Roman" w:eastAsia="Source Sans Pro" w:hAnsi="Times New Roman"/>
                <w:snapToGrid/>
                <w:color w:val="000000"/>
                <w:sz w:val="20"/>
                <w:szCs w:val="20"/>
                <w:lang w:bidi="en-US"/>
              </w:rPr>
              <w:t>$</w:t>
            </w:r>
            <w:r w:rsidR="00B5385A">
              <w:rPr>
                <w:rFonts w:ascii="Times New Roman" w:eastAsia="Source Sans Pro" w:hAnsi="Times New Roman"/>
                <w:snapToGrid/>
                <w:color w:val="000000"/>
                <w:sz w:val="20"/>
                <w:szCs w:val="20"/>
                <w:lang w:bidi="en-US"/>
              </w:rPr>
              <w:t>3.70</w:t>
            </w:r>
            <w:r w:rsidRPr="00F11177">
              <w:rPr>
                <w:rFonts w:ascii="Times New Roman" w:eastAsia="Source Sans Pro" w:hAnsi="Times New Roman"/>
                <w:snapToGrid/>
                <w:color w:val="000000"/>
                <w:sz w:val="20"/>
                <w:szCs w:val="20"/>
                <w:lang w:bidi="en-US"/>
              </w:rPr>
              <w:t xml:space="preserve"> </w:t>
            </w:r>
          </w:p>
        </w:tc>
      </w:tr>
      <w:tr w:rsidTr="00AC0717">
        <w:tblPrEx>
          <w:tblW w:w="0" w:type="auto"/>
          <w:tblLook w:val="04A0"/>
        </w:tblPrEx>
        <w:tc>
          <w:tcPr>
            <w:tcW w:w="7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9791F" w:rsidRPr="00F11177" w:rsidP="00AC0717">
            <w:pPr>
              <w:keepNext/>
              <w:keepLines/>
              <w:suppressAutoHyphens/>
              <w:spacing w:after="240" w:line="260" w:lineRule="exact"/>
              <w:jc w:val="right"/>
              <w:rPr>
                <w:rFonts w:ascii="Times New Roman" w:eastAsia="Source Sans Pro" w:hAnsi="Times New Roman"/>
                <w:snapToGrid/>
                <w:sz w:val="20"/>
                <w:szCs w:val="20"/>
                <w:lang w:bidi="en-US"/>
              </w:rPr>
            </w:pPr>
            <w:r w:rsidRPr="00F11177">
              <w:rPr>
                <w:rFonts w:ascii="Times New Roman" w:eastAsia="Source Sans Pro" w:hAnsi="Times New Roman"/>
                <w:b/>
                <w:bCs/>
                <w:snapToGrid/>
                <w:color w:val="000000"/>
                <w:sz w:val="20"/>
                <w:szCs w:val="20"/>
                <w:lang w:bidi="en-US"/>
              </w:rPr>
              <w:t>Weighted Average: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91F" w:rsidRPr="00F11177" w:rsidP="00B5385A">
            <w:pPr>
              <w:keepNext/>
              <w:keepLines/>
              <w:suppressAutoHyphens/>
              <w:spacing w:after="240" w:line="260" w:lineRule="exact"/>
              <w:jc w:val="right"/>
              <w:rPr>
                <w:rFonts w:ascii="Times New Roman" w:eastAsia="Source Sans Pro" w:hAnsi="Times New Roman"/>
                <w:b/>
                <w:snapToGrid/>
                <w:color w:val="000000"/>
                <w:sz w:val="20"/>
                <w:szCs w:val="20"/>
                <w:lang w:bidi="en-US"/>
              </w:rPr>
            </w:pPr>
            <w:r>
              <w:rPr>
                <w:rFonts w:ascii="Times New Roman" w:eastAsia="Source Sans Pro" w:hAnsi="Times New Roman"/>
                <w:b/>
                <w:snapToGrid/>
                <w:color w:val="000000"/>
                <w:sz w:val="20"/>
                <w:szCs w:val="20"/>
                <w:lang w:bidi="en-US"/>
              </w:rPr>
              <w:t>$</w:t>
            </w:r>
            <w:r w:rsidR="00B5385A">
              <w:rPr>
                <w:rFonts w:ascii="Times New Roman" w:eastAsia="Source Sans Pro" w:hAnsi="Times New Roman"/>
                <w:b/>
                <w:snapToGrid/>
                <w:color w:val="000000"/>
                <w:sz w:val="20"/>
                <w:szCs w:val="20"/>
                <w:lang w:bidi="en-US"/>
              </w:rPr>
              <w:t>123.48</w:t>
            </w:r>
          </w:p>
        </w:tc>
      </w:tr>
      <w:tr w:rsidTr="00AC0717">
        <w:tblPrEx>
          <w:tblW w:w="0" w:type="auto"/>
          <w:tblLook w:val="04A0"/>
        </w:tblPrEx>
        <w:trPr>
          <w:trHeight w:val="2592"/>
        </w:trPr>
        <w:tc>
          <w:tcPr>
            <w:tcW w:w="9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791F" w:rsidRPr="00F11177" w:rsidP="00AC0717">
            <w:pPr>
              <w:keepNext/>
              <w:keepLines/>
              <w:suppressAutoHyphens/>
              <w:spacing w:line="260" w:lineRule="exact"/>
              <w:ind w:right="-86"/>
              <w:rPr>
                <w:rFonts w:ascii="Times New Roman" w:eastAsia="Source Sans Pro" w:hAnsi="Times New Roman"/>
                <w:snapToGrid/>
                <w:sz w:val="18"/>
                <w:szCs w:val="18"/>
                <w:lang w:bidi="en-US"/>
              </w:rPr>
            </w:pPr>
            <w:r w:rsidRPr="00F11177">
              <w:rPr>
                <w:rFonts w:ascii="Times New Roman" w:eastAsia="Source Sans Pro" w:hAnsi="Times New Roman"/>
                <w:snapToGrid/>
                <w:sz w:val="18"/>
                <w:szCs w:val="18"/>
                <w:lang w:bidi="en-US"/>
              </w:rPr>
              <w:t>Source: Bureau of Labor Statistics: "National Industry-Specific Occupational Employment and Wage Estimates: Industry: Credit Intermediation and Related Activities (5221 And 5223 only)" (May 2019), Employer Cost of Employee Compensation (December 2020), Consumer Price Index (December 2020).</w:t>
            </w:r>
            <w:r w:rsidRPr="00F11177">
              <w:rPr>
                <w:rFonts w:ascii="Times New Roman" w:eastAsia="Source Sans Pro" w:hAnsi="Times New Roman"/>
                <w:snapToGrid/>
                <w:sz w:val="18"/>
                <w:szCs w:val="18"/>
                <w:lang w:bidi="en-US"/>
              </w:rPr>
              <w:br/>
            </w:r>
          </w:p>
          <w:p w:rsidR="0009791F" w:rsidRPr="00F11177" w:rsidP="005B499B">
            <w:pPr>
              <w:keepNext/>
              <w:keepLines/>
              <w:suppressAutoHyphens/>
              <w:spacing w:line="260" w:lineRule="exact"/>
              <w:ind w:right="-86"/>
              <w:rPr>
                <w:rFonts w:ascii="Times New Roman" w:eastAsia="Source Sans Pro" w:hAnsi="Times New Roman"/>
                <w:snapToGrid/>
                <w:sz w:val="18"/>
                <w:szCs w:val="18"/>
                <w:lang w:bidi="en-US"/>
              </w:rPr>
            </w:pPr>
            <w:r w:rsidRPr="00F11177">
              <w:rPr>
                <w:rFonts w:ascii="Times New Roman" w:eastAsia="Source Sans Pro" w:hAnsi="Times New Roman"/>
                <w:snapToGrid/>
                <w:sz w:val="18"/>
                <w:szCs w:val="18"/>
                <w:lang w:bidi="en-US"/>
              </w:rPr>
              <w:t>Note: The 75th percentile wage information reported by the BLS in the Specific Occupational Employment and Wage Estimates does not include health benefits and other non-monetary benefits</w:t>
            </w:r>
            <w:r w:rsidRPr="00F11177">
              <w:rPr>
                <w:rFonts w:ascii="Times New Roman" w:eastAsia="Source Sans Pro" w:hAnsi="Times New Roman"/>
                <w:snapToGrid/>
                <w:sz w:val="18"/>
                <w:szCs w:val="18"/>
                <w:lang w:bidi="en-US"/>
              </w:rPr>
              <w:t xml:space="preserve">. </w:t>
            </w:r>
            <w:r w:rsidRPr="00F11177">
              <w:rPr>
                <w:rFonts w:ascii="Times New Roman" w:eastAsia="Source Sans Pro" w:hAnsi="Times New Roman"/>
                <w:snapToGrid/>
                <w:sz w:val="18"/>
                <w:szCs w:val="18"/>
                <w:lang w:bidi="en-US"/>
              </w:rPr>
              <w:t xml:space="preserve">According to the </w:t>
            </w:r>
            <w:r w:rsidR="005B499B">
              <w:rPr>
                <w:rFonts w:ascii="Times New Roman" w:eastAsia="Source Sans Pro" w:hAnsi="Times New Roman"/>
                <w:snapToGrid/>
                <w:sz w:val="18"/>
                <w:szCs w:val="18"/>
                <w:lang w:bidi="en-US"/>
              </w:rPr>
              <w:t>May 2022</w:t>
            </w:r>
            <w:r w:rsidRPr="00F11177">
              <w:rPr>
                <w:rFonts w:ascii="Times New Roman" w:eastAsia="Source Sans Pro" w:hAnsi="Times New Roman"/>
                <w:snapToGrid/>
                <w:sz w:val="18"/>
                <w:szCs w:val="18"/>
                <w:lang w:bidi="en-US"/>
              </w:rPr>
              <w:t xml:space="preserve"> Employer Cost of Employee Compensation data compensation rates for health and other benefits are 34 percent of total compensation</w:t>
            </w:r>
            <w:r w:rsidRPr="00F11177">
              <w:rPr>
                <w:rFonts w:ascii="Times New Roman" w:eastAsia="Source Sans Pro" w:hAnsi="Times New Roman"/>
                <w:snapToGrid/>
                <w:sz w:val="18"/>
                <w:szCs w:val="18"/>
                <w:lang w:bidi="en-US"/>
              </w:rPr>
              <w:t xml:space="preserve">. </w:t>
            </w:r>
            <w:r w:rsidRPr="00F11177">
              <w:rPr>
                <w:rFonts w:ascii="Times New Roman" w:eastAsia="Source Sans Pro" w:hAnsi="Times New Roman"/>
                <w:snapToGrid/>
                <w:sz w:val="18"/>
                <w:szCs w:val="18"/>
                <w:lang w:bidi="en-US"/>
              </w:rPr>
              <w:t>Additionally, the wage has been adjusted for inflation according BLS data on the Consumer Price Index for Urban Consumers (CPI-U) so that it is contemporaneous with the non-wage compensation statistic</w:t>
            </w:r>
            <w:r w:rsidRPr="00F11177">
              <w:rPr>
                <w:rFonts w:ascii="Times New Roman" w:eastAsia="Source Sans Pro" w:hAnsi="Times New Roman"/>
                <w:snapToGrid/>
                <w:sz w:val="18"/>
                <w:szCs w:val="18"/>
                <w:lang w:bidi="en-US"/>
              </w:rPr>
              <w:t xml:space="preserve">. </w:t>
            </w:r>
            <w:r w:rsidRPr="00F11177">
              <w:rPr>
                <w:rFonts w:ascii="Times New Roman" w:eastAsia="Source Sans Pro" w:hAnsi="Times New Roman"/>
                <w:snapToGrid/>
                <w:sz w:val="18"/>
                <w:szCs w:val="18"/>
                <w:lang w:bidi="en-US"/>
              </w:rPr>
              <w:t>The inflation rate was 1.71 percent between Ma</w:t>
            </w:r>
            <w:r w:rsidR="005B499B">
              <w:rPr>
                <w:rFonts w:ascii="Times New Roman" w:eastAsia="Source Sans Pro" w:hAnsi="Times New Roman"/>
                <w:snapToGrid/>
                <w:sz w:val="18"/>
                <w:szCs w:val="18"/>
                <w:lang w:bidi="en-US"/>
              </w:rPr>
              <w:t>rch 2022</w:t>
            </w:r>
            <w:r w:rsidRPr="00F11177">
              <w:rPr>
                <w:rFonts w:ascii="Times New Roman" w:eastAsia="Source Sans Pro" w:hAnsi="Times New Roman"/>
                <w:snapToGrid/>
                <w:sz w:val="18"/>
                <w:szCs w:val="18"/>
                <w:lang w:bidi="en-US"/>
              </w:rPr>
              <w:t xml:space="preserve"> and </w:t>
            </w:r>
            <w:r w:rsidR="005B499B">
              <w:rPr>
                <w:rFonts w:ascii="Times New Roman" w:eastAsia="Source Sans Pro" w:hAnsi="Times New Roman"/>
                <w:snapToGrid/>
                <w:sz w:val="18"/>
                <w:szCs w:val="18"/>
                <w:lang w:bidi="en-US"/>
              </w:rPr>
              <w:t>June 2023</w:t>
            </w:r>
            <w:r w:rsidR="005B499B">
              <w:rPr>
                <w:rFonts w:ascii="Times New Roman" w:eastAsia="Source Sans Pro" w:hAnsi="Times New Roman"/>
                <w:snapToGrid/>
                <w:sz w:val="18"/>
                <w:szCs w:val="18"/>
                <w:lang w:bidi="en-US"/>
              </w:rPr>
              <w:t>.</w:t>
            </w:r>
            <w:r w:rsidRPr="00F11177">
              <w:rPr>
                <w:rFonts w:ascii="Times New Roman" w:eastAsia="Source Sans Pro" w:hAnsi="Times New Roman"/>
                <w:snapToGrid/>
                <w:sz w:val="18"/>
                <w:szCs w:val="18"/>
                <w:lang w:bidi="en-US"/>
              </w:rPr>
              <w:t>.</w:t>
            </w:r>
            <w:r w:rsidRPr="00F11177">
              <w:rPr>
                <w:rFonts w:ascii="Times New Roman" w:eastAsia="Source Sans Pro" w:hAnsi="Times New Roman"/>
                <w:snapToGrid/>
                <w:sz w:val="18"/>
                <w:szCs w:val="18"/>
                <w:lang w:bidi="en-US"/>
              </w:rPr>
              <w:br/>
            </w:r>
          </w:p>
        </w:tc>
      </w:tr>
    </w:tbl>
    <w:p w:rsidR="0009791F" w:rsidRPr="00F11177" w:rsidP="0009791F">
      <w:pPr>
        <w:suppressAutoHyphens/>
        <w:autoSpaceDE w:val="0"/>
        <w:autoSpaceDN w:val="0"/>
        <w:ind w:right="-86" w:firstLine="720"/>
        <w:rPr>
          <w:rFonts w:ascii="Times New Roman" w:eastAsia="Source Sans Pro" w:hAnsi="Times New Roman"/>
          <w:snapToGrid/>
          <w:sz w:val="20"/>
          <w:lang w:bidi="en-US"/>
        </w:rPr>
      </w:pPr>
    </w:p>
    <w:p w:rsidR="0009791F" w:rsidRPr="00F11177" w:rsidP="00AC1588">
      <w:pPr>
        <w:suppressAutoHyphens/>
        <w:autoSpaceDE w:val="0"/>
        <w:autoSpaceDN w:val="0"/>
        <w:ind w:left="270" w:right="-86"/>
        <w:rPr>
          <w:rFonts w:ascii="Times New Roman" w:eastAsia="Source Sans Pro" w:hAnsi="Times New Roman"/>
          <w:b/>
          <w:snapToGrid/>
          <w:szCs w:val="24"/>
          <w:lang w:bidi="en-US"/>
        </w:rPr>
      </w:pPr>
      <w:r w:rsidRPr="00F11177">
        <w:rPr>
          <w:rFonts w:ascii="Times New Roman" w:eastAsia="Source Sans Pro" w:hAnsi="Times New Roman"/>
          <w:b/>
          <w:snapToGrid/>
          <w:szCs w:val="24"/>
          <w:lang w:bidi="en-US"/>
        </w:rPr>
        <w:t>Total Estimated Compliance Cost</w:t>
      </w:r>
    </w:p>
    <w:p w:rsidR="0009791F" w:rsidRPr="00F11177" w:rsidP="00AC1588">
      <w:pPr>
        <w:suppressAutoHyphens/>
        <w:autoSpaceDE w:val="0"/>
        <w:autoSpaceDN w:val="0"/>
        <w:ind w:left="270" w:right="-86" w:firstLine="720"/>
        <w:rPr>
          <w:rFonts w:ascii="Times New Roman" w:eastAsia="Source Sans Pro" w:hAnsi="Times New Roman"/>
          <w:b/>
          <w:snapToGrid/>
          <w:szCs w:val="24"/>
          <w:lang w:bidi="en-US"/>
        </w:rPr>
      </w:pPr>
    </w:p>
    <w:p w:rsidR="0009791F" w:rsidP="00AC1588">
      <w:pPr>
        <w:ind w:left="270"/>
        <w:rPr>
          <w:rFonts w:ascii="Times New Roman" w:hAnsi="Times New Roman"/>
          <w:lang w:bidi="en-US"/>
        </w:rPr>
      </w:pPr>
      <w:r>
        <w:rPr>
          <w:rFonts w:ascii="Times New Roman" w:hAnsi="Times New Roman"/>
          <w:u w:val="single"/>
          <w:lang w:bidi="en-US"/>
        </w:rPr>
        <w:t>Estimated Labor Cost</w:t>
      </w:r>
      <w:r>
        <w:rPr>
          <w:rFonts w:ascii="Times New Roman" w:hAnsi="Times New Roman"/>
          <w:lang w:bidi="en-US"/>
        </w:rPr>
        <w:t xml:space="preserve"> –</w:t>
      </w:r>
      <w:r w:rsidRPr="00F11177">
        <w:rPr>
          <w:rFonts w:ascii="Times New Roman" w:eastAsia="Source Sans Pro" w:hAnsi="Times New Roman"/>
          <w:snapToGrid/>
          <w:szCs w:val="24"/>
          <w:lang w:bidi="en-US"/>
        </w:rPr>
        <w:t xml:space="preserve"> </w:t>
      </w:r>
      <w:r>
        <w:rPr>
          <w:rFonts w:ascii="Times New Roman" w:eastAsia="Source Sans Pro" w:hAnsi="Times New Roman"/>
          <w:snapToGrid/>
          <w:szCs w:val="24"/>
          <w:lang w:bidi="en-US"/>
        </w:rPr>
        <w:t xml:space="preserve">FDIC </w:t>
      </w:r>
      <w:r w:rsidRPr="00F11177">
        <w:rPr>
          <w:rFonts w:ascii="Times New Roman" w:eastAsia="Source Sans Pro" w:hAnsi="Times New Roman"/>
          <w:snapToGrid/>
          <w:szCs w:val="24"/>
          <w:lang w:bidi="en-US"/>
        </w:rPr>
        <w:t>estimate</w:t>
      </w:r>
      <w:r>
        <w:rPr>
          <w:rFonts w:ascii="Times New Roman" w:eastAsia="Source Sans Pro" w:hAnsi="Times New Roman"/>
          <w:snapToGrid/>
          <w:szCs w:val="24"/>
          <w:lang w:bidi="en-US"/>
        </w:rPr>
        <w:t>s</w:t>
      </w:r>
      <w:r w:rsidRPr="00F11177">
        <w:rPr>
          <w:rFonts w:ascii="Times New Roman" w:eastAsia="Source Sans Pro" w:hAnsi="Times New Roman"/>
          <w:snapToGrid/>
          <w:szCs w:val="24"/>
          <w:lang w:bidi="en-US"/>
        </w:rPr>
        <w:t xml:space="preserve"> the total annual cost burden for </w:t>
      </w:r>
      <w:r>
        <w:rPr>
          <w:rFonts w:ascii="Times New Roman" w:eastAsia="Source Sans Pro" w:hAnsi="Times New Roman"/>
          <w:snapToGrid/>
          <w:szCs w:val="24"/>
          <w:lang w:bidi="en-US"/>
        </w:rPr>
        <w:t>this information collection</w:t>
      </w:r>
      <w:r w:rsidRPr="00F11177">
        <w:rPr>
          <w:rFonts w:ascii="Times New Roman" w:eastAsia="Source Sans Pro" w:hAnsi="Times New Roman"/>
          <w:snapToGrid/>
          <w:szCs w:val="24"/>
          <w:lang w:bidi="en-US"/>
        </w:rPr>
        <w:t xml:space="preserve"> by multiplying the total</w:t>
      </w:r>
      <w:r>
        <w:rPr>
          <w:rFonts w:ascii="Times New Roman" w:eastAsia="Source Sans Pro" w:hAnsi="Times New Roman"/>
          <w:snapToGrid/>
          <w:szCs w:val="24"/>
          <w:lang w:bidi="en-US"/>
        </w:rPr>
        <w:t xml:space="preserve"> estimated </w:t>
      </w:r>
      <w:r w:rsidRPr="00F11177">
        <w:rPr>
          <w:rFonts w:ascii="Times New Roman" w:eastAsia="Source Sans Pro" w:hAnsi="Times New Roman"/>
          <w:snapToGrid/>
          <w:szCs w:val="24"/>
          <w:lang w:bidi="en-US"/>
        </w:rPr>
        <w:t xml:space="preserve"> annual burden hours </w:t>
      </w:r>
      <w:r>
        <w:rPr>
          <w:rFonts w:ascii="Times New Roman" w:eastAsia="Source Sans Pro" w:hAnsi="Times New Roman"/>
          <w:snapToGrid/>
          <w:szCs w:val="24"/>
          <w:lang w:bidi="en-US"/>
        </w:rPr>
        <w:t xml:space="preserve">shown in the </w:t>
      </w:r>
      <w:r>
        <w:rPr>
          <w:rFonts w:ascii="Times New Roman" w:hAnsi="Times New Roman"/>
          <w:lang w:bidi="en-US"/>
        </w:rPr>
        <w:t>Summary of Estimated Annual Burden table above,</w:t>
      </w:r>
      <w:r w:rsidRPr="00F11177">
        <w:rPr>
          <w:rFonts w:ascii="Times New Roman" w:eastAsia="Source Sans Pro" w:hAnsi="Times New Roman"/>
          <w:snapToGrid/>
          <w:szCs w:val="24"/>
          <w:lang w:bidi="en-US"/>
        </w:rPr>
        <w:t xml:space="preserve"> by the weighted average hourly compensation estimate </w:t>
      </w:r>
      <w:r>
        <w:rPr>
          <w:rFonts w:ascii="Times New Roman" w:eastAsia="Source Sans Pro" w:hAnsi="Times New Roman"/>
          <w:snapToGrid/>
          <w:szCs w:val="24"/>
          <w:lang w:bidi="en-US"/>
        </w:rPr>
        <w:t xml:space="preserve">shown in the </w:t>
      </w:r>
      <w:r w:rsidRPr="00F11177">
        <w:rPr>
          <w:rFonts w:ascii="Times New Roman" w:hAnsi="Times New Roman"/>
          <w:bCs/>
          <w:snapToGrid/>
          <w:color w:val="000000"/>
          <w:szCs w:val="24"/>
        </w:rPr>
        <w:t>Summary of Hourly Burden Cost Estimate</w:t>
      </w:r>
      <w:r>
        <w:rPr>
          <w:rFonts w:ascii="Times New Roman" w:eastAsia="Source Sans Pro" w:hAnsi="Times New Roman"/>
          <w:snapToGrid/>
          <w:szCs w:val="24"/>
          <w:lang w:bidi="en-US"/>
        </w:rPr>
        <w:t xml:space="preserve"> table </w:t>
      </w:r>
      <w:r>
        <w:rPr>
          <w:rFonts w:ascii="Times New Roman" w:eastAsia="Source Sans Pro" w:hAnsi="Times New Roman"/>
          <w:snapToGrid/>
          <w:szCs w:val="24"/>
          <w:lang w:bidi="en-US"/>
        </w:rPr>
        <w:t xml:space="preserve">. </w:t>
      </w:r>
      <w:r>
        <w:rPr>
          <w:rFonts w:ascii="Times New Roman" w:eastAsia="Source Sans Pro" w:hAnsi="Times New Roman"/>
          <w:snapToGrid/>
          <w:szCs w:val="24"/>
          <w:lang w:bidi="en-US"/>
        </w:rPr>
        <w:t>The total annu</w:t>
      </w:r>
      <w:r w:rsidRPr="00F11177">
        <w:rPr>
          <w:rFonts w:ascii="Times New Roman" w:eastAsia="Source Sans Pro" w:hAnsi="Times New Roman"/>
          <w:snapToGrid/>
          <w:szCs w:val="24"/>
          <w:lang w:bidi="en-US"/>
        </w:rPr>
        <w:t xml:space="preserve">al cost burden </w:t>
      </w:r>
      <w:r w:rsidRPr="00F11177">
        <w:rPr>
          <w:rFonts w:ascii="Times New Roman" w:eastAsia="Source Sans Pro" w:hAnsi="Times New Roman"/>
          <w:snapToGrid/>
          <w:szCs w:val="24"/>
          <w:lang w:bidi="en-US"/>
        </w:rPr>
        <w:t>is estimated</w:t>
      </w:r>
      <w:r>
        <w:rPr>
          <w:rFonts w:ascii="Times New Roman" w:eastAsia="Source Sans Pro" w:hAnsi="Times New Roman"/>
          <w:snapToGrid/>
          <w:szCs w:val="24"/>
          <w:lang w:bidi="en-US"/>
        </w:rPr>
        <w:t xml:space="preserve"> to be approximately </w:t>
      </w:r>
      <w:r w:rsidR="0036100F">
        <w:rPr>
          <w:rFonts w:ascii="Times New Roman" w:eastAsia="Source Sans Pro" w:hAnsi="Times New Roman"/>
          <w:b/>
          <w:snapToGrid/>
          <w:szCs w:val="24"/>
          <w:lang w:bidi="en-US"/>
        </w:rPr>
        <w:t>$7,902.72</w:t>
      </w:r>
      <w:r>
        <w:rPr>
          <w:rFonts w:ascii="Times New Roman" w:eastAsia="Source Sans Pro" w:hAnsi="Times New Roman"/>
          <w:snapToGrid/>
          <w:szCs w:val="24"/>
          <w:lang w:bidi="en-US"/>
        </w:rPr>
        <w:t>.</w:t>
      </w:r>
      <w:r>
        <w:rPr>
          <w:rStyle w:val="FootnoteReference"/>
          <w:rFonts w:ascii="Times New Roman" w:eastAsia="Source Sans Pro" w:hAnsi="Times New Roman"/>
          <w:snapToGrid/>
          <w:szCs w:val="24"/>
          <w:vertAlign w:val="superscript"/>
          <w:lang w:bidi="en-US"/>
        </w:rPr>
        <w:footnoteReference w:id="8"/>
      </w:r>
    </w:p>
    <w:p w:rsidR="00075A03" w:rsidP="00AC1588">
      <w:pPr>
        <w:ind w:left="270"/>
        <w:rPr>
          <w:rFonts w:ascii="Times New Roman" w:hAnsi="Times New Roman"/>
          <w:szCs w:val="24"/>
        </w:rPr>
      </w:pPr>
    </w:p>
    <w:p w:rsidR="00075A03">
      <w:pPr>
        <w:tabs>
          <w:tab w:val="left" w:pos="-1440"/>
        </w:tabs>
        <w:ind w:left="720" w:hanging="720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13. </w:t>
      </w:r>
      <w:r>
        <w:rPr>
          <w:rFonts w:ascii="Times New Roman" w:hAnsi="Times New Roman"/>
          <w:szCs w:val="24"/>
          <w:u w:val="single"/>
        </w:rPr>
        <w:t>Estimate of annualized costs to respondents</w:t>
      </w:r>
      <w:r>
        <w:rPr>
          <w:rFonts w:ascii="Times New Roman" w:hAnsi="Times New Roman"/>
          <w:szCs w:val="24"/>
        </w:rPr>
        <w:t>:</w:t>
      </w:r>
    </w:p>
    <w:p w:rsidR="00075A03">
      <w:pPr>
        <w:rPr>
          <w:rFonts w:ascii="Times New Roman" w:hAnsi="Times New Roman"/>
          <w:szCs w:val="24"/>
        </w:rPr>
      </w:pPr>
    </w:p>
    <w:p w:rsidR="00075A03" w:rsidP="00714F75">
      <w:pPr>
        <w:ind w:left="270"/>
        <w:rPr>
          <w:rFonts w:ascii="Times New Roman" w:hAnsi="Times New Roman"/>
          <w:szCs w:val="24"/>
        </w:rPr>
      </w:pPr>
      <w:r w:rsidRPr="00714F75">
        <w:rPr>
          <w:rFonts w:ascii="Times New Roman" w:hAnsi="Times New Roman"/>
        </w:rPr>
        <w:t>None</w:t>
      </w:r>
      <w:r>
        <w:rPr>
          <w:rFonts w:ascii="Times New Roman" w:hAnsi="Times New Roman"/>
          <w:szCs w:val="24"/>
        </w:rPr>
        <w:t>.</w:t>
      </w:r>
    </w:p>
    <w:p w:rsidR="00075A03">
      <w:pPr>
        <w:rPr>
          <w:rFonts w:ascii="Times New Roman" w:hAnsi="Times New Roman"/>
          <w:szCs w:val="24"/>
        </w:rPr>
      </w:pPr>
    </w:p>
    <w:p w:rsidR="00075A03">
      <w:pPr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14. </w:t>
      </w:r>
      <w:r>
        <w:rPr>
          <w:rFonts w:ascii="Times New Roman" w:hAnsi="Times New Roman"/>
          <w:szCs w:val="24"/>
          <w:u w:val="single"/>
        </w:rPr>
        <w:t>Estimate of annualized costs to the government</w:t>
      </w:r>
      <w:r>
        <w:rPr>
          <w:rFonts w:ascii="Times New Roman" w:hAnsi="Times New Roman"/>
          <w:szCs w:val="24"/>
        </w:rPr>
        <w:t>:</w:t>
      </w:r>
    </w:p>
    <w:p w:rsidR="00075A03">
      <w:pPr>
        <w:rPr>
          <w:rFonts w:ascii="Times New Roman" w:hAnsi="Times New Roman"/>
          <w:szCs w:val="24"/>
        </w:rPr>
      </w:pPr>
    </w:p>
    <w:p w:rsidR="00075A03" w:rsidP="00714F75">
      <w:pPr>
        <w:ind w:left="270"/>
        <w:rPr>
          <w:rFonts w:ascii="Times New Roman" w:hAnsi="Times New Roman"/>
          <w:szCs w:val="24"/>
        </w:rPr>
      </w:pPr>
      <w:r w:rsidRPr="00714F75">
        <w:rPr>
          <w:rFonts w:ascii="Times New Roman" w:hAnsi="Times New Roman"/>
        </w:rPr>
        <w:t>None</w:t>
      </w:r>
      <w:r>
        <w:rPr>
          <w:rFonts w:ascii="Times New Roman" w:hAnsi="Times New Roman"/>
          <w:szCs w:val="24"/>
        </w:rPr>
        <w:t>.</w:t>
      </w:r>
    </w:p>
    <w:p w:rsidR="00075A0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</w:p>
    <w:p w:rsidR="00075A03">
      <w:pPr>
        <w:tabs>
          <w:tab w:val="left" w:pos="-1440"/>
        </w:tabs>
        <w:ind w:left="720" w:hanging="720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15. </w:t>
      </w:r>
      <w:r>
        <w:rPr>
          <w:rFonts w:ascii="Times New Roman" w:hAnsi="Times New Roman"/>
          <w:szCs w:val="24"/>
          <w:u w:val="single"/>
        </w:rPr>
        <w:t>Changes in burden:</w:t>
      </w:r>
    </w:p>
    <w:p w:rsidR="00075A03">
      <w:pPr>
        <w:rPr>
          <w:rFonts w:ascii="Times New Roman" w:hAnsi="Times New Roman"/>
          <w:szCs w:val="24"/>
        </w:rPr>
      </w:pPr>
    </w:p>
    <w:p w:rsidR="003546F5" w:rsidRPr="003546F5" w:rsidP="003546F5">
      <w:pPr>
        <w:ind w:left="270"/>
        <w:rPr>
          <w:rFonts w:ascii="Times New Roman" w:hAnsi="Times New Roman"/>
          <w:snapToGrid/>
          <w:szCs w:val="24"/>
        </w:rPr>
      </w:pPr>
      <w:r w:rsidRPr="003546F5">
        <w:rPr>
          <w:rFonts w:ascii="Times New Roman" w:hAnsi="Times New Roman"/>
          <w:iCs/>
          <w:snapToGrid/>
        </w:rPr>
        <w:t xml:space="preserve">There </w:t>
      </w:r>
      <w:r w:rsidRPr="003546F5">
        <w:rPr>
          <w:rFonts w:ascii="Times New Roman" w:hAnsi="Times New Roman"/>
        </w:rPr>
        <w:t>is</w:t>
      </w:r>
      <w:r w:rsidRPr="003546F5">
        <w:rPr>
          <w:rFonts w:ascii="Times New Roman" w:hAnsi="Times New Roman"/>
          <w:iCs/>
          <w:snapToGrid/>
        </w:rPr>
        <w:t xml:space="preserve"> no change in the substance or methodology of this information collection.  The</w:t>
      </w:r>
      <w:r w:rsidR="0036100F">
        <w:rPr>
          <w:rFonts w:ascii="Times New Roman" w:hAnsi="Times New Roman"/>
          <w:iCs/>
          <w:snapToGrid/>
        </w:rPr>
        <w:t>re is no change in burden.</w:t>
      </w:r>
      <w:bookmarkStart w:id="0" w:name="_GoBack"/>
      <w:bookmarkEnd w:id="0"/>
    </w:p>
    <w:p w:rsidR="00075A03">
      <w:pPr>
        <w:rPr>
          <w:rFonts w:ascii="Times New Roman" w:hAnsi="Times New Roman"/>
          <w:szCs w:val="24"/>
        </w:rPr>
      </w:pPr>
    </w:p>
    <w:p w:rsidR="00075A03">
      <w:pPr>
        <w:tabs>
          <w:tab w:val="left" w:pos="-1440"/>
        </w:tabs>
        <w:ind w:left="720" w:hanging="720"/>
        <w:outlineLvl w:val="0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</w:rPr>
        <w:t xml:space="preserve">16. </w:t>
      </w:r>
      <w:r>
        <w:rPr>
          <w:rFonts w:ascii="Times New Roman" w:hAnsi="Times New Roman"/>
          <w:szCs w:val="24"/>
          <w:u w:val="single"/>
        </w:rPr>
        <w:t xml:space="preserve">Information regarding collections whose results </w:t>
      </w:r>
      <w:r>
        <w:rPr>
          <w:rFonts w:ascii="Times New Roman" w:hAnsi="Times New Roman"/>
          <w:szCs w:val="24"/>
          <w:u w:val="single"/>
        </w:rPr>
        <w:t>are planned to be published</w:t>
      </w:r>
      <w:r>
        <w:rPr>
          <w:rFonts w:ascii="Times New Roman" w:hAnsi="Times New Roman"/>
          <w:szCs w:val="24"/>
          <w:u w:val="single"/>
        </w:rPr>
        <w:t xml:space="preserve"> for statistical </w:t>
      </w:r>
    </w:p>
    <w:p w:rsidR="00075A03">
      <w:pPr>
        <w:tabs>
          <w:tab w:val="left" w:pos="-1440"/>
        </w:tabs>
        <w:ind w:left="720"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u w:val="single"/>
        </w:rPr>
        <w:t>use</w:t>
      </w:r>
      <w:r>
        <w:rPr>
          <w:rFonts w:ascii="Times New Roman" w:hAnsi="Times New Roman"/>
          <w:szCs w:val="24"/>
        </w:rPr>
        <w:t>:</w:t>
      </w:r>
    </w:p>
    <w:p w:rsidR="00075A03">
      <w:pPr>
        <w:ind w:left="720"/>
        <w:rPr>
          <w:rFonts w:ascii="Times New Roman" w:hAnsi="Times New Roman"/>
          <w:szCs w:val="24"/>
        </w:rPr>
      </w:pPr>
    </w:p>
    <w:p w:rsidR="00075A03" w:rsidP="00714F75">
      <w:pPr>
        <w:ind w:left="27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No </w:t>
      </w:r>
      <w:r w:rsidRPr="00714F75">
        <w:rPr>
          <w:rFonts w:ascii="Times New Roman" w:hAnsi="Times New Roman"/>
        </w:rPr>
        <w:t>publication</w:t>
      </w:r>
      <w:r>
        <w:rPr>
          <w:rFonts w:ascii="Times New Roman" w:hAnsi="Times New Roman"/>
          <w:szCs w:val="24"/>
        </w:rPr>
        <w:t xml:space="preserve"> for statistical use </w:t>
      </w:r>
      <w:r>
        <w:rPr>
          <w:rFonts w:ascii="Times New Roman" w:hAnsi="Times New Roman"/>
          <w:szCs w:val="24"/>
        </w:rPr>
        <w:t>is contemplated</w:t>
      </w:r>
      <w:r>
        <w:rPr>
          <w:rFonts w:ascii="Times New Roman" w:hAnsi="Times New Roman"/>
          <w:szCs w:val="24"/>
        </w:rPr>
        <w:t>.</w:t>
      </w:r>
    </w:p>
    <w:p w:rsidR="00075A03">
      <w:pPr>
        <w:rPr>
          <w:rFonts w:ascii="Times New Roman" w:hAnsi="Times New Roman"/>
          <w:szCs w:val="24"/>
        </w:rPr>
      </w:pPr>
    </w:p>
    <w:p w:rsidR="00075A03">
      <w:pPr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17. </w:t>
      </w:r>
      <w:r>
        <w:rPr>
          <w:rFonts w:ascii="Times New Roman" w:hAnsi="Times New Roman"/>
          <w:szCs w:val="24"/>
          <w:u w:val="single"/>
        </w:rPr>
        <w:t>Display of expiration date</w:t>
      </w:r>
      <w:r>
        <w:rPr>
          <w:rFonts w:ascii="Times New Roman" w:hAnsi="Times New Roman"/>
          <w:szCs w:val="24"/>
        </w:rPr>
        <w:t>:</w:t>
      </w:r>
    </w:p>
    <w:p w:rsidR="00075A03">
      <w:pPr>
        <w:rPr>
          <w:rFonts w:ascii="Times New Roman" w:hAnsi="Times New Roman"/>
          <w:szCs w:val="24"/>
        </w:rPr>
      </w:pPr>
    </w:p>
    <w:p w:rsidR="00075A03" w:rsidP="00714F75">
      <w:pPr>
        <w:ind w:left="27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Not applicable.</w:t>
      </w:r>
    </w:p>
    <w:p w:rsidR="00075A03">
      <w:pPr>
        <w:rPr>
          <w:rFonts w:ascii="Times New Roman" w:hAnsi="Times New Roman"/>
          <w:szCs w:val="24"/>
        </w:rPr>
      </w:pPr>
    </w:p>
    <w:p w:rsidR="00075A03">
      <w:pPr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18. </w:t>
      </w:r>
      <w:r>
        <w:rPr>
          <w:rFonts w:ascii="Times New Roman" w:hAnsi="Times New Roman"/>
          <w:szCs w:val="24"/>
          <w:u w:val="single"/>
        </w:rPr>
        <w:t>Exceptions to certification statement</w:t>
      </w:r>
      <w:r>
        <w:rPr>
          <w:rFonts w:ascii="Times New Roman" w:hAnsi="Times New Roman"/>
          <w:szCs w:val="24"/>
        </w:rPr>
        <w:t>:</w:t>
      </w:r>
    </w:p>
    <w:p w:rsidR="00075A03">
      <w:pPr>
        <w:rPr>
          <w:rFonts w:ascii="Times New Roman" w:hAnsi="Times New Roman"/>
          <w:szCs w:val="24"/>
        </w:rPr>
      </w:pPr>
    </w:p>
    <w:p w:rsidR="00075A03" w:rsidP="00714F75">
      <w:pPr>
        <w:ind w:left="27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Not </w:t>
      </w:r>
      <w:r w:rsidRPr="00714F75">
        <w:rPr>
          <w:rFonts w:ascii="Times New Roman" w:hAnsi="Times New Roman"/>
        </w:rPr>
        <w:t>applicable</w:t>
      </w:r>
      <w:r>
        <w:rPr>
          <w:rFonts w:ascii="Times New Roman" w:hAnsi="Times New Roman"/>
          <w:szCs w:val="24"/>
        </w:rPr>
        <w:t>.</w:t>
      </w:r>
    </w:p>
    <w:p w:rsidR="00075A03">
      <w:pPr>
        <w:rPr>
          <w:rFonts w:ascii="Times New Roman" w:hAnsi="Times New Roman"/>
          <w:szCs w:val="24"/>
        </w:rPr>
      </w:pPr>
    </w:p>
    <w:p w:rsidR="00075A03">
      <w:pPr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B. Collections of Information Employing Statistical Methods.</w:t>
      </w:r>
    </w:p>
    <w:p w:rsidR="00075A03">
      <w:pPr>
        <w:rPr>
          <w:rFonts w:ascii="Times New Roman" w:hAnsi="Times New Roman"/>
          <w:szCs w:val="24"/>
        </w:rPr>
      </w:pPr>
    </w:p>
    <w:p w:rsidR="00075A03" w:rsidP="00714F75">
      <w:pPr>
        <w:ind w:left="27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Not </w:t>
      </w:r>
      <w:r w:rsidRPr="00714F75">
        <w:rPr>
          <w:rFonts w:ascii="Times New Roman" w:hAnsi="Times New Roman"/>
        </w:rPr>
        <w:t>applicable</w:t>
      </w:r>
      <w:r>
        <w:rPr>
          <w:rFonts w:ascii="Times New Roman" w:hAnsi="Times New Roman"/>
          <w:szCs w:val="24"/>
        </w:rPr>
        <w:t>.</w:t>
      </w:r>
    </w:p>
    <w:p w:rsidR="00075A03">
      <w:pPr>
        <w:rPr>
          <w:rFonts w:ascii="Times New Roman" w:hAnsi="Times New Roman"/>
          <w:szCs w:val="24"/>
        </w:rPr>
      </w:pPr>
    </w:p>
    <w:p w:rsidR="00075A03">
      <w:pPr>
        <w:rPr>
          <w:rFonts w:ascii="Times New Roman" w:hAnsi="Times New Roman"/>
          <w:szCs w:val="24"/>
        </w:rPr>
      </w:pPr>
    </w:p>
    <w:sectPr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endnotePr>
        <w:numFmt w:val="decimal"/>
      </w:endnotePr>
      <w:type w:val="continuous"/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PS">
    <w:altName w:val="Courier New"/>
    <w:charset w:val="00"/>
    <w:family w:val="modern"/>
    <w:pitch w:val="fixed"/>
    <w:sig w:usb0="00000007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TUR">
    <w:altName w:val="Times New Roman"/>
    <w:charset w:val="00"/>
    <w:family w:val="roman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5A0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075A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5A03">
    <w:pPr>
      <w:pStyle w:val="Footer"/>
      <w:framePr w:wrap="around" w:vAnchor="text" w:hAnchor="margin" w:xAlign="center" w:y="1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36100F">
      <w:rPr>
        <w:rStyle w:val="PageNumber"/>
        <w:rFonts w:ascii="Times New Roman" w:hAnsi="Times New Roman"/>
        <w:noProof/>
      </w:rPr>
      <w:t>5</w:t>
    </w:r>
    <w:r>
      <w:rPr>
        <w:rStyle w:val="PageNumber"/>
        <w:rFonts w:ascii="Times New Roman" w:hAnsi="Times New Roman"/>
      </w:rPr>
      <w:fldChar w:fldCharType="end"/>
    </w:r>
  </w:p>
  <w:p w:rsidR="00075A0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651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3540D6">
      <w:r>
        <w:separator/>
      </w:r>
    </w:p>
  </w:footnote>
  <w:footnote w:type="continuationSeparator" w:id="1">
    <w:p w:rsidR="003540D6">
      <w:r>
        <w:continuationSeparator/>
      </w:r>
    </w:p>
  </w:footnote>
  <w:footnote w:id="2">
    <w:p w:rsidR="0009791F" w:rsidRPr="00F11177" w:rsidP="0009791F">
      <w:pPr>
        <w:pStyle w:val="FootnoteText"/>
        <w:rPr>
          <w:rFonts w:ascii="Times New Roman" w:hAnsi="Times New Roman"/>
        </w:rPr>
      </w:pPr>
      <w:r w:rsidRPr="00F11177">
        <w:rPr>
          <w:rStyle w:val="FootnoteReference"/>
          <w:rFonts w:ascii="Times New Roman" w:hAnsi="Times New Roman"/>
          <w:vertAlign w:val="superscript"/>
        </w:rPr>
        <w:footnoteRef/>
      </w:r>
      <w:r w:rsidRPr="00F11177">
        <w:rPr>
          <w:rFonts w:ascii="Times New Roman" w:hAnsi="Times New Roman"/>
        </w:rPr>
        <w:t xml:space="preserve"> The SMEs have indicated that they did not have information sufficient to allocate labor hours and, accordingly, it </w:t>
      </w:r>
      <w:r w:rsidRPr="00F11177">
        <w:rPr>
          <w:rFonts w:ascii="Times New Roman" w:hAnsi="Times New Roman"/>
        </w:rPr>
        <w:t>was agreed</w:t>
      </w:r>
      <w:r w:rsidRPr="00F11177">
        <w:rPr>
          <w:rFonts w:ascii="Times New Roman" w:hAnsi="Times New Roman"/>
        </w:rPr>
        <w:t xml:space="preserve"> that an even allocation among the listed occupations would be used.</w:t>
      </w:r>
    </w:p>
  </w:footnote>
  <w:footnote w:id="3">
    <w:p w:rsidR="0009791F" w:rsidRPr="00F11177" w:rsidP="0009791F">
      <w:pPr>
        <w:pStyle w:val="FootnoteText"/>
        <w:rPr>
          <w:rFonts w:ascii="Times New Roman" w:hAnsi="Times New Roman"/>
          <w:szCs w:val="18"/>
        </w:rPr>
      </w:pPr>
      <w:r w:rsidRPr="00F11177">
        <w:rPr>
          <w:rStyle w:val="FootnoteReference"/>
          <w:rFonts w:ascii="Times New Roman" w:hAnsi="Times New Roman"/>
          <w:szCs w:val="18"/>
          <w:vertAlign w:val="superscript"/>
        </w:rPr>
        <w:footnoteRef/>
      </w:r>
      <w:r w:rsidRPr="00F11177">
        <w:rPr>
          <w:rFonts w:ascii="Times New Roman" w:hAnsi="Times New Roman"/>
          <w:szCs w:val="18"/>
        </w:rPr>
        <w:t xml:space="preserve"> Occupation (SOC Code): Management Occupations (110000).</w:t>
      </w:r>
    </w:p>
  </w:footnote>
  <w:footnote w:id="4">
    <w:p w:rsidR="0009791F" w:rsidRPr="00F11177" w:rsidP="0009791F">
      <w:pPr>
        <w:pStyle w:val="FootnoteText"/>
        <w:rPr>
          <w:rFonts w:ascii="Times New Roman" w:hAnsi="Times New Roman"/>
          <w:szCs w:val="18"/>
        </w:rPr>
      </w:pPr>
      <w:r w:rsidRPr="00F11177">
        <w:rPr>
          <w:rStyle w:val="FootnoteReference"/>
          <w:rFonts w:ascii="Times New Roman" w:hAnsi="Times New Roman"/>
          <w:szCs w:val="18"/>
          <w:vertAlign w:val="superscript"/>
        </w:rPr>
        <w:footnoteRef/>
      </w:r>
      <w:r w:rsidRPr="00F11177">
        <w:rPr>
          <w:rFonts w:ascii="Times New Roman" w:hAnsi="Times New Roman"/>
          <w:szCs w:val="18"/>
        </w:rPr>
        <w:t xml:space="preserve"> </w:t>
      </w:r>
      <w:r w:rsidRPr="00F11177">
        <w:rPr>
          <w:rFonts w:ascii="Times New Roman" w:hAnsi="Times New Roman"/>
          <w:szCs w:val="18"/>
          <w:shd w:val="clear" w:color="auto" w:fill="FFFFFF"/>
        </w:rPr>
        <w:t>Occupation (SOC Code): Legal Occupations (230000).</w:t>
      </w:r>
    </w:p>
  </w:footnote>
  <w:footnote w:id="5">
    <w:p w:rsidR="0009791F" w:rsidRPr="00F11177" w:rsidP="0009791F">
      <w:pPr>
        <w:pStyle w:val="FootnoteText"/>
        <w:rPr>
          <w:rFonts w:ascii="Times New Roman" w:hAnsi="Times New Roman"/>
          <w:szCs w:val="18"/>
        </w:rPr>
      </w:pPr>
      <w:r w:rsidRPr="00F11177">
        <w:rPr>
          <w:rStyle w:val="FootnoteReference"/>
          <w:rFonts w:ascii="Times New Roman" w:hAnsi="Times New Roman"/>
          <w:szCs w:val="18"/>
          <w:vertAlign w:val="superscript"/>
        </w:rPr>
        <w:footnoteRef/>
      </w:r>
      <w:r w:rsidRPr="00F11177">
        <w:rPr>
          <w:rFonts w:ascii="Times New Roman" w:hAnsi="Times New Roman"/>
          <w:szCs w:val="18"/>
        </w:rPr>
        <w:t xml:space="preserve"> Occupation (SOC Code): Compliance Officers (131040). </w:t>
      </w:r>
    </w:p>
  </w:footnote>
  <w:footnote w:id="6">
    <w:p w:rsidR="0009791F" w:rsidRPr="00F11177" w:rsidP="0009791F">
      <w:pPr>
        <w:pStyle w:val="FootnoteText"/>
        <w:rPr>
          <w:rFonts w:ascii="Times New Roman" w:hAnsi="Times New Roman"/>
          <w:szCs w:val="18"/>
        </w:rPr>
      </w:pPr>
      <w:r w:rsidRPr="00F11177">
        <w:rPr>
          <w:rStyle w:val="FootnoteReference"/>
          <w:rFonts w:ascii="Times New Roman" w:hAnsi="Times New Roman"/>
          <w:szCs w:val="18"/>
          <w:vertAlign w:val="superscript"/>
        </w:rPr>
        <w:footnoteRef/>
      </w:r>
      <w:r w:rsidRPr="00F11177">
        <w:rPr>
          <w:rFonts w:ascii="Times New Roman" w:hAnsi="Times New Roman"/>
          <w:szCs w:val="18"/>
        </w:rPr>
        <w:t xml:space="preserve"> Occupation (SOC Code): Financial and Investment Analysts, Financial Risk Specialists, and Financial Specialists, All Other (132098).</w:t>
      </w:r>
    </w:p>
  </w:footnote>
  <w:footnote w:id="7">
    <w:p w:rsidR="0009791F" w:rsidP="0009791F">
      <w:pPr>
        <w:pStyle w:val="FootnoteText"/>
        <w:rPr>
          <w:szCs w:val="18"/>
        </w:rPr>
      </w:pPr>
      <w:r w:rsidRPr="00F11177">
        <w:rPr>
          <w:rStyle w:val="FootnoteReference"/>
          <w:rFonts w:ascii="Times New Roman" w:hAnsi="Times New Roman"/>
          <w:szCs w:val="18"/>
          <w:vertAlign w:val="superscript"/>
        </w:rPr>
        <w:footnoteRef/>
      </w:r>
      <w:r w:rsidRPr="00F11177">
        <w:rPr>
          <w:rFonts w:ascii="Times New Roman" w:hAnsi="Times New Roman"/>
          <w:szCs w:val="18"/>
        </w:rPr>
        <w:t xml:space="preserve"> Occupation (SOC Code): Office and Administrative Support Occupations (430000).</w:t>
      </w:r>
    </w:p>
  </w:footnote>
  <w:footnote w:id="8">
    <w:p w:rsidR="0009791F" w:rsidRPr="000172B6" w:rsidP="0009791F">
      <w:pPr>
        <w:pStyle w:val="FootnoteText"/>
        <w:rPr>
          <w:rFonts w:ascii="Times New Roman" w:hAnsi="Times New Roman"/>
        </w:rPr>
      </w:pPr>
      <w:r w:rsidRPr="000172B6">
        <w:rPr>
          <w:rStyle w:val="FootnoteReference"/>
          <w:rFonts w:ascii="Times New Roman" w:hAnsi="Times New Roman"/>
          <w:vertAlign w:val="superscript"/>
        </w:rPr>
        <w:footnoteRef/>
      </w:r>
      <w:r w:rsidRPr="000172B6">
        <w:rPr>
          <w:rFonts w:ascii="Times New Roman" w:hAnsi="Times New Roman"/>
        </w:rPr>
        <w:t xml:space="preserve"> </w:t>
      </w:r>
      <w:r w:rsidR="00CD3987">
        <w:rPr>
          <w:rFonts w:ascii="Times New Roman" w:hAnsi="Times New Roman"/>
          <w:color w:val="000000"/>
        </w:rPr>
        <w:t>64</w:t>
      </w:r>
      <w:r w:rsidRPr="00F11177">
        <w:rPr>
          <w:rFonts w:ascii="Times New Roman" w:hAnsi="Times New Roman"/>
          <w:color w:val="000000"/>
        </w:rPr>
        <w:t xml:space="preserve"> </w:t>
      </w:r>
      <w:r w:rsidRPr="000172B6">
        <w:rPr>
          <w:rFonts w:ascii="Times New Roman" w:eastAsia="Source Sans Pro" w:hAnsi="Times New Roman"/>
          <w:lang w:bidi="en-US"/>
        </w:rPr>
        <w:t>hours / year multiplied by</w:t>
      </w:r>
      <w:r w:rsidR="005B499B">
        <w:rPr>
          <w:rFonts w:ascii="Times New Roman" w:eastAsia="Source Sans Pro" w:hAnsi="Times New Roman"/>
          <w:lang w:bidi="en-US"/>
        </w:rPr>
        <w:t xml:space="preserve"> $123.48 / hour = $7,902.72</w:t>
      </w:r>
      <w:r w:rsidRPr="00F11177">
        <w:rPr>
          <w:rFonts w:ascii="Times New Roman" w:eastAsia="Source Sans Pro" w:hAnsi="Times New Roman"/>
          <w:lang w:bidi="en-US"/>
        </w:rPr>
        <w:t xml:space="preserve"> per year</w:t>
      </w:r>
      <w:r w:rsidRPr="00F11177">
        <w:rPr>
          <w:rFonts w:ascii="Times New Roman" w:eastAsia="Source Sans Pro" w:hAnsi="Times New Roman"/>
          <w:sz w:val="24"/>
          <w:szCs w:val="24"/>
          <w:lang w:bidi="en-US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651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651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651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5E23CD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E362D6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31276A36"/>
    <w:multiLevelType w:val="hybridMultilevel"/>
    <w:tmpl w:val="D7628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8DA335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45661A53"/>
    <w:multiLevelType w:val="hybridMultilevel"/>
    <w:tmpl w:val="2E222D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59124418"/>
    <w:multiLevelType w:val="hybridMultilevel"/>
    <w:tmpl w:val="0E8A13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5BC90AD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5BE36426"/>
    <w:multiLevelType w:val="hybridMultilevel"/>
    <w:tmpl w:val="F7145AC0"/>
    <w:lvl w:ilvl="0">
      <w:start w:val="1"/>
      <w:numFmt w:val="decimal"/>
      <w:lvlText w:val="(%1)"/>
      <w:lvlJc w:val="left"/>
      <w:pPr>
        <w:ind w:left="81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89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61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33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405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77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49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21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930" w:hanging="180"/>
      </w:pPr>
      <w:rPr>
        <w:rFonts w:cs="Times New Roman"/>
      </w:rPr>
    </w:lvl>
  </w:abstractNum>
  <w:abstractNum w:abstractNumId="8">
    <w:nsid w:val="739330B2"/>
    <w:multiLevelType w:val="hybridMultilevel"/>
    <w:tmpl w:val="AA1CA448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76555B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7CEE0E8E"/>
    <w:multiLevelType w:val="hybridMultilevel"/>
    <w:tmpl w:val="74265CE0"/>
    <w:lvl w:ilvl="0">
      <w:start w:val="1"/>
      <w:numFmt w:val="decimal"/>
      <w:lvlText w:val="%1."/>
      <w:lvlJc w:val="left"/>
      <w:pPr>
        <w:ind w:left="720" w:firstLine="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0"/>
  </w:num>
  <w:num w:numId="5">
    <w:abstractNumId w:val="9"/>
  </w:num>
  <w:num w:numId="6">
    <w:abstractNumId w:val="4"/>
  </w:num>
  <w:num w:numId="7">
    <w:abstractNumId w:val="2"/>
  </w:num>
  <w:num w:numId="8">
    <w:abstractNumId w:val="7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removePersonalInformation/>
  <w:removeDateAndTime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footnotePr>
    <w:footnote w:id="0"/>
    <w:footnote w:id="1"/>
  </w:footnotePr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01E"/>
    <w:rsid w:val="00016B87"/>
    <w:rsid w:val="000172B6"/>
    <w:rsid w:val="00075A03"/>
    <w:rsid w:val="0009791F"/>
    <w:rsid w:val="001019FB"/>
    <w:rsid w:val="0019782C"/>
    <w:rsid w:val="001A1972"/>
    <w:rsid w:val="001D301E"/>
    <w:rsid w:val="002514A7"/>
    <w:rsid w:val="0029762B"/>
    <w:rsid w:val="003540D6"/>
    <w:rsid w:val="003546F5"/>
    <w:rsid w:val="0036100F"/>
    <w:rsid w:val="003C5CB2"/>
    <w:rsid w:val="0042493E"/>
    <w:rsid w:val="00424F18"/>
    <w:rsid w:val="005317B1"/>
    <w:rsid w:val="005765FF"/>
    <w:rsid w:val="005B499B"/>
    <w:rsid w:val="005D1420"/>
    <w:rsid w:val="00600EF6"/>
    <w:rsid w:val="006849FE"/>
    <w:rsid w:val="006D57BC"/>
    <w:rsid w:val="0070148F"/>
    <w:rsid w:val="00714F75"/>
    <w:rsid w:val="0072414E"/>
    <w:rsid w:val="00732394"/>
    <w:rsid w:val="007E526E"/>
    <w:rsid w:val="00835C89"/>
    <w:rsid w:val="00852CF8"/>
    <w:rsid w:val="00873DB0"/>
    <w:rsid w:val="009D3A48"/>
    <w:rsid w:val="00A46C0C"/>
    <w:rsid w:val="00AC0717"/>
    <w:rsid w:val="00AC0954"/>
    <w:rsid w:val="00AC1588"/>
    <w:rsid w:val="00AF78CB"/>
    <w:rsid w:val="00B16555"/>
    <w:rsid w:val="00B31898"/>
    <w:rsid w:val="00B5385A"/>
    <w:rsid w:val="00C01538"/>
    <w:rsid w:val="00CA11F5"/>
    <w:rsid w:val="00CD3987"/>
    <w:rsid w:val="00D52AF3"/>
    <w:rsid w:val="00D651B7"/>
    <w:rsid w:val="00D86601"/>
    <w:rsid w:val="00DD6CAB"/>
    <w:rsid w:val="00DF4B44"/>
    <w:rsid w:val="00E0181A"/>
    <w:rsid w:val="00E46B89"/>
    <w:rsid w:val="00E74EC2"/>
    <w:rsid w:val="00E91C26"/>
    <w:rsid w:val="00EF3F9E"/>
    <w:rsid w:val="00F1117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750CDF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aliases w:val="fr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FootnoteText">
    <w:name w:val="footnote text"/>
    <w:aliases w:val="ft"/>
    <w:basedOn w:val="Normal"/>
    <w:link w:val="FootnoteTextChar"/>
    <w:semiHidden/>
    <w:pPr>
      <w:autoSpaceDE w:val="0"/>
      <w:autoSpaceDN w:val="0"/>
      <w:adjustRightInd w:val="0"/>
    </w:pPr>
    <w:rPr>
      <w:rFonts w:ascii="CourierPS" w:hAnsi="CourierPS"/>
      <w:snapToGrid/>
      <w:sz w:val="20"/>
    </w:rPr>
  </w:style>
  <w:style w:type="paragraph" w:styleId="BodyText">
    <w:name w:val="Body Text"/>
    <w:basedOn w:val="Normal"/>
    <w:link w:val="BodyTextChar"/>
    <w:pPr>
      <w:widowControl/>
    </w:pPr>
    <w:rPr>
      <w:rFonts w:ascii="Times New Roman" w:hAnsi="Times New Roman"/>
      <w:i/>
      <w:iCs/>
      <w:snapToGrid/>
    </w:rPr>
  </w:style>
  <w:style w:type="character" w:customStyle="1" w:styleId="BodyTextChar">
    <w:name w:val="Body Text Char"/>
    <w:link w:val="BodyText"/>
    <w:semiHidden/>
    <w:locked/>
    <w:rPr>
      <w:i/>
      <w:iCs/>
      <w:sz w:val="24"/>
      <w:lang w:val="en-US" w:eastAsia="en-US" w:bidi="ar-SA"/>
    </w:rPr>
  </w:style>
  <w:style w:type="character" w:customStyle="1" w:styleId="documentbody1">
    <w:name w:val="documentbody1"/>
    <w:rPr>
      <w:rFonts w:ascii="Verdana" w:hAnsi="Verdana" w:cs="Times New Roman"/>
      <w:sz w:val="19"/>
      <w:szCs w:val="19"/>
    </w:rPr>
  </w:style>
  <w:style w:type="paragraph" w:customStyle="1" w:styleId="DoubleSpace">
    <w:name w:val="Double Space"/>
    <w:basedOn w:val="Normal"/>
    <w:pPr>
      <w:widowControl/>
      <w:spacing w:line="480" w:lineRule="auto"/>
    </w:pPr>
    <w:rPr>
      <w:rFonts w:ascii="CG Times" w:hAnsi="CG Times"/>
      <w:snapToGrid/>
    </w:rPr>
  </w:style>
  <w:style w:type="paragraph" w:styleId="ListParagraph">
    <w:name w:val="List Paragraph"/>
    <w:basedOn w:val="Normal"/>
    <w:qFormat/>
    <w:pPr>
      <w:widowControl/>
      <w:spacing w:after="200" w:line="276" w:lineRule="auto"/>
      <w:ind w:left="720"/>
      <w:contextualSpacing/>
    </w:pPr>
    <w:rPr>
      <w:rFonts w:ascii="Calibri" w:hAnsi="Calibri"/>
      <w:snapToGrid/>
      <w:sz w:val="22"/>
      <w:szCs w:val="22"/>
    </w:rPr>
  </w:style>
  <w:style w:type="paragraph" w:customStyle="1" w:styleId="doublespace0">
    <w:name w:val="doublespace"/>
    <w:basedOn w:val="Normal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</w:rPr>
  </w:style>
  <w:style w:type="character" w:customStyle="1" w:styleId="FootnoteTextChar">
    <w:name w:val="Footnote Text Char"/>
    <w:aliases w:val="ft Char"/>
    <w:link w:val="FootnoteText"/>
    <w:locked/>
    <w:rPr>
      <w:rFonts w:ascii="CourierPS" w:hAnsi="CourierPS"/>
      <w:lang w:val="en-US" w:eastAsia="en-US" w:bidi="ar-SA"/>
    </w:rPr>
  </w:style>
  <w:style w:type="character" w:styleId="CommentReference">
    <w:name w:val="annotation reference"/>
    <w:semiHidden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pPr>
      <w:widowControl/>
    </w:pPr>
    <w:rPr>
      <w:rFonts w:ascii="Times New Roman" w:eastAsia="Calibri" w:hAnsi="Times New Roman"/>
      <w:snapToGrid/>
      <w:sz w:val="20"/>
    </w:rPr>
  </w:style>
  <w:style w:type="character" w:customStyle="1" w:styleId="CommentTextChar">
    <w:name w:val="Comment Text Char"/>
    <w:link w:val="CommentText"/>
    <w:semiHidden/>
    <w:locked/>
    <w:rPr>
      <w:rFonts w:eastAsia="Calibri"/>
      <w:lang w:val="en-US" w:eastAsia="en-US" w:bidi="ar-SA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tCharChar">
    <w:name w:val="ft Char Char"/>
    <w:rPr>
      <w:lang w:val="en-US" w:eastAsia="en-US" w:bidi="ar-SA"/>
    </w:rPr>
  </w:style>
  <w:style w:type="character" w:styleId="Strong">
    <w:name w:val="Strong"/>
    <w:qFormat/>
    <w:rPr>
      <w:b/>
      <w:bCs/>
    </w:rPr>
  </w:style>
  <w:style w:type="paragraph" w:styleId="CommentSubject">
    <w:name w:val="annotation subject"/>
    <w:basedOn w:val="CommentText"/>
    <w:next w:val="CommentText"/>
    <w:semiHidden/>
    <w:pPr>
      <w:widowControl w:val="0"/>
    </w:pPr>
    <w:rPr>
      <w:rFonts w:ascii="Courier" w:eastAsia="Times New Roman" w:hAnsi="Courier"/>
      <w:b/>
      <w:bCs/>
      <w:snapToGrid w:val="0"/>
    </w:rPr>
  </w:style>
  <w:style w:type="paragraph" w:styleId="BodyTextIndent">
    <w:name w:val="Body Text Indent"/>
    <w:basedOn w:val="Normal"/>
    <w:link w:val="BodyTextIndentChar"/>
    <w:rsid w:val="00600EF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600EF6"/>
    <w:rPr>
      <w:rFonts w:ascii="Courier" w:hAnsi="Courier"/>
      <w:snapToGrid w:val="0"/>
      <w:sz w:val="24"/>
    </w:rPr>
  </w:style>
  <w:style w:type="table" w:customStyle="1" w:styleId="TableGrid1">
    <w:name w:val="Table Grid1"/>
    <w:basedOn w:val="TableNormal"/>
    <w:next w:val="TableGrid"/>
    <w:uiPriority w:val="39"/>
    <w:rsid w:val="0009791F"/>
    <w:pPr>
      <w:widowControl w:val="0"/>
      <w:autoSpaceDE w:val="0"/>
      <w:autoSpaceDN w:val="0"/>
    </w:pPr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1227</Words>
  <Characters>7418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2024-04-24T14:34:00Z</dcterms:created>
  <dcterms:modified xsi:type="dcterms:W3CDTF">2024-04-24T14:52:00Z</dcterms:modified>
</cp:coreProperties>
</file>