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6D88" w:rsidRPr="008553F8" w14:paraId="004CC117" w14:textId="77777777">
      <w:pPr>
        <w:pStyle w:val="Default"/>
        <w:tabs>
          <w:tab w:val="left" w:pos="378"/>
        </w:tabs>
        <w:jc w:val="center"/>
        <w:rPr>
          <w:b/>
          <w:bCs/>
          <w:u w:val="single"/>
        </w:rPr>
      </w:pPr>
      <w:r w:rsidRPr="008553F8">
        <w:rPr>
          <w:b/>
          <w:bCs/>
          <w:u w:val="single"/>
        </w:rPr>
        <w:t>SUPPORTING STATEMENT</w:t>
      </w:r>
    </w:p>
    <w:p w:rsidR="00966D88" w:rsidRPr="008553F8" w14:paraId="1B9849E1" w14:textId="77777777">
      <w:pPr>
        <w:pStyle w:val="Default"/>
        <w:tabs>
          <w:tab w:val="left" w:pos="378"/>
        </w:tabs>
        <w:jc w:val="center"/>
      </w:pPr>
      <w:r w:rsidRPr="008553F8">
        <w:rPr>
          <w:b/>
          <w:bCs/>
          <w:u w:val="single"/>
        </w:rPr>
        <w:t>FOR RECORDKEEPING AND REPORTING REQUIREMENTS</w:t>
      </w:r>
    </w:p>
    <w:p w:rsidR="00966D88" w:rsidRPr="008553F8" w:rsidP="005C1BC2" w14:paraId="6D7E3738" w14:textId="79278B91">
      <w:pPr>
        <w:pStyle w:val="Default"/>
        <w:tabs>
          <w:tab w:val="left" w:pos="378"/>
        </w:tabs>
        <w:jc w:val="center"/>
        <w:rPr>
          <w:b/>
          <w:bCs/>
        </w:rPr>
      </w:pPr>
      <w:r w:rsidRPr="008553F8">
        <w:rPr>
          <w:rFonts w:eastAsia="Calibri"/>
        </w:rPr>
        <w:t xml:space="preserve">FBI - NIGC MOU, 2021 CHRI MOU, CJISSECPOL 5.11.2 </w:t>
      </w:r>
      <w:r w:rsidRPr="008553F8">
        <w:rPr>
          <w:b/>
          <w:bCs/>
          <w:u w:val="single"/>
        </w:rPr>
        <w:t xml:space="preserve"> </w:t>
      </w:r>
    </w:p>
    <w:p w:rsidR="005C1BC2" w:rsidRPr="008553F8" w14:paraId="23447362" w14:textId="77777777">
      <w:pPr>
        <w:ind w:left="360" w:hanging="360"/>
        <w:rPr>
          <w:rFonts w:ascii="Times New Roman" w:hAnsi="Times New Roman" w:cs="Times New Roman"/>
          <w:b/>
          <w:sz w:val="24"/>
          <w:szCs w:val="24"/>
        </w:rPr>
      </w:pPr>
    </w:p>
    <w:p w:rsidR="00966D88" w:rsidRPr="008553F8" w14:paraId="1E194BFE" w14:textId="7D222DD0">
      <w:pPr>
        <w:ind w:left="360" w:hanging="360"/>
        <w:rPr>
          <w:rFonts w:ascii="Times New Roman" w:hAnsi="Times New Roman" w:cs="Times New Roman"/>
          <w:b/>
          <w:sz w:val="24"/>
          <w:szCs w:val="24"/>
        </w:rPr>
      </w:pPr>
      <w:r w:rsidRPr="008553F8">
        <w:rPr>
          <w:rFonts w:ascii="Times New Roman" w:hAnsi="Times New Roman" w:cs="Times New Roman"/>
          <w:b/>
          <w:sz w:val="24"/>
          <w:szCs w:val="24"/>
        </w:rPr>
        <w:t xml:space="preserve">A. </w:t>
      </w:r>
      <w:r w:rsidRPr="008553F8">
        <w:rPr>
          <w:rFonts w:ascii="Times New Roman" w:hAnsi="Times New Roman" w:cs="Times New Roman"/>
          <w:b/>
          <w:sz w:val="24"/>
          <w:szCs w:val="24"/>
        </w:rPr>
        <w:tab/>
        <w:t xml:space="preserve">JUSTIFICATION </w:t>
      </w:r>
    </w:p>
    <w:p w:rsidR="00966D88" w:rsidRPr="008553F8" w14:paraId="4B85116F" w14:textId="77777777">
      <w:pPr>
        <w:rPr>
          <w:rFonts w:ascii="Times New Roman" w:hAnsi="Times New Roman" w:cs="Times New Roman"/>
          <w:b/>
          <w:sz w:val="24"/>
          <w:szCs w:val="24"/>
        </w:rPr>
      </w:pPr>
    </w:p>
    <w:p w:rsidR="00966D88" w:rsidRPr="008553F8" w14:paraId="4AFAB813" w14:textId="77777777">
      <w:pPr>
        <w:ind w:left="360" w:hanging="360"/>
        <w:rPr>
          <w:rFonts w:ascii="Times New Roman" w:hAnsi="Times New Roman" w:cs="Times New Roman"/>
          <w:sz w:val="24"/>
          <w:szCs w:val="24"/>
        </w:rPr>
      </w:pPr>
      <w:r w:rsidRPr="008553F8">
        <w:rPr>
          <w:rFonts w:ascii="Times New Roman" w:hAnsi="Times New Roman" w:cs="Times New Roman"/>
          <w:b/>
          <w:sz w:val="24"/>
          <w:szCs w:val="24"/>
        </w:rPr>
        <w:t xml:space="preserve">1. </w:t>
      </w:r>
      <w:r w:rsidRPr="008553F8">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553F8">
        <w:rPr>
          <w:rFonts w:ascii="Times New Roman" w:hAnsi="Times New Roman" w:cs="Times New Roman"/>
          <w:b/>
          <w:bCs/>
          <w:sz w:val="24"/>
          <w:szCs w:val="24"/>
        </w:rPr>
        <w:t xml:space="preserve"> </w:t>
      </w:r>
    </w:p>
    <w:p w:rsidR="00966D88" w:rsidP="005513FC" w14:paraId="0F748832" w14:textId="6B01636B">
      <w:pPr>
        <w:pStyle w:val="Default"/>
        <w:ind w:left="360"/>
      </w:pPr>
    </w:p>
    <w:p w:rsidR="00B66192" w:rsidP="00B66192" w14:paraId="4850487E" w14:textId="42561CE1">
      <w:pPr>
        <w:pStyle w:val="Default"/>
        <w:ind w:left="360"/>
      </w:pPr>
      <w:r w:rsidRPr="00B66192">
        <w:t>The Indian Gaming Regulatory Act (IGRA), Public Law 100–497, 25 U.S.C. 2701, et seq., was signed into law on October 17, 1988. The IGRA established the National Indian Gaming Commission (NIGC) and outlined a comprehensive framework for the regulation of gaming on Indian lands. Among the IGRA’s requirements is that persons who apply for a “key employee” (KE) or “primary management official” (PMO) position at a tribal gaming operation must undergo a background investigation ((§ 2710(b)(2)(F)(i)). Similarly, the IGRA requires that persons who have direct or indirect financial interest in, or management responsibility for, a tribal gaming management contract, must undergo a background investigation and be evaluated for suitability as part of the NIGC’s management contract review process ((§ 2711(a), (e)(1)(D)). In keeping with these background investigative statutory requirements, NIGC regulations 25 CFR 522.2(g), 25 CFR 556.4(a)(14), and 25 CFR 537.1(b)(2) stipulate that prospective KEs/PMOs and management contractors must submit their fingerprints to the Federal Bureau of Investigations (FBI) and undergo a criminal history record information (CHRI) check.</w:t>
      </w:r>
    </w:p>
    <w:p w:rsidR="00B66192" w:rsidRPr="00B66192" w:rsidP="00B66192" w14:paraId="7C9EBBC7" w14:textId="77777777">
      <w:pPr>
        <w:pStyle w:val="Default"/>
        <w:ind w:left="360"/>
      </w:pPr>
    </w:p>
    <w:p w:rsidR="00B66192" w:rsidP="00B66192" w14:paraId="4AF9EB1B" w14:textId="0FBFB4D2">
      <w:pPr>
        <w:pStyle w:val="Default"/>
        <w:ind w:left="360"/>
      </w:pPr>
      <w:r w:rsidRPr="00B66192">
        <w:t>Although CHRI checks are integral to the tribal KE/PMO applicant licensing process, tribes do not possess the necessary statutory authority to directly access FBI CHRI for this purpose. The NIGC, as a Federal agency empowered under the IGRA to access CHRI (§§ 2706(b)(3) &amp; (7), 2708), accepts tribal fingerprint submissions and transmits them to the FBI for this purpose. In return, the FBI provides CHRI check results to the NIGC and the NIGC shares these results with the requesting tribe. In this process, the NIGC assumes the role of a CJIS (Criminal Justice Information Services) Systems Agency (CSA)</w:t>
      </w:r>
      <w:r w:rsidR="00DB1DF8">
        <w:t xml:space="preserve"> - </w:t>
      </w:r>
      <w:r w:rsidRPr="00B66192">
        <w:t>a duly authorized agency on the CJIS network that provides service to criminal justice users with respect to th</w:t>
      </w:r>
      <w:r w:rsidR="003D5318">
        <w:t xml:space="preserve">e criminal justice information held in </w:t>
      </w:r>
      <w:r w:rsidRPr="00B66192">
        <w:t>various systems managed by the Federal Bureau of Investigations (FBI) CJIS Division.</w:t>
      </w:r>
    </w:p>
    <w:p w:rsidR="00DB1DF8" w:rsidRPr="00B66192" w:rsidP="00B66192" w14:paraId="4AE49AFC" w14:textId="77777777">
      <w:pPr>
        <w:pStyle w:val="Default"/>
        <w:ind w:left="360"/>
      </w:pPr>
    </w:p>
    <w:p w:rsidR="00B66192" w:rsidP="00B66192" w14:paraId="70BD42C6" w14:textId="09ED2B28">
      <w:pPr>
        <w:pStyle w:val="Default"/>
        <w:ind w:left="360"/>
      </w:pPr>
      <w:r w:rsidRPr="00B66192">
        <w:t>The roles and responsibilities under which the NIGC, FBI, and tribes process CHRI checks are memorialized in Memoranda of Understanding between the FBI and the NIGC and between the NIGC and each requesting tribe. One such responsibility is to monitor the dissemination of CHRI to ensure FBI-compliant privacy and security standards are followed. This responsibility is detailed in FBI CJIS Security Policy, Policy Area 11 (CJISSECPOL 5.11.2) which specifies that the NIGC, as a CSA, is required to establish a process to periodically audit tribes that receive CHRI to ensure compliance with applicable statutes, regulations and policies. To fulfill this obligation, the NIGC has established a CJIS Audit Unit (CAU), which is tasked with coordinating with tribal authorities to ensure that NIGC-</w:t>
      </w:r>
      <w:r w:rsidRPr="00B66192">
        <w:t>disseminated CHRI is handled and managed in accordance with applicable statutes, regulations, and policies.</w:t>
      </w:r>
    </w:p>
    <w:p w:rsidR="00B37350" w:rsidRPr="00B66192" w:rsidP="00B66192" w14:paraId="6A9D49D0" w14:textId="77777777">
      <w:pPr>
        <w:pStyle w:val="Default"/>
        <w:ind w:left="360"/>
      </w:pPr>
    </w:p>
    <w:p w:rsidR="00D17F91" w:rsidRPr="00D17F91" w:rsidP="00B66192" w14:paraId="6728102D" w14:textId="27B78936">
      <w:pPr>
        <w:pStyle w:val="Default"/>
        <w:ind w:left="360"/>
      </w:pPr>
      <w:r w:rsidRPr="00B66192">
        <w:t>In performing its oversight duties, the CAU will deploy questionnaires to gather information. This information will be used to assess and document tribal compliance with privacy and security standards and will enable the CAU to identify information management risk factors that may require remediation. Responding to this information collection is voluntary, however, failure to collect this information may impair the NIGC’s ability to fulfill its obligations under its MOUs with the FBI and its tribal partners. Indeed, this information collection is a vital tool for the NIGC CAU to perform its function and helps to ensure that the NIGC can continue to support the successful tribal operation of tribal gaming under the IGRA.</w:t>
      </w:r>
      <w:r w:rsidRPr="00D17F91">
        <w:t xml:space="preserve"> </w:t>
      </w:r>
    </w:p>
    <w:p w:rsidR="00D17F91" w:rsidRPr="008553F8" w:rsidP="005513FC" w14:paraId="4BE24566" w14:textId="77777777">
      <w:pPr>
        <w:pStyle w:val="Default"/>
        <w:ind w:left="360"/>
      </w:pPr>
    </w:p>
    <w:p w:rsidR="00660E56" w:rsidRPr="008553F8" w:rsidP="00204C6A" w14:paraId="243E076D" w14:textId="7C00DCD4">
      <w:pPr>
        <w:rPr>
          <w:rFonts w:ascii="Times New Roman" w:hAnsi="Times New Roman" w:cs="Times New Roman"/>
          <w:b/>
          <w:sz w:val="24"/>
          <w:szCs w:val="24"/>
        </w:rPr>
      </w:pPr>
      <w:r>
        <w:rPr>
          <w:rFonts w:ascii="Times New Roman" w:hAnsi="Times New Roman" w:cs="Times New Roman"/>
          <w:b/>
          <w:sz w:val="24"/>
          <w:szCs w:val="24"/>
        </w:rPr>
        <w:t xml:space="preserve">2. </w:t>
      </w:r>
      <w:r w:rsidRPr="008553F8" w:rsidR="00805537">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660E56" w:rsidRPr="008553F8" w:rsidP="00660E56" w14:paraId="00E7E026" w14:textId="16F57442">
      <w:pPr>
        <w:ind w:left="360"/>
        <w:rPr>
          <w:rFonts w:ascii="Times New Roman" w:hAnsi="Times New Roman" w:cs="Times New Roman"/>
          <w:sz w:val="24"/>
          <w:szCs w:val="24"/>
        </w:rPr>
      </w:pPr>
    </w:p>
    <w:p w:rsidR="00380E08" w:rsidRPr="008553F8" w:rsidP="00380E08" w14:paraId="71380BF9" w14:textId="2955D1F4">
      <w:pPr>
        <w:ind w:left="360"/>
        <w:rPr>
          <w:rFonts w:ascii="Times New Roman" w:hAnsi="Times New Roman" w:cs="Times New Roman"/>
          <w:sz w:val="24"/>
          <w:szCs w:val="24"/>
        </w:rPr>
      </w:pPr>
      <w:r>
        <w:rPr>
          <w:rFonts w:ascii="Times New Roman" w:hAnsi="Times New Roman" w:cs="Times New Roman"/>
          <w:sz w:val="24"/>
          <w:szCs w:val="24"/>
        </w:rPr>
        <w:t xml:space="preserve">The purpose of this </w:t>
      </w:r>
      <w:r w:rsidR="000668AA">
        <w:rPr>
          <w:rFonts w:ascii="Times New Roman" w:hAnsi="Times New Roman" w:cs="Times New Roman"/>
          <w:sz w:val="24"/>
          <w:szCs w:val="24"/>
        </w:rPr>
        <w:t>new collection</w:t>
      </w:r>
      <w:r w:rsidR="00B80B1D">
        <w:rPr>
          <w:rFonts w:ascii="Times New Roman" w:hAnsi="Times New Roman" w:cs="Times New Roman"/>
          <w:sz w:val="24"/>
          <w:szCs w:val="24"/>
        </w:rPr>
        <w:t xml:space="preserve"> </w:t>
      </w:r>
      <w:r>
        <w:rPr>
          <w:rFonts w:ascii="Times New Roman" w:hAnsi="Times New Roman" w:cs="Times New Roman"/>
          <w:sz w:val="24"/>
          <w:szCs w:val="24"/>
        </w:rPr>
        <w:t xml:space="preserve">is to </w:t>
      </w:r>
      <w:r w:rsidR="00F7766D">
        <w:rPr>
          <w:rFonts w:ascii="Times New Roman" w:hAnsi="Times New Roman" w:cs="Times New Roman"/>
          <w:sz w:val="24"/>
          <w:szCs w:val="24"/>
        </w:rPr>
        <w:t>enable</w:t>
      </w:r>
      <w:r w:rsidR="00B80B1D">
        <w:rPr>
          <w:rFonts w:ascii="Times New Roman" w:hAnsi="Times New Roman" w:cs="Times New Roman"/>
          <w:sz w:val="24"/>
          <w:szCs w:val="24"/>
        </w:rPr>
        <w:t xml:space="preserve"> </w:t>
      </w:r>
      <w:r w:rsidR="00306C3E">
        <w:rPr>
          <w:rFonts w:ascii="Times New Roman" w:hAnsi="Times New Roman" w:cs="Times New Roman"/>
          <w:sz w:val="24"/>
          <w:szCs w:val="24"/>
        </w:rPr>
        <w:t xml:space="preserve">the NIGC </w:t>
      </w:r>
      <w:r>
        <w:rPr>
          <w:rFonts w:ascii="Times New Roman" w:hAnsi="Times New Roman" w:cs="Times New Roman"/>
          <w:sz w:val="24"/>
          <w:szCs w:val="24"/>
        </w:rPr>
        <w:t>to fulfill</w:t>
      </w:r>
      <w:r w:rsidR="00306C3E">
        <w:rPr>
          <w:rFonts w:ascii="Times New Roman" w:hAnsi="Times New Roman" w:cs="Times New Roman"/>
          <w:sz w:val="24"/>
          <w:szCs w:val="24"/>
        </w:rPr>
        <w:t xml:space="preserve"> its </w:t>
      </w:r>
      <w:r>
        <w:rPr>
          <w:rFonts w:ascii="Times New Roman" w:hAnsi="Times New Roman" w:cs="Times New Roman"/>
          <w:sz w:val="24"/>
          <w:szCs w:val="24"/>
        </w:rPr>
        <w:t>o</w:t>
      </w:r>
      <w:r w:rsidR="00306C3E">
        <w:rPr>
          <w:rFonts w:ascii="Times New Roman" w:hAnsi="Times New Roman" w:cs="Times New Roman"/>
          <w:sz w:val="24"/>
          <w:szCs w:val="24"/>
        </w:rPr>
        <w:t xml:space="preserve">versight responsibilities under </w:t>
      </w:r>
      <w:r>
        <w:rPr>
          <w:rFonts w:ascii="Times New Roman" w:hAnsi="Times New Roman" w:cs="Times New Roman"/>
          <w:sz w:val="24"/>
          <w:szCs w:val="24"/>
        </w:rPr>
        <w:t>its</w:t>
      </w:r>
      <w:r w:rsidR="00306C3E">
        <w:rPr>
          <w:rFonts w:ascii="Times New Roman" w:hAnsi="Times New Roman" w:cs="Times New Roman"/>
          <w:sz w:val="24"/>
          <w:szCs w:val="24"/>
        </w:rPr>
        <w:t xml:space="preserve"> </w:t>
      </w:r>
      <w:r w:rsidRPr="008553F8" w:rsidR="000668AA">
        <w:rPr>
          <w:rFonts w:ascii="Times New Roman" w:hAnsi="Times New Roman" w:cs="Times New Roman"/>
          <w:sz w:val="24"/>
          <w:szCs w:val="24"/>
        </w:rPr>
        <w:t>FBI-NIGC MOU</w:t>
      </w:r>
      <w:r w:rsidR="000668AA">
        <w:rPr>
          <w:rFonts w:ascii="Times New Roman" w:hAnsi="Times New Roman" w:cs="Times New Roman"/>
          <w:sz w:val="24"/>
          <w:szCs w:val="24"/>
        </w:rPr>
        <w:t xml:space="preserve">, which </w:t>
      </w:r>
      <w:r w:rsidR="00306C3E">
        <w:rPr>
          <w:rFonts w:ascii="Times New Roman" w:hAnsi="Times New Roman" w:cs="Times New Roman"/>
          <w:sz w:val="24"/>
          <w:szCs w:val="24"/>
        </w:rPr>
        <w:t>requires the NIGC t</w:t>
      </w:r>
      <w:r w:rsidRPr="008553F8">
        <w:rPr>
          <w:rFonts w:ascii="Times New Roman" w:hAnsi="Times New Roman" w:cs="Times New Roman"/>
          <w:sz w:val="24"/>
          <w:szCs w:val="24"/>
        </w:rPr>
        <w:t>o “audit the handling and maintenance of [CHRI] in electronic and paper recordkeeping systems to ensure that appropriate security and privacy protections are in place.”</w:t>
      </w:r>
      <w:r w:rsidR="00606C80">
        <w:rPr>
          <w:rFonts w:ascii="Times New Roman" w:hAnsi="Times New Roman" w:cs="Times New Roman"/>
          <w:sz w:val="24"/>
          <w:szCs w:val="24"/>
        </w:rPr>
        <w:t xml:space="preserve"> The information </w:t>
      </w:r>
      <w:r w:rsidR="00B80B1D">
        <w:rPr>
          <w:rFonts w:ascii="Times New Roman" w:hAnsi="Times New Roman" w:cs="Times New Roman"/>
          <w:sz w:val="24"/>
          <w:szCs w:val="24"/>
        </w:rPr>
        <w:t>c</w:t>
      </w:r>
      <w:r w:rsidR="000668AA">
        <w:rPr>
          <w:rFonts w:ascii="Times New Roman" w:hAnsi="Times New Roman" w:cs="Times New Roman"/>
          <w:sz w:val="24"/>
          <w:szCs w:val="24"/>
        </w:rPr>
        <w:t xml:space="preserve">ollected </w:t>
      </w:r>
      <w:r w:rsidR="00B80B1D">
        <w:rPr>
          <w:rFonts w:ascii="Times New Roman" w:hAnsi="Times New Roman" w:cs="Times New Roman"/>
          <w:sz w:val="24"/>
          <w:szCs w:val="24"/>
        </w:rPr>
        <w:t>will be</w:t>
      </w:r>
      <w:r w:rsidR="00306C3E">
        <w:rPr>
          <w:rFonts w:ascii="Times New Roman" w:hAnsi="Times New Roman" w:cs="Times New Roman"/>
          <w:sz w:val="24"/>
          <w:szCs w:val="24"/>
        </w:rPr>
        <w:t xml:space="preserve"> reviewed by a </w:t>
      </w:r>
      <w:r w:rsidR="00606C80">
        <w:rPr>
          <w:rFonts w:ascii="Times New Roman" w:hAnsi="Times New Roman" w:cs="Times New Roman"/>
          <w:sz w:val="24"/>
          <w:szCs w:val="24"/>
        </w:rPr>
        <w:t>specialized N</w:t>
      </w:r>
      <w:r w:rsidR="00CB30E3">
        <w:rPr>
          <w:rFonts w:ascii="Times New Roman" w:hAnsi="Times New Roman" w:cs="Times New Roman"/>
          <w:sz w:val="24"/>
          <w:szCs w:val="24"/>
        </w:rPr>
        <w:t xml:space="preserve">IGC audit unit </w:t>
      </w:r>
      <w:r>
        <w:rPr>
          <w:rFonts w:ascii="Times New Roman" w:hAnsi="Times New Roman" w:cs="Times New Roman"/>
          <w:sz w:val="24"/>
          <w:szCs w:val="24"/>
        </w:rPr>
        <w:t xml:space="preserve">and will be used </w:t>
      </w:r>
      <w:r w:rsidR="00306C3E">
        <w:rPr>
          <w:rFonts w:ascii="Times New Roman" w:hAnsi="Times New Roman" w:cs="Times New Roman"/>
          <w:sz w:val="24"/>
          <w:szCs w:val="24"/>
        </w:rPr>
        <w:t xml:space="preserve">to monitor and assess </w:t>
      </w:r>
      <w:r w:rsidR="00A14E4F">
        <w:rPr>
          <w:rFonts w:ascii="Times New Roman" w:hAnsi="Times New Roman" w:cs="Times New Roman"/>
          <w:sz w:val="24"/>
          <w:szCs w:val="24"/>
        </w:rPr>
        <w:t xml:space="preserve">tribal compliance with </w:t>
      </w:r>
      <w:r w:rsidR="00B80B1D">
        <w:rPr>
          <w:rFonts w:ascii="Times New Roman" w:hAnsi="Times New Roman" w:cs="Times New Roman"/>
          <w:sz w:val="24"/>
          <w:szCs w:val="24"/>
        </w:rPr>
        <w:t>security and privacy protection requirements.</w:t>
      </w:r>
    </w:p>
    <w:p w:rsidR="00660E56" w:rsidRPr="008553F8" w:rsidP="00660E56" w14:paraId="3394BCEC" w14:textId="41348595">
      <w:pPr>
        <w:ind w:left="360"/>
        <w:rPr>
          <w:rFonts w:ascii="Times New Roman" w:hAnsi="Times New Roman" w:cs="Times New Roman"/>
          <w:sz w:val="24"/>
          <w:szCs w:val="24"/>
        </w:rPr>
      </w:pPr>
    </w:p>
    <w:p w:rsidR="00966D88" w:rsidRPr="008553F8" w:rsidP="009B7765" w14:paraId="66B281E6" w14:textId="0DA18983">
      <w:pPr>
        <w:ind w:left="360" w:hanging="360"/>
        <w:rPr>
          <w:rFonts w:ascii="Times New Roman" w:hAnsi="Times New Roman" w:cs="Times New Roman"/>
          <w:b/>
          <w:bCs/>
          <w:sz w:val="24"/>
          <w:szCs w:val="24"/>
        </w:rPr>
      </w:pPr>
      <w:r w:rsidRPr="008553F8">
        <w:rPr>
          <w:rFonts w:ascii="Times New Roman" w:hAnsi="Times New Roman" w:cs="Times New Roman"/>
          <w:b/>
          <w:sz w:val="24"/>
          <w:szCs w:val="24"/>
        </w:rPr>
        <w:t xml:space="preserve">3. </w:t>
      </w:r>
      <w:r w:rsidRPr="008553F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80E08" w:rsidRPr="008553F8" w:rsidP="00380E08" w14:paraId="09251520" w14:textId="6EA81861">
      <w:pPr>
        <w:tabs>
          <w:tab w:val="left" w:pos="360"/>
        </w:tabs>
        <w:ind w:left="360"/>
        <w:rPr>
          <w:rFonts w:ascii="Times New Roman" w:hAnsi="Times New Roman" w:cs="Times New Roman"/>
          <w:b/>
          <w:bCs/>
          <w:sz w:val="24"/>
          <w:szCs w:val="24"/>
        </w:rPr>
      </w:pPr>
    </w:p>
    <w:p w:rsidR="006427E4" w:rsidP="00380E08" w14:paraId="4D28F3CE" w14:textId="023013C8">
      <w:pPr>
        <w:tabs>
          <w:tab w:val="left" w:pos="360"/>
        </w:tabs>
        <w:ind w:left="360"/>
        <w:rPr>
          <w:rFonts w:ascii="Times New Roman" w:hAnsi="Times New Roman" w:cs="Times New Roman"/>
          <w:bCs/>
          <w:sz w:val="24"/>
          <w:szCs w:val="24"/>
        </w:rPr>
      </w:pPr>
      <w:r>
        <w:rPr>
          <w:rFonts w:ascii="Times New Roman" w:hAnsi="Times New Roman" w:cs="Times New Roman"/>
          <w:bCs/>
          <w:sz w:val="24"/>
          <w:szCs w:val="24"/>
        </w:rPr>
        <w:t>The NIGC</w:t>
      </w:r>
      <w:r w:rsidR="000258AE">
        <w:rPr>
          <w:rFonts w:ascii="Times New Roman" w:hAnsi="Times New Roman" w:cs="Times New Roman"/>
          <w:bCs/>
          <w:sz w:val="24"/>
          <w:szCs w:val="24"/>
        </w:rPr>
        <w:t xml:space="preserve"> plans to deploy the questionnaires</w:t>
      </w:r>
      <w:r>
        <w:rPr>
          <w:rFonts w:ascii="Times New Roman" w:hAnsi="Times New Roman" w:cs="Times New Roman"/>
          <w:bCs/>
          <w:sz w:val="24"/>
          <w:szCs w:val="24"/>
        </w:rPr>
        <w:t xml:space="preserve"> </w:t>
      </w:r>
      <w:r w:rsidR="00444DCD">
        <w:rPr>
          <w:rFonts w:ascii="Times New Roman" w:hAnsi="Times New Roman" w:cs="Times New Roman"/>
          <w:bCs/>
          <w:sz w:val="24"/>
          <w:szCs w:val="24"/>
        </w:rPr>
        <w:t>on a web-based platform that will allow access to anyone with a device connected to the web.</w:t>
      </w:r>
      <w:r>
        <w:rPr>
          <w:rFonts w:ascii="Times New Roman" w:hAnsi="Times New Roman" w:cs="Times New Roman"/>
          <w:bCs/>
          <w:sz w:val="24"/>
          <w:szCs w:val="24"/>
        </w:rPr>
        <w:t xml:space="preserve"> The online form will be simple to use </w:t>
      </w:r>
      <w:r w:rsidR="00F52176">
        <w:rPr>
          <w:rFonts w:ascii="Times New Roman" w:hAnsi="Times New Roman" w:cs="Times New Roman"/>
          <w:bCs/>
          <w:sz w:val="24"/>
          <w:szCs w:val="24"/>
        </w:rPr>
        <w:t>and will have</w:t>
      </w:r>
      <w:r>
        <w:rPr>
          <w:rFonts w:ascii="Times New Roman" w:hAnsi="Times New Roman" w:cs="Times New Roman"/>
          <w:bCs/>
          <w:sz w:val="24"/>
          <w:szCs w:val="24"/>
        </w:rPr>
        <w:t xml:space="preserve"> </w:t>
      </w:r>
      <w:r w:rsidR="00CD1CE8">
        <w:rPr>
          <w:rFonts w:ascii="Times New Roman" w:hAnsi="Times New Roman" w:cs="Times New Roman"/>
          <w:bCs/>
          <w:sz w:val="24"/>
          <w:szCs w:val="24"/>
        </w:rPr>
        <w:t xml:space="preserve">one-step </w:t>
      </w:r>
      <w:r>
        <w:rPr>
          <w:rFonts w:ascii="Times New Roman" w:hAnsi="Times New Roman" w:cs="Times New Roman"/>
          <w:bCs/>
          <w:sz w:val="24"/>
          <w:szCs w:val="24"/>
        </w:rPr>
        <w:t xml:space="preserve">point/click </w:t>
      </w:r>
      <w:r w:rsidR="00F52176">
        <w:rPr>
          <w:rFonts w:ascii="Times New Roman" w:hAnsi="Times New Roman" w:cs="Times New Roman"/>
          <w:bCs/>
          <w:sz w:val="24"/>
          <w:szCs w:val="24"/>
        </w:rPr>
        <w:t xml:space="preserve">response </w:t>
      </w:r>
      <w:r>
        <w:rPr>
          <w:rFonts w:ascii="Times New Roman" w:hAnsi="Times New Roman" w:cs="Times New Roman"/>
          <w:bCs/>
          <w:sz w:val="24"/>
          <w:szCs w:val="24"/>
        </w:rPr>
        <w:t>button</w:t>
      </w:r>
      <w:r w:rsidR="00F52176">
        <w:rPr>
          <w:rFonts w:ascii="Times New Roman" w:hAnsi="Times New Roman" w:cs="Times New Roman"/>
          <w:bCs/>
          <w:sz w:val="24"/>
          <w:szCs w:val="24"/>
        </w:rPr>
        <w:t>s</w:t>
      </w:r>
      <w:r>
        <w:rPr>
          <w:rFonts w:ascii="Times New Roman" w:hAnsi="Times New Roman" w:cs="Times New Roman"/>
          <w:bCs/>
          <w:sz w:val="24"/>
          <w:szCs w:val="24"/>
        </w:rPr>
        <w:t xml:space="preserve">, </w:t>
      </w:r>
      <w:r w:rsidR="00CD1CE8">
        <w:rPr>
          <w:rFonts w:ascii="Times New Roman" w:hAnsi="Times New Roman" w:cs="Times New Roman"/>
          <w:bCs/>
          <w:sz w:val="24"/>
          <w:szCs w:val="24"/>
        </w:rPr>
        <w:t>simple</w:t>
      </w:r>
      <w:r>
        <w:rPr>
          <w:rFonts w:ascii="Times New Roman" w:hAnsi="Times New Roman" w:cs="Times New Roman"/>
          <w:bCs/>
          <w:sz w:val="24"/>
          <w:szCs w:val="24"/>
        </w:rPr>
        <w:t xml:space="preserve"> text space and </w:t>
      </w:r>
      <w:r w:rsidR="00CD1CE8">
        <w:rPr>
          <w:rFonts w:ascii="Times New Roman" w:hAnsi="Times New Roman" w:cs="Times New Roman"/>
          <w:bCs/>
          <w:sz w:val="24"/>
          <w:szCs w:val="24"/>
        </w:rPr>
        <w:t xml:space="preserve">easy </w:t>
      </w:r>
      <w:r>
        <w:rPr>
          <w:rFonts w:ascii="Times New Roman" w:hAnsi="Times New Roman" w:cs="Times New Roman"/>
          <w:bCs/>
          <w:sz w:val="24"/>
          <w:szCs w:val="24"/>
        </w:rPr>
        <w:t>document upload functionality.</w:t>
      </w:r>
    </w:p>
    <w:p w:rsidR="006427E4" w:rsidP="00380E08" w14:paraId="6AC309C4" w14:textId="77777777">
      <w:pPr>
        <w:tabs>
          <w:tab w:val="left" w:pos="360"/>
        </w:tabs>
        <w:ind w:left="360"/>
        <w:rPr>
          <w:rFonts w:ascii="Times New Roman" w:hAnsi="Times New Roman" w:cs="Times New Roman"/>
          <w:bCs/>
          <w:sz w:val="24"/>
          <w:szCs w:val="24"/>
        </w:rPr>
      </w:pPr>
    </w:p>
    <w:p w:rsidR="009B7765" w:rsidRPr="008553F8" w:rsidP="00F13165" w14:paraId="29D2522A" w14:textId="11D43B21">
      <w:pPr>
        <w:tabs>
          <w:tab w:val="left" w:pos="360"/>
        </w:tabs>
        <w:ind w:left="360"/>
        <w:rPr>
          <w:rFonts w:ascii="Times New Roman" w:hAnsi="Times New Roman" w:cs="Times New Roman"/>
          <w:bCs/>
          <w:sz w:val="24"/>
          <w:szCs w:val="24"/>
        </w:rPr>
      </w:pPr>
      <w:r>
        <w:rPr>
          <w:rFonts w:ascii="Times New Roman" w:hAnsi="Times New Roman" w:cs="Times New Roman"/>
          <w:bCs/>
          <w:sz w:val="24"/>
          <w:szCs w:val="24"/>
        </w:rPr>
        <w:t xml:space="preserve">The NIGC also recognizes that every tribe is unique and </w:t>
      </w:r>
      <w:r w:rsidR="00CD1CE8">
        <w:rPr>
          <w:rFonts w:ascii="Times New Roman" w:hAnsi="Times New Roman" w:cs="Times New Roman"/>
          <w:bCs/>
          <w:sz w:val="24"/>
          <w:szCs w:val="24"/>
        </w:rPr>
        <w:t xml:space="preserve">that </w:t>
      </w:r>
      <w:r>
        <w:rPr>
          <w:rFonts w:ascii="Times New Roman" w:hAnsi="Times New Roman" w:cs="Times New Roman"/>
          <w:bCs/>
          <w:sz w:val="24"/>
          <w:szCs w:val="24"/>
        </w:rPr>
        <w:t xml:space="preserve">some </w:t>
      </w:r>
      <w:r w:rsidR="00CD1CE8">
        <w:rPr>
          <w:rFonts w:ascii="Times New Roman" w:hAnsi="Times New Roman" w:cs="Times New Roman"/>
          <w:bCs/>
          <w:sz w:val="24"/>
          <w:szCs w:val="24"/>
        </w:rPr>
        <w:t xml:space="preserve">tribes </w:t>
      </w:r>
      <w:r>
        <w:rPr>
          <w:rFonts w:ascii="Times New Roman" w:hAnsi="Times New Roman" w:cs="Times New Roman"/>
          <w:bCs/>
          <w:sz w:val="24"/>
          <w:szCs w:val="24"/>
        </w:rPr>
        <w:t xml:space="preserve">may prefer </w:t>
      </w:r>
      <w:r w:rsidR="0056722E">
        <w:rPr>
          <w:rFonts w:ascii="Times New Roman" w:hAnsi="Times New Roman" w:cs="Times New Roman"/>
          <w:bCs/>
          <w:sz w:val="24"/>
          <w:szCs w:val="24"/>
        </w:rPr>
        <w:t>using</w:t>
      </w:r>
      <w:r w:rsidR="00CD1CE8">
        <w:rPr>
          <w:rFonts w:ascii="Times New Roman" w:hAnsi="Times New Roman" w:cs="Times New Roman"/>
          <w:bCs/>
          <w:sz w:val="24"/>
          <w:szCs w:val="24"/>
        </w:rPr>
        <w:t xml:space="preserve"> </w:t>
      </w:r>
      <w:r>
        <w:rPr>
          <w:rFonts w:ascii="Times New Roman" w:hAnsi="Times New Roman" w:cs="Times New Roman"/>
          <w:bCs/>
          <w:sz w:val="24"/>
          <w:szCs w:val="24"/>
        </w:rPr>
        <w:t xml:space="preserve">fillable e-forms or even physical (paper) forms. The NIGC is committed to tailoring </w:t>
      </w:r>
      <w:r w:rsidR="00CD1CE8">
        <w:rPr>
          <w:rFonts w:ascii="Times New Roman" w:hAnsi="Times New Roman" w:cs="Times New Roman"/>
          <w:bCs/>
          <w:sz w:val="24"/>
          <w:szCs w:val="24"/>
        </w:rPr>
        <w:t>its</w:t>
      </w:r>
      <w:r>
        <w:rPr>
          <w:rFonts w:ascii="Times New Roman" w:hAnsi="Times New Roman" w:cs="Times New Roman"/>
          <w:bCs/>
          <w:sz w:val="24"/>
          <w:szCs w:val="24"/>
        </w:rPr>
        <w:t xml:space="preserve"> collection</w:t>
      </w:r>
      <w:r w:rsidR="00390552">
        <w:rPr>
          <w:rFonts w:ascii="Times New Roman" w:hAnsi="Times New Roman" w:cs="Times New Roman"/>
          <w:bCs/>
          <w:sz w:val="24"/>
          <w:szCs w:val="24"/>
        </w:rPr>
        <w:t xml:space="preserve"> instruments towards tribal convenience</w:t>
      </w:r>
      <w:r>
        <w:rPr>
          <w:rFonts w:ascii="Times New Roman" w:hAnsi="Times New Roman" w:cs="Times New Roman"/>
          <w:bCs/>
          <w:sz w:val="24"/>
          <w:szCs w:val="24"/>
        </w:rPr>
        <w:t xml:space="preserve"> and </w:t>
      </w:r>
      <w:r w:rsidR="00CD1CE8">
        <w:rPr>
          <w:rFonts w:ascii="Times New Roman" w:hAnsi="Times New Roman" w:cs="Times New Roman"/>
          <w:bCs/>
          <w:sz w:val="24"/>
          <w:szCs w:val="24"/>
        </w:rPr>
        <w:t>will be engaging with tribes via outreach, training and person-to-person assistance.</w:t>
      </w:r>
    </w:p>
    <w:p w:rsidR="005513FC" w:rsidRPr="008553F8" w:rsidP="00380E08" w14:paraId="3944DBF3" w14:textId="77777777">
      <w:pPr>
        <w:tabs>
          <w:tab w:val="left" w:pos="360"/>
        </w:tabs>
        <w:ind w:left="360"/>
        <w:rPr>
          <w:rFonts w:ascii="Times New Roman" w:hAnsi="Times New Roman" w:cs="Times New Roman"/>
          <w:sz w:val="24"/>
          <w:szCs w:val="24"/>
        </w:rPr>
      </w:pPr>
    </w:p>
    <w:p w:rsidR="009B7765" w:rsidRPr="008553F8" w:rsidP="009B7765" w14:paraId="7DC7E408" w14:textId="6B33BA04">
      <w:pPr>
        <w:ind w:left="360" w:hanging="360"/>
        <w:rPr>
          <w:rFonts w:ascii="Times New Roman" w:hAnsi="Times New Roman" w:cs="Times New Roman"/>
          <w:b/>
          <w:sz w:val="24"/>
          <w:szCs w:val="24"/>
        </w:rPr>
      </w:pPr>
      <w:r w:rsidRPr="008553F8">
        <w:rPr>
          <w:rFonts w:ascii="Times New Roman" w:hAnsi="Times New Roman" w:cs="Times New Roman"/>
          <w:b/>
          <w:sz w:val="24"/>
          <w:szCs w:val="24"/>
        </w:rPr>
        <w:t xml:space="preserve">4. </w:t>
      </w:r>
      <w:r w:rsidRPr="008553F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380E08" w:rsidRPr="008553F8" w:rsidP="00380E08" w14:paraId="3A741B9F" w14:textId="13547975">
      <w:pPr>
        <w:ind w:left="360"/>
        <w:rPr>
          <w:rFonts w:ascii="Times New Roman" w:hAnsi="Times New Roman" w:cs="Times New Roman"/>
          <w:b/>
          <w:sz w:val="24"/>
          <w:szCs w:val="24"/>
        </w:rPr>
      </w:pPr>
    </w:p>
    <w:p w:rsidR="005513FC" w:rsidRPr="008553F8" w:rsidP="006F263A" w14:paraId="06E8D01A" w14:textId="51DDAB19">
      <w:pPr>
        <w:spacing w:after="160" w:line="259"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This</w:t>
      </w:r>
      <w:r w:rsidR="006F263A">
        <w:rPr>
          <w:rFonts w:ascii="Times New Roman" w:eastAsia="Calibri" w:hAnsi="Times New Roman" w:cs="Times New Roman"/>
          <w:sz w:val="24"/>
          <w:szCs w:val="24"/>
        </w:rPr>
        <w:t xml:space="preserve"> information collection is unique to the NIGC and its role in regulating Indian gaming.</w:t>
      </w:r>
    </w:p>
    <w:p w:rsidR="00966D88" w:rsidRPr="008553F8" w:rsidP="009B7765" w14:paraId="60FCF350" w14:textId="5A141208">
      <w:pPr>
        <w:ind w:left="360" w:hanging="360"/>
        <w:rPr>
          <w:rFonts w:ascii="Times New Roman" w:hAnsi="Times New Roman" w:cs="Times New Roman"/>
          <w:b/>
          <w:bCs/>
          <w:sz w:val="24"/>
          <w:szCs w:val="24"/>
        </w:rPr>
      </w:pPr>
      <w:r w:rsidRPr="008553F8">
        <w:rPr>
          <w:rFonts w:ascii="Times New Roman" w:hAnsi="Times New Roman" w:cs="Times New Roman"/>
          <w:b/>
          <w:sz w:val="24"/>
          <w:szCs w:val="24"/>
        </w:rPr>
        <w:t xml:space="preserve">5. </w:t>
      </w:r>
      <w:r w:rsidRPr="008553F8">
        <w:rPr>
          <w:rFonts w:ascii="Times New Roman" w:hAnsi="Times New Roman" w:cs="Times New Roman"/>
          <w:b/>
          <w:sz w:val="24"/>
          <w:szCs w:val="24"/>
        </w:rPr>
        <w:tab/>
        <w:t>If the collection of information impacts small businesses or other small entities, describe any methods used to minimize burden.</w:t>
      </w:r>
    </w:p>
    <w:p w:rsidR="005513FC" w:rsidRPr="008553F8" w:rsidP="005513FC" w14:paraId="4F04AAE6" w14:textId="011D2C46">
      <w:pPr>
        <w:ind w:left="360"/>
        <w:rPr>
          <w:rFonts w:ascii="Times New Roman" w:hAnsi="Times New Roman" w:cs="Times New Roman"/>
          <w:b/>
          <w:bCs/>
          <w:sz w:val="24"/>
          <w:szCs w:val="24"/>
        </w:rPr>
      </w:pPr>
    </w:p>
    <w:p w:rsidR="009B7765" w:rsidP="005513FC" w14:paraId="6ACD9D24" w14:textId="00DE9FE1">
      <w:pPr>
        <w:ind w:left="360"/>
        <w:rPr>
          <w:rFonts w:ascii="Times New Roman" w:hAnsi="Times New Roman" w:cs="Times New Roman"/>
          <w:bCs/>
          <w:sz w:val="24"/>
          <w:szCs w:val="24"/>
        </w:rPr>
      </w:pPr>
      <w:r w:rsidRPr="00884DBD">
        <w:rPr>
          <w:rFonts w:ascii="Times New Roman" w:hAnsi="Times New Roman" w:cs="Times New Roman"/>
          <w:bCs/>
          <w:sz w:val="24"/>
          <w:szCs w:val="24"/>
        </w:rPr>
        <w:t xml:space="preserve">None of the respondents meet the Small Business Administration’s definition of a small business. Nonetheless, the </w:t>
      </w:r>
      <w:r>
        <w:rPr>
          <w:rFonts w:ascii="Times New Roman" w:hAnsi="Times New Roman" w:cs="Times New Roman"/>
          <w:bCs/>
          <w:sz w:val="24"/>
          <w:szCs w:val="24"/>
        </w:rPr>
        <w:t>NIGC</w:t>
      </w:r>
      <w:r w:rsidRPr="00884DBD">
        <w:rPr>
          <w:rFonts w:ascii="Times New Roman" w:hAnsi="Times New Roman" w:cs="Times New Roman"/>
          <w:bCs/>
          <w:sz w:val="24"/>
          <w:szCs w:val="24"/>
        </w:rPr>
        <w:t xml:space="preserve"> </w:t>
      </w:r>
      <w:r w:rsidR="000D26D9">
        <w:rPr>
          <w:rFonts w:ascii="Times New Roman" w:hAnsi="Times New Roman" w:cs="Times New Roman"/>
          <w:bCs/>
          <w:sz w:val="24"/>
          <w:szCs w:val="24"/>
        </w:rPr>
        <w:t xml:space="preserve">has designed its audit questionnaires </w:t>
      </w:r>
      <w:r w:rsidR="00F0261E">
        <w:rPr>
          <w:rFonts w:ascii="Times New Roman" w:hAnsi="Times New Roman" w:cs="Times New Roman"/>
          <w:bCs/>
          <w:sz w:val="24"/>
          <w:szCs w:val="24"/>
        </w:rPr>
        <w:t xml:space="preserve">after </w:t>
      </w:r>
      <w:r w:rsidR="00976864">
        <w:rPr>
          <w:rFonts w:ascii="Times New Roman" w:hAnsi="Times New Roman" w:cs="Times New Roman"/>
          <w:bCs/>
          <w:sz w:val="24"/>
          <w:szCs w:val="24"/>
        </w:rPr>
        <w:t xml:space="preserve">performing </w:t>
      </w:r>
      <w:r w:rsidR="00F0261E">
        <w:rPr>
          <w:rFonts w:ascii="Times New Roman" w:hAnsi="Times New Roman" w:cs="Times New Roman"/>
          <w:bCs/>
          <w:sz w:val="24"/>
          <w:szCs w:val="24"/>
        </w:rPr>
        <w:t xml:space="preserve">a line by line review of the </w:t>
      </w:r>
      <w:r w:rsidR="00976864">
        <w:rPr>
          <w:rFonts w:ascii="Times New Roman" w:hAnsi="Times New Roman" w:cs="Times New Roman"/>
          <w:bCs/>
          <w:sz w:val="24"/>
          <w:szCs w:val="24"/>
        </w:rPr>
        <w:t xml:space="preserve">original (standard) </w:t>
      </w:r>
      <w:r w:rsidR="00F0261E">
        <w:rPr>
          <w:rFonts w:ascii="Times New Roman" w:hAnsi="Times New Roman" w:cs="Times New Roman"/>
          <w:bCs/>
          <w:sz w:val="24"/>
          <w:szCs w:val="24"/>
        </w:rPr>
        <w:t xml:space="preserve">FBI CJIS </w:t>
      </w:r>
      <w:r w:rsidR="00976864">
        <w:rPr>
          <w:rFonts w:ascii="Times New Roman" w:hAnsi="Times New Roman" w:cs="Times New Roman"/>
          <w:bCs/>
          <w:sz w:val="24"/>
          <w:szCs w:val="24"/>
        </w:rPr>
        <w:t xml:space="preserve">Division audit questionnaires and </w:t>
      </w:r>
      <w:r w:rsidR="00A03D31">
        <w:rPr>
          <w:rFonts w:ascii="Times New Roman" w:hAnsi="Times New Roman" w:cs="Times New Roman"/>
          <w:bCs/>
          <w:sz w:val="24"/>
          <w:szCs w:val="24"/>
        </w:rPr>
        <w:t>extracting</w:t>
      </w:r>
      <w:r w:rsidR="00976864">
        <w:rPr>
          <w:rFonts w:ascii="Times New Roman" w:hAnsi="Times New Roman" w:cs="Times New Roman"/>
          <w:bCs/>
          <w:sz w:val="24"/>
          <w:szCs w:val="24"/>
        </w:rPr>
        <w:t xml:space="preserve"> any content not specifically relevant or necessary within the tribal context. T</w:t>
      </w:r>
      <w:r w:rsidR="00F0261E">
        <w:rPr>
          <w:rFonts w:ascii="Times New Roman" w:hAnsi="Times New Roman" w:cs="Times New Roman"/>
          <w:bCs/>
          <w:sz w:val="24"/>
          <w:szCs w:val="24"/>
        </w:rPr>
        <w:t xml:space="preserve">he resulting </w:t>
      </w:r>
      <w:r w:rsidR="00976864">
        <w:rPr>
          <w:rFonts w:ascii="Times New Roman" w:hAnsi="Times New Roman" w:cs="Times New Roman"/>
          <w:bCs/>
          <w:sz w:val="24"/>
          <w:szCs w:val="24"/>
        </w:rPr>
        <w:t xml:space="preserve">slimmed-down </w:t>
      </w:r>
      <w:r w:rsidR="00F0261E">
        <w:rPr>
          <w:rFonts w:ascii="Times New Roman" w:hAnsi="Times New Roman" w:cs="Times New Roman"/>
          <w:bCs/>
          <w:sz w:val="24"/>
          <w:szCs w:val="24"/>
        </w:rPr>
        <w:t xml:space="preserve">questionnaires </w:t>
      </w:r>
      <w:r w:rsidR="00976864">
        <w:rPr>
          <w:rFonts w:ascii="Times New Roman" w:hAnsi="Times New Roman" w:cs="Times New Roman"/>
          <w:bCs/>
          <w:sz w:val="24"/>
          <w:szCs w:val="24"/>
        </w:rPr>
        <w:t>are more limited in</w:t>
      </w:r>
      <w:r w:rsidR="00F0261E">
        <w:rPr>
          <w:rFonts w:ascii="Times New Roman" w:hAnsi="Times New Roman" w:cs="Times New Roman"/>
          <w:bCs/>
          <w:sz w:val="24"/>
          <w:szCs w:val="24"/>
        </w:rPr>
        <w:t xml:space="preserve"> scope</w:t>
      </w:r>
      <w:r w:rsidR="00976864">
        <w:rPr>
          <w:rFonts w:ascii="Times New Roman" w:hAnsi="Times New Roman" w:cs="Times New Roman"/>
          <w:bCs/>
          <w:sz w:val="24"/>
          <w:szCs w:val="24"/>
        </w:rPr>
        <w:t xml:space="preserve"> </w:t>
      </w:r>
      <w:r w:rsidR="00F0261E">
        <w:rPr>
          <w:rFonts w:ascii="Times New Roman" w:hAnsi="Times New Roman" w:cs="Times New Roman"/>
          <w:bCs/>
          <w:sz w:val="24"/>
          <w:szCs w:val="24"/>
        </w:rPr>
        <w:t xml:space="preserve">and </w:t>
      </w:r>
      <w:r w:rsidR="00A03D31">
        <w:rPr>
          <w:rFonts w:ascii="Times New Roman" w:hAnsi="Times New Roman" w:cs="Times New Roman"/>
          <w:bCs/>
          <w:sz w:val="24"/>
          <w:szCs w:val="24"/>
        </w:rPr>
        <w:t>seek</w:t>
      </w:r>
      <w:r w:rsidR="00976864">
        <w:rPr>
          <w:rFonts w:ascii="Times New Roman" w:hAnsi="Times New Roman" w:cs="Times New Roman"/>
          <w:bCs/>
          <w:sz w:val="24"/>
          <w:szCs w:val="24"/>
        </w:rPr>
        <w:t xml:space="preserve"> only the</w:t>
      </w:r>
      <w:r w:rsidR="000D26D9">
        <w:rPr>
          <w:rFonts w:ascii="Times New Roman" w:hAnsi="Times New Roman" w:cs="Times New Roman"/>
          <w:bCs/>
          <w:sz w:val="24"/>
          <w:szCs w:val="24"/>
        </w:rPr>
        <w:t xml:space="preserve"> minimum amou</w:t>
      </w:r>
      <w:r w:rsidR="00A03D31">
        <w:rPr>
          <w:rFonts w:ascii="Times New Roman" w:hAnsi="Times New Roman" w:cs="Times New Roman"/>
          <w:bCs/>
          <w:sz w:val="24"/>
          <w:szCs w:val="24"/>
        </w:rPr>
        <w:t>nt of information to fulfill agency</w:t>
      </w:r>
      <w:r w:rsidR="000D26D9">
        <w:rPr>
          <w:rFonts w:ascii="Times New Roman" w:hAnsi="Times New Roman" w:cs="Times New Roman"/>
          <w:bCs/>
          <w:sz w:val="24"/>
          <w:szCs w:val="24"/>
        </w:rPr>
        <w:t xml:space="preserve"> obligation</w:t>
      </w:r>
      <w:r w:rsidR="00A03D31">
        <w:rPr>
          <w:rFonts w:ascii="Times New Roman" w:hAnsi="Times New Roman" w:cs="Times New Roman"/>
          <w:bCs/>
          <w:sz w:val="24"/>
          <w:szCs w:val="24"/>
        </w:rPr>
        <w:t xml:space="preserve">s. In addition, the NIGC </w:t>
      </w:r>
      <w:r w:rsidR="000D26D9">
        <w:rPr>
          <w:rFonts w:ascii="Times New Roman" w:hAnsi="Times New Roman" w:cs="Times New Roman"/>
          <w:bCs/>
          <w:sz w:val="24"/>
          <w:szCs w:val="24"/>
        </w:rPr>
        <w:t>expects that the burden will be proportional to the size and com</w:t>
      </w:r>
      <w:r w:rsidR="00A03D31">
        <w:rPr>
          <w:rFonts w:ascii="Times New Roman" w:hAnsi="Times New Roman" w:cs="Times New Roman"/>
          <w:bCs/>
          <w:sz w:val="24"/>
          <w:szCs w:val="24"/>
        </w:rPr>
        <w:t>plexity of the gaming operation, meaning, the smaller the tribal operation, the lesser the burden.</w:t>
      </w:r>
    </w:p>
    <w:p w:rsidR="00884DBD" w:rsidRPr="008553F8" w:rsidP="005513FC" w14:paraId="731E7275" w14:textId="77777777">
      <w:pPr>
        <w:ind w:left="360"/>
        <w:rPr>
          <w:rFonts w:ascii="Times New Roman" w:hAnsi="Times New Roman" w:cs="Times New Roman"/>
          <w:sz w:val="24"/>
          <w:szCs w:val="24"/>
        </w:rPr>
      </w:pPr>
    </w:p>
    <w:p w:rsidR="009B7765" w:rsidRPr="008553F8" w:rsidP="009B7765" w14:paraId="2D14B08B" w14:textId="69C96A77">
      <w:pPr>
        <w:ind w:left="360" w:hanging="360"/>
        <w:rPr>
          <w:rFonts w:ascii="Times New Roman" w:hAnsi="Times New Roman" w:cs="Times New Roman"/>
          <w:b/>
          <w:bCs/>
          <w:sz w:val="24"/>
          <w:szCs w:val="24"/>
        </w:rPr>
      </w:pPr>
      <w:r w:rsidRPr="008553F8">
        <w:rPr>
          <w:rFonts w:ascii="Times New Roman" w:hAnsi="Times New Roman" w:cs="Times New Roman"/>
          <w:b/>
          <w:sz w:val="24"/>
          <w:szCs w:val="24"/>
        </w:rPr>
        <w:t xml:space="preserve">6. </w:t>
      </w:r>
      <w:r w:rsidRPr="008553F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DA74C6" w:rsidRPr="008553F8" w:rsidP="00DA74C6" w14:paraId="6F064ED0" w14:textId="600A7DDE">
      <w:pPr>
        <w:ind w:left="360"/>
        <w:rPr>
          <w:rFonts w:ascii="Times New Roman" w:hAnsi="Times New Roman" w:cs="Times New Roman"/>
          <w:b/>
          <w:bCs/>
          <w:sz w:val="24"/>
          <w:szCs w:val="24"/>
        </w:rPr>
      </w:pPr>
    </w:p>
    <w:p w:rsidR="0040730F" w:rsidP="00DA74C6" w14:paraId="2D47ABB2" w14:textId="57CAB85D">
      <w:pPr>
        <w:ind w:left="360"/>
        <w:rPr>
          <w:rFonts w:ascii="Times New Roman" w:hAnsi="Times New Roman" w:cs="Times New Roman"/>
          <w:sz w:val="24"/>
          <w:szCs w:val="24"/>
        </w:rPr>
      </w:pPr>
      <w:r>
        <w:rPr>
          <w:rFonts w:ascii="Times New Roman" w:hAnsi="Times New Roman" w:cs="Times New Roman"/>
          <w:bCs/>
          <w:sz w:val="24"/>
          <w:szCs w:val="24"/>
        </w:rPr>
        <w:t xml:space="preserve">Currently, in the absence of this collection, the NIGC </w:t>
      </w:r>
      <w:r w:rsidR="007F670D">
        <w:rPr>
          <w:rFonts w:ascii="Times New Roman" w:hAnsi="Times New Roman" w:cs="Times New Roman"/>
          <w:bCs/>
          <w:sz w:val="24"/>
          <w:szCs w:val="24"/>
        </w:rPr>
        <w:t xml:space="preserve">cannot provide any assurances that tribes are in compliance with </w:t>
      </w:r>
      <w:r>
        <w:rPr>
          <w:rFonts w:ascii="Times New Roman" w:hAnsi="Times New Roman" w:cs="Times New Roman"/>
          <w:sz w:val="24"/>
          <w:szCs w:val="24"/>
        </w:rPr>
        <w:t>information security and privacy protection requirements</w:t>
      </w:r>
      <w:r w:rsidR="007F670D">
        <w:rPr>
          <w:rFonts w:ascii="Times New Roman" w:hAnsi="Times New Roman" w:cs="Times New Roman"/>
          <w:sz w:val="24"/>
          <w:szCs w:val="24"/>
        </w:rPr>
        <w:t>.</w:t>
      </w:r>
    </w:p>
    <w:p w:rsidR="007F670D" w:rsidP="00DA74C6" w14:paraId="559FE2FA" w14:textId="343D9737">
      <w:pPr>
        <w:ind w:left="360"/>
        <w:rPr>
          <w:rFonts w:ascii="Times New Roman" w:hAnsi="Times New Roman" w:cs="Times New Roman"/>
          <w:sz w:val="24"/>
          <w:szCs w:val="24"/>
        </w:rPr>
      </w:pPr>
    </w:p>
    <w:p w:rsidR="00F36F21" w:rsidP="00DA74C6" w14:paraId="39DEDCA4" w14:textId="18BA086B">
      <w:pPr>
        <w:ind w:left="360"/>
        <w:rPr>
          <w:rFonts w:ascii="Times New Roman" w:hAnsi="Times New Roman" w:cs="Times New Roman"/>
          <w:sz w:val="24"/>
          <w:szCs w:val="24"/>
        </w:rPr>
      </w:pPr>
      <w:r>
        <w:rPr>
          <w:rFonts w:ascii="Times New Roman" w:hAnsi="Times New Roman" w:cs="Times New Roman"/>
          <w:bCs/>
          <w:sz w:val="24"/>
          <w:szCs w:val="24"/>
        </w:rPr>
        <w:t>If the FBI were to terminate the FBI-NIGC MOU</w:t>
      </w:r>
      <w:r>
        <w:rPr>
          <w:rFonts w:ascii="Times New Roman" w:hAnsi="Times New Roman" w:cs="Times New Roman"/>
          <w:bCs/>
          <w:sz w:val="24"/>
          <w:szCs w:val="24"/>
        </w:rPr>
        <w:t xml:space="preserve"> because of information security and privacy protection issues</w:t>
      </w:r>
      <w:r>
        <w:rPr>
          <w:rFonts w:ascii="Times New Roman" w:hAnsi="Times New Roman" w:cs="Times New Roman"/>
          <w:bCs/>
          <w:sz w:val="24"/>
          <w:szCs w:val="24"/>
        </w:rPr>
        <w:t>, this would jeopardize Indian gaming and the economic well-being of tribes that rely on Indian gaming revenue.</w:t>
      </w:r>
    </w:p>
    <w:p w:rsidR="00F36F21" w:rsidP="00DA74C6" w14:paraId="69B69053" w14:textId="77777777">
      <w:pPr>
        <w:ind w:left="360"/>
        <w:rPr>
          <w:rFonts w:ascii="Times New Roman" w:hAnsi="Times New Roman" w:cs="Times New Roman"/>
          <w:sz w:val="24"/>
          <w:szCs w:val="24"/>
        </w:rPr>
      </w:pPr>
    </w:p>
    <w:p w:rsidR="002F7C6B" w:rsidP="00DA74C6" w14:paraId="408C5BBB" w14:textId="77777777">
      <w:pPr>
        <w:ind w:left="360"/>
        <w:rPr>
          <w:rFonts w:ascii="Times New Roman" w:hAnsi="Times New Roman" w:cs="Times New Roman"/>
          <w:bCs/>
          <w:sz w:val="24"/>
          <w:szCs w:val="24"/>
        </w:rPr>
      </w:pPr>
      <w:r>
        <w:rPr>
          <w:rFonts w:ascii="Times New Roman" w:hAnsi="Times New Roman" w:cs="Times New Roman"/>
          <w:bCs/>
          <w:sz w:val="24"/>
          <w:szCs w:val="24"/>
        </w:rPr>
        <w:t xml:space="preserve">In FY2018, the FBI CJIS Division reviewed NIGC/tribal CJIS information management practices and issued a number of findings. This collection, and the activities that it supports, directly addresses </w:t>
      </w:r>
      <w:r w:rsidR="00EF4037">
        <w:rPr>
          <w:rFonts w:ascii="Times New Roman" w:hAnsi="Times New Roman" w:cs="Times New Roman"/>
          <w:bCs/>
          <w:sz w:val="24"/>
          <w:szCs w:val="24"/>
        </w:rPr>
        <w:t>those</w:t>
      </w:r>
      <w:r>
        <w:rPr>
          <w:rFonts w:ascii="Times New Roman" w:hAnsi="Times New Roman" w:cs="Times New Roman"/>
          <w:bCs/>
          <w:sz w:val="24"/>
          <w:szCs w:val="24"/>
        </w:rPr>
        <w:t xml:space="preserve"> findings. </w:t>
      </w:r>
    </w:p>
    <w:p w:rsidR="002F7C6B" w:rsidP="00DA74C6" w14:paraId="3E32BFA5" w14:textId="77777777">
      <w:pPr>
        <w:ind w:left="360"/>
        <w:rPr>
          <w:rFonts w:ascii="Times New Roman" w:hAnsi="Times New Roman" w:cs="Times New Roman"/>
          <w:bCs/>
          <w:sz w:val="24"/>
          <w:szCs w:val="24"/>
        </w:rPr>
      </w:pPr>
    </w:p>
    <w:p w:rsidR="00966D88" w:rsidRPr="008553F8" w14:paraId="5830BB79" w14:textId="77777777">
      <w:pPr>
        <w:ind w:left="360" w:hanging="360"/>
        <w:rPr>
          <w:rFonts w:ascii="Times New Roman" w:hAnsi="Times New Roman" w:cs="Times New Roman"/>
          <w:b/>
          <w:sz w:val="24"/>
          <w:szCs w:val="24"/>
        </w:rPr>
      </w:pPr>
      <w:bookmarkStart w:id="0" w:name="_GoBack"/>
      <w:bookmarkEnd w:id="0"/>
      <w:r w:rsidRPr="008553F8">
        <w:rPr>
          <w:rFonts w:ascii="Times New Roman" w:hAnsi="Times New Roman" w:cs="Times New Roman"/>
          <w:b/>
          <w:sz w:val="24"/>
          <w:szCs w:val="24"/>
        </w:rPr>
        <w:t xml:space="preserve">7. </w:t>
      </w:r>
      <w:r w:rsidRPr="008553F8">
        <w:rPr>
          <w:rFonts w:ascii="Times New Roman" w:hAnsi="Times New Roman" w:cs="Times New Roman"/>
          <w:b/>
          <w:sz w:val="24"/>
          <w:szCs w:val="24"/>
        </w:rPr>
        <w:tab/>
        <w:t xml:space="preserve">Explain any special circumstances that would cause an information collection to be conducted in a manner: </w:t>
      </w:r>
    </w:p>
    <w:p w:rsidR="00966D88" w:rsidRPr="008553F8" w14:paraId="6094F463" w14:textId="77777777">
      <w:pPr>
        <w:ind w:left="360" w:hanging="360"/>
        <w:rPr>
          <w:rFonts w:ascii="Times New Roman" w:hAnsi="Times New Roman" w:cs="Times New Roman"/>
          <w:b/>
          <w:sz w:val="24"/>
          <w:szCs w:val="24"/>
        </w:rPr>
      </w:pPr>
    </w:p>
    <w:p w:rsidR="00966D88" w:rsidRPr="008553F8" w14:paraId="4D70553A" w14:textId="77777777">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requiring respondents to report information to the agency more often than quarterly:</w:t>
      </w:r>
    </w:p>
    <w:p w:rsidR="00966D88" w:rsidRPr="008553F8" w14:paraId="144BC27B" w14:textId="29775D95">
      <w:pPr>
        <w:pStyle w:val="ListParagraph"/>
        <w:spacing w:after="0" w:line="240" w:lineRule="auto"/>
        <w:rPr>
          <w:rFonts w:ascii="Times New Roman" w:hAnsi="Times New Roman" w:cs="Times New Roman"/>
          <w:sz w:val="24"/>
          <w:szCs w:val="24"/>
        </w:rPr>
      </w:pPr>
    </w:p>
    <w:p w:rsidR="004B5C8F" w:rsidRPr="008553F8" w14:paraId="634DD818" w14:textId="746287F0">
      <w:pPr>
        <w:pStyle w:val="ListParagraph"/>
        <w:spacing w:after="0" w:line="240" w:lineRule="auto"/>
        <w:rPr>
          <w:rFonts w:ascii="Times New Roman" w:hAnsi="Times New Roman" w:cs="Times New Roman"/>
          <w:sz w:val="24"/>
          <w:szCs w:val="24"/>
        </w:rPr>
      </w:pPr>
      <w:r w:rsidRPr="008553F8">
        <w:rPr>
          <w:rFonts w:ascii="Times New Roman" w:hAnsi="Times New Roman" w:cs="Times New Roman"/>
          <w:sz w:val="24"/>
          <w:szCs w:val="24"/>
        </w:rPr>
        <w:t>Not applicable</w:t>
      </w:r>
    </w:p>
    <w:p w:rsidR="004B5C8F" w:rsidRPr="008553F8" w14:paraId="7F1622A3" w14:textId="77777777">
      <w:pPr>
        <w:pStyle w:val="ListParagraph"/>
        <w:spacing w:after="0" w:line="240" w:lineRule="auto"/>
        <w:rPr>
          <w:rFonts w:ascii="Times New Roman" w:hAnsi="Times New Roman" w:cs="Times New Roman"/>
          <w:sz w:val="24"/>
          <w:szCs w:val="24"/>
        </w:rPr>
      </w:pPr>
    </w:p>
    <w:p w:rsidR="00966D88" w:rsidRPr="008553F8" w14:paraId="397097E4" w14:textId="77777777">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requiring respondents to prepare a written response to a collection of information in fewer than 30 days after receipt of it:</w:t>
      </w:r>
    </w:p>
    <w:p w:rsidR="00966D88" w14:paraId="552D74D8" w14:textId="277BF364">
      <w:pPr>
        <w:pStyle w:val="ListParagraph"/>
        <w:spacing w:after="0" w:line="240" w:lineRule="auto"/>
        <w:rPr>
          <w:rFonts w:ascii="Times New Roman" w:hAnsi="Times New Roman" w:cs="Times New Roman"/>
          <w:sz w:val="24"/>
          <w:szCs w:val="24"/>
        </w:rPr>
      </w:pPr>
    </w:p>
    <w:p w:rsidR="008F35D8" w:rsidRPr="008553F8" w:rsidP="008F35D8" w14:paraId="442EA146" w14:textId="77777777">
      <w:pPr>
        <w:pStyle w:val="ListParagraph"/>
        <w:spacing w:after="0" w:line="240" w:lineRule="auto"/>
        <w:rPr>
          <w:rFonts w:ascii="Times New Roman" w:hAnsi="Times New Roman" w:cs="Times New Roman"/>
          <w:sz w:val="24"/>
          <w:szCs w:val="24"/>
        </w:rPr>
      </w:pPr>
      <w:r w:rsidRPr="008553F8">
        <w:rPr>
          <w:rFonts w:ascii="Times New Roman" w:hAnsi="Times New Roman" w:cs="Times New Roman"/>
          <w:sz w:val="24"/>
          <w:szCs w:val="24"/>
        </w:rPr>
        <w:t>Not applicable</w:t>
      </w:r>
    </w:p>
    <w:p w:rsidR="004B5C8F" w:rsidRPr="008553F8" w14:paraId="7E076AEE" w14:textId="77777777">
      <w:pPr>
        <w:pStyle w:val="ListParagraph"/>
        <w:spacing w:after="0" w:line="240" w:lineRule="auto"/>
        <w:rPr>
          <w:rFonts w:ascii="Times New Roman" w:hAnsi="Times New Roman" w:cs="Times New Roman"/>
          <w:sz w:val="24"/>
          <w:szCs w:val="24"/>
        </w:rPr>
      </w:pPr>
    </w:p>
    <w:p w:rsidR="00966D88" w:rsidRPr="008553F8" w14:paraId="4BE85723" w14:textId="7D9E355A">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requiring respondents to submit more than an original and two copies of any document:</w:t>
      </w:r>
    </w:p>
    <w:p w:rsidR="004B5C8F" w:rsidRPr="008553F8" w:rsidP="004B5C8F" w14:paraId="3971B881" w14:textId="5ABFFB9D">
      <w:pPr>
        <w:pStyle w:val="ListParagraph"/>
        <w:spacing w:after="0" w:line="240" w:lineRule="auto"/>
        <w:rPr>
          <w:rFonts w:ascii="Times New Roman" w:hAnsi="Times New Roman" w:cs="Times New Roman"/>
          <w:sz w:val="24"/>
          <w:szCs w:val="24"/>
        </w:rPr>
      </w:pPr>
    </w:p>
    <w:p w:rsidR="004B5C8F" w:rsidRPr="008553F8" w:rsidP="004B5C8F" w14:paraId="12248C35" w14:textId="43E651B5">
      <w:pPr>
        <w:pStyle w:val="ListParagraph"/>
        <w:spacing w:after="0" w:line="240" w:lineRule="auto"/>
        <w:rPr>
          <w:rFonts w:ascii="Times New Roman" w:hAnsi="Times New Roman" w:cs="Times New Roman"/>
          <w:sz w:val="24"/>
          <w:szCs w:val="24"/>
        </w:rPr>
      </w:pPr>
      <w:r w:rsidRPr="008553F8">
        <w:rPr>
          <w:rFonts w:ascii="Times New Roman" w:hAnsi="Times New Roman" w:cs="Times New Roman"/>
          <w:sz w:val="24"/>
          <w:szCs w:val="24"/>
        </w:rPr>
        <w:t>Not applicable</w:t>
      </w:r>
    </w:p>
    <w:p w:rsidR="00966D88" w:rsidRPr="008553F8" w:rsidP="004B5C8F" w14:paraId="3F602327" w14:textId="77777777">
      <w:pPr>
        <w:ind w:left="720"/>
        <w:rPr>
          <w:rFonts w:ascii="Times New Roman" w:hAnsi="Times New Roman" w:cs="Times New Roman"/>
          <w:sz w:val="24"/>
          <w:szCs w:val="24"/>
        </w:rPr>
      </w:pPr>
    </w:p>
    <w:p w:rsidR="00966D88" w:rsidRPr="008553F8" w:rsidP="009B7765" w14:paraId="1CF7714E" w14:textId="3D3B8C15">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requiring respondents to retain records, other than health, medical, government contract, grant-in-aid, or tax records, for more than three years:</w:t>
      </w:r>
      <w:r w:rsidRPr="008553F8">
        <w:rPr>
          <w:rFonts w:ascii="Times New Roman" w:hAnsi="Times New Roman" w:cs="Times New Roman"/>
          <w:sz w:val="24"/>
          <w:szCs w:val="24"/>
        </w:rPr>
        <w:t xml:space="preserve"> </w:t>
      </w:r>
    </w:p>
    <w:p w:rsidR="000D190D" w:rsidRPr="008553F8" w:rsidP="000D190D" w14:paraId="3079E090" w14:textId="4EA8D379">
      <w:pPr>
        <w:pStyle w:val="ListParagraph"/>
        <w:spacing w:after="0" w:line="240" w:lineRule="auto"/>
        <w:rPr>
          <w:rFonts w:ascii="Times New Roman" w:hAnsi="Times New Roman" w:cs="Times New Roman"/>
          <w:sz w:val="24"/>
          <w:szCs w:val="24"/>
        </w:rPr>
      </w:pPr>
    </w:p>
    <w:p w:rsidR="000D190D" w:rsidRPr="008553F8" w:rsidP="000D190D" w14:paraId="3DC596A8" w14:textId="7DD52036">
      <w:pPr>
        <w:pStyle w:val="ListParagraph"/>
        <w:spacing w:after="0" w:line="240" w:lineRule="auto"/>
        <w:rPr>
          <w:rFonts w:ascii="Times New Roman" w:hAnsi="Times New Roman" w:cs="Times New Roman"/>
          <w:sz w:val="24"/>
          <w:szCs w:val="24"/>
        </w:rPr>
      </w:pPr>
      <w:r w:rsidRPr="008553F8">
        <w:rPr>
          <w:rFonts w:ascii="Times New Roman" w:hAnsi="Times New Roman" w:cs="Times New Roman"/>
          <w:sz w:val="24"/>
          <w:szCs w:val="24"/>
        </w:rPr>
        <w:t>Not applicable</w:t>
      </w:r>
    </w:p>
    <w:p w:rsidR="000D190D" w:rsidRPr="008553F8" w:rsidP="000D190D" w14:paraId="68D6F8C2" w14:textId="77777777">
      <w:pPr>
        <w:pStyle w:val="ListParagraph"/>
        <w:spacing w:after="0" w:line="240" w:lineRule="auto"/>
        <w:rPr>
          <w:rFonts w:ascii="Times New Roman" w:hAnsi="Times New Roman" w:cs="Times New Roman"/>
          <w:sz w:val="24"/>
          <w:szCs w:val="24"/>
        </w:rPr>
      </w:pPr>
    </w:p>
    <w:p w:rsidR="00966D88" w:rsidRPr="008553F8" w14:paraId="5BC28531" w14:textId="1A1208BD">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in connection with a statistical survey, that is not designed to produce valid and reliable results that can be generalized to the universe of study:</w:t>
      </w:r>
    </w:p>
    <w:p w:rsidR="000D190D" w:rsidRPr="008553F8" w:rsidP="000D190D" w14:paraId="40E60178" w14:textId="52D32505">
      <w:pPr>
        <w:pStyle w:val="ListParagraph"/>
        <w:spacing w:after="0" w:line="240" w:lineRule="auto"/>
        <w:rPr>
          <w:rFonts w:ascii="Times New Roman" w:hAnsi="Times New Roman" w:cs="Times New Roman"/>
          <w:sz w:val="24"/>
          <w:szCs w:val="24"/>
        </w:rPr>
      </w:pPr>
    </w:p>
    <w:p w:rsidR="000D190D" w:rsidRPr="008553F8" w:rsidP="000D190D" w14:paraId="09401526" w14:textId="2953EEB5">
      <w:pPr>
        <w:pStyle w:val="ListParagraph"/>
        <w:spacing w:after="0" w:line="240" w:lineRule="auto"/>
        <w:rPr>
          <w:rFonts w:ascii="Times New Roman" w:hAnsi="Times New Roman" w:cs="Times New Roman"/>
          <w:sz w:val="24"/>
          <w:szCs w:val="24"/>
        </w:rPr>
      </w:pPr>
      <w:r w:rsidRPr="008553F8">
        <w:rPr>
          <w:rFonts w:ascii="Times New Roman" w:hAnsi="Times New Roman" w:cs="Times New Roman"/>
          <w:sz w:val="24"/>
          <w:szCs w:val="24"/>
        </w:rPr>
        <w:t xml:space="preserve">Not </w:t>
      </w:r>
      <w:r w:rsidRPr="008553F8" w:rsidR="005E3605">
        <w:rPr>
          <w:rFonts w:ascii="Times New Roman" w:hAnsi="Times New Roman" w:cs="Times New Roman"/>
          <w:sz w:val="24"/>
          <w:szCs w:val="24"/>
        </w:rPr>
        <w:t>applicable</w:t>
      </w:r>
    </w:p>
    <w:p w:rsidR="00966D88" w:rsidRPr="008553F8" w:rsidP="000D190D" w14:paraId="45A126D1" w14:textId="77777777">
      <w:pPr>
        <w:ind w:left="720"/>
        <w:rPr>
          <w:rFonts w:ascii="Times New Roman" w:hAnsi="Times New Roman" w:cs="Times New Roman"/>
          <w:sz w:val="24"/>
          <w:szCs w:val="24"/>
        </w:rPr>
      </w:pPr>
    </w:p>
    <w:p w:rsidR="00966D88" w:rsidRPr="008553F8" w14:paraId="525AECE0" w14:textId="3A39EE56">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requiring the use of a statistical data classification that has not been reviewed and approved by OMB:</w:t>
      </w:r>
    </w:p>
    <w:p w:rsidR="000D190D" w:rsidRPr="008553F8" w:rsidP="000D190D" w14:paraId="5B791DA6" w14:textId="35713CE7">
      <w:pPr>
        <w:ind w:left="720"/>
        <w:rPr>
          <w:rFonts w:ascii="Times New Roman" w:hAnsi="Times New Roman" w:cs="Times New Roman"/>
          <w:sz w:val="24"/>
          <w:szCs w:val="24"/>
        </w:rPr>
      </w:pPr>
    </w:p>
    <w:p w:rsidR="000D190D" w:rsidRPr="008553F8" w:rsidP="000D190D" w14:paraId="543A4987" w14:textId="458A6D19">
      <w:pPr>
        <w:ind w:left="720"/>
        <w:rPr>
          <w:rFonts w:ascii="Times New Roman" w:hAnsi="Times New Roman" w:cs="Times New Roman"/>
          <w:sz w:val="24"/>
          <w:szCs w:val="24"/>
        </w:rPr>
      </w:pPr>
      <w:r w:rsidRPr="008553F8">
        <w:rPr>
          <w:rFonts w:ascii="Times New Roman" w:hAnsi="Times New Roman" w:cs="Times New Roman"/>
          <w:sz w:val="24"/>
          <w:szCs w:val="24"/>
        </w:rPr>
        <w:t>Not applicable</w:t>
      </w:r>
    </w:p>
    <w:p w:rsidR="00966D88" w:rsidRPr="008553F8" w:rsidP="000D190D" w14:paraId="5A5B598D" w14:textId="77777777">
      <w:pPr>
        <w:ind w:left="720"/>
        <w:rPr>
          <w:rFonts w:ascii="Times New Roman" w:hAnsi="Times New Roman" w:cs="Times New Roman"/>
          <w:sz w:val="24"/>
          <w:szCs w:val="24"/>
        </w:rPr>
      </w:pPr>
    </w:p>
    <w:p w:rsidR="00966D88" w:rsidRPr="008553F8" w14:paraId="7D87603E" w14:textId="40EF939B">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D190D" w:rsidRPr="008553F8" w:rsidP="000D190D" w14:paraId="41FE869D" w14:textId="5C7EFEB0">
      <w:pPr>
        <w:pStyle w:val="ListParagraph"/>
        <w:spacing w:after="0" w:line="240" w:lineRule="auto"/>
        <w:rPr>
          <w:rFonts w:ascii="Times New Roman" w:hAnsi="Times New Roman" w:cs="Times New Roman"/>
          <w:sz w:val="24"/>
          <w:szCs w:val="24"/>
        </w:rPr>
      </w:pPr>
    </w:p>
    <w:p w:rsidR="000D190D" w:rsidRPr="008553F8" w:rsidP="000D190D" w14:paraId="0EFD94FC" w14:textId="6E5D878F">
      <w:pPr>
        <w:pStyle w:val="ListParagraph"/>
        <w:spacing w:after="0" w:line="240" w:lineRule="auto"/>
        <w:rPr>
          <w:rFonts w:ascii="Times New Roman" w:hAnsi="Times New Roman" w:cs="Times New Roman"/>
          <w:sz w:val="24"/>
          <w:szCs w:val="24"/>
        </w:rPr>
      </w:pPr>
      <w:r w:rsidRPr="008553F8">
        <w:rPr>
          <w:rFonts w:ascii="Times New Roman" w:hAnsi="Times New Roman" w:cs="Times New Roman"/>
          <w:sz w:val="24"/>
          <w:szCs w:val="24"/>
        </w:rPr>
        <w:t>Not applicable</w:t>
      </w:r>
    </w:p>
    <w:p w:rsidR="00966D88" w:rsidRPr="008553F8" w:rsidP="000D190D" w14:paraId="05F7B775" w14:textId="77777777">
      <w:pPr>
        <w:ind w:left="720"/>
        <w:rPr>
          <w:rFonts w:ascii="Times New Roman" w:hAnsi="Times New Roman" w:cs="Times New Roman"/>
          <w:sz w:val="24"/>
          <w:szCs w:val="24"/>
        </w:rPr>
      </w:pPr>
    </w:p>
    <w:p w:rsidR="00966D88" w:rsidRPr="008553F8" w14:paraId="0B45A740" w14:textId="62CCA53E">
      <w:pPr>
        <w:pStyle w:val="ListParagraph"/>
        <w:numPr>
          <w:ilvl w:val="0"/>
          <w:numId w:val="1"/>
        </w:numPr>
        <w:spacing w:after="0" w:line="240" w:lineRule="auto"/>
        <w:rPr>
          <w:rFonts w:ascii="Times New Roman" w:hAnsi="Times New Roman" w:cs="Times New Roman"/>
          <w:color w:val="000000"/>
          <w:sz w:val="24"/>
          <w:szCs w:val="24"/>
        </w:rPr>
      </w:pPr>
      <w:r w:rsidRPr="008553F8">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0D190D" w:rsidRPr="008553F8" w:rsidP="000D190D" w14:paraId="5FEC2C84" w14:textId="5F0A9AA3">
      <w:pPr>
        <w:ind w:left="720"/>
        <w:rPr>
          <w:rFonts w:ascii="Times New Roman" w:hAnsi="Times New Roman" w:cs="Times New Roman"/>
          <w:color w:val="000000"/>
          <w:sz w:val="24"/>
          <w:szCs w:val="24"/>
        </w:rPr>
      </w:pPr>
    </w:p>
    <w:p w:rsidR="000D190D" w:rsidRPr="008553F8" w:rsidP="000D190D" w14:paraId="34DB4844" w14:textId="4B4D866F">
      <w:pPr>
        <w:ind w:left="720"/>
        <w:rPr>
          <w:rFonts w:ascii="Times New Roman" w:hAnsi="Times New Roman" w:cs="Times New Roman"/>
          <w:color w:val="000000"/>
          <w:sz w:val="24"/>
          <w:szCs w:val="24"/>
        </w:rPr>
      </w:pPr>
      <w:r w:rsidRPr="008553F8">
        <w:rPr>
          <w:rFonts w:ascii="Times New Roman" w:hAnsi="Times New Roman" w:cs="Times New Roman"/>
          <w:color w:val="000000"/>
          <w:sz w:val="24"/>
          <w:szCs w:val="24"/>
        </w:rPr>
        <w:t>Not applicable</w:t>
      </w:r>
    </w:p>
    <w:p w:rsidR="00966D88" w:rsidRPr="008553F8" w:rsidP="000D190D" w14:paraId="65C51BEB" w14:textId="77777777">
      <w:pPr>
        <w:ind w:left="720"/>
        <w:rPr>
          <w:rFonts w:ascii="Times New Roman" w:hAnsi="Times New Roman" w:cs="Times New Roman"/>
          <w:sz w:val="24"/>
          <w:szCs w:val="24"/>
        </w:rPr>
      </w:pPr>
    </w:p>
    <w:p w:rsidR="00966D88" w:rsidRPr="008553F8" w14:paraId="55CD0320" w14:textId="2932171C">
      <w:pPr>
        <w:ind w:left="360" w:hanging="360"/>
        <w:rPr>
          <w:rFonts w:ascii="Times New Roman" w:hAnsi="Times New Roman" w:cs="Times New Roman"/>
          <w:b/>
          <w:sz w:val="24"/>
          <w:szCs w:val="24"/>
        </w:rPr>
      </w:pPr>
      <w:r w:rsidRPr="008553F8">
        <w:rPr>
          <w:rFonts w:ascii="Times New Roman" w:hAnsi="Times New Roman" w:cs="Times New Roman"/>
          <w:b/>
          <w:sz w:val="24"/>
          <w:szCs w:val="24"/>
        </w:rPr>
        <w:t xml:space="preserve">8. </w:t>
      </w:r>
      <w:r w:rsidRPr="008553F8">
        <w:rPr>
          <w:rFonts w:ascii="Times New Roman" w:hAnsi="Times New Roman" w:cs="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w:t>
      </w:r>
      <w:r w:rsidRPr="008553F8" w:rsidR="00573C40">
        <w:rPr>
          <w:rFonts w:ascii="Times New Roman" w:hAnsi="Times New Roman" w:cs="Times New Roman"/>
          <w:b/>
          <w:sz w:val="24"/>
          <w:szCs w:val="24"/>
        </w:rPr>
        <w:t>ceived on cost and hour burden.</w:t>
      </w:r>
    </w:p>
    <w:p w:rsidR="00573C40" w:rsidRPr="008553F8" w:rsidP="00573C40" w14:paraId="01AD448A" w14:textId="77777777">
      <w:pPr>
        <w:ind w:left="360"/>
        <w:rPr>
          <w:rFonts w:ascii="Times New Roman" w:hAnsi="Times New Roman" w:cs="Times New Roman"/>
          <w:b/>
          <w:sz w:val="24"/>
          <w:szCs w:val="24"/>
        </w:rPr>
      </w:pPr>
    </w:p>
    <w:p w:rsidR="00966D88" w:rsidRPr="00B611CA" w:rsidP="00B611CA" w14:paraId="07AF3653" w14:textId="00CEF230">
      <w:pPr>
        <w:ind w:left="360"/>
        <w:rPr>
          <w:rFonts w:ascii="Times New Roman" w:hAnsi="Times New Roman" w:cs="Times New Roman"/>
          <w:b/>
          <w:sz w:val="24"/>
          <w:szCs w:val="24"/>
        </w:rPr>
      </w:pPr>
      <w:r w:rsidRPr="008553F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w:t>
      </w:r>
      <w:r w:rsidRPr="008553F8" w:rsidR="00573C40">
        <w:rPr>
          <w:rFonts w:ascii="Times New Roman" w:hAnsi="Times New Roman" w:cs="Times New Roman"/>
          <w:b/>
          <w:sz w:val="24"/>
          <w:szCs w:val="24"/>
        </w:rPr>
        <w:t>corded, disclosed, or reported.</w:t>
      </w:r>
    </w:p>
    <w:p w:rsidR="003904AB" w:rsidP="008F35D8" w14:paraId="043628AF" w14:textId="11FB7803">
      <w:pPr>
        <w:pStyle w:val="Default"/>
        <w:rPr>
          <w:rFonts w:eastAsia="Calibri"/>
        </w:rPr>
      </w:pPr>
    </w:p>
    <w:p w:rsidR="00515349" w:rsidP="00F21EC7" w14:paraId="7E7146D0" w14:textId="77777777">
      <w:pPr>
        <w:pStyle w:val="Default"/>
        <w:ind w:left="360"/>
        <w:rPr>
          <w:rFonts w:eastAsia="Calibri"/>
        </w:rPr>
      </w:pPr>
      <w:r w:rsidRPr="00515349">
        <w:rPr>
          <w:rFonts w:eastAsia="Calibri"/>
        </w:rPr>
        <w:t xml:space="preserve">On December 6, 2023, a 60-day notice was published in the Federal Register informing the public about the proposed information collection and soliciting comments. </w:t>
      </w:r>
      <w:r w:rsidRPr="00515349">
        <w:rPr>
          <w:rFonts w:eastAsia="Calibri"/>
          <w:i/>
        </w:rPr>
        <w:t>See</w:t>
      </w:r>
      <w:r w:rsidRPr="00515349">
        <w:rPr>
          <w:rFonts w:eastAsia="Calibri"/>
        </w:rPr>
        <w:t xml:space="preserve"> 88 FR 84827 (December 6, 2023). The public comment period closed on February 4, 2024. No public comments were received.</w:t>
      </w:r>
      <w:r>
        <w:rPr>
          <w:rFonts w:eastAsia="Calibri"/>
        </w:rPr>
        <w:t xml:space="preserve"> </w:t>
      </w:r>
    </w:p>
    <w:p w:rsidR="00515349" w:rsidP="00F21EC7" w14:paraId="28A07843" w14:textId="77777777">
      <w:pPr>
        <w:pStyle w:val="Default"/>
        <w:ind w:left="360"/>
        <w:rPr>
          <w:rFonts w:eastAsia="Calibri"/>
        </w:rPr>
      </w:pPr>
    </w:p>
    <w:p w:rsidR="0076504D" w:rsidRPr="008553F8" w:rsidP="00F21EC7" w14:paraId="41874122" w14:textId="5AB68F33">
      <w:pPr>
        <w:pStyle w:val="Default"/>
        <w:ind w:left="360"/>
      </w:pPr>
      <w:r>
        <w:rPr>
          <w:rFonts w:eastAsia="Calibri"/>
        </w:rPr>
        <w:t>The NIGC con</w:t>
      </w:r>
      <w:r w:rsidR="00233513">
        <w:rPr>
          <w:rFonts w:eastAsia="Calibri"/>
        </w:rPr>
        <w:t xml:space="preserve">sulted with </w:t>
      </w:r>
      <w:r w:rsidR="00126BB6">
        <w:rPr>
          <w:rFonts w:eastAsia="Calibri"/>
        </w:rPr>
        <w:t xml:space="preserve">nine (9) tribes to obtain their views on the </w:t>
      </w:r>
      <w:r w:rsidR="005D63A0">
        <w:rPr>
          <w:rFonts w:eastAsia="Calibri"/>
        </w:rPr>
        <w:t xml:space="preserve">proposed information collection, in particular, the </w:t>
      </w:r>
      <w:r w:rsidR="00126BB6">
        <w:rPr>
          <w:rFonts w:eastAsia="Calibri"/>
        </w:rPr>
        <w:t>clarity of instructions</w:t>
      </w:r>
      <w:r w:rsidR="005D63A0">
        <w:rPr>
          <w:rFonts w:eastAsia="Calibri"/>
        </w:rPr>
        <w:t xml:space="preserve">, the </w:t>
      </w:r>
      <w:r w:rsidR="005D63A0">
        <w:rPr>
          <w:rFonts w:eastAsia="Calibri"/>
        </w:rPr>
        <w:t xml:space="preserve">availability of data, </w:t>
      </w:r>
      <w:r w:rsidR="00126BB6">
        <w:rPr>
          <w:rFonts w:eastAsia="Calibri"/>
        </w:rPr>
        <w:t xml:space="preserve">and </w:t>
      </w:r>
      <w:r w:rsidR="005D63A0">
        <w:rPr>
          <w:rFonts w:eastAsia="Calibri"/>
        </w:rPr>
        <w:t xml:space="preserve">the </w:t>
      </w:r>
      <w:r w:rsidR="00126BB6">
        <w:rPr>
          <w:rFonts w:eastAsia="Calibri"/>
        </w:rPr>
        <w:t xml:space="preserve">ease of use </w:t>
      </w:r>
      <w:r w:rsidR="005D63A0">
        <w:rPr>
          <w:rFonts w:eastAsia="Calibri"/>
        </w:rPr>
        <w:t>of</w:t>
      </w:r>
      <w:r w:rsidR="00126BB6">
        <w:rPr>
          <w:rFonts w:eastAsia="Calibri"/>
        </w:rPr>
        <w:t xml:space="preserve"> the </w:t>
      </w:r>
      <w:r w:rsidR="005D63A0">
        <w:rPr>
          <w:rFonts w:eastAsia="Calibri"/>
        </w:rPr>
        <w:t>(Peak Performance</w:t>
      </w:r>
      <w:r w:rsidR="005D63A0">
        <w:rPr>
          <w:rFonts w:eastAsia="Calibri"/>
        </w:rPr>
        <w:t xml:space="preserve">) </w:t>
      </w:r>
      <w:r w:rsidR="00126BB6">
        <w:rPr>
          <w:rFonts w:eastAsia="Calibri"/>
        </w:rPr>
        <w:t xml:space="preserve">electronic reporting </w:t>
      </w:r>
      <w:r w:rsidR="005D63A0">
        <w:rPr>
          <w:rFonts w:eastAsia="Calibri"/>
        </w:rPr>
        <w:t>platform</w:t>
      </w:r>
      <w:r w:rsidR="00126BB6">
        <w:rPr>
          <w:rFonts w:eastAsia="Calibri"/>
        </w:rPr>
        <w:t>.</w:t>
      </w:r>
      <w:r w:rsidR="005A6C0E">
        <w:rPr>
          <w:rFonts w:eastAsia="Calibri"/>
        </w:rPr>
        <w:t xml:space="preserve"> </w:t>
      </w:r>
      <w:r w:rsidR="00233513">
        <w:rPr>
          <w:rFonts w:eastAsia="Calibri"/>
        </w:rPr>
        <w:t xml:space="preserve">Based on these consultations, the NIGC was able to formulate burden estimates (detailed below). In general, tribes reported that the instructions were clear, the electronic reporting platform was easy to use, and the data requested was readily available. The NIGC will continue to </w:t>
      </w:r>
      <w:r w:rsidR="00452C81">
        <w:rPr>
          <w:rFonts w:eastAsia="Calibri"/>
        </w:rPr>
        <w:t>listen to feedback from respondents</w:t>
      </w:r>
      <w:r w:rsidR="00233513">
        <w:rPr>
          <w:rFonts w:eastAsia="Calibri"/>
        </w:rPr>
        <w:t xml:space="preserve"> </w:t>
      </w:r>
      <w:r w:rsidR="00452C81">
        <w:rPr>
          <w:rFonts w:eastAsia="Calibri"/>
        </w:rPr>
        <w:t>and seek way to reduce the collection burden.</w:t>
      </w:r>
    </w:p>
    <w:p w:rsidR="00573C40" w:rsidRPr="008553F8" w14:paraId="75D56106" w14:textId="77777777">
      <w:pPr>
        <w:pStyle w:val="Default"/>
        <w:tabs>
          <w:tab w:val="left" w:pos="378"/>
        </w:tabs>
        <w:ind w:left="720" w:hanging="360"/>
      </w:pPr>
    </w:p>
    <w:p w:rsidR="00966D88" w:rsidRPr="008553F8" w:rsidP="00573C40" w14:paraId="4F341496" w14:textId="6F5169DE">
      <w:pPr>
        <w:autoSpaceDE w:val="0"/>
        <w:autoSpaceDN w:val="0"/>
        <w:adjustRightInd w:val="0"/>
        <w:ind w:left="360" w:hanging="360"/>
        <w:rPr>
          <w:rFonts w:ascii="Times New Roman" w:hAnsi="Times New Roman" w:cs="Times New Roman"/>
          <w:b/>
          <w:bCs/>
          <w:sz w:val="24"/>
          <w:szCs w:val="24"/>
        </w:rPr>
      </w:pPr>
      <w:r w:rsidRPr="008553F8">
        <w:rPr>
          <w:rFonts w:ascii="Times New Roman" w:hAnsi="Times New Roman" w:cs="Times New Roman"/>
          <w:b/>
          <w:sz w:val="24"/>
          <w:szCs w:val="24"/>
        </w:rPr>
        <w:t>9.</w:t>
      </w:r>
      <w:r w:rsidRPr="008553F8">
        <w:rPr>
          <w:rFonts w:ascii="Times New Roman" w:hAnsi="Times New Roman" w:cs="Times New Roman"/>
          <w:b/>
          <w:sz w:val="24"/>
          <w:szCs w:val="24"/>
        </w:rPr>
        <w:tab/>
      </w:r>
      <w:r w:rsidRPr="008553F8" w:rsidR="00805537">
        <w:rPr>
          <w:rFonts w:ascii="Times New Roman" w:hAnsi="Times New Roman" w:cs="Times New Roman"/>
          <w:b/>
          <w:sz w:val="24"/>
          <w:szCs w:val="24"/>
        </w:rPr>
        <w:t>Explain any decision to provide any payment or gift to respondents, other than remuneration of contractors or grantees.</w:t>
      </w:r>
      <w:r w:rsidRPr="008553F8" w:rsidR="00805537">
        <w:rPr>
          <w:rFonts w:ascii="Times New Roman" w:hAnsi="Times New Roman" w:cs="Times New Roman"/>
          <w:b/>
          <w:bCs/>
          <w:sz w:val="24"/>
          <w:szCs w:val="24"/>
        </w:rPr>
        <w:t xml:space="preserve"> </w:t>
      </w:r>
    </w:p>
    <w:p w:rsidR="00573C40" w:rsidRPr="008553F8" w:rsidP="00573C40" w14:paraId="21575E77" w14:textId="2FCFB59A">
      <w:pPr>
        <w:autoSpaceDE w:val="0"/>
        <w:autoSpaceDN w:val="0"/>
        <w:adjustRightInd w:val="0"/>
        <w:ind w:left="360"/>
        <w:rPr>
          <w:rFonts w:ascii="Times New Roman" w:hAnsi="Times New Roman" w:cs="Times New Roman"/>
          <w:bCs/>
          <w:sz w:val="24"/>
          <w:szCs w:val="24"/>
        </w:rPr>
      </w:pPr>
    </w:p>
    <w:p w:rsidR="00573C40" w:rsidRPr="008553F8" w:rsidP="00573C40" w14:paraId="4E769B87" w14:textId="3AD33453">
      <w:pPr>
        <w:autoSpaceDE w:val="0"/>
        <w:autoSpaceDN w:val="0"/>
        <w:adjustRightInd w:val="0"/>
        <w:ind w:left="360"/>
        <w:rPr>
          <w:rFonts w:ascii="Times New Roman" w:hAnsi="Times New Roman" w:cs="Times New Roman"/>
          <w:bCs/>
          <w:sz w:val="24"/>
          <w:szCs w:val="24"/>
        </w:rPr>
      </w:pPr>
      <w:r w:rsidRPr="008553F8">
        <w:rPr>
          <w:rFonts w:ascii="Times New Roman" w:hAnsi="Times New Roman" w:cs="Times New Roman"/>
          <w:sz w:val="24"/>
          <w:szCs w:val="24"/>
        </w:rPr>
        <w:t>Not applicable. The NIGC does not provide any payment or gift to respondents</w:t>
      </w:r>
      <w:r w:rsidRPr="008553F8" w:rsidR="008420A6">
        <w:rPr>
          <w:rFonts w:ascii="Times New Roman" w:hAnsi="Times New Roman" w:cs="Times New Roman"/>
          <w:sz w:val="24"/>
          <w:szCs w:val="24"/>
        </w:rPr>
        <w:t>.</w:t>
      </w:r>
    </w:p>
    <w:p w:rsidR="00573C40" w:rsidRPr="008553F8" w:rsidP="00573C40" w14:paraId="3054DFCB" w14:textId="77777777">
      <w:pPr>
        <w:autoSpaceDE w:val="0"/>
        <w:autoSpaceDN w:val="0"/>
        <w:adjustRightInd w:val="0"/>
        <w:ind w:left="360"/>
        <w:rPr>
          <w:rFonts w:ascii="Times New Roman" w:hAnsi="Times New Roman" w:cs="Times New Roman"/>
          <w:sz w:val="24"/>
          <w:szCs w:val="24"/>
        </w:rPr>
      </w:pPr>
    </w:p>
    <w:p w:rsidR="00966D88" w:rsidRPr="008553F8" w:rsidP="009B7765" w14:paraId="609AD6D1" w14:textId="14A035AD">
      <w:pPr>
        <w:ind w:left="360" w:hanging="360"/>
        <w:rPr>
          <w:rFonts w:ascii="Times New Roman" w:hAnsi="Times New Roman" w:cs="Times New Roman"/>
          <w:b/>
          <w:bCs/>
          <w:sz w:val="24"/>
          <w:szCs w:val="24"/>
        </w:rPr>
      </w:pPr>
      <w:r w:rsidRPr="008553F8">
        <w:rPr>
          <w:rFonts w:ascii="Times New Roman" w:hAnsi="Times New Roman" w:cs="Times New Roman"/>
          <w:b/>
          <w:sz w:val="24"/>
          <w:szCs w:val="24"/>
        </w:rPr>
        <w:t>10.</w:t>
      </w:r>
      <w:r w:rsidRPr="008553F8">
        <w:rPr>
          <w:rFonts w:ascii="Times New Roman" w:hAnsi="Times New Roman" w:cs="Times New Roman"/>
          <w:b/>
          <w:sz w:val="24"/>
          <w:szCs w:val="24"/>
        </w:rPr>
        <w:tab/>
        <w:t>Describe any assurance of confidentiality provided to respondents and the basis for the assurance in statute, regulation, or agency policy.</w:t>
      </w:r>
    </w:p>
    <w:p w:rsidR="007739FD" w:rsidRPr="008553F8" w:rsidP="007739FD" w14:paraId="6137FA0C" w14:textId="3B809426">
      <w:pPr>
        <w:ind w:left="360"/>
        <w:rPr>
          <w:rFonts w:ascii="Times New Roman" w:hAnsi="Times New Roman" w:cs="Times New Roman"/>
          <w:b/>
          <w:bCs/>
          <w:sz w:val="24"/>
          <w:szCs w:val="24"/>
        </w:rPr>
      </w:pPr>
    </w:p>
    <w:p w:rsidR="007739FD" w:rsidRPr="008553F8" w:rsidP="007739FD" w14:paraId="4EC03DF6" w14:textId="7127E781">
      <w:pPr>
        <w:ind w:left="360"/>
        <w:rPr>
          <w:rFonts w:ascii="Times New Roman" w:hAnsi="Times New Roman" w:cs="Times New Roman"/>
          <w:b/>
          <w:bCs/>
          <w:sz w:val="24"/>
          <w:szCs w:val="24"/>
        </w:rPr>
      </w:pPr>
      <w:r w:rsidRPr="008553F8">
        <w:rPr>
          <w:rFonts w:ascii="Times New Roman" w:hAnsi="Times New Roman" w:cs="Times New Roman"/>
          <w:sz w:val="24"/>
          <w:szCs w:val="24"/>
        </w:rPr>
        <w:t xml:space="preserve">The Indian Gaming Regulatory Act requires the </w:t>
      </w:r>
      <w:r w:rsidRPr="008553F8" w:rsidR="0003785F">
        <w:rPr>
          <w:rFonts w:ascii="Times New Roman" w:hAnsi="Times New Roman" w:cs="Times New Roman"/>
          <w:sz w:val="24"/>
          <w:szCs w:val="24"/>
        </w:rPr>
        <w:t>NIGC</w:t>
      </w:r>
      <w:r w:rsidRPr="008553F8">
        <w:rPr>
          <w:rFonts w:ascii="Times New Roman" w:hAnsi="Times New Roman" w:cs="Times New Roman"/>
          <w:sz w:val="24"/>
          <w:szCs w:val="24"/>
        </w:rPr>
        <w:t xml:space="preserve"> to keep confidential trade secrets, privileged or confidential, commercial or financial information, or information related to ongoing law enforcement investigations. Section 2716 of title 25, United States Code, removes from the </w:t>
      </w:r>
      <w:r w:rsidRPr="008553F8" w:rsidR="007610D0">
        <w:rPr>
          <w:rFonts w:ascii="Times New Roman" w:hAnsi="Times New Roman" w:cs="Times New Roman"/>
          <w:sz w:val="24"/>
          <w:szCs w:val="24"/>
        </w:rPr>
        <w:t>NIGC</w:t>
      </w:r>
      <w:r w:rsidRPr="008553F8">
        <w:rPr>
          <w:rFonts w:ascii="Times New Roman" w:hAnsi="Times New Roman" w:cs="Times New Roman"/>
          <w:sz w:val="24"/>
          <w:szCs w:val="24"/>
        </w:rPr>
        <w:t xml:space="preserve"> any discretion it otherwise would have to disclose information that falls within FOIA exemptions 4 and 7, and requires the </w:t>
      </w:r>
      <w:r w:rsidRPr="008553F8" w:rsidR="00C758F5">
        <w:rPr>
          <w:rFonts w:ascii="Times New Roman" w:hAnsi="Times New Roman" w:cs="Times New Roman"/>
          <w:sz w:val="24"/>
          <w:szCs w:val="24"/>
        </w:rPr>
        <w:t>NIGC</w:t>
      </w:r>
      <w:r w:rsidRPr="008553F8">
        <w:rPr>
          <w:rFonts w:ascii="Times New Roman" w:hAnsi="Times New Roman" w:cs="Times New Roman"/>
          <w:sz w:val="24"/>
          <w:szCs w:val="24"/>
        </w:rPr>
        <w:t xml:space="preserve"> to disclose such information only to other law enforcement agencies for law enforcement purposes</w:t>
      </w:r>
      <w:r w:rsidRPr="008553F8" w:rsidR="002C501B">
        <w:rPr>
          <w:rFonts w:ascii="Times New Roman" w:hAnsi="Times New Roman" w:cs="Times New Roman"/>
          <w:sz w:val="24"/>
          <w:szCs w:val="24"/>
        </w:rPr>
        <w:t>.</w:t>
      </w:r>
    </w:p>
    <w:p w:rsidR="009B7765" w:rsidRPr="008553F8" w:rsidP="007739FD" w14:paraId="1905AF19" w14:textId="77777777">
      <w:pPr>
        <w:ind w:left="360"/>
        <w:rPr>
          <w:rFonts w:ascii="Times New Roman" w:hAnsi="Times New Roman" w:cs="Times New Roman"/>
          <w:sz w:val="24"/>
          <w:szCs w:val="24"/>
        </w:rPr>
      </w:pPr>
    </w:p>
    <w:p w:rsidR="00966D88" w:rsidRPr="008553F8" w14:paraId="2F2FFCB9" w14:textId="77777777">
      <w:pPr>
        <w:ind w:left="360" w:hanging="360"/>
        <w:rPr>
          <w:rFonts w:ascii="Times New Roman" w:hAnsi="Times New Roman" w:cs="Times New Roman"/>
          <w:sz w:val="24"/>
          <w:szCs w:val="24"/>
        </w:rPr>
      </w:pPr>
      <w:r w:rsidRPr="008553F8">
        <w:rPr>
          <w:rFonts w:ascii="Times New Roman" w:hAnsi="Times New Roman" w:cs="Times New Roman"/>
          <w:b/>
          <w:sz w:val="24"/>
          <w:szCs w:val="24"/>
        </w:rPr>
        <w:t>11.</w:t>
      </w:r>
      <w:r w:rsidRPr="008553F8">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553F8">
        <w:rPr>
          <w:rFonts w:ascii="Times New Roman" w:hAnsi="Times New Roman" w:cs="Times New Roman"/>
          <w:b/>
          <w:bCs/>
          <w:sz w:val="24"/>
          <w:szCs w:val="24"/>
        </w:rPr>
        <w:t xml:space="preserve"> </w:t>
      </w:r>
    </w:p>
    <w:p w:rsidR="00966D88" w:rsidRPr="008553F8" w:rsidP="00A03A7D" w14:paraId="5EFF1527" w14:textId="23E65975">
      <w:pPr>
        <w:pStyle w:val="Default"/>
        <w:ind w:left="360"/>
      </w:pPr>
    </w:p>
    <w:p w:rsidR="00A03A7D" w:rsidRPr="008553F8" w:rsidP="00A03A7D" w14:paraId="1C2CB492" w14:textId="77777777">
      <w:pPr>
        <w:pStyle w:val="Default"/>
        <w:ind w:left="360"/>
      </w:pPr>
      <w:r w:rsidRPr="008553F8">
        <w:t xml:space="preserve">Not applicable. No sensitive questions are asked. </w:t>
      </w:r>
    </w:p>
    <w:p w:rsidR="00966D88" w:rsidRPr="008553F8" w:rsidP="00A03A7D" w14:paraId="4FB52FBA" w14:textId="77777777">
      <w:pPr>
        <w:pStyle w:val="Default"/>
        <w:ind w:left="360"/>
      </w:pPr>
    </w:p>
    <w:p w:rsidR="00966D88" w:rsidRPr="008553F8" w14:paraId="74F4DC24" w14:textId="77777777">
      <w:pPr>
        <w:ind w:left="360" w:hanging="360"/>
        <w:rPr>
          <w:rFonts w:ascii="Times New Roman" w:hAnsi="Times New Roman" w:cs="Times New Roman"/>
          <w:b/>
          <w:sz w:val="24"/>
          <w:szCs w:val="24"/>
        </w:rPr>
      </w:pPr>
      <w:r w:rsidRPr="008553F8">
        <w:rPr>
          <w:rFonts w:ascii="Times New Roman" w:hAnsi="Times New Roman" w:cs="Times New Roman"/>
          <w:b/>
          <w:sz w:val="24"/>
          <w:szCs w:val="24"/>
        </w:rPr>
        <w:t>12.</w:t>
      </w:r>
      <w:r w:rsidRPr="008553F8">
        <w:rPr>
          <w:rFonts w:ascii="Times New Roman" w:hAnsi="Times New Roman" w:cs="Times New Roman"/>
          <w:b/>
          <w:sz w:val="24"/>
          <w:szCs w:val="24"/>
        </w:rPr>
        <w:tab/>
        <w:t xml:space="preserve">Provide estimates of the hour burden of the collection of information. The statement should: </w:t>
      </w:r>
    </w:p>
    <w:p w:rsidR="00966D88" w:rsidRPr="008553F8" w14:paraId="70AE4EA8" w14:textId="77777777">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66D88" w:rsidRPr="008553F8" w14:paraId="6A0C6D5A" w14:textId="77777777">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 xml:space="preserve">If this request for approval covers more than one form, provide separate hour burden estimates for each form and aggregate the hour burdens in Item 13. </w:t>
      </w:r>
    </w:p>
    <w:p w:rsidR="00966D88" w:rsidRPr="008553F8" w14:paraId="79CC0C4E" w14:textId="5705D3EE">
      <w:pPr>
        <w:pStyle w:val="ListParagraph"/>
        <w:numPr>
          <w:ilvl w:val="0"/>
          <w:numId w:val="1"/>
        </w:numPr>
        <w:spacing w:after="0" w:line="240" w:lineRule="auto"/>
        <w:rPr>
          <w:rFonts w:ascii="Times New Roman" w:hAnsi="Times New Roman" w:cs="Times New Roman"/>
          <w:sz w:val="24"/>
          <w:szCs w:val="24"/>
        </w:rPr>
      </w:pPr>
      <w:r w:rsidRPr="008553F8">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p>
    <w:p w:rsidR="00DF5BFD" w:rsidRPr="008553F8" w:rsidP="00DF5BFD" w14:paraId="15A03006" w14:textId="3D5F127F">
      <w:pPr>
        <w:pStyle w:val="ListParagraph"/>
        <w:spacing w:after="0" w:line="240" w:lineRule="auto"/>
        <w:rPr>
          <w:rFonts w:ascii="Times New Roman" w:hAnsi="Times New Roman" w:cs="Times New Roman"/>
          <w:sz w:val="24"/>
          <w:szCs w:val="24"/>
        </w:rPr>
      </w:pPr>
    </w:p>
    <w:p w:rsidR="00DF5BFD" w:rsidRPr="008553F8" w:rsidP="00DF5BFD" w14:paraId="03557472" w14:textId="6CC8F533">
      <w:pPr>
        <w:pStyle w:val="ListParagraph"/>
        <w:spacing w:after="0" w:line="240" w:lineRule="auto"/>
        <w:rPr>
          <w:rFonts w:ascii="Times New Roman" w:hAnsi="Times New Roman" w:cs="Times New Roman"/>
          <w:sz w:val="24"/>
          <w:szCs w:val="24"/>
        </w:rPr>
      </w:pPr>
      <w:r w:rsidRPr="008553F8">
        <w:rPr>
          <w:rFonts w:ascii="Times New Roman" w:hAnsi="Times New Roman" w:cs="Times New Roman"/>
          <w:sz w:val="24"/>
          <w:szCs w:val="24"/>
        </w:rPr>
        <w:t xml:space="preserve">The average </w:t>
      </w:r>
      <w:r w:rsidRPr="008553F8" w:rsidR="00BC03DD">
        <w:rPr>
          <w:rFonts w:ascii="Times New Roman" w:hAnsi="Times New Roman" w:cs="Times New Roman"/>
          <w:sz w:val="24"/>
          <w:szCs w:val="24"/>
        </w:rPr>
        <w:t xml:space="preserve">annual </w:t>
      </w:r>
      <w:r w:rsidRPr="008553F8">
        <w:rPr>
          <w:rFonts w:ascii="Times New Roman" w:hAnsi="Times New Roman" w:cs="Times New Roman"/>
          <w:sz w:val="24"/>
          <w:szCs w:val="24"/>
        </w:rPr>
        <w:t xml:space="preserve">number of respondents </w:t>
      </w:r>
      <w:r w:rsidR="00E26736">
        <w:rPr>
          <w:rFonts w:ascii="Times New Roman" w:hAnsi="Times New Roman" w:cs="Times New Roman"/>
          <w:sz w:val="24"/>
          <w:szCs w:val="24"/>
        </w:rPr>
        <w:t xml:space="preserve">has been calculated so that all tribes will be audited on a triennial cycle in accordance with the </w:t>
      </w:r>
      <w:r w:rsidRPr="008553F8">
        <w:rPr>
          <w:rFonts w:ascii="Times New Roman" w:eastAsia="Calibri" w:hAnsi="Times New Roman" w:cs="Times New Roman"/>
          <w:sz w:val="24"/>
          <w:szCs w:val="24"/>
        </w:rPr>
        <w:t>CJIS</w:t>
      </w:r>
      <w:r w:rsidR="00D13A59">
        <w:rPr>
          <w:rFonts w:ascii="Times New Roman" w:eastAsia="Calibri" w:hAnsi="Times New Roman" w:cs="Times New Roman"/>
          <w:sz w:val="24"/>
          <w:szCs w:val="24"/>
        </w:rPr>
        <w:t xml:space="preserve"> Security Policy</w:t>
      </w:r>
      <w:r w:rsidR="00E26736">
        <w:rPr>
          <w:rFonts w:ascii="Times New Roman" w:eastAsia="Calibri" w:hAnsi="Times New Roman" w:cs="Times New Roman"/>
          <w:sz w:val="24"/>
          <w:szCs w:val="24"/>
        </w:rPr>
        <w:t>.</w:t>
      </w:r>
      <w:r w:rsidRPr="008553F8">
        <w:rPr>
          <w:rFonts w:ascii="Times New Roman" w:eastAsia="Calibri" w:hAnsi="Times New Roman" w:cs="Times New Roman"/>
          <w:sz w:val="24"/>
          <w:szCs w:val="24"/>
        </w:rPr>
        <w:t xml:space="preserve"> </w:t>
      </w:r>
      <w:r w:rsidRPr="008553F8">
        <w:rPr>
          <w:rFonts w:ascii="Times New Roman" w:hAnsi="Times New Roman" w:cs="Times New Roman"/>
          <w:sz w:val="24"/>
          <w:szCs w:val="24"/>
        </w:rPr>
        <w:t xml:space="preserve">Average hours per response </w:t>
      </w:r>
      <w:r w:rsidR="00E26736">
        <w:rPr>
          <w:rFonts w:ascii="Times New Roman" w:hAnsi="Times New Roman" w:cs="Times New Roman"/>
          <w:sz w:val="24"/>
          <w:szCs w:val="24"/>
        </w:rPr>
        <w:t xml:space="preserve">and wage costs were </w:t>
      </w:r>
      <w:r w:rsidRPr="008553F8" w:rsidR="00BC03DD">
        <w:rPr>
          <w:rFonts w:ascii="Times New Roman" w:hAnsi="Times New Roman" w:cs="Times New Roman"/>
          <w:sz w:val="24"/>
          <w:szCs w:val="24"/>
        </w:rPr>
        <w:t xml:space="preserve">determined after an </w:t>
      </w:r>
      <w:r w:rsidR="00E26736">
        <w:rPr>
          <w:rFonts w:ascii="Times New Roman" w:hAnsi="Times New Roman" w:cs="Times New Roman"/>
          <w:sz w:val="24"/>
          <w:szCs w:val="24"/>
        </w:rPr>
        <w:t xml:space="preserve">internal </w:t>
      </w:r>
      <w:r w:rsidRPr="008553F8" w:rsidR="00BC03DD">
        <w:rPr>
          <w:rFonts w:ascii="Times New Roman" w:hAnsi="Times New Roman" w:cs="Times New Roman"/>
          <w:sz w:val="24"/>
          <w:szCs w:val="24"/>
        </w:rPr>
        <w:t xml:space="preserve">analysis </w:t>
      </w:r>
      <w:r w:rsidR="00E26736">
        <w:rPr>
          <w:rFonts w:ascii="Times New Roman" w:hAnsi="Times New Roman" w:cs="Times New Roman"/>
          <w:sz w:val="24"/>
          <w:szCs w:val="24"/>
        </w:rPr>
        <w:t xml:space="preserve">by </w:t>
      </w:r>
      <w:r w:rsidRPr="008553F8" w:rsidR="00BC03DD">
        <w:rPr>
          <w:rFonts w:ascii="Times New Roman" w:hAnsi="Times New Roman" w:cs="Times New Roman"/>
          <w:sz w:val="24"/>
          <w:szCs w:val="24"/>
        </w:rPr>
        <w:t xml:space="preserve">NIGC CAU </w:t>
      </w:r>
      <w:r w:rsidR="00E26736">
        <w:rPr>
          <w:rFonts w:ascii="Times New Roman" w:hAnsi="Times New Roman" w:cs="Times New Roman"/>
          <w:sz w:val="24"/>
          <w:szCs w:val="24"/>
        </w:rPr>
        <w:t xml:space="preserve">subject matter experts and in conjunction with tribal consultation. </w:t>
      </w:r>
      <w:r w:rsidRPr="008553F8">
        <w:rPr>
          <w:rFonts w:ascii="Times New Roman" w:hAnsi="Times New Roman" w:cs="Times New Roman"/>
          <w:sz w:val="24"/>
          <w:szCs w:val="24"/>
        </w:rPr>
        <w:t>To</w:t>
      </w:r>
      <w:r w:rsidRPr="008553F8" w:rsidR="00077F5F">
        <w:rPr>
          <w:rFonts w:ascii="Times New Roman" w:hAnsi="Times New Roman" w:cs="Times New Roman"/>
          <w:sz w:val="24"/>
          <w:szCs w:val="24"/>
        </w:rPr>
        <w:t xml:space="preserve">tal annual hours </w:t>
      </w:r>
      <w:r w:rsidR="00E26736">
        <w:rPr>
          <w:rFonts w:ascii="Times New Roman" w:hAnsi="Times New Roman" w:cs="Times New Roman"/>
          <w:sz w:val="24"/>
          <w:szCs w:val="24"/>
        </w:rPr>
        <w:t xml:space="preserve">is the result of </w:t>
      </w:r>
      <w:r w:rsidRPr="008553F8">
        <w:rPr>
          <w:rFonts w:ascii="Times New Roman" w:hAnsi="Times New Roman" w:cs="Times New Roman"/>
          <w:sz w:val="24"/>
          <w:szCs w:val="24"/>
        </w:rPr>
        <w:t xml:space="preserve">the number of responses </w:t>
      </w:r>
      <w:r w:rsidR="00E26736">
        <w:rPr>
          <w:rFonts w:ascii="Times New Roman" w:hAnsi="Times New Roman" w:cs="Times New Roman"/>
          <w:sz w:val="24"/>
          <w:szCs w:val="24"/>
        </w:rPr>
        <w:t xml:space="preserve">multiplied </w:t>
      </w:r>
      <w:r w:rsidRPr="008553F8">
        <w:rPr>
          <w:rFonts w:ascii="Times New Roman" w:hAnsi="Times New Roman" w:cs="Times New Roman"/>
          <w:sz w:val="24"/>
          <w:szCs w:val="24"/>
        </w:rPr>
        <w:t xml:space="preserve">by the average hours per response.  Total annual wage costs </w:t>
      </w:r>
      <w:r w:rsidR="00E26736">
        <w:rPr>
          <w:rFonts w:ascii="Times New Roman" w:hAnsi="Times New Roman" w:cs="Times New Roman"/>
          <w:sz w:val="24"/>
          <w:szCs w:val="24"/>
        </w:rPr>
        <w:t xml:space="preserve">is the result of the </w:t>
      </w:r>
      <w:r w:rsidRPr="008553F8">
        <w:rPr>
          <w:rFonts w:ascii="Times New Roman" w:hAnsi="Times New Roman" w:cs="Times New Roman"/>
          <w:sz w:val="24"/>
          <w:szCs w:val="24"/>
        </w:rPr>
        <w:t xml:space="preserve">number of responses </w:t>
      </w:r>
      <w:r w:rsidR="00E26736">
        <w:rPr>
          <w:rFonts w:ascii="Times New Roman" w:hAnsi="Times New Roman" w:cs="Times New Roman"/>
          <w:sz w:val="24"/>
          <w:szCs w:val="24"/>
        </w:rPr>
        <w:t xml:space="preserve">multiplied </w:t>
      </w:r>
      <w:r w:rsidRPr="008553F8">
        <w:rPr>
          <w:rFonts w:ascii="Times New Roman" w:hAnsi="Times New Roman" w:cs="Times New Roman"/>
          <w:sz w:val="24"/>
          <w:szCs w:val="24"/>
        </w:rPr>
        <w:t>by the average wage cost per response.</w:t>
      </w:r>
    </w:p>
    <w:p w:rsidR="009B7765" w:rsidRPr="008553F8" w14:paraId="0018532E" w14:textId="77777777">
      <w:pPr>
        <w:pStyle w:val="Default"/>
        <w:tabs>
          <w:tab w:val="left" w:pos="378"/>
        </w:tabs>
        <w:jc w:val="center"/>
        <w:rPr>
          <w:b/>
          <w:bCs/>
          <w:u w:val="single"/>
        </w:rPr>
      </w:pPr>
    </w:p>
    <w:p w:rsidR="00966D88" w:rsidRPr="008553F8" w14:paraId="56B4FEE1" w14:textId="4E111325">
      <w:pPr>
        <w:pStyle w:val="Default"/>
        <w:tabs>
          <w:tab w:val="left" w:pos="378"/>
        </w:tabs>
        <w:jc w:val="center"/>
      </w:pPr>
      <w:r w:rsidRPr="008553F8">
        <w:rPr>
          <w:b/>
          <w:bCs/>
          <w:u w:val="single"/>
        </w:rPr>
        <w:t>ESTIMATED ANNUAL HOURLY BURDEN TOTALS</w:t>
      </w:r>
    </w:p>
    <w:p w:rsidR="00966D88" w:rsidRPr="008553F8" w14:paraId="78A2DE05" w14:textId="77777777">
      <w:pPr>
        <w:pStyle w:val="Default"/>
      </w:pPr>
    </w:p>
    <w:tbl>
      <w:tblPr>
        <w:tblW w:w="945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60"/>
        <w:gridCol w:w="1340"/>
        <w:gridCol w:w="1170"/>
        <w:gridCol w:w="1080"/>
        <w:gridCol w:w="990"/>
        <w:gridCol w:w="1180"/>
        <w:gridCol w:w="1080"/>
        <w:gridCol w:w="1350"/>
      </w:tblGrid>
      <w:tr w14:paraId="37D428D4" w14:textId="77777777">
        <w:tblPrEx>
          <w:tblW w:w="945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745"/>
        </w:trPr>
        <w:tc>
          <w:tcPr>
            <w:tcW w:w="1260" w:type="dxa"/>
            <w:shd w:val="clear" w:color="000000" w:fill="BFBFBF" w:themeFill="background1" w:themeFillShade="BF"/>
            <w:hideMark/>
          </w:tcPr>
          <w:p w:rsidR="00966D88" w:rsidRPr="008553F8" w14:paraId="1B2C4F51" w14:textId="77777777">
            <w:pPr>
              <w:spacing w:before="60" w:after="60"/>
              <w:ind w:left="-93" w:right="-108"/>
              <w:jc w:val="center"/>
              <w:rPr>
                <w:rFonts w:ascii="Times New Roman" w:eastAsia="Times New Roman" w:hAnsi="Times New Roman" w:cs="Times New Roman"/>
                <w:b/>
                <w:bCs/>
                <w:color w:val="000000"/>
                <w:sz w:val="24"/>
                <w:szCs w:val="24"/>
              </w:rPr>
            </w:pPr>
            <w:r w:rsidRPr="008553F8">
              <w:rPr>
                <w:rFonts w:ascii="Times New Roman" w:eastAsia="Times New Roman" w:hAnsi="Times New Roman" w:cs="Times New Roman"/>
                <w:b/>
                <w:bCs/>
                <w:color w:val="000000"/>
                <w:sz w:val="24"/>
                <w:szCs w:val="24"/>
              </w:rPr>
              <w:t>CFR CITE/ COLLECTION</w:t>
            </w:r>
          </w:p>
        </w:tc>
        <w:tc>
          <w:tcPr>
            <w:tcW w:w="1340" w:type="dxa"/>
            <w:shd w:val="clear" w:color="000000" w:fill="BFBFBF" w:themeFill="background1" w:themeFillShade="BF"/>
            <w:hideMark/>
          </w:tcPr>
          <w:p w:rsidR="00966D88" w:rsidRPr="008553F8" w14:paraId="0DEBA6AD"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NUMBER OF ANNUAL RESPONDENTS</w:t>
            </w:r>
          </w:p>
        </w:tc>
        <w:tc>
          <w:tcPr>
            <w:tcW w:w="1170" w:type="dxa"/>
            <w:shd w:val="clear" w:color="000000" w:fill="BFBFBF" w:themeFill="background1" w:themeFillShade="BF"/>
            <w:hideMark/>
          </w:tcPr>
          <w:p w:rsidR="00966D88" w:rsidRPr="008553F8" w14:paraId="246602EE"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FREQUENCY OF RESPONSES PER YEAR</w:t>
            </w:r>
          </w:p>
        </w:tc>
        <w:tc>
          <w:tcPr>
            <w:tcW w:w="1080" w:type="dxa"/>
            <w:shd w:val="clear" w:color="000000" w:fill="BFBFBF" w:themeFill="background1" w:themeFillShade="BF"/>
            <w:hideMark/>
          </w:tcPr>
          <w:p w:rsidR="00966D88" w:rsidRPr="008553F8" w14:paraId="788B3442"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 ANNUAL RESPONSES</w:t>
            </w:r>
          </w:p>
        </w:tc>
        <w:tc>
          <w:tcPr>
            <w:tcW w:w="990" w:type="dxa"/>
            <w:shd w:val="clear" w:color="000000" w:fill="BFBFBF" w:themeFill="background1" w:themeFillShade="BF"/>
            <w:hideMark/>
          </w:tcPr>
          <w:p w:rsidR="00966D88" w:rsidRPr="008553F8" w14:paraId="0F60B2FA"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AVERAGE HOURS  PER RESPONSE</w:t>
            </w:r>
          </w:p>
        </w:tc>
        <w:tc>
          <w:tcPr>
            <w:tcW w:w="1180" w:type="dxa"/>
            <w:shd w:val="clear" w:color="000000" w:fill="BFBFBF" w:themeFill="background1" w:themeFillShade="BF"/>
          </w:tcPr>
          <w:p w:rsidR="00966D88" w:rsidRPr="008553F8" w14:paraId="0BBEE2FC" w14:textId="77777777">
            <w:pPr>
              <w:spacing w:before="60"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AVERAGE (WAGE) COST PER REPONSE</w:t>
            </w:r>
          </w:p>
        </w:tc>
        <w:tc>
          <w:tcPr>
            <w:tcW w:w="1080" w:type="dxa"/>
            <w:shd w:val="clear" w:color="000000" w:fill="BFBFBF" w:themeFill="background1" w:themeFillShade="BF"/>
            <w:hideMark/>
          </w:tcPr>
          <w:p w:rsidR="00966D88" w:rsidRPr="008553F8" w14:paraId="35169FEF" w14:textId="77777777">
            <w:pPr>
              <w:spacing w:before="60"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 ANNUAL HOURS</w:t>
            </w:r>
          </w:p>
        </w:tc>
        <w:tc>
          <w:tcPr>
            <w:tcW w:w="1350" w:type="dxa"/>
            <w:shd w:val="clear" w:color="000000" w:fill="BFBFBF" w:themeFill="background1" w:themeFillShade="BF"/>
          </w:tcPr>
          <w:p w:rsidR="00966D88" w:rsidRPr="008553F8" w14:paraId="40026B1E" w14:textId="77777777">
            <w:pPr>
              <w:spacing w:before="60"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 (WAGE) COST</w:t>
            </w:r>
          </w:p>
        </w:tc>
      </w:tr>
      <w:tr w14:paraId="4B6E6B51" w14:textId="77777777">
        <w:tblPrEx>
          <w:tblW w:w="9450" w:type="dxa"/>
          <w:tblInd w:w="-100" w:type="dxa"/>
          <w:tblLayout w:type="fixed"/>
          <w:tblLook w:val="04A0"/>
        </w:tblPrEx>
        <w:trPr>
          <w:trHeight w:val="330"/>
        </w:trPr>
        <w:tc>
          <w:tcPr>
            <w:tcW w:w="1260" w:type="dxa"/>
            <w:shd w:val="clear" w:color="auto" w:fill="auto"/>
            <w:hideMark/>
          </w:tcPr>
          <w:p w:rsidR="00966D88" w:rsidRPr="008553F8" w14:paraId="612F1911" w14:textId="3070E310">
            <w:pPr>
              <w:spacing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NGI</w:t>
            </w:r>
          </w:p>
        </w:tc>
        <w:tc>
          <w:tcPr>
            <w:tcW w:w="1340" w:type="dxa"/>
            <w:shd w:val="clear" w:color="auto" w:fill="auto"/>
            <w:hideMark/>
          </w:tcPr>
          <w:p w:rsidR="00966D88" w:rsidRPr="008553F8" w:rsidP="00404EB4" w14:paraId="66E18906" w14:textId="0D3965D1">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70</w:t>
            </w:r>
          </w:p>
        </w:tc>
        <w:tc>
          <w:tcPr>
            <w:tcW w:w="1170" w:type="dxa"/>
            <w:shd w:val="clear" w:color="auto" w:fill="auto"/>
            <w:hideMark/>
          </w:tcPr>
          <w:p w:rsidR="00966D88" w:rsidRPr="008553F8" w:rsidP="00404EB4" w14:paraId="7552A1F0" w14:textId="13682039">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1</w:t>
            </w:r>
          </w:p>
        </w:tc>
        <w:tc>
          <w:tcPr>
            <w:tcW w:w="1080" w:type="dxa"/>
            <w:shd w:val="clear" w:color="auto" w:fill="auto"/>
            <w:hideMark/>
          </w:tcPr>
          <w:p w:rsidR="00966D88" w:rsidRPr="008553F8" w:rsidP="00404EB4" w14:paraId="7E1B7091" w14:textId="4C18135B">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70</w:t>
            </w:r>
          </w:p>
        </w:tc>
        <w:tc>
          <w:tcPr>
            <w:tcW w:w="990" w:type="dxa"/>
            <w:shd w:val="clear" w:color="auto" w:fill="auto"/>
            <w:hideMark/>
          </w:tcPr>
          <w:p w:rsidR="00966D88" w:rsidRPr="008553F8" w:rsidP="00CB4947" w14:paraId="7DBA5898" w14:textId="25FDAB03">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180" w:type="dxa"/>
          </w:tcPr>
          <w:p w:rsidR="00966D88" w:rsidRPr="008553F8" w:rsidP="00DB0B88" w14:paraId="70E5AB0A" w14:textId="00DCE86C">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w:t>
            </w:r>
            <w:r w:rsidR="00DB0B88">
              <w:rPr>
                <w:rFonts w:ascii="Times New Roman" w:eastAsia="Times New Roman" w:hAnsi="Times New Roman" w:cs="Times New Roman"/>
                <w:color w:val="000000" w:themeColor="text1"/>
                <w:sz w:val="24"/>
                <w:szCs w:val="24"/>
              </w:rPr>
              <w:t>36.25</w:t>
            </w:r>
          </w:p>
        </w:tc>
        <w:tc>
          <w:tcPr>
            <w:tcW w:w="1080" w:type="dxa"/>
            <w:shd w:val="clear" w:color="auto" w:fill="auto"/>
            <w:hideMark/>
          </w:tcPr>
          <w:p w:rsidR="00966D88" w:rsidRPr="008553F8" w:rsidP="00404EB4" w14:paraId="35DF8729" w14:textId="0A837A73">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p>
        </w:tc>
        <w:tc>
          <w:tcPr>
            <w:tcW w:w="1350" w:type="dxa"/>
          </w:tcPr>
          <w:p w:rsidR="00966D88" w:rsidRPr="008553F8" w:rsidP="00DB0B88" w14:paraId="5B50F25B" w14:textId="17E71C95">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w:t>
            </w:r>
            <w:r w:rsidR="00DB0B88">
              <w:rPr>
                <w:rFonts w:ascii="Times New Roman" w:eastAsia="Times New Roman" w:hAnsi="Times New Roman" w:cs="Times New Roman"/>
                <w:color w:val="000000" w:themeColor="text1"/>
                <w:sz w:val="24"/>
                <w:szCs w:val="24"/>
              </w:rPr>
              <w:t>1,353</w:t>
            </w:r>
          </w:p>
        </w:tc>
      </w:tr>
      <w:tr w14:paraId="22294308" w14:textId="77777777">
        <w:tblPrEx>
          <w:tblW w:w="9450" w:type="dxa"/>
          <w:tblInd w:w="-100" w:type="dxa"/>
          <w:tblLayout w:type="fixed"/>
          <w:tblLook w:val="04A0"/>
        </w:tblPrEx>
        <w:trPr>
          <w:trHeight w:val="330"/>
        </w:trPr>
        <w:tc>
          <w:tcPr>
            <w:tcW w:w="1260" w:type="dxa"/>
            <w:shd w:val="clear" w:color="auto" w:fill="auto"/>
            <w:hideMark/>
          </w:tcPr>
          <w:p w:rsidR="00966D88" w:rsidRPr="008553F8" w14:paraId="6617EF98" w14:textId="336B2027">
            <w:pPr>
              <w:spacing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NCJITS</w:t>
            </w:r>
          </w:p>
        </w:tc>
        <w:tc>
          <w:tcPr>
            <w:tcW w:w="1340" w:type="dxa"/>
            <w:shd w:val="clear" w:color="auto" w:fill="auto"/>
            <w:hideMark/>
          </w:tcPr>
          <w:p w:rsidR="00966D88" w:rsidRPr="008553F8" w:rsidP="00404EB4" w14:paraId="3F4F8D02" w14:textId="1E8DA9B2">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70</w:t>
            </w:r>
          </w:p>
        </w:tc>
        <w:tc>
          <w:tcPr>
            <w:tcW w:w="1170" w:type="dxa"/>
            <w:shd w:val="clear" w:color="auto" w:fill="auto"/>
            <w:hideMark/>
          </w:tcPr>
          <w:p w:rsidR="00966D88" w:rsidRPr="008553F8" w:rsidP="00404EB4" w14:paraId="69E16A0E" w14:textId="1CA8DF29">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1</w:t>
            </w:r>
          </w:p>
        </w:tc>
        <w:tc>
          <w:tcPr>
            <w:tcW w:w="1080" w:type="dxa"/>
            <w:shd w:val="clear" w:color="auto" w:fill="auto"/>
            <w:hideMark/>
          </w:tcPr>
          <w:p w:rsidR="00966D88" w:rsidRPr="008553F8" w:rsidP="00404EB4" w14:paraId="07AE7D3F" w14:textId="13218BDE">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70</w:t>
            </w:r>
          </w:p>
        </w:tc>
        <w:tc>
          <w:tcPr>
            <w:tcW w:w="990" w:type="dxa"/>
            <w:shd w:val="clear" w:color="auto" w:fill="auto"/>
            <w:hideMark/>
          </w:tcPr>
          <w:p w:rsidR="00966D88" w:rsidRPr="008553F8" w:rsidP="00CB4947" w14:paraId="4C078B6A" w14:textId="024268C8">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w:t>
            </w:r>
          </w:p>
        </w:tc>
        <w:tc>
          <w:tcPr>
            <w:tcW w:w="1180" w:type="dxa"/>
          </w:tcPr>
          <w:p w:rsidR="00966D88" w:rsidRPr="008553F8" w:rsidP="00DB0B88" w14:paraId="587C3DD1" w14:textId="7316C6D2">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w:t>
            </w:r>
            <w:r w:rsidR="00DB0B88">
              <w:rPr>
                <w:rFonts w:ascii="Times New Roman" w:eastAsia="Times New Roman" w:hAnsi="Times New Roman" w:cs="Times New Roman"/>
                <w:color w:val="000000" w:themeColor="text1"/>
                <w:sz w:val="24"/>
                <w:szCs w:val="24"/>
              </w:rPr>
              <w:t>36.25</w:t>
            </w:r>
          </w:p>
        </w:tc>
        <w:tc>
          <w:tcPr>
            <w:tcW w:w="1080" w:type="dxa"/>
            <w:shd w:val="clear" w:color="auto" w:fill="auto"/>
            <w:hideMark/>
          </w:tcPr>
          <w:p w:rsidR="00966D88" w:rsidRPr="008553F8" w:rsidP="00404EB4" w14:paraId="315C72BD" w14:textId="18500834">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52.5</w:t>
            </w:r>
          </w:p>
        </w:tc>
        <w:tc>
          <w:tcPr>
            <w:tcW w:w="1350" w:type="dxa"/>
          </w:tcPr>
          <w:p w:rsidR="00966D88" w:rsidRPr="008553F8" w:rsidP="00DB0B88" w14:paraId="42AA8125" w14:textId="7A85C8C2">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w:t>
            </w:r>
            <w:r w:rsidR="00DB0B88">
              <w:rPr>
                <w:rFonts w:ascii="Times New Roman" w:eastAsia="Times New Roman" w:hAnsi="Times New Roman" w:cs="Times New Roman"/>
                <w:color w:val="000000" w:themeColor="text1"/>
                <w:sz w:val="24"/>
                <w:szCs w:val="24"/>
              </w:rPr>
              <w:t>1,945</w:t>
            </w:r>
          </w:p>
        </w:tc>
      </w:tr>
      <w:tr w14:paraId="4792D8A0" w14:textId="77777777">
        <w:tblPrEx>
          <w:tblW w:w="9450" w:type="dxa"/>
          <w:tblInd w:w="-100" w:type="dxa"/>
          <w:tblLayout w:type="fixed"/>
          <w:tblLook w:val="04A0"/>
        </w:tblPrEx>
        <w:trPr>
          <w:trHeight w:val="330"/>
        </w:trPr>
        <w:tc>
          <w:tcPr>
            <w:tcW w:w="1260" w:type="dxa"/>
            <w:shd w:val="clear" w:color="auto" w:fill="auto"/>
            <w:hideMark/>
          </w:tcPr>
          <w:p w:rsidR="00966D88" w:rsidRPr="008553F8" w14:paraId="23FD5489" w14:textId="101C7726">
            <w:pPr>
              <w:spacing w:after="60"/>
              <w:jc w:val="center"/>
              <w:rPr>
                <w:rFonts w:ascii="Times New Roman" w:eastAsia="Times New Roman" w:hAnsi="Times New Roman" w:cs="Times New Roman"/>
                <w:b/>
                <w:bCs/>
                <w:sz w:val="24"/>
                <w:szCs w:val="24"/>
              </w:rPr>
            </w:pPr>
          </w:p>
        </w:tc>
        <w:tc>
          <w:tcPr>
            <w:tcW w:w="1340" w:type="dxa"/>
            <w:shd w:val="clear" w:color="auto" w:fill="auto"/>
            <w:hideMark/>
          </w:tcPr>
          <w:p w:rsidR="00966D88" w:rsidRPr="008553F8" w:rsidP="00404EB4" w14:paraId="48A0E250" w14:textId="22088270">
            <w:pPr>
              <w:spacing w:after="60"/>
              <w:jc w:val="center"/>
              <w:rPr>
                <w:rFonts w:ascii="Times New Roman" w:eastAsia="Times New Roman" w:hAnsi="Times New Roman" w:cs="Times New Roman"/>
                <w:color w:val="000000" w:themeColor="text1"/>
                <w:sz w:val="24"/>
                <w:szCs w:val="24"/>
              </w:rPr>
            </w:pPr>
          </w:p>
        </w:tc>
        <w:tc>
          <w:tcPr>
            <w:tcW w:w="1170" w:type="dxa"/>
            <w:shd w:val="clear" w:color="auto" w:fill="auto"/>
            <w:hideMark/>
          </w:tcPr>
          <w:p w:rsidR="00966D88" w:rsidRPr="008553F8" w:rsidP="00404EB4" w14:paraId="5F16E908" w14:textId="0619B6E8">
            <w:pPr>
              <w:spacing w:after="60"/>
              <w:jc w:val="center"/>
              <w:rPr>
                <w:rFonts w:ascii="Times New Roman" w:eastAsia="Times New Roman" w:hAnsi="Times New Roman" w:cs="Times New Roman"/>
                <w:color w:val="000000" w:themeColor="text1"/>
                <w:sz w:val="24"/>
                <w:szCs w:val="24"/>
              </w:rPr>
            </w:pPr>
          </w:p>
        </w:tc>
        <w:tc>
          <w:tcPr>
            <w:tcW w:w="1080" w:type="dxa"/>
            <w:shd w:val="clear" w:color="auto" w:fill="auto"/>
            <w:hideMark/>
          </w:tcPr>
          <w:p w:rsidR="00966D88" w:rsidRPr="008553F8" w:rsidP="00404EB4" w14:paraId="0CF6CD2C" w14:textId="1E5EF889">
            <w:pPr>
              <w:spacing w:after="60"/>
              <w:jc w:val="center"/>
              <w:rPr>
                <w:rFonts w:ascii="Times New Roman" w:eastAsia="Times New Roman" w:hAnsi="Times New Roman" w:cs="Times New Roman"/>
                <w:color w:val="000000" w:themeColor="text1"/>
                <w:sz w:val="24"/>
                <w:szCs w:val="24"/>
              </w:rPr>
            </w:pPr>
          </w:p>
        </w:tc>
        <w:tc>
          <w:tcPr>
            <w:tcW w:w="990" w:type="dxa"/>
            <w:shd w:val="clear" w:color="auto" w:fill="auto"/>
            <w:hideMark/>
          </w:tcPr>
          <w:p w:rsidR="00966D88" w:rsidRPr="008553F8" w:rsidP="00404EB4" w14:paraId="7329CEB9" w14:textId="3EB90BC6">
            <w:pPr>
              <w:spacing w:after="60"/>
              <w:jc w:val="center"/>
              <w:rPr>
                <w:rFonts w:ascii="Times New Roman" w:eastAsia="Times New Roman" w:hAnsi="Times New Roman" w:cs="Times New Roman"/>
                <w:color w:val="000000" w:themeColor="text1"/>
                <w:sz w:val="24"/>
                <w:szCs w:val="24"/>
              </w:rPr>
            </w:pPr>
          </w:p>
        </w:tc>
        <w:tc>
          <w:tcPr>
            <w:tcW w:w="1180" w:type="dxa"/>
          </w:tcPr>
          <w:p w:rsidR="00966D88" w:rsidRPr="008553F8" w:rsidP="00404EB4" w14:paraId="25EC82D3" w14:textId="13719CC1">
            <w:pPr>
              <w:spacing w:after="60"/>
              <w:jc w:val="center"/>
              <w:rPr>
                <w:rFonts w:ascii="Times New Roman" w:eastAsia="Times New Roman" w:hAnsi="Times New Roman" w:cs="Times New Roman"/>
                <w:color w:val="000000" w:themeColor="text1"/>
                <w:sz w:val="24"/>
                <w:szCs w:val="24"/>
              </w:rPr>
            </w:pPr>
          </w:p>
        </w:tc>
        <w:tc>
          <w:tcPr>
            <w:tcW w:w="1080" w:type="dxa"/>
            <w:shd w:val="clear" w:color="auto" w:fill="auto"/>
            <w:hideMark/>
          </w:tcPr>
          <w:p w:rsidR="00966D88" w:rsidRPr="008553F8" w:rsidP="00404EB4" w14:paraId="7D63969D" w14:textId="677B32A9">
            <w:pPr>
              <w:spacing w:after="60"/>
              <w:jc w:val="center"/>
              <w:rPr>
                <w:rFonts w:ascii="Times New Roman" w:eastAsia="Times New Roman" w:hAnsi="Times New Roman" w:cs="Times New Roman"/>
                <w:color w:val="000000" w:themeColor="text1"/>
                <w:sz w:val="24"/>
                <w:szCs w:val="24"/>
              </w:rPr>
            </w:pPr>
          </w:p>
        </w:tc>
        <w:tc>
          <w:tcPr>
            <w:tcW w:w="1350" w:type="dxa"/>
          </w:tcPr>
          <w:p w:rsidR="00966D88" w:rsidRPr="008553F8" w:rsidP="00404EB4" w14:paraId="70960D8D" w14:textId="04A3925B">
            <w:pPr>
              <w:spacing w:after="60"/>
              <w:jc w:val="center"/>
              <w:rPr>
                <w:rFonts w:ascii="Times New Roman" w:eastAsia="Times New Roman" w:hAnsi="Times New Roman" w:cs="Times New Roman"/>
                <w:color w:val="000000" w:themeColor="text1"/>
                <w:sz w:val="24"/>
                <w:szCs w:val="24"/>
              </w:rPr>
            </w:pPr>
          </w:p>
        </w:tc>
      </w:tr>
      <w:tr w14:paraId="07B46E4A" w14:textId="77777777">
        <w:tblPrEx>
          <w:tblW w:w="9450" w:type="dxa"/>
          <w:tblInd w:w="-100" w:type="dxa"/>
          <w:tblLayout w:type="fixed"/>
          <w:tblLook w:val="04A0"/>
        </w:tblPrEx>
        <w:trPr>
          <w:trHeight w:val="315"/>
        </w:trPr>
        <w:tc>
          <w:tcPr>
            <w:tcW w:w="1260" w:type="dxa"/>
            <w:shd w:val="clear" w:color="000000" w:fill="C0C0C0"/>
            <w:hideMark/>
          </w:tcPr>
          <w:p w:rsidR="00966D88" w:rsidRPr="008553F8" w14:paraId="678D5C72" w14:textId="77777777">
            <w:pPr>
              <w:spacing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w:t>
            </w:r>
          </w:p>
        </w:tc>
        <w:tc>
          <w:tcPr>
            <w:tcW w:w="1340" w:type="dxa"/>
            <w:shd w:val="clear" w:color="000000" w:fill="C0C0C0"/>
            <w:hideMark/>
          </w:tcPr>
          <w:p w:rsidR="00966D88" w:rsidRPr="008553F8" w14:paraId="352077F4" w14:textId="3EA6B043">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140</w:t>
            </w:r>
          </w:p>
        </w:tc>
        <w:tc>
          <w:tcPr>
            <w:tcW w:w="1170" w:type="dxa"/>
            <w:shd w:val="clear" w:color="000000" w:fill="C0C0C0"/>
            <w:hideMark/>
          </w:tcPr>
          <w:p w:rsidR="00966D88" w:rsidRPr="008553F8" w14:paraId="39A68CC1" w14:textId="77777777">
            <w:pPr>
              <w:spacing w:after="60"/>
              <w:jc w:val="center"/>
              <w:rPr>
                <w:rFonts w:ascii="Times New Roman" w:eastAsia="Times New Roman" w:hAnsi="Times New Roman" w:cs="Times New Roman"/>
                <w:color w:val="000000" w:themeColor="text1"/>
                <w:sz w:val="24"/>
                <w:szCs w:val="24"/>
              </w:rPr>
            </w:pPr>
          </w:p>
        </w:tc>
        <w:tc>
          <w:tcPr>
            <w:tcW w:w="1080" w:type="dxa"/>
            <w:shd w:val="clear" w:color="000000" w:fill="C0C0C0"/>
            <w:hideMark/>
          </w:tcPr>
          <w:p w:rsidR="00966D88" w:rsidRPr="008553F8" w14:paraId="45729C08" w14:textId="6B508E31">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140</w:t>
            </w:r>
          </w:p>
        </w:tc>
        <w:tc>
          <w:tcPr>
            <w:tcW w:w="990" w:type="dxa"/>
            <w:shd w:val="clear" w:color="000000" w:fill="C0C0C0"/>
            <w:hideMark/>
          </w:tcPr>
          <w:p w:rsidR="00966D88" w:rsidRPr="008553F8" w:rsidP="00934F16" w14:paraId="58D8C987" w14:textId="6D8599F9">
            <w:pPr>
              <w:spacing w:after="60"/>
              <w:jc w:val="center"/>
              <w:rPr>
                <w:rFonts w:ascii="Times New Roman" w:eastAsia="Times New Roman" w:hAnsi="Times New Roman" w:cs="Times New Roman"/>
                <w:b/>
                <w:color w:val="000000" w:themeColor="text1"/>
                <w:sz w:val="24"/>
                <w:szCs w:val="24"/>
              </w:rPr>
            </w:pPr>
          </w:p>
        </w:tc>
        <w:tc>
          <w:tcPr>
            <w:tcW w:w="1180" w:type="dxa"/>
            <w:shd w:val="clear" w:color="000000" w:fill="C0C0C0"/>
          </w:tcPr>
          <w:p w:rsidR="00966D88" w:rsidRPr="008553F8" w14:paraId="0FB82C18" w14:textId="77777777">
            <w:pPr>
              <w:spacing w:after="60"/>
              <w:ind w:left="-108" w:right="-18"/>
              <w:jc w:val="center"/>
              <w:rPr>
                <w:rFonts w:ascii="Times New Roman" w:eastAsia="Times New Roman" w:hAnsi="Times New Roman" w:cs="Times New Roman"/>
                <w:color w:val="000000" w:themeColor="text1"/>
                <w:sz w:val="24"/>
                <w:szCs w:val="24"/>
              </w:rPr>
            </w:pPr>
          </w:p>
        </w:tc>
        <w:tc>
          <w:tcPr>
            <w:tcW w:w="1080" w:type="dxa"/>
            <w:shd w:val="clear" w:color="000000" w:fill="C0C0C0"/>
            <w:hideMark/>
          </w:tcPr>
          <w:p w:rsidR="00966D88" w:rsidRPr="008553F8" w:rsidP="008325FC" w14:paraId="27804559" w14:textId="19C33F54">
            <w:pPr>
              <w:spacing w:after="60"/>
              <w:ind w:left="-108" w:right="-1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87.5</w:t>
            </w:r>
          </w:p>
        </w:tc>
        <w:tc>
          <w:tcPr>
            <w:tcW w:w="1350" w:type="dxa"/>
            <w:shd w:val="clear" w:color="000000" w:fill="C0C0C0"/>
          </w:tcPr>
          <w:p w:rsidR="00966D88" w:rsidRPr="008553F8" w:rsidP="00D8374D" w14:paraId="7EF13CBF" w14:textId="7973C1CB">
            <w:pPr>
              <w:spacing w:after="60"/>
              <w:ind w:right="-18"/>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w:t>
            </w:r>
            <w:r w:rsidR="00D8374D">
              <w:rPr>
                <w:rFonts w:ascii="Times New Roman" w:eastAsia="Times New Roman" w:hAnsi="Times New Roman" w:cs="Times New Roman"/>
                <w:color w:val="000000" w:themeColor="text1"/>
                <w:sz w:val="24"/>
                <w:szCs w:val="24"/>
              </w:rPr>
              <w:t>3,307</w:t>
            </w:r>
          </w:p>
        </w:tc>
      </w:tr>
    </w:tbl>
    <w:p w:rsidR="00966D88" w:rsidRPr="008553F8" w14:paraId="2FF7CCF3" w14:textId="77777777">
      <w:pPr>
        <w:pStyle w:val="Default"/>
        <w:tabs>
          <w:tab w:val="left" w:pos="378"/>
        </w:tabs>
      </w:pPr>
      <w:r w:rsidRPr="008553F8">
        <w:t xml:space="preserve"> </w:t>
      </w:r>
    </w:p>
    <w:p w:rsidR="00966D88" w:rsidRPr="008553F8" w14:paraId="507E455E" w14:textId="77777777">
      <w:pPr>
        <w:ind w:left="360" w:hanging="360"/>
        <w:rPr>
          <w:rFonts w:ascii="Times New Roman" w:hAnsi="Times New Roman" w:cs="Times New Roman"/>
          <w:b/>
          <w:sz w:val="24"/>
          <w:szCs w:val="24"/>
        </w:rPr>
      </w:pPr>
      <w:r w:rsidRPr="008553F8">
        <w:rPr>
          <w:rFonts w:ascii="Times New Roman" w:hAnsi="Times New Roman" w:cs="Times New Roman"/>
          <w:b/>
          <w:sz w:val="24"/>
          <w:szCs w:val="24"/>
        </w:rPr>
        <w:t>13.</w:t>
      </w:r>
      <w:r w:rsidRPr="008553F8">
        <w:rPr>
          <w:rFonts w:ascii="Times New Roman" w:hAnsi="Times New Roman" w:cs="Times New Roman"/>
          <w:b/>
          <w:sz w:val="24"/>
          <w:szCs w:val="24"/>
        </w:rPr>
        <w:tab/>
        <w:t xml:space="preserve">Provide an estimate for the total annual cost burden to respondents or recordkeepers resulting from the collection of information. (Do not include the cost of any hour burden shown in Items 12 and 14). </w:t>
      </w:r>
    </w:p>
    <w:p w:rsidR="00966D88" w:rsidRPr="008553F8" w14:paraId="1737FEBE" w14:textId="77777777">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66D88" w:rsidRPr="008553F8" w14:paraId="5A347F76" w14:textId="77777777">
      <w:pPr>
        <w:pStyle w:val="ListParagraph"/>
        <w:numPr>
          <w:ilvl w:val="0"/>
          <w:numId w:val="1"/>
        </w:numPr>
        <w:spacing w:after="0" w:line="240" w:lineRule="auto"/>
        <w:rPr>
          <w:rFonts w:ascii="Times New Roman" w:hAnsi="Times New Roman" w:cs="Times New Roman"/>
          <w:b/>
          <w:sz w:val="24"/>
          <w:szCs w:val="24"/>
        </w:rPr>
      </w:pPr>
      <w:r w:rsidRPr="008553F8">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66D88" w:rsidRPr="008553F8" w14:paraId="2B0AB3CD" w14:textId="26DFD45A">
      <w:pPr>
        <w:pStyle w:val="ListParagraph"/>
        <w:numPr>
          <w:ilvl w:val="0"/>
          <w:numId w:val="1"/>
        </w:numPr>
        <w:spacing w:after="0" w:line="240" w:lineRule="auto"/>
        <w:rPr>
          <w:rFonts w:ascii="Times New Roman" w:hAnsi="Times New Roman" w:cs="Times New Roman"/>
          <w:sz w:val="24"/>
          <w:szCs w:val="24"/>
        </w:rPr>
      </w:pPr>
      <w:r w:rsidRPr="008553F8">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A234B" w:rsidRPr="008553F8" w:rsidP="001A234B" w14:paraId="73E25463" w14:textId="05CA0484">
      <w:pPr>
        <w:pStyle w:val="ListParagraph"/>
        <w:spacing w:after="0" w:line="240" w:lineRule="auto"/>
        <w:rPr>
          <w:rFonts w:ascii="Times New Roman" w:hAnsi="Times New Roman" w:cs="Times New Roman"/>
          <w:b/>
          <w:bCs/>
          <w:sz w:val="24"/>
          <w:szCs w:val="24"/>
        </w:rPr>
      </w:pPr>
    </w:p>
    <w:p w:rsidR="00B6077D" w:rsidRPr="008553F8" w:rsidP="001A234B" w14:paraId="321BEB9C" w14:textId="56EE4D7F">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information collection is not expected to cause respondents to make </w:t>
      </w:r>
      <w:r w:rsidR="00F85777">
        <w:rPr>
          <w:rFonts w:ascii="Times New Roman" w:hAnsi="Times New Roman" w:cs="Times New Roman"/>
          <w:bCs/>
          <w:sz w:val="24"/>
          <w:szCs w:val="24"/>
        </w:rPr>
        <w:t xml:space="preserve">any special purchases or incur any special costs. </w:t>
      </w:r>
    </w:p>
    <w:p w:rsidR="00B6077D" w:rsidRPr="008553F8" w:rsidP="001A234B" w14:paraId="1E92A7D2" w14:textId="77777777">
      <w:pPr>
        <w:pStyle w:val="ListParagraph"/>
        <w:spacing w:after="0" w:line="240" w:lineRule="auto"/>
        <w:rPr>
          <w:rFonts w:ascii="Times New Roman" w:hAnsi="Times New Roman" w:cs="Times New Roman"/>
          <w:b/>
          <w:bCs/>
          <w:sz w:val="24"/>
          <w:szCs w:val="24"/>
        </w:rPr>
      </w:pPr>
    </w:p>
    <w:p w:rsidR="00966D88" w:rsidRPr="008553F8" w14:paraId="241B2C52" w14:textId="77777777">
      <w:pPr>
        <w:pStyle w:val="Default"/>
        <w:tabs>
          <w:tab w:val="left" w:pos="378"/>
        </w:tabs>
        <w:jc w:val="center"/>
        <w:rPr>
          <w:b/>
          <w:bCs/>
          <w:u w:val="single"/>
        </w:rPr>
      </w:pPr>
      <w:r w:rsidRPr="008553F8">
        <w:rPr>
          <w:b/>
          <w:bCs/>
          <w:u w:val="single"/>
        </w:rPr>
        <w:t>ESTIMATED ANNUAL COST TOTALS</w:t>
      </w:r>
    </w:p>
    <w:p w:rsidR="00966D88" w:rsidRPr="008553F8" w14:paraId="41801178" w14:textId="77777777">
      <w:pPr>
        <w:pStyle w:val="Default"/>
        <w:tabs>
          <w:tab w:val="left" w:pos="378"/>
        </w:tabs>
        <w:jc w:val="center"/>
      </w:pPr>
    </w:p>
    <w:tbl>
      <w:tblPr>
        <w:tblW w:w="7790" w:type="dxa"/>
        <w:tblInd w:w="930" w:type="dxa"/>
        <w:tblLayout w:type="fixed"/>
        <w:tblLook w:val="04A0"/>
      </w:tblPr>
      <w:tblGrid>
        <w:gridCol w:w="1260"/>
        <w:gridCol w:w="1340"/>
        <w:gridCol w:w="1170"/>
        <w:gridCol w:w="1080"/>
        <w:gridCol w:w="1270"/>
        <w:gridCol w:w="1670"/>
      </w:tblGrid>
      <w:tr w14:paraId="7222CA25" w14:textId="77777777" w:rsidTr="00DD18AC">
        <w:tblPrEx>
          <w:tblW w:w="7790" w:type="dxa"/>
          <w:tblInd w:w="930"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rsidR="00966D88" w:rsidRPr="008553F8" w14:paraId="692AED9A" w14:textId="77777777">
            <w:pPr>
              <w:spacing w:before="60" w:after="60"/>
              <w:ind w:left="-93" w:right="-108"/>
              <w:jc w:val="center"/>
              <w:rPr>
                <w:rFonts w:ascii="Times New Roman" w:eastAsia="Times New Roman" w:hAnsi="Times New Roman" w:cs="Times New Roman"/>
                <w:b/>
                <w:bCs/>
                <w:color w:val="000000"/>
                <w:sz w:val="24"/>
                <w:szCs w:val="24"/>
              </w:rPr>
            </w:pPr>
            <w:r w:rsidRPr="008553F8">
              <w:rPr>
                <w:rFonts w:ascii="Times New Roman" w:eastAsia="Times New Roman" w:hAnsi="Times New Roman" w:cs="Times New Roman"/>
                <w:b/>
                <w:bCs/>
                <w:color w:val="000000"/>
                <w:sz w:val="24"/>
                <w:szCs w:val="24"/>
              </w:rPr>
              <w:t>CFR CITE/ COLLECTION</w:t>
            </w:r>
          </w:p>
        </w:tc>
        <w:tc>
          <w:tcPr>
            <w:tcW w:w="134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66D88" w:rsidRPr="008553F8" w14:paraId="2EEA11F3"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NUMBER OF ANNUAL RESPONDENTS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66D88" w:rsidRPr="008553F8" w14:paraId="64BF6B6B"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rsidR="00966D88" w:rsidRPr="008553F8" w14:paraId="1E88E767"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 ANNUAL RESPONSES</w:t>
            </w:r>
          </w:p>
        </w:tc>
        <w:tc>
          <w:tcPr>
            <w:tcW w:w="12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966D88" w:rsidRPr="008553F8" w14:paraId="052213BE" w14:textId="77777777">
            <w:pPr>
              <w:spacing w:before="60"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AVERAGE ANNUAL COSTS</w:t>
            </w:r>
          </w:p>
        </w:tc>
        <w:tc>
          <w:tcPr>
            <w:tcW w:w="167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rsidR="00966D88" w:rsidRPr="008553F8" w14:paraId="075C11C8" w14:textId="77777777">
            <w:pPr>
              <w:spacing w:before="60"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 COSTS</w:t>
            </w:r>
          </w:p>
        </w:tc>
      </w:tr>
      <w:tr w14:paraId="675AE863" w14:textId="77777777" w:rsidTr="00DD18AC">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66D88" w:rsidRPr="008553F8" w14:paraId="3BB1D8E4" w14:textId="6907DAF0">
            <w:pPr>
              <w:spacing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NGI</w:t>
            </w:r>
          </w:p>
        </w:tc>
        <w:tc>
          <w:tcPr>
            <w:tcW w:w="1340" w:type="dxa"/>
            <w:tcBorders>
              <w:top w:val="single" w:sz="8" w:space="0" w:color="auto"/>
              <w:left w:val="single" w:sz="4" w:space="0" w:color="auto"/>
              <w:bottom w:val="single" w:sz="8" w:space="0" w:color="auto"/>
              <w:right w:val="single" w:sz="8" w:space="0" w:color="auto"/>
            </w:tcBorders>
            <w:shd w:val="clear" w:color="auto" w:fill="auto"/>
            <w:hideMark/>
          </w:tcPr>
          <w:p w:rsidR="00966D88" w:rsidRPr="008553F8" w:rsidP="002070F8" w14:paraId="30DA6896" w14:textId="520ADA36">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70</w:t>
            </w:r>
          </w:p>
        </w:tc>
        <w:tc>
          <w:tcPr>
            <w:tcW w:w="1170" w:type="dxa"/>
            <w:tcBorders>
              <w:top w:val="single" w:sz="8" w:space="0" w:color="auto"/>
              <w:left w:val="nil"/>
              <w:bottom w:val="single" w:sz="8" w:space="0" w:color="auto"/>
              <w:right w:val="single" w:sz="8" w:space="0" w:color="auto"/>
            </w:tcBorders>
            <w:shd w:val="clear" w:color="auto" w:fill="auto"/>
            <w:hideMark/>
          </w:tcPr>
          <w:p w:rsidR="00966D88" w:rsidRPr="008553F8" w:rsidP="002070F8" w14:paraId="45EB2074" w14:textId="53E1FC36">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w:t>
            </w:r>
          </w:p>
        </w:tc>
        <w:tc>
          <w:tcPr>
            <w:tcW w:w="1080" w:type="dxa"/>
            <w:tcBorders>
              <w:top w:val="single" w:sz="8" w:space="0" w:color="auto"/>
              <w:left w:val="nil"/>
              <w:bottom w:val="single" w:sz="8" w:space="0" w:color="auto"/>
              <w:right w:val="single" w:sz="8" w:space="0" w:color="auto"/>
            </w:tcBorders>
            <w:shd w:val="clear" w:color="auto" w:fill="auto"/>
            <w:hideMark/>
          </w:tcPr>
          <w:p w:rsidR="00966D88" w:rsidRPr="008553F8" w:rsidP="002070F8" w14:paraId="6848D370" w14:textId="662D733C">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w:t>
            </w:r>
          </w:p>
        </w:tc>
        <w:tc>
          <w:tcPr>
            <w:tcW w:w="1270" w:type="dxa"/>
            <w:tcBorders>
              <w:top w:val="single" w:sz="8" w:space="0" w:color="auto"/>
              <w:left w:val="single" w:sz="4" w:space="0" w:color="auto"/>
              <w:bottom w:val="single" w:sz="8" w:space="0" w:color="auto"/>
              <w:right w:val="single" w:sz="4" w:space="0" w:color="auto"/>
            </w:tcBorders>
          </w:tcPr>
          <w:p w:rsidR="00966D88" w:rsidRPr="008553F8" w:rsidP="002070F8" w14:paraId="4CE44C99" w14:textId="11647AFE">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$0</w:t>
            </w:r>
          </w:p>
        </w:tc>
        <w:tc>
          <w:tcPr>
            <w:tcW w:w="1670" w:type="dxa"/>
            <w:tcBorders>
              <w:top w:val="single" w:sz="8" w:space="0" w:color="auto"/>
              <w:left w:val="single" w:sz="4" w:space="0" w:color="auto"/>
              <w:bottom w:val="single" w:sz="8" w:space="0" w:color="auto"/>
              <w:right w:val="single" w:sz="8" w:space="0" w:color="auto"/>
            </w:tcBorders>
            <w:shd w:val="clear" w:color="auto" w:fill="auto"/>
            <w:hideMark/>
          </w:tcPr>
          <w:p w:rsidR="00966D88" w:rsidRPr="008553F8" w:rsidP="002070F8" w14:paraId="6D5B6C69" w14:textId="140B8715">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$0</w:t>
            </w:r>
          </w:p>
        </w:tc>
      </w:tr>
      <w:tr w14:paraId="59F4F399" w14:textId="77777777" w:rsidTr="00DD18AC">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66D88" w:rsidRPr="008553F8" w14:paraId="2591FBB4" w14:textId="139432AD">
            <w:pPr>
              <w:spacing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NCJITS</w:t>
            </w:r>
          </w:p>
        </w:tc>
        <w:tc>
          <w:tcPr>
            <w:tcW w:w="1340" w:type="dxa"/>
            <w:tcBorders>
              <w:top w:val="nil"/>
              <w:left w:val="single" w:sz="4" w:space="0" w:color="auto"/>
              <w:bottom w:val="single" w:sz="8" w:space="0" w:color="auto"/>
              <w:right w:val="single" w:sz="8" w:space="0" w:color="auto"/>
            </w:tcBorders>
            <w:shd w:val="clear" w:color="auto" w:fill="auto"/>
            <w:hideMark/>
          </w:tcPr>
          <w:p w:rsidR="00966D88" w:rsidRPr="008553F8" w:rsidP="002070F8" w14:paraId="6C71E4C8" w14:textId="24F38344">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70</w:t>
            </w:r>
          </w:p>
        </w:tc>
        <w:tc>
          <w:tcPr>
            <w:tcW w:w="1170" w:type="dxa"/>
            <w:tcBorders>
              <w:top w:val="nil"/>
              <w:left w:val="nil"/>
              <w:bottom w:val="single" w:sz="8" w:space="0" w:color="auto"/>
              <w:right w:val="single" w:sz="8" w:space="0" w:color="auto"/>
            </w:tcBorders>
            <w:shd w:val="clear" w:color="auto" w:fill="auto"/>
            <w:hideMark/>
          </w:tcPr>
          <w:p w:rsidR="00966D88" w:rsidRPr="008553F8" w:rsidP="002070F8" w14:paraId="6862B5EE" w14:textId="1F957C1C">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w:t>
            </w:r>
          </w:p>
        </w:tc>
        <w:tc>
          <w:tcPr>
            <w:tcW w:w="1080" w:type="dxa"/>
            <w:tcBorders>
              <w:top w:val="nil"/>
              <w:left w:val="nil"/>
              <w:bottom w:val="single" w:sz="8" w:space="0" w:color="auto"/>
              <w:right w:val="single" w:sz="8" w:space="0" w:color="auto"/>
            </w:tcBorders>
            <w:shd w:val="clear" w:color="auto" w:fill="auto"/>
            <w:hideMark/>
          </w:tcPr>
          <w:p w:rsidR="00966D88" w:rsidRPr="008553F8" w:rsidP="002070F8" w14:paraId="2DEA4D3E" w14:textId="78AAA993">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w:t>
            </w:r>
          </w:p>
        </w:tc>
        <w:tc>
          <w:tcPr>
            <w:tcW w:w="1270" w:type="dxa"/>
            <w:tcBorders>
              <w:top w:val="nil"/>
              <w:left w:val="single" w:sz="4" w:space="0" w:color="auto"/>
              <w:bottom w:val="single" w:sz="8" w:space="0" w:color="auto"/>
              <w:right w:val="single" w:sz="4" w:space="0" w:color="auto"/>
            </w:tcBorders>
          </w:tcPr>
          <w:p w:rsidR="00966D88" w:rsidRPr="008553F8" w:rsidP="002070F8" w14:paraId="10A21EF0" w14:textId="03F9EA56">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$0</w:t>
            </w:r>
          </w:p>
        </w:tc>
        <w:tc>
          <w:tcPr>
            <w:tcW w:w="1670" w:type="dxa"/>
            <w:tcBorders>
              <w:top w:val="nil"/>
              <w:left w:val="single" w:sz="4" w:space="0" w:color="auto"/>
              <w:bottom w:val="single" w:sz="8" w:space="0" w:color="auto"/>
              <w:right w:val="single" w:sz="8" w:space="0" w:color="auto"/>
            </w:tcBorders>
            <w:shd w:val="clear" w:color="auto" w:fill="auto"/>
            <w:hideMark/>
          </w:tcPr>
          <w:p w:rsidR="00966D88" w:rsidRPr="008553F8" w:rsidP="002070F8" w14:paraId="3689A7BE" w14:textId="43FFC320">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$0</w:t>
            </w:r>
          </w:p>
        </w:tc>
      </w:tr>
      <w:tr w14:paraId="7D7F8903" w14:textId="77777777" w:rsidTr="00DD18AC">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66D88" w:rsidRPr="008553F8" w14:paraId="25320AAD" w14:textId="66E1DF5A">
            <w:pPr>
              <w:spacing w:after="60"/>
              <w:jc w:val="center"/>
              <w:rPr>
                <w:rFonts w:ascii="Times New Roman" w:eastAsia="Times New Roman" w:hAnsi="Times New Roman" w:cs="Times New Roman"/>
                <w:b/>
                <w:bCs/>
                <w:sz w:val="24"/>
                <w:szCs w:val="24"/>
              </w:rPr>
            </w:pPr>
          </w:p>
        </w:tc>
        <w:tc>
          <w:tcPr>
            <w:tcW w:w="1340" w:type="dxa"/>
            <w:tcBorders>
              <w:top w:val="nil"/>
              <w:left w:val="single" w:sz="4" w:space="0" w:color="auto"/>
              <w:bottom w:val="single" w:sz="8" w:space="0" w:color="auto"/>
              <w:right w:val="single" w:sz="8" w:space="0" w:color="auto"/>
            </w:tcBorders>
            <w:shd w:val="clear" w:color="auto" w:fill="auto"/>
            <w:hideMark/>
          </w:tcPr>
          <w:p w:rsidR="00966D88" w:rsidRPr="008553F8" w:rsidP="002070F8" w14:paraId="0BD05D60" w14:textId="1C7C45AD">
            <w:pPr>
              <w:spacing w:after="60"/>
              <w:jc w:val="center"/>
              <w:rPr>
                <w:rFonts w:ascii="Times New Roman" w:eastAsia="Times New Roman" w:hAnsi="Times New Roman" w:cs="Times New Roman"/>
                <w:sz w:val="24"/>
                <w:szCs w:val="24"/>
              </w:rPr>
            </w:pPr>
          </w:p>
        </w:tc>
        <w:tc>
          <w:tcPr>
            <w:tcW w:w="1170" w:type="dxa"/>
            <w:tcBorders>
              <w:top w:val="nil"/>
              <w:left w:val="nil"/>
              <w:bottom w:val="single" w:sz="8" w:space="0" w:color="auto"/>
              <w:right w:val="single" w:sz="8" w:space="0" w:color="auto"/>
            </w:tcBorders>
            <w:shd w:val="clear" w:color="auto" w:fill="auto"/>
            <w:hideMark/>
          </w:tcPr>
          <w:p w:rsidR="00966D88" w:rsidRPr="008553F8" w:rsidP="002070F8" w14:paraId="539AED23" w14:textId="4E330590">
            <w:pPr>
              <w:spacing w:after="60"/>
              <w:jc w:val="center"/>
              <w:rPr>
                <w:rFonts w:ascii="Times New Roman" w:eastAsia="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auto"/>
            <w:hideMark/>
          </w:tcPr>
          <w:p w:rsidR="00966D88" w:rsidRPr="008553F8" w:rsidP="002070F8" w14:paraId="79883991" w14:textId="642FCF68">
            <w:pPr>
              <w:spacing w:after="60"/>
              <w:jc w:val="center"/>
              <w:rPr>
                <w:rFonts w:ascii="Times New Roman" w:eastAsia="Times New Roman" w:hAnsi="Times New Roman" w:cs="Times New Roman"/>
                <w:sz w:val="24"/>
                <w:szCs w:val="24"/>
              </w:rPr>
            </w:pPr>
          </w:p>
        </w:tc>
        <w:tc>
          <w:tcPr>
            <w:tcW w:w="1270" w:type="dxa"/>
            <w:tcBorders>
              <w:top w:val="nil"/>
              <w:left w:val="single" w:sz="4" w:space="0" w:color="auto"/>
              <w:bottom w:val="single" w:sz="8" w:space="0" w:color="auto"/>
              <w:right w:val="single" w:sz="4" w:space="0" w:color="auto"/>
            </w:tcBorders>
          </w:tcPr>
          <w:p w:rsidR="00966D88" w:rsidRPr="008553F8" w:rsidP="002070F8" w14:paraId="7A15786B" w14:textId="5B2F6E57">
            <w:pPr>
              <w:spacing w:after="60"/>
              <w:jc w:val="center"/>
              <w:rPr>
                <w:rFonts w:ascii="Times New Roman" w:eastAsia="Times New Roman" w:hAnsi="Times New Roman" w:cs="Times New Roman"/>
                <w:sz w:val="24"/>
                <w:szCs w:val="24"/>
              </w:rPr>
            </w:pPr>
          </w:p>
        </w:tc>
        <w:tc>
          <w:tcPr>
            <w:tcW w:w="1670" w:type="dxa"/>
            <w:tcBorders>
              <w:top w:val="nil"/>
              <w:left w:val="single" w:sz="4" w:space="0" w:color="auto"/>
              <w:bottom w:val="single" w:sz="8" w:space="0" w:color="auto"/>
              <w:right w:val="single" w:sz="8" w:space="0" w:color="auto"/>
            </w:tcBorders>
            <w:shd w:val="clear" w:color="auto" w:fill="auto"/>
            <w:hideMark/>
          </w:tcPr>
          <w:p w:rsidR="00966D88" w:rsidRPr="008553F8" w:rsidP="002070F8" w14:paraId="24B98DBE" w14:textId="0ED18913">
            <w:pPr>
              <w:spacing w:after="60"/>
              <w:jc w:val="center"/>
              <w:rPr>
                <w:rFonts w:ascii="Times New Roman" w:eastAsia="Times New Roman" w:hAnsi="Times New Roman" w:cs="Times New Roman"/>
                <w:sz w:val="24"/>
                <w:szCs w:val="24"/>
              </w:rPr>
            </w:pPr>
          </w:p>
        </w:tc>
      </w:tr>
      <w:tr w14:paraId="30BC2E75" w14:textId="77777777" w:rsidTr="00DD18AC">
        <w:tblPrEx>
          <w:tblW w:w="7790" w:type="dxa"/>
          <w:tblInd w:w="930"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966D88" w:rsidRPr="008553F8" w14:paraId="20B833E0" w14:textId="77777777">
            <w:pPr>
              <w:spacing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w:t>
            </w:r>
          </w:p>
        </w:tc>
        <w:tc>
          <w:tcPr>
            <w:tcW w:w="1340" w:type="dxa"/>
            <w:tcBorders>
              <w:top w:val="single" w:sz="4" w:space="0" w:color="auto"/>
              <w:left w:val="single" w:sz="4" w:space="0" w:color="auto"/>
              <w:bottom w:val="single" w:sz="4" w:space="0" w:color="auto"/>
              <w:right w:val="single" w:sz="4" w:space="0" w:color="auto"/>
            </w:tcBorders>
            <w:shd w:val="clear" w:color="000000" w:fill="C0C0C0"/>
            <w:hideMark/>
          </w:tcPr>
          <w:p w:rsidR="00966D88" w:rsidRPr="008553F8" w14:paraId="55AACE8C" w14:textId="7E9B33CC">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140</w:t>
            </w: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rsidR="00966D88" w:rsidRPr="008553F8" w14:paraId="14C2B737" w14:textId="77777777">
            <w:pPr>
              <w:spacing w:after="60"/>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C0C0C0"/>
            <w:hideMark/>
          </w:tcPr>
          <w:p w:rsidR="00966D88" w:rsidRPr="008553F8" w14:paraId="0CFB711B" w14:textId="71BBAF3D">
            <w:pPr>
              <w:spacing w:after="60"/>
              <w:jc w:val="center"/>
              <w:rPr>
                <w:rFonts w:ascii="Times New Roman" w:eastAsia="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000000" w:fill="C0C0C0"/>
          </w:tcPr>
          <w:p w:rsidR="00966D88" w:rsidRPr="008553F8" w14:paraId="252ECE29" w14:textId="7D094D90">
            <w:pPr>
              <w:spacing w:after="60"/>
              <w:ind w:left="-108" w:right="-18"/>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$0</w:t>
            </w:r>
          </w:p>
        </w:tc>
        <w:tc>
          <w:tcPr>
            <w:tcW w:w="1670" w:type="dxa"/>
            <w:tcBorders>
              <w:top w:val="single" w:sz="4" w:space="0" w:color="auto"/>
              <w:left w:val="single" w:sz="4" w:space="0" w:color="auto"/>
              <w:bottom w:val="single" w:sz="4" w:space="0" w:color="auto"/>
              <w:right w:val="single" w:sz="4" w:space="0" w:color="auto"/>
            </w:tcBorders>
            <w:shd w:val="clear" w:color="000000" w:fill="C0C0C0"/>
            <w:hideMark/>
          </w:tcPr>
          <w:p w:rsidR="00966D88" w:rsidRPr="008553F8" w:rsidP="00B468C1" w14:paraId="0FA7BAF6" w14:textId="432B8EA2">
            <w:pPr>
              <w:spacing w:after="60"/>
              <w:ind w:right="-18"/>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$0</w:t>
            </w:r>
          </w:p>
        </w:tc>
      </w:tr>
    </w:tbl>
    <w:p w:rsidR="00966D88" w:rsidRPr="008553F8" w14:paraId="3E4F1618" w14:textId="77777777">
      <w:pPr>
        <w:pStyle w:val="Default"/>
        <w:tabs>
          <w:tab w:val="left" w:pos="378"/>
        </w:tabs>
        <w:jc w:val="center"/>
      </w:pPr>
    </w:p>
    <w:p w:rsidR="00966D88" w:rsidRPr="008553F8" w14:paraId="7B0F7D84" w14:textId="77777777">
      <w:pPr>
        <w:ind w:left="360" w:hanging="360"/>
        <w:rPr>
          <w:rFonts w:ascii="Times New Roman" w:hAnsi="Times New Roman" w:cs="Times New Roman"/>
          <w:sz w:val="24"/>
          <w:szCs w:val="24"/>
        </w:rPr>
      </w:pPr>
      <w:r w:rsidRPr="008553F8">
        <w:rPr>
          <w:rFonts w:ascii="Times New Roman" w:hAnsi="Times New Roman" w:cs="Times New Roman"/>
          <w:b/>
          <w:sz w:val="24"/>
          <w:szCs w:val="24"/>
        </w:rPr>
        <w:t>14.</w:t>
      </w:r>
      <w:r w:rsidRPr="008553F8">
        <w:rPr>
          <w:rFonts w:ascii="Times New Roman" w:hAnsi="Times New Roman" w:cs="Times New Roman"/>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8553F8">
        <w:rPr>
          <w:rFonts w:ascii="Times New Roman" w:hAnsi="Times New Roman" w:cs="Times New Roman"/>
          <w:b/>
          <w:bCs/>
          <w:sz w:val="24"/>
          <w:szCs w:val="24"/>
        </w:rPr>
        <w:t xml:space="preserve"> </w:t>
      </w:r>
    </w:p>
    <w:p w:rsidR="00966D88" w:rsidRPr="008553F8" w14:paraId="1C4F3940" w14:textId="77777777">
      <w:pPr>
        <w:pStyle w:val="Default"/>
        <w:tabs>
          <w:tab w:val="left" w:pos="378"/>
        </w:tabs>
      </w:pPr>
    </w:p>
    <w:p w:rsidR="00524AD0" w:rsidP="00F52F5D" w14:paraId="27B480C5" w14:textId="58A7811B">
      <w:pPr>
        <w:pStyle w:val="Default"/>
        <w:ind w:left="360"/>
      </w:pPr>
      <w:r w:rsidRPr="008553F8">
        <w:t>The NIGC CAU determined its cost and burden hour estimates, inclusive of operational expenses, based on the workflows of the program, and the functions specific to the receipt, recording, and analysis of the proposed information collections. The wage rates are based on hourly compensation at the level of a GS-13/5.</w:t>
      </w:r>
    </w:p>
    <w:p w:rsidR="00B611CA" w:rsidRPr="008553F8" w:rsidP="00F52F5D" w14:paraId="2D10DA40" w14:textId="77777777">
      <w:pPr>
        <w:pStyle w:val="Default"/>
        <w:ind w:left="360"/>
      </w:pPr>
    </w:p>
    <w:p w:rsidR="00966D88" w:rsidRPr="008553F8" w14:paraId="01DC3959" w14:textId="77777777">
      <w:pPr>
        <w:pStyle w:val="Default"/>
        <w:tabs>
          <w:tab w:val="left" w:pos="378"/>
        </w:tabs>
        <w:jc w:val="center"/>
      </w:pPr>
      <w:r w:rsidRPr="008553F8">
        <w:rPr>
          <w:b/>
          <w:bCs/>
          <w:color w:val="000000" w:themeColor="text1"/>
          <w:u w:val="single"/>
        </w:rPr>
        <w:t>ESTIMATED A</w:t>
      </w:r>
      <w:r w:rsidRPr="008553F8">
        <w:rPr>
          <w:b/>
          <w:bCs/>
          <w:u w:val="single"/>
        </w:rPr>
        <w:t>NNUAL AGENCY BURDEN TOTALS</w:t>
      </w:r>
    </w:p>
    <w:p w:rsidR="00966D88" w:rsidRPr="008553F8" w14:paraId="7890B12B" w14:textId="77777777">
      <w:pPr>
        <w:pStyle w:val="Default"/>
        <w:tabs>
          <w:tab w:val="left" w:pos="378"/>
        </w:tabs>
        <w:rPr>
          <w:b/>
          <w:bCs/>
        </w:rPr>
      </w:pPr>
    </w:p>
    <w:tbl>
      <w:tblPr>
        <w:tblW w:w="10530" w:type="dxa"/>
        <w:tblInd w:w="-600" w:type="dxa"/>
        <w:tblLayout w:type="fixed"/>
        <w:tblLook w:val="04A0"/>
      </w:tblPr>
      <w:tblGrid>
        <w:gridCol w:w="1350"/>
        <w:gridCol w:w="1530"/>
        <w:gridCol w:w="1142"/>
        <w:gridCol w:w="1468"/>
        <w:gridCol w:w="1080"/>
        <w:gridCol w:w="1130"/>
        <w:gridCol w:w="1440"/>
        <w:gridCol w:w="1390"/>
      </w:tblGrid>
      <w:tr w14:paraId="33D4158B" w14:textId="77777777" w:rsidTr="00DD18AC">
        <w:tblPrEx>
          <w:tblW w:w="10530" w:type="dxa"/>
          <w:tblInd w:w="-600" w:type="dxa"/>
          <w:tblLayout w:type="fixed"/>
          <w:tblLook w:val="04A0"/>
        </w:tblPrEx>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center"/>
            <w:hideMark/>
          </w:tcPr>
          <w:p w:rsidR="00966D88" w:rsidRPr="008553F8" w14:paraId="61E9B469" w14:textId="77777777">
            <w:pPr>
              <w:spacing w:before="60" w:after="60"/>
              <w:ind w:right="-108"/>
              <w:jc w:val="center"/>
              <w:rPr>
                <w:rFonts w:ascii="Times New Roman" w:eastAsia="Times New Roman" w:hAnsi="Times New Roman" w:cs="Times New Roman"/>
                <w:b/>
                <w:bCs/>
                <w:color w:val="000000"/>
                <w:sz w:val="24"/>
                <w:szCs w:val="24"/>
              </w:rPr>
            </w:pPr>
            <w:r w:rsidRPr="008553F8">
              <w:rPr>
                <w:rFonts w:ascii="Times New Roman" w:eastAsia="Times New Roman" w:hAnsi="Times New Roman" w:cs="Times New Roman"/>
                <w:b/>
                <w:bCs/>
                <w:color w:val="000000"/>
                <w:sz w:val="24"/>
                <w:szCs w:val="24"/>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rsidRPr="008553F8" w14:paraId="5DBAFF60"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NUMBER OF ANNUAL RESPONDENTS</w:t>
            </w:r>
          </w:p>
        </w:tc>
        <w:tc>
          <w:tcPr>
            <w:tcW w:w="1142"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rsidRPr="008553F8" w14:paraId="69E400E8"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ANNUAL FREQUENCY OF RESPONSES</w:t>
            </w:r>
          </w:p>
        </w:tc>
        <w:tc>
          <w:tcPr>
            <w:tcW w:w="1468"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rsidRPr="008553F8" w14:paraId="6B03A7DC"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rsidRPr="008553F8" w14:paraId="064B8C20" w14:textId="77777777">
            <w:pPr>
              <w:spacing w:before="60" w:after="60"/>
              <w:ind w:left="-108" w:righ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REVIEW HOURS  PER RESPONSE</w:t>
            </w:r>
          </w:p>
        </w:tc>
        <w:tc>
          <w:tcPr>
            <w:tcW w:w="1130" w:type="dxa"/>
            <w:tcBorders>
              <w:top w:val="single" w:sz="8" w:space="0" w:color="auto"/>
              <w:left w:val="nil"/>
              <w:bottom w:val="single" w:sz="8" w:space="0" w:color="auto"/>
              <w:right w:val="single" w:sz="8" w:space="0" w:color="auto"/>
            </w:tcBorders>
            <w:shd w:val="clear" w:color="000000" w:fill="BFBFBF" w:themeFill="background1" w:themeFillShade="BF"/>
            <w:vAlign w:val="center"/>
          </w:tcPr>
          <w:p w:rsidR="00966D88" w:rsidRPr="008553F8" w14:paraId="1B4B5C01" w14:textId="77777777">
            <w:pPr>
              <w:spacing w:before="60"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 HOURS</w:t>
            </w:r>
          </w:p>
        </w:tc>
        <w:tc>
          <w:tcPr>
            <w:tcW w:w="144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rsidRPr="008553F8" w14:paraId="35154491" w14:textId="77777777">
            <w:pPr>
              <w:spacing w:before="60" w:after="60"/>
              <w:ind w:left="-105" w:right="-122"/>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AVERAGE HOURLY RATE</w:t>
            </w:r>
          </w:p>
        </w:tc>
        <w:tc>
          <w:tcPr>
            <w:tcW w:w="139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66D88" w:rsidRPr="008553F8" w14:paraId="0BF43CFB" w14:textId="77777777">
            <w:pPr>
              <w:spacing w:before="60" w:after="60"/>
              <w:ind w:left="-108"/>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 AGENCY COST</w:t>
            </w:r>
          </w:p>
        </w:tc>
      </w:tr>
      <w:tr w14:paraId="7A29A9E6" w14:textId="77777777" w:rsidTr="00DD18AC">
        <w:tblPrEx>
          <w:tblW w:w="10530" w:type="dxa"/>
          <w:tblInd w:w="-600"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6D88" w:rsidRPr="008553F8" w14:paraId="6A4B3D5A" w14:textId="0382D4C3">
            <w:pPr>
              <w:spacing w:after="60"/>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NGI</w:t>
            </w:r>
          </w:p>
        </w:tc>
        <w:tc>
          <w:tcPr>
            <w:tcW w:w="153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66D88" w:rsidRPr="008553F8" w:rsidP="00DD18AC" w14:paraId="637D86F3" w14:textId="4E853168">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70</w:t>
            </w:r>
          </w:p>
        </w:tc>
        <w:tc>
          <w:tcPr>
            <w:tcW w:w="1142" w:type="dxa"/>
            <w:tcBorders>
              <w:top w:val="single" w:sz="8" w:space="0" w:color="auto"/>
              <w:left w:val="nil"/>
              <w:bottom w:val="single" w:sz="8" w:space="0" w:color="auto"/>
              <w:right w:val="single" w:sz="8" w:space="0" w:color="auto"/>
            </w:tcBorders>
            <w:shd w:val="clear" w:color="auto" w:fill="auto"/>
            <w:vAlign w:val="center"/>
            <w:hideMark/>
          </w:tcPr>
          <w:p w:rsidR="00966D88" w:rsidRPr="008553F8" w:rsidP="00DD18AC" w14:paraId="61AF0FA3" w14:textId="1B235C72">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w:t>
            </w:r>
          </w:p>
        </w:tc>
        <w:tc>
          <w:tcPr>
            <w:tcW w:w="1468" w:type="dxa"/>
            <w:tcBorders>
              <w:top w:val="single" w:sz="8" w:space="0" w:color="auto"/>
              <w:left w:val="nil"/>
              <w:bottom w:val="single" w:sz="8" w:space="0" w:color="auto"/>
              <w:right w:val="single" w:sz="8" w:space="0" w:color="auto"/>
            </w:tcBorders>
            <w:shd w:val="clear" w:color="auto" w:fill="auto"/>
            <w:vAlign w:val="center"/>
            <w:hideMark/>
          </w:tcPr>
          <w:p w:rsidR="00966D88" w:rsidRPr="008553F8" w:rsidP="00DD18AC" w14:paraId="13F7C79E" w14:textId="3639DD6F">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70</w:t>
            </w:r>
          </w:p>
        </w:tc>
        <w:tc>
          <w:tcPr>
            <w:tcW w:w="1080" w:type="dxa"/>
            <w:tcBorders>
              <w:top w:val="single" w:sz="8" w:space="0" w:color="auto"/>
              <w:left w:val="nil"/>
              <w:bottom w:val="single" w:sz="8" w:space="0" w:color="auto"/>
              <w:right w:val="single" w:sz="8" w:space="0" w:color="auto"/>
            </w:tcBorders>
            <w:shd w:val="clear" w:color="auto" w:fill="auto"/>
            <w:vAlign w:val="center"/>
          </w:tcPr>
          <w:p w:rsidR="00966D88" w:rsidRPr="008553F8" w:rsidP="00DD18AC" w14:paraId="23B1C55A" w14:textId="70125389">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w:t>
            </w:r>
          </w:p>
        </w:tc>
        <w:tc>
          <w:tcPr>
            <w:tcW w:w="1130" w:type="dxa"/>
            <w:tcBorders>
              <w:top w:val="single" w:sz="8" w:space="0" w:color="auto"/>
              <w:left w:val="nil"/>
              <w:bottom w:val="single" w:sz="8" w:space="0" w:color="auto"/>
              <w:right w:val="single" w:sz="8" w:space="0" w:color="auto"/>
            </w:tcBorders>
            <w:vAlign w:val="center"/>
          </w:tcPr>
          <w:p w:rsidR="00966D88" w:rsidRPr="008553F8" w:rsidP="00F52F5D" w14:paraId="75ECD613" w14:textId="31969CFA">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70</w:t>
            </w:r>
          </w:p>
        </w:tc>
        <w:tc>
          <w:tcPr>
            <w:tcW w:w="1440" w:type="dxa"/>
            <w:tcBorders>
              <w:top w:val="single" w:sz="8" w:space="0" w:color="auto"/>
              <w:left w:val="nil"/>
              <w:bottom w:val="single" w:sz="8" w:space="0" w:color="auto"/>
              <w:right w:val="single" w:sz="8" w:space="0" w:color="auto"/>
            </w:tcBorders>
            <w:shd w:val="clear" w:color="auto" w:fill="auto"/>
            <w:vAlign w:val="center"/>
          </w:tcPr>
          <w:p w:rsidR="00966D88" w:rsidRPr="008553F8" w:rsidP="00FF3B05" w14:paraId="19DD8294" w14:textId="48412C04">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$45.91</w:t>
            </w:r>
          </w:p>
        </w:tc>
        <w:tc>
          <w:tcPr>
            <w:tcW w:w="1390" w:type="dxa"/>
            <w:tcBorders>
              <w:top w:val="single" w:sz="8" w:space="0" w:color="auto"/>
              <w:left w:val="nil"/>
              <w:bottom w:val="single" w:sz="8" w:space="0" w:color="auto"/>
              <w:right w:val="single" w:sz="8" w:space="0" w:color="auto"/>
            </w:tcBorders>
            <w:shd w:val="clear" w:color="auto" w:fill="auto"/>
            <w:vAlign w:val="center"/>
          </w:tcPr>
          <w:p w:rsidR="00966D88" w:rsidRPr="008553F8" w:rsidP="00FF3B05" w14:paraId="61E71BFD" w14:textId="759F3DBF">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$3,214</w:t>
            </w:r>
          </w:p>
        </w:tc>
      </w:tr>
      <w:tr w14:paraId="352A7840" w14:textId="77777777" w:rsidTr="00DD18AC">
        <w:tblPrEx>
          <w:tblW w:w="10530" w:type="dxa"/>
          <w:tblInd w:w="-600"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6D88" w:rsidRPr="008553F8" w14:paraId="2B67D976" w14:textId="3B967767">
            <w:pPr>
              <w:spacing w:after="60"/>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NCJITS</w:t>
            </w:r>
          </w:p>
        </w:tc>
        <w:tc>
          <w:tcPr>
            <w:tcW w:w="1530" w:type="dxa"/>
            <w:tcBorders>
              <w:top w:val="nil"/>
              <w:left w:val="single" w:sz="4" w:space="0" w:color="auto"/>
              <w:bottom w:val="single" w:sz="8" w:space="0" w:color="auto"/>
              <w:right w:val="single" w:sz="8" w:space="0" w:color="auto"/>
            </w:tcBorders>
            <w:shd w:val="clear" w:color="auto" w:fill="auto"/>
            <w:vAlign w:val="center"/>
            <w:hideMark/>
          </w:tcPr>
          <w:p w:rsidR="00966D88" w:rsidRPr="008553F8" w:rsidP="009B7765" w14:paraId="4A0E55EA" w14:textId="3A3194B9">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70</w:t>
            </w:r>
          </w:p>
        </w:tc>
        <w:tc>
          <w:tcPr>
            <w:tcW w:w="1142" w:type="dxa"/>
            <w:tcBorders>
              <w:top w:val="nil"/>
              <w:left w:val="nil"/>
              <w:bottom w:val="single" w:sz="8" w:space="0" w:color="auto"/>
              <w:right w:val="single" w:sz="8" w:space="0" w:color="auto"/>
            </w:tcBorders>
            <w:shd w:val="clear" w:color="auto" w:fill="auto"/>
            <w:vAlign w:val="center"/>
            <w:hideMark/>
          </w:tcPr>
          <w:p w:rsidR="00966D88" w:rsidRPr="008553F8" w:rsidP="00DD18AC" w14:paraId="2302C7E1" w14:textId="369E2FB8">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w:t>
            </w:r>
          </w:p>
        </w:tc>
        <w:tc>
          <w:tcPr>
            <w:tcW w:w="1468" w:type="dxa"/>
            <w:tcBorders>
              <w:top w:val="nil"/>
              <w:left w:val="nil"/>
              <w:bottom w:val="single" w:sz="8" w:space="0" w:color="auto"/>
              <w:right w:val="single" w:sz="8" w:space="0" w:color="auto"/>
            </w:tcBorders>
            <w:shd w:val="clear" w:color="auto" w:fill="auto"/>
            <w:vAlign w:val="center"/>
            <w:hideMark/>
          </w:tcPr>
          <w:p w:rsidR="00966D88" w:rsidRPr="008553F8" w:rsidP="00F52F5D" w14:paraId="3CBABC5C" w14:textId="03EB2C62">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70</w:t>
            </w:r>
          </w:p>
        </w:tc>
        <w:tc>
          <w:tcPr>
            <w:tcW w:w="1080" w:type="dxa"/>
            <w:tcBorders>
              <w:top w:val="nil"/>
              <w:left w:val="nil"/>
              <w:bottom w:val="single" w:sz="8" w:space="0" w:color="auto"/>
              <w:right w:val="single" w:sz="8" w:space="0" w:color="auto"/>
            </w:tcBorders>
            <w:shd w:val="clear" w:color="auto" w:fill="auto"/>
            <w:vAlign w:val="center"/>
          </w:tcPr>
          <w:p w:rsidR="00966D88" w:rsidRPr="008553F8" w:rsidP="00DD18AC" w14:paraId="62D8E30C" w14:textId="0A1BA7DB">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2</w:t>
            </w:r>
          </w:p>
        </w:tc>
        <w:tc>
          <w:tcPr>
            <w:tcW w:w="1130" w:type="dxa"/>
            <w:tcBorders>
              <w:top w:val="nil"/>
              <w:left w:val="nil"/>
              <w:bottom w:val="single" w:sz="8" w:space="0" w:color="auto"/>
              <w:right w:val="single" w:sz="8" w:space="0" w:color="auto"/>
            </w:tcBorders>
            <w:vAlign w:val="center"/>
          </w:tcPr>
          <w:p w:rsidR="00966D88" w:rsidRPr="008553F8" w:rsidP="00F52F5D" w14:paraId="358B2418" w14:textId="6CD729E3">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140</w:t>
            </w:r>
          </w:p>
        </w:tc>
        <w:tc>
          <w:tcPr>
            <w:tcW w:w="1440" w:type="dxa"/>
            <w:tcBorders>
              <w:top w:val="nil"/>
              <w:left w:val="nil"/>
              <w:bottom w:val="single" w:sz="8" w:space="0" w:color="auto"/>
              <w:right w:val="single" w:sz="8" w:space="0" w:color="auto"/>
            </w:tcBorders>
            <w:shd w:val="clear" w:color="auto" w:fill="auto"/>
            <w:vAlign w:val="center"/>
          </w:tcPr>
          <w:p w:rsidR="00966D88" w:rsidRPr="008553F8" w:rsidP="00FF3B05" w14:paraId="35F4734D" w14:textId="1338861A">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$45.91</w:t>
            </w:r>
          </w:p>
        </w:tc>
        <w:tc>
          <w:tcPr>
            <w:tcW w:w="1390" w:type="dxa"/>
            <w:tcBorders>
              <w:top w:val="nil"/>
              <w:left w:val="nil"/>
              <w:bottom w:val="single" w:sz="8" w:space="0" w:color="auto"/>
              <w:right w:val="single" w:sz="8" w:space="0" w:color="auto"/>
            </w:tcBorders>
            <w:shd w:val="clear" w:color="auto" w:fill="auto"/>
            <w:vAlign w:val="center"/>
          </w:tcPr>
          <w:p w:rsidR="00966D88" w:rsidRPr="008553F8" w:rsidP="00FF3B05" w14:paraId="7DF82EDB" w14:textId="6BE45310">
            <w:pPr>
              <w:spacing w:after="60"/>
              <w:jc w:val="center"/>
              <w:rPr>
                <w:rFonts w:ascii="Times New Roman" w:eastAsia="Times New Roman" w:hAnsi="Times New Roman" w:cs="Times New Roman"/>
                <w:sz w:val="24"/>
                <w:szCs w:val="24"/>
              </w:rPr>
            </w:pPr>
            <w:r w:rsidRPr="008553F8">
              <w:rPr>
                <w:rFonts w:ascii="Times New Roman" w:eastAsia="Times New Roman" w:hAnsi="Times New Roman" w:cs="Times New Roman"/>
                <w:sz w:val="24"/>
                <w:szCs w:val="24"/>
              </w:rPr>
              <w:t>$6,427</w:t>
            </w:r>
          </w:p>
        </w:tc>
      </w:tr>
      <w:tr w14:paraId="7865107A" w14:textId="77777777">
        <w:tblPrEx>
          <w:tblW w:w="10530" w:type="dxa"/>
          <w:tblInd w:w="-600"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66D88" w:rsidRPr="008553F8" w14:paraId="39541048" w14:textId="77777777">
            <w:pPr>
              <w:spacing w:after="60"/>
              <w:jc w:val="center"/>
              <w:rPr>
                <w:rFonts w:ascii="Times New Roman" w:eastAsia="Times New Roman" w:hAnsi="Times New Roman" w:cs="Times New Roman"/>
                <w:b/>
                <w:bCs/>
                <w:sz w:val="24"/>
                <w:szCs w:val="24"/>
              </w:rPr>
            </w:pPr>
            <w:r w:rsidRPr="008553F8">
              <w:rPr>
                <w:rFonts w:ascii="Times New Roman" w:eastAsia="Times New Roman" w:hAnsi="Times New Roman" w:cs="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hideMark/>
          </w:tcPr>
          <w:p w:rsidR="00966D88" w:rsidRPr="008553F8" w14:paraId="69017C9C" w14:textId="2B83C16B">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140</w:t>
            </w:r>
          </w:p>
        </w:tc>
        <w:tc>
          <w:tcPr>
            <w:tcW w:w="1142" w:type="dxa"/>
            <w:tcBorders>
              <w:top w:val="single" w:sz="4" w:space="0" w:color="auto"/>
              <w:left w:val="single" w:sz="4" w:space="0" w:color="auto"/>
              <w:bottom w:val="single" w:sz="4" w:space="0" w:color="auto"/>
              <w:right w:val="single" w:sz="4" w:space="0" w:color="auto"/>
            </w:tcBorders>
            <w:shd w:val="clear" w:color="000000" w:fill="C0C0C0"/>
            <w:hideMark/>
          </w:tcPr>
          <w:p w:rsidR="00966D88" w:rsidRPr="008553F8" w14:paraId="7916606F" w14:textId="77777777">
            <w:pPr>
              <w:spacing w:after="60"/>
              <w:jc w:val="center"/>
              <w:rPr>
                <w:rFonts w:ascii="Times New Roman" w:eastAsia="Times New Roman" w:hAnsi="Times New Roman" w:cs="Times New Roman"/>
                <w:color w:val="000000" w:themeColor="text1"/>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000000" w:fill="C0C0C0"/>
            <w:hideMark/>
          </w:tcPr>
          <w:p w:rsidR="00966D88" w:rsidRPr="008553F8" w14:paraId="6A7E7483" w14:textId="66CBA66B">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140</w:t>
            </w:r>
          </w:p>
        </w:tc>
        <w:tc>
          <w:tcPr>
            <w:tcW w:w="1080" w:type="dxa"/>
            <w:tcBorders>
              <w:top w:val="single" w:sz="4" w:space="0" w:color="auto"/>
              <w:left w:val="single" w:sz="4" w:space="0" w:color="auto"/>
              <w:bottom w:val="single" w:sz="4" w:space="0" w:color="auto"/>
              <w:right w:val="single" w:sz="4" w:space="0" w:color="auto"/>
            </w:tcBorders>
            <w:shd w:val="clear" w:color="000000" w:fill="C0C0C0"/>
          </w:tcPr>
          <w:p w:rsidR="00966D88" w:rsidRPr="008553F8" w14:paraId="1048BEE7" w14:textId="77777777">
            <w:pPr>
              <w:spacing w:after="60"/>
              <w:jc w:val="center"/>
              <w:rPr>
                <w:rFonts w:ascii="Times New Roman" w:eastAsia="Times New Roman" w:hAnsi="Times New Roman" w:cs="Times New Roman"/>
                <w:b/>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000000" w:fill="C0C0C0"/>
          </w:tcPr>
          <w:p w:rsidR="00966D88" w:rsidRPr="008553F8" w14:paraId="51D05A51" w14:textId="182D5453">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210</w:t>
            </w:r>
          </w:p>
        </w:tc>
        <w:tc>
          <w:tcPr>
            <w:tcW w:w="1440" w:type="dxa"/>
            <w:tcBorders>
              <w:top w:val="single" w:sz="4" w:space="0" w:color="auto"/>
              <w:left w:val="single" w:sz="4" w:space="0" w:color="auto"/>
              <w:bottom w:val="single" w:sz="4" w:space="0" w:color="auto"/>
              <w:right w:val="single" w:sz="4" w:space="0" w:color="auto"/>
            </w:tcBorders>
            <w:shd w:val="clear" w:color="000000" w:fill="C0C0C0"/>
          </w:tcPr>
          <w:p w:rsidR="00966D88" w:rsidRPr="008553F8" w14:paraId="4125AA52" w14:textId="77777777">
            <w:pPr>
              <w:spacing w:after="60"/>
              <w:jc w:val="center"/>
              <w:rPr>
                <w:rFonts w:ascii="Times New Roman" w:eastAsia="Times New Roman" w:hAnsi="Times New Roman" w:cs="Times New Roman"/>
                <w:b/>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000000" w:fill="C0C0C0"/>
          </w:tcPr>
          <w:p w:rsidR="00966D88" w:rsidRPr="008553F8" w:rsidP="00C53DFB" w14:paraId="5D03DDE9" w14:textId="34C640B7">
            <w:pPr>
              <w:spacing w:after="60"/>
              <w:jc w:val="center"/>
              <w:rPr>
                <w:rFonts w:ascii="Times New Roman" w:eastAsia="Times New Roman" w:hAnsi="Times New Roman" w:cs="Times New Roman"/>
                <w:color w:val="000000" w:themeColor="text1"/>
                <w:sz w:val="24"/>
                <w:szCs w:val="24"/>
              </w:rPr>
            </w:pPr>
            <w:r w:rsidRPr="008553F8">
              <w:rPr>
                <w:rFonts w:ascii="Times New Roman" w:eastAsia="Times New Roman" w:hAnsi="Times New Roman" w:cs="Times New Roman"/>
                <w:color w:val="000000" w:themeColor="text1"/>
                <w:sz w:val="24"/>
                <w:szCs w:val="24"/>
              </w:rPr>
              <w:t>$9,641</w:t>
            </w:r>
          </w:p>
        </w:tc>
      </w:tr>
    </w:tbl>
    <w:p w:rsidR="00966D88" w:rsidRPr="008553F8" w14:paraId="58361A8B" w14:textId="77777777">
      <w:pPr>
        <w:pStyle w:val="Default"/>
        <w:tabs>
          <w:tab w:val="left" w:pos="378"/>
        </w:tabs>
        <w:rPr>
          <w:b/>
          <w:bCs/>
        </w:rPr>
      </w:pPr>
    </w:p>
    <w:p w:rsidR="009B7765" w:rsidRPr="008553F8" w:rsidP="009B7765" w14:paraId="41AE1A3F" w14:textId="7028C96A">
      <w:pPr>
        <w:ind w:left="360" w:hanging="360"/>
        <w:rPr>
          <w:rFonts w:ascii="Times New Roman" w:hAnsi="Times New Roman" w:cs="Times New Roman"/>
          <w:b/>
          <w:bCs/>
          <w:sz w:val="24"/>
          <w:szCs w:val="24"/>
        </w:rPr>
      </w:pPr>
      <w:r w:rsidRPr="008553F8">
        <w:rPr>
          <w:rFonts w:ascii="Times New Roman" w:hAnsi="Times New Roman" w:cs="Times New Roman"/>
          <w:b/>
          <w:sz w:val="24"/>
          <w:szCs w:val="24"/>
        </w:rPr>
        <w:t>15.</w:t>
      </w:r>
      <w:r w:rsidRPr="008553F8">
        <w:rPr>
          <w:rFonts w:ascii="Times New Roman" w:hAnsi="Times New Roman" w:cs="Times New Roman"/>
          <w:b/>
          <w:sz w:val="24"/>
          <w:szCs w:val="24"/>
        </w:rPr>
        <w:tab/>
        <w:t>Explain the reasons for any program changes or adjustments reported in Items 13 or 14 of the OMB Form 83-I.</w:t>
      </w:r>
      <w:r w:rsidRPr="008553F8">
        <w:rPr>
          <w:rFonts w:ascii="Times New Roman" w:hAnsi="Times New Roman" w:cs="Times New Roman"/>
          <w:b/>
          <w:bCs/>
          <w:sz w:val="24"/>
          <w:szCs w:val="24"/>
        </w:rPr>
        <w:t xml:space="preserve"> </w:t>
      </w:r>
    </w:p>
    <w:p w:rsidR="006B2CE2" w:rsidRPr="008553F8" w:rsidP="006B2CE2" w14:paraId="67C3DCB2" w14:textId="4E22C177">
      <w:pPr>
        <w:ind w:left="360"/>
        <w:rPr>
          <w:rFonts w:ascii="Times New Roman" w:hAnsi="Times New Roman" w:cs="Times New Roman"/>
          <w:bCs/>
          <w:sz w:val="24"/>
          <w:szCs w:val="24"/>
        </w:rPr>
      </w:pPr>
    </w:p>
    <w:p w:rsidR="0065661B" w:rsidRPr="008553F8" w14:paraId="29A4B629" w14:textId="67CE3D19">
      <w:pPr>
        <w:rPr>
          <w:rFonts w:ascii="Times New Roman" w:hAnsi="Times New Roman" w:cs="Times New Roman"/>
          <w:b/>
          <w:sz w:val="24"/>
          <w:szCs w:val="24"/>
        </w:rPr>
      </w:pPr>
      <w:r>
        <w:rPr>
          <w:rFonts w:ascii="Times New Roman" w:hAnsi="Times New Roman" w:cs="Times New Roman"/>
          <w:b/>
          <w:sz w:val="24"/>
          <w:szCs w:val="24"/>
        </w:rPr>
        <w:t>N/A</w:t>
      </w:r>
    </w:p>
    <w:p w:rsidR="0065661B" w:rsidRPr="008553F8" w14:paraId="21E6C549" w14:textId="0F1FDE6D">
      <w:pPr>
        <w:rPr>
          <w:rFonts w:ascii="Times New Roman" w:hAnsi="Times New Roman" w:cs="Times New Roman"/>
          <w:b/>
          <w:sz w:val="24"/>
          <w:szCs w:val="24"/>
        </w:rPr>
      </w:pPr>
    </w:p>
    <w:p w:rsidR="00966D88" w:rsidRPr="008553F8" w:rsidP="0065661B" w14:paraId="2EED1D7C" w14:textId="77777777">
      <w:pPr>
        <w:ind w:left="360" w:hanging="360"/>
        <w:rPr>
          <w:rFonts w:ascii="Times New Roman" w:hAnsi="Times New Roman" w:cs="Times New Roman"/>
          <w:b/>
          <w:sz w:val="24"/>
          <w:szCs w:val="24"/>
        </w:rPr>
      </w:pPr>
      <w:r w:rsidRPr="008553F8">
        <w:rPr>
          <w:rFonts w:ascii="Times New Roman" w:hAnsi="Times New Roman" w:cs="Times New Roman"/>
          <w:b/>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966D88" w:rsidRPr="008553F8" w:rsidP="0065661B" w14:paraId="5990E8AD" w14:textId="2A75FEEB">
      <w:pPr>
        <w:pStyle w:val="Default"/>
        <w:tabs>
          <w:tab w:val="left" w:pos="378"/>
        </w:tabs>
        <w:ind w:left="360"/>
      </w:pPr>
    </w:p>
    <w:p w:rsidR="0065661B" w:rsidRPr="008553F8" w:rsidP="0065661B" w14:paraId="0BC153C4" w14:textId="68B12AD6">
      <w:pPr>
        <w:pStyle w:val="Default"/>
        <w:tabs>
          <w:tab w:val="left" w:pos="378"/>
        </w:tabs>
        <w:ind w:left="360"/>
      </w:pPr>
      <w:r w:rsidRPr="008553F8">
        <w:t>Not applicable</w:t>
      </w:r>
    </w:p>
    <w:p w:rsidR="0065661B" w:rsidRPr="008553F8" w:rsidP="0065661B" w14:paraId="1CA7DD4E" w14:textId="77777777">
      <w:pPr>
        <w:pStyle w:val="Default"/>
        <w:tabs>
          <w:tab w:val="left" w:pos="378"/>
        </w:tabs>
        <w:ind w:left="360"/>
      </w:pPr>
    </w:p>
    <w:p w:rsidR="00966D88" w:rsidRPr="008553F8" w14:paraId="1F30CD4D" w14:textId="77777777">
      <w:pPr>
        <w:ind w:left="360" w:hanging="360"/>
        <w:rPr>
          <w:rFonts w:ascii="Times New Roman" w:hAnsi="Times New Roman" w:cs="Times New Roman"/>
          <w:sz w:val="24"/>
          <w:szCs w:val="24"/>
        </w:rPr>
      </w:pPr>
      <w:r w:rsidRPr="008553F8">
        <w:rPr>
          <w:rFonts w:ascii="Times New Roman" w:hAnsi="Times New Roman" w:cs="Times New Roman"/>
          <w:b/>
          <w:sz w:val="24"/>
          <w:szCs w:val="24"/>
        </w:rPr>
        <w:t>17.</w:t>
      </w:r>
      <w:r w:rsidRPr="008553F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r w:rsidRPr="008553F8">
        <w:rPr>
          <w:rFonts w:ascii="Times New Roman" w:hAnsi="Times New Roman" w:cs="Times New Roman"/>
          <w:b/>
          <w:bCs/>
          <w:sz w:val="24"/>
          <w:szCs w:val="24"/>
        </w:rPr>
        <w:t xml:space="preserve"> </w:t>
      </w:r>
    </w:p>
    <w:p w:rsidR="00966D88" w:rsidRPr="008553F8" w:rsidP="0065661B" w14:paraId="07C03C1F" w14:textId="54B9B8E9">
      <w:pPr>
        <w:pStyle w:val="Default"/>
        <w:tabs>
          <w:tab w:val="left" w:pos="378"/>
        </w:tabs>
        <w:ind w:left="360"/>
      </w:pPr>
    </w:p>
    <w:p w:rsidR="0065661B" w:rsidRPr="008553F8" w:rsidP="0065661B" w14:paraId="73F7B728" w14:textId="1D1959B6">
      <w:pPr>
        <w:pStyle w:val="Default"/>
        <w:tabs>
          <w:tab w:val="left" w:pos="378"/>
        </w:tabs>
        <w:ind w:left="360"/>
      </w:pPr>
      <w:r w:rsidRPr="008553F8">
        <w:t>Not applicable</w:t>
      </w:r>
    </w:p>
    <w:p w:rsidR="0065661B" w:rsidRPr="008553F8" w:rsidP="0065661B" w14:paraId="38353776" w14:textId="77777777">
      <w:pPr>
        <w:pStyle w:val="Default"/>
        <w:tabs>
          <w:tab w:val="left" w:pos="378"/>
        </w:tabs>
        <w:ind w:left="360"/>
      </w:pPr>
    </w:p>
    <w:p w:rsidR="00966D88" w:rsidRPr="008553F8" w:rsidP="009B7765" w14:paraId="6CA4B8F7" w14:textId="05344629">
      <w:pPr>
        <w:ind w:left="360" w:hanging="360"/>
        <w:rPr>
          <w:rFonts w:ascii="Times New Roman" w:hAnsi="Times New Roman" w:cs="Times New Roman"/>
          <w:sz w:val="24"/>
          <w:szCs w:val="24"/>
        </w:rPr>
      </w:pPr>
      <w:r w:rsidRPr="008553F8">
        <w:rPr>
          <w:rFonts w:ascii="Times New Roman" w:hAnsi="Times New Roman" w:cs="Times New Roman"/>
          <w:b/>
          <w:sz w:val="24"/>
          <w:szCs w:val="24"/>
        </w:rPr>
        <w:t>18.</w:t>
      </w:r>
      <w:r w:rsidRPr="008553F8">
        <w:rPr>
          <w:rFonts w:ascii="Times New Roman" w:hAnsi="Times New Roman" w:cs="Times New Roman"/>
          <w:b/>
          <w:sz w:val="24"/>
          <w:szCs w:val="24"/>
        </w:rPr>
        <w:tab/>
        <w:t>Explain each exception to the certification statement identified in Item 19, “Certification for Paperwork Reduction Act Submissions,” of OMB Form 83-I.</w:t>
      </w:r>
      <w:r w:rsidRPr="008553F8">
        <w:rPr>
          <w:rFonts w:ascii="Times New Roman" w:hAnsi="Times New Roman" w:cs="Times New Roman"/>
          <w:b/>
          <w:bCs/>
          <w:sz w:val="24"/>
          <w:szCs w:val="24"/>
        </w:rPr>
        <w:t xml:space="preserve"> </w:t>
      </w:r>
      <w:r w:rsidRPr="008553F8">
        <w:rPr>
          <w:rFonts w:ascii="Times New Roman" w:hAnsi="Times New Roman" w:cs="Times New Roman"/>
          <w:sz w:val="24"/>
          <w:szCs w:val="24"/>
        </w:rPr>
        <w:t xml:space="preserve"> </w:t>
      </w:r>
    </w:p>
    <w:p w:rsidR="00966D88" w:rsidRPr="008553F8" w:rsidP="0065661B" w14:paraId="0658D5CB" w14:textId="3DF72E34">
      <w:pPr>
        <w:pStyle w:val="Default"/>
        <w:tabs>
          <w:tab w:val="left" w:pos="378"/>
        </w:tabs>
        <w:ind w:left="360"/>
        <w:rPr>
          <w:bCs/>
        </w:rPr>
      </w:pPr>
    </w:p>
    <w:p w:rsidR="0065661B" w:rsidRPr="008553F8" w:rsidP="0065661B" w14:paraId="4EB453B0" w14:textId="7A7135A6">
      <w:pPr>
        <w:pStyle w:val="Default"/>
        <w:tabs>
          <w:tab w:val="left" w:pos="378"/>
        </w:tabs>
        <w:ind w:left="360"/>
        <w:rPr>
          <w:bCs/>
        </w:rPr>
      </w:pPr>
      <w:r w:rsidRPr="008553F8">
        <w:t>Not applicable. The NIGC certifies compliance with 5 CFR § 1320.9.</w:t>
      </w:r>
    </w:p>
    <w:p w:rsidR="0065661B" w:rsidRPr="008553F8" w:rsidP="0065661B" w14:paraId="2315F6FA" w14:textId="77777777">
      <w:pPr>
        <w:pStyle w:val="Default"/>
        <w:tabs>
          <w:tab w:val="left" w:pos="378"/>
        </w:tabs>
        <w:ind w:left="360"/>
        <w:rPr>
          <w:bCs/>
        </w:rPr>
      </w:pPr>
    </w:p>
    <w:p w:rsidR="00966D88" w:rsidRPr="008553F8" w14:paraId="190E7C2E" w14:textId="77777777">
      <w:pPr>
        <w:ind w:left="360" w:hanging="360"/>
        <w:rPr>
          <w:rFonts w:ascii="Times New Roman" w:hAnsi="Times New Roman" w:cs="Times New Roman"/>
          <w:sz w:val="24"/>
          <w:szCs w:val="24"/>
        </w:rPr>
      </w:pPr>
      <w:r w:rsidRPr="008553F8">
        <w:rPr>
          <w:rFonts w:ascii="Times New Roman" w:hAnsi="Times New Roman" w:cs="Times New Roman"/>
          <w:b/>
          <w:sz w:val="24"/>
          <w:szCs w:val="24"/>
        </w:rPr>
        <w:t>B.</w:t>
      </w:r>
      <w:r w:rsidRPr="008553F8">
        <w:rPr>
          <w:rFonts w:ascii="Times New Roman" w:hAnsi="Times New Roman" w:cs="Times New Roman"/>
          <w:b/>
          <w:sz w:val="24"/>
          <w:szCs w:val="24"/>
        </w:rPr>
        <w:tab/>
        <w:t>COLLECTIONS OF INFORMATION EMPLOYING STATISTICAL METHODS</w:t>
      </w:r>
      <w:r w:rsidRPr="008553F8">
        <w:rPr>
          <w:rFonts w:ascii="Times New Roman" w:hAnsi="Times New Roman" w:cs="Times New Roman"/>
          <w:b/>
          <w:bCs/>
          <w:sz w:val="24"/>
          <w:szCs w:val="24"/>
        </w:rPr>
        <w:t xml:space="preserve"> </w:t>
      </w:r>
    </w:p>
    <w:p w:rsidR="00966D88" w:rsidRPr="008553F8" w:rsidP="0065661B" w14:paraId="3B8DF888" w14:textId="6FC56FF2">
      <w:pPr>
        <w:pStyle w:val="Default"/>
        <w:tabs>
          <w:tab w:val="left" w:pos="378"/>
        </w:tabs>
        <w:ind w:left="360"/>
      </w:pPr>
    </w:p>
    <w:p w:rsidR="00966D88" w:rsidRPr="008553F8" w:rsidP="0065661B" w14:paraId="508459C3" w14:textId="28799D59">
      <w:pPr>
        <w:pStyle w:val="Default"/>
        <w:tabs>
          <w:tab w:val="left" w:pos="378"/>
        </w:tabs>
        <w:ind w:left="360"/>
      </w:pPr>
      <w:r w:rsidRPr="008553F8">
        <w:t>This section is not applicable. Statistical methods are not being employed.</w:t>
      </w:r>
    </w:p>
    <w:p w:rsidR="00966D88" w:rsidRPr="008553F8" w:rsidP="0065661B" w14:paraId="00747E50" w14:textId="77777777">
      <w:pPr>
        <w:pStyle w:val="Default"/>
        <w:tabs>
          <w:tab w:val="left" w:pos="378"/>
        </w:tabs>
        <w:spacing w:line="480" w:lineRule="auto"/>
        <w:ind w:left="360"/>
      </w:pPr>
    </w:p>
    <w:sectPr>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D5A4D"/>
    <w:multiLevelType w:val="hybridMultilevel"/>
    <w:tmpl w:val="8CEC9EB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7801DD"/>
    <w:multiLevelType w:val="hybridMultilevel"/>
    <w:tmpl w:val="8CEC9EB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987D5C"/>
    <w:multiLevelType w:val="hybridMultilevel"/>
    <w:tmpl w:val="FEB06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166373"/>
    <w:multiLevelType w:val="hybridMultilevel"/>
    <w:tmpl w:val="FE081C70"/>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
    <w:nsid w:val="5DB230D2"/>
    <w:multiLevelType w:val="hybridMultilevel"/>
    <w:tmpl w:val="3A0A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544667"/>
    <w:multiLevelType w:val="hybridMultilevel"/>
    <w:tmpl w:val="39A00A0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584C00"/>
    <w:multiLevelType w:val="hybridMultilevel"/>
    <w:tmpl w:val="D3CA9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7A6487"/>
    <w:multiLevelType w:val="hybridMultilevel"/>
    <w:tmpl w:val="A606A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88"/>
    <w:rsid w:val="000069A6"/>
    <w:rsid w:val="000119C8"/>
    <w:rsid w:val="000152B4"/>
    <w:rsid w:val="00025784"/>
    <w:rsid w:val="000258A0"/>
    <w:rsid w:val="000258AE"/>
    <w:rsid w:val="0003785F"/>
    <w:rsid w:val="00052803"/>
    <w:rsid w:val="00056443"/>
    <w:rsid w:val="00063563"/>
    <w:rsid w:val="000668AA"/>
    <w:rsid w:val="0007380C"/>
    <w:rsid w:val="00077F5F"/>
    <w:rsid w:val="0008053B"/>
    <w:rsid w:val="0008468D"/>
    <w:rsid w:val="00085A4A"/>
    <w:rsid w:val="00094E00"/>
    <w:rsid w:val="000A69A5"/>
    <w:rsid w:val="000C2D69"/>
    <w:rsid w:val="000D055D"/>
    <w:rsid w:val="000D190D"/>
    <w:rsid w:val="000D26D9"/>
    <w:rsid w:val="000D513F"/>
    <w:rsid w:val="001010CA"/>
    <w:rsid w:val="00106F88"/>
    <w:rsid w:val="00123FE7"/>
    <w:rsid w:val="00124189"/>
    <w:rsid w:val="00126BB6"/>
    <w:rsid w:val="001377E1"/>
    <w:rsid w:val="00140BBA"/>
    <w:rsid w:val="00162D1E"/>
    <w:rsid w:val="00167940"/>
    <w:rsid w:val="00192DFB"/>
    <w:rsid w:val="0019524E"/>
    <w:rsid w:val="001A234B"/>
    <w:rsid w:val="001B2C0C"/>
    <w:rsid w:val="001C2339"/>
    <w:rsid w:val="001C5767"/>
    <w:rsid w:val="001C626D"/>
    <w:rsid w:val="001D0AEA"/>
    <w:rsid w:val="001E470D"/>
    <w:rsid w:val="001E4D95"/>
    <w:rsid w:val="001F2DB3"/>
    <w:rsid w:val="001F46BB"/>
    <w:rsid w:val="00204C6A"/>
    <w:rsid w:val="002070F8"/>
    <w:rsid w:val="00216B2E"/>
    <w:rsid w:val="002175C8"/>
    <w:rsid w:val="00217D6F"/>
    <w:rsid w:val="00233513"/>
    <w:rsid w:val="00237F04"/>
    <w:rsid w:val="002473A1"/>
    <w:rsid w:val="0025361B"/>
    <w:rsid w:val="002669ED"/>
    <w:rsid w:val="0027686A"/>
    <w:rsid w:val="00296E58"/>
    <w:rsid w:val="002C501B"/>
    <w:rsid w:val="002D345B"/>
    <w:rsid w:val="002E6C69"/>
    <w:rsid w:val="002F7C6B"/>
    <w:rsid w:val="003033DF"/>
    <w:rsid w:val="00306C3E"/>
    <w:rsid w:val="00315380"/>
    <w:rsid w:val="00325055"/>
    <w:rsid w:val="00334EC8"/>
    <w:rsid w:val="00343AB6"/>
    <w:rsid w:val="0034755D"/>
    <w:rsid w:val="00357D7F"/>
    <w:rsid w:val="0036290B"/>
    <w:rsid w:val="00370FA7"/>
    <w:rsid w:val="003741C4"/>
    <w:rsid w:val="00380E08"/>
    <w:rsid w:val="00382094"/>
    <w:rsid w:val="0038315E"/>
    <w:rsid w:val="003904AB"/>
    <w:rsid w:val="00390552"/>
    <w:rsid w:val="003A088A"/>
    <w:rsid w:val="003A2540"/>
    <w:rsid w:val="003A344D"/>
    <w:rsid w:val="003A48B5"/>
    <w:rsid w:val="003D5318"/>
    <w:rsid w:val="003F709D"/>
    <w:rsid w:val="003F7C89"/>
    <w:rsid w:val="00404A7A"/>
    <w:rsid w:val="00404EB4"/>
    <w:rsid w:val="00406279"/>
    <w:rsid w:val="0040730F"/>
    <w:rsid w:val="004149CA"/>
    <w:rsid w:val="00444DCD"/>
    <w:rsid w:val="00445179"/>
    <w:rsid w:val="00445CA2"/>
    <w:rsid w:val="00452C81"/>
    <w:rsid w:val="004661AE"/>
    <w:rsid w:val="0048703F"/>
    <w:rsid w:val="00491591"/>
    <w:rsid w:val="004B5C8F"/>
    <w:rsid w:val="004B686F"/>
    <w:rsid w:val="004C5CA0"/>
    <w:rsid w:val="004F7664"/>
    <w:rsid w:val="0050112D"/>
    <w:rsid w:val="00501599"/>
    <w:rsid w:val="0050391F"/>
    <w:rsid w:val="00513770"/>
    <w:rsid w:val="00515349"/>
    <w:rsid w:val="0052321E"/>
    <w:rsid w:val="00524AD0"/>
    <w:rsid w:val="0054522B"/>
    <w:rsid w:val="00545A17"/>
    <w:rsid w:val="005513FC"/>
    <w:rsid w:val="00561937"/>
    <w:rsid w:val="0056258C"/>
    <w:rsid w:val="0056722E"/>
    <w:rsid w:val="00567A37"/>
    <w:rsid w:val="00573C40"/>
    <w:rsid w:val="00574B97"/>
    <w:rsid w:val="00576293"/>
    <w:rsid w:val="00596D1F"/>
    <w:rsid w:val="005A6BC5"/>
    <w:rsid w:val="005A6C0E"/>
    <w:rsid w:val="005B242F"/>
    <w:rsid w:val="005B3F63"/>
    <w:rsid w:val="005C1BC2"/>
    <w:rsid w:val="005D63A0"/>
    <w:rsid w:val="005E3605"/>
    <w:rsid w:val="00606C80"/>
    <w:rsid w:val="006074A9"/>
    <w:rsid w:val="00612E22"/>
    <w:rsid w:val="006169E1"/>
    <w:rsid w:val="006260A8"/>
    <w:rsid w:val="006427E4"/>
    <w:rsid w:val="0064484B"/>
    <w:rsid w:val="00644B36"/>
    <w:rsid w:val="0065112E"/>
    <w:rsid w:val="00653EE2"/>
    <w:rsid w:val="006547E0"/>
    <w:rsid w:val="0065661B"/>
    <w:rsid w:val="00660E56"/>
    <w:rsid w:val="00664EB4"/>
    <w:rsid w:val="00683394"/>
    <w:rsid w:val="00691994"/>
    <w:rsid w:val="0069656C"/>
    <w:rsid w:val="006A5F2B"/>
    <w:rsid w:val="006A69AD"/>
    <w:rsid w:val="006A6A9B"/>
    <w:rsid w:val="006B21C6"/>
    <w:rsid w:val="006B2CE2"/>
    <w:rsid w:val="006C349B"/>
    <w:rsid w:val="006D1024"/>
    <w:rsid w:val="006D539A"/>
    <w:rsid w:val="006D6B9B"/>
    <w:rsid w:val="006F263A"/>
    <w:rsid w:val="006F2812"/>
    <w:rsid w:val="007067E1"/>
    <w:rsid w:val="00710C8A"/>
    <w:rsid w:val="00717DEA"/>
    <w:rsid w:val="00725991"/>
    <w:rsid w:val="0074196C"/>
    <w:rsid w:val="00753A4D"/>
    <w:rsid w:val="007610D0"/>
    <w:rsid w:val="0076504D"/>
    <w:rsid w:val="007739FD"/>
    <w:rsid w:val="00793A2E"/>
    <w:rsid w:val="007A3DC9"/>
    <w:rsid w:val="007B2D85"/>
    <w:rsid w:val="007C41C6"/>
    <w:rsid w:val="007D5E3B"/>
    <w:rsid w:val="007F44C8"/>
    <w:rsid w:val="007F670D"/>
    <w:rsid w:val="0080008F"/>
    <w:rsid w:val="008027BE"/>
    <w:rsid w:val="00805537"/>
    <w:rsid w:val="00813694"/>
    <w:rsid w:val="008142E7"/>
    <w:rsid w:val="008221B5"/>
    <w:rsid w:val="00827CE7"/>
    <w:rsid w:val="008325FC"/>
    <w:rsid w:val="008420A6"/>
    <w:rsid w:val="00842C31"/>
    <w:rsid w:val="00854386"/>
    <w:rsid w:val="008553F8"/>
    <w:rsid w:val="00862FB6"/>
    <w:rsid w:val="00883BB8"/>
    <w:rsid w:val="00884DBD"/>
    <w:rsid w:val="00887FF9"/>
    <w:rsid w:val="008946BE"/>
    <w:rsid w:val="008B0931"/>
    <w:rsid w:val="008B4F04"/>
    <w:rsid w:val="008B58D1"/>
    <w:rsid w:val="008C1202"/>
    <w:rsid w:val="008E4F20"/>
    <w:rsid w:val="008E5120"/>
    <w:rsid w:val="008E6816"/>
    <w:rsid w:val="008F35D8"/>
    <w:rsid w:val="00901D4A"/>
    <w:rsid w:val="009065F7"/>
    <w:rsid w:val="00917BAF"/>
    <w:rsid w:val="00934F16"/>
    <w:rsid w:val="0094674D"/>
    <w:rsid w:val="009518B3"/>
    <w:rsid w:val="00966D88"/>
    <w:rsid w:val="00976864"/>
    <w:rsid w:val="0097740F"/>
    <w:rsid w:val="00984215"/>
    <w:rsid w:val="009B22A6"/>
    <w:rsid w:val="009B6340"/>
    <w:rsid w:val="009B7765"/>
    <w:rsid w:val="009D013A"/>
    <w:rsid w:val="009F0963"/>
    <w:rsid w:val="009F15B1"/>
    <w:rsid w:val="00A03A7D"/>
    <w:rsid w:val="00A03D31"/>
    <w:rsid w:val="00A11E0C"/>
    <w:rsid w:val="00A120FB"/>
    <w:rsid w:val="00A14E4F"/>
    <w:rsid w:val="00A16B0A"/>
    <w:rsid w:val="00A26C84"/>
    <w:rsid w:val="00A36BB9"/>
    <w:rsid w:val="00A431A8"/>
    <w:rsid w:val="00A7051A"/>
    <w:rsid w:val="00A747A0"/>
    <w:rsid w:val="00A95CDC"/>
    <w:rsid w:val="00AB200B"/>
    <w:rsid w:val="00AC37CE"/>
    <w:rsid w:val="00AD4C04"/>
    <w:rsid w:val="00AE081D"/>
    <w:rsid w:val="00AE2747"/>
    <w:rsid w:val="00AE4991"/>
    <w:rsid w:val="00AF723E"/>
    <w:rsid w:val="00B021B8"/>
    <w:rsid w:val="00B124B4"/>
    <w:rsid w:val="00B213F0"/>
    <w:rsid w:val="00B2322D"/>
    <w:rsid w:val="00B26478"/>
    <w:rsid w:val="00B30723"/>
    <w:rsid w:val="00B34E54"/>
    <w:rsid w:val="00B35382"/>
    <w:rsid w:val="00B37181"/>
    <w:rsid w:val="00B37350"/>
    <w:rsid w:val="00B40965"/>
    <w:rsid w:val="00B44DE2"/>
    <w:rsid w:val="00B468C1"/>
    <w:rsid w:val="00B57039"/>
    <w:rsid w:val="00B5792B"/>
    <w:rsid w:val="00B6016B"/>
    <w:rsid w:val="00B6077D"/>
    <w:rsid w:val="00B611CA"/>
    <w:rsid w:val="00B66192"/>
    <w:rsid w:val="00B80B1D"/>
    <w:rsid w:val="00B83208"/>
    <w:rsid w:val="00B95CA5"/>
    <w:rsid w:val="00BA3C02"/>
    <w:rsid w:val="00BB4B27"/>
    <w:rsid w:val="00BC03DD"/>
    <w:rsid w:val="00BC4EFA"/>
    <w:rsid w:val="00BD16B0"/>
    <w:rsid w:val="00BF6453"/>
    <w:rsid w:val="00C01101"/>
    <w:rsid w:val="00C018C7"/>
    <w:rsid w:val="00C05005"/>
    <w:rsid w:val="00C33BC8"/>
    <w:rsid w:val="00C53DFB"/>
    <w:rsid w:val="00C54CF9"/>
    <w:rsid w:val="00C56747"/>
    <w:rsid w:val="00C57C7E"/>
    <w:rsid w:val="00C758F5"/>
    <w:rsid w:val="00CB30E3"/>
    <w:rsid w:val="00CB4947"/>
    <w:rsid w:val="00CC1036"/>
    <w:rsid w:val="00CC4C29"/>
    <w:rsid w:val="00CC7117"/>
    <w:rsid w:val="00CD1CE8"/>
    <w:rsid w:val="00CD3853"/>
    <w:rsid w:val="00CE647E"/>
    <w:rsid w:val="00CF6A8D"/>
    <w:rsid w:val="00D03D3A"/>
    <w:rsid w:val="00D05FE2"/>
    <w:rsid w:val="00D13A59"/>
    <w:rsid w:val="00D17F91"/>
    <w:rsid w:val="00D21F8D"/>
    <w:rsid w:val="00D24714"/>
    <w:rsid w:val="00D302CE"/>
    <w:rsid w:val="00D3299B"/>
    <w:rsid w:val="00D37E99"/>
    <w:rsid w:val="00D46422"/>
    <w:rsid w:val="00D507B2"/>
    <w:rsid w:val="00D5372E"/>
    <w:rsid w:val="00D56619"/>
    <w:rsid w:val="00D6015A"/>
    <w:rsid w:val="00D61C1E"/>
    <w:rsid w:val="00D72935"/>
    <w:rsid w:val="00D8374D"/>
    <w:rsid w:val="00D871DE"/>
    <w:rsid w:val="00D9523A"/>
    <w:rsid w:val="00DA402B"/>
    <w:rsid w:val="00DA74C6"/>
    <w:rsid w:val="00DB0B88"/>
    <w:rsid w:val="00DB1DF8"/>
    <w:rsid w:val="00DB5CA4"/>
    <w:rsid w:val="00DC357A"/>
    <w:rsid w:val="00DC6A7E"/>
    <w:rsid w:val="00DD18AC"/>
    <w:rsid w:val="00DD27F1"/>
    <w:rsid w:val="00DE3022"/>
    <w:rsid w:val="00DE4B40"/>
    <w:rsid w:val="00DE54F6"/>
    <w:rsid w:val="00DF32FC"/>
    <w:rsid w:val="00DF5BFD"/>
    <w:rsid w:val="00E051E5"/>
    <w:rsid w:val="00E26736"/>
    <w:rsid w:val="00E627EB"/>
    <w:rsid w:val="00E67AD6"/>
    <w:rsid w:val="00E87767"/>
    <w:rsid w:val="00EA5AA5"/>
    <w:rsid w:val="00EA76E0"/>
    <w:rsid w:val="00EB0811"/>
    <w:rsid w:val="00EB40C8"/>
    <w:rsid w:val="00EB4187"/>
    <w:rsid w:val="00EC0C16"/>
    <w:rsid w:val="00EE338A"/>
    <w:rsid w:val="00EF4037"/>
    <w:rsid w:val="00F0261E"/>
    <w:rsid w:val="00F04795"/>
    <w:rsid w:val="00F11094"/>
    <w:rsid w:val="00F13165"/>
    <w:rsid w:val="00F2054D"/>
    <w:rsid w:val="00F20F75"/>
    <w:rsid w:val="00F21EC7"/>
    <w:rsid w:val="00F23CFF"/>
    <w:rsid w:val="00F31F74"/>
    <w:rsid w:val="00F365DF"/>
    <w:rsid w:val="00F366C8"/>
    <w:rsid w:val="00F36F21"/>
    <w:rsid w:val="00F45E75"/>
    <w:rsid w:val="00F52176"/>
    <w:rsid w:val="00F52F5D"/>
    <w:rsid w:val="00F603B9"/>
    <w:rsid w:val="00F60FE7"/>
    <w:rsid w:val="00F611AE"/>
    <w:rsid w:val="00F76C21"/>
    <w:rsid w:val="00F7766D"/>
    <w:rsid w:val="00F85777"/>
    <w:rsid w:val="00F913CF"/>
    <w:rsid w:val="00FB3A22"/>
    <w:rsid w:val="00FB6CE5"/>
    <w:rsid w:val="00FC1791"/>
    <w:rsid w:val="00FC6E93"/>
    <w:rsid w:val="00FD0B0E"/>
    <w:rsid w:val="00FD4038"/>
    <w:rsid w:val="00FE75CB"/>
    <w:rsid w:val="00FF3B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381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spacing w:after="200" w:line="276" w:lineRule="auto"/>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4826b6-37d3-4e07-ae8e-be58b00c79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80EB62954B6F40975C5EDC85A17196" ma:contentTypeVersion="13" ma:contentTypeDescription="Create a new document." ma:contentTypeScope="" ma:versionID="8b134de1cc0c0adfa1a9fe9f3b4e202f">
  <xsd:schema xmlns:xsd="http://www.w3.org/2001/XMLSchema" xmlns:xs="http://www.w3.org/2001/XMLSchema" xmlns:p="http://schemas.microsoft.com/office/2006/metadata/properties" xmlns:ns3="9e4826b6-37d3-4e07-ae8e-be58b00c79d1" xmlns:ns4="4aed0eb3-75c5-460a-a706-056134e8ede6" targetNamespace="http://schemas.microsoft.com/office/2006/metadata/properties" ma:root="true" ma:fieldsID="290b786cd124afc9360876f9a3340bbb" ns3:_="" ns4:_="">
    <xsd:import namespace="9e4826b6-37d3-4e07-ae8e-be58b00c79d1"/>
    <xsd:import namespace="4aed0eb3-75c5-460a-a706-056134e8ed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826b6-37d3-4e07-ae8e-be58b00c7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d0eb3-75c5-460a-a706-056134e8ed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90DFF-4B92-481C-8F69-828453505811}">
  <ds:schemaRefs>
    <ds:schemaRef ds:uri="http://schemas.microsoft.com/sharepoint/v3/contenttype/forms"/>
  </ds:schemaRefs>
</ds:datastoreItem>
</file>

<file path=customXml/itemProps2.xml><?xml version="1.0" encoding="utf-8"?>
<ds:datastoreItem xmlns:ds="http://schemas.openxmlformats.org/officeDocument/2006/customXml" ds:itemID="{044DC435-9287-48DB-86A2-C85F4833FC86}">
  <ds:schemaRefs>
    <ds:schemaRef ds:uri="9e4826b6-37d3-4e07-ae8e-be58b00c79d1"/>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www.w3.org/XML/1998/namespace"/>
    <ds:schemaRef ds:uri="4aed0eb3-75c5-460a-a706-056134e8ede6"/>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F09893D-7B43-4E88-A21B-5D3FA9929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826b6-37d3-4e07-ae8e-be58b00c79d1"/>
    <ds:schemaRef ds:uri="4aed0eb3-75c5-460a-a706-056134e8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70FA6-E655-4FD7-9B2A-01E35411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2023-09-22T17:10:00Z</dcterms:created>
  <dcterms:modified xsi:type="dcterms:W3CDTF">2024-03-01T21:04:00Z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0x010100C180EB62954B6F40975C5EDC85A17196</vt:lpwstr>
  </property>
</Properties>
</file>