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321" w:rsidP="00BD3C69" w14:paraId="5DC73888" w14:textId="77777777"/>
    <w:p w:rsidR="00933321" w14:paraId="3ED0B1E4" w14:textId="77777777">
      <w:pPr>
        <w:jc w:val="center"/>
      </w:pPr>
    </w:p>
    <w:p w:rsidR="000A3CA3" w:rsidP="000A3CA3" w14:paraId="7EEAC88A" w14:textId="77777777">
      <w:pPr>
        <w:spacing w:before="80"/>
        <w:ind w:left="2426" w:right="2846"/>
        <w:jc w:val="center"/>
        <w:rPr>
          <w:b/>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933321" w14:paraId="69CDD99E" w14:textId="77777777"/>
    <w:p w:rsidR="000A3CA3" w14:paraId="5EFFF29A" w14:textId="77777777">
      <w:r w:rsidRPr="000A3CA3">
        <w:rPr>
          <w:b/>
          <w:bCs/>
        </w:rPr>
        <w:t>Title</w:t>
      </w:r>
      <w:r>
        <w:t xml:space="preserve">: </w:t>
      </w:r>
      <w:r w:rsidR="00B93EC4">
        <w:t xml:space="preserve">RI 30-1 – Request to Disability Annuitant for Information on Physical Condition and    </w:t>
      </w:r>
      <w:r>
        <w:t xml:space="preserve"> </w:t>
      </w:r>
    </w:p>
    <w:p w:rsidR="00933321" w14:paraId="192276C4" w14:textId="1B8E03F9">
      <w:r>
        <w:t xml:space="preserve">          </w:t>
      </w:r>
      <w:r w:rsidR="00B93EC4">
        <w:t>Employment</w:t>
      </w:r>
    </w:p>
    <w:p w:rsidR="000A3CA3" w14:paraId="323B2A85" w14:textId="22DAF999"/>
    <w:p w:rsidR="000A3CA3" w14:paraId="45A62EC9" w14:textId="27D377FA">
      <w:r>
        <w:rPr>
          <w:b/>
        </w:rPr>
        <w:t>OMB</w:t>
      </w:r>
      <w:r>
        <w:rPr>
          <w:b/>
          <w:spacing w:val="-10"/>
        </w:rPr>
        <w:t xml:space="preserve"> </w:t>
      </w:r>
      <w:r>
        <w:rPr>
          <w:b/>
        </w:rPr>
        <w:t>Control</w:t>
      </w:r>
      <w:r>
        <w:rPr>
          <w:b/>
          <w:spacing w:val="-9"/>
        </w:rPr>
        <w:t xml:space="preserve"> </w:t>
      </w:r>
      <w:r>
        <w:rPr>
          <w:b/>
        </w:rPr>
        <w:t>Number:</w:t>
      </w:r>
      <w:r>
        <w:rPr>
          <w:b/>
          <w:spacing w:val="-8"/>
        </w:rPr>
        <w:t xml:space="preserve"> </w:t>
      </w:r>
      <w:r w:rsidRPr="000A3CA3">
        <w:rPr>
          <w:bCs/>
        </w:rPr>
        <w:t>3206-</w:t>
      </w:r>
      <w:r>
        <w:rPr>
          <w:bCs/>
        </w:rPr>
        <w:t>0143</w:t>
      </w:r>
    </w:p>
    <w:p w:rsidR="00933321" w14:paraId="5A32F40D" w14:textId="77777777"/>
    <w:p w:rsidR="00933321" w14:paraId="6FC96F0F" w14:textId="77777777">
      <w:pPr>
        <w:numPr>
          <w:ilvl w:val="0"/>
          <w:numId w:val="1"/>
        </w:numPr>
      </w:pPr>
      <w:r>
        <w:t>Justification</w:t>
      </w:r>
    </w:p>
    <w:p w:rsidR="00933321" w14:paraId="1DB69893" w14:textId="77777777"/>
    <w:p w:rsidR="00EB14B8" w:rsidRPr="00741061" w:rsidP="00EB14B8" w14:paraId="0107F847"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Explain the circumstances that make the collection of information necessary.  Identify any legal or administrative requirements that necessitate the collection.  Attach a copy of the appropriate section of each statute and regulation mandating or authorizi</w:t>
      </w:r>
      <w:r w:rsidRPr="00741061">
        <w:t xml:space="preserve">ng the collection of information.  </w:t>
      </w:r>
    </w:p>
    <w:p w:rsidR="00EB14B8" w:rsidP="00EB14B8" w14:paraId="29CC6A1A" w14:textId="77777777">
      <w:pPr>
        <w:ind w:left="720"/>
      </w:pPr>
    </w:p>
    <w:p w:rsidR="00D61B27" w:rsidP="00BD7AF9" w14:paraId="220F24AA" w14:textId="2657C173">
      <w:pPr>
        <w:ind w:left="720"/>
      </w:pPr>
      <w:r>
        <w:t xml:space="preserve">Form RI 30-1 is used by persons who are not yet age 60 and who are receiving a disability annuity and are subject to inquiry regarding their medical condition as OPM deems reasonably </w:t>
      </w:r>
      <w:r w:rsidR="00BD3C69">
        <w:t>necessary</w:t>
      </w:r>
      <w:r w:rsidR="0018514C">
        <w:t>.</w:t>
      </w:r>
      <w:r w:rsidRPr="0018514C" w:rsidR="0018514C">
        <w:t xml:space="preserve"> In accordance with the statutory provisions under 5 U.S.C. 8337(c) and 8454 and the regulatory provisions under 5 C.F.R. 831.1208(a) and 844.401(a)</w:t>
      </w:r>
      <w:r>
        <w:t xml:space="preserve"> a disability annuitant under age 60 shall be examined at the end of one year from the date of the disability retirement and reexamine</w:t>
      </w:r>
      <w:r>
        <w:t xml:space="preserve">d annually thereafter under the direction of the Office of Personnel Management (OPM), unless OPM determines that the disability is permanent.  If the annuitant fails to submit to examination, payment of the annuity </w:t>
      </w:r>
      <w:r w:rsidR="00BD3C69">
        <w:t>must</w:t>
      </w:r>
      <w:r>
        <w:t xml:space="preserve"> be suspended until continuing eligi</w:t>
      </w:r>
      <w:r>
        <w:t>bility for disability annuity is established.</w:t>
      </w:r>
    </w:p>
    <w:p w:rsidR="00D61B27" w:rsidP="00D61B27" w14:paraId="39FE5C19" w14:textId="77777777">
      <w:pPr>
        <w:ind w:left="720" w:hanging="420"/>
      </w:pPr>
    </w:p>
    <w:p w:rsidR="00933321" w:rsidP="00BD7AF9" w14:paraId="6E1FEE1A" w14:textId="3E25A55F">
      <w:pPr>
        <w:ind w:left="720"/>
      </w:pPr>
      <w:r w:rsidRPr="0018514C">
        <w:t xml:space="preserve">The statutory provisions under 5 U.S.C. 8337(d) and 8455 and the regulatory provisions under 5 C.F.R. 831.1209 and 844.402 </w:t>
      </w:r>
      <w:r w:rsidR="00D61B27">
        <w:t xml:space="preserve">provide that a disability annuitant under age 60 is no longer eligible for disability annuity if he or she earns 80 percent of the current rate of pay of the position occupied immediately before retirement.  The information collected on the reverse of RI 30-1 is used to verify whether the respondent is earning 80 percent of the current rate of pay. Further, 5, USC, 8337(f) and 8464a provide that an individual is not entitled to receive an annuity from OPM and compensation for an on-the-job injury under subchapter I of chapter 81, other than compensation payable under section 8107, covering the same </w:t>
      </w:r>
      <w:r w:rsidR="00D61B27">
        <w:t>period of time</w:t>
      </w:r>
      <w:r w:rsidR="00D61B27">
        <w:t>. Information is collected on the reverse of RI 30-1 to enable OPM to determine whether the respondent is receiving payments from the Department of Labor</w:t>
      </w:r>
      <w:r w:rsidRPr="00851D23" w:rsidR="00D61B27">
        <w:t xml:space="preserve"> </w:t>
      </w:r>
      <w:r w:rsidR="00D61B27">
        <w:t>which would affect eligibility for annuity.</w:t>
      </w:r>
    </w:p>
    <w:p w:rsidR="00933321" w14:paraId="59FE5AD2" w14:textId="77777777">
      <w:pPr>
        <w:ind w:left="360"/>
      </w:pPr>
    </w:p>
    <w:p w:rsidR="00EB14B8" w:rsidRPr="00741061" w:rsidP="00EB14B8" w14:paraId="0DEF2267"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Indicate how, by w</w:t>
      </w:r>
      <w:r w:rsidRPr="00741061">
        <w:t xml:space="preserve">hom, and for what purpose the information is to be used.  Except for a new collection, indicate the actual use the agency has made of the information received from the current collection. </w:t>
      </w:r>
    </w:p>
    <w:p w:rsidR="00EB14B8" w:rsidP="00EB14B8" w14:paraId="2A07836A" w14:textId="77777777">
      <w:pPr>
        <w:ind w:left="720"/>
      </w:pPr>
    </w:p>
    <w:p w:rsidR="00550389" w:rsidP="00BD3C69" w14:paraId="6E0DEFC7" w14:textId="521A36FE">
      <w:pPr>
        <w:ind w:left="720"/>
      </w:pPr>
      <w:r>
        <w:t xml:space="preserve">At the end of the first year of an approved disability </w:t>
      </w:r>
      <w:r>
        <w:t>retirement and annually thereafter, form RI 30-1 is forwarded to annuitants to whom these provisions are applicable.  OPM determines whether the conditions to continue the annuity are met.</w:t>
      </w:r>
      <w:r w:rsidRPr="00D75F14">
        <w:t xml:space="preserve"> </w:t>
      </w:r>
      <w:r>
        <w:t>If this information is not collected, we might continue to pay bene</w:t>
      </w:r>
      <w:r>
        <w:t xml:space="preserve">fits to persons who are no longer entitled. </w:t>
      </w:r>
      <w:r w:rsidR="00BD3C69">
        <w:t xml:space="preserve">This information collection has been revised to include </w:t>
      </w:r>
      <w:r w:rsidRPr="00BD3C69" w:rsidR="00BD3C69">
        <w:t>the phrase “licensed health practitioner”</w:t>
      </w:r>
      <w:r w:rsidR="00BE63D3">
        <w:t xml:space="preserve"> after physician reference.</w:t>
      </w:r>
    </w:p>
    <w:p w:rsidR="00550389" w:rsidP="00550389" w14:paraId="543B9920" w14:textId="77777777">
      <w:pPr>
        <w:ind w:left="720"/>
      </w:pPr>
    </w:p>
    <w:p w:rsidR="00EB14B8" w:rsidRPr="00741061" w:rsidP="00EB14B8" w14:paraId="4D93D5B7"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w:t>
      </w:r>
      <w:r w:rsidRPr="00741061">
        <w:t>nvolves the use of automated, electronic, mechanical, or other technological collection techniques or other forms of information technology, e.g., permitting electronic submission of responses, and the basis for the decision for adopting this means of coll</w:t>
      </w:r>
      <w:r w:rsidRPr="00741061">
        <w:t>ection.  Also describe any consideration of using information technology to reduce burden.</w:t>
      </w:r>
      <w:r w:rsidRPr="00741061">
        <w:tab/>
      </w:r>
    </w:p>
    <w:p w:rsidR="00EB14B8" w:rsidP="00EB14B8" w14:paraId="3B7A99D5" w14:textId="77777777">
      <w:pPr>
        <w:ind w:left="720"/>
      </w:pPr>
    </w:p>
    <w:p w:rsidR="00933321" w:rsidP="00EB14B8" w14:paraId="696C5DBD" w14:textId="77777777">
      <w:pPr>
        <w:ind w:left="720"/>
      </w:pPr>
      <w:r>
        <w:t>The information collected can only be obtained from the respondents.  New methods of information technology would do little to reduce the burden on the respondents</w:t>
      </w:r>
      <w:r>
        <w:t>; they must sign the questionnaire attesting to its truth, under penalty of law, to the best of their knowledge.  However, this form is available on our website in a pdf fillable format and meets our GPEA requirement.</w:t>
      </w:r>
    </w:p>
    <w:p w:rsidR="00933321" w14:paraId="7D5501EF" w14:textId="77777777">
      <w:pPr>
        <w:ind w:left="360"/>
      </w:pPr>
    </w:p>
    <w:p w:rsidR="009B7453" w:rsidRPr="00741061" w:rsidP="009B7453" w14:paraId="41382BB4" w14:textId="6860330B">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w:t>
      </w:r>
      <w:r w:rsidRPr="00741061">
        <w:t xml:space="preserve">identify duplication. Show specifically why any similar information already available cannot be used or modified for use for the purposes described in Item 2 above. </w:t>
      </w:r>
    </w:p>
    <w:p w:rsidR="009B7453" w:rsidP="009B7453" w14:paraId="22F1783A" w14:textId="77777777">
      <w:pPr>
        <w:ind w:left="720"/>
      </w:pPr>
    </w:p>
    <w:p w:rsidR="00933321" w:rsidP="009B7453" w14:paraId="249E08C3" w14:textId="77777777">
      <w:pPr>
        <w:ind w:left="720"/>
      </w:pPr>
      <w:r>
        <w:t xml:space="preserve">Responses are filed individually.  Only one response is needed from </w:t>
      </w:r>
      <w:r>
        <w:t>each individual</w:t>
      </w:r>
      <w:r>
        <w:t>.</w:t>
      </w:r>
    </w:p>
    <w:p w:rsidR="00933321" w14:paraId="5DC2E373" w14:textId="77777777"/>
    <w:p w:rsidR="009B7453" w:rsidRPr="00741061" w:rsidP="009B7453" w14:paraId="189C9EFA" w14:textId="77777777">
      <w:pPr>
        <w:pStyle w:val="ListParagraph"/>
        <w:numPr>
          <w:ilvl w:val="0"/>
          <w:numId w:val="2"/>
        </w:numPr>
        <w:shd w:val="pct25" w:color="auto" w:fill="auto"/>
        <w:tabs>
          <w:tab w:val="left" w:pos="-720"/>
        </w:tabs>
        <w:suppressAutoHyphens/>
      </w:pPr>
      <w:r w:rsidRPr="00741061">
        <w:fldChar w:fldCharType="begin"/>
      </w:r>
      <w:r w:rsidRPr="00741061">
        <w:instrText>ADV</w:instrText>
      </w:r>
      <w:r w:rsidRPr="00741061">
        <w:instrText>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14:paraId="4B8B9B63" w14:textId="77777777">
      <w:pPr>
        <w:ind w:left="720"/>
      </w:pPr>
      <w:r w:rsidRPr="00741061">
        <w:tab/>
      </w:r>
    </w:p>
    <w:p w:rsidR="00933321" w:rsidP="009B7453" w14:paraId="45D4F224" w14:textId="77777777">
      <w:pPr>
        <w:ind w:left="720"/>
      </w:pPr>
      <w:r>
        <w:t>This information collection request has no impact on small businesses</w:t>
      </w:r>
      <w:r w:rsidR="00BA1768">
        <w:t xml:space="preserve"> and</w:t>
      </w:r>
      <w:r>
        <w:t xml:space="preserve"> organizations.</w:t>
      </w:r>
    </w:p>
    <w:p w:rsidR="00933321" w14:paraId="155A2C5E" w14:textId="77777777"/>
    <w:p w:rsidR="009B7453" w:rsidRPr="00741061" w:rsidP="009B7453" w14:paraId="3F64CB18" w14:textId="18FDE64E">
      <w:pPr>
        <w:pStyle w:val="ListParagraph"/>
        <w:numPr>
          <w:ilvl w:val="0"/>
          <w:numId w:val="2"/>
        </w:numPr>
        <w:shd w:val="pct25" w:color="auto" w:fill="auto"/>
        <w:tabs>
          <w:tab w:val="left" w:pos="-720"/>
        </w:tabs>
        <w:suppressAutoHyphens/>
      </w:pPr>
      <w:r w:rsidRPr="00741061">
        <w:t>D</w:t>
      </w:r>
      <w:r w:rsidRPr="00741061">
        <w:t>escribe the consequence to Federal program or policy activities if the collection of information is not conducted, or is conducted less frequently, as well as any technical or legal obstacles to reducing burden.</w:t>
      </w:r>
    </w:p>
    <w:p w:rsidR="009B7453" w:rsidP="009B7453" w14:paraId="18D0335C" w14:textId="77777777">
      <w:pPr>
        <w:ind w:left="720"/>
      </w:pPr>
    </w:p>
    <w:p w:rsidR="00933321" w:rsidP="009B7453" w14:paraId="064F0985" w14:textId="77777777">
      <w:pPr>
        <w:ind w:left="720"/>
      </w:pPr>
      <w:r>
        <w:t>The collection of this information is perfo</w:t>
      </w:r>
      <w:r>
        <w:t>rmed as needed to pay eligible persons.  Less frequent collection would cause OPM to pay to persons who may no longer be eligible.</w:t>
      </w:r>
      <w:r w:rsidR="002C1F76">
        <w:t xml:space="preserve"> </w:t>
      </w:r>
      <w:r w:rsidR="00934188">
        <w:t>The collection is consistent with the guidelines in 5 CFR 1320.6.</w:t>
      </w:r>
    </w:p>
    <w:p w:rsidR="00933321" w14:paraId="212CF687" w14:textId="77777777"/>
    <w:p w:rsidR="00A76E39" w:rsidP="00A76E39" w14:paraId="54FA7042" w14:textId="77777777">
      <w:pPr>
        <w:pStyle w:val="ListParagraph"/>
        <w:numPr>
          <w:ilvl w:val="0"/>
          <w:numId w:val="2"/>
        </w:numPr>
        <w:shd w:val="pct25" w:color="auto" w:fill="auto"/>
        <w:tabs>
          <w:tab w:val="left" w:pos="-720"/>
        </w:tabs>
        <w:suppressAutoHyphens/>
      </w:pPr>
      <w:r w:rsidRPr="009B7453">
        <w:t xml:space="preserve">Explain any special circumstances that would cause an </w:t>
      </w:r>
      <w:r w:rsidRPr="009B7453">
        <w:t>information collection to be conducted in a manner:</w:t>
      </w:r>
      <w:r>
        <w:t xml:space="preserve">   </w:t>
      </w:r>
    </w:p>
    <w:p w:rsidR="00A76E39" w:rsidP="00A76E39" w14:paraId="26B17E4D" w14:textId="77777777">
      <w:pPr>
        <w:pStyle w:val="ListParagraph"/>
        <w:numPr>
          <w:ilvl w:val="0"/>
          <w:numId w:val="3"/>
        </w:numPr>
        <w:shd w:val="pct25" w:color="auto" w:fill="auto"/>
        <w:tabs>
          <w:tab w:val="left" w:pos="-720"/>
        </w:tabs>
        <w:suppressAutoHyphens/>
      </w:pPr>
      <w:r>
        <w:t xml:space="preserve">requiring respondents to report information to the agency more often than </w:t>
      </w:r>
      <w:r>
        <w:t>quarterly;</w:t>
      </w:r>
    </w:p>
    <w:p w:rsidR="00A76E39" w:rsidP="00A76E39" w14:paraId="02472026"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w:t>
      </w:r>
      <w:r>
        <w:t xml:space="preserve">pt of </w:t>
      </w:r>
      <w:r>
        <w:t>it;</w:t>
      </w:r>
    </w:p>
    <w:p w:rsidR="00A76E39" w:rsidP="00A76E39" w14:paraId="7DA912EA"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w:t>
      </w:r>
      <w:r>
        <w:t>document;</w:t>
      </w:r>
      <w:r>
        <w:t xml:space="preserve"> </w:t>
      </w:r>
    </w:p>
    <w:p w:rsidR="00A76E39" w:rsidP="00A76E39" w14:paraId="5A47954B" w14:textId="77777777">
      <w:pPr>
        <w:pStyle w:val="ListParagraph"/>
        <w:numPr>
          <w:ilvl w:val="0"/>
          <w:numId w:val="3"/>
        </w:numPr>
        <w:shd w:val="pct25" w:color="auto" w:fill="auto"/>
        <w:tabs>
          <w:tab w:val="left" w:pos="-720"/>
        </w:tabs>
        <w:suppressAutoHyphens/>
      </w:pPr>
      <w:r>
        <w:t xml:space="preserve">requiring respondents to retain records, other than health, medical, government contract, grant-in-aid, or tax records, for more than three </w:t>
      </w:r>
      <w:r>
        <w:t>years;</w:t>
      </w:r>
    </w:p>
    <w:p w:rsidR="00A76E39" w:rsidP="00A76E39" w14:paraId="07373996" w14:textId="77777777">
      <w:pPr>
        <w:pStyle w:val="ListParagraph"/>
        <w:numPr>
          <w:ilvl w:val="0"/>
          <w:numId w:val="3"/>
        </w:numPr>
        <w:shd w:val="pct25" w:color="auto" w:fill="auto"/>
        <w:tabs>
          <w:tab w:val="left" w:pos="-720"/>
        </w:tabs>
        <w:suppressAutoHyphens/>
      </w:pPr>
      <w:r>
        <w:t>in connectio</w:t>
      </w:r>
      <w:r>
        <w:t xml:space="preserve">n with a statistical survey, that is not designed to produce valid and reliable results that can be generalized to the universe of </w:t>
      </w:r>
      <w:r>
        <w:t>study;</w:t>
      </w:r>
      <w:r>
        <w:t xml:space="preserve"> </w:t>
      </w:r>
    </w:p>
    <w:p w:rsidR="00A76E39" w:rsidP="00A76E39" w14:paraId="6CA8F313"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w:t>
      </w:r>
      <w:r>
        <w:t>OMB;</w:t>
      </w:r>
      <w:r>
        <w:t xml:space="preserve"> </w:t>
      </w:r>
    </w:p>
    <w:p w:rsidR="00A76E39" w:rsidP="00A76E39" w14:paraId="288219F6" w14:textId="77777777">
      <w:pPr>
        <w:pStyle w:val="ListParagraph"/>
        <w:numPr>
          <w:ilvl w:val="0"/>
          <w:numId w:val="3"/>
        </w:numPr>
        <w:shd w:val="pct25" w:color="auto" w:fill="auto"/>
        <w:tabs>
          <w:tab w:val="left" w:pos="-720"/>
        </w:tabs>
        <w:suppressAutoHyphens/>
      </w:pPr>
      <w:r>
        <w:t>that includes a</w:t>
      </w:r>
      <w:r>
        <w:t xml:space="preserve"> pledge of confidentiality that is not supported by authority established in statute or regulation, that is not supported by disclosure and data security policies </w:t>
      </w:r>
      <w:r>
        <w:t>that are consistent with the pledge, or which is unnecessarily impedes sharing of data with o</w:t>
      </w:r>
      <w:r>
        <w:t xml:space="preserve">ther agencies for compatible confidential use; or </w:t>
      </w:r>
    </w:p>
    <w:p w:rsidR="00E54E94" w:rsidRPr="00741061" w:rsidP="00A76E39" w14:paraId="222AC82A"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w:t>
      </w:r>
      <w:r>
        <w:t xml:space="preserve"> to the extent permitted by law.</w:t>
      </w:r>
    </w:p>
    <w:p w:rsidR="00E54E94" w:rsidP="00E54E94" w14:paraId="5E4DA5E8" w14:textId="77777777">
      <w:pPr>
        <w:ind w:left="720"/>
      </w:pPr>
    </w:p>
    <w:p w:rsidR="00933321" w:rsidP="00E54E94" w14:paraId="63E2AD64" w14:textId="77777777">
      <w:pPr>
        <w:ind w:left="720"/>
      </w:pPr>
      <w:r>
        <w:t xml:space="preserve">There </w:t>
      </w:r>
      <w:r w:rsidR="001E25A6">
        <w:t>are no special circumstances involved in the collection of this information</w:t>
      </w:r>
      <w:r>
        <w:t>.</w:t>
      </w:r>
    </w:p>
    <w:p w:rsidR="00933321" w14:paraId="0A22B5B1" w14:textId="77777777"/>
    <w:p w:rsidR="00E54E94" w:rsidRPr="00741061" w:rsidP="00E54E94" w14:paraId="70A0EB0A"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t>publication</w:t>
      </w:r>
      <w:r w:rsidRPr="00741061">
        <w:t xml:space="preserve"> in the Federal </w:t>
      </w:r>
      <w:r w:rsidRPr="00741061">
        <w:t>Register of the agency’s notice soliciting comments on the information collection prior to submission to OMB</w:t>
      </w:r>
    </w:p>
    <w:p w:rsidR="00E54E94" w:rsidP="00E54E94" w14:paraId="6865D11F" w14:textId="77777777">
      <w:pPr>
        <w:ind w:left="720"/>
      </w:pPr>
    </w:p>
    <w:p w:rsidR="006779F4" w:rsidP="006779F4" w14:paraId="3546B0B1" w14:textId="12F7E006">
      <w:pPr>
        <w:ind w:left="720"/>
      </w:pPr>
      <w:r>
        <w:t xml:space="preserve">On </w:t>
      </w:r>
      <w:r w:rsidR="00550389">
        <w:t>May 3</w:t>
      </w:r>
      <w:r>
        <w:t>,</w:t>
      </w:r>
      <w:r w:rsidR="00550389">
        <w:t xml:space="preserve"> 2023</w:t>
      </w:r>
      <w:r w:rsidR="001B5B8F">
        <w:t>,</w:t>
      </w:r>
      <w:r>
        <w:t xml:space="preserve"> a 60</w:t>
      </w:r>
      <w:r w:rsidR="001B5B8F">
        <w:t>-d</w:t>
      </w:r>
      <w:r>
        <w:t>ay Federal Register Notice was published at 8</w:t>
      </w:r>
      <w:r w:rsidR="00550389">
        <w:t>8</w:t>
      </w:r>
      <w:r>
        <w:t xml:space="preserve"> FR </w:t>
      </w:r>
      <w:r w:rsidR="00550389">
        <w:t>27928</w:t>
      </w:r>
      <w:r>
        <w:t>.</w:t>
      </w:r>
      <w:r w:rsidRPr="00741061" w:rsidR="00550389">
        <w:t xml:space="preserve"> </w:t>
      </w:r>
      <w:r w:rsidR="00096565">
        <w:t>In part, t</w:t>
      </w:r>
      <w:r w:rsidR="00550389">
        <w:t xml:space="preserve">he </w:t>
      </w:r>
      <w:r>
        <w:t>following</w:t>
      </w:r>
      <w:r w:rsidR="00550389">
        <w:t xml:space="preserve"> comment</w:t>
      </w:r>
      <w:r>
        <w:t xml:space="preserve"> was</w:t>
      </w:r>
      <w:r w:rsidR="00550389">
        <w:t xml:space="preserve"> received</w:t>
      </w:r>
      <w:r>
        <w:t>:</w:t>
      </w:r>
    </w:p>
    <w:p w:rsidR="006779F4" w:rsidP="00046589" w14:paraId="1C768DDD" w14:textId="77777777">
      <w:pPr>
        <w:ind w:left="720"/>
      </w:pPr>
    </w:p>
    <w:p w:rsidR="006779F4" w:rsidRPr="004A7FF1" w:rsidP="006779F4" w14:paraId="3783D7E1" w14:textId="4A5A0DE3">
      <w:pPr>
        <w:ind w:left="720"/>
        <w:rPr>
          <w:i/>
          <w:iCs/>
          <w:szCs w:val="24"/>
        </w:rPr>
      </w:pPr>
      <w:r w:rsidRPr="004A7FF1">
        <w:rPr>
          <w:i/>
          <w:iCs/>
          <w:szCs w:val="24"/>
        </w:rPr>
        <w:t>“The American Associa</w:t>
      </w:r>
      <w:r w:rsidRPr="004A7FF1">
        <w:rPr>
          <w:i/>
          <w:iCs/>
          <w:szCs w:val="24"/>
        </w:rPr>
        <w:t>tion of Nurse Practitioners (AANP), representing more than 385,000 nurse practitioners (NPs) in the United States, appreciates the opportunity to provide comment on the “Request to Disability Annuitant for Information on Physical Condition for Employment F</w:t>
      </w:r>
      <w:r w:rsidRPr="004A7FF1">
        <w:rPr>
          <w:i/>
          <w:iCs/>
          <w:szCs w:val="24"/>
        </w:rPr>
        <w:t xml:space="preserve">orm.” In the form, we recommend that OPM use </w:t>
      </w:r>
      <w:bookmarkStart w:id="0" w:name="_Hlk162446326"/>
      <w:r w:rsidRPr="004A7FF1">
        <w:rPr>
          <w:i/>
          <w:iCs/>
          <w:szCs w:val="24"/>
        </w:rPr>
        <w:t xml:space="preserve">the phrase “licensed health practitioner” </w:t>
      </w:r>
      <w:bookmarkEnd w:id="0"/>
      <w:r w:rsidRPr="004A7FF1">
        <w:rPr>
          <w:i/>
          <w:iCs/>
          <w:szCs w:val="24"/>
        </w:rPr>
        <w:t>instead of “physician” to maintain consistency with other OPM forms and regulations. This term is already defined under 5 CFR 339.104, used in other areas of the Civil S</w:t>
      </w:r>
      <w:r w:rsidRPr="004A7FF1">
        <w:rPr>
          <w:i/>
          <w:iCs/>
          <w:szCs w:val="24"/>
        </w:rPr>
        <w:t>ervice Retirement System (CSRS) and Federal Employees’ Retirement System (FERS) regulations, is inclusive of NPs and will ensure that disability annuitants are authorized to receive care from nurse practitioners and other health care professionals.”</w:t>
      </w:r>
    </w:p>
    <w:p w:rsidR="006779F4" w:rsidRPr="00046589" w:rsidP="006779F4" w14:paraId="7D1D9AA2" w14:textId="77777777">
      <w:pPr>
        <w:ind w:left="720"/>
        <w:rPr>
          <w:szCs w:val="24"/>
        </w:rPr>
      </w:pPr>
    </w:p>
    <w:p w:rsidR="006779F4" w:rsidRPr="004A7FF1" w:rsidP="006779F4" w14:paraId="0AD14E93" w14:textId="412EAEDF">
      <w:pPr>
        <w:ind w:left="720"/>
        <w:rPr>
          <w:szCs w:val="24"/>
        </w:rPr>
      </w:pPr>
      <w:r w:rsidRPr="004A7FF1">
        <w:rPr>
          <w:szCs w:val="24"/>
        </w:rPr>
        <w:t>OPM’s response is as follows:</w:t>
      </w:r>
    </w:p>
    <w:p w:rsidR="006779F4" w:rsidRPr="00046589" w:rsidP="006779F4" w14:paraId="78C3D25D" w14:textId="77777777">
      <w:pPr>
        <w:ind w:left="720"/>
        <w:rPr>
          <w:sz w:val="22"/>
          <w:szCs w:val="22"/>
        </w:rPr>
      </w:pPr>
    </w:p>
    <w:p w:rsidR="006779F4" w:rsidRPr="004A7FF1" w:rsidP="00046589" w14:paraId="7F7856AA" w14:textId="77777777">
      <w:pPr>
        <w:spacing w:before="20" w:after="20"/>
        <w:ind w:left="720"/>
        <w:rPr>
          <w:i/>
          <w:iCs/>
          <w:szCs w:val="24"/>
        </w:rPr>
      </w:pPr>
      <w:r w:rsidRPr="004A7FF1">
        <w:rPr>
          <w:i/>
          <w:iCs/>
          <w:szCs w:val="24"/>
        </w:rPr>
        <w:t xml:space="preserve">“Dear Ms. </w:t>
      </w:r>
      <w:r w:rsidRPr="004A7FF1">
        <w:rPr>
          <w:i/>
          <w:iCs/>
          <w:szCs w:val="24"/>
        </w:rPr>
        <w:t>Sapio</w:t>
      </w:r>
      <w:r w:rsidRPr="004A7FF1">
        <w:rPr>
          <w:i/>
          <w:iCs/>
          <w:szCs w:val="24"/>
        </w:rPr>
        <w:t>:</w:t>
      </w:r>
    </w:p>
    <w:p w:rsidR="006779F4" w:rsidRPr="004A7FF1" w:rsidP="00046589" w14:paraId="46A1BABB" w14:textId="77777777">
      <w:pPr>
        <w:spacing w:before="20" w:after="20"/>
        <w:ind w:left="720"/>
        <w:rPr>
          <w:i/>
          <w:iCs/>
          <w:szCs w:val="24"/>
        </w:rPr>
      </w:pPr>
    </w:p>
    <w:p w:rsidR="006779F4" w:rsidRPr="004A7FF1" w:rsidP="00046589" w14:paraId="45858541" w14:textId="77777777">
      <w:pPr>
        <w:spacing w:before="20" w:after="20"/>
        <w:ind w:left="720"/>
        <w:rPr>
          <w:i/>
          <w:iCs/>
          <w:szCs w:val="24"/>
        </w:rPr>
      </w:pPr>
      <w:r w:rsidRPr="004A7FF1">
        <w:rPr>
          <w:i/>
          <w:iCs/>
          <w:szCs w:val="24"/>
        </w:rPr>
        <w:t xml:space="preserve">This is in response to the March 21, </w:t>
      </w:r>
      <w:r w:rsidRPr="004A7FF1">
        <w:rPr>
          <w:i/>
          <w:iCs/>
          <w:szCs w:val="24"/>
        </w:rPr>
        <w:t>2024</w:t>
      </w:r>
      <w:r w:rsidRPr="004A7FF1">
        <w:rPr>
          <w:i/>
          <w:iCs/>
          <w:szCs w:val="24"/>
        </w:rPr>
        <w:t xml:space="preserve"> letter from Jon Fanning providing comments on our proposed revisions to OMB 3206-0143, RI 30-1, Request to Disability Annuitant for Information on Physical Condition</w:t>
      </w:r>
      <w:r w:rsidRPr="004A7FF1">
        <w:rPr>
          <w:i/>
          <w:iCs/>
          <w:szCs w:val="24"/>
        </w:rPr>
        <w:t xml:space="preserve"> for Employment.</w:t>
      </w:r>
    </w:p>
    <w:p w:rsidR="006779F4" w:rsidRPr="004A7FF1" w:rsidP="00046589" w14:paraId="2E55E8FA" w14:textId="77777777">
      <w:pPr>
        <w:spacing w:before="20" w:after="20"/>
        <w:ind w:left="720"/>
        <w:rPr>
          <w:i/>
          <w:iCs/>
          <w:szCs w:val="24"/>
        </w:rPr>
      </w:pPr>
    </w:p>
    <w:p w:rsidR="006779F4" w:rsidRPr="004A7FF1" w:rsidP="00046589" w14:paraId="30D79AE9" w14:textId="77777777">
      <w:pPr>
        <w:pStyle w:val="ListParagraph"/>
        <w:spacing w:before="20" w:after="20"/>
        <w:rPr>
          <w:i/>
          <w:iCs/>
          <w:szCs w:val="24"/>
        </w:rPr>
      </w:pPr>
      <w:r w:rsidRPr="004A7FF1">
        <w:rPr>
          <w:i/>
          <w:iCs/>
          <w:szCs w:val="24"/>
        </w:rPr>
        <w:t xml:space="preserve">Please be advised that we have revised the </w:t>
      </w:r>
      <w:r w:rsidRPr="004A7FF1">
        <w:rPr>
          <w:i/>
          <w:iCs/>
          <w:szCs w:val="24"/>
        </w:rPr>
        <w:t>April,</w:t>
      </w:r>
      <w:r w:rsidRPr="004A7FF1">
        <w:rPr>
          <w:i/>
          <w:iCs/>
          <w:szCs w:val="24"/>
        </w:rPr>
        <w:t xml:space="preserve"> 2024 form to include that a statement from a physician or other licensed health practitioner will be required to determine if the condition on which they retired continues to be disabling.</w:t>
      </w:r>
      <w:r w:rsidRPr="004A7FF1">
        <w:rPr>
          <w:i/>
          <w:iCs/>
          <w:szCs w:val="24"/>
        </w:rPr>
        <w:t xml:space="preserve">     </w:t>
      </w:r>
    </w:p>
    <w:p w:rsidR="006779F4" w:rsidRPr="004A7FF1" w:rsidP="00046589" w14:paraId="5A5E992F" w14:textId="77777777">
      <w:pPr>
        <w:pStyle w:val="ListParagraph"/>
        <w:spacing w:before="20" w:after="20"/>
        <w:rPr>
          <w:i/>
          <w:iCs/>
          <w:szCs w:val="24"/>
        </w:rPr>
      </w:pPr>
    </w:p>
    <w:p w:rsidR="00E54E94" w:rsidRPr="004A7FF1" w:rsidP="00046589" w14:paraId="1EA8CEE9" w14:textId="2D31D03B">
      <w:pPr>
        <w:ind w:left="720"/>
        <w:rPr>
          <w:i/>
          <w:iCs/>
          <w:szCs w:val="24"/>
        </w:rPr>
      </w:pPr>
      <w:r w:rsidRPr="004A7FF1">
        <w:rPr>
          <w:i/>
          <w:iCs/>
          <w:szCs w:val="24"/>
        </w:rPr>
        <w:t>We appreciate your taking the time to comment on the RI 30-1.”</w:t>
      </w:r>
    </w:p>
    <w:p w:rsidR="00D26B70" w:rsidP="00D26B70" w14:paraId="524A7206" w14:textId="77777777">
      <w:pPr>
        <w:pStyle w:val="Default"/>
      </w:pPr>
    </w:p>
    <w:p w:rsidR="00096565" w:rsidP="00D26B70" w14:paraId="415C01AE" w14:textId="74FC0FFA">
      <w:pPr>
        <w:ind w:left="720"/>
        <w:rPr>
          <w:szCs w:val="24"/>
        </w:rPr>
      </w:pPr>
      <w:r>
        <w:t>OPM has</w:t>
      </w:r>
      <w:r>
        <w:rPr>
          <w:sz w:val="23"/>
          <w:szCs w:val="23"/>
        </w:rPr>
        <w:t xml:space="preserve"> revised the April 2024 version of the form by clarifying that medical documentation can be from a physician or licensed health practitioner. We adjusted “physician” to “physician or licensed health practitioner” throughout the form. </w:t>
      </w:r>
      <w:r w:rsidR="00CE782A">
        <w:rPr>
          <w:szCs w:val="24"/>
        </w:rPr>
        <w:t>No other comments were received.</w:t>
      </w:r>
    </w:p>
    <w:p w:rsidR="00793FC0" w:rsidP="00046589" w14:paraId="70C62062" w14:textId="77777777">
      <w:pPr>
        <w:ind w:left="720"/>
      </w:pPr>
    </w:p>
    <w:p w:rsidR="00E54E94" w:rsidRPr="00741061" w:rsidP="00E54E94" w14:paraId="4D1670AC"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P="00E54E94" w14:paraId="70ED60E1" w14:textId="77777777">
      <w:pPr>
        <w:tabs>
          <w:tab w:val="left" w:pos="-720"/>
        </w:tabs>
        <w:suppressAutoHyphens/>
        <w:ind w:right="-288"/>
      </w:pPr>
    </w:p>
    <w:p w:rsidR="00E54E94" w:rsidRPr="00741061" w:rsidP="00E54E94" w14:paraId="5DAA953E" w14:textId="77777777">
      <w:pPr>
        <w:tabs>
          <w:tab w:val="left" w:pos="-720"/>
        </w:tabs>
        <w:suppressAutoHyphens/>
        <w:ind w:left="720" w:right="-576"/>
      </w:pPr>
      <w:r w:rsidRPr="00741061">
        <w:t xml:space="preserve">No gifts or payments of any </w:t>
      </w:r>
      <w:r w:rsidRPr="00741061">
        <w:t>kind have been provided to any individuals who are connected to this collection.</w:t>
      </w:r>
    </w:p>
    <w:p w:rsidR="00E54E94" w:rsidP="00E54E94" w14:paraId="742C4EF3" w14:textId="77777777">
      <w:pPr>
        <w:ind w:left="720" w:right="-288"/>
      </w:pPr>
    </w:p>
    <w:p w:rsidR="00E54E94" w:rsidRPr="00741061" w:rsidP="00E54E94" w14:paraId="62DDC1E7"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14:paraId="70649E0C" w14:textId="77777777">
      <w:pPr>
        <w:ind w:left="720" w:right="-288"/>
      </w:pPr>
    </w:p>
    <w:p w:rsidR="00933321" w:rsidP="008C3749" w14:paraId="0779DDCA" w14:textId="180B643B">
      <w:pPr>
        <w:ind w:left="720" w:right="-288"/>
      </w:pPr>
      <w:r>
        <w:t>This information collection is protected by the Privacy Act of 1974 and OPM regulations (5 CFR 831.106).  The ro</w:t>
      </w:r>
      <w:r>
        <w:t xml:space="preserve">utine uses of disclosure appear in the </w:t>
      </w:r>
      <w:r w:rsidRPr="00E54E94">
        <w:rPr>
          <w:i/>
        </w:rPr>
        <w:t>Federal Register</w:t>
      </w:r>
      <w:r>
        <w:t xml:space="preserve"> for OPM/Central-1 (73 FR 15013, </w:t>
      </w:r>
      <w:r w:rsidRPr="00E54E94">
        <w:rPr>
          <w:i/>
        </w:rPr>
        <w:t>et seq</w:t>
      </w:r>
      <w:r>
        <w:t xml:space="preserve">., </w:t>
      </w:r>
      <w:r w:rsidR="0005004D">
        <w:t xml:space="preserve">published </w:t>
      </w:r>
      <w:r w:rsidR="00550389">
        <w:t>February 2, 2022</w:t>
      </w:r>
      <w:r w:rsidR="008C3749">
        <w:t>.)</w:t>
      </w:r>
    </w:p>
    <w:p w:rsidR="00E54E94" w:rsidP="00E54E94" w14:paraId="693E4C45" w14:textId="77777777"/>
    <w:p w:rsidR="00E54E94" w:rsidP="00E54E94" w14:paraId="3DB52D69" w14:textId="106A9A2B">
      <w:pPr>
        <w:pStyle w:val="ListParagraph"/>
        <w:numPr>
          <w:ilvl w:val="0"/>
          <w:numId w:val="2"/>
        </w:numPr>
        <w:shd w:val="pct25" w:color="auto" w:fill="auto"/>
        <w:tabs>
          <w:tab w:val="left" w:pos="-720"/>
        </w:tabs>
        <w:suppressAutoHyphens/>
      </w:pPr>
      <w:r w:rsidRPr="00741061">
        <w:t>Provide additional justification for any questions of a sensitive nature, such as sexual behavior and attitudes, religious belief</w:t>
      </w:r>
      <w:r w:rsidRPr="00741061">
        <w:t>s, and other matters that are commonly considered private.  This justification should include the reasons why the agency considers the questions necessary, the specific uses to be made of the information, the explanation to be given to persons from whom th</w:t>
      </w:r>
      <w:r w:rsidRPr="00741061">
        <w:t xml:space="preserve">e information is requested, and any steps to be taken to obtain their consent. </w:t>
      </w:r>
    </w:p>
    <w:p w:rsidR="00933321" w:rsidP="00E54E94" w14:paraId="6A9BF114" w14:textId="0810F64A">
      <w:pPr>
        <w:spacing w:before="240"/>
        <w:ind w:left="720"/>
      </w:pPr>
      <w:r>
        <w:t>This information collection includes questions concerning the respondent’s medical condition and income; this information is commonly considered private and is protected by OPM</w:t>
      </w:r>
      <w:r>
        <w:t xml:space="preserve"> as described in item 10 above.  The medical information must be collected for OPM to compare it with the prior medical information submitted and to determine whether the respondent is still disabled and eligible for continuing annuity payments.  The infor</w:t>
      </w:r>
      <w:r>
        <w:t>mation regarding income and whether there is an award of benefits from the Department of Labor is also used to determine that the annuity benefit is still payable.  The respondent is not required to answer these questions; however, since OPM cannot legally</w:t>
      </w:r>
      <w:r>
        <w:t xml:space="preserve"> continue payments if there is no response, RI 30-1 clearly states that OPM will suspend payments if a reply is not received.</w:t>
      </w:r>
    </w:p>
    <w:p w:rsidR="00A10BE7" w:rsidP="00E54E94" w14:paraId="7B7C8798" w14:textId="77777777">
      <w:pPr>
        <w:spacing w:before="240"/>
        <w:ind w:left="720"/>
      </w:pPr>
    </w:p>
    <w:p w:rsidR="00E54E94" w:rsidRPr="00741061" w:rsidP="00D173BC" w14:paraId="736AD1AB" w14:textId="77777777">
      <w:pPr>
        <w:pStyle w:val="ListParagraph"/>
        <w:shd w:val="pct25" w:color="auto" w:fill="FFFFFF"/>
        <w:tabs>
          <w:tab w:val="left" w:pos="-720"/>
        </w:tabs>
        <w:suppressAutoHyphens/>
        <w:ind w:left="288"/>
      </w:pPr>
      <w:r w:rsidRPr="00741061">
        <w:t>12. Provide estimates of the hour burden of the collection of information.  The statement should:</w:t>
      </w:r>
    </w:p>
    <w:p w:rsidR="00E54E94" w:rsidRPr="00741061" w:rsidP="00E54E94" w14:paraId="63FA8C46" w14:textId="77777777">
      <w:pPr>
        <w:pStyle w:val="ListParagraph"/>
        <w:tabs>
          <w:tab w:val="left" w:pos="-720"/>
        </w:tabs>
        <w:suppressAutoHyphens/>
      </w:pPr>
    </w:p>
    <w:p w:rsidR="00A10BE7" w:rsidP="00E54E94" w14:paraId="1DE43CB6" w14:textId="0DC539F8">
      <w:pPr>
        <w:pStyle w:val="ListParagraph"/>
        <w:shd w:val="pct25" w:color="auto" w:fill="auto"/>
        <w:tabs>
          <w:tab w:val="left" w:pos="-720"/>
        </w:tabs>
        <w:suppressAutoHyphens/>
      </w:pPr>
      <w:r w:rsidRPr="00741061">
        <w:t>a.  Indicate the number of res</w:t>
      </w:r>
      <w:r w:rsidRPr="00741061">
        <w:t xml:space="preserve">pondents, frequency of response, annual hour burden, and an explanation of how the burden was estimated. Unless directed to do so, agencies should not conduct special surveys to obtain information on which to base hour burden estimates.  Consultation with </w:t>
      </w:r>
      <w:r w:rsidRPr="00741061">
        <w:t>a sample (fewer than 10) of potential respondents is desired. If the hour burden on respondents is expected to vary widely because of differences in activity, size, or complexity, show the range of estimated hour burden, and explain the reasons for the var</w:t>
      </w:r>
      <w:r w:rsidRPr="00741061">
        <w:t>iance. Generally, estimates should not include burden hours for customary and usual business practices.</w:t>
      </w:r>
      <w:r w:rsidRPr="00A10BE7">
        <w:t xml:space="preserve"> </w:t>
      </w:r>
    </w:p>
    <w:p w:rsidR="00A10BE7" w:rsidP="00A10BE7" w14:paraId="57F9DF71" w14:textId="77777777">
      <w:pPr>
        <w:pStyle w:val="ListParagraph"/>
        <w:shd w:val="pct25" w:color="auto" w:fill="auto"/>
        <w:tabs>
          <w:tab w:val="left" w:pos="-720"/>
        </w:tabs>
        <w:suppressAutoHyphens/>
      </w:pPr>
      <w:r w:rsidRPr="00741061">
        <w:t xml:space="preserve">b.  If this request for approval covers more than one form, provide separate hour burden estimates for each form and aggregate the hour burdens in </w:t>
      </w:r>
      <w:r w:rsidRPr="00741061">
        <w:t>Item 13 of OMB Form 83-I.</w:t>
      </w:r>
      <w:r>
        <w:t xml:space="preserve"> </w:t>
      </w:r>
    </w:p>
    <w:p w:rsidR="00A10BE7" w:rsidRPr="00741061" w:rsidP="00A10BE7" w14:paraId="27FDDD46" w14:textId="624DA4B3">
      <w:pPr>
        <w:pStyle w:val="ListParagraph"/>
        <w:shd w:val="pct25" w:color="auto" w:fill="auto"/>
        <w:tabs>
          <w:tab w:val="left" w:pos="-720"/>
        </w:tabs>
        <w:suppressAutoHyphens/>
      </w:pPr>
      <w:r>
        <w:t xml:space="preserve">c.  </w:t>
      </w:r>
      <w:r w:rsidRPr="00741061">
        <w:t xml:space="preserve">Provide estimates of annualized cost to respondents for the hour burdens for collections of information, identifying and using appropriate wage rate categories. </w:t>
      </w:r>
      <w:r w:rsidR="0005004D">
        <w:br/>
      </w:r>
      <w:r w:rsidRPr="00741061">
        <w:t>The cost of contracting out or paying outside parties for infor</w:t>
      </w:r>
      <w:r w:rsidRPr="00741061">
        <w:t>mation collection activities should not be included here.  Instead, this cost should be included in Item 14.</w:t>
      </w:r>
    </w:p>
    <w:p w:rsidR="00A10BE7" w:rsidRPr="00741061" w:rsidP="00E54E94" w14:paraId="511E9D7F" w14:textId="77777777">
      <w:pPr>
        <w:pStyle w:val="ListParagraph"/>
        <w:shd w:val="pct25" w:color="auto" w:fill="auto"/>
        <w:tabs>
          <w:tab w:val="left" w:pos="-720"/>
        </w:tabs>
        <w:suppressAutoHyphens/>
      </w:pPr>
    </w:p>
    <w:p w:rsidR="00793FC0" w:rsidP="000A3CA3" w14:paraId="7441F90E" w14:textId="77777777">
      <w:pPr>
        <w:spacing w:before="240"/>
        <w:ind w:left="720"/>
      </w:pPr>
      <w:r>
        <w:t xml:space="preserve">Approximately </w:t>
      </w:r>
      <w:r w:rsidR="00603B3D">
        <w:t>8</w:t>
      </w:r>
      <w:r>
        <w:t xml:space="preserve">,000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603B3D">
        <w:t>8</w:t>
      </w:r>
      <w:r w:rsidR="00933321">
        <w:t>,000 hours is estimated.</w:t>
      </w:r>
      <w:r w:rsidRPr="00A10BE7">
        <w:t xml:space="preserve"> </w:t>
      </w:r>
    </w:p>
    <w:p w:rsidR="00603B3D" w:rsidP="000A3CA3" w14:paraId="63B1E1B1" w14:textId="03BC9237">
      <w:pPr>
        <w:spacing w:before="240"/>
        <w:ind w:left="720"/>
      </w:pPr>
      <w:r>
        <w:br/>
      </w:r>
    </w:p>
    <w:tbl>
      <w:tblPr>
        <w:tblW w:w="87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3"/>
        <w:gridCol w:w="1867"/>
        <w:gridCol w:w="1260"/>
        <w:gridCol w:w="1220"/>
        <w:gridCol w:w="1660"/>
        <w:gridCol w:w="1350"/>
      </w:tblGrid>
      <w:tr w14:paraId="2CE0C0B9" w14:textId="77777777" w:rsidTr="003B11AB">
        <w:tblPrEx>
          <w:tblW w:w="87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413" w:type="dxa"/>
            <w:shd w:val="clear" w:color="auto" w:fill="D9D9D9"/>
          </w:tcPr>
          <w:p w:rsidR="000A3CA3" w:rsidP="00AF45C0" w14:paraId="5D0D6248" w14:textId="77777777">
            <w:pPr>
              <w:pStyle w:val="TableParagraph"/>
              <w:ind w:right="93"/>
              <w:jc w:val="center"/>
            </w:pPr>
            <w:r>
              <w:rPr>
                <w:rFonts w:ascii="Arial" w:hAnsi="Arial" w:cs="Arial"/>
                <w:b/>
                <w:sz w:val="16"/>
                <w:szCs w:val="16"/>
              </w:rPr>
              <w:t>Type of Respondent</w:t>
            </w:r>
          </w:p>
        </w:tc>
        <w:tc>
          <w:tcPr>
            <w:tcW w:w="1867" w:type="dxa"/>
            <w:shd w:val="clear" w:color="auto" w:fill="D9D9D9"/>
          </w:tcPr>
          <w:p w:rsidR="000A3CA3" w:rsidP="00AF45C0" w14:paraId="6580457C" w14:textId="77777777">
            <w:pPr>
              <w:pStyle w:val="TableParagraph"/>
              <w:spacing w:line="253" w:lineRule="exact"/>
              <w:ind w:left="262"/>
            </w:pPr>
            <w:r>
              <w:rPr>
                <w:rFonts w:ascii="Arial" w:hAnsi="Arial" w:cs="Arial"/>
                <w:b/>
                <w:sz w:val="16"/>
                <w:szCs w:val="16"/>
              </w:rPr>
              <w:t>Collection Name</w:t>
            </w:r>
          </w:p>
        </w:tc>
        <w:tc>
          <w:tcPr>
            <w:tcW w:w="1260" w:type="dxa"/>
            <w:shd w:val="clear" w:color="auto" w:fill="D9D9D9"/>
          </w:tcPr>
          <w:p w:rsidR="000A3CA3" w:rsidP="00AF45C0" w14:paraId="04F6A461" w14:textId="77777777">
            <w:pPr>
              <w:pStyle w:val="TableParagraph"/>
              <w:spacing w:before="1"/>
              <w:ind w:right="96"/>
              <w:jc w:val="center"/>
              <w:rPr>
                <w:sz w:val="20"/>
              </w:rPr>
            </w:pPr>
            <w:r w:rsidRPr="005E399C">
              <w:rPr>
                <w:rFonts w:ascii="Arial" w:hAnsi="Arial" w:cs="Arial"/>
                <w:b/>
                <w:sz w:val="16"/>
                <w:szCs w:val="16"/>
              </w:rPr>
              <w:t>No. of Respondents</w:t>
            </w:r>
          </w:p>
        </w:tc>
        <w:tc>
          <w:tcPr>
            <w:tcW w:w="1220" w:type="dxa"/>
            <w:shd w:val="clear" w:color="auto" w:fill="D9D9D9"/>
          </w:tcPr>
          <w:p w:rsidR="000A3CA3" w:rsidP="003B11AB" w14:paraId="050CDA29" w14:textId="77777777">
            <w:pPr>
              <w:pStyle w:val="TableParagraph"/>
              <w:ind w:right="95"/>
              <w:jc w:val="center"/>
            </w:pPr>
            <w:r w:rsidRPr="005E399C">
              <w:rPr>
                <w:rFonts w:ascii="Arial" w:hAnsi="Arial" w:cs="Arial"/>
                <w:b/>
                <w:sz w:val="16"/>
                <w:szCs w:val="16"/>
              </w:rPr>
              <w:t>No.</w:t>
            </w:r>
            <w:r>
              <w:rPr>
                <w:rFonts w:ascii="Arial" w:hAnsi="Arial" w:cs="Arial"/>
                <w:b/>
                <w:sz w:val="16"/>
                <w:szCs w:val="16"/>
              </w:rPr>
              <w:t xml:space="preserve"> </w:t>
            </w:r>
            <w:r w:rsidRPr="005E399C">
              <w:rPr>
                <w:rFonts w:ascii="Arial" w:hAnsi="Arial" w:cs="Arial"/>
                <w:b/>
                <w:sz w:val="16"/>
                <w:szCs w:val="16"/>
              </w:rPr>
              <w:t>of Responses</w:t>
            </w:r>
            <w:r>
              <w:rPr>
                <w:rFonts w:ascii="Arial" w:hAnsi="Arial" w:cs="Arial"/>
                <w:b/>
                <w:sz w:val="16"/>
                <w:szCs w:val="16"/>
              </w:rPr>
              <w:br/>
            </w:r>
            <w:r w:rsidRPr="005E399C">
              <w:rPr>
                <w:rFonts w:ascii="Arial" w:hAnsi="Arial" w:cs="Arial"/>
                <w:b/>
                <w:sz w:val="16"/>
                <w:szCs w:val="16"/>
              </w:rPr>
              <w:t>per Respondent</w:t>
            </w:r>
          </w:p>
        </w:tc>
        <w:tc>
          <w:tcPr>
            <w:tcW w:w="1660" w:type="dxa"/>
            <w:shd w:val="clear" w:color="auto" w:fill="D9D9D9"/>
          </w:tcPr>
          <w:p w:rsidR="000A3CA3" w:rsidP="00AF45C0" w14:paraId="5919FDDB" w14:textId="3ABB9F02">
            <w:pPr>
              <w:pStyle w:val="TableParagraph"/>
              <w:ind w:right="95"/>
              <w:jc w:val="center"/>
            </w:pPr>
            <w:r w:rsidRPr="005E399C">
              <w:rPr>
                <w:rFonts w:ascii="Arial" w:hAnsi="Arial" w:cs="Arial"/>
                <w:b/>
                <w:sz w:val="16"/>
                <w:szCs w:val="16"/>
              </w:rPr>
              <w:t>Average Burden</w:t>
            </w:r>
            <w:r w:rsidR="0012459B">
              <w:rPr>
                <w:rFonts w:ascii="Arial" w:hAnsi="Arial" w:cs="Arial"/>
                <w:b/>
                <w:sz w:val="16"/>
                <w:szCs w:val="16"/>
              </w:rPr>
              <w:br/>
            </w:r>
            <w:r w:rsidRPr="005E399C">
              <w:rPr>
                <w:rFonts w:ascii="Arial" w:hAnsi="Arial" w:cs="Arial"/>
                <w:b/>
                <w:sz w:val="16"/>
                <w:szCs w:val="16"/>
              </w:rPr>
              <w:t xml:space="preserve"> per Response </w:t>
            </w:r>
            <w:r>
              <w:rPr>
                <w:rFonts w:ascii="Arial" w:hAnsi="Arial" w:cs="Arial"/>
                <w:b/>
                <w:sz w:val="16"/>
                <w:szCs w:val="16"/>
              </w:rPr>
              <w:br/>
            </w:r>
            <w:r w:rsidRPr="005E399C">
              <w:rPr>
                <w:rFonts w:ascii="Arial" w:hAnsi="Arial" w:cs="Arial"/>
                <w:b/>
                <w:sz w:val="16"/>
                <w:szCs w:val="16"/>
              </w:rPr>
              <w:t>(in hours)</w:t>
            </w:r>
          </w:p>
        </w:tc>
        <w:tc>
          <w:tcPr>
            <w:tcW w:w="1350" w:type="dxa"/>
            <w:shd w:val="clear" w:color="auto" w:fill="D9D9D9"/>
          </w:tcPr>
          <w:p w:rsidR="000A3CA3" w:rsidP="0012459B" w14:paraId="552CA5C8" w14:textId="77777777">
            <w:pPr>
              <w:pStyle w:val="TableParagraph"/>
              <w:ind w:left="241" w:right="93"/>
              <w:jc w:val="center"/>
            </w:pPr>
            <w:r w:rsidRPr="005E399C">
              <w:rPr>
                <w:rFonts w:ascii="Arial" w:hAnsi="Arial" w:cs="Arial"/>
                <w:b/>
                <w:sz w:val="16"/>
                <w:szCs w:val="16"/>
              </w:rPr>
              <w:t xml:space="preserve">Total Annual Burden </w:t>
            </w:r>
            <w:r>
              <w:rPr>
                <w:rFonts w:ascii="Arial" w:hAnsi="Arial" w:cs="Arial"/>
                <w:b/>
                <w:sz w:val="16"/>
                <w:szCs w:val="16"/>
              </w:rPr>
              <w:br/>
            </w:r>
            <w:r w:rsidRPr="005E399C">
              <w:rPr>
                <w:rFonts w:ascii="Arial" w:hAnsi="Arial" w:cs="Arial"/>
                <w:b/>
                <w:sz w:val="16"/>
                <w:szCs w:val="16"/>
              </w:rPr>
              <w:t>(in hours)</w:t>
            </w:r>
          </w:p>
        </w:tc>
      </w:tr>
      <w:tr w14:paraId="372352D6" w14:textId="77777777" w:rsidTr="003B11AB">
        <w:tblPrEx>
          <w:tblW w:w="8770" w:type="dxa"/>
          <w:tblInd w:w="445" w:type="dxa"/>
          <w:tblLayout w:type="fixed"/>
          <w:tblCellMar>
            <w:left w:w="0" w:type="dxa"/>
            <w:right w:w="0" w:type="dxa"/>
          </w:tblCellMar>
          <w:tblLook w:val="01E0"/>
        </w:tblPrEx>
        <w:trPr>
          <w:trHeight w:val="1012"/>
        </w:trPr>
        <w:tc>
          <w:tcPr>
            <w:tcW w:w="1413" w:type="dxa"/>
            <w:shd w:val="clear" w:color="auto" w:fill="auto"/>
          </w:tcPr>
          <w:p w:rsidR="0012459B" w:rsidP="00AF45C0" w14:paraId="45B0160C" w14:textId="77777777">
            <w:pPr>
              <w:pStyle w:val="TableParagraph"/>
              <w:spacing w:line="252" w:lineRule="exact"/>
              <w:ind w:right="135"/>
              <w:rPr>
                <w:sz w:val="20"/>
                <w:szCs w:val="20"/>
              </w:rPr>
            </w:pPr>
            <w:r>
              <w:rPr>
                <w:sz w:val="20"/>
                <w:szCs w:val="20"/>
              </w:rPr>
              <w:t xml:space="preserve"> </w:t>
            </w:r>
            <w:r w:rsidRPr="00444680">
              <w:rPr>
                <w:sz w:val="20"/>
                <w:szCs w:val="20"/>
              </w:rPr>
              <w:t xml:space="preserve">Federal </w:t>
            </w:r>
            <w:r>
              <w:rPr>
                <w:sz w:val="20"/>
                <w:szCs w:val="20"/>
              </w:rPr>
              <w:t xml:space="preserve">  </w:t>
            </w:r>
          </w:p>
          <w:p w:rsidR="000A3CA3" w:rsidRPr="00444680" w:rsidP="00AF45C0" w14:paraId="454E5598" w14:textId="0F4AA420">
            <w:pPr>
              <w:pStyle w:val="TableParagraph"/>
              <w:spacing w:line="252" w:lineRule="exact"/>
              <w:ind w:right="135"/>
              <w:rPr>
                <w:sz w:val="20"/>
                <w:szCs w:val="20"/>
              </w:rPr>
            </w:pPr>
            <w:r>
              <w:rPr>
                <w:sz w:val="20"/>
                <w:szCs w:val="20"/>
              </w:rPr>
              <w:t xml:space="preserve"> </w:t>
            </w:r>
            <w:r w:rsidRPr="00444680">
              <w:rPr>
                <w:sz w:val="20"/>
                <w:szCs w:val="20"/>
              </w:rPr>
              <w:t>annuitant</w:t>
            </w:r>
            <w:r>
              <w:rPr>
                <w:sz w:val="20"/>
                <w:szCs w:val="20"/>
              </w:rPr>
              <w:t>s</w:t>
            </w:r>
          </w:p>
        </w:tc>
        <w:tc>
          <w:tcPr>
            <w:tcW w:w="1867" w:type="dxa"/>
            <w:shd w:val="clear" w:color="auto" w:fill="auto"/>
          </w:tcPr>
          <w:p w:rsidR="0012459B" w:rsidP="00AF45C0" w14:paraId="059409F8" w14:textId="77777777">
            <w:pPr>
              <w:pStyle w:val="TableParagraph"/>
              <w:rPr>
                <w:sz w:val="18"/>
                <w:szCs w:val="18"/>
              </w:rPr>
            </w:pPr>
            <w:r>
              <w:rPr>
                <w:sz w:val="18"/>
                <w:szCs w:val="18"/>
              </w:rPr>
              <w:t xml:space="preserve"> Request to Disability   </w:t>
            </w:r>
          </w:p>
          <w:p w:rsidR="0012459B" w:rsidP="00AF45C0" w14:paraId="1D2BB5AB" w14:textId="77777777">
            <w:pPr>
              <w:pStyle w:val="TableParagraph"/>
              <w:rPr>
                <w:sz w:val="18"/>
                <w:szCs w:val="18"/>
              </w:rPr>
            </w:pPr>
            <w:r>
              <w:rPr>
                <w:sz w:val="18"/>
                <w:szCs w:val="18"/>
              </w:rPr>
              <w:t xml:space="preserve"> </w:t>
            </w:r>
            <w:r w:rsidR="000A3CA3">
              <w:rPr>
                <w:sz w:val="18"/>
                <w:szCs w:val="18"/>
              </w:rPr>
              <w:t xml:space="preserve">Annuitant for </w:t>
            </w:r>
          </w:p>
          <w:p w:rsidR="0012459B" w:rsidP="00AF45C0" w14:paraId="4831B3C0" w14:textId="77777777">
            <w:pPr>
              <w:pStyle w:val="TableParagraph"/>
              <w:rPr>
                <w:sz w:val="18"/>
                <w:szCs w:val="18"/>
              </w:rPr>
            </w:pPr>
            <w:r>
              <w:rPr>
                <w:sz w:val="18"/>
                <w:szCs w:val="18"/>
              </w:rPr>
              <w:t xml:space="preserve"> </w:t>
            </w:r>
            <w:r w:rsidR="000A3CA3">
              <w:rPr>
                <w:sz w:val="18"/>
                <w:szCs w:val="18"/>
              </w:rPr>
              <w:t xml:space="preserve">Information on Physical </w:t>
            </w:r>
          </w:p>
          <w:p w:rsidR="0012459B" w:rsidP="00AF45C0" w14:paraId="0754C8C1" w14:textId="77777777">
            <w:pPr>
              <w:pStyle w:val="TableParagraph"/>
              <w:rPr>
                <w:sz w:val="18"/>
                <w:szCs w:val="18"/>
              </w:rPr>
            </w:pPr>
            <w:r>
              <w:rPr>
                <w:sz w:val="18"/>
                <w:szCs w:val="18"/>
              </w:rPr>
              <w:t xml:space="preserve"> </w:t>
            </w:r>
            <w:r w:rsidR="000A3CA3">
              <w:rPr>
                <w:sz w:val="18"/>
                <w:szCs w:val="18"/>
              </w:rPr>
              <w:t xml:space="preserve">Condition and </w:t>
            </w:r>
            <w:r>
              <w:rPr>
                <w:sz w:val="18"/>
                <w:szCs w:val="18"/>
              </w:rPr>
              <w:t xml:space="preserve"> </w:t>
            </w:r>
          </w:p>
          <w:p w:rsidR="000A3CA3" w:rsidRPr="00444680" w:rsidP="00AF45C0" w14:paraId="549CE1BA" w14:textId="5AA65945">
            <w:pPr>
              <w:pStyle w:val="TableParagraph"/>
              <w:rPr>
                <w:sz w:val="20"/>
                <w:szCs w:val="20"/>
              </w:rPr>
            </w:pPr>
            <w:r>
              <w:rPr>
                <w:sz w:val="18"/>
                <w:szCs w:val="18"/>
              </w:rPr>
              <w:t xml:space="preserve"> Employment</w:t>
            </w:r>
          </w:p>
        </w:tc>
        <w:tc>
          <w:tcPr>
            <w:tcW w:w="1260" w:type="dxa"/>
            <w:shd w:val="clear" w:color="auto" w:fill="auto"/>
          </w:tcPr>
          <w:p w:rsidR="000A3CA3" w:rsidRPr="00444680" w:rsidP="00AF45C0" w14:paraId="218C8A31" w14:textId="63A98B23">
            <w:pPr>
              <w:pStyle w:val="TableParagraph"/>
              <w:rPr>
                <w:sz w:val="20"/>
                <w:szCs w:val="20"/>
              </w:rPr>
            </w:pPr>
            <w:r>
              <w:rPr>
                <w:sz w:val="20"/>
                <w:szCs w:val="20"/>
              </w:rPr>
              <w:t xml:space="preserve"> 8,000</w:t>
            </w:r>
          </w:p>
        </w:tc>
        <w:tc>
          <w:tcPr>
            <w:tcW w:w="1220" w:type="dxa"/>
            <w:shd w:val="clear" w:color="auto" w:fill="auto"/>
          </w:tcPr>
          <w:p w:rsidR="000A3CA3" w:rsidRPr="00444680" w:rsidP="00AF45C0" w14:paraId="279E49AD" w14:textId="77777777">
            <w:pPr>
              <w:pStyle w:val="TableParagraph"/>
              <w:spacing w:before="1"/>
              <w:ind w:right="96"/>
              <w:rPr>
                <w:sz w:val="20"/>
                <w:szCs w:val="20"/>
              </w:rPr>
            </w:pPr>
            <w:r>
              <w:rPr>
                <w:sz w:val="20"/>
                <w:szCs w:val="20"/>
              </w:rPr>
              <w:t xml:space="preserve"> </w:t>
            </w:r>
            <w:r w:rsidRPr="00444680">
              <w:rPr>
                <w:sz w:val="20"/>
                <w:szCs w:val="20"/>
              </w:rPr>
              <w:t>1</w:t>
            </w:r>
          </w:p>
        </w:tc>
        <w:tc>
          <w:tcPr>
            <w:tcW w:w="1660" w:type="dxa"/>
            <w:shd w:val="clear" w:color="auto" w:fill="auto"/>
          </w:tcPr>
          <w:p w:rsidR="000A3CA3" w:rsidRPr="00444680" w:rsidP="00AF45C0" w14:paraId="7E7D3D72" w14:textId="11790C3A">
            <w:pPr>
              <w:pStyle w:val="TableParagraph"/>
              <w:rPr>
                <w:sz w:val="20"/>
                <w:szCs w:val="20"/>
              </w:rPr>
            </w:pPr>
            <w:r>
              <w:rPr>
                <w:sz w:val="20"/>
                <w:szCs w:val="20"/>
              </w:rPr>
              <w:t xml:space="preserve"> 1 hour</w:t>
            </w:r>
          </w:p>
        </w:tc>
        <w:tc>
          <w:tcPr>
            <w:tcW w:w="1350" w:type="dxa"/>
            <w:shd w:val="clear" w:color="auto" w:fill="auto"/>
          </w:tcPr>
          <w:p w:rsidR="000A3CA3" w:rsidRPr="00444680" w:rsidP="00AF45C0" w14:paraId="25AB492F" w14:textId="6672B3C1">
            <w:pPr>
              <w:pStyle w:val="TableParagraph"/>
              <w:rPr>
                <w:sz w:val="20"/>
                <w:szCs w:val="20"/>
              </w:rPr>
            </w:pPr>
            <w:r>
              <w:rPr>
                <w:sz w:val="20"/>
                <w:szCs w:val="20"/>
              </w:rPr>
              <w:t xml:space="preserve"> 8,000</w:t>
            </w:r>
          </w:p>
        </w:tc>
      </w:tr>
    </w:tbl>
    <w:p w:rsidR="000A3CA3" w:rsidP="000A3CA3" w14:paraId="4C28EA3E" w14:textId="77777777">
      <w:pPr>
        <w:spacing w:before="240"/>
      </w:pPr>
    </w:p>
    <w:p w:rsidR="00A10BE7" w:rsidRPr="00741061" w:rsidP="00270B63" w14:paraId="3A2C25E8" w14:textId="4011CB29">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270B63">
        <w:br/>
        <w:t xml:space="preserve">       </w:t>
      </w:r>
      <w:r w:rsidRPr="00741061">
        <w:t xml:space="preserve"> resulting from the collection of information. (Do not include the cost of any hour burden</w:t>
      </w:r>
      <w:r w:rsidR="00270B63">
        <w:br/>
        <w:t xml:space="preserve">       </w:t>
      </w:r>
      <w:r w:rsidRPr="00741061">
        <w:t xml:space="preserve"> shown in Items 12 and 14.)</w:t>
      </w:r>
    </w:p>
    <w:p w:rsidR="00A10BE7" w:rsidRPr="00741061" w:rsidP="00A10BE7" w14:paraId="4AB7109E" w14:textId="77777777">
      <w:pPr>
        <w:pStyle w:val="ListParagraph"/>
        <w:shd w:val="pct25" w:color="auto" w:fill="auto"/>
        <w:tabs>
          <w:tab w:val="left" w:pos="-720"/>
        </w:tabs>
        <w:suppressAutoHyphens/>
      </w:pPr>
    </w:p>
    <w:p w:rsidR="00A10BE7" w:rsidRPr="00741061" w:rsidP="00A10BE7" w14:paraId="6C056758" w14:textId="05ABB87E">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w:t>
      </w:r>
      <w:r w:rsidRPr="00741061">
        <w:t xml:space="preserve">ted useful life); and (b) a total operation and maintenance and purchase of services component.  The estimates should </w:t>
      </w:r>
      <w:r w:rsidRPr="00741061">
        <w:t>take into account</w:t>
      </w:r>
      <w:r w:rsidRPr="00741061">
        <w:t xml:space="preserve"> costs associated with generating, maintaining, and disclosing or providing the information.  Include descriptions of met</w:t>
      </w:r>
      <w:r w:rsidRPr="00741061">
        <w:t>hods used to estimate major cost factors including system and technology acquisition, expected useful life of capital equipment, the discount rate(s), and the time period over which costs will be incurred.  Capital and start-up costs include, among other i</w:t>
      </w:r>
      <w:r w:rsidRPr="00741061">
        <w:t>tems, preparations for collecting information such as purchasing computers and software; monitoring, sampling, drilling and testing equipment; and record storage facilities.</w:t>
      </w:r>
    </w:p>
    <w:p w:rsidR="00A10BE7" w:rsidRPr="00741061" w:rsidP="00A10BE7" w14:paraId="265A9507" w14:textId="77777777">
      <w:pPr>
        <w:pStyle w:val="ListParagraph"/>
        <w:shd w:val="pct25" w:color="auto" w:fill="FFFFFF"/>
        <w:tabs>
          <w:tab w:val="left" w:pos="-720"/>
        </w:tabs>
        <w:suppressAutoHyphens/>
      </w:pPr>
    </w:p>
    <w:p w:rsidR="00A10BE7" w:rsidRPr="00741061" w:rsidP="00A10BE7" w14:paraId="7C140355" w14:textId="77777777">
      <w:pPr>
        <w:pStyle w:val="ListParagraph"/>
        <w:shd w:val="pct25" w:color="auto" w:fill="FFFFFF"/>
        <w:tabs>
          <w:tab w:val="left" w:pos="-720"/>
        </w:tabs>
        <w:suppressAutoHyphens/>
      </w:pPr>
      <w:r w:rsidRPr="00741061">
        <w:t xml:space="preserve">If cost estimates are expected to vary widely, agencies should present ranges of </w:t>
      </w:r>
      <w:r w:rsidRPr="00741061">
        <w:t>cost burdens and explain the reasons for the variance.  The cost of purchasing or contracting out information collection services should be a part of this cost burden estimate.  In developing cost burden estimates, agencies may consult with a sample of res</w:t>
      </w:r>
      <w:r w:rsidRPr="00741061">
        <w:t>pondents (fewer than 10), utilize the 60-day pre-OMB submission public comment process and use existing economic or regulatory impact analysis associated with the rulemaking containing the information collection as appropriate.</w:t>
      </w:r>
    </w:p>
    <w:p w:rsidR="00A10BE7" w:rsidRPr="00741061" w:rsidP="00A10BE7" w14:paraId="26D0D342" w14:textId="77777777">
      <w:pPr>
        <w:pStyle w:val="ListParagraph"/>
        <w:shd w:val="pct25" w:color="auto" w:fill="FFFFFF"/>
        <w:tabs>
          <w:tab w:val="left" w:pos="-720"/>
        </w:tabs>
        <w:suppressAutoHyphens/>
      </w:pPr>
    </w:p>
    <w:p w:rsidR="00A10BE7" w:rsidRPr="00741061" w:rsidP="00A10BE7" w14:paraId="34455CB9" w14:textId="27D17006">
      <w:pPr>
        <w:pStyle w:val="ListParagraph"/>
        <w:shd w:val="pct25" w:color="auto" w:fill="FFFFFF"/>
        <w:tabs>
          <w:tab w:val="left" w:pos="-720"/>
        </w:tabs>
        <w:suppressAutoHyphens/>
      </w:pPr>
      <w:r w:rsidRPr="00741061">
        <w:t>Generally, estimates should</w:t>
      </w:r>
      <w:r w:rsidRPr="00741061">
        <w:t xml:space="preserve"> not include purchases of equipment or services, or portions thereof, made: (1) prior to </w:t>
      </w:r>
      <w:smartTag w:uri="urn:schemas-microsoft-com:office:smarttags" w:element="date">
        <w:smartTagPr>
          <w:attr w:name="Day" w:val="1"/>
          <w:attr w:name="Month" w:val="10"/>
          <w:attr w:name="Year" w:val="1995"/>
        </w:smartTagPr>
        <w:r w:rsidRPr="00741061">
          <w:t>October 1, 1995</w:t>
        </w:r>
      </w:smartTag>
      <w:r w:rsidRPr="00741061">
        <w:t>, (2) to achieve regulatory compliance with requirements not associated with the information collection, (3) for reasons other than to provide informati</w:t>
      </w:r>
      <w:r w:rsidRPr="00741061">
        <w:t>on to keep records for the government, or (4) as part of customary and usual business or private practices.</w:t>
      </w:r>
    </w:p>
    <w:tbl>
      <w:tblPr>
        <w:tblpPr w:leftFromText="180" w:rightFromText="180" w:vertAnchor="page" w:horzAnchor="margin" w:tblpXSpec="right" w:tblpY="1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134"/>
        <w:gridCol w:w="1260"/>
        <w:gridCol w:w="1170"/>
        <w:gridCol w:w="1350"/>
        <w:gridCol w:w="990"/>
        <w:gridCol w:w="1381"/>
      </w:tblGrid>
      <w:tr w14:paraId="06AD652E" w14:textId="77777777" w:rsidTr="00E768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440" w:type="dxa"/>
            <w:shd w:val="clear" w:color="auto" w:fill="D9D9D9"/>
          </w:tcPr>
          <w:p w:rsidR="00E7689C" w:rsidRPr="005E399C" w:rsidP="00E7689C" w14:paraId="12A1036B" w14:textId="77777777">
            <w:pPr>
              <w:spacing w:before="240"/>
              <w:rPr>
                <w:rFonts w:ascii="Arial" w:hAnsi="Arial" w:cs="Arial"/>
                <w:b/>
                <w:sz w:val="16"/>
                <w:szCs w:val="16"/>
              </w:rPr>
            </w:pPr>
            <w:r>
              <w:rPr>
                <w:rFonts w:ascii="Arial" w:hAnsi="Arial" w:cs="Arial"/>
                <w:b/>
                <w:sz w:val="16"/>
                <w:szCs w:val="16"/>
              </w:rPr>
              <w:t>Type of Respondent</w:t>
            </w:r>
          </w:p>
        </w:tc>
        <w:tc>
          <w:tcPr>
            <w:tcW w:w="1134" w:type="dxa"/>
            <w:shd w:val="clear" w:color="auto" w:fill="D9D9D9"/>
          </w:tcPr>
          <w:p w:rsidR="00E7689C" w:rsidRPr="005E399C" w:rsidP="00E7689C" w14:paraId="460CE75A" w14:textId="77777777">
            <w:pPr>
              <w:spacing w:before="240"/>
              <w:rPr>
                <w:rFonts w:ascii="Arial" w:hAnsi="Arial" w:cs="Arial"/>
                <w:b/>
                <w:sz w:val="16"/>
                <w:szCs w:val="16"/>
              </w:rPr>
            </w:pPr>
            <w:r w:rsidRPr="005E399C">
              <w:rPr>
                <w:rFonts w:ascii="Arial" w:hAnsi="Arial" w:cs="Arial"/>
                <w:b/>
                <w:sz w:val="16"/>
                <w:szCs w:val="16"/>
              </w:rPr>
              <w:t>Form Number</w:t>
            </w:r>
          </w:p>
        </w:tc>
        <w:tc>
          <w:tcPr>
            <w:tcW w:w="1260" w:type="dxa"/>
            <w:shd w:val="clear" w:color="auto" w:fill="D9D9D9"/>
          </w:tcPr>
          <w:p w:rsidR="00E7689C" w:rsidRPr="005E399C" w:rsidP="00E7689C" w14:paraId="78144C79" w14:textId="77777777">
            <w:pPr>
              <w:spacing w:before="240"/>
              <w:rPr>
                <w:rFonts w:ascii="Arial" w:hAnsi="Arial" w:cs="Arial"/>
                <w:b/>
                <w:sz w:val="16"/>
                <w:szCs w:val="16"/>
              </w:rPr>
            </w:pPr>
            <w:r w:rsidRPr="005E399C">
              <w:rPr>
                <w:rFonts w:ascii="Arial" w:hAnsi="Arial" w:cs="Arial"/>
                <w:b/>
                <w:sz w:val="16"/>
                <w:szCs w:val="16"/>
              </w:rPr>
              <w:t>No. of Respondents</w:t>
            </w:r>
          </w:p>
        </w:tc>
        <w:tc>
          <w:tcPr>
            <w:tcW w:w="1170" w:type="dxa"/>
            <w:shd w:val="clear" w:color="auto" w:fill="D9D9D9"/>
          </w:tcPr>
          <w:p w:rsidR="00E7689C" w:rsidRPr="005E399C" w:rsidP="00E7689C" w14:paraId="3DC6A38F" w14:textId="77777777">
            <w:pPr>
              <w:spacing w:before="240"/>
              <w:rPr>
                <w:rFonts w:ascii="Arial" w:hAnsi="Arial" w:cs="Arial"/>
                <w:b/>
                <w:sz w:val="16"/>
                <w:szCs w:val="16"/>
              </w:rPr>
            </w:pPr>
            <w:r>
              <w:rPr>
                <w:rFonts w:ascii="Arial" w:hAnsi="Arial" w:cs="Arial"/>
                <w:b/>
                <w:sz w:val="16"/>
                <w:szCs w:val="16"/>
              </w:rPr>
              <w:t xml:space="preserve">Total </w:t>
            </w:r>
            <w:r w:rsidRPr="005E399C">
              <w:rPr>
                <w:rFonts w:ascii="Arial" w:hAnsi="Arial" w:cs="Arial"/>
                <w:b/>
                <w:sz w:val="16"/>
                <w:szCs w:val="16"/>
              </w:rPr>
              <w:t>No. of Responses</w:t>
            </w:r>
          </w:p>
        </w:tc>
        <w:tc>
          <w:tcPr>
            <w:tcW w:w="1350" w:type="dxa"/>
            <w:shd w:val="clear" w:color="auto" w:fill="D9D9D9"/>
          </w:tcPr>
          <w:p w:rsidR="00E7689C" w:rsidRPr="005E399C" w:rsidP="00E7689C" w14:paraId="087D8A7B"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90" w:type="dxa"/>
            <w:shd w:val="clear" w:color="auto" w:fill="D9D9D9"/>
          </w:tcPr>
          <w:p w:rsidR="00E7689C" w:rsidRPr="005E399C" w:rsidP="00E7689C" w14:paraId="533648E1" w14:textId="77777777">
            <w:pPr>
              <w:spacing w:before="240"/>
              <w:rPr>
                <w:rFonts w:ascii="Arial" w:hAnsi="Arial" w:cs="Arial"/>
                <w:b/>
                <w:sz w:val="16"/>
                <w:szCs w:val="16"/>
              </w:rPr>
            </w:pPr>
            <w:r w:rsidRPr="005E399C">
              <w:rPr>
                <w:rFonts w:ascii="Arial" w:hAnsi="Arial" w:cs="Arial"/>
                <w:b/>
                <w:sz w:val="16"/>
                <w:szCs w:val="16"/>
              </w:rPr>
              <w:t>Hourly Wage Rate</w:t>
            </w:r>
          </w:p>
        </w:tc>
        <w:tc>
          <w:tcPr>
            <w:tcW w:w="1381" w:type="dxa"/>
            <w:shd w:val="clear" w:color="auto" w:fill="D9D9D9"/>
          </w:tcPr>
          <w:p w:rsidR="00E7689C" w:rsidRPr="005E399C" w:rsidP="00E7689C" w14:paraId="6496C26B" w14:textId="77777777">
            <w:pPr>
              <w:spacing w:before="240"/>
              <w:rPr>
                <w:rFonts w:ascii="Arial" w:hAnsi="Arial" w:cs="Arial"/>
                <w:b/>
                <w:sz w:val="16"/>
                <w:szCs w:val="16"/>
              </w:rPr>
            </w:pPr>
            <w:r w:rsidRPr="005E399C">
              <w:rPr>
                <w:rFonts w:ascii="Arial" w:hAnsi="Arial" w:cs="Arial"/>
                <w:b/>
                <w:sz w:val="16"/>
                <w:szCs w:val="16"/>
              </w:rPr>
              <w:t>Total Respondent Co</w:t>
            </w:r>
            <w:r w:rsidRPr="005E399C">
              <w:rPr>
                <w:rFonts w:ascii="Arial" w:hAnsi="Arial" w:cs="Arial"/>
                <w:b/>
                <w:sz w:val="16"/>
                <w:szCs w:val="16"/>
              </w:rPr>
              <w:t>st</w:t>
            </w:r>
          </w:p>
        </w:tc>
      </w:tr>
      <w:tr w14:paraId="7433E968" w14:textId="77777777" w:rsidTr="00E7689C">
        <w:tblPrEx>
          <w:tblW w:w="0" w:type="auto"/>
          <w:tblLayout w:type="fixed"/>
          <w:tblLook w:val="04A0"/>
        </w:tblPrEx>
        <w:trPr>
          <w:trHeight w:val="710"/>
        </w:trPr>
        <w:tc>
          <w:tcPr>
            <w:tcW w:w="1440" w:type="dxa"/>
            <w:shd w:val="clear" w:color="auto" w:fill="auto"/>
          </w:tcPr>
          <w:p w:rsidR="00E7689C" w:rsidRPr="009C7AD5" w:rsidP="00E7689C" w14:paraId="450F552D" w14:textId="77777777">
            <w:pPr>
              <w:rPr>
                <w:sz w:val="18"/>
                <w:szCs w:val="18"/>
              </w:rPr>
            </w:pPr>
            <w:r w:rsidRPr="009C7AD5">
              <w:rPr>
                <w:sz w:val="18"/>
                <w:szCs w:val="18"/>
              </w:rPr>
              <w:t>Federal annuitants</w:t>
            </w:r>
          </w:p>
        </w:tc>
        <w:tc>
          <w:tcPr>
            <w:tcW w:w="1134" w:type="dxa"/>
            <w:shd w:val="clear" w:color="auto" w:fill="auto"/>
          </w:tcPr>
          <w:p w:rsidR="00E7689C" w:rsidRPr="009C7AD5" w:rsidP="00E7689C" w14:paraId="7843736A" w14:textId="77777777">
            <w:pPr>
              <w:rPr>
                <w:sz w:val="18"/>
                <w:szCs w:val="18"/>
              </w:rPr>
            </w:pPr>
            <w:r>
              <w:rPr>
                <w:sz w:val="18"/>
                <w:szCs w:val="18"/>
              </w:rPr>
              <w:t>RI 30-1</w:t>
            </w:r>
          </w:p>
        </w:tc>
        <w:tc>
          <w:tcPr>
            <w:tcW w:w="1260" w:type="dxa"/>
            <w:shd w:val="clear" w:color="auto" w:fill="auto"/>
          </w:tcPr>
          <w:p w:rsidR="00E7689C" w:rsidRPr="009C7AD5" w:rsidP="00E7689C" w14:paraId="4EAFA211" w14:textId="77777777">
            <w:pPr>
              <w:rPr>
                <w:sz w:val="18"/>
                <w:szCs w:val="18"/>
              </w:rPr>
            </w:pPr>
            <w:r>
              <w:rPr>
                <w:sz w:val="18"/>
                <w:szCs w:val="18"/>
              </w:rPr>
              <w:t>8,000</w:t>
            </w:r>
          </w:p>
        </w:tc>
        <w:tc>
          <w:tcPr>
            <w:tcW w:w="1170" w:type="dxa"/>
            <w:shd w:val="clear" w:color="auto" w:fill="auto"/>
          </w:tcPr>
          <w:p w:rsidR="00E7689C" w:rsidRPr="009C7AD5" w:rsidP="00E7689C" w14:paraId="42E94A0E" w14:textId="77777777">
            <w:pPr>
              <w:rPr>
                <w:sz w:val="18"/>
                <w:szCs w:val="18"/>
              </w:rPr>
            </w:pPr>
            <w:r>
              <w:rPr>
                <w:sz w:val="18"/>
                <w:szCs w:val="18"/>
              </w:rPr>
              <w:t>8,000</w:t>
            </w:r>
          </w:p>
        </w:tc>
        <w:tc>
          <w:tcPr>
            <w:tcW w:w="1350" w:type="dxa"/>
            <w:shd w:val="clear" w:color="auto" w:fill="auto"/>
          </w:tcPr>
          <w:p w:rsidR="00E7689C" w:rsidRPr="009C7AD5" w:rsidP="00E7689C" w14:paraId="0ACAD9CD" w14:textId="77777777">
            <w:pPr>
              <w:rPr>
                <w:sz w:val="18"/>
                <w:szCs w:val="18"/>
              </w:rPr>
            </w:pPr>
            <w:r>
              <w:rPr>
                <w:sz w:val="18"/>
                <w:szCs w:val="18"/>
              </w:rPr>
              <w:t>1 hour</w:t>
            </w:r>
          </w:p>
        </w:tc>
        <w:tc>
          <w:tcPr>
            <w:tcW w:w="990" w:type="dxa"/>
            <w:shd w:val="clear" w:color="auto" w:fill="auto"/>
          </w:tcPr>
          <w:p w:rsidR="00E7689C" w:rsidRPr="009C7AD5" w:rsidP="00E7689C" w14:paraId="2312315E" w14:textId="77777777">
            <w:pPr>
              <w:rPr>
                <w:sz w:val="18"/>
                <w:szCs w:val="18"/>
              </w:rPr>
            </w:pPr>
            <w:r>
              <w:rPr>
                <w:sz w:val="18"/>
                <w:szCs w:val="18"/>
              </w:rPr>
              <w:t>$21.50</w:t>
            </w:r>
          </w:p>
        </w:tc>
        <w:tc>
          <w:tcPr>
            <w:tcW w:w="1381" w:type="dxa"/>
            <w:shd w:val="clear" w:color="auto" w:fill="auto"/>
          </w:tcPr>
          <w:p w:rsidR="00E7689C" w:rsidRPr="009C7AD5" w:rsidP="00E7689C" w14:paraId="0BFC96DA" w14:textId="77777777">
            <w:pPr>
              <w:rPr>
                <w:sz w:val="18"/>
                <w:szCs w:val="18"/>
              </w:rPr>
            </w:pPr>
            <w:r>
              <w:rPr>
                <w:sz w:val="18"/>
                <w:szCs w:val="18"/>
              </w:rPr>
              <w:t>$215,000</w:t>
            </w:r>
          </w:p>
        </w:tc>
      </w:tr>
    </w:tbl>
    <w:p w:rsidR="000A3CA3" w:rsidP="000A3CA3" w14:paraId="2BA55D86" w14:textId="77777777">
      <w:pPr>
        <w:spacing w:before="240"/>
      </w:pPr>
    </w:p>
    <w:p w:rsidR="000A3CA3" w:rsidP="000A3CA3" w14:paraId="37276F29" w14:textId="28C35D23">
      <w:pPr>
        <w:spacing w:before="240"/>
        <w:ind w:left="720"/>
      </w:pPr>
      <w:r>
        <w:t xml:space="preserve">Each respondent must provide medical documentation with the response. Since the cost would vary, we estimate an average cost of $150 for this documentation, resulting in an annualized average cost of $1,200,000 to respondents (based on 8,000 responses per </w:t>
      </w:r>
      <w:r>
        <w:t>year).</w:t>
      </w:r>
    </w:p>
    <w:p w:rsidR="00933321" w:rsidP="000A3CA3" w14:paraId="64030590" w14:textId="6CBE66C9">
      <w:pPr>
        <w:spacing w:before="240"/>
        <w:ind w:left="720"/>
      </w:pPr>
      <w:r>
        <w:t>The Total Respondent Cost is $215,000. There is no change in the respondent burden.</w:t>
      </w:r>
    </w:p>
    <w:p w:rsidR="00A10BE7" w:rsidP="00B9266F" w14:paraId="62F955C7" w14:textId="4B471789">
      <w:pPr>
        <w:spacing w:before="240"/>
        <w:ind w:left="288"/>
      </w:pPr>
      <w:r w:rsidRPr="00F6791D">
        <w:rPr>
          <w:highlight w:val="lightGray"/>
        </w:rPr>
        <w:t>14.  Provide estimates of annualized cost to the Federal Government. Also, provide a</w:t>
      </w:r>
      <w:r w:rsidR="0012459B">
        <w:rPr>
          <w:highlight w:val="lightGray"/>
        </w:rPr>
        <w:tab/>
      </w:r>
      <w:r w:rsidR="0012459B">
        <w:rPr>
          <w:highlight w:val="lightGray"/>
        </w:rPr>
        <w:tab/>
      </w:r>
      <w:r w:rsidR="00B9266F">
        <w:rPr>
          <w:highlight w:val="lightGray"/>
        </w:rPr>
        <w:br/>
        <w:t xml:space="preserve">      </w:t>
      </w:r>
      <w:r w:rsidRPr="00F6791D">
        <w:rPr>
          <w:highlight w:val="lightGray"/>
        </w:rPr>
        <w:t xml:space="preserve"> description of the method used to estimate cost, which should include q</w:t>
      </w:r>
      <w:r w:rsidRPr="00F6791D">
        <w:rPr>
          <w:highlight w:val="lightGray"/>
        </w:rPr>
        <w:t>uantification of</w:t>
      </w:r>
      <w:r w:rsidR="0012459B">
        <w:rPr>
          <w:highlight w:val="lightGray"/>
        </w:rPr>
        <w:tab/>
      </w:r>
      <w:r w:rsidR="00B9266F">
        <w:rPr>
          <w:highlight w:val="lightGray"/>
        </w:rPr>
        <w:br/>
        <w:t xml:space="preserve">      </w:t>
      </w:r>
      <w:r w:rsidRPr="00F6791D">
        <w:rPr>
          <w:highlight w:val="lightGray"/>
        </w:rPr>
        <w:t xml:space="preserve"> hours, operational expenses (such as equipment, overhead, printing and support staff),</w:t>
      </w:r>
      <w:r w:rsidR="0012459B">
        <w:rPr>
          <w:highlight w:val="lightGray"/>
        </w:rPr>
        <w:tab/>
      </w:r>
      <w:r w:rsidR="00B9266F">
        <w:rPr>
          <w:highlight w:val="lightGray"/>
        </w:rPr>
        <w:br/>
        <w:t xml:space="preserve">      </w:t>
      </w:r>
      <w:r w:rsidRPr="00F6791D">
        <w:rPr>
          <w:highlight w:val="lightGray"/>
        </w:rPr>
        <w:t xml:space="preserve"> and any other expense that would have been incurred without this collection of</w:t>
      </w:r>
      <w:r w:rsidR="0012459B">
        <w:rPr>
          <w:highlight w:val="lightGray"/>
        </w:rPr>
        <w:tab/>
      </w:r>
      <w:r w:rsidR="0012459B">
        <w:rPr>
          <w:highlight w:val="lightGray"/>
        </w:rPr>
        <w:tab/>
      </w:r>
      <w:r w:rsidR="00B9266F">
        <w:rPr>
          <w:highlight w:val="lightGray"/>
        </w:rPr>
        <w:br/>
        <w:t xml:space="preserve">      </w:t>
      </w:r>
      <w:r w:rsidRPr="00F6791D">
        <w:rPr>
          <w:highlight w:val="lightGray"/>
        </w:rPr>
        <w:t xml:space="preserve"> information. You may also aggregate cost estimates for Items 12, 13, and 14 in a single</w:t>
      </w:r>
      <w:r w:rsidR="0012459B">
        <w:rPr>
          <w:highlight w:val="lightGray"/>
        </w:rPr>
        <w:tab/>
      </w:r>
      <w:r w:rsidR="00B9266F">
        <w:rPr>
          <w:highlight w:val="lightGray"/>
        </w:rPr>
        <w:br/>
        <w:t xml:space="preserve">      </w:t>
      </w:r>
      <w:r w:rsidRPr="00F6791D">
        <w:rPr>
          <w:highlight w:val="lightGray"/>
        </w:rPr>
        <w:t xml:space="preserve"> table.</w:t>
      </w:r>
      <w:r w:rsidR="0012459B">
        <w:tab/>
      </w:r>
      <w:r w:rsidR="0012459B">
        <w:tab/>
      </w:r>
    </w:p>
    <w:p w:rsidR="00D31020" w:rsidP="00A10BE7" w14:paraId="125CA5C9" w14:textId="77777777">
      <w:pPr>
        <w:spacing w:before="240"/>
        <w:ind w:left="720"/>
      </w:pPr>
      <w:r>
        <w:t>The annualized cost to the Federal government is $93,900.  This cost was determined by employee salary hours devoted to the program, forms cost, and o</w:t>
      </w:r>
      <w:r>
        <w:t>verhead.</w:t>
      </w:r>
    </w:p>
    <w:p w:rsidR="00D31020" w:rsidP="00A10BE7" w14:paraId="0750D87B" w14:textId="77777777">
      <w:pPr>
        <w:spacing w:before="240"/>
        <w:ind w:left="720"/>
      </w:pPr>
    </w:p>
    <w:p w:rsidR="00A10BE7" w:rsidRPr="00741061" w:rsidP="00B9266F" w14:paraId="438D8C99"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B9266F">
        <w:br/>
        <w:t xml:space="preserve">      </w:t>
      </w:r>
      <w:r w:rsidRPr="00741061">
        <w:t xml:space="preserve"> the OMB Form 83-I.  Changes in hour burden, i.e., program changes or adjustments made</w:t>
      </w:r>
      <w:r w:rsidR="00B9266F">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B9266F">
        <w:br/>
        <w:t xml:space="preserve">      </w:t>
      </w:r>
      <w:r w:rsidRPr="00741061">
        <w:t xml:space="preserve"> result of deliberate Federal government action.  All new collections a</w:t>
      </w:r>
      <w:r w:rsidRPr="00741061">
        <w:t>nd any subsequent</w:t>
      </w:r>
      <w:r w:rsidR="00B9266F">
        <w:br/>
        <w:t xml:space="preserve">      </w:t>
      </w:r>
      <w:r w:rsidRPr="00741061">
        <w:t xml:space="preserve"> revisions of existing collections (e.g., the addition or deletion of questions) are recorded</w:t>
      </w:r>
      <w:r w:rsidR="00B9266F">
        <w:br/>
        <w:t xml:space="preserve">      </w:t>
      </w:r>
      <w:r w:rsidRPr="00741061">
        <w:t xml:space="preserve"> as program changes.  An adjustment is a change that is not the result of a deliberate</w:t>
      </w:r>
      <w:r w:rsidR="00B9266F">
        <w:br/>
        <w:t xml:space="preserve">     </w:t>
      </w:r>
      <w:r w:rsidRPr="00741061">
        <w:t xml:space="preserve"> Federal government action.  These chang</w:t>
      </w:r>
      <w:r w:rsidRPr="00741061">
        <w:t>es that result from new estimates or actions not</w:t>
      </w:r>
      <w:r w:rsidR="00B9266F">
        <w:br/>
        <w:t xml:space="preserve">     </w:t>
      </w:r>
      <w:r w:rsidRPr="00741061">
        <w:t xml:space="preserve"> controllable by the Federal government are recorded as adjustments. </w:t>
      </w:r>
    </w:p>
    <w:p w:rsidR="00A10BE7" w:rsidRPr="00741061" w:rsidP="00A10BE7" w14:paraId="28579FFA" w14:textId="77777777">
      <w:pPr>
        <w:pStyle w:val="ListParagraph"/>
        <w:tabs>
          <w:tab w:val="left" w:pos="-720"/>
        </w:tabs>
        <w:suppressAutoHyphens/>
      </w:pPr>
    </w:p>
    <w:p w:rsidR="00A10BE7" w:rsidP="00A10BE7" w14:paraId="653A7B0B" w14:textId="6FD247C9">
      <w:pPr>
        <w:pStyle w:val="ListParagraph"/>
        <w:tabs>
          <w:tab w:val="left" w:pos="-720"/>
        </w:tabs>
        <w:suppressAutoHyphens/>
      </w:pPr>
      <w:r>
        <w:t>There are no adjustments or change in the hour burden.</w:t>
      </w:r>
    </w:p>
    <w:p w:rsidR="008C3749" w:rsidRPr="00741061" w:rsidP="00A10BE7" w14:paraId="7118E32D" w14:textId="77777777">
      <w:pPr>
        <w:pStyle w:val="ListParagraph"/>
        <w:tabs>
          <w:tab w:val="left" w:pos="-720"/>
        </w:tabs>
        <w:suppressAutoHyphens/>
      </w:pPr>
    </w:p>
    <w:p w:rsidR="00A10BE7" w:rsidRPr="00741061" w:rsidP="00EE72E6" w14:paraId="0F8F4A0A" w14:textId="77777777">
      <w:pPr>
        <w:pStyle w:val="ListParagraph"/>
        <w:shd w:val="pct25" w:color="auto" w:fill="auto"/>
        <w:tabs>
          <w:tab w:val="left" w:pos="-720"/>
        </w:tabs>
        <w:suppressAutoHyphens/>
        <w:ind w:left="288"/>
      </w:pPr>
      <w:r w:rsidRPr="00741061">
        <w:t>16.  For collections of information whose results will be published, outlin</w:t>
      </w:r>
      <w:r w:rsidRPr="00741061">
        <w:t xml:space="preserve">e plans for </w:t>
      </w:r>
      <w:r w:rsidR="00EE72E6">
        <w:br/>
        <w:t xml:space="preserve">       </w:t>
      </w:r>
      <w:r w:rsidRPr="00741061">
        <w:t>tabulation and publication.  Address any complex analytical techniques that will be used.</w:t>
      </w:r>
      <w:r w:rsidR="00EE72E6">
        <w:br/>
        <w:t xml:space="preserve">     </w:t>
      </w:r>
      <w:r w:rsidRPr="00741061">
        <w:t xml:space="preserve">  Provide the time schedule for the entire project, including beginning and ending dates of</w:t>
      </w:r>
      <w:r w:rsidR="00EE72E6">
        <w:br/>
        <w:t xml:space="preserve">      </w:t>
      </w:r>
      <w:r w:rsidRPr="00741061">
        <w:t xml:space="preserve"> the collection of information, completion </w:t>
      </w:r>
      <w:r w:rsidRPr="00741061">
        <w:t xml:space="preserve">of report, publication dates, and other actions. </w:t>
      </w:r>
    </w:p>
    <w:p w:rsidR="00A10BE7" w:rsidRPr="00741061" w:rsidP="00A10BE7" w14:paraId="07180A79" w14:textId="77777777">
      <w:pPr>
        <w:pStyle w:val="ListParagraph"/>
      </w:pPr>
    </w:p>
    <w:p w:rsidR="00C36076" w:rsidP="0003445C" w14:paraId="2BE3085B" w14:textId="40DDEB23">
      <w:pPr>
        <w:pStyle w:val="ListParagraph"/>
      </w:pPr>
      <w:r w:rsidRPr="00741061">
        <w:t>No information collected from the form will be published.</w:t>
      </w:r>
    </w:p>
    <w:p w:rsidR="00D173BC" w:rsidRPr="00741061" w:rsidP="00A10BE7" w14:paraId="3FC45829" w14:textId="77777777">
      <w:pPr>
        <w:pStyle w:val="ListParagraph"/>
      </w:pPr>
    </w:p>
    <w:p w:rsidR="00A10BE7" w:rsidRPr="00741061" w:rsidP="00EE72E6" w14:paraId="6A76F336" w14:textId="77777777">
      <w:pPr>
        <w:pStyle w:val="ListParagraph"/>
        <w:shd w:val="pct25" w:color="auto" w:fill="auto"/>
        <w:tabs>
          <w:tab w:val="left" w:pos="-720"/>
        </w:tabs>
        <w:suppressAutoHyphens/>
        <w:ind w:left="288"/>
      </w:pPr>
      <w:r w:rsidRPr="00741061">
        <w:t xml:space="preserve">17.  If seeking approval to not display the expiration date for OMB approval of the </w:t>
      </w:r>
      <w:r w:rsidR="00EE72E6">
        <w:br/>
        <w:t xml:space="preserve">       </w:t>
      </w:r>
      <w:r w:rsidRPr="00741061">
        <w:t>information collection, explain reasons that display w</w:t>
      </w:r>
      <w:r w:rsidRPr="00741061">
        <w:t>ould be inappropriate.</w:t>
      </w:r>
    </w:p>
    <w:p w:rsidR="0003445C" w:rsidP="0003445C" w14:paraId="3788F0B6" w14:textId="77777777">
      <w:pPr>
        <w:ind w:left="720"/>
      </w:pPr>
      <w:bookmarkStart w:id="1" w:name="_Hlk155694919"/>
    </w:p>
    <w:p w:rsidR="005D0232" w:rsidP="005D0232" w14:paraId="2B26E06C" w14:textId="4FF8BA51">
      <w:pPr>
        <w:ind w:left="720"/>
      </w:pPr>
      <w:r>
        <w:t>W</w:t>
      </w:r>
      <w:r w:rsidRPr="0021279C">
        <w:t>e seek approval to not display the OMB cleara</w:t>
      </w:r>
      <w:r>
        <w:t xml:space="preserve">nce expiration date </w:t>
      </w:r>
      <w:r w:rsidRPr="0021279C">
        <w:t>on the forms and to communicate version changes to the public v</w:t>
      </w:r>
      <w:r>
        <w:t>ia the revision date. The substance of this information collection has not changed.</w:t>
      </w:r>
    </w:p>
    <w:bookmarkEnd w:id="1"/>
    <w:p w:rsidR="00A10BE7" w:rsidRPr="00741061" w:rsidP="00046589" w14:paraId="44BBA19F" w14:textId="77777777">
      <w:pPr>
        <w:tabs>
          <w:tab w:val="left" w:pos="-720"/>
        </w:tabs>
        <w:suppressAutoHyphens/>
      </w:pPr>
    </w:p>
    <w:p w:rsidR="00A10BE7" w:rsidRPr="00741061" w:rsidP="00793FC0" w14:paraId="06B79796" w14:textId="4E71EDCC">
      <w:pPr>
        <w:pStyle w:val="ListParagraph"/>
        <w:shd w:val="pct25" w:color="auto" w:fill="auto"/>
        <w:tabs>
          <w:tab w:val="left" w:pos="-720"/>
        </w:tabs>
        <w:suppressAutoHyphens/>
        <w:ind w:left="288"/>
      </w:pPr>
      <w:r w:rsidRPr="00741061">
        <w:t xml:space="preserve">18.  Explain each </w:t>
      </w:r>
      <w:r w:rsidRPr="00741061">
        <w:t>exception to the certification statement identified in Item 19 “Certification</w:t>
      </w:r>
      <w:r w:rsidR="00EE72E6">
        <w:br/>
        <w:t xml:space="preserve">      </w:t>
      </w:r>
      <w:r w:rsidRPr="00741061">
        <w:t xml:space="preserve"> for Paperwork Reduction Act Submissions,” of OMB Form 83-I.</w:t>
      </w:r>
    </w:p>
    <w:p w:rsidR="00A10BE7" w:rsidP="00A10BE7" w14:paraId="4C3EFC61" w14:textId="77777777">
      <w:pPr>
        <w:spacing w:before="240"/>
        <w:ind w:left="720"/>
      </w:pPr>
      <w:r>
        <w:t>There are no exceptions to the certification statement.</w:t>
      </w:r>
    </w:p>
    <w:p w:rsidR="00A10BE7" w:rsidP="00A10BE7" w14:paraId="2764F97F" w14:textId="77777777">
      <w:pPr>
        <w:spacing w:before="240"/>
        <w:ind w:left="720"/>
      </w:pP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546139774">
    <w:abstractNumId w:val="0"/>
  </w:num>
  <w:num w:numId="2" w16cid:durableId="692152957">
    <w:abstractNumId w:val="2"/>
  </w:num>
  <w:num w:numId="3" w16cid:durableId="108869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23404"/>
    <w:rsid w:val="0003445C"/>
    <w:rsid w:val="00046589"/>
    <w:rsid w:val="0005004D"/>
    <w:rsid w:val="00096565"/>
    <w:rsid w:val="000A3CA3"/>
    <w:rsid w:val="0012459B"/>
    <w:rsid w:val="0018514C"/>
    <w:rsid w:val="001B5B8F"/>
    <w:rsid w:val="001E25A6"/>
    <w:rsid w:val="0021279C"/>
    <w:rsid w:val="00222590"/>
    <w:rsid w:val="00230538"/>
    <w:rsid w:val="00257B65"/>
    <w:rsid w:val="00270B63"/>
    <w:rsid w:val="002A25A7"/>
    <w:rsid w:val="002C1F76"/>
    <w:rsid w:val="002C52D2"/>
    <w:rsid w:val="002D6343"/>
    <w:rsid w:val="003016AB"/>
    <w:rsid w:val="00332AC9"/>
    <w:rsid w:val="00384264"/>
    <w:rsid w:val="003B11AB"/>
    <w:rsid w:val="003F0958"/>
    <w:rsid w:val="003F6AB0"/>
    <w:rsid w:val="00433131"/>
    <w:rsid w:val="00444680"/>
    <w:rsid w:val="00461DF9"/>
    <w:rsid w:val="004A7FF1"/>
    <w:rsid w:val="00513374"/>
    <w:rsid w:val="00550389"/>
    <w:rsid w:val="005D0232"/>
    <w:rsid w:val="005E399C"/>
    <w:rsid w:val="00603B3D"/>
    <w:rsid w:val="00647D0E"/>
    <w:rsid w:val="00665692"/>
    <w:rsid w:val="006779F4"/>
    <w:rsid w:val="00723DAF"/>
    <w:rsid w:val="007323C2"/>
    <w:rsid w:val="00741061"/>
    <w:rsid w:val="007678A9"/>
    <w:rsid w:val="00785DBB"/>
    <w:rsid w:val="00793FC0"/>
    <w:rsid w:val="007944C4"/>
    <w:rsid w:val="007A4AF6"/>
    <w:rsid w:val="007A635E"/>
    <w:rsid w:val="007D1502"/>
    <w:rsid w:val="007E0CA7"/>
    <w:rsid w:val="008226D2"/>
    <w:rsid w:val="00851D23"/>
    <w:rsid w:val="008869F8"/>
    <w:rsid w:val="008C3749"/>
    <w:rsid w:val="00927F74"/>
    <w:rsid w:val="00933321"/>
    <w:rsid w:val="00934188"/>
    <w:rsid w:val="00954C87"/>
    <w:rsid w:val="00955E17"/>
    <w:rsid w:val="00993A7C"/>
    <w:rsid w:val="009B7453"/>
    <w:rsid w:val="009C7AD5"/>
    <w:rsid w:val="009E6FEF"/>
    <w:rsid w:val="00A10BE7"/>
    <w:rsid w:val="00A20FC9"/>
    <w:rsid w:val="00A43691"/>
    <w:rsid w:val="00A76E39"/>
    <w:rsid w:val="00A82C8E"/>
    <w:rsid w:val="00A946F8"/>
    <w:rsid w:val="00AA506C"/>
    <w:rsid w:val="00AF45C0"/>
    <w:rsid w:val="00B40DBC"/>
    <w:rsid w:val="00B9266F"/>
    <w:rsid w:val="00B93EC4"/>
    <w:rsid w:val="00BA1768"/>
    <w:rsid w:val="00BD3C69"/>
    <w:rsid w:val="00BD7AF9"/>
    <w:rsid w:val="00BE2F13"/>
    <w:rsid w:val="00BE63D3"/>
    <w:rsid w:val="00C34D5B"/>
    <w:rsid w:val="00C36076"/>
    <w:rsid w:val="00CE782A"/>
    <w:rsid w:val="00D173BC"/>
    <w:rsid w:val="00D26B70"/>
    <w:rsid w:val="00D31020"/>
    <w:rsid w:val="00D61B27"/>
    <w:rsid w:val="00D75F14"/>
    <w:rsid w:val="00DE14EE"/>
    <w:rsid w:val="00E24429"/>
    <w:rsid w:val="00E54E94"/>
    <w:rsid w:val="00E7689C"/>
    <w:rsid w:val="00EB14B8"/>
    <w:rsid w:val="00EE35E7"/>
    <w:rsid w:val="00EE72E6"/>
    <w:rsid w:val="00EF5963"/>
    <w:rsid w:val="00F03B3A"/>
    <w:rsid w:val="00F05B9C"/>
    <w:rsid w:val="00F30321"/>
    <w:rsid w:val="00F52D8C"/>
    <w:rsid w:val="00F60B26"/>
    <w:rsid w:val="00F6791D"/>
    <w:rsid w:val="00F9149F"/>
    <w:rsid w:val="00F9380C"/>
    <w:rsid w:val="00FA102C"/>
    <w:rsid w:val="00FC7E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BD8660"/>
  <w15:docId w15:val="{2CFBED56-55CC-493D-BD7B-08D0F807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customStyle="1" w:styleId="TableParagraph">
    <w:name w:val="Table Paragraph"/>
    <w:basedOn w:val="Normal"/>
    <w:uiPriority w:val="1"/>
    <w:qFormat/>
    <w:rsid w:val="000A3CA3"/>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F52D8C"/>
    <w:rPr>
      <w:sz w:val="16"/>
      <w:szCs w:val="16"/>
    </w:rPr>
  </w:style>
  <w:style w:type="paragraph" w:styleId="CommentText">
    <w:name w:val="annotation text"/>
    <w:basedOn w:val="Normal"/>
    <w:link w:val="CommentTextChar"/>
    <w:uiPriority w:val="99"/>
    <w:unhideWhenUsed/>
    <w:rsid w:val="00F52D8C"/>
    <w:rPr>
      <w:sz w:val="20"/>
    </w:rPr>
  </w:style>
  <w:style w:type="character" w:customStyle="1" w:styleId="CommentTextChar">
    <w:name w:val="Comment Text Char"/>
    <w:basedOn w:val="DefaultParagraphFont"/>
    <w:link w:val="CommentText"/>
    <w:uiPriority w:val="99"/>
    <w:rsid w:val="00F52D8C"/>
  </w:style>
  <w:style w:type="paragraph" w:styleId="CommentSubject">
    <w:name w:val="annotation subject"/>
    <w:basedOn w:val="CommentText"/>
    <w:next w:val="CommentText"/>
    <w:link w:val="CommentSubjectChar"/>
    <w:uiPriority w:val="99"/>
    <w:semiHidden/>
    <w:unhideWhenUsed/>
    <w:rsid w:val="00F52D8C"/>
    <w:rPr>
      <w:b/>
      <w:bCs/>
    </w:rPr>
  </w:style>
  <w:style w:type="character" w:customStyle="1" w:styleId="CommentSubjectChar">
    <w:name w:val="Comment Subject Char"/>
    <w:basedOn w:val="CommentTextChar"/>
    <w:link w:val="CommentSubject"/>
    <w:uiPriority w:val="99"/>
    <w:semiHidden/>
    <w:rsid w:val="00F52D8C"/>
    <w:rPr>
      <w:b/>
      <w:bCs/>
    </w:rPr>
  </w:style>
  <w:style w:type="paragraph" w:styleId="Revision">
    <w:name w:val="Revision"/>
    <w:hidden/>
    <w:uiPriority w:val="99"/>
    <w:semiHidden/>
    <w:rsid w:val="001B5B8F"/>
    <w:rPr>
      <w:sz w:val="24"/>
    </w:rPr>
  </w:style>
  <w:style w:type="paragraph" w:customStyle="1" w:styleId="Default">
    <w:name w:val="Default"/>
    <w:rsid w:val="006779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2552</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2</cp:revision>
  <cp:lastPrinted>2011-06-06T16:22:00Z</cp:lastPrinted>
  <dcterms:created xsi:type="dcterms:W3CDTF">2024-03-27T19:47:00Z</dcterms:created>
  <dcterms:modified xsi:type="dcterms:W3CDTF">2024-03-27T19:47:00Z</dcterms:modified>
</cp:coreProperties>
</file>