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321" w14:paraId="704FB075" w14:textId="77777777">
      <w:pPr>
        <w:jc w:val="center"/>
      </w:pPr>
    </w:p>
    <w:p w:rsidR="00933321" w14:paraId="3C3167D9" w14:textId="77777777">
      <w:pPr>
        <w:jc w:val="center"/>
      </w:pPr>
    </w:p>
    <w:p w:rsidR="002E7043" w:rsidP="002E7043" w14:paraId="17BCA667" w14:textId="77777777">
      <w:pPr>
        <w:jc w:val="center"/>
        <w:rPr>
          <w:b/>
          <w:spacing w:val="-2"/>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933321" w14:paraId="4AF7A254" w14:textId="77777777"/>
    <w:p w:rsidR="00933321" w14:paraId="191B554C" w14:textId="188EE0D1">
      <w:r w:rsidRPr="002E7043">
        <w:rPr>
          <w:b/>
          <w:bCs/>
        </w:rPr>
        <w:t>Title</w:t>
      </w:r>
      <w:r>
        <w:t xml:space="preserve">: </w:t>
      </w:r>
      <w:r w:rsidR="00A157EF">
        <w:t>RI 38-128 – It’s Time to Sign Up for Direct Deposit or Direct Express</w:t>
      </w:r>
    </w:p>
    <w:p w:rsidR="002E7043" w14:paraId="2CECA570" w14:textId="77777777"/>
    <w:p w:rsidR="002E7043" w14:paraId="6E5678D4" w14:textId="25EB44F0">
      <w:r>
        <w:rPr>
          <w:b/>
        </w:rPr>
        <w:t>OMB</w:t>
      </w:r>
      <w:r>
        <w:rPr>
          <w:b/>
          <w:spacing w:val="-10"/>
        </w:rPr>
        <w:t xml:space="preserve"> </w:t>
      </w:r>
      <w:r>
        <w:rPr>
          <w:b/>
        </w:rPr>
        <w:t>Control</w:t>
      </w:r>
      <w:r>
        <w:rPr>
          <w:b/>
          <w:spacing w:val="-9"/>
        </w:rPr>
        <w:t xml:space="preserve"> </w:t>
      </w:r>
      <w:r>
        <w:rPr>
          <w:b/>
        </w:rPr>
        <w:t>Number:</w:t>
      </w:r>
      <w:r>
        <w:rPr>
          <w:b/>
          <w:spacing w:val="-8"/>
        </w:rPr>
        <w:t xml:space="preserve"> </w:t>
      </w:r>
      <w:r w:rsidRPr="00F87C55">
        <w:rPr>
          <w:bCs/>
        </w:rPr>
        <w:t>3206-</w:t>
      </w:r>
      <w:r>
        <w:rPr>
          <w:bCs/>
        </w:rPr>
        <w:t>0</w:t>
      </w:r>
      <w:r>
        <w:rPr>
          <w:bCs/>
        </w:rPr>
        <w:t>226</w:t>
      </w:r>
    </w:p>
    <w:p w:rsidR="00933321" w14:paraId="48A403D9" w14:textId="77777777"/>
    <w:p w:rsidR="00933321" w14:paraId="5734815C" w14:textId="77777777">
      <w:pPr>
        <w:numPr>
          <w:ilvl w:val="0"/>
          <w:numId w:val="1"/>
        </w:numPr>
      </w:pPr>
      <w:r>
        <w:t>Justification</w:t>
      </w:r>
    </w:p>
    <w:p w:rsidR="00933321" w14:paraId="145384FC" w14:textId="77777777"/>
    <w:p w:rsidR="00EB14B8" w:rsidRPr="00741061" w:rsidP="00EB14B8" w14:paraId="632173D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14:paraId="1566C798" w14:textId="77777777">
      <w:pPr>
        <w:ind w:left="720"/>
      </w:pPr>
    </w:p>
    <w:p w:rsidR="00933321" w:rsidP="00EB14B8" w14:paraId="2303D1AF" w14:textId="77777777">
      <w:pPr>
        <w:ind w:left="720"/>
      </w:pPr>
      <w:r>
        <w:t xml:space="preserve">RI 38-128 is designed to collect the information the Office of Personnel Management (OPM) needs to administer this provision of Public Law 104-134. </w:t>
      </w:r>
      <w:r w:rsidR="00A157EF">
        <w:t xml:space="preserve">Public Law 104-134 requires that regular annuity payments must be paid by Direct Deposit through Electronic Funds Transfer (EFT), unless receiving the payment electronically would cause the annuitant hardship.  </w:t>
      </w:r>
    </w:p>
    <w:p w:rsidR="00933321" w14:paraId="648FFAA4" w14:textId="77777777">
      <w:pPr>
        <w:ind w:left="360"/>
      </w:pPr>
    </w:p>
    <w:p w:rsidR="00EB14B8" w:rsidRPr="00741061" w:rsidP="00EB14B8" w14:paraId="028F5E2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14:paraId="511B4885" w14:textId="77777777">
      <w:pPr>
        <w:ind w:left="720"/>
      </w:pPr>
    </w:p>
    <w:p w:rsidR="00933321" w:rsidP="00EB14B8" w14:paraId="1EB9EE10" w14:textId="753F71B9">
      <w:pPr>
        <w:ind w:left="720"/>
      </w:pPr>
      <w:r>
        <w:t xml:space="preserve">RI 38-128 provides the opportunity for the annuitant to elect Direct Deposit or Direct Express. This election is required only once: when a person is first put on our rolls.  </w:t>
      </w:r>
      <w:r w:rsidR="00CB768A">
        <w:br/>
      </w:r>
      <w:r>
        <w:t xml:space="preserve">If there is no evidence that the separating agency gave the person this election, OPM must provide RI 38-128.  </w:t>
      </w:r>
    </w:p>
    <w:p w:rsidR="007D1502" w:rsidP="007D1502" w14:paraId="5DEE9AD3" w14:textId="77777777">
      <w:pPr>
        <w:ind w:left="360"/>
      </w:pPr>
    </w:p>
    <w:p w:rsidR="00EB14B8" w:rsidRPr="00741061" w:rsidP="00EB14B8" w14:paraId="25B687A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14:paraId="667E6323" w14:textId="77777777">
      <w:pPr>
        <w:ind w:left="720"/>
      </w:pPr>
    </w:p>
    <w:p w:rsidR="00933321" w:rsidP="00EB14B8" w14:paraId="19AE1746" w14:textId="49159066">
      <w:pPr>
        <w:ind w:left="720"/>
      </w:pPr>
      <w:r>
        <w:t>Improved information technology cannot reduce the burden because the information cannot be collected from anyone other than the annuitants.  However, this form is available in a PDF fillable format on our website and meets our GPEA requirements.</w:t>
      </w:r>
      <w:r w:rsidR="0065681E">
        <w:t xml:space="preserve"> Electronic signature capability is not available.</w:t>
      </w:r>
    </w:p>
    <w:p w:rsidR="00933321" w14:paraId="46BF9EF0" w14:textId="77777777">
      <w:pPr>
        <w:ind w:left="360"/>
      </w:pPr>
    </w:p>
    <w:p w:rsidR="009B7453" w:rsidRPr="00741061" w:rsidP="009B7453" w14:paraId="4041341B"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14:paraId="2078BE43" w14:textId="77777777">
      <w:pPr>
        <w:ind w:left="720"/>
      </w:pPr>
    </w:p>
    <w:p w:rsidR="00933321" w:rsidP="009B7453" w14:paraId="5327CAA2" w14:textId="77777777">
      <w:pPr>
        <w:ind w:left="720"/>
      </w:pPr>
      <w:r>
        <w:t>These forms are filed individually.  Duplication is minimized.  Similar information signed by the respondent is not available from other sources.</w:t>
      </w:r>
    </w:p>
    <w:p w:rsidR="00933321" w14:paraId="38958ED4" w14:textId="77777777"/>
    <w:p w:rsidR="009B7453" w:rsidRPr="00741061" w:rsidP="009B7453" w14:paraId="5C953D0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14:paraId="6452D922" w14:textId="77777777">
      <w:pPr>
        <w:ind w:left="720"/>
      </w:pPr>
      <w:r w:rsidRPr="00741061">
        <w:tab/>
      </w:r>
    </w:p>
    <w:p w:rsidR="00933321" w:rsidP="009B7453" w14:paraId="5960D1E7" w14:textId="77777777">
      <w:pPr>
        <w:ind w:left="720"/>
      </w:pPr>
      <w:r>
        <w:t>This information collection request has no impact on small businesses</w:t>
      </w:r>
      <w:r w:rsidR="00BA1768">
        <w:t xml:space="preserve"> and</w:t>
      </w:r>
      <w:r>
        <w:t xml:space="preserve"> organizations.</w:t>
      </w:r>
    </w:p>
    <w:p w:rsidR="00933321" w14:paraId="726181FA" w14:textId="77777777"/>
    <w:p w:rsidR="009B7453" w:rsidRPr="00741061" w:rsidP="009B7453" w14:paraId="21C445B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14:paraId="01B3348F" w14:textId="77777777">
      <w:pPr>
        <w:ind w:left="720"/>
      </w:pPr>
    </w:p>
    <w:p w:rsidR="00933321" w:rsidP="009B7453" w14:paraId="52F3F278" w14:textId="77777777">
      <w:pPr>
        <w:ind w:left="720"/>
      </w:pPr>
      <w:r>
        <w:t>Less frequent collection would prevent OPM from complying with Public Law 104-34.</w:t>
      </w:r>
      <w:r w:rsidR="002C1F76">
        <w:t xml:space="preserve"> </w:t>
      </w:r>
      <w:r w:rsidRPr="002C1F76" w:rsidR="002C1F76">
        <w:t xml:space="preserve">This information collection is consistent with the guidelines in 5 CFR 1320.6, except for 1320.6(b).  An immediate response is required </w:t>
      </w:r>
      <w:r w:rsidR="00404367">
        <w:t>in order to prevent the delay of administering a financial benefit to the annuitant</w:t>
      </w:r>
      <w:r w:rsidRPr="002C1F76" w:rsidR="002C1F76">
        <w:t>.</w:t>
      </w:r>
    </w:p>
    <w:p w:rsidR="00933321" w14:paraId="73A9B8FD" w14:textId="77777777"/>
    <w:p w:rsidR="00876DC0" w:rsidP="00876DC0" w14:paraId="512AB91F"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r>
        <w:t xml:space="preserve"> </w:t>
      </w:r>
    </w:p>
    <w:p w:rsidR="00876DC0" w:rsidP="00876DC0" w14:paraId="6F0CB3CC"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876DC0" w:rsidP="00876DC0" w14:paraId="555A9BA2"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876DC0" w:rsidP="00876DC0" w14:paraId="10117FE1"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876DC0" w:rsidP="00876DC0" w14:paraId="0A638F0B"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876DC0" w:rsidP="00876DC0" w14:paraId="2873443B"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876DC0" w:rsidP="00876DC0" w14:paraId="690D5DDA"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876DC0" w:rsidP="00876DC0" w14:paraId="40D66CE8"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54E94" w:rsidRPr="00741061" w:rsidP="00876DC0" w14:paraId="7D1CCBA8"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t xml:space="preserve"> </w:t>
      </w:r>
    </w:p>
    <w:p w:rsidR="00E54E94" w:rsidP="00E54E94" w14:paraId="54BDE1E4" w14:textId="77777777">
      <w:pPr>
        <w:ind w:left="720"/>
      </w:pPr>
    </w:p>
    <w:p w:rsidR="00933321" w:rsidP="00E54E94" w14:paraId="138FDD65" w14:textId="77777777">
      <w:pPr>
        <w:ind w:left="720"/>
      </w:pPr>
      <w:r>
        <w:t>There are no special circumstances involved in the collection of this information.</w:t>
      </w:r>
    </w:p>
    <w:p w:rsidR="00933321" w14:paraId="112D1EF2" w14:textId="77777777"/>
    <w:p w:rsidR="00E54E94" w:rsidRPr="00741061" w:rsidP="00E54E94" w14:paraId="0B08E6AF"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14:paraId="6F8686F6" w14:textId="77777777">
      <w:pPr>
        <w:ind w:left="720"/>
      </w:pPr>
    </w:p>
    <w:p w:rsidR="00E54E94" w:rsidP="00E54E94" w14:paraId="16F47ED6" w14:textId="6FD6F74D">
      <w:pPr>
        <w:ind w:left="720"/>
      </w:pPr>
      <w:r>
        <w:t xml:space="preserve">On </w:t>
      </w:r>
      <w:r w:rsidR="0065681E">
        <w:t>May 3</w:t>
      </w:r>
      <w:r>
        <w:t>, 20</w:t>
      </w:r>
      <w:r w:rsidR="00CB768A">
        <w:t>2</w:t>
      </w:r>
      <w:r w:rsidR="0065681E">
        <w:t>3</w:t>
      </w:r>
      <w:r>
        <w:t>, a 60 Day Federal Register Notice was published at 8</w:t>
      </w:r>
      <w:r w:rsidR="0065681E">
        <w:t>8</w:t>
      </w:r>
      <w:r>
        <w:t xml:space="preserve"> FR </w:t>
      </w:r>
      <w:r w:rsidR="00CB768A">
        <w:t>2</w:t>
      </w:r>
      <w:r w:rsidR="0065681E">
        <w:t>7927</w:t>
      </w:r>
      <w:r>
        <w:t xml:space="preserve">. </w:t>
      </w:r>
      <w:r w:rsidRPr="00741061">
        <w:t xml:space="preserve"> </w:t>
      </w:r>
      <w:r w:rsidR="00B30A70">
        <w:br/>
      </w:r>
      <w:r w:rsidR="0065681E">
        <w:t>No</w:t>
      </w:r>
      <w:r w:rsidR="00CB768A">
        <w:t xml:space="preserve"> comment was received</w:t>
      </w:r>
      <w:r w:rsidR="0065681E">
        <w:t xml:space="preserve">. </w:t>
      </w:r>
    </w:p>
    <w:p w:rsidR="00E54E94" w:rsidP="00E54E94" w14:paraId="3CB287C6" w14:textId="77777777">
      <w:pPr>
        <w:ind w:left="720"/>
      </w:pPr>
    </w:p>
    <w:p w:rsidR="00E54E94" w:rsidRPr="00741061" w:rsidP="00E54E94" w14:paraId="280F7AF7"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P="00E54E94" w14:paraId="74ED2CDF" w14:textId="77777777">
      <w:pPr>
        <w:tabs>
          <w:tab w:val="left" w:pos="-720"/>
        </w:tabs>
        <w:suppressAutoHyphens/>
        <w:ind w:right="-288"/>
      </w:pPr>
    </w:p>
    <w:p w:rsidR="00E54E94" w:rsidRPr="00741061" w:rsidP="00E54E94" w14:paraId="49DF4A5E"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14:paraId="1634CC98" w14:textId="77777777">
      <w:pPr>
        <w:ind w:left="720" w:right="-288"/>
      </w:pPr>
    </w:p>
    <w:p w:rsidR="00E54E94" w:rsidRPr="00741061" w:rsidP="00E54E94" w14:paraId="0299B1E6"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14:paraId="5D4A6D64" w14:textId="77777777">
      <w:pPr>
        <w:ind w:left="720" w:right="-288"/>
      </w:pPr>
    </w:p>
    <w:p w:rsidR="00E54E94" w:rsidP="00E54E94" w14:paraId="0B536EF3" w14:textId="6C5BFCAC">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w:t>
      </w:r>
      <w:r w:rsidR="00C814DE">
        <w:t xml:space="preserve">(87 FR 5874, </w:t>
      </w:r>
      <w:r w:rsidR="00C814DE">
        <w:rPr>
          <w:i/>
          <w:iCs/>
        </w:rPr>
        <w:t>et seq</w:t>
      </w:r>
      <w:r w:rsidR="00C814DE">
        <w:t xml:space="preserve">., </w:t>
      </w:r>
      <w:r w:rsidR="002E7043">
        <w:t>published</w:t>
      </w:r>
      <w:r w:rsidR="00C814DE">
        <w:t xml:space="preserve"> February 2, 2022).</w:t>
      </w:r>
    </w:p>
    <w:p w:rsidR="00E54E94" w:rsidP="00E54E94" w14:paraId="541DCF42" w14:textId="77777777"/>
    <w:p w:rsidR="00E54E94" w:rsidP="00E54E94" w14:paraId="54AE05F2" w14:textId="77EC6C1A">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65681E" w:rsidP="002E7043" w14:paraId="2ABFF8DB" w14:textId="37458C29">
      <w:pPr>
        <w:spacing w:before="240"/>
        <w:ind w:left="720"/>
      </w:pPr>
      <w:r>
        <w:t>This information collection does not include questions of a sensitive nature, such as sexual behavior and attitudes, religious beliefs, and other matters that are commonly considered private.</w:t>
      </w:r>
    </w:p>
    <w:p w:rsidR="002E7043" w:rsidP="002E7043" w14:paraId="1F64D7D4" w14:textId="77777777">
      <w:pPr>
        <w:spacing w:before="240"/>
        <w:ind w:left="720"/>
      </w:pPr>
    </w:p>
    <w:p w:rsidR="00E54E94" w:rsidRPr="00741061" w:rsidP="009C5343" w14:paraId="3849F995" w14:textId="77777777">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00E54E94" w:rsidRPr="00741061" w:rsidP="00E54E94" w14:paraId="08F8A478" w14:textId="77777777">
      <w:pPr>
        <w:pStyle w:val="ListParagraph"/>
        <w:tabs>
          <w:tab w:val="left" w:pos="-720"/>
        </w:tabs>
        <w:suppressAutoHyphens/>
      </w:pPr>
    </w:p>
    <w:p w:rsidR="00A10BE7" w:rsidP="00E54E94" w14:paraId="45CA532E"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A10BE7" w:rsidP="00A10BE7" w14:paraId="7DE5DF67" w14:textId="77777777">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P="00A10BE7" w14:paraId="76B86E7F"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P="00E54E94" w14:paraId="1C73F68D" w14:textId="77777777">
      <w:pPr>
        <w:pStyle w:val="ListParagraph"/>
        <w:shd w:val="pct25" w:color="auto" w:fill="auto"/>
        <w:tabs>
          <w:tab w:val="left" w:pos="-720"/>
        </w:tabs>
        <w:suppressAutoHyphens/>
      </w:pPr>
    </w:p>
    <w:p w:rsidR="002E7043" w:rsidP="00A10BE7" w14:paraId="65FC34AF" w14:textId="0D7BA90B">
      <w:pPr>
        <w:spacing w:before="240"/>
        <w:ind w:left="720"/>
      </w:pPr>
      <w:r>
        <w:t>Approximately 2</w:t>
      </w:r>
      <w:r w:rsidR="00A10BE7">
        <w:t xml:space="preserve">0,000 forms will be processed annually.  </w:t>
      </w:r>
      <w:r w:rsidR="00933321">
        <w:t>T</w:t>
      </w:r>
      <w:r>
        <w:t>he form requires approximately 3</w:t>
      </w:r>
      <w:r w:rsidR="00933321">
        <w:t xml:space="preserve">0 minutes </w:t>
      </w:r>
      <w:r>
        <w:t>for</w:t>
      </w:r>
      <w:r w:rsidR="00461DF9">
        <w:t xml:space="preserve"> completion</w:t>
      </w:r>
      <w:r w:rsidR="00933321">
        <w:t xml:space="preserve">.  </w:t>
      </w:r>
      <w:r w:rsidR="00461DF9">
        <w:t>A</w:t>
      </w:r>
      <w:r>
        <w:t>n</w:t>
      </w:r>
      <w:r w:rsidR="00461DF9">
        <w:t xml:space="preserve"> </w:t>
      </w:r>
      <w:r>
        <w:t xml:space="preserve">annual </w:t>
      </w:r>
      <w:r w:rsidR="00461DF9">
        <w:t>b</w:t>
      </w:r>
      <w:r w:rsidR="00933321">
        <w:t>urden of 10,000 hours is estimated.</w:t>
      </w:r>
      <w:r w:rsidRPr="00A10BE7" w:rsidR="00A10BE7">
        <w:t xml:space="preserve"> </w:t>
      </w:r>
    </w:p>
    <w:tbl>
      <w:tblPr>
        <w:tblpPr w:leftFromText="180" w:rightFromText="180" w:vertAnchor="text" w:horzAnchor="page" w:tblpX="2266" w:tblpY="214"/>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5"/>
        <w:gridCol w:w="2250"/>
        <w:gridCol w:w="1440"/>
        <w:gridCol w:w="1260"/>
        <w:gridCol w:w="1440"/>
        <w:gridCol w:w="1170"/>
      </w:tblGrid>
      <w:tr w14:paraId="1036F17B" w14:textId="77777777" w:rsidTr="00B63968">
        <w:tblPrEx>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3"/>
        </w:trPr>
        <w:tc>
          <w:tcPr>
            <w:tcW w:w="1165" w:type="dxa"/>
            <w:shd w:val="clear" w:color="auto" w:fill="D9D9D9"/>
          </w:tcPr>
          <w:p w:rsidR="00B63968" w:rsidP="00B63968" w14:paraId="2A8DD64D" w14:textId="77777777">
            <w:pPr>
              <w:pStyle w:val="TableParagraph"/>
              <w:ind w:right="93"/>
              <w:jc w:val="center"/>
            </w:pPr>
            <w:r>
              <w:rPr>
                <w:rFonts w:ascii="Arial" w:hAnsi="Arial" w:cs="Arial"/>
                <w:b/>
                <w:sz w:val="16"/>
                <w:szCs w:val="16"/>
              </w:rPr>
              <w:t>Type of Respondent</w:t>
            </w:r>
          </w:p>
        </w:tc>
        <w:tc>
          <w:tcPr>
            <w:tcW w:w="2250" w:type="dxa"/>
            <w:shd w:val="clear" w:color="auto" w:fill="D9D9D9"/>
          </w:tcPr>
          <w:p w:rsidR="00B63968" w:rsidP="00B63968" w14:paraId="1E631779" w14:textId="77777777">
            <w:pPr>
              <w:pStyle w:val="TableParagraph"/>
              <w:spacing w:line="253" w:lineRule="exact"/>
              <w:ind w:left="262"/>
            </w:pPr>
            <w:r>
              <w:rPr>
                <w:rFonts w:ascii="Arial" w:hAnsi="Arial" w:cs="Arial"/>
                <w:b/>
                <w:sz w:val="16"/>
                <w:szCs w:val="16"/>
              </w:rPr>
              <w:t>Collection Name</w:t>
            </w:r>
          </w:p>
        </w:tc>
        <w:tc>
          <w:tcPr>
            <w:tcW w:w="1440" w:type="dxa"/>
            <w:shd w:val="clear" w:color="auto" w:fill="D9D9D9"/>
          </w:tcPr>
          <w:p w:rsidR="00B63968" w:rsidP="00B63968" w14:paraId="5A884C14" w14:textId="77777777">
            <w:pPr>
              <w:pStyle w:val="TableParagraph"/>
              <w:spacing w:before="1"/>
              <w:ind w:right="96"/>
              <w:jc w:val="center"/>
              <w:rPr>
                <w:sz w:val="20"/>
              </w:rPr>
            </w:pPr>
            <w:r w:rsidRPr="005E399C">
              <w:rPr>
                <w:rFonts w:ascii="Arial" w:hAnsi="Arial" w:cs="Arial"/>
                <w:b/>
                <w:sz w:val="16"/>
                <w:szCs w:val="16"/>
              </w:rPr>
              <w:t>No. of Respondents</w:t>
            </w:r>
          </w:p>
        </w:tc>
        <w:tc>
          <w:tcPr>
            <w:tcW w:w="1260" w:type="dxa"/>
            <w:shd w:val="clear" w:color="auto" w:fill="D9D9D9"/>
          </w:tcPr>
          <w:p w:rsidR="00B63968" w:rsidP="00B63968" w14:paraId="39DB9447" w14:textId="77777777">
            <w:pPr>
              <w:pStyle w:val="TableParagraph"/>
              <w:ind w:right="95"/>
              <w:jc w:val="center"/>
            </w:pPr>
            <w:r w:rsidRPr="005E399C">
              <w:rPr>
                <w:rFonts w:ascii="Arial" w:hAnsi="Arial" w:cs="Arial"/>
                <w:b/>
                <w:sz w:val="16"/>
                <w:szCs w:val="16"/>
              </w:rPr>
              <w:t>No.</w:t>
            </w:r>
            <w:r>
              <w:rPr>
                <w:rFonts w:ascii="Arial" w:hAnsi="Arial" w:cs="Arial"/>
                <w:b/>
                <w:sz w:val="16"/>
                <w:szCs w:val="16"/>
              </w:rPr>
              <w:t xml:space="preserve"> </w:t>
            </w:r>
            <w:r w:rsidRPr="005E399C">
              <w:rPr>
                <w:rFonts w:ascii="Arial" w:hAnsi="Arial" w:cs="Arial"/>
                <w:b/>
                <w:sz w:val="16"/>
                <w:szCs w:val="16"/>
              </w:rPr>
              <w:t>of Responses</w:t>
            </w:r>
            <w:r>
              <w:rPr>
                <w:rFonts w:ascii="Arial" w:hAnsi="Arial" w:cs="Arial"/>
                <w:b/>
                <w:sz w:val="16"/>
                <w:szCs w:val="16"/>
              </w:rPr>
              <w:br/>
            </w:r>
            <w:r w:rsidRPr="005E399C">
              <w:rPr>
                <w:rFonts w:ascii="Arial" w:hAnsi="Arial" w:cs="Arial"/>
                <w:b/>
                <w:sz w:val="16"/>
                <w:szCs w:val="16"/>
              </w:rPr>
              <w:t>per Respondent</w:t>
            </w:r>
          </w:p>
        </w:tc>
        <w:tc>
          <w:tcPr>
            <w:tcW w:w="1440" w:type="dxa"/>
            <w:shd w:val="clear" w:color="auto" w:fill="D9D9D9"/>
          </w:tcPr>
          <w:p w:rsidR="00B63968" w:rsidP="00B63968" w14:paraId="37D428AF" w14:textId="77777777">
            <w:pPr>
              <w:pStyle w:val="TableParagraph"/>
              <w:ind w:right="95"/>
              <w:jc w:val="center"/>
            </w:pPr>
            <w:r w:rsidRPr="005E399C">
              <w:rPr>
                <w:rFonts w:ascii="Arial" w:hAnsi="Arial" w:cs="Arial"/>
                <w:b/>
                <w:sz w:val="16"/>
                <w:szCs w:val="16"/>
              </w:rPr>
              <w:t xml:space="preserve">Average Burden per Response </w:t>
            </w:r>
            <w:r>
              <w:rPr>
                <w:rFonts w:ascii="Arial" w:hAnsi="Arial" w:cs="Arial"/>
                <w:b/>
                <w:sz w:val="16"/>
                <w:szCs w:val="16"/>
              </w:rPr>
              <w:br/>
            </w:r>
            <w:r w:rsidRPr="005E399C">
              <w:rPr>
                <w:rFonts w:ascii="Arial" w:hAnsi="Arial" w:cs="Arial"/>
                <w:b/>
                <w:sz w:val="16"/>
                <w:szCs w:val="16"/>
              </w:rPr>
              <w:t>(in hours)</w:t>
            </w:r>
          </w:p>
        </w:tc>
        <w:tc>
          <w:tcPr>
            <w:tcW w:w="1170" w:type="dxa"/>
            <w:shd w:val="clear" w:color="auto" w:fill="D9D9D9"/>
          </w:tcPr>
          <w:p w:rsidR="00B63968" w:rsidP="00B63968" w14:paraId="61298096" w14:textId="77777777">
            <w:pPr>
              <w:pStyle w:val="TableParagraph"/>
              <w:ind w:left="241" w:right="93"/>
            </w:pPr>
            <w:r w:rsidRPr="005E399C">
              <w:rPr>
                <w:rFonts w:ascii="Arial" w:hAnsi="Arial" w:cs="Arial"/>
                <w:b/>
                <w:sz w:val="16"/>
                <w:szCs w:val="16"/>
              </w:rPr>
              <w:t xml:space="preserve">Total Annual Burden </w:t>
            </w:r>
            <w:r>
              <w:rPr>
                <w:rFonts w:ascii="Arial" w:hAnsi="Arial" w:cs="Arial"/>
                <w:b/>
                <w:sz w:val="16"/>
                <w:szCs w:val="16"/>
              </w:rPr>
              <w:br/>
            </w:r>
            <w:r w:rsidRPr="005E399C">
              <w:rPr>
                <w:rFonts w:ascii="Arial" w:hAnsi="Arial" w:cs="Arial"/>
                <w:b/>
                <w:sz w:val="16"/>
                <w:szCs w:val="16"/>
              </w:rPr>
              <w:t>(in hours)</w:t>
            </w:r>
          </w:p>
        </w:tc>
      </w:tr>
      <w:tr w14:paraId="0564353E" w14:textId="77777777" w:rsidTr="00B63968">
        <w:tblPrEx>
          <w:tblW w:w="8725" w:type="dxa"/>
          <w:tblLayout w:type="fixed"/>
          <w:tblCellMar>
            <w:left w:w="0" w:type="dxa"/>
            <w:right w:w="0" w:type="dxa"/>
          </w:tblCellMar>
          <w:tblLook w:val="01E0"/>
        </w:tblPrEx>
        <w:trPr>
          <w:trHeight w:val="800"/>
        </w:trPr>
        <w:tc>
          <w:tcPr>
            <w:tcW w:w="1165" w:type="dxa"/>
            <w:shd w:val="clear" w:color="auto" w:fill="auto"/>
          </w:tcPr>
          <w:p w:rsidR="00B63968" w:rsidP="00B63968" w14:paraId="26DAC03F" w14:textId="77777777">
            <w:pPr>
              <w:pStyle w:val="TableParagraph"/>
              <w:spacing w:line="252" w:lineRule="exact"/>
              <w:ind w:right="135"/>
              <w:rPr>
                <w:sz w:val="20"/>
                <w:szCs w:val="20"/>
              </w:rPr>
            </w:pPr>
            <w:r>
              <w:rPr>
                <w:sz w:val="20"/>
                <w:szCs w:val="20"/>
              </w:rPr>
              <w:t xml:space="preserve"> </w:t>
            </w:r>
            <w:r w:rsidRPr="00444680">
              <w:rPr>
                <w:sz w:val="20"/>
                <w:szCs w:val="20"/>
              </w:rPr>
              <w:t xml:space="preserve">Federal </w:t>
            </w:r>
            <w:r>
              <w:rPr>
                <w:sz w:val="20"/>
                <w:szCs w:val="20"/>
              </w:rPr>
              <w:t xml:space="preserve">   </w:t>
            </w:r>
          </w:p>
          <w:p w:rsidR="00B63968" w:rsidRPr="00444680" w:rsidP="00B63968" w14:paraId="310DEC15" w14:textId="77777777">
            <w:pPr>
              <w:pStyle w:val="TableParagraph"/>
              <w:spacing w:line="252" w:lineRule="exact"/>
              <w:ind w:right="135"/>
              <w:rPr>
                <w:sz w:val="20"/>
                <w:szCs w:val="20"/>
              </w:rPr>
            </w:pPr>
            <w:r>
              <w:rPr>
                <w:sz w:val="20"/>
                <w:szCs w:val="20"/>
              </w:rPr>
              <w:t xml:space="preserve"> </w:t>
            </w:r>
            <w:r w:rsidRPr="00444680">
              <w:rPr>
                <w:sz w:val="20"/>
                <w:szCs w:val="20"/>
              </w:rPr>
              <w:t>annuitant</w:t>
            </w:r>
            <w:r>
              <w:rPr>
                <w:sz w:val="20"/>
                <w:szCs w:val="20"/>
              </w:rPr>
              <w:t>s</w:t>
            </w:r>
          </w:p>
        </w:tc>
        <w:tc>
          <w:tcPr>
            <w:tcW w:w="2250" w:type="dxa"/>
            <w:shd w:val="clear" w:color="auto" w:fill="auto"/>
          </w:tcPr>
          <w:p w:rsidR="00B63968" w:rsidRPr="00444680" w:rsidP="00B63968" w14:paraId="7E26A822" w14:textId="77777777">
            <w:pPr>
              <w:pStyle w:val="TableParagraph"/>
              <w:rPr>
                <w:sz w:val="20"/>
                <w:szCs w:val="20"/>
              </w:rPr>
            </w:pPr>
            <w:r>
              <w:rPr>
                <w:sz w:val="18"/>
                <w:szCs w:val="18"/>
              </w:rPr>
              <w:t>It’s Time to Sign Up for Direct Deposit or Direct Express</w:t>
            </w:r>
          </w:p>
        </w:tc>
        <w:tc>
          <w:tcPr>
            <w:tcW w:w="1440" w:type="dxa"/>
            <w:shd w:val="clear" w:color="auto" w:fill="auto"/>
          </w:tcPr>
          <w:p w:rsidR="00B63968" w:rsidRPr="00444680" w:rsidP="00B63968" w14:paraId="2C0D1DA2" w14:textId="77777777">
            <w:pPr>
              <w:pStyle w:val="TableParagraph"/>
              <w:rPr>
                <w:sz w:val="20"/>
                <w:szCs w:val="20"/>
              </w:rPr>
            </w:pPr>
            <w:r>
              <w:rPr>
                <w:sz w:val="20"/>
                <w:szCs w:val="20"/>
              </w:rPr>
              <w:t xml:space="preserve"> 20,000</w:t>
            </w:r>
          </w:p>
        </w:tc>
        <w:tc>
          <w:tcPr>
            <w:tcW w:w="1260" w:type="dxa"/>
            <w:shd w:val="clear" w:color="auto" w:fill="auto"/>
          </w:tcPr>
          <w:p w:rsidR="00B63968" w:rsidRPr="00444680" w:rsidP="00B63968" w14:paraId="0E369E4E" w14:textId="77777777">
            <w:pPr>
              <w:pStyle w:val="TableParagraph"/>
              <w:spacing w:before="1"/>
              <w:ind w:right="96"/>
              <w:rPr>
                <w:sz w:val="20"/>
                <w:szCs w:val="20"/>
              </w:rPr>
            </w:pPr>
            <w:r>
              <w:rPr>
                <w:sz w:val="20"/>
                <w:szCs w:val="20"/>
              </w:rPr>
              <w:t xml:space="preserve"> </w:t>
            </w:r>
            <w:r w:rsidRPr="00444680">
              <w:rPr>
                <w:sz w:val="20"/>
                <w:szCs w:val="20"/>
              </w:rPr>
              <w:t>1</w:t>
            </w:r>
          </w:p>
        </w:tc>
        <w:tc>
          <w:tcPr>
            <w:tcW w:w="1440" w:type="dxa"/>
            <w:shd w:val="clear" w:color="auto" w:fill="auto"/>
          </w:tcPr>
          <w:p w:rsidR="00B63968" w:rsidRPr="00444680" w:rsidP="00B63968" w14:paraId="6063D0A1" w14:textId="77777777">
            <w:pPr>
              <w:pStyle w:val="TableParagraph"/>
              <w:rPr>
                <w:sz w:val="20"/>
                <w:szCs w:val="20"/>
              </w:rPr>
            </w:pPr>
            <w:r>
              <w:rPr>
                <w:sz w:val="20"/>
                <w:szCs w:val="20"/>
              </w:rPr>
              <w:t xml:space="preserve"> </w:t>
            </w:r>
            <w:r>
              <w:rPr>
                <w:sz w:val="18"/>
                <w:szCs w:val="18"/>
              </w:rPr>
              <w:t>30 minutes</w:t>
            </w:r>
          </w:p>
        </w:tc>
        <w:tc>
          <w:tcPr>
            <w:tcW w:w="1170" w:type="dxa"/>
            <w:shd w:val="clear" w:color="auto" w:fill="auto"/>
          </w:tcPr>
          <w:p w:rsidR="00B63968" w:rsidRPr="00444680" w:rsidP="00B63968" w14:paraId="70479677" w14:textId="77777777">
            <w:pPr>
              <w:pStyle w:val="TableParagraph"/>
              <w:rPr>
                <w:sz w:val="20"/>
                <w:szCs w:val="20"/>
              </w:rPr>
            </w:pPr>
            <w:r>
              <w:rPr>
                <w:sz w:val="20"/>
                <w:szCs w:val="20"/>
              </w:rPr>
              <w:t xml:space="preserve"> </w:t>
            </w:r>
            <w:r>
              <w:rPr>
                <w:sz w:val="18"/>
                <w:szCs w:val="18"/>
              </w:rPr>
              <w:t>10,000</w:t>
            </w:r>
          </w:p>
        </w:tc>
      </w:tr>
    </w:tbl>
    <w:p w:rsidR="00B63968" w:rsidP="00B63968" w14:paraId="00C70B25" w14:textId="77777777">
      <w:pPr>
        <w:spacing w:before="240"/>
      </w:pPr>
    </w:p>
    <w:p w:rsidR="00B63968" w:rsidP="00B63968" w14:paraId="67A2521D" w14:textId="77777777">
      <w:pPr>
        <w:spacing w:before="240"/>
      </w:pPr>
    </w:p>
    <w:p w:rsidR="00C8596E" w:rsidP="00B63968" w14:paraId="2FB7338C" w14:textId="6F032B55">
      <w:pPr>
        <w:spacing w:before="240"/>
        <w:ind w:left="720"/>
      </w:pPr>
      <w:r>
        <w:br/>
      </w:r>
      <w:r w:rsidR="00EE35E7">
        <w:br/>
      </w:r>
      <w:r w:rsidR="00933321">
        <w:t>The</w:t>
      </w:r>
      <w:r w:rsidR="008E5EA2">
        <w:t xml:space="preserve"> Total Annual Respondent Cost is $</w:t>
      </w:r>
      <w:r w:rsidR="00224695">
        <w:t>268,750</w:t>
      </w:r>
      <w:r w:rsidR="008E5EA2">
        <w:t>.</w:t>
      </w:r>
    </w:p>
    <w:p w:rsidR="00B63968" w:rsidP="00B73735" w14:paraId="526CD2EF" w14:textId="77777777">
      <w:pPr>
        <w:spacing w:before="240"/>
        <w:ind w:left="720"/>
      </w:pPr>
    </w:p>
    <w:p w:rsidR="00A10BE7" w:rsidRPr="00741061" w:rsidP="00A10BE7" w14:paraId="22413FC1"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00A10BE7" w:rsidRPr="00741061" w:rsidP="00A10BE7" w14:paraId="3C3783F0" w14:textId="77777777">
      <w:pPr>
        <w:pStyle w:val="ListParagraph"/>
        <w:shd w:val="pct25" w:color="auto" w:fill="auto"/>
        <w:tabs>
          <w:tab w:val="left" w:pos="-720"/>
        </w:tabs>
        <w:suppressAutoHyphens/>
      </w:pPr>
    </w:p>
    <w:p w:rsidR="00A10BE7" w:rsidRPr="00741061" w:rsidP="00A10BE7" w14:paraId="38CD6A33"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P="00A10BE7" w14:paraId="3B700277" w14:textId="77777777">
      <w:pPr>
        <w:pStyle w:val="ListParagraph"/>
        <w:shd w:val="pct25" w:color="auto" w:fill="FFFFFF"/>
        <w:tabs>
          <w:tab w:val="left" w:pos="-720"/>
        </w:tabs>
        <w:suppressAutoHyphens/>
      </w:pPr>
    </w:p>
    <w:p w:rsidR="00A10BE7" w:rsidRPr="00741061" w:rsidP="00A10BE7" w14:paraId="531B643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P="00A10BE7" w14:paraId="5CDFD19E" w14:textId="77777777">
      <w:pPr>
        <w:pStyle w:val="ListParagraph"/>
        <w:shd w:val="pct25" w:color="auto" w:fill="FFFFFF"/>
        <w:tabs>
          <w:tab w:val="left" w:pos="-720"/>
        </w:tabs>
        <w:suppressAutoHyphens/>
      </w:pPr>
    </w:p>
    <w:p w:rsidR="00B63968" w:rsidRPr="00741061" w:rsidP="00A10BE7" w14:paraId="201DC8A6" w14:textId="348DBCC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741061">
          <w:t>October 1, 1995</w:t>
        </w:r>
      </w:smartTag>
      <w:r w:rsidRPr="00741061">
        <w:t xml:space="preserve">, (2) to achieve regulatory compliance with requirements not associated with the information collection, (3) for reasons other than to provide information to keep records for the government, or (4) as part of customary and </w:t>
      </w:r>
    </w:p>
    <w:tbl>
      <w:tblPr>
        <w:tblpPr w:leftFromText="180" w:rightFromText="180" w:vertAnchor="page" w:horzAnchor="margin" w:tblpXSpec="right" w:tblpY="10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1142"/>
        <w:gridCol w:w="1333"/>
        <w:gridCol w:w="1142"/>
        <w:gridCol w:w="1237"/>
        <w:gridCol w:w="1047"/>
        <w:gridCol w:w="1333"/>
      </w:tblGrid>
      <w:tr w14:paraId="51A038B6" w14:textId="77777777" w:rsidTr="00B639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3"/>
        </w:trPr>
        <w:tc>
          <w:tcPr>
            <w:tcW w:w="1232" w:type="dxa"/>
            <w:shd w:val="clear" w:color="auto" w:fill="D9D9D9"/>
          </w:tcPr>
          <w:p w:rsidR="00B63968" w:rsidRPr="005E399C" w:rsidP="00B63968" w14:paraId="6724CFA1" w14:textId="77777777">
            <w:pPr>
              <w:spacing w:before="240"/>
              <w:rPr>
                <w:rFonts w:ascii="Arial" w:hAnsi="Arial" w:cs="Arial"/>
                <w:b/>
                <w:sz w:val="16"/>
                <w:szCs w:val="16"/>
              </w:rPr>
            </w:pPr>
            <w:bookmarkStart w:id="0" w:name="_Hlk162356119"/>
            <w:r>
              <w:rPr>
                <w:rFonts w:ascii="Arial" w:hAnsi="Arial" w:cs="Arial"/>
                <w:b/>
                <w:sz w:val="16"/>
                <w:szCs w:val="16"/>
              </w:rPr>
              <w:t>Type of Respondent</w:t>
            </w:r>
          </w:p>
        </w:tc>
        <w:tc>
          <w:tcPr>
            <w:tcW w:w="1142" w:type="dxa"/>
            <w:shd w:val="clear" w:color="auto" w:fill="D9D9D9"/>
          </w:tcPr>
          <w:p w:rsidR="00B63968" w:rsidRPr="005E399C" w:rsidP="00B63968" w14:paraId="0A3E4DED" w14:textId="77777777">
            <w:pPr>
              <w:spacing w:before="240"/>
              <w:rPr>
                <w:rFonts w:ascii="Arial" w:hAnsi="Arial" w:cs="Arial"/>
                <w:b/>
                <w:sz w:val="16"/>
                <w:szCs w:val="16"/>
              </w:rPr>
            </w:pPr>
            <w:r w:rsidRPr="005E399C">
              <w:rPr>
                <w:rFonts w:ascii="Arial" w:hAnsi="Arial" w:cs="Arial"/>
                <w:b/>
                <w:sz w:val="16"/>
                <w:szCs w:val="16"/>
              </w:rPr>
              <w:t>Form Number</w:t>
            </w:r>
          </w:p>
        </w:tc>
        <w:tc>
          <w:tcPr>
            <w:tcW w:w="1333" w:type="dxa"/>
            <w:shd w:val="clear" w:color="auto" w:fill="D9D9D9"/>
          </w:tcPr>
          <w:p w:rsidR="00B63968" w:rsidRPr="005E399C" w:rsidP="00B63968" w14:paraId="134028EF" w14:textId="77777777">
            <w:pPr>
              <w:spacing w:before="240"/>
              <w:rPr>
                <w:rFonts w:ascii="Arial" w:hAnsi="Arial" w:cs="Arial"/>
                <w:b/>
                <w:sz w:val="16"/>
                <w:szCs w:val="16"/>
              </w:rPr>
            </w:pPr>
            <w:r w:rsidRPr="005E399C">
              <w:rPr>
                <w:rFonts w:ascii="Arial" w:hAnsi="Arial" w:cs="Arial"/>
                <w:b/>
                <w:sz w:val="16"/>
                <w:szCs w:val="16"/>
              </w:rPr>
              <w:t>No. of Respondents</w:t>
            </w:r>
          </w:p>
        </w:tc>
        <w:tc>
          <w:tcPr>
            <w:tcW w:w="1142" w:type="dxa"/>
            <w:shd w:val="clear" w:color="auto" w:fill="D9D9D9"/>
          </w:tcPr>
          <w:p w:rsidR="00B63968" w:rsidRPr="005E399C" w:rsidP="00B63968" w14:paraId="1F6F1645" w14:textId="77777777">
            <w:pPr>
              <w:spacing w:before="240"/>
              <w:rPr>
                <w:rFonts w:ascii="Arial" w:hAnsi="Arial" w:cs="Arial"/>
                <w:b/>
                <w:sz w:val="16"/>
                <w:szCs w:val="16"/>
              </w:rPr>
            </w:pPr>
            <w:r>
              <w:rPr>
                <w:rFonts w:ascii="Arial" w:hAnsi="Arial" w:cs="Arial"/>
                <w:b/>
                <w:sz w:val="16"/>
                <w:szCs w:val="16"/>
              </w:rPr>
              <w:t xml:space="preserve">Total </w:t>
            </w:r>
            <w:r w:rsidRPr="005E399C">
              <w:rPr>
                <w:rFonts w:ascii="Arial" w:hAnsi="Arial" w:cs="Arial"/>
                <w:b/>
                <w:sz w:val="16"/>
                <w:szCs w:val="16"/>
              </w:rPr>
              <w:t>No. of Responses</w:t>
            </w:r>
          </w:p>
        </w:tc>
        <w:tc>
          <w:tcPr>
            <w:tcW w:w="1237" w:type="dxa"/>
            <w:shd w:val="clear" w:color="auto" w:fill="D9D9D9"/>
          </w:tcPr>
          <w:p w:rsidR="00B63968" w:rsidRPr="005E399C" w:rsidP="00B63968" w14:paraId="03B60673"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1047" w:type="dxa"/>
            <w:shd w:val="clear" w:color="auto" w:fill="D9D9D9"/>
          </w:tcPr>
          <w:p w:rsidR="00B63968" w:rsidRPr="005E399C" w:rsidP="00B63968" w14:paraId="792211C9" w14:textId="77777777">
            <w:pPr>
              <w:spacing w:before="240"/>
              <w:rPr>
                <w:rFonts w:ascii="Arial" w:hAnsi="Arial" w:cs="Arial"/>
                <w:b/>
                <w:sz w:val="16"/>
                <w:szCs w:val="16"/>
              </w:rPr>
            </w:pPr>
            <w:r w:rsidRPr="005E399C">
              <w:rPr>
                <w:rFonts w:ascii="Arial" w:hAnsi="Arial" w:cs="Arial"/>
                <w:b/>
                <w:sz w:val="16"/>
                <w:szCs w:val="16"/>
              </w:rPr>
              <w:t>Hourly Wage Rate</w:t>
            </w:r>
          </w:p>
        </w:tc>
        <w:tc>
          <w:tcPr>
            <w:tcW w:w="1333" w:type="dxa"/>
            <w:shd w:val="clear" w:color="auto" w:fill="D9D9D9"/>
          </w:tcPr>
          <w:p w:rsidR="00B63968" w:rsidRPr="005E399C" w:rsidP="00B63968" w14:paraId="2B114C13" w14:textId="77777777">
            <w:pPr>
              <w:spacing w:before="240"/>
              <w:rPr>
                <w:rFonts w:ascii="Arial" w:hAnsi="Arial" w:cs="Arial"/>
                <w:b/>
                <w:sz w:val="16"/>
                <w:szCs w:val="16"/>
              </w:rPr>
            </w:pPr>
            <w:r w:rsidRPr="005E399C">
              <w:rPr>
                <w:rFonts w:ascii="Arial" w:hAnsi="Arial" w:cs="Arial"/>
                <w:b/>
                <w:sz w:val="16"/>
                <w:szCs w:val="16"/>
              </w:rPr>
              <w:t>Total Respondent Cost</w:t>
            </w:r>
          </w:p>
        </w:tc>
      </w:tr>
      <w:tr w14:paraId="4862C3AE" w14:textId="77777777" w:rsidTr="00B63968">
        <w:tblPrEx>
          <w:tblW w:w="0" w:type="auto"/>
          <w:tblLayout w:type="fixed"/>
          <w:tblLook w:val="04A0"/>
        </w:tblPrEx>
        <w:trPr>
          <w:trHeight w:val="767"/>
        </w:trPr>
        <w:tc>
          <w:tcPr>
            <w:tcW w:w="1232" w:type="dxa"/>
            <w:shd w:val="clear" w:color="auto" w:fill="auto"/>
          </w:tcPr>
          <w:p w:rsidR="00B63968" w:rsidRPr="009C7AD5" w:rsidP="00B63968" w14:paraId="0AAC86B8" w14:textId="77777777">
            <w:pPr>
              <w:rPr>
                <w:sz w:val="18"/>
                <w:szCs w:val="18"/>
              </w:rPr>
            </w:pPr>
            <w:r w:rsidRPr="009C7AD5">
              <w:rPr>
                <w:sz w:val="18"/>
                <w:szCs w:val="18"/>
              </w:rPr>
              <w:t>Federal annuitants</w:t>
            </w:r>
          </w:p>
        </w:tc>
        <w:tc>
          <w:tcPr>
            <w:tcW w:w="1142" w:type="dxa"/>
            <w:shd w:val="clear" w:color="auto" w:fill="auto"/>
          </w:tcPr>
          <w:p w:rsidR="00B63968" w:rsidRPr="009C7AD5" w:rsidP="00B63968" w14:paraId="17B90A34" w14:textId="77777777">
            <w:pPr>
              <w:rPr>
                <w:sz w:val="18"/>
                <w:szCs w:val="18"/>
              </w:rPr>
            </w:pPr>
            <w:r>
              <w:rPr>
                <w:sz w:val="18"/>
                <w:szCs w:val="18"/>
              </w:rPr>
              <w:t>RI 38-128</w:t>
            </w:r>
          </w:p>
        </w:tc>
        <w:tc>
          <w:tcPr>
            <w:tcW w:w="1333" w:type="dxa"/>
            <w:shd w:val="clear" w:color="auto" w:fill="auto"/>
          </w:tcPr>
          <w:p w:rsidR="00B63968" w:rsidRPr="009C7AD5" w:rsidP="00B63968" w14:paraId="30C919B3" w14:textId="77777777">
            <w:pPr>
              <w:rPr>
                <w:sz w:val="18"/>
                <w:szCs w:val="18"/>
              </w:rPr>
            </w:pPr>
            <w:r>
              <w:rPr>
                <w:sz w:val="18"/>
                <w:szCs w:val="18"/>
              </w:rPr>
              <w:t>20,000</w:t>
            </w:r>
          </w:p>
        </w:tc>
        <w:tc>
          <w:tcPr>
            <w:tcW w:w="1142" w:type="dxa"/>
            <w:shd w:val="clear" w:color="auto" w:fill="auto"/>
          </w:tcPr>
          <w:p w:rsidR="00B63968" w:rsidRPr="009C7AD5" w:rsidP="00B63968" w14:paraId="2DEBB355" w14:textId="77777777">
            <w:pPr>
              <w:rPr>
                <w:sz w:val="18"/>
                <w:szCs w:val="18"/>
              </w:rPr>
            </w:pPr>
            <w:r>
              <w:rPr>
                <w:sz w:val="18"/>
                <w:szCs w:val="18"/>
              </w:rPr>
              <w:t>20,000</w:t>
            </w:r>
          </w:p>
        </w:tc>
        <w:tc>
          <w:tcPr>
            <w:tcW w:w="1237" w:type="dxa"/>
            <w:shd w:val="clear" w:color="auto" w:fill="auto"/>
          </w:tcPr>
          <w:p w:rsidR="00B63968" w:rsidRPr="009C7AD5" w:rsidP="00B63968" w14:paraId="464B8C69" w14:textId="77777777">
            <w:pPr>
              <w:rPr>
                <w:sz w:val="18"/>
                <w:szCs w:val="18"/>
              </w:rPr>
            </w:pPr>
            <w:r>
              <w:rPr>
                <w:sz w:val="18"/>
                <w:szCs w:val="18"/>
              </w:rPr>
              <w:t>30 minutes</w:t>
            </w:r>
          </w:p>
        </w:tc>
        <w:tc>
          <w:tcPr>
            <w:tcW w:w="1047" w:type="dxa"/>
            <w:shd w:val="clear" w:color="auto" w:fill="auto"/>
          </w:tcPr>
          <w:p w:rsidR="00B63968" w:rsidRPr="009C7AD5" w:rsidP="00B63968" w14:paraId="5B566B63" w14:textId="77777777">
            <w:pPr>
              <w:rPr>
                <w:sz w:val="18"/>
                <w:szCs w:val="18"/>
              </w:rPr>
            </w:pPr>
            <w:r>
              <w:rPr>
                <w:sz w:val="18"/>
                <w:szCs w:val="18"/>
              </w:rPr>
              <w:t>$10.75</w:t>
            </w:r>
          </w:p>
        </w:tc>
        <w:tc>
          <w:tcPr>
            <w:tcW w:w="1333" w:type="dxa"/>
            <w:shd w:val="clear" w:color="auto" w:fill="auto"/>
          </w:tcPr>
          <w:p w:rsidR="00B63968" w:rsidRPr="009C7AD5" w:rsidP="00B63968" w14:paraId="1D62AD9A" w14:textId="77777777">
            <w:pPr>
              <w:rPr>
                <w:sz w:val="18"/>
                <w:szCs w:val="18"/>
              </w:rPr>
            </w:pPr>
            <w:r>
              <w:rPr>
                <w:sz w:val="18"/>
                <w:szCs w:val="18"/>
              </w:rPr>
              <w:t>$268,750</w:t>
            </w:r>
          </w:p>
          <w:p w:rsidR="00B63968" w:rsidRPr="009C7AD5" w:rsidP="00B63968" w14:paraId="6DAAB15A" w14:textId="77777777">
            <w:pPr>
              <w:rPr>
                <w:sz w:val="18"/>
                <w:szCs w:val="18"/>
              </w:rPr>
            </w:pPr>
          </w:p>
        </w:tc>
      </w:tr>
    </w:tbl>
    <w:bookmarkEnd w:id="0"/>
    <w:p w:rsidR="00B73735" w:rsidP="00B63968" w14:paraId="43CB93D0" w14:textId="0FF9B8F7">
      <w:pPr>
        <w:pStyle w:val="ListParagraph"/>
        <w:shd w:val="pct25" w:color="auto" w:fill="FFFFFF"/>
        <w:tabs>
          <w:tab w:val="left" w:pos="-720"/>
        </w:tabs>
        <w:suppressAutoHyphens/>
      </w:pPr>
      <w:r w:rsidRPr="00741061">
        <w:t>usual business or private practices.</w:t>
      </w:r>
    </w:p>
    <w:p w:rsidR="00B63968" w:rsidP="00A10BE7" w14:paraId="0CAADC44" w14:textId="77777777">
      <w:pPr>
        <w:spacing w:before="240"/>
        <w:ind w:left="720"/>
      </w:pPr>
    </w:p>
    <w:p w:rsidR="00933321" w:rsidP="00A10BE7" w14:paraId="7B41FBC5" w14:textId="1444F593">
      <w:pPr>
        <w:spacing w:before="240"/>
        <w:ind w:left="720"/>
      </w:pPr>
      <w:r>
        <w:t xml:space="preserve">  </w:t>
      </w:r>
      <w:r>
        <w:t>There is no change in the respondent burden.</w:t>
      </w:r>
    </w:p>
    <w:p w:rsidR="00A10BE7" w:rsidP="00A10BE7" w14:paraId="2D64A569" w14:textId="13FDAFAD">
      <w:pPr>
        <w:spacing w:before="240"/>
        <w:ind w:left="720"/>
      </w:pPr>
      <w:r w:rsidRPr="00F6791D">
        <w:rPr>
          <w:highlight w:val="lightGray"/>
        </w:rPr>
        <w:t>14.  Provide estimates of annualized cost to the Federal Government. Also, provide a</w:t>
      </w:r>
      <w:r w:rsidR="00C814DE">
        <w:rPr>
          <w:highlight w:val="lightGray"/>
        </w:rPr>
        <w:tab/>
      </w:r>
      <w:r w:rsidRPr="00F6791D">
        <w:rPr>
          <w:highlight w:val="lightGray"/>
        </w:rPr>
        <w:t xml:space="preserve"> description of the method used to estimate cost, which should include quantification of</w:t>
      </w:r>
      <w:r w:rsidR="00C814DE">
        <w:rPr>
          <w:highlight w:val="lightGray"/>
        </w:rPr>
        <w:tab/>
      </w:r>
      <w:r w:rsidRPr="00F6791D">
        <w:rPr>
          <w:highlight w:val="lightGray"/>
        </w:rPr>
        <w:t xml:space="preserve"> hours, operational expenses (such as equipment, overhead, printing and support staff),</w:t>
      </w:r>
      <w:r w:rsidR="00C814DE">
        <w:rPr>
          <w:highlight w:val="lightGray"/>
        </w:rPr>
        <w:tab/>
      </w:r>
      <w:r w:rsidRPr="00F6791D">
        <w:rPr>
          <w:highlight w:val="lightGray"/>
        </w:rPr>
        <w:t xml:space="preserve"> and any other expense that would have been incurred without this collection of</w:t>
      </w:r>
      <w:r w:rsidR="00C814DE">
        <w:rPr>
          <w:highlight w:val="lightGray"/>
        </w:rPr>
        <w:t xml:space="preserve">   </w:t>
      </w:r>
      <w:r w:rsidR="00C814DE">
        <w:rPr>
          <w:highlight w:val="lightGray"/>
        </w:rPr>
        <w:tab/>
      </w:r>
      <w:r w:rsidR="00C814DE">
        <w:rPr>
          <w:highlight w:val="lightGray"/>
        </w:rPr>
        <w:tab/>
        <w:t xml:space="preserve">   </w:t>
      </w:r>
      <w:r w:rsidRPr="00F6791D">
        <w:rPr>
          <w:highlight w:val="lightGray"/>
        </w:rPr>
        <w:t xml:space="preserve"> </w:t>
      </w:r>
      <w:r w:rsidRPr="00F6791D">
        <w:rPr>
          <w:highlight w:val="lightGray"/>
        </w:rPr>
        <w:t>information. You may also aggregate cost estimates for Items 12, 13, and 14 in a single</w:t>
      </w:r>
      <w:r w:rsidR="00C814DE">
        <w:rPr>
          <w:highlight w:val="lightGray"/>
        </w:rPr>
        <w:tab/>
      </w:r>
      <w:r w:rsidRPr="00F6791D">
        <w:rPr>
          <w:highlight w:val="lightGray"/>
        </w:rPr>
        <w:t xml:space="preserve"> table</w:t>
      </w:r>
      <w:r w:rsidR="00C814DE">
        <w:rPr>
          <w:highlight w:val="lightGray"/>
        </w:rPr>
        <w:t>.</w:t>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r w:rsidR="00C814DE">
        <w:rPr>
          <w:highlight w:val="lightGray"/>
        </w:rPr>
        <w:tab/>
      </w:r>
    </w:p>
    <w:p w:rsidR="00C8596E" w:rsidP="00800407" w14:paraId="3CF9E0B5" w14:textId="3E6C6B86">
      <w:pPr>
        <w:spacing w:before="240"/>
        <w:ind w:left="720"/>
      </w:pPr>
      <w:r>
        <w:t>The annualized cost to the Federal government is $106,000.  This cost includes employee salary hours devoted to the program, forms and overhead.</w:t>
      </w:r>
    </w:p>
    <w:p w:rsidR="00800407" w:rsidP="00800407" w14:paraId="3C003F32" w14:textId="77777777">
      <w:pPr>
        <w:spacing w:before="240"/>
        <w:ind w:left="720"/>
      </w:pPr>
    </w:p>
    <w:p w:rsidR="00A10BE7" w:rsidRPr="00741061" w:rsidP="00A10BE7" w14:paraId="592E45A9"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P="00A10BE7" w14:paraId="5F33504A" w14:textId="77777777">
      <w:pPr>
        <w:pStyle w:val="ListParagraph"/>
        <w:tabs>
          <w:tab w:val="left" w:pos="-720"/>
        </w:tabs>
        <w:suppressAutoHyphens/>
      </w:pPr>
    </w:p>
    <w:p w:rsidR="00A10BE7" w:rsidP="00794F18" w14:paraId="7117D3A3" w14:textId="6009ED84">
      <w:pPr>
        <w:tabs>
          <w:tab w:val="left" w:pos="-720"/>
        </w:tabs>
        <w:suppressAutoHyphens/>
      </w:pPr>
      <w:r>
        <w:tab/>
      </w:r>
      <w:r w:rsidR="00376E6F">
        <w:t>There are no adjustments or change in the hour burden.</w:t>
      </w:r>
    </w:p>
    <w:p w:rsidR="00A10BE7" w:rsidRPr="00741061" w:rsidP="00A10BE7" w14:paraId="3A1F019C" w14:textId="77777777">
      <w:pPr>
        <w:pStyle w:val="ListParagraph"/>
        <w:tabs>
          <w:tab w:val="left" w:pos="-720"/>
        </w:tabs>
        <w:suppressAutoHyphens/>
      </w:pPr>
    </w:p>
    <w:p w:rsidR="00A10BE7" w:rsidRPr="00741061" w:rsidP="00A10BE7" w14:paraId="528D9F01"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P="00A10BE7" w14:paraId="1E19C155" w14:textId="77777777">
      <w:pPr>
        <w:pStyle w:val="ListParagraph"/>
      </w:pPr>
    </w:p>
    <w:p w:rsidR="00A10BE7" w:rsidP="00A10BE7" w14:paraId="5D1A96CB" w14:textId="77777777">
      <w:pPr>
        <w:pStyle w:val="ListParagraph"/>
      </w:pPr>
      <w:r w:rsidRPr="00741061">
        <w:t>No information collected from the form will be published.</w:t>
      </w:r>
    </w:p>
    <w:p w:rsidR="009C5343" w:rsidRPr="00741061" w:rsidP="00A10BE7" w14:paraId="6017DD6F" w14:textId="77777777">
      <w:pPr>
        <w:pStyle w:val="ListParagraph"/>
      </w:pPr>
    </w:p>
    <w:p w:rsidR="00A10BE7" w:rsidRPr="00741061" w:rsidP="00A10BE7" w14:paraId="0E96D68D" w14:textId="7777777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2E7043" w:rsidP="002E7043" w14:paraId="6F4C1B21" w14:textId="77777777">
      <w:pPr>
        <w:ind w:left="720"/>
      </w:pPr>
    </w:p>
    <w:p w:rsidR="002E7043" w:rsidP="002E7043" w14:paraId="22F215D0" w14:textId="7B07A4D9">
      <w:pPr>
        <w:ind w:left="720"/>
      </w:pPr>
      <w:r>
        <w:t>W</w:t>
      </w:r>
      <w:r w:rsidRPr="0021279C">
        <w:t>e seek approval to not display the OMB cleara</w:t>
      </w:r>
      <w:r>
        <w:t xml:space="preserve">nce expiration date </w:t>
      </w:r>
      <w:r w:rsidRPr="0021279C">
        <w:t>on the forms and to communicate version changes to the public v</w:t>
      </w:r>
      <w:r>
        <w:t>ia the revision date. The substance of this information collection has not changed.</w:t>
      </w:r>
    </w:p>
    <w:p w:rsidR="00A10BE7" w:rsidRPr="00741061" w:rsidP="00A10BE7" w14:paraId="75EB537B" w14:textId="77777777">
      <w:pPr>
        <w:pStyle w:val="ListParagraph"/>
        <w:tabs>
          <w:tab w:val="left" w:pos="-720"/>
        </w:tabs>
        <w:suppressAutoHyphens/>
      </w:pPr>
    </w:p>
    <w:p w:rsidR="00A10BE7" w:rsidRPr="00741061" w:rsidP="002E7043" w14:paraId="5EC25998" w14:textId="5191E8B9">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P="00A10BE7" w14:paraId="60F3F72E" w14:textId="77777777">
      <w:pPr>
        <w:spacing w:before="240"/>
        <w:ind w:left="720"/>
      </w:pPr>
      <w:r>
        <w:t>There are no exceptions to the certification statement.</w:t>
      </w: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529033521">
    <w:abstractNumId w:val="0"/>
  </w:num>
  <w:num w:numId="2" w16cid:durableId="1812019399">
    <w:abstractNumId w:val="2"/>
  </w:num>
  <w:num w:numId="3" w16cid:durableId="38452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6B41"/>
    <w:rsid w:val="00087124"/>
    <w:rsid w:val="00127A7D"/>
    <w:rsid w:val="00183C48"/>
    <w:rsid w:val="001E1A39"/>
    <w:rsid w:val="001F557F"/>
    <w:rsid w:val="001F7C58"/>
    <w:rsid w:val="0021279C"/>
    <w:rsid w:val="00224695"/>
    <w:rsid w:val="0025730B"/>
    <w:rsid w:val="002A25A7"/>
    <w:rsid w:val="002C1F76"/>
    <w:rsid w:val="002C52D2"/>
    <w:rsid w:val="002E7043"/>
    <w:rsid w:val="003016AB"/>
    <w:rsid w:val="00332AC9"/>
    <w:rsid w:val="00376E6F"/>
    <w:rsid w:val="003F0958"/>
    <w:rsid w:val="00404367"/>
    <w:rsid w:val="00433131"/>
    <w:rsid w:val="00444680"/>
    <w:rsid w:val="00461DF9"/>
    <w:rsid w:val="00513374"/>
    <w:rsid w:val="005B4F4B"/>
    <w:rsid w:val="005D22DF"/>
    <w:rsid w:val="005E399C"/>
    <w:rsid w:val="005F667F"/>
    <w:rsid w:val="0065681E"/>
    <w:rsid w:val="00665692"/>
    <w:rsid w:val="00723DAF"/>
    <w:rsid w:val="007323C2"/>
    <w:rsid w:val="00741061"/>
    <w:rsid w:val="007678A9"/>
    <w:rsid w:val="007823A7"/>
    <w:rsid w:val="00785DBB"/>
    <w:rsid w:val="00794F18"/>
    <w:rsid w:val="007C6C7F"/>
    <w:rsid w:val="007D1502"/>
    <w:rsid w:val="007D648A"/>
    <w:rsid w:val="007E0CA7"/>
    <w:rsid w:val="00800407"/>
    <w:rsid w:val="00864DED"/>
    <w:rsid w:val="00871254"/>
    <w:rsid w:val="00876DC0"/>
    <w:rsid w:val="008869F8"/>
    <w:rsid w:val="008A3B71"/>
    <w:rsid w:val="008E5EA2"/>
    <w:rsid w:val="00933321"/>
    <w:rsid w:val="00993A7C"/>
    <w:rsid w:val="009B7453"/>
    <w:rsid w:val="009C5343"/>
    <w:rsid w:val="009C7AD5"/>
    <w:rsid w:val="00A10BE7"/>
    <w:rsid w:val="00A157EF"/>
    <w:rsid w:val="00A34720"/>
    <w:rsid w:val="00A574BB"/>
    <w:rsid w:val="00A83264"/>
    <w:rsid w:val="00B30A70"/>
    <w:rsid w:val="00B63968"/>
    <w:rsid w:val="00B73735"/>
    <w:rsid w:val="00BA1768"/>
    <w:rsid w:val="00BE2F13"/>
    <w:rsid w:val="00C34D5B"/>
    <w:rsid w:val="00C57683"/>
    <w:rsid w:val="00C814DE"/>
    <w:rsid w:val="00C8596E"/>
    <w:rsid w:val="00CB768A"/>
    <w:rsid w:val="00D4132E"/>
    <w:rsid w:val="00DA7390"/>
    <w:rsid w:val="00DD36CF"/>
    <w:rsid w:val="00E1419F"/>
    <w:rsid w:val="00E54E94"/>
    <w:rsid w:val="00EB14B8"/>
    <w:rsid w:val="00EB6D4E"/>
    <w:rsid w:val="00EE35E7"/>
    <w:rsid w:val="00EF5963"/>
    <w:rsid w:val="00F03B3A"/>
    <w:rsid w:val="00F30321"/>
    <w:rsid w:val="00F60B26"/>
    <w:rsid w:val="00F6791D"/>
    <w:rsid w:val="00F87C55"/>
    <w:rsid w:val="00F9149F"/>
    <w:rsid w:val="00FA102C"/>
    <w:rsid w:val="00FC7E12"/>
    <w:rsid w:val="00FE39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5B0602"/>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 w:type="paragraph" w:customStyle="1" w:styleId="TableParagraph">
    <w:name w:val="Table Paragraph"/>
    <w:basedOn w:val="Normal"/>
    <w:uiPriority w:val="1"/>
    <w:qFormat/>
    <w:rsid w:val="002E704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1905</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5</cp:revision>
  <cp:lastPrinted>2011-06-06T16:22:00Z</cp:lastPrinted>
  <dcterms:created xsi:type="dcterms:W3CDTF">2023-07-12T18:20:00Z</dcterms:created>
  <dcterms:modified xsi:type="dcterms:W3CDTF">2024-03-26T19:11:00Z</dcterms:modified>
</cp:coreProperties>
</file>