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7CCC" w:rsidRPr="005E479A" w:rsidP="00A17CCC" w14:paraId="7A48B234" w14:textId="77777777">
      <w:pPr>
        <w:tabs>
          <w:tab w:val="center" w:pos="4680"/>
        </w:tabs>
        <w:jc w:val="center"/>
        <w:rPr>
          <w:b/>
          <w:bCs/>
          <w:sz w:val="22"/>
          <w:szCs w:val="22"/>
        </w:rPr>
      </w:pPr>
      <w:r w:rsidRPr="005E479A">
        <w:rPr>
          <w:b/>
          <w:bCs/>
          <w:sz w:val="22"/>
          <w:szCs w:val="22"/>
        </w:rPr>
        <w:t>Justification</w:t>
      </w:r>
    </w:p>
    <w:p w:rsidR="00A17CCC" w:rsidRPr="005E479A" w:rsidP="00A17CCC" w14:paraId="51E97504" w14:textId="77777777">
      <w:pPr>
        <w:tabs>
          <w:tab w:val="center" w:pos="4680"/>
        </w:tabs>
        <w:jc w:val="center"/>
        <w:rPr>
          <w:b/>
          <w:bCs/>
          <w:sz w:val="22"/>
          <w:szCs w:val="22"/>
        </w:rPr>
      </w:pPr>
      <w:r w:rsidRPr="005E479A">
        <w:rPr>
          <w:b/>
          <w:bCs/>
          <w:sz w:val="22"/>
          <w:szCs w:val="22"/>
        </w:rPr>
        <w:t>Job Information Report</w:t>
      </w:r>
    </w:p>
    <w:p w:rsidR="00A17CCC" w:rsidRPr="005E479A" w:rsidP="00A17CCC" w14:paraId="043B0BAC" w14:textId="77777777">
      <w:pPr>
        <w:tabs>
          <w:tab w:val="center" w:pos="4680"/>
        </w:tabs>
        <w:jc w:val="center"/>
        <w:rPr>
          <w:b/>
          <w:bCs/>
          <w:sz w:val="22"/>
          <w:szCs w:val="22"/>
        </w:rPr>
      </w:pPr>
      <w:r w:rsidRPr="005E479A">
        <w:rPr>
          <w:b/>
          <w:bCs/>
          <w:sz w:val="22"/>
          <w:szCs w:val="22"/>
        </w:rPr>
        <w:t>RRB Form G-251A</w:t>
      </w:r>
    </w:p>
    <w:p w:rsidR="00A17CCC" w:rsidRPr="005E479A" w:rsidP="00A17CCC" w14:paraId="683B8A91" w14:textId="77777777">
      <w:pPr>
        <w:tabs>
          <w:tab w:val="center" w:pos="4680"/>
        </w:tabs>
        <w:jc w:val="center"/>
        <w:rPr>
          <w:b/>
          <w:bCs/>
          <w:sz w:val="22"/>
          <w:szCs w:val="22"/>
        </w:rPr>
      </w:pPr>
    </w:p>
    <w:p w:rsidR="00A17CCC" w:rsidRPr="005E479A" w:rsidP="00A17CCC" w14:paraId="4F3FC8A6" w14:textId="77777777">
      <w:pPr>
        <w:ind w:left="540" w:hanging="540"/>
        <w:jc w:val="both"/>
        <w:rPr>
          <w:bCs/>
          <w:sz w:val="22"/>
          <w:szCs w:val="22"/>
        </w:rPr>
      </w:pPr>
      <w:r w:rsidRPr="005E479A">
        <w:rPr>
          <w:bCs/>
          <w:sz w:val="22"/>
          <w:szCs w:val="22"/>
        </w:rPr>
        <w:t>1.</w:t>
      </w:r>
      <w:r w:rsidRPr="005E479A">
        <w:rPr>
          <w:bCs/>
          <w:sz w:val="22"/>
          <w:szCs w:val="22"/>
        </w:rPr>
        <w:tab/>
      </w:r>
      <w:r w:rsidRPr="005E479A">
        <w:rPr>
          <w:bCs/>
          <w:sz w:val="22"/>
          <w:szCs w:val="22"/>
          <w:u w:val="single"/>
        </w:rPr>
        <w:t>Circumstances of information collection</w:t>
      </w:r>
      <w:r w:rsidRPr="005E479A">
        <w:rPr>
          <w:bCs/>
          <w:sz w:val="22"/>
          <w:szCs w:val="22"/>
        </w:rPr>
        <w:t xml:space="preserve"> - </w:t>
      </w:r>
      <w:r w:rsidRPr="0016420C">
        <w:rPr>
          <w:bCs/>
          <w:sz w:val="22"/>
          <w:szCs w:val="22"/>
        </w:rPr>
        <w:t>The Railroad Retirement Act (RRA) was amended in 1946 to include Section 2(a)(1)(iv) (45 U.S.C. 231a)</w:t>
      </w:r>
      <w:r>
        <w:rPr>
          <w:bCs/>
          <w:sz w:val="22"/>
          <w:szCs w:val="22"/>
        </w:rPr>
        <w:t xml:space="preserve"> </w:t>
      </w:r>
      <w:r w:rsidRPr="005E479A">
        <w:rPr>
          <w:bCs/>
          <w:sz w:val="22"/>
          <w:szCs w:val="22"/>
        </w:rPr>
        <w:t>which established occupational disabilities for career railroad employees. Section 2(a)</w:t>
      </w:r>
      <w:r>
        <w:rPr>
          <w:bCs/>
          <w:sz w:val="22"/>
          <w:szCs w:val="22"/>
        </w:rPr>
        <w:t>(</w:t>
      </w:r>
      <w:r w:rsidRPr="005E479A">
        <w:rPr>
          <w:bCs/>
          <w:sz w:val="22"/>
          <w:szCs w:val="22"/>
        </w:rPr>
        <w:t>2</w:t>
      </w:r>
      <w:r>
        <w:rPr>
          <w:bCs/>
          <w:sz w:val="22"/>
          <w:szCs w:val="22"/>
        </w:rPr>
        <w:t>)</w:t>
      </w:r>
      <w:r w:rsidRPr="005E479A">
        <w:rPr>
          <w:bCs/>
          <w:sz w:val="22"/>
          <w:szCs w:val="22"/>
        </w:rPr>
        <w:t xml:space="preserve"> of the RRA calls for railroad labor and management to establish and maintain standards that would permanently disqualify an employee from work in the railroad industry.  In July of 1997, </w:t>
      </w:r>
      <w:r w:rsidRPr="005E479A">
        <w:rPr>
          <w:bCs/>
          <w:sz w:val="22"/>
          <w:szCs w:val="22"/>
          <w:u w:val="single"/>
        </w:rPr>
        <w:t>as a result of a cooperative effort between railroad labor and railroad management</w:t>
      </w:r>
      <w:r w:rsidRPr="005E479A">
        <w:rPr>
          <w:bCs/>
          <w:sz w:val="22"/>
          <w:szCs w:val="22"/>
        </w:rPr>
        <w:t>, the Railroad Retirement Board (RRB) adopted recommendations for new standards for the adjudication of occupational disabilities under the RRA.  As part of these standards, the RRB requests job information used to determine an applicant’s eligibility for an occupational disability from both railroad employers and railroad employees.  Previously, the RRB formally requested job information from only the railroad employee, although railroad management has always had the opportunity to submit job information.  The job information received from the railroad employer and the railroad employee is compared, reconciled if needed, and then used in the occupational disability determination process. The process of obtaining information from railroad employers to be used in determining an applicant's eligibility to an occupational disability is outlined in RRB regulation 20 CFR 220.13(b)(2)(iv)(E).</w:t>
      </w:r>
    </w:p>
    <w:p w:rsidR="00A17CCC" w:rsidRPr="005E479A" w:rsidP="00A17CCC" w14:paraId="5D015854" w14:textId="77777777">
      <w:pPr>
        <w:ind w:left="540" w:hanging="540"/>
        <w:jc w:val="both"/>
        <w:rPr>
          <w:bCs/>
          <w:sz w:val="22"/>
          <w:szCs w:val="22"/>
        </w:rPr>
      </w:pPr>
    </w:p>
    <w:p w:rsidR="00A17CCC" w:rsidRPr="005E479A" w:rsidP="00A17CCC" w14:paraId="17A6680F" w14:textId="77777777">
      <w:pPr>
        <w:tabs>
          <w:tab w:val="left" w:pos="-1440"/>
        </w:tabs>
        <w:ind w:left="540" w:hanging="540"/>
        <w:jc w:val="both"/>
        <w:rPr>
          <w:bCs/>
          <w:sz w:val="22"/>
          <w:szCs w:val="22"/>
        </w:rPr>
      </w:pPr>
      <w:r w:rsidRPr="005E479A">
        <w:rPr>
          <w:bCs/>
          <w:sz w:val="22"/>
          <w:szCs w:val="22"/>
        </w:rPr>
        <w:t>2.</w:t>
      </w:r>
      <w:r w:rsidRPr="005E479A">
        <w:rPr>
          <w:bCs/>
          <w:sz w:val="22"/>
          <w:szCs w:val="22"/>
        </w:rPr>
        <w:tab/>
      </w:r>
      <w:r w:rsidRPr="005E479A">
        <w:rPr>
          <w:bCs/>
          <w:sz w:val="22"/>
          <w:szCs w:val="22"/>
          <w:u w:val="single"/>
        </w:rPr>
        <w:t>Purposes of collecting/consequences of not collecting the information</w:t>
      </w:r>
      <w:r w:rsidRPr="005E479A">
        <w:rPr>
          <w:bCs/>
          <w:sz w:val="22"/>
          <w:szCs w:val="22"/>
        </w:rPr>
        <w:t xml:space="preserve"> - To determine entitlement to an occupational disability, the RRB currently determines if an employee is precluded from performing the full range of duties of his or her regular </w:t>
      </w:r>
      <w:r w:rsidRPr="005E479A">
        <w:rPr>
          <w:bCs/>
          <w:sz w:val="22"/>
          <w:szCs w:val="22"/>
          <w:u w:val="single"/>
        </w:rPr>
        <w:t>railroad</w:t>
      </w:r>
      <w:r w:rsidRPr="005E479A">
        <w:rPr>
          <w:bCs/>
          <w:sz w:val="22"/>
          <w:szCs w:val="22"/>
        </w:rPr>
        <w:t xml:space="preserve"> occupation.  This is accomplished by comparing the restrictions an impairment(s) causes against an employee's ability to perform his/her normal duties.  To collect information needed to determine the effect of a disability on an applicant's ability to work, the RRB needs the applicant's work history.  The RRB utilizes Form G-251, Vocational Report (OMB 3220</w:t>
      </w:r>
      <w:r w:rsidRPr="005E479A">
        <w:rPr>
          <w:bCs/>
          <w:sz w:val="22"/>
          <w:szCs w:val="22"/>
        </w:rPr>
        <w:noBreakHyphen/>
        <w:t>0141), to obtain this informati</w:t>
      </w:r>
      <w:r>
        <w:rPr>
          <w:bCs/>
          <w:sz w:val="22"/>
          <w:szCs w:val="22"/>
        </w:rPr>
        <w:t>on from the employee applicant.</w:t>
      </w:r>
    </w:p>
    <w:p w:rsidR="00A17CCC" w:rsidRPr="005E479A" w:rsidP="00A17CCC" w14:paraId="65F2BD3F" w14:textId="77777777">
      <w:pPr>
        <w:ind w:left="540" w:hanging="540"/>
        <w:jc w:val="both"/>
        <w:rPr>
          <w:bCs/>
          <w:sz w:val="22"/>
          <w:szCs w:val="22"/>
        </w:rPr>
      </w:pPr>
    </w:p>
    <w:p w:rsidR="00A17CCC" w:rsidRPr="005E479A" w:rsidP="00A17CCC" w14:paraId="2C5303C3" w14:textId="77777777">
      <w:pPr>
        <w:ind w:left="540"/>
        <w:jc w:val="both"/>
        <w:rPr>
          <w:bCs/>
          <w:sz w:val="22"/>
          <w:szCs w:val="22"/>
        </w:rPr>
      </w:pPr>
      <w:r w:rsidRPr="005E479A">
        <w:rPr>
          <w:b/>
          <w:bCs/>
          <w:sz w:val="22"/>
          <w:szCs w:val="22"/>
        </w:rPr>
        <w:t>Note</w:t>
      </w:r>
      <w:r w:rsidRPr="005E479A">
        <w:rPr>
          <w:bCs/>
          <w:sz w:val="22"/>
          <w:szCs w:val="22"/>
        </w:rPr>
        <w:t xml:space="preserve">: Form G-251 is provided to </w:t>
      </w:r>
      <w:r w:rsidRPr="005E479A">
        <w:rPr>
          <w:bCs/>
          <w:sz w:val="22"/>
          <w:szCs w:val="22"/>
          <w:u w:val="single"/>
        </w:rPr>
        <w:t>all</w:t>
      </w:r>
      <w:r w:rsidRPr="005E479A">
        <w:rPr>
          <w:bCs/>
          <w:sz w:val="22"/>
          <w:szCs w:val="22"/>
        </w:rPr>
        <w:t xml:space="preserve"> applicants for employee disability annuities and to those applicants for a widow(er)'s disability annuity who indicate that they have been employed at some time.</w:t>
      </w:r>
    </w:p>
    <w:p w:rsidR="00A17CCC" w:rsidRPr="005E479A" w:rsidP="00A17CCC" w14:paraId="07C41C92" w14:textId="77777777">
      <w:pPr>
        <w:ind w:left="540" w:hanging="540"/>
        <w:jc w:val="both"/>
        <w:rPr>
          <w:bCs/>
          <w:sz w:val="22"/>
          <w:szCs w:val="22"/>
        </w:rPr>
      </w:pPr>
    </w:p>
    <w:p w:rsidR="00A17CCC" w:rsidRPr="005E479A" w:rsidP="00A17CCC" w14:paraId="0988C085" w14:textId="77777777">
      <w:pPr>
        <w:ind w:left="540"/>
        <w:jc w:val="both"/>
        <w:rPr>
          <w:bCs/>
          <w:sz w:val="22"/>
          <w:szCs w:val="22"/>
        </w:rPr>
      </w:pPr>
      <w:r w:rsidRPr="005E479A">
        <w:rPr>
          <w:bCs/>
          <w:sz w:val="22"/>
          <w:szCs w:val="22"/>
        </w:rPr>
        <w:t>The RRB currently uses Form G-251A to secure job information from the railroad employer.  Details regarding the purpose and use of the form follows</w:t>
      </w:r>
      <w:r>
        <w:rPr>
          <w:bCs/>
          <w:sz w:val="22"/>
          <w:szCs w:val="22"/>
        </w:rPr>
        <w:t>.</w:t>
      </w:r>
    </w:p>
    <w:p w:rsidR="00A17CCC" w:rsidRPr="005E479A" w:rsidP="00A17CCC" w14:paraId="5E4E59A0" w14:textId="77777777">
      <w:pPr>
        <w:spacing w:line="233" w:lineRule="auto"/>
        <w:ind w:left="547"/>
        <w:jc w:val="both"/>
        <w:rPr>
          <w:b/>
          <w:bCs/>
          <w:dstrike/>
          <w:sz w:val="22"/>
          <w:szCs w:val="22"/>
        </w:rPr>
      </w:pPr>
    </w:p>
    <w:p w:rsidR="00A17CCC" w:rsidRPr="005E479A" w:rsidP="00A17CCC" w14:paraId="7ED12883" w14:textId="77777777">
      <w:pPr>
        <w:ind w:left="547"/>
        <w:jc w:val="both"/>
        <w:rPr>
          <w:bCs/>
          <w:sz w:val="22"/>
          <w:szCs w:val="22"/>
        </w:rPr>
      </w:pPr>
      <w:r w:rsidRPr="005E479A">
        <w:rPr>
          <w:b/>
          <w:sz w:val="22"/>
          <w:szCs w:val="22"/>
        </w:rPr>
        <w:t xml:space="preserve">Form G-251A, Railroad Job Information, </w:t>
      </w:r>
      <w:r w:rsidRPr="005E479A">
        <w:rPr>
          <w:bCs/>
          <w:sz w:val="22"/>
          <w:szCs w:val="22"/>
        </w:rPr>
        <w:t>is released to an employer via transmittal letter RL-251A, when one of their employees files an application for an occupational disability, and requests the railroad employer provide information regarding whether the employee has been medically disqualified from their railroad occupation; a summary of the employee’s duties; the machinery, tools and equipment used by the employee; the environmental conditions under which the employee performs their duties; all sensory requirements (vision, hearing, speech) needed to perform the employee’s duties; the physical actions and amount of time (frequency) allotted for those actions that may be required by the employee to perform their duties during a typical work day; any permanent working accommodations an employer may have made due to the employee’s disability; as well as any other relevant information the employer may choose to include.</w:t>
      </w:r>
    </w:p>
    <w:p w:rsidR="00A17CCC" w:rsidRPr="005E479A" w:rsidP="00A17CCC" w14:paraId="390C1E2E" w14:textId="77777777">
      <w:pPr>
        <w:ind w:left="540"/>
        <w:jc w:val="both"/>
        <w:rPr>
          <w:bCs/>
          <w:sz w:val="22"/>
          <w:szCs w:val="22"/>
        </w:rPr>
      </w:pPr>
    </w:p>
    <w:p w:rsidR="00A17CCC" w:rsidRPr="005E479A" w:rsidP="00A17CCC" w14:paraId="20EE9677" w14:textId="77777777">
      <w:pPr>
        <w:ind w:left="540"/>
        <w:jc w:val="both"/>
        <w:rPr>
          <w:bCs/>
          <w:sz w:val="22"/>
          <w:szCs w:val="22"/>
        </w:rPr>
      </w:pPr>
      <w:r w:rsidRPr="005E479A">
        <w:rPr>
          <w:bCs/>
          <w:sz w:val="22"/>
          <w:szCs w:val="22"/>
        </w:rPr>
        <w:t>The RRB requests the pertinent job information from employers, their responses are not required, but are voluntary.  Completing the report gives them the opportunity to comment on their employee’s actual duties.  The employer is given 30 days from the date on the RL</w:t>
      </w:r>
      <w:r w:rsidRPr="005E479A">
        <w:rPr>
          <w:bCs/>
          <w:sz w:val="22"/>
          <w:szCs w:val="22"/>
        </w:rPr>
        <w:noBreakHyphen/>
        <w:t>251A transmittal letter to respond.  If the job information is received timely, it is compared to the job information provided by the employee on Form G-251.  Any material differences are resolved by the RRB disability examiner.  Once resolved, the information is compared to the restrictions caused by the medical impairment.  If the restrictions prohibit the performance of the regular railroad occupation, the claimant is found occupationally disabled.</w:t>
      </w:r>
    </w:p>
    <w:p w:rsidR="00A17CCC" w:rsidRPr="005E479A" w:rsidP="00A17CCC" w14:paraId="7C0F1F34" w14:textId="77777777">
      <w:pPr>
        <w:ind w:left="540"/>
        <w:jc w:val="both"/>
        <w:rPr>
          <w:bCs/>
          <w:sz w:val="22"/>
          <w:szCs w:val="22"/>
        </w:rPr>
      </w:pPr>
    </w:p>
    <w:p w:rsidR="00A17CCC" w:rsidRPr="005E479A" w:rsidP="00A17CCC" w14:paraId="6B2D1522" w14:textId="77777777">
      <w:pPr>
        <w:ind w:left="540"/>
        <w:jc w:val="both"/>
        <w:rPr>
          <w:sz w:val="22"/>
          <w:szCs w:val="22"/>
        </w:rPr>
      </w:pPr>
      <w:r w:rsidRPr="005E479A">
        <w:rPr>
          <w:sz w:val="22"/>
          <w:szCs w:val="22"/>
        </w:rPr>
        <w:t>After the report is completed, the employer signs and dates the report’s Certification Section, and returns the completed report to RRB Headquarters.</w:t>
      </w:r>
    </w:p>
    <w:p w:rsidR="00A17CCC" w:rsidRPr="005E479A" w:rsidP="00A17CCC" w14:paraId="3B90B44F" w14:textId="77777777">
      <w:pPr>
        <w:spacing w:line="233" w:lineRule="auto"/>
        <w:ind w:left="547"/>
        <w:jc w:val="both"/>
        <w:rPr>
          <w:sz w:val="22"/>
          <w:szCs w:val="22"/>
        </w:rPr>
      </w:pPr>
    </w:p>
    <w:p w:rsidR="00A17CCC" w:rsidP="00A17CCC" w14:paraId="39621763" w14:textId="77777777">
      <w:pPr>
        <w:spacing w:line="233" w:lineRule="auto"/>
        <w:ind w:left="547"/>
        <w:jc w:val="both"/>
        <w:rPr>
          <w:bCs/>
          <w:sz w:val="22"/>
          <w:szCs w:val="22"/>
        </w:rPr>
      </w:pPr>
      <w:r w:rsidRPr="005E479A">
        <w:rPr>
          <w:bCs/>
          <w:sz w:val="22"/>
          <w:szCs w:val="22"/>
        </w:rPr>
        <w:t>The employee’s identifying information is provided at the top of the form is completed by the RRB before the form is released to the employer for completion.  Completion instructions and the Paperwork Reduction Act and Privacy Act Notices are found on the form.</w:t>
      </w:r>
    </w:p>
    <w:p w:rsidR="00A17CCC" w:rsidP="00A17CCC" w14:paraId="0327FEE5" w14:textId="77777777">
      <w:pPr>
        <w:spacing w:line="233" w:lineRule="auto"/>
        <w:ind w:left="547"/>
        <w:jc w:val="both"/>
        <w:rPr>
          <w:bCs/>
          <w:sz w:val="22"/>
          <w:szCs w:val="22"/>
        </w:rPr>
      </w:pPr>
    </w:p>
    <w:p w:rsidR="00A17CCC" w:rsidRPr="00BA6C90" w:rsidP="00A17CCC" w14:paraId="306A4712" w14:textId="77777777">
      <w:pPr>
        <w:spacing w:line="233" w:lineRule="auto"/>
        <w:ind w:firstLine="547"/>
        <w:jc w:val="both"/>
        <w:rPr>
          <w:bCs/>
          <w:sz w:val="22"/>
          <w:szCs w:val="22"/>
        </w:rPr>
      </w:pPr>
      <w:r w:rsidRPr="00BC58A8">
        <w:rPr>
          <w:b/>
          <w:bCs/>
          <w:sz w:val="22"/>
          <w:szCs w:val="22"/>
        </w:rPr>
        <w:t>The RRB proposes no changes to Form G-251A</w:t>
      </w:r>
      <w:r w:rsidRPr="00BC58A8">
        <w:rPr>
          <w:bCs/>
          <w:sz w:val="22"/>
          <w:szCs w:val="22"/>
        </w:rPr>
        <w:t xml:space="preserve">. </w:t>
      </w:r>
      <w:r>
        <w:rPr>
          <w:bCs/>
          <w:sz w:val="22"/>
          <w:szCs w:val="22"/>
        </w:rPr>
        <w:t xml:space="preserve"> </w:t>
      </w:r>
    </w:p>
    <w:p w:rsidR="00A17CCC" w:rsidRPr="005E479A" w:rsidP="00A17CCC" w14:paraId="78355A00" w14:textId="77777777">
      <w:pPr>
        <w:spacing w:line="233" w:lineRule="auto"/>
        <w:ind w:left="547"/>
        <w:jc w:val="both"/>
        <w:rPr>
          <w:bCs/>
          <w:sz w:val="22"/>
          <w:szCs w:val="22"/>
        </w:rPr>
      </w:pPr>
    </w:p>
    <w:p w:rsidR="00A17CCC" w:rsidRPr="0035378B" w:rsidP="00A17CCC" w14:paraId="31CAA863" w14:textId="77777777">
      <w:pPr>
        <w:spacing w:line="233" w:lineRule="auto"/>
        <w:ind w:left="547" w:hanging="540"/>
        <w:jc w:val="both"/>
        <w:rPr>
          <w:bCs/>
          <w:sz w:val="22"/>
          <w:szCs w:val="22"/>
        </w:rPr>
      </w:pPr>
      <w:r w:rsidRPr="005E479A">
        <w:rPr>
          <w:bCs/>
          <w:sz w:val="22"/>
          <w:szCs w:val="22"/>
        </w:rPr>
        <w:t xml:space="preserve">   3.</w:t>
      </w:r>
      <w:r w:rsidRPr="005E479A">
        <w:rPr>
          <w:bCs/>
          <w:sz w:val="22"/>
          <w:szCs w:val="22"/>
        </w:rPr>
        <w:tab/>
      </w:r>
      <w:r w:rsidRPr="005E479A">
        <w:rPr>
          <w:bCs/>
          <w:sz w:val="22"/>
          <w:szCs w:val="22"/>
          <w:u w:val="single"/>
        </w:rPr>
        <w:t>Planned use of improved information technology or technical/legal impediments to further burden reduction</w:t>
      </w:r>
      <w:r w:rsidRPr="005E479A">
        <w:rPr>
          <w:bCs/>
          <w:sz w:val="22"/>
          <w:szCs w:val="22"/>
        </w:rPr>
        <w:t xml:space="preserve"> –</w:t>
      </w:r>
      <w:r>
        <w:rPr>
          <w:bCs/>
          <w:sz w:val="22"/>
          <w:szCs w:val="22"/>
        </w:rPr>
        <w:t xml:space="preserve"> </w:t>
      </w:r>
      <w:r w:rsidRPr="00717E9C">
        <w:rPr>
          <w:sz w:val="22"/>
          <w:szCs w:val="22"/>
        </w:rPr>
        <w:t xml:space="preserve">This information collection does not allow for electronic submission as described in the Government Paperwork Elimination Act (GPEA).  </w:t>
      </w:r>
      <w:r>
        <w:rPr>
          <w:bCs/>
          <w:sz w:val="22"/>
          <w:szCs w:val="22"/>
        </w:rPr>
        <w:t>Our initial on-line format to utilize the RRB’s Employer Reporting System (ERS) for internet version Form G-251A in 2018 is currently on hold due to budget constraints and contract issues</w:t>
      </w:r>
      <w:r w:rsidRPr="0035378B">
        <w:rPr>
          <w:bCs/>
          <w:sz w:val="22"/>
          <w:szCs w:val="22"/>
        </w:rPr>
        <w:t>. We will reevaluate the form in this collection after the completion of the RRB IT Modernization project.</w:t>
      </w:r>
    </w:p>
    <w:p w:rsidR="00A17CCC" w:rsidRPr="0035378B" w:rsidP="00A17CCC" w14:paraId="46AAB781" w14:textId="77777777">
      <w:pPr>
        <w:spacing w:line="233" w:lineRule="auto"/>
        <w:ind w:left="547" w:hanging="540"/>
        <w:jc w:val="both"/>
        <w:rPr>
          <w:bCs/>
          <w:sz w:val="22"/>
          <w:szCs w:val="22"/>
        </w:rPr>
      </w:pPr>
    </w:p>
    <w:p w:rsidR="00A17CCC" w:rsidRPr="005E479A" w:rsidP="00A17CCC" w14:paraId="1E4EAC07" w14:textId="77777777">
      <w:pPr>
        <w:tabs>
          <w:tab w:val="left" w:pos="-1440"/>
        </w:tabs>
        <w:spacing w:line="233" w:lineRule="auto"/>
        <w:ind w:left="547" w:hanging="540"/>
        <w:jc w:val="both"/>
        <w:rPr>
          <w:bCs/>
          <w:sz w:val="22"/>
          <w:szCs w:val="22"/>
        </w:rPr>
      </w:pPr>
      <w:r w:rsidRPr="0035378B">
        <w:rPr>
          <w:bCs/>
          <w:sz w:val="22"/>
          <w:szCs w:val="22"/>
        </w:rPr>
        <w:t xml:space="preserve"> 4.</w:t>
      </w:r>
      <w:r w:rsidRPr="0035378B">
        <w:rPr>
          <w:bCs/>
          <w:sz w:val="22"/>
          <w:szCs w:val="22"/>
        </w:rPr>
        <w:tab/>
      </w:r>
      <w:r w:rsidRPr="0035378B">
        <w:rPr>
          <w:bCs/>
          <w:sz w:val="22"/>
          <w:szCs w:val="22"/>
          <w:u w:val="single"/>
        </w:rPr>
        <w:t>Efforts to identify duplication</w:t>
      </w:r>
      <w:r w:rsidRPr="0035378B">
        <w:rPr>
          <w:bCs/>
          <w:sz w:val="22"/>
          <w:szCs w:val="22"/>
        </w:rPr>
        <w:t xml:space="preserve"> - </w:t>
      </w:r>
      <w:r w:rsidRPr="0035378B">
        <w:rPr>
          <w:sz w:val="22"/>
          <w:szCs w:val="22"/>
        </w:rPr>
        <w:t>This information collection does not duplicate any</w:t>
      </w:r>
      <w:r w:rsidRPr="00BC58A8">
        <w:rPr>
          <w:sz w:val="22"/>
          <w:szCs w:val="22"/>
        </w:rPr>
        <w:t xml:space="preserve"> other RRB information collection</w:t>
      </w:r>
      <w:r w:rsidRPr="0090424A">
        <w:rPr>
          <w:sz w:val="22"/>
          <w:szCs w:val="22"/>
        </w:rPr>
        <w:t xml:space="preserve"> and to</w:t>
      </w:r>
      <w:r w:rsidRPr="00BC58A8">
        <w:rPr>
          <w:rFonts w:cs="Times New Roman"/>
          <w:sz w:val="22"/>
          <w:szCs w:val="22"/>
        </w:rPr>
        <w:t xml:space="preserve"> our knowledge, no other agency uses a form similar to RRB Form G-251A</w:t>
      </w:r>
      <w:r w:rsidRPr="0090424A">
        <w:rPr>
          <w:bCs/>
          <w:sz w:val="22"/>
          <w:szCs w:val="22"/>
        </w:rPr>
        <w:t xml:space="preserve">. </w:t>
      </w:r>
    </w:p>
    <w:p w:rsidR="00A17CCC" w:rsidRPr="005E479A" w:rsidP="00A17CCC" w14:paraId="4B2A4C0E" w14:textId="77777777">
      <w:pPr>
        <w:tabs>
          <w:tab w:val="left" w:pos="-1440"/>
        </w:tabs>
        <w:spacing w:line="233" w:lineRule="auto"/>
        <w:ind w:left="547" w:hanging="540"/>
        <w:jc w:val="both"/>
        <w:rPr>
          <w:bCs/>
          <w:sz w:val="22"/>
          <w:szCs w:val="22"/>
        </w:rPr>
      </w:pPr>
    </w:p>
    <w:p w:rsidR="00A17CCC" w:rsidRPr="005E479A" w:rsidP="00A17CCC" w14:paraId="30B481D0" w14:textId="77777777">
      <w:pPr>
        <w:tabs>
          <w:tab w:val="left" w:pos="-1440"/>
        </w:tabs>
        <w:spacing w:line="233" w:lineRule="auto"/>
        <w:ind w:left="547" w:hanging="540"/>
        <w:jc w:val="both"/>
        <w:rPr>
          <w:bCs/>
          <w:sz w:val="22"/>
          <w:szCs w:val="22"/>
        </w:rPr>
      </w:pPr>
      <w:r w:rsidRPr="005E479A">
        <w:rPr>
          <w:bCs/>
          <w:sz w:val="22"/>
          <w:szCs w:val="22"/>
        </w:rPr>
        <w:t xml:space="preserve"> 5.</w:t>
      </w:r>
      <w:r w:rsidRPr="005E479A">
        <w:rPr>
          <w:bCs/>
          <w:sz w:val="22"/>
          <w:szCs w:val="22"/>
        </w:rPr>
        <w:tab/>
      </w:r>
      <w:r w:rsidRPr="005E479A">
        <w:rPr>
          <w:bCs/>
          <w:sz w:val="22"/>
          <w:szCs w:val="22"/>
          <w:u w:val="single"/>
        </w:rPr>
        <w:t>Small business respondents</w:t>
      </w:r>
      <w:r w:rsidRPr="005E479A">
        <w:rPr>
          <w:bCs/>
          <w:sz w:val="22"/>
          <w:szCs w:val="22"/>
        </w:rPr>
        <w:t xml:space="preserve"> - N.A.</w:t>
      </w:r>
    </w:p>
    <w:p w:rsidR="00A17CCC" w:rsidRPr="005E479A" w:rsidP="00A17CCC" w14:paraId="17E4E267" w14:textId="77777777">
      <w:pPr>
        <w:tabs>
          <w:tab w:val="left" w:pos="-1440"/>
        </w:tabs>
        <w:spacing w:line="233" w:lineRule="auto"/>
        <w:ind w:left="547" w:hanging="540"/>
        <w:jc w:val="both"/>
        <w:rPr>
          <w:bCs/>
          <w:sz w:val="22"/>
          <w:szCs w:val="22"/>
        </w:rPr>
      </w:pPr>
    </w:p>
    <w:p w:rsidR="00A17CCC" w:rsidRPr="005E479A" w:rsidP="00A17CCC" w14:paraId="42CE5B17" w14:textId="77777777">
      <w:pPr>
        <w:tabs>
          <w:tab w:val="left" w:pos="-1440"/>
        </w:tabs>
        <w:spacing w:line="233" w:lineRule="auto"/>
        <w:ind w:left="547" w:hanging="540"/>
        <w:jc w:val="both"/>
        <w:rPr>
          <w:bCs/>
          <w:sz w:val="22"/>
          <w:szCs w:val="22"/>
        </w:rPr>
      </w:pPr>
      <w:r w:rsidRPr="005E479A">
        <w:rPr>
          <w:bCs/>
          <w:sz w:val="22"/>
          <w:szCs w:val="22"/>
        </w:rPr>
        <w:t xml:space="preserve"> 6.</w:t>
      </w:r>
      <w:r w:rsidRPr="005E479A">
        <w:rPr>
          <w:bCs/>
          <w:sz w:val="22"/>
          <w:szCs w:val="22"/>
        </w:rPr>
        <w:tab/>
      </w:r>
      <w:r w:rsidRPr="005E479A">
        <w:rPr>
          <w:bCs/>
          <w:sz w:val="22"/>
          <w:szCs w:val="22"/>
          <w:u w:val="single"/>
        </w:rPr>
        <w:t>Consequences of less frequent collection</w:t>
      </w:r>
      <w:r w:rsidRPr="005E479A">
        <w:rPr>
          <w:bCs/>
          <w:sz w:val="22"/>
          <w:szCs w:val="22"/>
        </w:rPr>
        <w:t xml:space="preserve"> - Not applicable as the information is solicited only once.</w:t>
      </w:r>
    </w:p>
    <w:p w:rsidR="00A17CCC" w:rsidRPr="005E479A" w:rsidP="00A17CCC" w14:paraId="01895AC0" w14:textId="77777777">
      <w:pPr>
        <w:spacing w:line="233" w:lineRule="auto"/>
        <w:ind w:left="547" w:hanging="540"/>
        <w:jc w:val="both"/>
        <w:rPr>
          <w:bCs/>
          <w:sz w:val="22"/>
          <w:szCs w:val="22"/>
        </w:rPr>
      </w:pPr>
    </w:p>
    <w:p w:rsidR="00A17CCC" w:rsidRPr="005E479A" w:rsidP="00A17CCC" w14:paraId="0D6B1F9E" w14:textId="77777777">
      <w:pPr>
        <w:tabs>
          <w:tab w:val="left" w:pos="-1440"/>
        </w:tabs>
        <w:spacing w:line="233" w:lineRule="auto"/>
        <w:ind w:left="547" w:hanging="540"/>
        <w:jc w:val="both"/>
        <w:rPr>
          <w:bCs/>
          <w:sz w:val="22"/>
          <w:szCs w:val="22"/>
        </w:rPr>
      </w:pPr>
      <w:r w:rsidRPr="005E479A">
        <w:rPr>
          <w:bCs/>
          <w:sz w:val="22"/>
          <w:szCs w:val="22"/>
        </w:rPr>
        <w:t xml:space="preserve"> 7.</w:t>
      </w:r>
      <w:r w:rsidRPr="005E479A">
        <w:rPr>
          <w:bCs/>
          <w:sz w:val="22"/>
          <w:szCs w:val="22"/>
        </w:rPr>
        <w:tab/>
      </w:r>
      <w:r w:rsidRPr="005E479A">
        <w:rPr>
          <w:bCs/>
          <w:sz w:val="22"/>
          <w:szCs w:val="22"/>
          <w:u w:val="single"/>
        </w:rPr>
        <w:t>Special circumstances</w:t>
      </w:r>
      <w:r w:rsidRPr="005E479A">
        <w:rPr>
          <w:bCs/>
          <w:sz w:val="22"/>
          <w:szCs w:val="22"/>
        </w:rPr>
        <w:t xml:space="preserve"> - None</w:t>
      </w:r>
    </w:p>
    <w:p w:rsidR="00A17CCC" w:rsidRPr="005E479A" w:rsidP="00A17CCC" w14:paraId="61A895C9" w14:textId="77777777">
      <w:pPr>
        <w:spacing w:line="233" w:lineRule="auto"/>
        <w:ind w:left="547" w:hanging="540"/>
        <w:jc w:val="both"/>
        <w:rPr>
          <w:bCs/>
          <w:sz w:val="22"/>
          <w:szCs w:val="22"/>
        </w:rPr>
      </w:pPr>
    </w:p>
    <w:p w:rsidR="00A17CCC" w:rsidRPr="005E479A" w:rsidP="00A17CCC" w14:paraId="1B873DDD" w14:textId="595F7B57">
      <w:pPr>
        <w:spacing w:line="233" w:lineRule="auto"/>
        <w:ind w:left="547" w:hanging="540"/>
        <w:jc w:val="both"/>
        <w:rPr>
          <w:sz w:val="22"/>
          <w:szCs w:val="22"/>
        </w:rPr>
      </w:pPr>
      <w:r w:rsidRPr="005E479A">
        <w:rPr>
          <w:bCs/>
          <w:sz w:val="22"/>
          <w:szCs w:val="22"/>
        </w:rPr>
        <w:t xml:space="preserve"> 8.</w:t>
      </w:r>
      <w:r w:rsidRPr="005E479A">
        <w:rPr>
          <w:bCs/>
          <w:sz w:val="22"/>
          <w:szCs w:val="22"/>
        </w:rPr>
        <w:tab/>
      </w:r>
      <w:r w:rsidRPr="005E479A">
        <w:rPr>
          <w:bCs/>
          <w:sz w:val="22"/>
          <w:szCs w:val="22"/>
          <w:u w:val="single"/>
        </w:rPr>
        <w:t>Public comments/consultations outside the agency</w:t>
      </w:r>
      <w:r w:rsidRPr="005E479A">
        <w:rPr>
          <w:bCs/>
          <w:sz w:val="22"/>
          <w:szCs w:val="22"/>
        </w:rPr>
        <w:t xml:space="preserve"> - </w:t>
      </w:r>
      <w:r w:rsidRPr="005E479A">
        <w:rPr>
          <w:sz w:val="22"/>
          <w:szCs w:val="22"/>
        </w:rPr>
        <w:t>In accordance with 5 CFR 1320. 8(d), comments were invited from the public regarding the information collection.  The notice to the public was published on page</w:t>
      </w:r>
      <w:r w:rsidR="002A23DB">
        <w:rPr>
          <w:sz w:val="22"/>
          <w:szCs w:val="22"/>
        </w:rPr>
        <w:t xml:space="preserve"> 2260</w:t>
      </w:r>
      <w:r w:rsidRPr="005E479A">
        <w:rPr>
          <w:sz w:val="22"/>
          <w:szCs w:val="22"/>
        </w:rPr>
        <w:t xml:space="preserve"> of the</w:t>
      </w:r>
      <w:r w:rsidR="002A23DB">
        <w:rPr>
          <w:sz w:val="22"/>
          <w:szCs w:val="22"/>
        </w:rPr>
        <w:t xml:space="preserve"> January 12, 2024</w:t>
      </w:r>
      <w:r w:rsidRPr="005E479A">
        <w:rPr>
          <w:sz w:val="22"/>
          <w:szCs w:val="22"/>
        </w:rPr>
        <w:t xml:space="preserve">, </w:t>
      </w:r>
      <w:r w:rsidRPr="005E479A">
        <w:rPr>
          <w:sz w:val="22"/>
          <w:szCs w:val="22"/>
          <w:u w:val="single"/>
        </w:rPr>
        <w:t>Federal Register</w:t>
      </w:r>
      <w:r w:rsidRPr="005E479A">
        <w:rPr>
          <w:sz w:val="22"/>
          <w:szCs w:val="22"/>
        </w:rPr>
        <w:t xml:space="preserve">.  </w:t>
      </w:r>
    </w:p>
    <w:p w:rsidR="00A17CCC" w:rsidRPr="005E479A" w:rsidP="00A17CCC" w14:paraId="2E5D106B" w14:textId="77777777">
      <w:pPr>
        <w:spacing w:line="233" w:lineRule="auto"/>
        <w:ind w:left="547" w:hanging="540"/>
        <w:jc w:val="both"/>
        <w:rPr>
          <w:bCs/>
          <w:sz w:val="22"/>
          <w:szCs w:val="22"/>
        </w:rPr>
      </w:pPr>
    </w:p>
    <w:p w:rsidR="00A17CCC" w:rsidRPr="005E479A" w:rsidP="00A17CCC" w14:paraId="434B9723" w14:textId="77777777">
      <w:pPr>
        <w:tabs>
          <w:tab w:val="left" w:pos="-1440"/>
        </w:tabs>
        <w:spacing w:line="233" w:lineRule="auto"/>
        <w:ind w:left="547" w:hanging="540"/>
        <w:jc w:val="both"/>
        <w:rPr>
          <w:bCs/>
          <w:sz w:val="22"/>
          <w:szCs w:val="22"/>
        </w:rPr>
      </w:pPr>
      <w:r w:rsidRPr="005E479A">
        <w:rPr>
          <w:bCs/>
          <w:sz w:val="22"/>
          <w:szCs w:val="22"/>
        </w:rPr>
        <w:t xml:space="preserve">  9.</w:t>
      </w:r>
      <w:r w:rsidRPr="005E479A">
        <w:rPr>
          <w:bCs/>
          <w:sz w:val="22"/>
          <w:szCs w:val="22"/>
        </w:rPr>
        <w:tab/>
      </w:r>
      <w:r w:rsidRPr="005E479A">
        <w:rPr>
          <w:bCs/>
          <w:sz w:val="22"/>
          <w:szCs w:val="22"/>
          <w:u w:val="single"/>
        </w:rPr>
        <w:t>Payments or gifts to respondents</w:t>
      </w:r>
      <w:r w:rsidRPr="005E479A">
        <w:rPr>
          <w:bCs/>
          <w:sz w:val="22"/>
          <w:szCs w:val="22"/>
        </w:rPr>
        <w:t xml:space="preserve"> - N.A.</w:t>
      </w:r>
    </w:p>
    <w:p w:rsidR="00A17CCC" w:rsidRPr="005E479A" w:rsidP="00A17CCC" w14:paraId="45F1F162" w14:textId="77777777">
      <w:pPr>
        <w:spacing w:line="233" w:lineRule="auto"/>
        <w:ind w:left="547" w:hanging="540"/>
        <w:jc w:val="both"/>
        <w:rPr>
          <w:bCs/>
          <w:sz w:val="22"/>
          <w:szCs w:val="22"/>
        </w:rPr>
      </w:pPr>
    </w:p>
    <w:p w:rsidR="00A17CCC" w:rsidRPr="005E479A" w:rsidP="00A17CCC" w14:paraId="6DC60401" w14:textId="77777777">
      <w:pPr>
        <w:spacing w:line="233" w:lineRule="auto"/>
        <w:ind w:left="547" w:hanging="540"/>
        <w:jc w:val="both"/>
        <w:rPr>
          <w:rFonts w:cs="CG Times"/>
        </w:rPr>
      </w:pPr>
      <w:r w:rsidRPr="005E479A">
        <w:rPr>
          <w:bCs/>
          <w:sz w:val="22"/>
          <w:szCs w:val="22"/>
        </w:rPr>
        <w:t>10.</w:t>
      </w:r>
      <w:r w:rsidRPr="005E479A">
        <w:rPr>
          <w:bCs/>
          <w:sz w:val="22"/>
          <w:szCs w:val="22"/>
        </w:rPr>
        <w:tab/>
      </w:r>
      <w:r w:rsidRPr="005E479A">
        <w:rPr>
          <w:bCs/>
          <w:sz w:val="22"/>
          <w:szCs w:val="22"/>
          <w:u w:val="single"/>
        </w:rPr>
        <w:t>Confidentiality</w:t>
      </w:r>
      <w:r w:rsidRPr="005E479A">
        <w:rPr>
          <w:bCs/>
          <w:sz w:val="22"/>
          <w:szCs w:val="22"/>
        </w:rPr>
        <w:t xml:space="preserve"> - Privacy Act Systems of Records RRB-22, Railroad Retirement, Survivor and Pensioner Benefit System.  </w:t>
      </w:r>
      <w:r w:rsidRPr="005E479A">
        <w:rPr>
          <w:sz w:val="22"/>
          <w:szCs w:val="22"/>
        </w:rPr>
        <w:t>In accordance with OMB Circular M-03-22, a Privacy Impact Assessment for this information collection was completed and can be found at</w:t>
      </w:r>
      <w:r>
        <w:rPr>
          <w:sz w:val="22"/>
          <w:szCs w:val="22"/>
        </w:rPr>
        <w:t xml:space="preserve"> </w:t>
      </w:r>
      <w:hyperlink r:id="rId5" w:history="1">
        <w:r w:rsidRPr="003E7058">
          <w:rPr>
            <w:rStyle w:val="Hyperlink"/>
            <w:sz w:val="22"/>
            <w:szCs w:val="22"/>
          </w:rPr>
          <w:t>https://www.rrb.gov/sites/default/files/2017-06/PIA-BPO.pdf</w:t>
        </w:r>
      </w:hyperlink>
      <w:r w:rsidRPr="005E479A">
        <w:rPr>
          <w:rFonts w:cs="CG Times"/>
          <w:sz w:val="22"/>
          <w:szCs w:val="22"/>
        </w:rPr>
        <w:t>.</w:t>
      </w:r>
    </w:p>
    <w:p w:rsidR="00A17CCC" w:rsidRPr="005E479A" w:rsidP="00A17CCC" w14:paraId="60949E89" w14:textId="77777777">
      <w:pPr>
        <w:spacing w:line="233" w:lineRule="auto"/>
        <w:ind w:left="547" w:hanging="540"/>
        <w:jc w:val="both"/>
        <w:rPr>
          <w:bCs/>
          <w:sz w:val="22"/>
          <w:szCs w:val="22"/>
        </w:rPr>
      </w:pPr>
    </w:p>
    <w:p w:rsidR="00A17CCC" w:rsidRPr="005E479A" w:rsidP="00A17CCC" w14:paraId="4092D77E" w14:textId="77777777">
      <w:pPr>
        <w:tabs>
          <w:tab w:val="left" w:pos="-1440"/>
        </w:tabs>
        <w:spacing w:line="233" w:lineRule="auto"/>
        <w:ind w:left="547" w:hanging="540"/>
        <w:jc w:val="both"/>
        <w:rPr>
          <w:bCs/>
          <w:sz w:val="22"/>
          <w:szCs w:val="22"/>
        </w:rPr>
      </w:pPr>
      <w:r w:rsidRPr="005E479A">
        <w:rPr>
          <w:bCs/>
          <w:sz w:val="22"/>
          <w:szCs w:val="22"/>
        </w:rPr>
        <w:t>11.</w:t>
      </w:r>
      <w:r w:rsidRPr="005E479A">
        <w:rPr>
          <w:bCs/>
          <w:sz w:val="22"/>
          <w:szCs w:val="22"/>
        </w:rPr>
        <w:tab/>
      </w:r>
      <w:r w:rsidRPr="005E479A">
        <w:rPr>
          <w:bCs/>
          <w:sz w:val="22"/>
          <w:szCs w:val="22"/>
          <w:u w:val="single"/>
        </w:rPr>
        <w:t>Sensitive questions</w:t>
      </w:r>
      <w:r w:rsidRPr="005E479A">
        <w:rPr>
          <w:bCs/>
          <w:sz w:val="22"/>
          <w:szCs w:val="22"/>
        </w:rPr>
        <w:t xml:space="preserve"> - N.A.</w:t>
      </w:r>
    </w:p>
    <w:p w:rsidR="00A17CCC" w:rsidRPr="005E479A" w:rsidP="00A17CCC" w14:paraId="5C61E1ED" w14:textId="77777777">
      <w:pPr>
        <w:spacing w:line="233" w:lineRule="auto"/>
        <w:ind w:left="547" w:hanging="540"/>
        <w:jc w:val="both"/>
        <w:rPr>
          <w:bCs/>
          <w:sz w:val="22"/>
          <w:szCs w:val="22"/>
        </w:rPr>
      </w:pPr>
    </w:p>
    <w:p w:rsidR="00A17CCC" w:rsidRPr="005E479A" w:rsidP="00A17CCC" w14:paraId="3225232E" w14:textId="77777777">
      <w:pPr>
        <w:widowControl w:val="0"/>
        <w:numPr>
          <w:ilvl w:val="0"/>
          <w:numId w:val="2"/>
        </w:numPr>
        <w:tabs>
          <w:tab w:val="num" w:pos="540"/>
          <w:tab w:val="clear" w:pos="720"/>
        </w:tabs>
        <w:autoSpaceDE w:val="0"/>
        <w:autoSpaceDN w:val="0"/>
        <w:adjustRightInd w:val="0"/>
        <w:spacing w:line="233" w:lineRule="auto"/>
        <w:ind w:left="547" w:hanging="540"/>
        <w:jc w:val="both"/>
        <w:rPr>
          <w:bCs/>
          <w:sz w:val="22"/>
          <w:szCs w:val="22"/>
        </w:rPr>
      </w:pPr>
      <w:r w:rsidRPr="005E479A">
        <w:rPr>
          <w:bCs/>
          <w:sz w:val="22"/>
          <w:szCs w:val="22"/>
          <w:u w:val="single"/>
        </w:rPr>
        <w:t>Estimate of respondent burden</w:t>
      </w:r>
      <w:r w:rsidRPr="005E479A">
        <w:rPr>
          <w:bCs/>
          <w:sz w:val="22"/>
          <w:szCs w:val="22"/>
        </w:rPr>
        <w:t xml:space="preserve"> - The current burden for the collection is shown below. </w:t>
      </w:r>
    </w:p>
    <w:p w:rsidR="00A17CCC" w:rsidRPr="005E479A" w:rsidP="00A17CCC" w14:paraId="55C36CA2" w14:textId="77777777">
      <w:pPr>
        <w:widowControl w:val="0"/>
        <w:autoSpaceDE w:val="0"/>
        <w:autoSpaceDN w:val="0"/>
        <w:adjustRightInd w:val="0"/>
        <w:ind w:left="540" w:hanging="540"/>
        <w:jc w:val="center"/>
        <w:rPr>
          <w:bCs/>
          <w:sz w:val="22"/>
          <w:szCs w:val="22"/>
          <w:u w:val="single"/>
        </w:rPr>
      </w:pPr>
    </w:p>
    <w:p w:rsidR="00C6084E" w:rsidRPr="002A23DB" w:rsidP="00C6084E" w14:paraId="48713412" w14:textId="77777777">
      <w:pPr>
        <w:ind w:left="540"/>
        <w:jc w:val="center"/>
        <w:rPr>
          <w:b/>
          <w:sz w:val="22"/>
          <w:szCs w:val="22"/>
          <w:u w:val="single"/>
        </w:rPr>
      </w:pPr>
      <w:r w:rsidRPr="002A23DB">
        <w:rPr>
          <w:b/>
          <w:sz w:val="22"/>
          <w:szCs w:val="22"/>
          <w:u w:val="single"/>
        </w:rPr>
        <w:t>Current Burden</w:t>
      </w:r>
    </w:p>
    <w:p w:rsidR="00C6084E" w:rsidRPr="005E479A" w:rsidP="00C6084E" w14:paraId="398BD143" w14:textId="77777777">
      <w:pPr>
        <w:ind w:left="540"/>
        <w:jc w:val="center"/>
        <w:rPr>
          <w:bCs/>
          <w:sz w:val="22"/>
          <w:szCs w:val="22"/>
          <w:u w:val="single"/>
        </w:rPr>
      </w:pPr>
    </w:p>
    <w:tbl>
      <w:tblPr>
        <w:tblW w:w="8987" w:type="dxa"/>
        <w:tblInd w:w="514" w:type="dxa"/>
        <w:tblLayout w:type="fixed"/>
        <w:tblCellMar>
          <w:left w:w="141" w:type="dxa"/>
          <w:right w:w="141" w:type="dxa"/>
        </w:tblCellMar>
        <w:tblLook w:val="0000"/>
      </w:tblPr>
      <w:tblGrid>
        <w:gridCol w:w="2417"/>
        <w:gridCol w:w="2610"/>
        <w:gridCol w:w="1980"/>
        <w:gridCol w:w="1980"/>
      </w:tblGrid>
      <w:tr w14:paraId="11A31C9F" w14:textId="77777777" w:rsidTr="008141BE">
        <w:tblPrEx>
          <w:tblW w:w="8987" w:type="dxa"/>
          <w:tblInd w:w="514" w:type="dxa"/>
          <w:tblLayout w:type="fixed"/>
          <w:tblCellMar>
            <w:left w:w="141" w:type="dxa"/>
            <w:right w:w="141" w:type="dxa"/>
          </w:tblCellMar>
          <w:tblLook w:val="0000"/>
        </w:tblPrEx>
        <w:tc>
          <w:tcPr>
            <w:tcW w:w="2417" w:type="dxa"/>
            <w:tcBorders>
              <w:top w:val="double" w:sz="7" w:space="0" w:color="000000"/>
              <w:left w:val="double" w:sz="7" w:space="0" w:color="000000"/>
              <w:bottom w:val="single" w:sz="6" w:space="0" w:color="FFFFFF"/>
              <w:right w:val="single" w:sz="6" w:space="0" w:color="FFFFFF"/>
            </w:tcBorders>
            <w:vAlign w:val="center"/>
          </w:tcPr>
          <w:p w:rsidR="00C6084E" w:rsidRPr="005E479A" w:rsidP="00C6084E" w14:paraId="43E7C33E" w14:textId="77777777">
            <w:pPr>
              <w:keepNext/>
              <w:tabs>
                <w:tab w:val="left" w:pos="450"/>
                <w:tab w:val="left" w:pos="540"/>
                <w:tab w:val="center" w:pos="939"/>
              </w:tabs>
              <w:spacing w:before="120" w:after="120"/>
              <w:ind w:left="446" w:hanging="446"/>
              <w:jc w:val="center"/>
            </w:pPr>
            <w:r w:rsidRPr="005E479A">
              <w:rPr>
                <w:sz w:val="22"/>
                <w:szCs w:val="22"/>
              </w:rPr>
              <w:t>Form Number</w:t>
            </w:r>
          </w:p>
        </w:tc>
        <w:tc>
          <w:tcPr>
            <w:tcW w:w="2610" w:type="dxa"/>
            <w:tcBorders>
              <w:top w:val="double" w:sz="7" w:space="0" w:color="000000"/>
              <w:left w:val="single" w:sz="7" w:space="0" w:color="000000"/>
              <w:bottom w:val="single" w:sz="6" w:space="0" w:color="FFFFFF"/>
              <w:right w:val="single" w:sz="6" w:space="0" w:color="FFFFFF"/>
            </w:tcBorders>
            <w:vAlign w:val="center"/>
          </w:tcPr>
          <w:p w:rsidR="00C6084E" w:rsidRPr="005E479A" w:rsidP="00C6084E" w14:paraId="2D39FB70" w14:textId="77777777">
            <w:pPr>
              <w:keepNext/>
              <w:tabs>
                <w:tab w:val="left" w:pos="450"/>
                <w:tab w:val="left" w:pos="540"/>
                <w:tab w:val="center" w:pos="1020"/>
              </w:tabs>
              <w:spacing w:before="120" w:after="120"/>
              <w:ind w:left="446" w:hanging="446"/>
              <w:jc w:val="center"/>
            </w:pPr>
            <w:r w:rsidRPr="005E479A">
              <w:rPr>
                <w:sz w:val="22"/>
                <w:szCs w:val="22"/>
              </w:rPr>
              <w:t>Annual Responses</w:t>
            </w:r>
          </w:p>
        </w:tc>
        <w:tc>
          <w:tcPr>
            <w:tcW w:w="1980" w:type="dxa"/>
            <w:tcBorders>
              <w:top w:val="double" w:sz="7" w:space="0" w:color="000000"/>
              <w:left w:val="single" w:sz="7" w:space="0" w:color="000000"/>
              <w:bottom w:val="single" w:sz="6" w:space="0" w:color="FFFFFF"/>
              <w:right w:val="single" w:sz="6" w:space="0" w:color="FFFFFF"/>
            </w:tcBorders>
            <w:vAlign w:val="center"/>
          </w:tcPr>
          <w:p w:rsidR="00C6084E" w:rsidRPr="005E479A" w:rsidP="00C6084E" w14:paraId="246FD054" w14:textId="77777777">
            <w:pPr>
              <w:keepNext/>
              <w:tabs>
                <w:tab w:val="left" w:pos="450"/>
                <w:tab w:val="left" w:pos="540"/>
                <w:tab w:val="center" w:pos="723"/>
              </w:tabs>
              <w:spacing w:before="120" w:after="120"/>
              <w:ind w:left="446" w:hanging="446"/>
              <w:jc w:val="center"/>
            </w:pPr>
            <w:r w:rsidRPr="005E479A">
              <w:rPr>
                <w:sz w:val="22"/>
                <w:szCs w:val="22"/>
              </w:rPr>
              <w:t>Time (Minutes)</w:t>
            </w:r>
            <w:r>
              <w:rPr>
                <w:sz w:val="22"/>
                <w:szCs w:val="22"/>
              </w:rPr>
              <w:t>1/</w:t>
            </w:r>
          </w:p>
        </w:tc>
        <w:tc>
          <w:tcPr>
            <w:tcW w:w="1980" w:type="dxa"/>
            <w:tcBorders>
              <w:top w:val="double" w:sz="7" w:space="0" w:color="000000"/>
              <w:left w:val="single" w:sz="7" w:space="0" w:color="000000"/>
              <w:bottom w:val="single" w:sz="6" w:space="0" w:color="FFFFFF"/>
              <w:right w:val="double" w:sz="7" w:space="0" w:color="000000"/>
            </w:tcBorders>
            <w:vAlign w:val="center"/>
          </w:tcPr>
          <w:p w:rsidR="00C6084E" w:rsidRPr="005E479A" w:rsidP="00C6084E" w14:paraId="7097FBC8" w14:textId="77777777">
            <w:pPr>
              <w:keepNext/>
              <w:tabs>
                <w:tab w:val="left" w:pos="450"/>
                <w:tab w:val="left" w:pos="540"/>
                <w:tab w:val="center" w:pos="939"/>
              </w:tabs>
              <w:spacing w:before="120" w:after="120"/>
              <w:ind w:left="446" w:hanging="446"/>
              <w:jc w:val="center"/>
            </w:pPr>
            <w:r w:rsidRPr="005E479A">
              <w:rPr>
                <w:sz w:val="22"/>
                <w:szCs w:val="22"/>
              </w:rPr>
              <w:t>Burden (Hours)</w:t>
            </w:r>
          </w:p>
        </w:tc>
      </w:tr>
      <w:tr w14:paraId="10EB0F15" w14:textId="77777777" w:rsidTr="008141BE">
        <w:tblPrEx>
          <w:tblW w:w="8987" w:type="dxa"/>
          <w:tblInd w:w="514" w:type="dxa"/>
          <w:tblLayout w:type="fixed"/>
          <w:tblCellMar>
            <w:left w:w="141" w:type="dxa"/>
            <w:right w:w="141" w:type="dxa"/>
          </w:tblCellMar>
          <w:tblLook w:val="0000"/>
        </w:tblPrEx>
        <w:tc>
          <w:tcPr>
            <w:tcW w:w="2417" w:type="dxa"/>
            <w:tcBorders>
              <w:top w:val="double" w:sz="7" w:space="0" w:color="000000"/>
              <w:left w:val="double" w:sz="7" w:space="0" w:color="000000"/>
              <w:bottom w:val="double" w:sz="7" w:space="0" w:color="000000"/>
              <w:right w:val="single" w:sz="6" w:space="0" w:color="FFFFFF"/>
            </w:tcBorders>
            <w:vAlign w:val="center"/>
          </w:tcPr>
          <w:p w:rsidR="00C6084E" w:rsidRPr="002A23DB" w:rsidP="002A23DB" w14:paraId="398DC811" w14:textId="77777777">
            <w:pPr>
              <w:spacing w:before="120" w:after="120"/>
              <w:jc w:val="center"/>
            </w:pPr>
            <w:r w:rsidRPr="00C6084E">
              <w:rPr>
                <w:sz w:val="22"/>
                <w:szCs w:val="22"/>
              </w:rPr>
              <w:t>G-251A</w:t>
            </w:r>
          </w:p>
        </w:tc>
        <w:tc>
          <w:tcPr>
            <w:tcW w:w="2610" w:type="dxa"/>
            <w:tcBorders>
              <w:top w:val="double" w:sz="7" w:space="0" w:color="000000"/>
              <w:left w:val="single" w:sz="7" w:space="0" w:color="000000"/>
              <w:bottom w:val="double" w:sz="7" w:space="0" w:color="000000"/>
              <w:right w:val="single" w:sz="6" w:space="0" w:color="FFFFFF"/>
            </w:tcBorders>
            <w:vAlign w:val="center"/>
          </w:tcPr>
          <w:p w:rsidR="00C6084E" w:rsidRPr="002A23DB" w:rsidP="00C6084E" w14:paraId="0F4118E2" w14:textId="1375DC82">
            <w:pPr>
              <w:spacing w:before="120" w:after="120"/>
              <w:jc w:val="center"/>
            </w:pPr>
            <w:r w:rsidRPr="002A23DB">
              <w:rPr>
                <w:sz w:val="22"/>
                <w:szCs w:val="22"/>
              </w:rPr>
              <w:t xml:space="preserve">500 </w:t>
            </w:r>
          </w:p>
        </w:tc>
        <w:tc>
          <w:tcPr>
            <w:tcW w:w="1980" w:type="dxa"/>
            <w:tcBorders>
              <w:top w:val="double" w:sz="7" w:space="0" w:color="000000"/>
              <w:left w:val="single" w:sz="7" w:space="0" w:color="000000"/>
              <w:bottom w:val="double" w:sz="7" w:space="0" w:color="000000"/>
              <w:right w:val="single" w:sz="6" w:space="0" w:color="FFFFFF"/>
            </w:tcBorders>
            <w:vAlign w:val="center"/>
          </w:tcPr>
          <w:p w:rsidR="00C6084E" w:rsidRPr="002A23DB" w:rsidP="00C6084E" w14:paraId="4F644E5F" w14:textId="77777777">
            <w:pPr>
              <w:spacing w:before="120" w:after="120"/>
              <w:jc w:val="center"/>
            </w:pPr>
            <w:r w:rsidRPr="00C6084E">
              <w:rPr>
                <w:sz w:val="22"/>
                <w:szCs w:val="22"/>
              </w:rPr>
              <w:t>60</w:t>
            </w:r>
          </w:p>
        </w:tc>
        <w:tc>
          <w:tcPr>
            <w:tcW w:w="1980" w:type="dxa"/>
            <w:tcBorders>
              <w:top w:val="double" w:sz="7" w:space="0" w:color="000000"/>
              <w:left w:val="single" w:sz="7" w:space="0" w:color="000000"/>
              <w:bottom w:val="double" w:sz="7" w:space="0" w:color="000000"/>
              <w:right w:val="double" w:sz="7" w:space="0" w:color="000000"/>
            </w:tcBorders>
            <w:vAlign w:val="center"/>
          </w:tcPr>
          <w:p w:rsidR="00C6084E" w:rsidRPr="002A23DB" w:rsidP="002A23DB" w14:paraId="561F7C29" w14:textId="6AB27065">
            <w:pPr>
              <w:tabs>
                <w:tab w:val="right" w:pos="1029"/>
              </w:tabs>
              <w:spacing w:before="120" w:after="120"/>
              <w:jc w:val="center"/>
            </w:pPr>
            <w:r w:rsidRPr="002A23DB">
              <w:rPr>
                <w:sz w:val="22"/>
                <w:szCs w:val="22"/>
              </w:rPr>
              <w:t>500</w:t>
            </w:r>
          </w:p>
        </w:tc>
      </w:tr>
    </w:tbl>
    <w:p w:rsidR="00C6084E" w:rsidRPr="00C6084E" w:rsidP="002A23DB" w14:paraId="24AE5878" w14:textId="465E35B5">
      <w:pPr>
        <w:ind w:left="540" w:hanging="540"/>
        <w:jc w:val="center"/>
        <w:rPr>
          <w:b/>
          <w:sz w:val="20"/>
          <w:szCs w:val="20"/>
        </w:rPr>
      </w:pPr>
    </w:p>
    <w:p w:rsidR="00C6084E" w:rsidRPr="00C6084E" w:rsidP="002A23DB" w14:paraId="177E1D17" w14:textId="77777777">
      <w:pPr>
        <w:rPr>
          <w:bCs/>
          <w:sz w:val="22"/>
          <w:szCs w:val="22"/>
          <w:u w:val="single"/>
        </w:rPr>
      </w:pPr>
    </w:p>
    <w:p w:rsidR="00A17CCC" w:rsidRPr="002A23DB" w:rsidP="00C6084E" w14:paraId="452B6349" w14:textId="42816D40">
      <w:pPr>
        <w:ind w:left="540"/>
        <w:jc w:val="center"/>
        <w:rPr>
          <w:b/>
          <w:sz w:val="22"/>
          <w:szCs w:val="22"/>
          <w:u w:val="single"/>
        </w:rPr>
      </w:pPr>
      <w:r w:rsidRPr="002A23DB">
        <w:rPr>
          <w:b/>
          <w:sz w:val="22"/>
          <w:szCs w:val="22"/>
          <w:u w:val="single"/>
        </w:rPr>
        <w:t xml:space="preserve">Proposed </w:t>
      </w:r>
      <w:r w:rsidRPr="002A23DB">
        <w:rPr>
          <w:b/>
          <w:sz w:val="22"/>
          <w:szCs w:val="22"/>
          <w:u w:val="single"/>
        </w:rPr>
        <w:t>Burden</w:t>
      </w:r>
    </w:p>
    <w:p w:rsidR="00A17CCC" w:rsidRPr="00C6084E" w:rsidP="00C6084E" w14:paraId="2C8CB898" w14:textId="77777777">
      <w:pPr>
        <w:ind w:left="540"/>
        <w:jc w:val="center"/>
        <w:rPr>
          <w:bCs/>
          <w:sz w:val="22"/>
          <w:szCs w:val="22"/>
          <w:u w:val="single"/>
        </w:rPr>
      </w:pPr>
      <w:bookmarkStart w:id="0" w:name="_Hlk152250007"/>
    </w:p>
    <w:tbl>
      <w:tblPr>
        <w:tblW w:w="8987" w:type="dxa"/>
        <w:tblInd w:w="514" w:type="dxa"/>
        <w:tblLayout w:type="fixed"/>
        <w:tblCellMar>
          <w:left w:w="141" w:type="dxa"/>
          <w:right w:w="141" w:type="dxa"/>
        </w:tblCellMar>
        <w:tblLook w:val="0000"/>
      </w:tblPr>
      <w:tblGrid>
        <w:gridCol w:w="2417"/>
        <w:gridCol w:w="2610"/>
        <w:gridCol w:w="1980"/>
        <w:gridCol w:w="1980"/>
      </w:tblGrid>
      <w:tr w14:paraId="2B75F320" w14:textId="77777777" w:rsidTr="00C33170">
        <w:tblPrEx>
          <w:tblW w:w="8987" w:type="dxa"/>
          <w:tblInd w:w="514" w:type="dxa"/>
          <w:tblLayout w:type="fixed"/>
          <w:tblCellMar>
            <w:left w:w="141" w:type="dxa"/>
            <w:right w:w="141" w:type="dxa"/>
          </w:tblCellMar>
          <w:tblLook w:val="0000"/>
        </w:tblPrEx>
        <w:tc>
          <w:tcPr>
            <w:tcW w:w="2417" w:type="dxa"/>
            <w:tcBorders>
              <w:top w:val="double" w:sz="7" w:space="0" w:color="000000"/>
              <w:left w:val="double" w:sz="7" w:space="0" w:color="000000"/>
              <w:bottom w:val="single" w:sz="6" w:space="0" w:color="FFFFFF"/>
              <w:right w:val="single" w:sz="6" w:space="0" w:color="FFFFFF"/>
            </w:tcBorders>
            <w:vAlign w:val="center"/>
          </w:tcPr>
          <w:p w:rsidR="00A17CCC" w:rsidRPr="00C6084E" w:rsidP="00C6084E" w14:paraId="2D92673A" w14:textId="77777777">
            <w:pPr>
              <w:keepNext/>
              <w:tabs>
                <w:tab w:val="left" w:pos="450"/>
                <w:tab w:val="left" w:pos="540"/>
                <w:tab w:val="center" w:pos="939"/>
              </w:tabs>
              <w:spacing w:before="120" w:after="120"/>
              <w:ind w:left="446" w:hanging="446"/>
              <w:jc w:val="center"/>
            </w:pPr>
            <w:bookmarkStart w:id="1" w:name="_Hlk152249956"/>
            <w:r w:rsidRPr="00C6084E">
              <w:rPr>
                <w:sz w:val="22"/>
                <w:szCs w:val="22"/>
              </w:rPr>
              <w:t>Form Number</w:t>
            </w:r>
          </w:p>
        </w:tc>
        <w:tc>
          <w:tcPr>
            <w:tcW w:w="2610" w:type="dxa"/>
            <w:tcBorders>
              <w:top w:val="double" w:sz="7" w:space="0" w:color="000000"/>
              <w:left w:val="single" w:sz="7" w:space="0" w:color="000000"/>
              <w:bottom w:val="single" w:sz="6" w:space="0" w:color="FFFFFF"/>
              <w:right w:val="single" w:sz="6" w:space="0" w:color="FFFFFF"/>
            </w:tcBorders>
            <w:vAlign w:val="center"/>
          </w:tcPr>
          <w:p w:rsidR="00A17CCC" w:rsidRPr="00C6084E" w:rsidP="00C6084E" w14:paraId="648EE4E6" w14:textId="77777777">
            <w:pPr>
              <w:keepNext/>
              <w:tabs>
                <w:tab w:val="left" w:pos="450"/>
                <w:tab w:val="left" w:pos="540"/>
                <w:tab w:val="center" w:pos="1020"/>
              </w:tabs>
              <w:spacing w:before="120" w:after="120"/>
              <w:ind w:left="446" w:hanging="446"/>
              <w:jc w:val="center"/>
            </w:pPr>
            <w:r w:rsidRPr="00C6084E">
              <w:rPr>
                <w:sz w:val="22"/>
                <w:szCs w:val="22"/>
              </w:rPr>
              <w:t>Annual Responses</w:t>
            </w:r>
          </w:p>
        </w:tc>
        <w:tc>
          <w:tcPr>
            <w:tcW w:w="1980" w:type="dxa"/>
            <w:tcBorders>
              <w:top w:val="double" w:sz="7" w:space="0" w:color="000000"/>
              <w:left w:val="single" w:sz="7" w:space="0" w:color="000000"/>
              <w:bottom w:val="single" w:sz="6" w:space="0" w:color="FFFFFF"/>
              <w:right w:val="single" w:sz="6" w:space="0" w:color="FFFFFF"/>
            </w:tcBorders>
            <w:vAlign w:val="center"/>
          </w:tcPr>
          <w:p w:rsidR="00A17CCC" w:rsidRPr="00C6084E" w:rsidP="00C6084E" w14:paraId="58F03AAC" w14:textId="77777777">
            <w:pPr>
              <w:keepNext/>
              <w:tabs>
                <w:tab w:val="left" w:pos="450"/>
                <w:tab w:val="left" w:pos="540"/>
                <w:tab w:val="center" w:pos="723"/>
              </w:tabs>
              <w:spacing w:before="120" w:after="120"/>
              <w:ind w:left="446" w:hanging="446"/>
              <w:jc w:val="center"/>
            </w:pPr>
            <w:r w:rsidRPr="00C6084E">
              <w:rPr>
                <w:sz w:val="22"/>
                <w:szCs w:val="22"/>
              </w:rPr>
              <w:t>Time (Minutes)1/</w:t>
            </w:r>
          </w:p>
        </w:tc>
        <w:tc>
          <w:tcPr>
            <w:tcW w:w="1980" w:type="dxa"/>
            <w:tcBorders>
              <w:top w:val="double" w:sz="7" w:space="0" w:color="000000"/>
              <w:left w:val="single" w:sz="7" w:space="0" w:color="000000"/>
              <w:bottom w:val="single" w:sz="6" w:space="0" w:color="FFFFFF"/>
              <w:right w:val="double" w:sz="7" w:space="0" w:color="000000"/>
            </w:tcBorders>
            <w:vAlign w:val="center"/>
          </w:tcPr>
          <w:p w:rsidR="00A17CCC" w:rsidRPr="00C6084E" w:rsidP="00C6084E" w14:paraId="1307C0A3" w14:textId="77777777">
            <w:pPr>
              <w:keepNext/>
              <w:tabs>
                <w:tab w:val="left" w:pos="450"/>
                <w:tab w:val="left" w:pos="540"/>
                <w:tab w:val="center" w:pos="939"/>
              </w:tabs>
              <w:spacing w:before="120" w:after="120"/>
              <w:ind w:left="446" w:hanging="446"/>
              <w:jc w:val="center"/>
            </w:pPr>
            <w:r w:rsidRPr="00C6084E">
              <w:rPr>
                <w:sz w:val="22"/>
                <w:szCs w:val="22"/>
              </w:rPr>
              <w:t>Burden (Hours)</w:t>
            </w:r>
          </w:p>
        </w:tc>
      </w:tr>
      <w:tr w14:paraId="66113FED" w14:textId="77777777" w:rsidTr="00C33170">
        <w:tblPrEx>
          <w:tblW w:w="8987" w:type="dxa"/>
          <w:tblInd w:w="514" w:type="dxa"/>
          <w:tblLayout w:type="fixed"/>
          <w:tblCellMar>
            <w:left w:w="141" w:type="dxa"/>
            <w:right w:w="141" w:type="dxa"/>
          </w:tblCellMar>
          <w:tblLook w:val="0000"/>
        </w:tblPrEx>
        <w:tc>
          <w:tcPr>
            <w:tcW w:w="2417" w:type="dxa"/>
            <w:tcBorders>
              <w:top w:val="double" w:sz="7" w:space="0" w:color="000000"/>
              <w:left w:val="double" w:sz="7" w:space="0" w:color="000000"/>
              <w:bottom w:val="double" w:sz="7" w:space="0" w:color="000000"/>
              <w:right w:val="single" w:sz="6" w:space="0" w:color="FFFFFF"/>
            </w:tcBorders>
            <w:vAlign w:val="center"/>
          </w:tcPr>
          <w:p w:rsidR="00A17CCC" w:rsidRPr="002A23DB" w:rsidP="002A23DB" w14:paraId="66FCD828" w14:textId="77777777">
            <w:pPr>
              <w:spacing w:before="120" w:after="120"/>
              <w:jc w:val="center"/>
            </w:pPr>
            <w:r w:rsidRPr="00C6084E">
              <w:rPr>
                <w:sz w:val="22"/>
                <w:szCs w:val="22"/>
              </w:rPr>
              <w:t>G-251A</w:t>
            </w:r>
          </w:p>
        </w:tc>
        <w:tc>
          <w:tcPr>
            <w:tcW w:w="2610" w:type="dxa"/>
            <w:tcBorders>
              <w:top w:val="double" w:sz="7" w:space="0" w:color="000000"/>
              <w:left w:val="single" w:sz="7" w:space="0" w:color="000000"/>
              <w:bottom w:val="double" w:sz="7" w:space="0" w:color="000000"/>
              <w:right w:val="single" w:sz="6" w:space="0" w:color="FFFFFF"/>
            </w:tcBorders>
            <w:vAlign w:val="center"/>
          </w:tcPr>
          <w:p w:rsidR="00A17CCC" w:rsidRPr="002A23DB" w:rsidP="00C6084E" w14:paraId="0CFD65F4" w14:textId="5FDE1CF9">
            <w:pPr>
              <w:spacing w:before="120" w:after="120"/>
              <w:jc w:val="center"/>
            </w:pPr>
            <w:r w:rsidRPr="002A23DB">
              <w:rPr>
                <w:sz w:val="22"/>
                <w:szCs w:val="22"/>
              </w:rPr>
              <w:t>436</w:t>
            </w:r>
          </w:p>
        </w:tc>
        <w:tc>
          <w:tcPr>
            <w:tcW w:w="1980" w:type="dxa"/>
            <w:tcBorders>
              <w:top w:val="double" w:sz="7" w:space="0" w:color="000000"/>
              <w:left w:val="single" w:sz="7" w:space="0" w:color="000000"/>
              <w:bottom w:val="double" w:sz="7" w:space="0" w:color="000000"/>
              <w:right w:val="single" w:sz="6" w:space="0" w:color="FFFFFF"/>
            </w:tcBorders>
            <w:vAlign w:val="center"/>
          </w:tcPr>
          <w:p w:rsidR="00A17CCC" w:rsidRPr="002A23DB" w:rsidP="00C6084E" w14:paraId="703CF8EF" w14:textId="77777777">
            <w:pPr>
              <w:spacing w:before="120" w:after="120"/>
              <w:jc w:val="center"/>
            </w:pPr>
            <w:r w:rsidRPr="00C6084E">
              <w:rPr>
                <w:sz w:val="22"/>
                <w:szCs w:val="22"/>
              </w:rPr>
              <w:t>60</w:t>
            </w:r>
          </w:p>
        </w:tc>
        <w:tc>
          <w:tcPr>
            <w:tcW w:w="1980" w:type="dxa"/>
            <w:tcBorders>
              <w:top w:val="double" w:sz="7" w:space="0" w:color="000000"/>
              <w:left w:val="single" w:sz="7" w:space="0" w:color="000000"/>
              <w:bottom w:val="double" w:sz="7" w:space="0" w:color="000000"/>
              <w:right w:val="double" w:sz="7" w:space="0" w:color="000000"/>
            </w:tcBorders>
            <w:vAlign w:val="center"/>
          </w:tcPr>
          <w:p w:rsidR="00A17CCC" w:rsidRPr="002A23DB" w:rsidP="002A23DB" w14:paraId="6E26EAF9" w14:textId="670A6847">
            <w:pPr>
              <w:tabs>
                <w:tab w:val="right" w:pos="1029"/>
              </w:tabs>
              <w:spacing w:before="120" w:after="120"/>
              <w:jc w:val="center"/>
              <w:rPr>
                <w:strike/>
              </w:rPr>
            </w:pPr>
            <w:r w:rsidRPr="002A23DB">
              <w:rPr>
                <w:sz w:val="22"/>
                <w:szCs w:val="22"/>
              </w:rPr>
              <w:t>436</w:t>
            </w:r>
          </w:p>
        </w:tc>
      </w:tr>
    </w:tbl>
    <w:bookmarkEnd w:id="1"/>
    <w:bookmarkEnd w:id="0"/>
    <w:p w:rsidR="00A17CCC" w:rsidRPr="002A23DB" w:rsidP="002A23DB" w14:paraId="6A9D071D" w14:textId="77777777">
      <w:pPr>
        <w:pStyle w:val="NoSpacing"/>
        <w:ind w:left="540"/>
        <w:rPr>
          <w:sz w:val="22"/>
          <w:szCs w:val="22"/>
        </w:rPr>
      </w:pPr>
      <w:r w:rsidRPr="002A23DB">
        <w:rPr>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A17CCC" w:rsidRPr="005E479A" w:rsidP="00A17CCC" w14:paraId="5F0FE5EF" w14:textId="77777777">
      <w:pPr>
        <w:ind w:left="540" w:hanging="540"/>
        <w:jc w:val="both"/>
        <w:rPr>
          <w:bCs/>
          <w:sz w:val="22"/>
          <w:szCs w:val="22"/>
        </w:rPr>
      </w:pPr>
    </w:p>
    <w:p w:rsidR="00A17CCC" w:rsidRPr="005E479A" w:rsidP="00A17CCC" w14:paraId="7FF4FA3B" w14:textId="77777777">
      <w:pPr>
        <w:tabs>
          <w:tab w:val="left" w:pos="-1440"/>
        </w:tabs>
        <w:ind w:left="540" w:hanging="540"/>
        <w:jc w:val="both"/>
        <w:rPr>
          <w:bCs/>
          <w:sz w:val="22"/>
          <w:szCs w:val="22"/>
        </w:rPr>
      </w:pPr>
      <w:r w:rsidRPr="005E479A">
        <w:rPr>
          <w:bCs/>
          <w:sz w:val="22"/>
          <w:szCs w:val="22"/>
        </w:rPr>
        <w:t>13.</w:t>
      </w:r>
      <w:r w:rsidRPr="005E479A">
        <w:rPr>
          <w:bCs/>
          <w:sz w:val="22"/>
          <w:szCs w:val="22"/>
        </w:rPr>
        <w:tab/>
      </w:r>
      <w:r w:rsidRPr="005E479A">
        <w:rPr>
          <w:bCs/>
          <w:sz w:val="22"/>
          <w:szCs w:val="22"/>
          <w:u w:val="single"/>
        </w:rPr>
        <w:t>Estimated annual cost to respondents or record keepers</w:t>
      </w:r>
      <w:r w:rsidRPr="005E479A">
        <w:rPr>
          <w:bCs/>
          <w:sz w:val="22"/>
          <w:szCs w:val="22"/>
        </w:rPr>
        <w:t xml:space="preserve"> - N.A.</w:t>
      </w:r>
    </w:p>
    <w:p w:rsidR="00A17CCC" w:rsidRPr="005E479A" w:rsidP="00A17CCC" w14:paraId="7430A5A9" w14:textId="77777777">
      <w:pPr>
        <w:ind w:left="540" w:hanging="540"/>
        <w:jc w:val="both"/>
        <w:rPr>
          <w:bCs/>
          <w:sz w:val="22"/>
          <w:szCs w:val="22"/>
        </w:rPr>
      </w:pPr>
    </w:p>
    <w:p w:rsidR="00BF209F" w:rsidP="00BF209F" w14:paraId="6F18294E" w14:textId="77777777">
      <w:pPr>
        <w:ind w:left="540" w:hanging="540"/>
        <w:jc w:val="both"/>
        <w:rPr>
          <w:bCs/>
          <w:sz w:val="22"/>
          <w:szCs w:val="22"/>
        </w:rPr>
      </w:pPr>
      <w:r w:rsidRPr="005E479A">
        <w:rPr>
          <w:bCs/>
          <w:sz w:val="22"/>
          <w:szCs w:val="22"/>
        </w:rPr>
        <w:t>14.</w:t>
      </w:r>
      <w:r w:rsidRPr="005E479A">
        <w:rPr>
          <w:bCs/>
          <w:sz w:val="22"/>
          <w:szCs w:val="22"/>
        </w:rPr>
        <w:tab/>
      </w:r>
      <w:r w:rsidRPr="005E479A">
        <w:rPr>
          <w:bCs/>
          <w:sz w:val="22"/>
          <w:szCs w:val="22"/>
          <w:u w:val="single"/>
        </w:rPr>
        <w:t>Estimate of cost to Federal Government</w:t>
      </w:r>
      <w:r w:rsidRPr="005E479A">
        <w:rPr>
          <w:bCs/>
          <w:sz w:val="22"/>
          <w:szCs w:val="22"/>
        </w:rPr>
        <w:t xml:space="preserve"> - N.A.</w:t>
      </w:r>
    </w:p>
    <w:p w:rsidR="00BF209F" w:rsidP="00BF209F" w14:paraId="21182028" w14:textId="77777777">
      <w:pPr>
        <w:ind w:left="540" w:hanging="540"/>
        <w:jc w:val="both"/>
        <w:rPr>
          <w:bCs/>
          <w:sz w:val="22"/>
          <w:szCs w:val="22"/>
        </w:rPr>
      </w:pPr>
    </w:p>
    <w:p w:rsidR="00A17CCC" w:rsidRPr="00BF209F" w:rsidP="00BF209F" w14:paraId="42C3FCB0" w14:textId="26FA9D42">
      <w:pPr>
        <w:ind w:left="540" w:hanging="540"/>
        <w:jc w:val="both"/>
        <w:rPr>
          <w:bCs/>
          <w:sz w:val="22"/>
          <w:szCs w:val="22"/>
        </w:rPr>
      </w:pPr>
      <w:r w:rsidRPr="005E479A">
        <w:rPr>
          <w:bCs/>
          <w:sz w:val="22"/>
          <w:szCs w:val="22"/>
        </w:rPr>
        <w:t>15.</w:t>
      </w:r>
      <w:r w:rsidRPr="005E479A">
        <w:rPr>
          <w:bCs/>
          <w:sz w:val="22"/>
          <w:szCs w:val="22"/>
        </w:rPr>
        <w:tab/>
      </w:r>
      <w:r w:rsidRPr="005E479A">
        <w:rPr>
          <w:bCs/>
          <w:sz w:val="22"/>
          <w:szCs w:val="22"/>
          <w:u w:val="single"/>
        </w:rPr>
        <w:t>Explanation for change in burden</w:t>
      </w:r>
      <w:r w:rsidR="004838C7">
        <w:rPr>
          <w:bCs/>
          <w:sz w:val="22"/>
          <w:szCs w:val="22"/>
          <w:u w:val="single"/>
        </w:rPr>
        <w:t xml:space="preserve"> </w:t>
      </w:r>
      <w:r w:rsidRPr="002A23DB" w:rsidR="0054481A">
        <w:rPr>
          <w:bCs/>
          <w:sz w:val="22"/>
          <w:szCs w:val="22"/>
          <w:u w:val="single"/>
        </w:rPr>
        <w:t>–</w:t>
      </w:r>
      <w:r w:rsidRPr="002A23DB" w:rsidR="004E0B12">
        <w:rPr>
          <w:bCs/>
          <w:sz w:val="22"/>
          <w:szCs w:val="22"/>
          <w:u w:val="single"/>
        </w:rPr>
        <w:t xml:space="preserve"> </w:t>
      </w:r>
      <w:r w:rsidRPr="002A23DB">
        <w:rPr>
          <w:sz w:val="22"/>
          <w:szCs w:val="22"/>
        </w:rPr>
        <w:t xml:space="preserve">The burden in completing these forms changed due to the RRB </w:t>
      </w:r>
      <w:r w:rsidRPr="002A23DB" w:rsidR="004838C7">
        <w:rPr>
          <w:sz w:val="22"/>
          <w:szCs w:val="22"/>
        </w:rPr>
        <w:t xml:space="preserve">implementing </w:t>
      </w:r>
      <w:r w:rsidRPr="002A23DB">
        <w:rPr>
          <w:sz w:val="22"/>
          <w:szCs w:val="22"/>
        </w:rPr>
        <w:t xml:space="preserve"> enhancements in how it electronically tracks and stores completed forms, which allows the agency to provide more accurate burden estimates compared to prior OMB justification submittals.</w:t>
      </w:r>
      <w:r w:rsidRPr="002B6854">
        <w:rPr>
          <w:sz w:val="22"/>
          <w:szCs w:val="22"/>
        </w:rPr>
        <w:t xml:space="preserve"> </w:t>
      </w:r>
    </w:p>
    <w:p w:rsidR="00A17CCC" w:rsidRPr="005E479A" w:rsidP="00A17CCC" w14:paraId="6E28D9CE" w14:textId="77777777">
      <w:pPr>
        <w:ind w:left="540" w:hanging="540"/>
        <w:jc w:val="both"/>
        <w:rPr>
          <w:bCs/>
          <w:sz w:val="22"/>
          <w:szCs w:val="22"/>
        </w:rPr>
      </w:pPr>
    </w:p>
    <w:p w:rsidR="00A17CCC" w:rsidRPr="005E479A" w:rsidP="00A17CCC" w14:paraId="30389E29" w14:textId="77777777">
      <w:pPr>
        <w:tabs>
          <w:tab w:val="left" w:pos="-1440"/>
        </w:tabs>
        <w:ind w:left="540" w:hanging="540"/>
        <w:jc w:val="both"/>
        <w:rPr>
          <w:bCs/>
          <w:sz w:val="22"/>
          <w:szCs w:val="22"/>
        </w:rPr>
      </w:pPr>
      <w:r w:rsidRPr="005E479A">
        <w:rPr>
          <w:bCs/>
          <w:sz w:val="22"/>
          <w:szCs w:val="22"/>
        </w:rPr>
        <w:t>16.</w:t>
      </w:r>
      <w:r w:rsidRPr="005E479A">
        <w:rPr>
          <w:bCs/>
          <w:sz w:val="22"/>
          <w:szCs w:val="22"/>
        </w:rPr>
        <w:tab/>
      </w:r>
      <w:r w:rsidRPr="005E479A">
        <w:rPr>
          <w:bCs/>
          <w:sz w:val="22"/>
          <w:szCs w:val="22"/>
          <w:u w:val="single"/>
        </w:rPr>
        <w:t>Time schedule for data collection and publication</w:t>
      </w:r>
      <w:r w:rsidRPr="005E479A">
        <w:rPr>
          <w:bCs/>
          <w:sz w:val="22"/>
          <w:szCs w:val="22"/>
        </w:rPr>
        <w:t xml:space="preserve"> - The results of this collection will not be published.</w:t>
      </w:r>
    </w:p>
    <w:p w:rsidR="00A17CCC" w:rsidRPr="005E479A" w:rsidP="00A17CCC" w14:paraId="07185B26" w14:textId="77777777">
      <w:pPr>
        <w:ind w:left="540" w:hanging="540"/>
        <w:jc w:val="both"/>
        <w:rPr>
          <w:bCs/>
          <w:sz w:val="22"/>
          <w:szCs w:val="22"/>
        </w:rPr>
      </w:pPr>
    </w:p>
    <w:p w:rsidR="0054481A" w:rsidRPr="003E7058" w:rsidP="0054481A" w14:paraId="58A56045" w14:textId="1256DDB3">
      <w:pPr>
        <w:numPr>
          <w:ilvl w:val="0"/>
          <w:numId w:val="1"/>
        </w:numPr>
        <w:tabs>
          <w:tab w:val="num" w:pos="540"/>
          <w:tab w:val="clear" w:pos="660"/>
        </w:tabs>
        <w:ind w:left="567" w:hanging="567"/>
        <w:jc w:val="both"/>
        <w:rPr>
          <w:bCs/>
          <w:sz w:val="22"/>
          <w:szCs w:val="22"/>
        </w:rPr>
      </w:pPr>
      <w:r w:rsidRPr="005E479A">
        <w:rPr>
          <w:bCs/>
          <w:sz w:val="22"/>
          <w:szCs w:val="22"/>
          <w:u w:val="single"/>
        </w:rPr>
        <w:t>Request not to display OMB expiration date</w:t>
      </w:r>
      <w:r w:rsidRPr="005E479A">
        <w:rPr>
          <w:bCs/>
          <w:sz w:val="22"/>
          <w:szCs w:val="22"/>
        </w:rPr>
        <w:t xml:space="preserve"> -</w:t>
      </w:r>
      <w:r>
        <w:rPr>
          <w:bCs/>
          <w:sz w:val="22"/>
          <w:szCs w:val="22"/>
        </w:rPr>
        <w:t xml:space="preserve"> </w:t>
      </w:r>
      <w:r w:rsidRPr="005E479A">
        <w:rPr>
          <w:bCs/>
          <w:sz w:val="22"/>
          <w:szCs w:val="22"/>
        </w:rPr>
        <w:t>The</w:t>
      </w:r>
      <w:r w:rsidRPr="003E7058">
        <w:rPr>
          <w:bCs/>
          <w:sz w:val="22"/>
          <w:szCs w:val="22"/>
        </w:rPr>
        <w:t xml:space="preserve"> RRB started an extensive multi-year IT Modernization Initiative at the beginning of Fiscal Year 2019 to transform our operations into the 21st Century using multiple contractor services to improve mission performance, expand service capabilities, and strengthen cybersecurity.</w:t>
      </w:r>
      <w:r w:rsidR="00C6084E">
        <w:rPr>
          <w:bCs/>
          <w:sz w:val="22"/>
          <w:szCs w:val="22"/>
        </w:rPr>
        <w:t xml:space="preserve"> </w:t>
      </w:r>
      <w:r w:rsidRPr="003E7058">
        <w:rPr>
          <w:bCs/>
          <w:sz w:val="22"/>
          <w:szCs w:val="22"/>
        </w:rPr>
        <w:t xml:space="preserve">We provided OMB with a consolidated project timeline. </w:t>
      </w:r>
    </w:p>
    <w:p w:rsidR="0054481A" w:rsidRPr="003E7058" w:rsidP="0054481A" w14:paraId="5B6B0969" w14:textId="77777777">
      <w:pPr>
        <w:tabs>
          <w:tab w:val="num" w:pos="540"/>
        </w:tabs>
        <w:ind w:left="567" w:hanging="567"/>
        <w:jc w:val="both"/>
        <w:rPr>
          <w:bCs/>
          <w:sz w:val="22"/>
          <w:szCs w:val="22"/>
        </w:rPr>
      </w:pPr>
    </w:p>
    <w:p w:rsidR="0054481A" w:rsidP="0054481A" w14:paraId="3454F2E3" w14:textId="77777777">
      <w:pPr>
        <w:tabs>
          <w:tab w:val="num" w:pos="540"/>
          <w:tab w:val="num" w:pos="660"/>
        </w:tabs>
        <w:ind w:left="1107" w:hanging="567"/>
        <w:jc w:val="both"/>
        <w:rPr>
          <w:bCs/>
          <w:sz w:val="22"/>
          <w:szCs w:val="22"/>
        </w:rPr>
      </w:pPr>
      <w:r w:rsidRPr="003E7058">
        <w:rPr>
          <w:bCs/>
          <w:sz w:val="22"/>
          <w:szCs w:val="22"/>
        </w:rPr>
        <w:t>Given that the forms in this collection are seldom revised; the costs associated with</w:t>
      </w:r>
    </w:p>
    <w:p w:rsidR="0054481A" w:rsidP="0054481A" w14:paraId="39F6BDF7" w14:textId="440FF5C3">
      <w:pPr>
        <w:tabs>
          <w:tab w:val="num" w:pos="540"/>
          <w:tab w:val="num" w:pos="660"/>
        </w:tabs>
        <w:ind w:left="1107" w:hanging="567"/>
        <w:jc w:val="both"/>
        <w:rPr>
          <w:bCs/>
          <w:sz w:val="22"/>
          <w:szCs w:val="22"/>
        </w:rPr>
      </w:pPr>
      <w:r w:rsidRPr="003E7058">
        <w:rPr>
          <w:bCs/>
          <w:sz w:val="22"/>
          <w:szCs w:val="22"/>
        </w:rPr>
        <w:t xml:space="preserve">redrafting, reprinting, and distributing forms to keep the appropriate OMB </w:t>
      </w:r>
      <w:r w:rsidRPr="003E7058" w:rsidR="002A23DB">
        <w:rPr>
          <w:bCs/>
          <w:sz w:val="22"/>
          <w:szCs w:val="22"/>
        </w:rPr>
        <w:t>expiration.</w:t>
      </w:r>
      <w:r w:rsidRPr="003E7058">
        <w:rPr>
          <w:bCs/>
          <w:sz w:val="22"/>
          <w:szCs w:val="22"/>
        </w:rPr>
        <w:t xml:space="preserve"> </w:t>
      </w:r>
    </w:p>
    <w:p w:rsidR="0054481A" w:rsidP="0054481A" w14:paraId="49E27BDB" w14:textId="77777777">
      <w:pPr>
        <w:tabs>
          <w:tab w:val="num" w:pos="540"/>
          <w:tab w:val="num" w:pos="660"/>
        </w:tabs>
        <w:ind w:left="1107" w:hanging="567"/>
        <w:jc w:val="both"/>
        <w:rPr>
          <w:bCs/>
          <w:sz w:val="22"/>
          <w:szCs w:val="22"/>
        </w:rPr>
      </w:pPr>
      <w:r w:rsidRPr="003E7058">
        <w:rPr>
          <w:bCs/>
          <w:sz w:val="22"/>
          <w:szCs w:val="22"/>
        </w:rPr>
        <w:t xml:space="preserve">date in place; and our desire to reevaluate after the completion of the modernization project, </w:t>
      </w:r>
    </w:p>
    <w:p w:rsidR="00A17CCC" w:rsidRPr="0054481A" w:rsidP="0054481A" w14:paraId="4C6D6286" w14:textId="7320169F">
      <w:pPr>
        <w:tabs>
          <w:tab w:val="num" w:pos="540"/>
          <w:tab w:val="num" w:pos="660"/>
        </w:tabs>
        <w:ind w:left="1107" w:hanging="567"/>
        <w:jc w:val="both"/>
        <w:rPr>
          <w:b/>
          <w:bCs/>
          <w:sz w:val="22"/>
          <w:szCs w:val="22"/>
          <w:u w:val="single"/>
        </w:rPr>
      </w:pPr>
      <w:r w:rsidRPr="00234379">
        <w:rPr>
          <w:b/>
          <w:bCs/>
          <w:sz w:val="22"/>
          <w:szCs w:val="22"/>
          <w:u w:val="single"/>
        </w:rPr>
        <w:t>the RRB requests the authority to not display the expiration date on the forms</w:t>
      </w:r>
      <w:r>
        <w:rPr>
          <w:b/>
          <w:bCs/>
          <w:sz w:val="22"/>
          <w:szCs w:val="22"/>
          <w:u w:val="single"/>
        </w:rPr>
        <w:t>.</w:t>
      </w:r>
    </w:p>
    <w:p w:rsidR="0054481A" w:rsidP="00A17CCC" w14:paraId="379AEB9D" w14:textId="3461639C">
      <w:pPr>
        <w:tabs>
          <w:tab w:val="num" w:pos="540"/>
        </w:tabs>
        <w:ind w:left="567" w:hanging="567"/>
        <w:jc w:val="both"/>
        <w:rPr>
          <w:bCs/>
          <w:sz w:val="22"/>
          <w:szCs w:val="22"/>
        </w:rPr>
      </w:pPr>
      <w:r>
        <w:rPr>
          <w:bCs/>
          <w:sz w:val="22"/>
          <w:szCs w:val="22"/>
        </w:rPr>
        <w:t xml:space="preserve">         </w:t>
      </w:r>
    </w:p>
    <w:p w:rsidR="00A17CCC" w:rsidRPr="005E479A" w:rsidP="00A17CCC" w14:paraId="4A598AD6" w14:textId="77777777">
      <w:pPr>
        <w:widowControl w:val="0"/>
        <w:numPr>
          <w:ilvl w:val="0"/>
          <w:numId w:val="1"/>
        </w:numPr>
        <w:autoSpaceDE w:val="0"/>
        <w:autoSpaceDN w:val="0"/>
        <w:adjustRightInd w:val="0"/>
        <w:ind w:left="540" w:hanging="540"/>
        <w:jc w:val="both"/>
        <w:rPr>
          <w:sz w:val="22"/>
          <w:szCs w:val="22"/>
        </w:rPr>
      </w:pPr>
      <w:r w:rsidRPr="005E479A">
        <w:rPr>
          <w:sz w:val="22"/>
          <w:szCs w:val="22"/>
          <w:u w:val="single"/>
        </w:rPr>
        <w:t>Exceptions to Certification Statement</w:t>
      </w:r>
      <w:r w:rsidRPr="005E479A">
        <w:rPr>
          <w:sz w:val="22"/>
          <w:szCs w:val="22"/>
        </w:rPr>
        <w:t xml:space="preserve"> – N.A.</w:t>
      </w:r>
    </w:p>
    <w:p w:rsidR="00A17CCC" w:rsidRPr="00A621C8" w:rsidP="00A17CCC" w14:paraId="68300A22" w14:textId="77777777">
      <w:pPr>
        <w:rPr>
          <w:sz w:val="22"/>
          <w:szCs w:val="22"/>
        </w:rPr>
      </w:pPr>
    </w:p>
    <w:p w:rsidR="00E7253A" w14:paraId="3F04C1BD" w14:textId="77777777"/>
    <w:sectPr w:rsidSect="00A17CCC">
      <w:headerReference w:type="default" r:id="rId6"/>
      <w:footerReference w:type="default" r:id="rId7"/>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BA8" w14:paraId="493FA55E" w14:textId="77777777">
    <w:pPr>
      <w:spacing w:line="240" w:lineRule="exact"/>
    </w:pPr>
  </w:p>
  <w:p w:rsidR="00365BA8" w14:paraId="29B7EE54" w14:textId="77777777">
    <w:pPr>
      <w:framePr w:w="9361" w:wrap="notBeside" w:vAnchor="text" w:hAnchor="text" w:x="1" w:y="1"/>
      <w:jc w:val="center"/>
    </w:pPr>
    <w:r>
      <w:rPr>
        <w:rFonts w:ascii="Symbol" w:hAnsi="Symbol"/>
      </w:rPr>
      <w:sym w:font="Symbol" w:char="F02D"/>
    </w:r>
    <w:r>
      <w:fldChar w:fldCharType="begin"/>
    </w:r>
    <w:r>
      <w:instrText xml:space="preserve">PAGE </w:instrText>
    </w:r>
    <w:r>
      <w:fldChar w:fldCharType="separate"/>
    </w:r>
    <w:r>
      <w:rPr>
        <w:noProof/>
      </w:rPr>
      <w:t>1</w:t>
    </w:r>
    <w:r>
      <w:fldChar w:fldCharType="end"/>
    </w:r>
    <w:r>
      <w:rPr>
        <w:rFonts w:ascii="Symbol" w:hAnsi="Symbol"/>
      </w:rPr>
      <w:sym w:font="Symbol" w:char="F02D"/>
    </w:r>
  </w:p>
  <w:p w:rsidR="00365BA8" w14:paraId="103EC49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BA8" w:rsidRPr="002137A8" w14:paraId="1601A4C1" w14:textId="77777777">
    <w:pPr>
      <w:tabs>
        <w:tab w:val="right" w:pos="9360"/>
      </w:tabs>
      <w:jc w:val="both"/>
      <w:rPr>
        <w:bCs/>
        <w:sz w:val="22"/>
        <w:szCs w:val="22"/>
      </w:rPr>
    </w:pPr>
    <w:r>
      <w:tab/>
    </w:r>
    <w:r w:rsidRPr="002137A8">
      <w:rPr>
        <w:bCs/>
        <w:sz w:val="22"/>
        <w:szCs w:val="22"/>
      </w:rPr>
      <w:t>OMB NO. 3220-0193</w:t>
    </w:r>
  </w:p>
  <w:p w:rsidR="00365BA8" w14:paraId="581A30E4" w14:textId="77777777">
    <w:pPr>
      <w:tabs>
        <w:tab w:val="right" w:pos="9360"/>
      </w:tabs>
      <w:jc w:val="both"/>
      <w:rPr>
        <w:rFonts w:ascii="Times New Roman TUR" w:hAnsi="Times New Roman TUR" w:cs="Times New Roman TUR"/>
        <w:b/>
        <w:bCs/>
      </w:rPr>
    </w:pPr>
    <w:r>
      <w:rPr>
        <w:rFonts w:ascii="Times New Roman TUR" w:hAnsi="Times New Roman TUR" w:cs="Times New Roman TUR"/>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B1725B"/>
    <w:multiLevelType w:val="hybridMultilevel"/>
    <w:tmpl w:val="2F3C8F9A"/>
    <w:lvl w:ilvl="0">
      <w:start w:val="17"/>
      <w:numFmt w:val="decimal"/>
      <w:lvlText w:val="%1."/>
      <w:lvlJc w:val="left"/>
      <w:pPr>
        <w:tabs>
          <w:tab w:val="num" w:pos="660"/>
        </w:tabs>
        <w:ind w:left="660" w:hanging="6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677B1C57"/>
    <w:multiLevelType w:val="hybridMultilevel"/>
    <w:tmpl w:val="706EC34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3415395"/>
    <w:multiLevelType w:val="hybridMultilevel"/>
    <w:tmpl w:val="A84C1E1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3380590">
    <w:abstractNumId w:val="0"/>
  </w:num>
  <w:num w:numId="2" w16cid:durableId="98646387">
    <w:abstractNumId w:val="1"/>
  </w:num>
  <w:num w:numId="3" w16cid:durableId="953752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CC"/>
    <w:rsid w:val="000D1F54"/>
    <w:rsid w:val="0016420C"/>
    <w:rsid w:val="002137A8"/>
    <w:rsid w:val="00234379"/>
    <w:rsid w:val="002A23DB"/>
    <w:rsid w:val="002B6854"/>
    <w:rsid w:val="002B734C"/>
    <w:rsid w:val="0035378B"/>
    <w:rsid w:val="00356F75"/>
    <w:rsid w:val="00365BA8"/>
    <w:rsid w:val="003E7058"/>
    <w:rsid w:val="004838C7"/>
    <w:rsid w:val="004E0B12"/>
    <w:rsid w:val="0054481A"/>
    <w:rsid w:val="005E479A"/>
    <w:rsid w:val="00701574"/>
    <w:rsid w:val="00717E9C"/>
    <w:rsid w:val="0090424A"/>
    <w:rsid w:val="00A15C9D"/>
    <w:rsid w:val="00A17CCC"/>
    <w:rsid w:val="00A621C8"/>
    <w:rsid w:val="00A959A8"/>
    <w:rsid w:val="00AF38CE"/>
    <w:rsid w:val="00BA6C90"/>
    <w:rsid w:val="00BC58A8"/>
    <w:rsid w:val="00BD34C2"/>
    <w:rsid w:val="00BF209F"/>
    <w:rsid w:val="00C6084E"/>
    <w:rsid w:val="00CF4C24"/>
    <w:rsid w:val="00E26651"/>
    <w:rsid w:val="00E7253A"/>
    <w:rsid w:val="00E83734"/>
    <w:rsid w:val="00F064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CA3134"/>
  <w15:chartTrackingRefBased/>
  <w15:docId w15:val="{9AA66045-EF8A-4F53-843E-C546D178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CCC"/>
    <w:pPr>
      <w:spacing w:after="0" w:line="240" w:lineRule="auto"/>
    </w:pPr>
    <w:rPr>
      <w:rFonts w:ascii="Arial" w:eastAsia="Times New Roman" w:hAnsi="Arial" w:cs="Arial"/>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7CCC"/>
    <w:rPr>
      <w:color w:val="0000FF"/>
      <w:u w:val="single"/>
    </w:rPr>
  </w:style>
  <w:style w:type="character" w:styleId="FollowedHyperlink">
    <w:name w:val="FollowedHyperlink"/>
    <w:basedOn w:val="DefaultParagraphFont"/>
    <w:uiPriority w:val="99"/>
    <w:semiHidden/>
    <w:unhideWhenUsed/>
    <w:rsid w:val="00A17CCC"/>
    <w:rPr>
      <w:color w:val="954F72" w:themeColor="followedHyperlink"/>
      <w:u w:val="single"/>
    </w:rPr>
  </w:style>
  <w:style w:type="paragraph" w:styleId="Revision">
    <w:name w:val="Revision"/>
    <w:hidden/>
    <w:uiPriority w:val="99"/>
    <w:semiHidden/>
    <w:rsid w:val="004838C7"/>
    <w:pPr>
      <w:spacing w:after="0" w:line="240" w:lineRule="auto"/>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4838C7"/>
    <w:rPr>
      <w:sz w:val="16"/>
      <w:szCs w:val="16"/>
    </w:rPr>
  </w:style>
  <w:style w:type="paragraph" w:styleId="CommentText">
    <w:name w:val="annotation text"/>
    <w:basedOn w:val="Normal"/>
    <w:link w:val="CommentTextChar"/>
    <w:uiPriority w:val="99"/>
    <w:unhideWhenUsed/>
    <w:rsid w:val="004838C7"/>
    <w:rPr>
      <w:sz w:val="20"/>
      <w:szCs w:val="20"/>
    </w:rPr>
  </w:style>
  <w:style w:type="character" w:customStyle="1" w:styleId="CommentTextChar">
    <w:name w:val="Comment Text Char"/>
    <w:basedOn w:val="DefaultParagraphFont"/>
    <w:link w:val="CommentText"/>
    <w:uiPriority w:val="99"/>
    <w:rsid w:val="004838C7"/>
    <w:rPr>
      <w:rFonts w:ascii="Arial" w:eastAsia="Times New Roman" w:hAnsi="Arial" w:cs="Arial"/>
      <w:kern w:val="0"/>
      <w:sz w:val="20"/>
      <w:szCs w:val="20"/>
    </w:rPr>
  </w:style>
  <w:style w:type="paragraph" w:styleId="CommentSubject">
    <w:name w:val="annotation subject"/>
    <w:basedOn w:val="CommentText"/>
    <w:next w:val="CommentText"/>
    <w:link w:val="CommentSubjectChar"/>
    <w:uiPriority w:val="99"/>
    <w:semiHidden/>
    <w:unhideWhenUsed/>
    <w:rsid w:val="004838C7"/>
    <w:rPr>
      <w:b/>
      <w:bCs/>
    </w:rPr>
  </w:style>
  <w:style w:type="character" w:customStyle="1" w:styleId="CommentSubjectChar">
    <w:name w:val="Comment Subject Char"/>
    <w:basedOn w:val="CommentTextChar"/>
    <w:link w:val="CommentSubject"/>
    <w:uiPriority w:val="99"/>
    <w:semiHidden/>
    <w:rsid w:val="004838C7"/>
    <w:rPr>
      <w:rFonts w:ascii="Arial" w:eastAsia="Times New Roman" w:hAnsi="Arial" w:cs="Arial"/>
      <w:b/>
      <w:bCs/>
      <w:kern w:val="0"/>
      <w:sz w:val="20"/>
      <w:szCs w:val="20"/>
    </w:rPr>
  </w:style>
  <w:style w:type="paragraph" w:styleId="Header">
    <w:name w:val="header"/>
    <w:basedOn w:val="Normal"/>
    <w:link w:val="HeaderChar"/>
    <w:uiPriority w:val="99"/>
    <w:unhideWhenUsed/>
    <w:rsid w:val="00C6084E"/>
    <w:pPr>
      <w:tabs>
        <w:tab w:val="center" w:pos="4680"/>
        <w:tab w:val="right" w:pos="9360"/>
      </w:tabs>
    </w:pPr>
  </w:style>
  <w:style w:type="character" w:customStyle="1" w:styleId="HeaderChar">
    <w:name w:val="Header Char"/>
    <w:basedOn w:val="DefaultParagraphFont"/>
    <w:link w:val="Header"/>
    <w:uiPriority w:val="99"/>
    <w:rsid w:val="00C6084E"/>
    <w:rPr>
      <w:rFonts w:ascii="Arial" w:eastAsia="Times New Roman" w:hAnsi="Arial" w:cs="Arial"/>
      <w:kern w:val="0"/>
      <w:sz w:val="24"/>
      <w:szCs w:val="24"/>
    </w:rPr>
  </w:style>
  <w:style w:type="paragraph" w:styleId="Footer">
    <w:name w:val="footer"/>
    <w:basedOn w:val="Normal"/>
    <w:link w:val="FooterChar"/>
    <w:uiPriority w:val="99"/>
    <w:unhideWhenUsed/>
    <w:rsid w:val="00C6084E"/>
    <w:pPr>
      <w:tabs>
        <w:tab w:val="center" w:pos="4680"/>
        <w:tab w:val="right" w:pos="9360"/>
      </w:tabs>
    </w:pPr>
  </w:style>
  <w:style w:type="character" w:customStyle="1" w:styleId="FooterChar">
    <w:name w:val="Footer Char"/>
    <w:basedOn w:val="DefaultParagraphFont"/>
    <w:link w:val="Footer"/>
    <w:uiPriority w:val="99"/>
    <w:rsid w:val="00C6084E"/>
    <w:rPr>
      <w:rFonts w:ascii="Arial" w:eastAsia="Times New Roman" w:hAnsi="Arial" w:cs="Arial"/>
      <w:kern w:val="0"/>
      <w:sz w:val="24"/>
      <w:szCs w:val="24"/>
    </w:rPr>
  </w:style>
  <w:style w:type="paragraph" w:styleId="NoSpacing">
    <w:name w:val="No Spacing"/>
    <w:uiPriority w:val="1"/>
    <w:qFormat/>
    <w:rsid w:val="00C6084E"/>
    <w:pPr>
      <w:spacing w:after="0" w:line="240" w:lineRule="auto"/>
    </w:pPr>
    <w:rPr>
      <w:rFonts w:ascii="Arial" w:eastAsia="Times New Roman"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DA1B2-FF38-4AC4-91D5-3543BE4B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1196</Words>
  <Characters>6832</Characters>
  <Application>Microsoft Office Word</Application>
  <DocSecurity>0</DocSecurity>
  <Lines>153</Lines>
  <Paragraphs>51</Paragraphs>
  <ScaleCrop>false</ScaleCrop>
  <HeadingPairs>
    <vt:vector size="2" baseType="variant">
      <vt:variant>
        <vt:lpstr>Title</vt:lpstr>
      </vt:variant>
      <vt:variant>
        <vt:i4>1</vt:i4>
      </vt:variant>
    </vt:vector>
  </HeadingPairs>
  <TitlesOfParts>
    <vt:vector size="1" baseType="lpstr">
      <vt:lpstr/>
    </vt:vector>
  </TitlesOfParts>
  <Company>Visio Pro LTSC 2021 x86</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Verzi, Colton</dc:creator>
  <cp:lastModifiedBy>Foster, Brian D.</cp:lastModifiedBy>
  <cp:revision>4</cp:revision>
  <dcterms:created xsi:type="dcterms:W3CDTF">2024-03-19T15:36:00Z</dcterms:created>
  <dcterms:modified xsi:type="dcterms:W3CDTF">2024-03-19T19:35:00Z</dcterms:modified>
</cp:coreProperties>
</file>