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F87" w:rsidRPr="009925F4" w:rsidP="003C3F87" w14:paraId="1D48C58F" w14:textId="77777777">
      <w:pPr>
        <w:jc w:val="center"/>
        <w:rPr>
          <w:rFonts w:ascii="Arial" w:hAnsi="Arial" w:cs="Arial"/>
          <w:sz w:val="22"/>
          <w:szCs w:val="22"/>
        </w:rPr>
      </w:pPr>
      <w:r w:rsidRPr="009925F4">
        <w:rPr>
          <w:rFonts w:ascii="Arial" w:hAnsi="Arial" w:cs="Arial"/>
          <w:sz w:val="22"/>
          <w:szCs w:val="22"/>
        </w:rPr>
        <w:t>Justification</w:t>
      </w:r>
    </w:p>
    <w:p w:rsidR="003C3F87" w:rsidRPr="009925F4" w:rsidP="003C3F87" w14:paraId="0BCFCF33" w14:textId="77777777">
      <w:pPr>
        <w:jc w:val="center"/>
        <w:rPr>
          <w:rFonts w:ascii="Arial" w:hAnsi="Arial" w:cs="Arial"/>
          <w:b/>
          <w:sz w:val="22"/>
          <w:szCs w:val="22"/>
        </w:rPr>
      </w:pPr>
      <w:r w:rsidRPr="009925F4">
        <w:rPr>
          <w:rFonts w:ascii="Arial" w:hAnsi="Arial" w:cs="Arial"/>
          <w:b/>
          <w:sz w:val="22"/>
          <w:szCs w:val="22"/>
        </w:rPr>
        <w:t>Self-Employment/Corporate Officer Work and Earnings Monitoring</w:t>
      </w:r>
    </w:p>
    <w:p w:rsidR="003C3F87" w:rsidRPr="009925F4" w:rsidP="003C3F87" w14:paraId="3E4C9F9C" w14:textId="77777777">
      <w:pPr>
        <w:jc w:val="center"/>
        <w:rPr>
          <w:rFonts w:ascii="Arial" w:hAnsi="Arial" w:cs="Arial"/>
          <w:sz w:val="22"/>
          <w:szCs w:val="22"/>
        </w:rPr>
      </w:pPr>
      <w:r w:rsidRPr="009925F4">
        <w:rPr>
          <w:rFonts w:ascii="Arial" w:hAnsi="Arial" w:cs="Arial"/>
          <w:sz w:val="22"/>
          <w:szCs w:val="22"/>
        </w:rPr>
        <w:t>RRB Form G-252</w:t>
      </w:r>
    </w:p>
    <w:p w:rsidR="003C3F87" w:rsidRPr="009925F4" w:rsidP="003C3F87" w14:paraId="1C93F379" w14:textId="77777777">
      <w:pPr>
        <w:rPr>
          <w:rFonts w:ascii="Arial" w:hAnsi="Arial" w:cs="Arial"/>
          <w:sz w:val="22"/>
          <w:szCs w:val="22"/>
        </w:rPr>
      </w:pPr>
    </w:p>
    <w:p w:rsidR="003C3F87" w:rsidRPr="009925F4" w:rsidP="003C3F87" w14:paraId="0311E262" w14:textId="77777777">
      <w:pPr>
        <w:pStyle w:val="BodyText"/>
        <w:numPr>
          <w:ilvl w:val="0"/>
          <w:numId w:val="1"/>
        </w:numPr>
        <w:tabs>
          <w:tab w:val="left" w:pos="360"/>
          <w:tab w:val="clear" w:pos="720"/>
        </w:tabs>
        <w:ind w:left="360"/>
        <w:rPr>
          <w:rFonts w:ascii="Arial" w:hAnsi="Arial" w:cs="Arial"/>
          <w:sz w:val="22"/>
          <w:szCs w:val="22"/>
        </w:rPr>
      </w:pPr>
      <w:r w:rsidRPr="009925F4">
        <w:rPr>
          <w:rFonts w:ascii="Arial" w:hAnsi="Arial" w:cs="Arial"/>
          <w:bCs/>
          <w:sz w:val="22"/>
          <w:szCs w:val="22"/>
          <w:u w:val="single"/>
        </w:rPr>
        <w:t>Circumstances of information collection</w:t>
      </w:r>
      <w:r w:rsidRPr="009925F4">
        <w:rPr>
          <w:rFonts w:ascii="Arial" w:hAnsi="Arial" w:cs="Arial"/>
          <w:sz w:val="22"/>
          <w:szCs w:val="22"/>
        </w:rPr>
        <w:t xml:space="preserve"> – Section 2 of the Railroad Retirement Act (RRA)</w:t>
      </w:r>
      <w:r>
        <w:rPr>
          <w:rFonts w:ascii="Arial" w:hAnsi="Arial" w:cs="Arial"/>
          <w:sz w:val="22"/>
          <w:szCs w:val="22"/>
        </w:rPr>
        <w:t xml:space="preserve"> (45 U.S.C. 231)</w:t>
      </w:r>
      <w:r w:rsidRPr="009925F4">
        <w:rPr>
          <w:rFonts w:ascii="Arial" w:hAnsi="Arial" w:cs="Arial"/>
          <w:sz w:val="22"/>
          <w:szCs w:val="22"/>
        </w:rPr>
        <w:t xml:space="preserve"> provides for the payment of age and service, disability, and supplemental annuities to qualified employees.  After an annuitant begins receiving an annuity, Section 2 also provides that an annuity is not payable or is reduced for any month in which the annuitant works for a railroad or earns more than prescribed dollar amounts from either nonrailroad employment or self-employment.  Certain types of work may indicate an annuitant's recovery from disability.  The provisions relating to the reduction or nonpayment of annuities by reason of work and an annuitant's recovery from disability for work are prescribed in 20 CFR 220.17-220.</w:t>
      </w:r>
      <w:r w:rsidRPr="007F10B3">
        <w:rPr>
          <w:rFonts w:ascii="Arial" w:hAnsi="Arial" w:cs="Arial"/>
          <w:sz w:val="22"/>
          <w:szCs w:val="22"/>
        </w:rPr>
        <w:t xml:space="preserve">20 </w:t>
      </w:r>
      <w:r w:rsidRPr="00CE622E">
        <w:rPr>
          <w:rFonts w:ascii="Arial" w:hAnsi="Arial" w:cs="Arial"/>
          <w:sz w:val="22"/>
          <w:szCs w:val="22"/>
        </w:rPr>
        <w:t>and 220.160-164</w:t>
      </w:r>
      <w:r w:rsidRPr="007F10B3">
        <w:rPr>
          <w:rFonts w:ascii="Arial" w:hAnsi="Arial" w:cs="Arial"/>
          <w:sz w:val="22"/>
          <w:szCs w:val="22"/>
        </w:rPr>
        <w:t>.</w:t>
      </w:r>
    </w:p>
    <w:p w:rsidR="003C3F87" w:rsidRPr="009925F4" w:rsidP="003C3F87" w14:paraId="60268C10" w14:textId="77777777">
      <w:pPr>
        <w:pStyle w:val="BodyText"/>
        <w:tabs>
          <w:tab w:val="clear" w:pos="720"/>
          <w:tab w:val="left" w:pos="900"/>
        </w:tabs>
        <w:ind w:left="900" w:hanging="540"/>
        <w:rPr>
          <w:rFonts w:ascii="Arial" w:hAnsi="Arial" w:cs="Arial"/>
          <w:sz w:val="22"/>
          <w:szCs w:val="22"/>
        </w:rPr>
      </w:pPr>
    </w:p>
    <w:p w:rsidR="003C3F87" w:rsidRPr="009925F4" w:rsidP="003C3F87" w14:paraId="41D82013" w14:textId="77777777">
      <w:pPr>
        <w:pStyle w:val="BodyText"/>
        <w:tabs>
          <w:tab w:val="clear" w:pos="720"/>
        </w:tabs>
        <w:ind w:left="360"/>
        <w:rPr>
          <w:rFonts w:ascii="Arial" w:hAnsi="Arial" w:cs="Arial"/>
          <w:sz w:val="22"/>
          <w:szCs w:val="22"/>
        </w:rPr>
      </w:pPr>
      <w:r w:rsidRPr="009925F4">
        <w:rPr>
          <w:rFonts w:ascii="Arial" w:hAnsi="Arial" w:cs="Arial"/>
          <w:sz w:val="22"/>
          <w:szCs w:val="22"/>
        </w:rPr>
        <w:t>Some activities claimed by the applicant as “self-employment” may actually be employment for someone else (e.g., training officer, consultant, salesman).  An applicant is not self-employed if working in an incorporated business since the corporation is the applicant’s employer.  These requirements are described in 20 CFR 216.</w:t>
      </w:r>
    </w:p>
    <w:p w:rsidR="003C3F87" w:rsidRPr="009925F4" w:rsidP="003C3F87" w14:paraId="1B5356B7" w14:textId="77777777">
      <w:pPr>
        <w:pStyle w:val="BodyText"/>
        <w:tabs>
          <w:tab w:val="clear" w:pos="720"/>
        </w:tabs>
        <w:ind w:left="360"/>
        <w:rPr>
          <w:rFonts w:ascii="Arial" w:hAnsi="Arial"/>
          <w:b/>
          <w:sz w:val="22"/>
        </w:rPr>
      </w:pPr>
    </w:p>
    <w:p w:rsidR="003C3F87" w:rsidRPr="009925F4" w:rsidP="003C3F87" w14:paraId="67326DD7" w14:textId="77777777">
      <w:pPr>
        <w:pStyle w:val="BodyText"/>
        <w:tabs>
          <w:tab w:val="clear" w:pos="720"/>
        </w:tabs>
        <w:ind w:left="360"/>
        <w:rPr>
          <w:rFonts w:ascii="Arial" w:hAnsi="Arial" w:cs="Arial"/>
          <w:sz w:val="22"/>
          <w:szCs w:val="22"/>
        </w:rPr>
      </w:pPr>
      <w:r w:rsidRPr="009925F4">
        <w:rPr>
          <w:rFonts w:ascii="Arial" w:hAnsi="Arial" w:cs="Arial"/>
          <w:sz w:val="22"/>
          <w:szCs w:val="22"/>
        </w:rPr>
        <w:t xml:space="preserve">In addition, the Railroad Retirement Board (RRB) conducts continuing disability reviews (also known as a CDR) to determine whether the annuitant continues to meet the disability requirements of the law.  Payment of disability benefits and/or a beneficiary’s period of disability will end if medical evidence or other information shows that an annuitant is not disabled under the standards prescribed in section 2 of the RRA. </w:t>
      </w:r>
      <w:r>
        <w:rPr>
          <w:rFonts w:ascii="Arial" w:hAnsi="Arial" w:cs="Arial"/>
          <w:sz w:val="22"/>
          <w:szCs w:val="22"/>
        </w:rPr>
        <w:t xml:space="preserve"> </w:t>
      </w:r>
      <w:r w:rsidRPr="009925F4">
        <w:rPr>
          <w:rFonts w:ascii="Arial" w:hAnsi="Arial" w:cs="Arial"/>
          <w:sz w:val="22"/>
          <w:szCs w:val="22"/>
        </w:rPr>
        <w:t>Continuing disability reviews are generally conducted if (1) the annuitant is scheduled for a routine periodic review, (2) the annuitant returns to work and successfully completes a trial work period, (3) substantial earnings are posted to the annuitant’s wage record or (4) information is received from the annuitant or a reliable source that the annuitant has recovered or returned to work.  Provisions relating to when and how often the RRB conducts disability reviews are prescribed in 20 CFR 220.186.</w:t>
      </w:r>
    </w:p>
    <w:p w:rsidR="003C3F87" w:rsidRPr="009925F4" w:rsidP="003C3F87" w14:paraId="14ACB643" w14:textId="77777777">
      <w:pPr>
        <w:tabs>
          <w:tab w:val="left" w:pos="900"/>
        </w:tabs>
        <w:ind w:left="900" w:hanging="540"/>
        <w:rPr>
          <w:rFonts w:ascii="Arial" w:hAnsi="Arial" w:cs="Arial"/>
          <w:sz w:val="22"/>
          <w:szCs w:val="22"/>
        </w:rPr>
      </w:pPr>
    </w:p>
    <w:p w:rsidR="003C3F87" w:rsidRPr="007E1786" w:rsidP="003C3F87" w14:paraId="40D8E40F" w14:textId="77777777">
      <w:pPr>
        <w:numPr>
          <w:ilvl w:val="0"/>
          <w:numId w:val="1"/>
        </w:numPr>
        <w:tabs>
          <w:tab w:val="left" w:pos="360"/>
        </w:tabs>
        <w:ind w:left="360"/>
        <w:jc w:val="both"/>
        <w:rPr>
          <w:rFonts w:ascii="Arial" w:hAnsi="Arial" w:cs="Arial"/>
          <w:sz w:val="22"/>
          <w:szCs w:val="22"/>
        </w:rPr>
      </w:pPr>
      <w:r w:rsidRPr="007E1786">
        <w:rPr>
          <w:rFonts w:ascii="Arial" w:hAnsi="Arial" w:cs="Arial"/>
          <w:bCs/>
          <w:sz w:val="22"/>
          <w:szCs w:val="22"/>
          <w:u w:val="single"/>
        </w:rPr>
        <w:t>Purposes of collecting/consequences of not collecting the information</w:t>
      </w:r>
      <w:r w:rsidRPr="007E1786">
        <w:rPr>
          <w:rFonts w:ascii="Arial" w:hAnsi="Arial" w:cs="Arial"/>
          <w:sz w:val="22"/>
          <w:szCs w:val="22"/>
        </w:rPr>
        <w:t xml:space="preserve"> - </w:t>
      </w:r>
      <w:r w:rsidRPr="007E1786">
        <w:rPr>
          <w:rFonts w:ascii="Arial" w:hAnsi="Arial" w:cs="Arial"/>
          <w:bCs/>
          <w:sz w:val="22"/>
          <w:szCs w:val="22"/>
        </w:rPr>
        <w:t xml:space="preserve">The RRB utilizes </w:t>
      </w:r>
      <w:r w:rsidRPr="007E1786">
        <w:rPr>
          <w:rFonts w:ascii="Arial" w:hAnsi="Arial" w:cs="Arial"/>
          <w:b/>
          <w:bCs/>
          <w:sz w:val="22"/>
          <w:szCs w:val="22"/>
        </w:rPr>
        <w:t>Form G-252, Self-Employment/Corporate Officer Work and Earnings Monitoring</w:t>
      </w:r>
      <w:r w:rsidRPr="007E1786">
        <w:rPr>
          <w:rFonts w:ascii="Arial" w:hAnsi="Arial" w:cs="Arial"/>
          <w:bCs/>
          <w:sz w:val="22"/>
          <w:szCs w:val="22"/>
        </w:rPr>
        <w:t xml:space="preserve">, to </w:t>
      </w:r>
      <w:r w:rsidRPr="007E1786">
        <w:rPr>
          <w:rFonts w:ascii="Arial" w:hAnsi="Arial" w:cs="Arial"/>
          <w:sz w:val="22"/>
          <w:szCs w:val="22"/>
        </w:rPr>
        <w:t>determine entitlement or continued entitlement to a disability annuity</w:t>
      </w:r>
      <w:r>
        <w:rPr>
          <w:rFonts w:ascii="Arial" w:hAnsi="Arial" w:cs="Arial"/>
          <w:sz w:val="22"/>
          <w:szCs w:val="22"/>
        </w:rPr>
        <w:t>. T</w:t>
      </w:r>
      <w:r w:rsidRPr="007E1786">
        <w:rPr>
          <w:rFonts w:ascii="Arial" w:hAnsi="Arial" w:cs="Arial"/>
          <w:sz w:val="22"/>
          <w:szCs w:val="22"/>
        </w:rPr>
        <w:t xml:space="preserve">he RRB </w:t>
      </w:r>
      <w:r>
        <w:rPr>
          <w:rFonts w:ascii="Arial" w:hAnsi="Arial" w:cs="Arial"/>
          <w:sz w:val="22"/>
          <w:szCs w:val="22"/>
        </w:rPr>
        <w:t xml:space="preserve">requests disability annuitants complete Form G-252 when </w:t>
      </w:r>
      <w:r w:rsidRPr="007E1786">
        <w:rPr>
          <w:rFonts w:ascii="Arial" w:hAnsi="Arial" w:cs="Arial"/>
          <w:sz w:val="22"/>
          <w:szCs w:val="22"/>
        </w:rPr>
        <w:t xml:space="preserve">disability annuitants who claim to be self-employed or a corporate officer or </w:t>
      </w:r>
      <w:r>
        <w:rPr>
          <w:rFonts w:ascii="Arial" w:hAnsi="Arial" w:cs="Arial"/>
          <w:sz w:val="22"/>
          <w:szCs w:val="22"/>
        </w:rPr>
        <w:t>when</w:t>
      </w:r>
      <w:r w:rsidRPr="007E1786">
        <w:rPr>
          <w:rFonts w:ascii="Arial" w:hAnsi="Arial" w:cs="Arial"/>
          <w:sz w:val="22"/>
          <w:szCs w:val="22"/>
        </w:rPr>
        <w:t xml:space="preserve"> the RRB determines</w:t>
      </w:r>
      <w:r>
        <w:rPr>
          <w:rFonts w:ascii="Arial" w:hAnsi="Arial" w:cs="Arial"/>
          <w:sz w:val="22"/>
          <w:szCs w:val="22"/>
        </w:rPr>
        <w:t xml:space="preserve"> the annuitant</w:t>
      </w:r>
      <w:r w:rsidRPr="007E1786">
        <w:rPr>
          <w:rFonts w:ascii="Arial" w:hAnsi="Arial" w:cs="Arial"/>
          <w:sz w:val="22"/>
          <w:szCs w:val="22"/>
        </w:rPr>
        <w:t xml:space="preserve"> to be self-employed or a corporate officer after a continuing disability review.  </w:t>
      </w:r>
      <w:r w:rsidRPr="007E1786">
        <w:rPr>
          <w:rFonts w:ascii="Arial" w:hAnsi="Arial"/>
          <w:sz w:val="22"/>
        </w:rPr>
        <w:t>Form G-252</w:t>
      </w:r>
      <w:r w:rsidRPr="007E1786">
        <w:rPr>
          <w:rFonts w:ascii="Arial" w:hAnsi="Arial" w:cs="Arial"/>
          <w:sz w:val="22"/>
          <w:szCs w:val="22"/>
        </w:rPr>
        <w:t xml:space="preserve">, is a supplemental form to the AA-4, </w:t>
      </w:r>
      <w:r w:rsidRPr="007E1786">
        <w:rPr>
          <w:rFonts w:ascii="Arial" w:hAnsi="Arial"/>
          <w:i/>
          <w:sz w:val="22"/>
        </w:rPr>
        <w:t>Self-Employment Application</w:t>
      </w:r>
      <w:r w:rsidRPr="007E1786">
        <w:rPr>
          <w:rFonts w:ascii="Arial" w:hAnsi="Arial" w:cs="Arial"/>
          <w:sz w:val="22"/>
          <w:szCs w:val="22"/>
        </w:rPr>
        <w:t xml:space="preserve"> (OMB No. 3220-0138), and obtains additional information from an annuitant who claimed to be self-employed or to be a corporate officer on Form AA-4.  It also is used with initial disability applications, early Medicare applications, applications for a period of disability </w:t>
      </w:r>
      <w:r w:rsidRPr="007E1786">
        <w:rPr>
          <w:rFonts w:ascii="Arial" w:hAnsi="Arial"/>
          <w:sz w:val="22"/>
        </w:rPr>
        <w:t>(</w:t>
      </w:r>
      <w:r w:rsidRPr="007E1786">
        <w:rPr>
          <w:rFonts w:ascii="Arial" w:hAnsi="Arial" w:cs="Arial"/>
          <w:sz w:val="22"/>
          <w:szCs w:val="22"/>
        </w:rPr>
        <w:t>disability freeze), as well as continuing disability review determinations, including determinations prompted by a report of work, return to railroad service, allegations of medical improvement, or routine disability review call</w:t>
      </w:r>
      <w:r w:rsidRPr="007E1786">
        <w:rPr>
          <w:rFonts w:ascii="Arial" w:hAnsi="Arial" w:cs="Arial"/>
          <w:sz w:val="22"/>
          <w:szCs w:val="22"/>
        </w:rPr>
        <w:noBreakHyphen/>
        <w:t>up.  The information collected is used to determine initial/continuing entitlement to, and the amount of, the annuity.</w:t>
      </w:r>
    </w:p>
    <w:p w:rsidR="003C3F87" w:rsidRPr="009925F4" w:rsidP="003C3F87" w14:paraId="5BB1E45F" w14:textId="77777777">
      <w:pPr>
        <w:tabs>
          <w:tab w:val="left" w:pos="360"/>
        </w:tabs>
        <w:ind w:left="360" w:hanging="360"/>
        <w:jc w:val="both"/>
        <w:rPr>
          <w:rFonts w:ascii="Arial" w:hAnsi="Arial" w:cs="Arial"/>
          <w:bCs/>
          <w:sz w:val="22"/>
          <w:szCs w:val="22"/>
        </w:rPr>
      </w:pPr>
    </w:p>
    <w:p w:rsidR="003C3F87" w:rsidP="003C3F87" w14:paraId="5292F0F2" w14:textId="77777777">
      <w:pPr>
        <w:ind w:left="360"/>
        <w:jc w:val="both"/>
        <w:rPr>
          <w:rFonts w:ascii="Arial" w:hAnsi="Arial" w:cs="Arial"/>
          <w:sz w:val="22"/>
          <w:szCs w:val="22"/>
        </w:rPr>
      </w:pPr>
      <w:r w:rsidRPr="009925F4">
        <w:rPr>
          <w:rFonts w:ascii="Arial" w:hAnsi="Arial" w:cs="Arial"/>
          <w:bCs/>
          <w:sz w:val="22"/>
          <w:szCs w:val="22"/>
        </w:rPr>
        <w:t xml:space="preserve">Form G-252 </w:t>
      </w:r>
      <w:r>
        <w:rPr>
          <w:rFonts w:ascii="Arial" w:hAnsi="Arial" w:cs="Arial"/>
          <w:bCs/>
          <w:sz w:val="22"/>
          <w:szCs w:val="22"/>
        </w:rPr>
        <w:t xml:space="preserve">is </w:t>
      </w:r>
      <w:r w:rsidRPr="009925F4">
        <w:rPr>
          <w:rFonts w:ascii="Arial" w:hAnsi="Arial" w:cs="Arial"/>
          <w:bCs/>
          <w:sz w:val="22"/>
          <w:szCs w:val="22"/>
        </w:rPr>
        <w:t xml:space="preserve">self-administered. </w:t>
      </w:r>
      <w:r w:rsidRPr="00CE622E">
        <w:rPr>
          <w:rFonts w:ascii="Arial" w:hAnsi="Arial" w:cs="Arial"/>
          <w:sz w:val="22"/>
          <w:szCs w:val="22"/>
        </w:rPr>
        <w:t>An</w:t>
      </w:r>
      <w:r>
        <w:rPr>
          <w:rFonts w:ascii="Arial" w:hAnsi="Arial" w:cs="Arial"/>
          <w:sz w:val="22"/>
          <w:szCs w:val="22"/>
        </w:rPr>
        <w:t xml:space="preserve"> </w:t>
      </w:r>
      <w:r w:rsidRPr="009925F4">
        <w:rPr>
          <w:rFonts w:ascii="Arial" w:hAnsi="Arial" w:cs="Arial"/>
          <w:sz w:val="22"/>
          <w:szCs w:val="22"/>
        </w:rPr>
        <w:t>RRB office release</w:t>
      </w:r>
      <w:r>
        <w:rPr>
          <w:rFonts w:ascii="Arial" w:hAnsi="Arial" w:cs="Arial"/>
          <w:sz w:val="22"/>
          <w:szCs w:val="22"/>
        </w:rPr>
        <w:t>s</w:t>
      </w:r>
      <w:r w:rsidRPr="009925F4">
        <w:rPr>
          <w:rFonts w:ascii="Arial" w:hAnsi="Arial" w:cs="Arial"/>
          <w:sz w:val="22"/>
          <w:szCs w:val="22"/>
        </w:rPr>
        <w:t xml:space="preserve"> the form to the applicant.  I</w:t>
      </w:r>
      <w:r w:rsidRPr="009925F4">
        <w:rPr>
          <w:rFonts w:ascii="Arial" w:hAnsi="Arial" w:cs="Arial"/>
          <w:bCs/>
          <w:sz w:val="22"/>
          <w:szCs w:val="22"/>
        </w:rPr>
        <w:t>nstructions for completing and returning the form are provided on Form RL</w:t>
      </w:r>
      <w:r>
        <w:rPr>
          <w:rFonts w:ascii="Arial" w:hAnsi="Arial" w:cs="Arial"/>
          <w:bCs/>
          <w:sz w:val="22"/>
          <w:szCs w:val="22"/>
        </w:rPr>
        <w:noBreakHyphen/>
      </w:r>
      <w:r w:rsidRPr="009925F4">
        <w:rPr>
          <w:rFonts w:ascii="Arial" w:hAnsi="Arial" w:cs="Arial"/>
          <w:bCs/>
          <w:sz w:val="22"/>
          <w:szCs w:val="22"/>
        </w:rPr>
        <w:t xml:space="preserve">252, </w:t>
      </w:r>
      <w:r>
        <w:rPr>
          <w:rFonts w:ascii="Arial" w:hAnsi="Arial" w:cs="Arial"/>
          <w:bCs/>
          <w:i/>
          <w:sz w:val="22"/>
          <w:szCs w:val="22"/>
        </w:rPr>
        <w:t>Cover Letter</w:t>
      </w:r>
      <w:r w:rsidRPr="009925F4">
        <w:rPr>
          <w:rFonts w:ascii="Arial" w:hAnsi="Arial" w:cs="Arial"/>
          <w:bCs/>
          <w:i/>
          <w:sz w:val="22"/>
          <w:szCs w:val="22"/>
        </w:rPr>
        <w:t xml:space="preserve"> for Form </w:t>
      </w:r>
      <w:r w:rsidRPr="003143C0">
        <w:rPr>
          <w:rFonts w:ascii="Arial" w:hAnsi="Arial"/>
          <w:i/>
          <w:sz w:val="22"/>
        </w:rPr>
        <w:t>G</w:t>
      </w:r>
      <w:r w:rsidRPr="003143C0">
        <w:rPr>
          <w:rFonts w:ascii="Arial" w:hAnsi="Arial"/>
          <w:i/>
          <w:sz w:val="22"/>
        </w:rPr>
        <w:noBreakHyphen/>
        <w:t>252</w:t>
      </w:r>
      <w:r w:rsidRPr="009925F4">
        <w:rPr>
          <w:rFonts w:ascii="Arial" w:hAnsi="Arial" w:cs="Arial"/>
          <w:bCs/>
          <w:sz w:val="22"/>
          <w:szCs w:val="22"/>
        </w:rPr>
        <w:t xml:space="preserve">, </w:t>
      </w:r>
      <w:r>
        <w:rPr>
          <w:rFonts w:ascii="Arial" w:hAnsi="Arial" w:cs="Arial"/>
          <w:bCs/>
          <w:sz w:val="22"/>
          <w:szCs w:val="22"/>
        </w:rPr>
        <w:t xml:space="preserve">which is </w:t>
      </w:r>
      <w:r w:rsidRPr="009925F4">
        <w:rPr>
          <w:rFonts w:ascii="Arial" w:hAnsi="Arial" w:cs="Arial"/>
          <w:bCs/>
          <w:sz w:val="22"/>
          <w:szCs w:val="22"/>
        </w:rPr>
        <w:t>mailed with the Form G</w:t>
      </w:r>
      <w:r w:rsidRPr="009925F4">
        <w:rPr>
          <w:rFonts w:ascii="Arial" w:hAnsi="Arial" w:cs="Arial"/>
          <w:bCs/>
          <w:sz w:val="22"/>
          <w:szCs w:val="22"/>
        </w:rPr>
        <w:noBreakHyphen/>
        <w:t xml:space="preserve">252.  </w:t>
      </w:r>
      <w:r w:rsidRPr="009925F4">
        <w:rPr>
          <w:rFonts w:ascii="Arial" w:hAnsi="Arial" w:cs="Arial"/>
          <w:sz w:val="22"/>
          <w:szCs w:val="22"/>
        </w:rPr>
        <w:t xml:space="preserve">The applicant </w:t>
      </w:r>
      <w:r>
        <w:rPr>
          <w:rFonts w:ascii="Arial" w:hAnsi="Arial" w:cs="Arial"/>
          <w:sz w:val="22"/>
          <w:szCs w:val="22"/>
        </w:rPr>
        <w:t>is</w:t>
      </w:r>
      <w:r w:rsidRPr="009925F4">
        <w:rPr>
          <w:rFonts w:ascii="Arial" w:hAnsi="Arial" w:cs="Arial"/>
          <w:sz w:val="22"/>
          <w:szCs w:val="22"/>
        </w:rPr>
        <w:t xml:space="preserve"> required to return the completed form to RRB headquarters in the pre-addressed envelope provided for that purpose.</w:t>
      </w:r>
    </w:p>
    <w:p w:rsidR="003C3F87" w:rsidRPr="001A616F" w:rsidP="003C3F87" w14:paraId="258D65EB" w14:textId="77777777">
      <w:pPr>
        <w:ind w:left="360"/>
        <w:rPr>
          <w:rFonts w:ascii="Arial" w:hAnsi="Arial" w:cs="Arial"/>
          <w:b/>
          <w:sz w:val="22"/>
          <w:szCs w:val="22"/>
        </w:rPr>
      </w:pPr>
      <w:r>
        <w:rPr>
          <w:rFonts w:ascii="Arial" w:hAnsi="Arial" w:cs="Arial"/>
          <w:b/>
          <w:sz w:val="22"/>
          <w:szCs w:val="22"/>
        </w:rPr>
        <w:t>The RRB proposes no changes to Form G-252.</w:t>
      </w:r>
    </w:p>
    <w:p w:rsidR="003C3F87" w:rsidRPr="003143C0" w:rsidP="003C3F87" w14:paraId="3C8BB134" w14:textId="77777777">
      <w:pPr>
        <w:tabs>
          <w:tab w:val="left" w:pos="900"/>
        </w:tabs>
        <w:ind w:left="900"/>
        <w:rPr>
          <w:rFonts w:ascii="Arial" w:hAnsi="Arial"/>
          <w:sz w:val="22"/>
        </w:rPr>
      </w:pPr>
    </w:p>
    <w:p w:rsidR="003C3F87" w:rsidRPr="009925F4" w:rsidP="003C3F87" w14:paraId="5619E0A5" w14:textId="77777777">
      <w:pPr>
        <w:numPr>
          <w:ilvl w:val="0"/>
          <w:numId w:val="1"/>
        </w:numPr>
        <w:tabs>
          <w:tab w:val="left" w:pos="360"/>
        </w:tabs>
        <w:ind w:left="360"/>
        <w:jc w:val="both"/>
        <w:rPr>
          <w:rFonts w:ascii="Arial" w:hAnsi="Arial" w:cs="Arial"/>
          <w:sz w:val="22"/>
          <w:szCs w:val="22"/>
        </w:rPr>
      </w:pPr>
      <w:r w:rsidRPr="009925F4">
        <w:rPr>
          <w:rFonts w:ascii="Arial" w:hAnsi="Arial" w:cs="Arial"/>
          <w:bCs/>
          <w:sz w:val="22"/>
          <w:szCs w:val="22"/>
          <w:u w:val="single"/>
        </w:rPr>
        <w:t>Planned use of improved information technology or technical/legal impediments to further burden reduction</w:t>
      </w:r>
      <w:r w:rsidRPr="009925F4">
        <w:rPr>
          <w:rFonts w:ascii="Arial" w:hAnsi="Arial" w:cs="Arial"/>
          <w:sz w:val="22"/>
          <w:szCs w:val="22"/>
        </w:rPr>
        <w:t xml:space="preserve"> – </w:t>
      </w:r>
      <w:r>
        <w:rPr>
          <w:rFonts w:ascii="Arial" w:hAnsi="Arial" w:cs="Arial"/>
          <w:sz w:val="22"/>
          <w:szCs w:val="22"/>
        </w:rPr>
        <w:t>This information collection does not allow for electronic submission as described in the Government Paperwork Elimination Act (GPEA). Currently it is not effective due to low</w:t>
      </w:r>
      <w:r w:rsidRPr="00A56FE3">
        <w:rPr>
          <w:rFonts w:ascii="Arial" w:hAnsi="Arial" w:cs="Arial"/>
          <w:sz w:val="22"/>
          <w:szCs w:val="22"/>
        </w:rPr>
        <w:t xml:space="preserve"> volume; however, we will reevaluate after the completion of the RRB IT Modernization project</w:t>
      </w:r>
      <w:r>
        <w:rPr>
          <w:rFonts w:ascii="Arial" w:hAnsi="Arial" w:cs="Arial"/>
          <w:sz w:val="22"/>
          <w:szCs w:val="22"/>
        </w:rPr>
        <w:t>.</w:t>
      </w:r>
    </w:p>
    <w:p w:rsidR="003C3F87" w:rsidRPr="009925F4" w:rsidP="003C3F87" w14:paraId="39CC0218" w14:textId="77777777">
      <w:pPr>
        <w:tabs>
          <w:tab w:val="left" w:pos="360"/>
        </w:tabs>
        <w:ind w:left="360" w:hanging="360"/>
        <w:rPr>
          <w:rFonts w:ascii="Arial" w:hAnsi="Arial" w:cs="Arial"/>
          <w:sz w:val="22"/>
          <w:szCs w:val="22"/>
        </w:rPr>
      </w:pPr>
    </w:p>
    <w:p w:rsidR="003C3F87" w:rsidRPr="00CE622E" w:rsidP="003C3F87" w14:paraId="627918A0" w14:textId="77777777">
      <w:pPr>
        <w:numPr>
          <w:ilvl w:val="0"/>
          <w:numId w:val="1"/>
        </w:numPr>
        <w:tabs>
          <w:tab w:val="left" w:pos="360"/>
        </w:tabs>
        <w:ind w:left="360"/>
        <w:jc w:val="both"/>
        <w:rPr>
          <w:rFonts w:ascii="Arial" w:hAnsi="Arial" w:cs="Arial"/>
          <w:sz w:val="22"/>
          <w:szCs w:val="22"/>
        </w:rPr>
      </w:pPr>
      <w:r w:rsidRPr="00CE622E">
        <w:rPr>
          <w:rFonts w:ascii="Arial" w:hAnsi="Arial" w:cs="Arial"/>
          <w:bCs/>
          <w:sz w:val="22"/>
          <w:szCs w:val="22"/>
          <w:u w:val="single"/>
        </w:rPr>
        <w:t>Efforts to identify duplication</w:t>
      </w:r>
      <w:r w:rsidRPr="00CE622E">
        <w:rPr>
          <w:rFonts w:ascii="Arial" w:hAnsi="Arial" w:cs="Arial"/>
          <w:sz w:val="22"/>
          <w:szCs w:val="22"/>
        </w:rPr>
        <w:t xml:space="preserve"> – </w:t>
      </w:r>
      <w:r w:rsidRPr="00717E9C">
        <w:rPr>
          <w:rFonts w:ascii="Arial" w:hAnsi="Arial" w:cs="Arial"/>
          <w:sz w:val="22"/>
          <w:szCs w:val="22"/>
        </w:rPr>
        <w:t>The Social Security Administration (SSA) collects similar information on Form SSA-820-BK (OMB No. 0960-0598).  While the information collected may be similar, the RRB is governed by the Railroad Retirement Act (RRA).  The respondents for this information collection are different from the respondents that complete the SSA form.  Additionally, the RRA uses different criteria than the criteria used by SSA to determine if work is classified as self-employment or regular employment.</w:t>
      </w:r>
    </w:p>
    <w:p w:rsidR="003C3F87" w:rsidRPr="009925F4" w:rsidP="003C3F87" w14:paraId="5AB29E05" w14:textId="77777777">
      <w:pPr>
        <w:tabs>
          <w:tab w:val="left" w:pos="360"/>
        </w:tabs>
        <w:ind w:left="360" w:hanging="360"/>
        <w:rPr>
          <w:rFonts w:ascii="Arial" w:hAnsi="Arial" w:cs="Arial"/>
          <w:sz w:val="22"/>
          <w:szCs w:val="22"/>
        </w:rPr>
      </w:pPr>
    </w:p>
    <w:p w:rsidR="003C3F87" w:rsidRPr="009925F4" w:rsidP="003C3F87" w14:paraId="1165153D" w14:textId="77777777">
      <w:pPr>
        <w:numPr>
          <w:ilvl w:val="0"/>
          <w:numId w:val="1"/>
        </w:numPr>
        <w:tabs>
          <w:tab w:val="left" w:pos="360"/>
        </w:tabs>
        <w:ind w:left="360"/>
        <w:rPr>
          <w:rFonts w:ascii="Arial" w:hAnsi="Arial" w:cs="Arial"/>
          <w:sz w:val="22"/>
          <w:szCs w:val="22"/>
        </w:rPr>
      </w:pPr>
      <w:r w:rsidRPr="009925F4">
        <w:rPr>
          <w:rFonts w:ascii="Arial" w:hAnsi="Arial" w:cs="Arial"/>
          <w:bCs/>
          <w:sz w:val="22"/>
          <w:szCs w:val="22"/>
          <w:u w:val="single"/>
        </w:rPr>
        <w:t>Small business respondents</w:t>
      </w:r>
      <w:r w:rsidRPr="003F2671">
        <w:rPr>
          <w:rFonts w:ascii="Arial" w:hAnsi="Arial"/>
          <w:sz w:val="22"/>
        </w:rPr>
        <w:t xml:space="preserve"> </w:t>
      </w:r>
      <w:r w:rsidRPr="009925F4">
        <w:rPr>
          <w:rFonts w:ascii="Arial" w:hAnsi="Arial" w:cs="Arial"/>
          <w:sz w:val="22"/>
          <w:szCs w:val="22"/>
        </w:rPr>
        <w:t>– N.A.</w:t>
      </w:r>
    </w:p>
    <w:p w:rsidR="003C3F87" w:rsidRPr="009925F4" w:rsidP="003C3F87" w14:paraId="6DEC7C74" w14:textId="77777777">
      <w:pPr>
        <w:tabs>
          <w:tab w:val="left" w:pos="360"/>
        </w:tabs>
        <w:ind w:left="360" w:hanging="360"/>
        <w:rPr>
          <w:rFonts w:ascii="Arial" w:hAnsi="Arial" w:cs="Arial"/>
          <w:sz w:val="22"/>
          <w:szCs w:val="22"/>
        </w:rPr>
      </w:pPr>
    </w:p>
    <w:p w:rsidR="003C3F87" w:rsidRPr="009925F4" w:rsidP="003C3F87" w14:paraId="246F704B" w14:textId="77777777">
      <w:pPr>
        <w:numPr>
          <w:ilvl w:val="0"/>
          <w:numId w:val="1"/>
        </w:numPr>
        <w:tabs>
          <w:tab w:val="left" w:pos="360"/>
        </w:tabs>
        <w:ind w:left="360"/>
        <w:rPr>
          <w:rFonts w:ascii="Arial" w:hAnsi="Arial" w:cs="Arial"/>
          <w:sz w:val="22"/>
          <w:szCs w:val="22"/>
        </w:rPr>
      </w:pPr>
      <w:r w:rsidRPr="009925F4">
        <w:rPr>
          <w:rFonts w:ascii="Arial" w:hAnsi="Arial" w:cs="Arial"/>
          <w:sz w:val="22"/>
          <w:szCs w:val="22"/>
          <w:u w:val="single"/>
        </w:rPr>
        <w:t>Consequences of less frequent collection</w:t>
      </w:r>
      <w:r w:rsidRPr="009925F4">
        <w:rPr>
          <w:rFonts w:ascii="Arial" w:hAnsi="Arial" w:cs="Arial"/>
          <w:sz w:val="22"/>
          <w:szCs w:val="22"/>
        </w:rPr>
        <w:t xml:space="preserve"> – N.A.</w:t>
      </w:r>
    </w:p>
    <w:p w:rsidR="003C3F87" w:rsidRPr="009925F4" w:rsidP="003C3F87" w14:paraId="6233B45A" w14:textId="77777777">
      <w:pPr>
        <w:tabs>
          <w:tab w:val="left" w:pos="360"/>
        </w:tabs>
        <w:ind w:left="360" w:hanging="360"/>
        <w:rPr>
          <w:rFonts w:ascii="Arial" w:hAnsi="Arial" w:cs="Arial"/>
          <w:b/>
          <w:bCs/>
          <w:sz w:val="22"/>
          <w:szCs w:val="22"/>
          <w:u w:val="single"/>
        </w:rPr>
      </w:pPr>
    </w:p>
    <w:p w:rsidR="003C3F87" w:rsidRPr="009925F4" w:rsidP="003C3F87" w14:paraId="749AC8FE" w14:textId="77777777">
      <w:pPr>
        <w:numPr>
          <w:ilvl w:val="0"/>
          <w:numId w:val="1"/>
        </w:numPr>
        <w:tabs>
          <w:tab w:val="left" w:pos="360"/>
        </w:tabs>
        <w:ind w:left="360"/>
        <w:rPr>
          <w:rFonts w:ascii="Arial" w:hAnsi="Arial" w:cs="Arial"/>
          <w:sz w:val="22"/>
          <w:szCs w:val="22"/>
        </w:rPr>
      </w:pPr>
      <w:r w:rsidRPr="009925F4">
        <w:rPr>
          <w:rFonts w:ascii="Arial" w:hAnsi="Arial" w:cs="Arial"/>
          <w:bCs/>
          <w:sz w:val="22"/>
          <w:szCs w:val="22"/>
          <w:u w:val="single"/>
        </w:rPr>
        <w:t>Special Circumstances</w:t>
      </w:r>
      <w:r w:rsidRPr="009925F4">
        <w:rPr>
          <w:rFonts w:ascii="Arial" w:hAnsi="Arial" w:cs="Arial"/>
          <w:sz w:val="22"/>
          <w:szCs w:val="22"/>
        </w:rPr>
        <w:t xml:space="preserve"> – None</w:t>
      </w:r>
    </w:p>
    <w:p w:rsidR="003C3F87" w:rsidRPr="009925F4" w:rsidP="003C3F87" w14:paraId="711DB27B" w14:textId="77777777">
      <w:pPr>
        <w:tabs>
          <w:tab w:val="left" w:pos="360"/>
        </w:tabs>
        <w:ind w:left="360" w:hanging="360"/>
        <w:rPr>
          <w:rFonts w:ascii="Arial" w:hAnsi="Arial" w:cs="Arial"/>
          <w:b/>
          <w:bCs/>
          <w:sz w:val="22"/>
          <w:szCs w:val="22"/>
          <w:u w:val="single"/>
        </w:rPr>
      </w:pPr>
    </w:p>
    <w:p w:rsidR="003C3F87" w:rsidRPr="009925F4" w:rsidP="003C3F87" w14:paraId="1B54FC6A" w14:textId="7E93461A">
      <w:pPr>
        <w:numPr>
          <w:ilvl w:val="0"/>
          <w:numId w:val="1"/>
        </w:numPr>
        <w:tabs>
          <w:tab w:val="left" w:pos="360"/>
        </w:tabs>
        <w:ind w:left="360"/>
        <w:jc w:val="both"/>
        <w:rPr>
          <w:rFonts w:ascii="Arial" w:hAnsi="Arial" w:cs="Arial"/>
          <w:sz w:val="22"/>
          <w:szCs w:val="22"/>
        </w:rPr>
      </w:pPr>
      <w:r w:rsidRPr="009925F4">
        <w:rPr>
          <w:rFonts w:ascii="Arial" w:hAnsi="Arial" w:cs="Arial"/>
          <w:bCs/>
          <w:sz w:val="22"/>
          <w:szCs w:val="22"/>
          <w:u w:val="single"/>
        </w:rPr>
        <w:t>Public Comments/consultations outside the agency</w:t>
      </w:r>
      <w:r w:rsidRPr="009925F4">
        <w:rPr>
          <w:rFonts w:ascii="Arial" w:hAnsi="Arial" w:cs="Arial"/>
          <w:sz w:val="22"/>
          <w:szCs w:val="22"/>
        </w:rPr>
        <w:t xml:space="preserve"> – In accordance with 5 CFR 1320.8(d), comments were invited from the public regarding the information collection.  The notice to the public was published on page </w:t>
      </w:r>
      <w:r w:rsidR="008276F8">
        <w:rPr>
          <w:rFonts w:ascii="Arial" w:hAnsi="Arial" w:cs="Arial"/>
          <w:sz w:val="22"/>
          <w:szCs w:val="22"/>
        </w:rPr>
        <w:t>2260</w:t>
      </w:r>
      <w:r w:rsidRPr="009925F4">
        <w:rPr>
          <w:rFonts w:ascii="Arial" w:hAnsi="Arial" w:cs="Arial"/>
          <w:sz w:val="22"/>
          <w:szCs w:val="22"/>
        </w:rPr>
        <w:t xml:space="preserve"> of the</w:t>
      </w:r>
      <w:r w:rsidR="008276F8">
        <w:rPr>
          <w:rFonts w:ascii="Arial" w:hAnsi="Arial" w:cs="Arial"/>
          <w:sz w:val="22"/>
          <w:szCs w:val="22"/>
        </w:rPr>
        <w:t xml:space="preserve"> January 12, 2024</w:t>
      </w:r>
      <w:r>
        <w:rPr>
          <w:rFonts w:ascii="Arial" w:hAnsi="Arial" w:cs="Arial"/>
          <w:sz w:val="22"/>
          <w:szCs w:val="22"/>
        </w:rPr>
        <w:t>,</w:t>
      </w:r>
      <w:r w:rsidRPr="009925F4">
        <w:rPr>
          <w:rFonts w:ascii="Arial" w:hAnsi="Arial" w:cs="Arial"/>
          <w:sz w:val="22"/>
          <w:szCs w:val="22"/>
        </w:rPr>
        <w:t xml:space="preserve"> </w:t>
      </w:r>
      <w:r w:rsidRPr="009925F4">
        <w:rPr>
          <w:rFonts w:ascii="Arial" w:hAnsi="Arial" w:cs="Arial"/>
          <w:sz w:val="22"/>
          <w:szCs w:val="22"/>
          <w:u w:val="single"/>
        </w:rPr>
        <w:t>Federal Register</w:t>
      </w:r>
      <w:r w:rsidRPr="009925F4">
        <w:rPr>
          <w:rFonts w:ascii="Arial" w:hAnsi="Arial" w:cs="Arial"/>
          <w:sz w:val="22"/>
          <w:szCs w:val="22"/>
        </w:rPr>
        <w:t>.  No requests for further information or comments were received.</w:t>
      </w:r>
    </w:p>
    <w:p w:rsidR="003C3F87" w:rsidRPr="009925F4" w:rsidP="003C3F87" w14:paraId="26643F5B" w14:textId="77777777">
      <w:pPr>
        <w:tabs>
          <w:tab w:val="left" w:pos="360"/>
        </w:tabs>
        <w:ind w:left="360" w:hanging="360"/>
        <w:jc w:val="both"/>
        <w:rPr>
          <w:rFonts w:ascii="Arial" w:hAnsi="Arial" w:cs="Arial"/>
          <w:sz w:val="22"/>
          <w:szCs w:val="22"/>
        </w:rPr>
      </w:pPr>
    </w:p>
    <w:p w:rsidR="003C3F87" w:rsidRPr="009925F4" w:rsidP="003C3F87" w14:paraId="6EDF5F85" w14:textId="77777777">
      <w:pPr>
        <w:numPr>
          <w:ilvl w:val="0"/>
          <w:numId w:val="1"/>
        </w:numPr>
        <w:tabs>
          <w:tab w:val="left" w:pos="360"/>
        </w:tabs>
        <w:ind w:left="360"/>
        <w:rPr>
          <w:rFonts w:ascii="Arial" w:hAnsi="Arial" w:cs="Arial"/>
          <w:sz w:val="22"/>
          <w:szCs w:val="22"/>
        </w:rPr>
      </w:pPr>
      <w:r w:rsidRPr="009925F4">
        <w:rPr>
          <w:rFonts w:ascii="Arial" w:hAnsi="Arial" w:cs="Arial"/>
          <w:bCs/>
          <w:sz w:val="22"/>
          <w:szCs w:val="22"/>
          <w:u w:val="single"/>
        </w:rPr>
        <w:t>Payments or gifts to respondents</w:t>
      </w:r>
      <w:r w:rsidRPr="009925F4">
        <w:rPr>
          <w:rFonts w:ascii="Arial" w:hAnsi="Arial" w:cs="Arial"/>
          <w:sz w:val="22"/>
          <w:szCs w:val="22"/>
        </w:rPr>
        <w:t xml:space="preserve"> – None</w:t>
      </w:r>
    </w:p>
    <w:p w:rsidR="003C3F87" w:rsidRPr="009925F4" w:rsidP="003C3F87" w14:paraId="0A606CE0" w14:textId="77777777">
      <w:pPr>
        <w:tabs>
          <w:tab w:val="left" w:pos="900"/>
        </w:tabs>
        <w:ind w:left="900" w:hanging="540"/>
        <w:rPr>
          <w:rFonts w:ascii="Arial" w:hAnsi="Arial" w:cs="Arial"/>
          <w:sz w:val="22"/>
          <w:szCs w:val="22"/>
        </w:rPr>
      </w:pPr>
    </w:p>
    <w:p w:rsidR="003C3F87" w:rsidRPr="009925F4" w:rsidP="003C3F87" w14:paraId="303D9515" w14:textId="77777777">
      <w:pPr>
        <w:numPr>
          <w:ilvl w:val="0"/>
          <w:numId w:val="1"/>
        </w:numPr>
        <w:tabs>
          <w:tab w:val="left" w:pos="450"/>
        </w:tabs>
        <w:ind w:hanging="450"/>
        <w:jc w:val="both"/>
        <w:rPr>
          <w:rFonts w:ascii="Arial" w:hAnsi="Arial" w:cs="Arial"/>
          <w:sz w:val="22"/>
          <w:szCs w:val="22"/>
        </w:rPr>
      </w:pPr>
      <w:r w:rsidRPr="009925F4">
        <w:rPr>
          <w:rFonts w:ascii="Arial" w:hAnsi="Arial" w:cs="Arial"/>
          <w:bCs/>
          <w:sz w:val="22"/>
          <w:szCs w:val="22"/>
          <w:u w:val="single"/>
        </w:rPr>
        <w:t>Confidentiality</w:t>
      </w:r>
      <w:r w:rsidRPr="009925F4">
        <w:rPr>
          <w:rFonts w:ascii="Arial" w:hAnsi="Arial" w:cs="Arial"/>
          <w:sz w:val="22"/>
          <w:szCs w:val="22"/>
        </w:rPr>
        <w:t xml:space="preserve"> – Privacy Act System of Records, RRB-22, Railroad Retirement, Survivor and Pensioner Benefit System.  An RRB Privacy Impact Assessment that includes RRB-22 can be found at the following link:</w:t>
      </w:r>
      <w:r w:rsidRPr="00ED1E2F">
        <w:rPr>
          <w:rFonts w:ascii="Calibri" w:eastAsia="Calibri" w:hAnsi="Calibri" w:cs="Times New Roman"/>
          <w:sz w:val="22"/>
          <w:szCs w:val="22"/>
        </w:rPr>
        <w:t xml:space="preserve"> </w:t>
      </w:r>
      <w:hyperlink r:id="rId5" w:history="1">
        <w:r w:rsidRPr="00CE622E">
          <w:rPr>
            <w:rFonts w:ascii="Arial" w:eastAsia="Calibri" w:hAnsi="Arial" w:cs="Arial"/>
            <w:color w:val="0000FF"/>
            <w:sz w:val="22"/>
            <w:szCs w:val="22"/>
            <w:u w:val="single"/>
          </w:rPr>
          <w:t>https://www.rrb.gov/sites/default/files/2017-06/PIA-BPO.pdf</w:t>
        </w:r>
      </w:hyperlink>
      <w:r>
        <w:rPr>
          <w:rFonts w:ascii="Arial" w:hAnsi="Arial" w:cs="Arial"/>
          <w:sz w:val="22"/>
          <w:szCs w:val="22"/>
        </w:rPr>
        <w:t>.</w:t>
      </w:r>
    </w:p>
    <w:p w:rsidR="003C3F87" w:rsidRPr="009925F4" w:rsidP="003C3F87" w14:paraId="458D19F3" w14:textId="77777777">
      <w:pPr>
        <w:tabs>
          <w:tab w:val="left" w:pos="450"/>
        </w:tabs>
        <w:ind w:left="450" w:hanging="450"/>
        <w:rPr>
          <w:rFonts w:ascii="Arial" w:hAnsi="Arial" w:cs="Arial"/>
          <w:sz w:val="22"/>
          <w:szCs w:val="22"/>
        </w:rPr>
      </w:pPr>
    </w:p>
    <w:p w:rsidR="001B19FE" w:rsidP="001B19FE" w14:paraId="4FADD64C" w14:textId="77777777">
      <w:pPr>
        <w:numPr>
          <w:ilvl w:val="0"/>
          <w:numId w:val="1"/>
        </w:numPr>
        <w:tabs>
          <w:tab w:val="left" w:pos="450"/>
        </w:tabs>
        <w:ind w:hanging="450"/>
        <w:rPr>
          <w:rFonts w:ascii="Arial" w:hAnsi="Arial" w:cs="Arial"/>
          <w:sz w:val="22"/>
          <w:szCs w:val="22"/>
        </w:rPr>
      </w:pPr>
      <w:r w:rsidRPr="009925F4">
        <w:rPr>
          <w:rFonts w:ascii="Arial" w:hAnsi="Arial" w:cs="Arial"/>
          <w:bCs/>
          <w:sz w:val="22"/>
          <w:szCs w:val="22"/>
          <w:u w:val="single"/>
        </w:rPr>
        <w:t>Sensitive questions</w:t>
      </w:r>
      <w:r w:rsidRPr="009925F4">
        <w:rPr>
          <w:rFonts w:ascii="Arial" w:hAnsi="Arial" w:cs="Arial"/>
          <w:sz w:val="22"/>
          <w:szCs w:val="22"/>
        </w:rPr>
        <w:t xml:space="preserve"> – N.A.</w:t>
      </w:r>
    </w:p>
    <w:p w:rsidR="001B19FE" w:rsidP="001B19FE" w14:paraId="5B02FF32" w14:textId="77777777">
      <w:pPr>
        <w:pStyle w:val="ListParagraph"/>
        <w:rPr>
          <w:rFonts w:ascii="Arial" w:hAnsi="Arial" w:cs="Arial"/>
          <w:bCs/>
          <w:sz w:val="22"/>
          <w:szCs w:val="22"/>
          <w:u w:val="single"/>
        </w:rPr>
      </w:pPr>
    </w:p>
    <w:p w:rsidR="003C3F87" w:rsidRPr="008276F8" w:rsidP="001B19FE" w14:paraId="37455C4E" w14:textId="00E44168">
      <w:pPr>
        <w:numPr>
          <w:ilvl w:val="0"/>
          <w:numId w:val="1"/>
        </w:numPr>
        <w:tabs>
          <w:tab w:val="left" w:pos="450"/>
        </w:tabs>
        <w:ind w:hanging="450"/>
        <w:rPr>
          <w:rFonts w:ascii="Arial" w:hAnsi="Arial" w:cs="Arial"/>
          <w:sz w:val="22"/>
          <w:szCs w:val="22"/>
        </w:rPr>
      </w:pPr>
      <w:r w:rsidRPr="001B19FE">
        <w:rPr>
          <w:rFonts w:ascii="Arial" w:hAnsi="Arial" w:cs="Arial"/>
          <w:bCs/>
          <w:sz w:val="22"/>
          <w:szCs w:val="22"/>
          <w:u w:val="single"/>
        </w:rPr>
        <w:t>Estimate of respon</w:t>
      </w:r>
      <w:r w:rsidRPr="008276F8">
        <w:rPr>
          <w:rFonts w:ascii="Arial" w:hAnsi="Arial" w:cs="Arial"/>
          <w:bCs/>
          <w:sz w:val="22"/>
          <w:szCs w:val="22"/>
          <w:u w:val="single"/>
        </w:rPr>
        <w:t>dent burden</w:t>
      </w:r>
      <w:r w:rsidRPr="008276F8">
        <w:rPr>
          <w:rFonts w:ascii="Arial" w:hAnsi="Arial" w:cs="Arial"/>
          <w:sz w:val="22"/>
          <w:szCs w:val="22"/>
        </w:rPr>
        <w:t xml:space="preserve"> - The current estimated annual burden for this collection </w:t>
      </w:r>
      <w:r w:rsidRPr="008276F8" w:rsidR="00267008">
        <w:rPr>
          <w:rFonts w:ascii="Arial" w:hAnsi="Arial" w:cs="Arial"/>
          <w:sz w:val="22"/>
          <w:szCs w:val="22"/>
        </w:rPr>
        <w:t xml:space="preserve">has changed. Please see the current burden below: </w:t>
      </w:r>
    </w:p>
    <w:p w:rsidR="003C3F87" w:rsidRPr="009925F4" w:rsidP="003C3F87" w14:paraId="7AF2E790" w14:textId="77777777">
      <w:pPr>
        <w:pStyle w:val="Heading3"/>
        <w:tabs>
          <w:tab w:val="left" w:pos="900"/>
        </w:tabs>
        <w:ind w:left="360"/>
        <w:rPr>
          <w:rFonts w:ascii="Arial" w:hAnsi="Arial" w:cs="Arial"/>
          <w:sz w:val="22"/>
          <w:szCs w:val="22"/>
        </w:rPr>
      </w:pPr>
    </w:p>
    <w:p w:rsidR="003C3F87" w:rsidP="003C3F87" w14:paraId="53AA673D" w14:textId="77777777">
      <w:pPr>
        <w:pStyle w:val="Heading3"/>
        <w:tabs>
          <w:tab w:val="left" w:pos="900"/>
          <w:tab w:val="left" w:pos="4050"/>
          <w:tab w:val="clear" w:pos="4320"/>
        </w:tabs>
        <w:ind w:left="450"/>
        <w:rPr>
          <w:rFonts w:ascii="Arial" w:hAnsi="Arial" w:cs="Arial"/>
          <w:sz w:val="22"/>
          <w:szCs w:val="22"/>
        </w:rPr>
      </w:pPr>
      <w:bookmarkStart w:id="0" w:name="_Hlk161737656"/>
      <w:r>
        <w:rPr>
          <w:rFonts w:ascii="Arial" w:hAnsi="Arial" w:cs="Arial"/>
          <w:sz w:val="22"/>
          <w:szCs w:val="22"/>
        </w:rPr>
        <w:t>Current</w:t>
      </w:r>
      <w:r w:rsidRPr="009925F4">
        <w:rPr>
          <w:rFonts w:ascii="Arial" w:hAnsi="Arial" w:cs="Arial"/>
          <w:sz w:val="22"/>
          <w:szCs w:val="22"/>
        </w:rPr>
        <w:t xml:space="preserve"> Burden</w:t>
      </w:r>
    </w:p>
    <w:tbl>
      <w:tblPr>
        <w:tblW w:w="9096" w:type="dxa"/>
        <w:tblInd w:w="405" w:type="dxa"/>
        <w:tblLayout w:type="fixed"/>
        <w:tblCellMar>
          <w:left w:w="141" w:type="dxa"/>
          <w:right w:w="141" w:type="dxa"/>
        </w:tblCellMar>
        <w:tblLook w:val="0000"/>
      </w:tblPr>
      <w:tblGrid>
        <w:gridCol w:w="2413"/>
        <w:gridCol w:w="2228"/>
        <w:gridCol w:w="2227"/>
        <w:gridCol w:w="2228"/>
      </w:tblGrid>
      <w:tr w14:paraId="1CC51BE4" w14:textId="77777777" w:rsidTr="009D3FF0">
        <w:tblPrEx>
          <w:tblW w:w="9096" w:type="dxa"/>
          <w:tblInd w:w="405" w:type="dxa"/>
          <w:tblLayout w:type="fixed"/>
          <w:tblCellMar>
            <w:left w:w="141" w:type="dxa"/>
            <w:right w:w="141" w:type="dxa"/>
          </w:tblCellMar>
          <w:tblLook w:val="0000"/>
        </w:tblPrEx>
        <w:trPr>
          <w:cantSplit/>
          <w:trHeight w:hRule="exact" w:val="400"/>
        </w:trPr>
        <w:tc>
          <w:tcPr>
            <w:tcW w:w="2413" w:type="dxa"/>
            <w:tcBorders>
              <w:top w:val="double" w:sz="12" w:space="0" w:color="000000"/>
              <w:left w:val="double" w:sz="12" w:space="0" w:color="000000"/>
              <w:bottom w:val="double" w:sz="12" w:space="0" w:color="000000"/>
              <w:right w:val="single" w:sz="8" w:space="0" w:color="000000"/>
            </w:tcBorders>
            <w:vAlign w:val="center"/>
          </w:tcPr>
          <w:p w:rsidR="003C3F87" w:rsidRPr="004068F8" w:rsidP="009D3FF0" w14:paraId="4B47669A" w14:textId="77777777">
            <w:pPr>
              <w:keepNext/>
              <w:jc w:val="center"/>
              <w:rPr>
                <w:rFonts w:ascii="Arial" w:hAnsi="Arial" w:cs="Arial"/>
                <w:sz w:val="22"/>
              </w:rPr>
            </w:pPr>
            <w:r w:rsidRPr="004068F8">
              <w:rPr>
                <w:rFonts w:ascii="Arial" w:hAnsi="Arial" w:cs="Arial"/>
                <w:sz w:val="22"/>
                <w:szCs w:val="22"/>
              </w:rPr>
              <w:t>Form Number</w:t>
            </w:r>
          </w:p>
        </w:tc>
        <w:tc>
          <w:tcPr>
            <w:tcW w:w="2228" w:type="dxa"/>
            <w:tcBorders>
              <w:top w:val="double" w:sz="12" w:space="0" w:color="000000"/>
              <w:left w:val="single" w:sz="8" w:space="0" w:color="000000"/>
              <w:bottom w:val="double" w:sz="12" w:space="0" w:color="000000"/>
              <w:right w:val="single" w:sz="8" w:space="0" w:color="000000"/>
            </w:tcBorders>
            <w:vAlign w:val="center"/>
          </w:tcPr>
          <w:p w:rsidR="003C3F87" w:rsidRPr="004068F8" w:rsidP="009D3FF0" w14:paraId="0D37FAD0" w14:textId="77777777">
            <w:pPr>
              <w:keepNext/>
              <w:jc w:val="center"/>
              <w:rPr>
                <w:rFonts w:ascii="Arial" w:hAnsi="Arial" w:cs="Arial"/>
                <w:sz w:val="22"/>
              </w:rPr>
            </w:pPr>
            <w:r w:rsidRPr="004068F8">
              <w:rPr>
                <w:rFonts w:ascii="Arial" w:hAnsi="Arial" w:cs="Arial"/>
                <w:sz w:val="22"/>
                <w:szCs w:val="22"/>
              </w:rPr>
              <w:t>Annual Responses</w:t>
            </w:r>
          </w:p>
        </w:tc>
        <w:tc>
          <w:tcPr>
            <w:tcW w:w="2227" w:type="dxa"/>
            <w:tcBorders>
              <w:top w:val="double" w:sz="12" w:space="0" w:color="000000"/>
              <w:left w:val="single" w:sz="8" w:space="0" w:color="000000"/>
              <w:bottom w:val="double" w:sz="12" w:space="0" w:color="000000"/>
              <w:right w:val="single" w:sz="8" w:space="0" w:color="000000"/>
            </w:tcBorders>
            <w:vAlign w:val="center"/>
          </w:tcPr>
          <w:p w:rsidR="003C3F87" w:rsidRPr="004068F8" w:rsidP="009D3FF0" w14:paraId="379DC160" w14:textId="77777777">
            <w:pPr>
              <w:keepNext/>
              <w:jc w:val="center"/>
              <w:rPr>
                <w:rFonts w:ascii="Arial" w:hAnsi="Arial" w:cs="Arial"/>
                <w:sz w:val="22"/>
              </w:rPr>
            </w:pPr>
            <w:r w:rsidRPr="004068F8">
              <w:rPr>
                <w:rFonts w:ascii="Arial" w:hAnsi="Arial" w:cs="Arial"/>
                <w:sz w:val="22"/>
                <w:szCs w:val="22"/>
              </w:rPr>
              <w:t>Time (Minutes)</w:t>
            </w:r>
            <w:r>
              <w:rPr>
                <w:rFonts w:ascii="Arial" w:hAnsi="Arial" w:cs="Arial"/>
                <w:sz w:val="22"/>
                <w:szCs w:val="22"/>
              </w:rPr>
              <w:t>1/</w:t>
            </w:r>
          </w:p>
        </w:tc>
        <w:tc>
          <w:tcPr>
            <w:tcW w:w="2228" w:type="dxa"/>
            <w:tcBorders>
              <w:top w:val="double" w:sz="12" w:space="0" w:color="000000"/>
              <w:left w:val="single" w:sz="8" w:space="0" w:color="000000"/>
              <w:bottom w:val="double" w:sz="12" w:space="0" w:color="000000"/>
              <w:right w:val="double" w:sz="12" w:space="0" w:color="000000"/>
            </w:tcBorders>
            <w:vAlign w:val="center"/>
          </w:tcPr>
          <w:p w:rsidR="003C3F87" w:rsidRPr="004068F8" w:rsidP="009D3FF0" w14:paraId="3A10421D" w14:textId="77777777">
            <w:pPr>
              <w:keepNext/>
              <w:jc w:val="center"/>
              <w:rPr>
                <w:rFonts w:ascii="Arial" w:hAnsi="Arial" w:cs="Arial"/>
                <w:sz w:val="22"/>
              </w:rPr>
            </w:pPr>
            <w:r w:rsidRPr="004068F8">
              <w:rPr>
                <w:rFonts w:ascii="Arial" w:hAnsi="Arial" w:cs="Arial"/>
                <w:sz w:val="22"/>
                <w:szCs w:val="22"/>
              </w:rPr>
              <w:t>Burden (Hours)</w:t>
            </w:r>
          </w:p>
        </w:tc>
      </w:tr>
      <w:tr w14:paraId="1DDB0A77" w14:textId="77777777" w:rsidTr="008276F8">
        <w:tblPrEx>
          <w:tblW w:w="9096" w:type="dxa"/>
          <w:tblInd w:w="405" w:type="dxa"/>
          <w:tblLayout w:type="fixed"/>
          <w:tblCellMar>
            <w:left w:w="141" w:type="dxa"/>
            <w:right w:w="141" w:type="dxa"/>
          </w:tblCellMar>
          <w:tblLook w:val="0000"/>
        </w:tblPrEx>
        <w:trPr>
          <w:cantSplit/>
          <w:trHeight w:hRule="exact" w:val="400"/>
        </w:trPr>
        <w:tc>
          <w:tcPr>
            <w:tcW w:w="2413" w:type="dxa"/>
            <w:tcBorders>
              <w:top w:val="double" w:sz="12" w:space="0" w:color="000000"/>
              <w:left w:val="double" w:sz="12" w:space="0" w:color="000000"/>
              <w:bottom w:val="single" w:sz="4" w:space="0" w:color="auto"/>
              <w:right w:val="single" w:sz="8" w:space="0" w:color="000000"/>
            </w:tcBorders>
            <w:vAlign w:val="center"/>
          </w:tcPr>
          <w:p w:rsidR="003C3F87" w:rsidRPr="004068F8" w:rsidP="008276F8" w14:paraId="50CBCCFF" w14:textId="77777777">
            <w:pPr>
              <w:keepNext/>
              <w:tabs>
                <w:tab w:val="left" w:pos="540"/>
              </w:tabs>
              <w:ind w:left="547" w:hanging="547"/>
              <w:jc w:val="center"/>
              <w:rPr>
                <w:rFonts w:ascii="Arial" w:hAnsi="Arial" w:cs="Arial"/>
                <w:sz w:val="22"/>
              </w:rPr>
            </w:pPr>
            <w:r w:rsidRPr="004068F8">
              <w:rPr>
                <w:rFonts w:ascii="Arial" w:hAnsi="Arial" w:cs="Arial"/>
                <w:sz w:val="22"/>
                <w:szCs w:val="22"/>
              </w:rPr>
              <w:t>G-25</w:t>
            </w:r>
            <w:r>
              <w:rPr>
                <w:rFonts w:ascii="Arial" w:hAnsi="Arial" w:cs="Arial"/>
                <w:sz w:val="22"/>
                <w:szCs w:val="22"/>
              </w:rPr>
              <w:t>2</w:t>
            </w:r>
          </w:p>
        </w:tc>
        <w:tc>
          <w:tcPr>
            <w:tcW w:w="2228" w:type="dxa"/>
            <w:tcBorders>
              <w:top w:val="double" w:sz="12" w:space="0" w:color="000000"/>
              <w:left w:val="single" w:sz="8" w:space="0" w:color="000000"/>
              <w:bottom w:val="single" w:sz="4" w:space="0" w:color="auto"/>
              <w:right w:val="single" w:sz="8" w:space="0" w:color="000000"/>
            </w:tcBorders>
            <w:shd w:val="clear" w:color="auto" w:fill="auto"/>
            <w:vAlign w:val="center"/>
          </w:tcPr>
          <w:p w:rsidR="003C3F87" w:rsidRPr="008276F8" w:rsidP="009D3FF0" w14:paraId="3584444E" w14:textId="72F5579E">
            <w:pPr>
              <w:keepNext/>
              <w:tabs>
                <w:tab w:val="right" w:pos="1209"/>
              </w:tabs>
              <w:rPr>
                <w:rFonts w:ascii="Arial" w:hAnsi="Arial" w:cs="Arial"/>
                <w:sz w:val="22"/>
              </w:rPr>
            </w:pPr>
            <w:r w:rsidRPr="008276F8">
              <w:rPr>
                <w:rFonts w:ascii="Arial" w:hAnsi="Arial" w:cs="Arial"/>
                <w:sz w:val="22"/>
                <w:szCs w:val="22"/>
              </w:rPr>
              <w:tab/>
              <w:t>100</w:t>
            </w:r>
          </w:p>
        </w:tc>
        <w:tc>
          <w:tcPr>
            <w:tcW w:w="2227" w:type="dxa"/>
            <w:tcBorders>
              <w:top w:val="double" w:sz="12" w:space="0" w:color="000000"/>
              <w:left w:val="single" w:sz="8" w:space="0" w:color="000000"/>
              <w:bottom w:val="single" w:sz="4" w:space="0" w:color="auto"/>
              <w:right w:val="single" w:sz="8" w:space="0" w:color="000000"/>
            </w:tcBorders>
            <w:shd w:val="clear" w:color="auto" w:fill="auto"/>
            <w:vAlign w:val="center"/>
          </w:tcPr>
          <w:p w:rsidR="003C3F87" w:rsidRPr="008276F8" w:rsidP="009D3FF0" w14:paraId="2E3D2CDE" w14:textId="492F321F">
            <w:pPr>
              <w:keepNext/>
              <w:tabs>
                <w:tab w:val="right" w:pos="939"/>
              </w:tabs>
              <w:rPr>
                <w:rFonts w:ascii="Arial" w:hAnsi="Arial" w:cs="Arial"/>
                <w:sz w:val="22"/>
              </w:rPr>
            </w:pPr>
            <w:r w:rsidRPr="008276F8">
              <w:rPr>
                <w:rFonts w:ascii="Arial" w:hAnsi="Arial" w:cs="Arial"/>
                <w:sz w:val="22"/>
                <w:szCs w:val="22"/>
              </w:rPr>
              <w:tab/>
              <w:t>45</w:t>
            </w:r>
          </w:p>
        </w:tc>
        <w:tc>
          <w:tcPr>
            <w:tcW w:w="2228" w:type="dxa"/>
            <w:tcBorders>
              <w:top w:val="double" w:sz="12" w:space="0" w:color="000000"/>
              <w:left w:val="single" w:sz="8" w:space="0" w:color="000000"/>
              <w:bottom w:val="single" w:sz="4" w:space="0" w:color="auto"/>
              <w:right w:val="double" w:sz="12" w:space="0" w:color="000000"/>
            </w:tcBorders>
            <w:shd w:val="clear" w:color="auto" w:fill="auto"/>
            <w:vAlign w:val="center"/>
          </w:tcPr>
          <w:p w:rsidR="003C3F87" w:rsidRPr="008276F8" w:rsidP="009D3FF0" w14:paraId="7BEF13E4" w14:textId="32A2B47E">
            <w:pPr>
              <w:keepNext/>
              <w:tabs>
                <w:tab w:val="right" w:pos="939"/>
              </w:tabs>
              <w:rPr>
                <w:rFonts w:ascii="Arial" w:hAnsi="Arial" w:cs="Arial"/>
                <w:sz w:val="22"/>
              </w:rPr>
            </w:pPr>
            <w:r w:rsidRPr="008276F8">
              <w:rPr>
                <w:rFonts w:ascii="Arial" w:hAnsi="Arial" w:cs="Arial"/>
                <w:sz w:val="22"/>
                <w:szCs w:val="22"/>
              </w:rPr>
              <w:tab/>
              <w:t>75</w:t>
            </w:r>
          </w:p>
        </w:tc>
      </w:tr>
      <w:tr w14:paraId="054FA362" w14:textId="77777777" w:rsidTr="008276F8">
        <w:tblPrEx>
          <w:tblW w:w="9096" w:type="dxa"/>
          <w:tblInd w:w="405" w:type="dxa"/>
          <w:tblLayout w:type="fixed"/>
          <w:tblCellMar>
            <w:left w:w="141" w:type="dxa"/>
            <w:right w:w="141" w:type="dxa"/>
          </w:tblCellMar>
          <w:tblLook w:val="0000"/>
        </w:tblPrEx>
        <w:trPr>
          <w:cantSplit/>
          <w:trHeight w:hRule="exact" w:val="400"/>
        </w:trPr>
        <w:tc>
          <w:tcPr>
            <w:tcW w:w="2413" w:type="dxa"/>
            <w:tcBorders>
              <w:top w:val="single" w:sz="4" w:space="0" w:color="auto"/>
              <w:left w:val="double" w:sz="12" w:space="0" w:color="000000"/>
              <w:bottom w:val="double" w:sz="12" w:space="0" w:color="000000"/>
              <w:right w:val="single" w:sz="8" w:space="0" w:color="000000"/>
            </w:tcBorders>
            <w:vAlign w:val="center"/>
          </w:tcPr>
          <w:p w:rsidR="003C3F87" w:rsidRPr="004068F8" w:rsidP="009D3FF0" w14:paraId="772D3BC9" w14:textId="77777777">
            <w:pPr>
              <w:jc w:val="center"/>
              <w:rPr>
                <w:rFonts w:ascii="Arial" w:hAnsi="Arial" w:cs="Arial"/>
                <w:b/>
                <w:sz w:val="22"/>
              </w:rPr>
            </w:pPr>
            <w:r w:rsidRPr="004068F8">
              <w:rPr>
                <w:rFonts w:ascii="Arial" w:hAnsi="Arial" w:cs="Arial"/>
                <w:b/>
                <w:sz w:val="22"/>
                <w:szCs w:val="22"/>
              </w:rPr>
              <w:t>Total</w:t>
            </w:r>
          </w:p>
        </w:tc>
        <w:tc>
          <w:tcPr>
            <w:tcW w:w="2228" w:type="dxa"/>
            <w:tcBorders>
              <w:top w:val="single" w:sz="4" w:space="0" w:color="auto"/>
              <w:left w:val="single" w:sz="8" w:space="0" w:color="000000"/>
              <w:bottom w:val="double" w:sz="12" w:space="0" w:color="000000"/>
              <w:right w:val="single" w:sz="8" w:space="0" w:color="000000"/>
            </w:tcBorders>
            <w:shd w:val="clear" w:color="auto" w:fill="auto"/>
            <w:vAlign w:val="center"/>
          </w:tcPr>
          <w:p w:rsidR="003C3F87" w:rsidRPr="008276F8" w:rsidP="009D3FF0" w14:paraId="1D5B95F1" w14:textId="26F30876">
            <w:pPr>
              <w:tabs>
                <w:tab w:val="right" w:pos="1209"/>
              </w:tabs>
              <w:rPr>
                <w:rFonts w:ascii="Arial" w:hAnsi="Arial" w:cs="Arial"/>
                <w:sz w:val="22"/>
              </w:rPr>
            </w:pPr>
            <w:r w:rsidRPr="008276F8">
              <w:rPr>
                <w:rFonts w:ascii="Arial" w:hAnsi="Arial" w:cs="Arial"/>
                <w:sz w:val="22"/>
                <w:szCs w:val="22"/>
              </w:rPr>
              <w:tab/>
              <w:t>100</w:t>
            </w:r>
          </w:p>
        </w:tc>
        <w:tc>
          <w:tcPr>
            <w:tcW w:w="2227" w:type="dxa"/>
            <w:tcBorders>
              <w:top w:val="single" w:sz="4" w:space="0" w:color="auto"/>
              <w:left w:val="single" w:sz="8" w:space="0" w:color="000000"/>
              <w:bottom w:val="double" w:sz="12" w:space="0" w:color="000000"/>
              <w:right w:val="single" w:sz="8" w:space="0" w:color="000000"/>
            </w:tcBorders>
            <w:shd w:val="clear" w:color="auto" w:fill="auto"/>
            <w:vAlign w:val="center"/>
          </w:tcPr>
          <w:p w:rsidR="003C3F87" w:rsidRPr="008276F8" w:rsidP="009D3FF0" w14:paraId="5D940535" w14:textId="77777777">
            <w:pPr>
              <w:jc w:val="center"/>
              <w:rPr>
                <w:rFonts w:ascii="Arial" w:hAnsi="Arial" w:cs="Arial"/>
                <w:sz w:val="22"/>
              </w:rPr>
            </w:pPr>
          </w:p>
        </w:tc>
        <w:tc>
          <w:tcPr>
            <w:tcW w:w="2228" w:type="dxa"/>
            <w:tcBorders>
              <w:top w:val="single" w:sz="4" w:space="0" w:color="auto"/>
              <w:left w:val="single" w:sz="8" w:space="0" w:color="000000"/>
              <w:bottom w:val="double" w:sz="12" w:space="0" w:color="000000"/>
              <w:right w:val="double" w:sz="12" w:space="0" w:color="000000"/>
            </w:tcBorders>
            <w:shd w:val="clear" w:color="auto" w:fill="auto"/>
            <w:vAlign w:val="center"/>
          </w:tcPr>
          <w:p w:rsidR="003C3F87" w:rsidRPr="008276F8" w:rsidP="009D3FF0" w14:paraId="1298A71C" w14:textId="549863AB">
            <w:pPr>
              <w:tabs>
                <w:tab w:val="right" w:pos="939"/>
              </w:tabs>
              <w:rPr>
                <w:rFonts w:ascii="Arial" w:hAnsi="Arial" w:cs="Arial"/>
                <w:sz w:val="22"/>
              </w:rPr>
            </w:pPr>
            <w:r w:rsidRPr="008276F8">
              <w:rPr>
                <w:rFonts w:ascii="Arial" w:hAnsi="Arial" w:cs="Arial"/>
                <w:sz w:val="22"/>
                <w:szCs w:val="22"/>
              </w:rPr>
              <w:tab/>
              <w:t>75</w:t>
            </w:r>
          </w:p>
        </w:tc>
      </w:tr>
      <w:bookmarkEnd w:id="0"/>
    </w:tbl>
    <w:p w:rsidR="008276F8" w:rsidP="003C3F87" w14:paraId="2E39793F" w14:textId="77777777">
      <w:pPr>
        <w:ind w:left="450"/>
        <w:rPr>
          <w:rFonts w:ascii="Arial" w:eastAsia="Calibri" w:hAnsi="Arial" w:cs="Arial"/>
          <w:sz w:val="22"/>
          <w:szCs w:val="22"/>
        </w:rPr>
      </w:pPr>
    </w:p>
    <w:p w:rsidR="008276F8" w:rsidP="008276F8" w14:paraId="60552676" w14:textId="77777777">
      <w:pPr>
        <w:pStyle w:val="Heading3"/>
        <w:tabs>
          <w:tab w:val="left" w:pos="900"/>
          <w:tab w:val="left" w:pos="4050"/>
          <w:tab w:val="clear" w:pos="4320"/>
        </w:tabs>
        <w:ind w:left="450"/>
        <w:rPr>
          <w:rFonts w:ascii="Arial" w:hAnsi="Arial" w:cs="Arial"/>
          <w:sz w:val="22"/>
          <w:szCs w:val="22"/>
        </w:rPr>
      </w:pPr>
    </w:p>
    <w:p w:rsidR="008276F8" w:rsidRPr="008276F8" w:rsidP="008276F8" w14:paraId="0DC4BA34" w14:textId="52534A45">
      <w:pPr>
        <w:pStyle w:val="Heading3"/>
        <w:tabs>
          <w:tab w:val="left" w:pos="900"/>
          <w:tab w:val="left" w:pos="4050"/>
          <w:tab w:val="clear" w:pos="4320"/>
        </w:tabs>
        <w:ind w:left="450"/>
        <w:rPr>
          <w:rFonts w:ascii="Arial" w:hAnsi="Arial" w:cs="Arial"/>
          <w:sz w:val="22"/>
          <w:szCs w:val="22"/>
        </w:rPr>
      </w:pPr>
      <w:r>
        <w:rPr>
          <w:rFonts w:ascii="Arial" w:hAnsi="Arial" w:cs="Arial"/>
          <w:sz w:val="22"/>
          <w:szCs w:val="22"/>
        </w:rPr>
        <w:t>Proposed</w:t>
      </w:r>
      <w:r w:rsidRPr="009925F4">
        <w:rPr>
          <w:rFonts w:ascii="Arial" w:hAnsi="Arial" w:cs="Arial"/>
          <w:sz w:val="22"/>
          <w:szCs w:val="22"/>
        </w:rPr>
        <w:t xml:space="preserve"> Burden</w:t>
      </w:r>
    </w:p>
    <w:tbl>
      <w:tblPr>
        <w:tblW w:w="9096" w:type="dxa"/>
        <w:tblInd w:w="405" w:type="dxa"/>
        <w:tblLayout w:type="fixed"/>
        <w:tblCellMar>
          <w:left w:w="141" w:type="dxa"/>
          <w:right w:w="141" w:type="dxa"/>
        </w:tblCellMar>
        <w:tblLook w:val="0000"/>
      </w:tblPr>
      <w:tblGrid>
        <w:gridCol w:w="2413"/>
        <w:gridCol w:w="2228"/>
        <w:gridCol w:w="2227"/>
        <w:gridCol w:w="2228"/>
      </w:tblGrid>
      <w:tr w14:paraId="44D8699D" w14:textId="77777777" w:rsidTr="00D30F20">
        <w:tblPrEx>
          <w:tblW w:w="9096" w:type="dxa"/>
          <w:tblInd w:w="405" w:type="dxa"/>
          <w:tblLayout w:type="fixed"/>
          <w:tblCellMar>
            <w:left w:w="141" w:type="dxa"/>
            <w:right w:w="141" w:type="dxa"/>
          </w:tblCellMar>
          <w:tblLook w:val="0000"/>
        </w:tblPrEx>
        <w:trPr>
          <w:cantSplit/>
          <w:trHeight w:hRule="exact" w:val="400"/>
        </w:trPr>
        <w:tc>
          <w:tcPr>
            <w:tcW w:w="2413" w:type="dxa"/>
            <w:tcBorders>
              <w:top w:val="double" w:sz="12" w:space="0" w:color="000000"/>
              <w:left w:val="double" w:sz="12" w:space="0" w:color="000000"/>
              <w:bottom w:val="double" w:sz="12" w:space="0" w:color="000000"/>
              <w:right w:val="single" w:sz="8" w:space="0" w:color="000000"/>
            </w:tcBorders>
            <w:vAlign w:val="center"/>
          </w:tcPr>
          <w:p w:rsidR="008276F8" w:rsidRPr="004068F8" w:rsidP="00D30F20" w14:paraId="28F92E5C" w14:textId="77777777">
            <w:pPr>
              <w:keepNext/>
              <w:jc w:val="center"/>
              <w:rPr>
                <w:rFonts w:ascii="Arial" w:hAnsi="Arial" w:cs="Arial"/>
                <w:sz w:val="22"/>
              </w:rPr>
            </w:pPr>
            <w:r w:rsidRPr="004068F8">
              <w:rPr>
                <w:rFonts w:ascii="Arial" w:hAnsi="Arial" w:cs="Arial"/>
                <w:sz w:val="22"/>
                <w:szCs w:val="22"/>
              </w:rPr>
              <w:t>Form Number</w:t>
            </w:r>
          </w:p>
        </w:tc>
        <w:tc>
          <w:tcPr>
            <w:tcW w:w="2228" w:type="dxa"/>
            <w:tcBorders>
              <w:top w:val="double" w:sz="12" w:space="0" w:color="000000"/>
              <w:left w:val="single" w:sz="8" w:space="0" w:color="000000"/>
              <w:bottom w:val="double" w:sz="12" w:space="0" w:color="000000"/>
              <w:right w:val="single" w:sz="8" w:space="0" w:color="000000"/>
            </w:tcBorders>
            <w:vAlign w:val="center"/>
          </w:tcPr>
          <w:p w:rsidR="008276F8" w:rsidRPr="004068F8" w:rsidP="00D30F20" w14:paraId="7A744481" w14:textId="77777777">
            <w:pPr>
              <w:keepNext/>
              <w:jc w:val="center"/>
              <w:rPr>
                <w:rFonts w:ascii="Arial" w:hAnsi="Arial" w:cs="Arial"/>
                <w:sz w:val="22"/>
              </w:rPr>
            </w:pPr>
            <w:r w:rsidRPr="004068F8">
              <w:rPr>
                <w:rFonts w:ascii="Arial" w:hAnsi="Arial" w:cs="Arial"/>
                <w:sz w:val="22"/>
                <w:szCs w:val="22"/>
              </w:rPr>
              <w:t>Annual Responses</w:t>
            </w:r>
          </w:p>
        </w:tc>
        <w:tc>
          <w:tcPr>
            <w:tcW w:w="2227" w:type="dxa"/>
            <w:tcBorders>
              <w:top w:val="double" w:sz="12" w:space="0" w:color="000000"/>
              <w:left w:val="single" w:sz="8" w:space="0" w:color="000000"/>
              <w:bottom w:val="double" w:sz="12" w:space="0" w:color="000000"/>
              <w:right w:val="single" w:sz="8" w:space="0" w:color="000000"/>
            </w:tcBorders>
            <w:vAlign w:val="center"/>
          </w:tcPr>
          <w:p w:rsidR="008276F8" w:rsidRPr="004068F8" w:rsidP="00D30F20" w14:paraId="5974F4D5" w14:textId="77777777">
            <w:pPr>
              <w:keepNext/>
              <w:jc w:val="center"/>
              <w:rPr>
                <w:rFonts w:ascii="Arial" w:hAnsi="Arial" w:cs="Arial"/>
                <w:sz w:val="22"/>
              </w:rPr>
            </w:pPr>
            <w:r w:rsidRPr="004068F8">
              <w:rPr>
                <w:rFonts w:ascii="Arial" w:hAnsi="Arial" w:cs="Arial"/>
                <w:sz w:val="22"/>
                <w:szCs w:val="22"/>
              </w:rPr>
              <w:t>Time (Minutes)</w:t>
            </w:r>
            <w:r>
              <w:rPr>
                <w:rFonts w:ascii="Arial" w:hAnsi="Arial" w:cs="Arial"/>
                <w:sz w:val="22"/>
                <w:szCs w:val="22"/>
              </w:rPr>
              <w:t>1/</w:t>
            </w:r>
          </w:p>
        </w:tc>
        <w:tc>
          <w:tcPr>
            <w:tcW w:w="2228" w:type="dxa"/>
            <w:tcBorders>
              <w:top w:val="double" w:sz="12" w:space="0" w:color="000000"/>
              <w:left w:val="single" w:sz="8" w:space="0" w:color="000000"/>
              <w:bottom w:val="double" w:sz="12" w:space="0" w:color="000000"/>
              <w:right w:val="double" w:sz="12" w:space="0" w:color="000000"/>
            </w:tcBorders>
            <w:vAlign w:val="center"/>
          </w:tcPr>
          <w:p w:rsidR="008276F8" w:rsidRPr="004068F8" w:rsidP="00D30F20" w14:paraId="76E185D6" w14:textId="77777777">
            <w:pPr>
              <w:keepNext/>
              <w:jc w:val="center"/>
              <w:rPr>
                <w:rFonts w:ascii="Arial" w:hAnsi="Arial" w:cs="Arial"/>
                <w:sz w:val="22"/>
              </w:rPr>
            </w:pPr>
            <w:r w:rsidRPr="004068F8">
              <w:rPr>
                <w:rFonts w:ascii="Arial" w:hAnsi="Arial" w:cs="Arial"/>
                <w:sz w:val="22"/>
                <w:szCs w:val="22"/>
              </w:rPr>
              <w:t>Burden (Hours)</w:t>
            </w:r>
          </w:p>
        </w:tc>
      </w:tr>
      <w:tr w14:paraId="606289B7" w14:textId="77777777" w:rsidTr="00D30F20">
        <w:tblPrEx>
          <w:tblW w:w="9096" w:type="dxa"/>
          <w:tblInd w:w="405" w:type="dxa"/>
          <w:tblLayout w:type="fixed"/>
          <w:tblCellMar>
            <w:left w:w="141" w:type="dxa"/>
            <w:right w:w="141" w:type="dxa"/>
          </w:tblCellMar>
          <w:tblLook w:val="0000"/>
        </w:tblPrEx>
        <w:trPr>
          <w:cantSplit/>
          <w:trHeight w:hRule="exact" w:val="400"/>
        </w:trPr>
        <w:tc>
          <w:tcPr>
            <w:tcW w:w="2413" w:type="dxa"/>
            <w:tcBorders>
              <w:top w:val="double" w:sz="12" w:space="0" w:color="000000"/>
              <w:left w:val="double" w:sz="12" w:space="0" w:color="000000"/>
              <w:bottom w:val="single" w:sz="4" w:space="0" w:color="auto"/>
              <w:right w:val="single" w:sz="8" w:space="0" w:color="000000"/>
            </w:tcBorders>
            <w:vAlign w:val="center"/>
          </w:tcPr>
          <w:p w:rsidR="008276F8" w:rsidRPr="004068F8" w:rsidP="008276F8" w14:paraId="3D588414" w14:textId="77777777">
            <w:pPr>
              <w:keepNext/>
              <w:tabs>
                <w:tab w:val="left" w:pos="540"/>
              </w:tabs>
              <w:ind w:left="547" w:hanging="547"/>
              <w:jc w:val="center"/>
              <w:rPr>
                <w:rFonts w:ascii="Arial" w:hAnsi="Arial" w:cs="Arial"/>
                <w:sz w:val="22"/>
              </w:rPr>
            </w:pPr>
            <w:r w:rsidRPr="004068F8">
              <w:rPr>
                <w:rFonts w:ascii="Arial" w:hAnsi="Arial" w:cs="Arial"/>
                <w:sz w:val="22"/>
                <w:szCs w:val="22"/>
              </w:rPr>
              <w:t>G-25</w:t>
            </w:r>
            <w:r>
              <w:rPr>
                <w:rFonts w:ascii="Arial" w:hAnsi="Arial" w:cs="Arial"/>
                <w:sz w:val="22"/>
                <w:szCs w:val="22"/>
              </w:rPr>
              <w:t>2</w:t>
            </w:r>
          </w:p>
        </w:tc>
        <w:tc>
          <w:tcPr>
            <w:tcW w:w="2228" w:type="dxa"/>
            <w:tcBorders>
              <w:top w:val="double" w:sz="12" w:space="0" w:color="000000"/>
              <w:left w:val="single" w:sz="8" w:space="0" w:color="000000"/>
              <w:bottom w:val="single" w:sz="4" w:space="0" w:color="auto"/>
              <w:right w:val="single" w:sz="8" w:space="0" w:color="000000"/>
            </w:tcBorders>
            <w:vAlign w:val="center"/>
          </w:tcPr>
          <w:p w:rsidR="008276F8" w:rsidRPr="008276F8" w:rsidP="00D30F20" w14:paraId="07CFB728" w14:textId="538C805E">
            <w:pPr>
              <w:keepNext/>
              <w:tabs>
                <w:tab w:val="right" w:pos="1209"/>
              </w:tabs>
              <w:rPr>
                <w:rFonts w:ascii="Arial" w:hAnsi="Arial" w:cs="Arial"/>
                <w:sz w:val="22"/>
              </w:rPr>
            </w:pPr>
            <w:r w:rsidRPr="008276F8">
              <w:rPr>
                <w:rFonts w:ascii="Arial" w:hAnsi="Arial" w:cs="Arial"/>
                <w:sz w:val="22"/>
                <w:szCs w:val="22"/>
              </w:rPr>
              <w:tab/>
              <w:t>15</w:t>
            </w:r>
          </w:p>
        </w:tc>
        <w:tc>
          <w:tcPr>
            <w:tcW w:w="2227" w:type="dxa"/>
            <w:tcBorders>
              <w:top w:val="double" w:sz="12" w:space="0" w:color="000000"/>
              <w:left w:val="single" w:sz="8" w:space="0" w:color="000000"/>
              <w:bottom w:val="single" w:sz="4" w:space="0" w:color="auto"/>
              <w:right w:val="single" w:sz="8" w:space="0" w:color="000000"/>
            </w:tcBorders>
            <w:vAlign w:val="center"/>
          </w:tcPr>
          <w:p w:rsidR="008276F8" w:rsidRPr="008276F8" w:rsidP="00D30F20" w14:paraId="46B21C5F" w14:textId="5ACDCECC">
            <w:pPr>
              <w:keepNext/>
              <w:tabs>
                <w:tab w:val="right" w:pos="939"/>
              </w:tabs>
              <w:rPr>
                <w:rFonts w:ascii="Arial" w:hAnsi="Arial" w:cs="Arial"/>
                <w:sz w:val="22"/>
              </w:rPr>
            </w:pPr>
            <w:r w:rsidRPr="008276F8">
              <w:rPr>
                <w:rFonts w:ascii="Arial" w:hAnsi="Arial" w:cs="Arial"/>
                <w:sz w:val="22"/>
                <w:szCs w:val="22"/>
              </w:rPr>
              <w:tab/>
              <w:t>20</w:t>
            </w:r>
          </w:p>
        </w:tc>
        <w:tc>
          <w:tcPr>
            <w:tcW w:w="2228" w:type="dxa"/>
            <w:tcBorders>
              <w:top w:val="double" w:sz="12" w:space="0" w:color="000000"/>
              <w:left w:val="single" w:sz="8" w:space="0" w:color="000000"/>
              <w:bottom w:val="single" w:sz="4" w:space="0" w:color="auto"/>
              <w:right w:val="double" w:sz="12" w:space="0" w:color="000000"/>
            </w:tcBorders>
            <w:vAlign w:val="center"/>
          </w:tcPr>
          <w:p w:rsidR="008276F8" w:rsidRPr="008276F8" w:rsidP="00D30F20" w14:paraId="39F7541C" w14:textId="35B7CA14">
            <w:pPr>
              <w:keepNext/>
              <w:tabs>
                <w:tab w:val="right" w:pos="939"/>
              </w:tabs>
              <w:rPr>
                <w:rFonts w:ascii="Arial" w:hAnsi="Arial" w:cs="Arial"/>
                <w:sz w:val="22"/>
              </w:rPr>
            </w:pPr>
            <w:r w:rsidRPr="008276F8">
              <w:rPr>
                <w:rFonts w:ascii="Arial" w:hAnsi="Arial" w:cs="Arial"/>
                <w:sz w:val="22"/>
                <w:szCs w:val="22"/>
              </w:rPr>
              <w:tab/>
              <w:t>5</w:t>
            </w:r>
          </w:p>
        </w:tc>
      </w:tr>
      <w:tr w14:paraId="5DD987B7" w14:textId="77777777" w:rsidTr="00D30F20">
        <w:tblPrEx>
          <w:tblW w:w="9096" w:type="dxa"/>
          <w:tblInd w:w="405" w:type="dxa"/>
          <w:tblLayout w:type="fixed"/>
          <w:tblCellMar>
            <w:left w:w="141" w:type="dxa"/>
            <w:right w:w="141" w:type="dxa"/>
          </w:tblCellMar>
          <w:tblLook w:val="0000"/>
        </w:tblPrEx>
        <w:trPr>
          <w:cantSplit/>
          <w:trHeight w:hRule="exact" w:val="400"/>
        </w:trPr>
        <w:tc>
          <w:tcPr>
            <w:tcW w:w="2413" w:type="dxa"/>
            <w:tcBorders>
              <w:top w:val="single" w:sz="4" w:space="0" w:color="auto"/>
              <w:left w:val="double" w:sz="12" w:space="0" w:color="000000"/>
              <w:bottom w:val="double" w:sz="12" w:space="0" w:color="000000"/>
              <w:right w:val="single" w:sz="8" w:space="0" w:color="000000"/>
            </w:tcBorders>
            <w:vAlign w:val="center"/>
          </w:tcPr>
          <w:p w:rsidR="008276F8" w:rsidRPr="004068F8" w:rsidP="00D30F20" w14:paraId="3F4A1FA0" w14:textId="77777777">
            <w:pPr>
              <w:jc w:val="center"/>
              <w:rPr>
                <w:rFonts w:ascii="Arial" w:hAnsi="Arial" w:cs="Arial"/>
                <w:b/>
                <w:sz w:val="22"/>
              </w:rPr>
            </w:pPr>
            <w:r w:rsidRPr="004068F8">
              <w:rPr>
                <w:rFonts w:ascii="Arial" w:hAnsi="Arial" w:cs="Arial"/>
                <w:b/>
                <w:sz w:val="22"/>
                <w:szCs w:val="22"/>
              </w:rPr>
              <w:t>Total</w:t>
            </w:r>
          </w:p>
        </w:tc>
        <w:tc>
          <w:tcPr>
            <w:tcW w:w="2228" w:type="dxa"/>
            <w:tcBorders>
              <w:top w:val="single" w:sz="4" w:space="0" w:color="auto"/>
              <w:left w:val="single" w:sz="8" w:space="0" w:color="000000"/>
              <w:bottom w:val="double" w:sz="12" w:space="0" w:color="000000"/>
              <w:right w:val="single" w:sz="8" w:space="0" w:color="000000"/>
            </w:tcBorders>
            <w:vAlign w:val="center"/>
          </w:tcPr>
          <w:p w:rsidR="008276F8" w:rsidRPr="008276F8" w:rsidP="00D30F20" w14:paraId="19AC176B" w14:textId="705F6EF4">
            <w:pPr>
              <w:tabs>
                <w:tab w:val="right" w:pos="1209"/>
              </w:tabs>
              <w:rPr>
                <w:rFonts w:ascii="Arial" w:hAnsi="Arial" w:cs="Arial"/>
                <w:strike/>
                <w:sz w:val="22"/>
              </w:rPr>
            </w:pPr>
            <w:r w:rsidRPr="008276F8">
              <w:rPr>
                <w:rFonts w:ascii="Arial" w:hAnsi="Arial" w:cs="Arial"/>
                <w:sz w:val="22"/>
                <w:szCs w:val="22"/>
              </w:rPr>
              <w:tab/>
              <w:t>15</w:t>
            </w:r>
          </w:p>
        </w:tc>
        <w:tc>
          <w:tcPr>
            <w:tcW w:w="2227" w:type="dxa"/>
            <w:tcBorders>
              <w:top w:val="single" w:sz="4" w:space="0" w:color="auto"/>
              <w:left w:val="single" w:sz="8" w:space="0" w:color="000000"/>
              <w:bottom w:val="double" w:sz="12" w:space="0" w:color="000000"/>
              <w:right w:val="single" w:sz="8" w:space="0" w:color="000000"/>
            </w:tcBorders>
            <w:vAlign w:val="center"/>
          </w:tcPr>
          <w:p w:rsidR="008276F8" w:rsidRPr="008276F8" w:rsidP="00D30F20" w14:paraId="7A0B12A0" w14:textId="77777777">
            <w:pPr>
              <w:jc w:val="center"/>
              <w:rPr>
                <w:rFonts w:ascii="Arial" w:hAnsi="Arial" w:cs="Arial"/>
                <w:sz w:val="22"/>
              </w:rPr>
            </w:pPr>
          </w:p>
        </w:tc>
        <w:tc>
          <w:tcPr>
            <w:tcW w:w="2228" w:type="dxa"/>
            <w:tcBorders>
              <w:top w:val="single" w:sz="4" w:space="0" w:color="auto"/>
              <w:left w:val="single" w:sz="8" w:space="0" w:color="000000"/>
              <w:bottom w:val="double" w:sz="12" w:space="0" w:color="000000"/>
              <w:right w:val="double" w:sz="12" w:space="0" w:color="000000"/>
            </w:tcBorders>
            <w:vAlign w:val="center"/>
          </w:tcPr>
          <w:p w:rsidR="008276F8" w:rsidRPr="008276F8" w:rsidP="00D30F20" w14:paraId="15D66B28" w14:textId="41D5AD43">
            <w:pPr>
              <w:tabs>
                <w:tab w:val="right" w:pos="939"/>
              </w:tabs>
              <w:rPr>
                <w:rFonts w:ascii="Arial" w:hAnsi="Arial" w:cs="Arial"/>
                <w:sz w:val="22"/>
              </w:rPr>
            </w:pPr>
            <w:r w:rsidRPr="008276F8">
              <w:rPr>
                <w:rFonts w:ascii="Arial" w:hAnsi="Arial" w:cs="Arial"/>
                <w:sz w:val="22"/>
                <w:szCs w:val="22"/>
              </w:rPr>
              <w:tab/>
              <w:t>5</w:t>
            </w:r>
          </w:p>
        </w:tc>
      </w:tr>
    </w:tbl>
    <w:p w:rsidR="003C3F87" w:rsidP="008276F8" w14:paraId="19B515E1" w14:textId="6A0F089C">
      <w:pPr>
        <w:ind w:left="450"/>
      </w:pPr>
      <w:r w:rsidRPr="00CE622E">
        <w:rPr>
          <w:rFonts w:ascii="Arial" w:eastAsia="Calibri" w:hAnsi="Arial"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7B63B8" w:rsidP="008276F8" w14:paraId="45A220D0" w14:textId="77777777">
      <w:pPr>
        <w:ind w:left="450"/>
        <w:rPr>
          <w:rFonts w:ascii="Arial" w:hAnsi="Arial" w:cs="Arial"/>
          <w:sz w:val="22"/>
          <w:szCs w:val="22"/>
          <w:u w:val="single"/>
        </w:rPr>
      </w:pPr>
    </w:p>
    <w:p w:rsidR="003C3F87" w:rsidRPr="009925F4" w:rsidP="003C3F87" w14:paraId="53151188" w14:textId="09CE2D07">
      <w:pPr>
        <w:numPr>
          <w:ilvl w:val="0"/>
          <w:numId w:val="1"/>
        </w:numPr>
        <w:tabs>
          <w:tab w:val="left" w:pos="450"/>
        </w:tabs>
        <w:ind w:hanging="450"/>
        <w:rPr>
          <w:rFonts w:ascii="Arial" w:hAnsi="Arial" w:cs="Arial"/>
          <w:sz w:val="22"/>
          <w:szCs w:val="22"/>
          <w:u w:val="single"/>
        </w:rPr>
      </w:pPr>
      <w:r>
        <w:rPr>
          <w:rFonts w:ascii="Arial" w:hAnsi="Arial" w:cs="Arial"/>
          <w:sz w:val="22"/>
          <w:szCs w:val="22"/>
          <w:u w:val="single"/>
        </w:rPr>
        <w:t>E</w:t>
      </w:r>
      <w:r w:rsidRPr="009925F4">
        <w:rPr>
          <w:rFonts w:ascii="Arial" w:hAnsi="Arial" w:cs="Arial"/>
          <w:sz w:val="22"/>
          <w:szCs w:val="22"/>
          <w:u w:val="single"/>
        </w:rPr>
        <w:t>stimated costs to respondents or record keepers</w:t>
      </w:r>
      <w:r w:rsidRPr="006D6E33">
        <w:rPr>
          <w:rFonts w:ascii="Arial" w:hAnsi="Arial" w:cs="Arial"/>
          <w:sz w:val="22"/>
          <w:szCs w:val="22"/>
        </w:rPr>
        <w:t xml:space="preserve"> </w:t>
      </w:r>
      <w:r w:rsidRPr="009925F4">
        <w:rPr>
          <w:rFonts w:ascii="Arial" w:hAnsi="Arial" w:cs="Arial"/>
          <w:sz w:val="22"/>
          <w:szCs w:val="22"/>
        </w:rPr>
        <w:t>– N/A</w:t>
      </w:r>
    </w:p>
    <w:p w:rsidR="003C3F87" w:rsidRPr="009925F4" w:rsidP="003C3F87" w14:paraId="6A4E8278" w14:textId="77777777">
      <w:pPr>
        <w:tabs>
          <w:tab w:val="left" w:pos="450"/>
        </w:tabs>
        <w:ind w:left="450" w:hanging="450"/>
        <w:rPr>
          <w:rFonts w:ascii="Arial" w:hAnsi="Arial" w:cs="Arial"/>
          <w:sz w:val="22"/>
          <w:szCs w:val="22"/>
          <w:u w:val="single"/>
        </w:rPr>
      </w:pPr>
    </w:p>
    <w:p w:rsidR="003C3F87" w:rsidRPr="009925F4" w:rsidP="003C3F87" w14:paraId="60F01D4B" w14:textId="77777777">
      <w:pPr>
        <w:numPr>
          <w:ilvl w:val="0"/>
          <w:numId w:val="1"/>
        </w:numPr>
        <w:tabs>
          <w:tab w:val="left" w:pos="450"/>
        </w:tabs>
        <w:ind w:hanging="450"/>
        <w:rPr>
          <w:rFonts w:ascii="Arial" w:hAnsi="Arial" w:cs="Arial"/>
          <w:sz w:val="22"/>
          <w:szCs w:val="22"/>
          <w:u w:val="single"/>
        </w:rPr>
      </w:pPr>
      <w:r w:rsidRPr="009925F4">
        <w:rPr>
          <w:rFonts w:ascii="Arial" w:hAnsi="Arial" w:cs="Arial"/>
          <w:sz w:val="22"/>
          <w:szCs w:val="22"/>
          <w:u w:val="single"/>
        </w:rPr>
        <w:t>Estimated cost to the Federal Government</w:t>
      </w:r>
      <w:r w:rsidRPr="009925F4">
        <w:rPr>
          <w:rFonts w:ascii="Arial" w:hAnsi="Arial" w:cs="Arial"/>
          <w:sz w:val="22"/>
          <w:szCs w:val="22"/>
        </w:rPr>
        <w:t xml:space="preserve"> – N/A</w:t>
      </w:r>
    </w:p>
    <w:p w:rsidR="003C3F87" w:rsidRPr="009925F4" w:rsidP="003C3F87" w14:paraId="76A0AF11" w14:textId="77777777">
      <w:pPr>
        <w:pStyle w:val="ListParagraph"/>
        <w:tabs>
          <w:tab w:val="left" w:pos="450"/>
        </w:tabs>
        <w:ind w:left="450" w:hanging="450"/>
        <w:rPr>
          <w:rFonts w:ascii="Arial" w:hAnsi="Arial" w:cs="Arial"/>
          <w:sz w:val="22"/>
          <w:szCs w:val="22"/>
        </w:rPr>
      </w:pPr>
    </w:p>
    <w:p w:rsidR="003C3F87" w:rsidRPr="0029176A" w:rsidP="003C3F87" w14:paraId="0D6923CD" w14:textId="544F8FD7">
      <w:pPr>
        <w:numPr>
          <w:ilvl w:val="0"/>
          <w:numId w:val="1"/>
        </w:numPr>
        <w:tabs>
          <w:tab w:val="left" w:pos="450"/>
        </w:tabs>
        <w:ind w:hanging="450"/>
        <w:rPr>
          <w:rFonts w:ascii="Arial" w:hAnsi="Arial" w:cs="Arial"/>
          <w:sz w:val="22"/>
          <w:szCs w:val="22"/>
        </w:rPr>
      </w:pPr>
      <w:r w:rsidRPr="0029176A">
        <w:rPr>
          <w:rFonts w:ascii="Arial" w:hAnsi="Arial" w:cs="Arial"/>
          <w:sz w:val="22"/>
          <w:szCs w:val="22"/>
          <w:u w:val="single"/>
        </w:rPr>
        <w:t>Explanation for change in burden</w:t>
      </w:r>
      <w:r w:rsidRPr="0029176A">
        <w:rPr>
          <w:rFonts w:ascii="Arial" w:hAnsi="Arial" w:cs="Arial"/>
          <w:sz w:val="22"/>
          <w:szCs w:val="22"/>
        </w:rPr>
        <w:t xml:space="preserve"> –</w:t>
      </w:r>
      <w:r w:rsidRPr="008276F8">
        <w:rPr>
          <w:rFonts w:ascii="Arial" w:hAnsi="Arial" w:cs="Arial"/>
          <w:sz w:val="22"/>
          <w:szCs w:val="22"/>
        </w:rPr>
        <w:t>The burden in completing these forms changed due to</w:t>
      </w:r>
      <w:r w:rsidR="0029176A">
        <w:rPr>
          <w:rFonts w:ascii="Arial" w:hAnsi="Arial" w:cs="Arial"/>
          <w:sz w:val="22"/>
          <w:szCs w:val="22"/>
        </w:rPr>
        <w:t xml:space="preserve"> the</w:t>
      </w:r>
      <w:r w:rsidRPr="008276F8">
        <w:rPr>
          <w:rFonts w:ascii="Arial" w:hAnsi="Arial" w:cs="Arial"/>
          <w:sz w:val="22"/>
          <w:szCs w:val="22"/>
        </w:rPr>
        <w:t xml:space="preserve"> decrease</w:t>
      </w:r>
      <w:r w:rsidR="0029176A">
        <w:rPr>
          <w:rFonts w:ascii="Arial" w:hAnsi="Arial" w:cs="Arial"/>
          <w:sz w:val="22"/>
          <w:szCs w:val="22"/>
        </w:rPr>
        <w:t xml:space="preserve"> </w:t>
      </w:r>
      <w:r w:rsidRPr="008276F8">
        <w:rPr>
          <w:rFonts w:ascii="Arial" w:hAnsi="Arial" w:cs="Arial"/>
          <w:sz w:val="22"/>
          <w:szCs w:val="22"/>
        </w:rPr>
        <w:t>in the amount of disability applications received by the RRB. Also, the RRB has made enhancements in how it electronically tracks and stores completed forms, which allows the agency to provide more accurate burden estimates compared to prior OMB justification submittals.</w:t>
      </w:r>
    </w:p>
    <w:p w:rsidR="003C3F87" w:rsidRPr="0029176A" w:rsidP="003C3F87" w14:paraId="158F366F" w14:textId="77777777">
      <w:pPr>
        <w:pStyle w:val="ListParagraph"/>
        <w:tabs>
          <w:tab w:val="left" w:pos="450"/>
        </w:tabs>
        <w:ind w:left="450" w:hanging="450"/>
        <w:rPr>
          <w:rFonts w:ascii="Arial" w:hAnsi="Arial" w:cs="Arial"/>
          <w:sz w:val="22"/>
          <w:szCs w:val="22"/>
        </w:rPr>
      </w:pPr>
    </w:p>
    <w:p w:rsidR="001B19FE" w:rsidRPr="0029176A" w:rsidP="001B19FE" w14:paraId="63C2471A" w14:textId="77777777">
      <w:pPr>
        <w:numPr>
          <w:ilvl w:val="0"/>
          <w:numId w:val="1"/>
        </w:numPr>
        <w:tabs>
          <w:tab w:val="left" w:pos="450"/>
        </w:tabs>
        <w:ind w:hanging="450"/>
        <w:rPr>
          <w:rFonts w:ascii="Arial" w:hAnsi="Arial" w:cs="Arial"/>
          <w:sz w:val="22"/>
          <w:szCs w:val="22"/>
        </w:rPr>
      </w:pPr>
      <w:r w:rsidRPr="0029176A">
        <w:rPr>
          <w:rFonts w:ascii="Arial" w:hAnsi="Arial" w:cs="Arial"/>
          <w:sz w:val="22"/>
          <w:szCs w:val="22"/>
          <w:u w:val="single"/>
        </w:rPr>
        <w:t>Time schedule for data collection and publication</w:t>
      </w:r>
      <w:r w:rsidRPr="0029176A">
        <w:rPr>
          <w:rFonts w:ascii="Arial" w:hAnsi="Arial" w:cs="Arial"/>
          <w:sz w:val="22"/>
          <w:szCs w:val="22"/>
        </w:rPr>
        <w:t xml:space="preserve"> – The results of this collection will not be published.</w:t>
      </w:r>
    </w:p>
    <w:p w:rsidR="001B19FE" w:rsidRPr="0029176A" w:rsidP="001B19FE" w14:paraId="2F2EA2B6" w14:textId="77777777">
      <w:pPr>
        <w:pStyle w:val="ListParagraph"/>
        <w:rPr>
          <w:rFonts w:ascii="Arial" w:hAnsi="Arial" w:cs="Arial"/>
          <w:sz w:val="22"/>
          <w:szCs w:val="22"/>
          <w:u w:val="single"/>
        </w:rPr>
      </w:pPr>
    </w:p>
    <w:p w:rsidR="003C3F87" w:rsidRPr="008276F8" w:rsidP="001B19FE" w14:paraId="21113711" w14:textId="4A119D7F">
      <w:pPr>
        <w:numPr>
          <w:ilvl w:val="0"/>
          <w:numId w:val="1"/>
        </w:numPr>
        <w:tabs>
          <w:tab w:val="left" w:pos="450"/>
        </w:tabs>
        <w:ind w:hanging="450"/>
        <w:rPr>
          <w:rFonts w:ascii="Arial" w:hAnsi="Arial" w:cs="Arial"/>
          <w:sz w:val="22"/>
          <w:szCs w:val="22"/>
        </w:rPr>
      </w:pPr>
      <w:r w:rsidRPr="0029176A">
        <w:rPr>
          <w:rFonts w:ascii="Arial" w:hAnsi="Arial" w:cs="Arial"/>
          <w:sz w:val="22"/>
          <w:szCs w:val="22"/>
          <w:u w:val="single"/>
        </w:rPr>
        <w:t>Request not to display OMB expiration date</w:t>
      </w:r>
      <w:r w:rsidRPr="0029176A">
        <w:rPr>
          <w:rFonts w:ascii="Arial" w:hAnsi="Arial" w:cs="Arial"/>
          <w:sz w:val="22"/>
          <w:szCs w:val="22"/>
        </w:rPr>
        <w:t xml:space="preserve"> </w:t>
      </w:r>
      <w:r w:rsidRPr="008276F8">
        <w:rPr>
          <w:rFonts w:ascii="Arial" w:hAnsi="Arial" w:cs="Arial"/>
          <w:sz w:val="22"/>
          <w:szCs w:val="22"/>
        </w:rPr>
        <w:t xml:space="preserve">- </w:t>
      </w:r>
      <w:r w:rsidRPr="0029176A">
        <w:rPr>
          <w:rFonts w:ascii="Arial" w:hAnsi="Arial" w:cs="Arial"/>
          <w:sz w:val="22"/>
          <w:szCs w:val="22"/>
        </w:rPr>
        <w:t>The RRB started an extensive multi-year IT Modernization Initiative at the beginning of Fiscal Year 2019 to transform our operations into the 21</w:t>
      </w:r>
      <w:r w:rsidRPr="0029176A">
        <w:rPr>
          <w:rFonts w:ascii="Arial" w:hAnsi="Arial" w:cs="Arial"/>
          <w:sz w:val="22"/>
          <w:szCs w:val="22"/>
          <w:vertAlign w:val="superscript"/>
        </w:rPr>
        <w:t>st</w:t>
      </w:r>
      <w:r w:rsidRPr="0029176A">
        <w:rPr>
          <w:rFonts w:ascii="Arial" w:hAnsi="Arial" w:cs="Arial"/>
          <w:sz w:val="22"/>
          <w:szCs w:val="22"/>
        </w:rPr>
        <w:t xml:space="preserve"> Century using multiple contractor services to improve mission performance, expand service capabilities, and strengthen cybersecurity.</w:t>
      </w:r>
      <w:r w:rsidR="008276F8">
        <w:rPr>
          <w:rFonts w:ascii="Arial" w:hAnsi="Arial" w:cs="Arial"/>
          <w:sz w:val="22"/>
          <w:szCs w:val="22"/>
        </w:rPr>
        <w:t xml:space="preserve"> </w:t>
      </w:r>
      <w:r w:rsidRPr="0029176A">
        <w:rPr>
          <w:rFonts w:ascii="Arial" w:hAnsi="Arial" w:cs="Arial"/>
          <w:sz w:val="22"/>
          <w:szCs w:val="22"/>
        </w:rPr>
        <w:t xml:space="preserve">We provided OMB with a consolidated project timeline. </w:t>
      </w:r>
    </w:p>
    <w:p w:rsidR="003C3F87" w:rsidRPr="00267008" w:rsidP="003C3F87" w14:paraId="2C7A5806" w14:textId="77777777">
      <w:pPr>
        <w:tabs>
          <w:tab w:val="left" w:pos="450"/>
        </w:tabs>
        <w:ind w:left="450"/>
        <w:jc w:val="both"/>
        <w:rPr>
          <w:rFonts w:ascii="Arial" w:hAnsi="Arial" w:cs="Arial"/>
          <w:strike/>
          <w:sz w:val="22"/>
          <w:szCs w:val="22"/>
        </w:rPr>
      </w:pPr>
    </w:p>
    <w:p w:rsidR="003C3F87" w:rsidRPr="007F10B3" w:rsidP="003C3F87" w14:paraId="6C8FB7A4" w14:textId="7B02D8C0">
      <w:pPr>
        <w:tabs>
          <w:tab w:val="left" w:pos="450"/>
        </w:tabs>
        <w:ind w:left="450"/>
        <w:jc w:val="both"/>
        <w:rPr>
          <w:rFonts w:ascii="Arial" w:hAnsi="Arial" w:cs="Arial"/>
          <w:sz w:val="22"/>
          <w:szCs w:val="22"/>
        </w:rPr>
      </w:pPr>
      <w:r w:rsidRPr="007F10B3">
        <w:rPr>
          <w:rFonts w:ascii="Arial" w:hAnsi="Arial" w:cs="Arial"/>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7F10B3">
        <w:rPr>
          <w:rFonts w:ascii="Arial" w:hAnsi="Arial" w:cs="Arial"/>
          <w:b/>
          <w:sz w:val="22"/>
          <w:szCs w:val="22"/>
        </w:rPr>
        <w:t xml:space="preserve"> </w:t>
      </w:r>
      <w:r w:rsidRPr="008276F8">
        <w:rPr>
          <w:rFonts w:ascii="Arial" w:hAnsi="Arial" w:cs="Arial"/>
          <w:bCs/>
          <w:sz w:val="22"/>
          <w:szCs w:val="22"/>
          <w:u w:val="single"/>
        </w:rPr>
        <w:t>the RRB requests the authority to not display the expiration date on the forms</w:t>
      </w:r>
      <w:r w:rsidRPr="003C3F87">
        <w:rPr>
          <w:rFonts w:ascii="Arial" w:hAnsi="Arial" w:cs="Arial"/>
          <w:bCs/>
          <w:sz w:val="22"/>
          <w:szCs w:val="22"/>
        </w:rPr>
        <w:t>.</w:t>
      </w:r>
    </w:p>
    <w:p w:rsidR="003C3F87" w:rsidRPr="009925F4" w:rsidP="003C3F87" w14:paraId="60850A22" w14:textId="77777777">
      <w:pPr>
        <w:tabs>
          <w:tab w:val="left" w:pos="450"/>
        </w:tabs>
        <w:ind w:left="450"/>
        <w:jc w:val="both"/>
        <w:rPr>
          <w:rFonts w:ascii="Arial" w:hAnsi="Arial" w:cs="Arial"/>
          <w:sz w:val="22"/>
          <w:szCs w:val="22"/>
          <w:u w:val="single"/>
        </w:rPr>
      </w:pPr>
    </w:p>
    <w:p w:rsidR="003C3F87" w:rsidRPr="009925F4" w:rsidP="003C3F87" w14:paraId="6AE2A86B" w14:textId="77777777">
      <w:pPr>
        <w:numPr>
          <w:ilvl w:val="0"/>
          <w:numId w:val="1"/>
        </w:numPr>
        <w:tabs>
          <w:tab w:val="left" w:pos="450"/>
        </w:tabs>
        <w:ind w:hanging="450"/>
        <w:rPr>
          <w:rFonts w:ascii="Arial" w:hAnsi="Arial" w:cs="Arial"/>
          <w:sz w:val="22"/>
          <w:szCs w:val="22"/>
        </w:rPr>
      </w:pPr>
      <w:r w:rsidRPr="009925F4">
        <w:rPr>
          <w:rFonts w:ascii="Arial" w:hAnsi="Arial" w:cs="Arial"/>
          <w:sz w:val="22"/>
          <w:szCs w:val="22"/>
          <w:u w:val="single"/>
        </w:rPr>
        <w:t>Exceptions to Certification Statement</w:t>
      </w:r>
      <w:r w:rsidRPr="009925F4">
        <w:rPr>
          <w:rFonts w:ascii="Arial" w:hAnsi="Arial" w:cs="Arial"/>
          <w:sz w:val="22"/>
          <w:szCs w:val="22"/>
        </w:rPr>
        <w:t xml:space="preserve"> - None.</w:t>
      </w:r>
    </w:p>
    <w:p w:rsidR="00E7253A" w14:paraId="6D91B531" w14:textId="77777777"/>
    <w:sectPr w:rsidSect="009925F4">
      <w:headerReference w:type="default" r:id="rId6"/>
      <w:footerReference w:type="even"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AA1" w:rsidP="001657B2" w14:paraId="413227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4AA1" w14:paraId="3C1BB3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AA1" w:rsidRPr="003143C0" w:rsidP="003143C0" w14:paraId="2649D5AA" w14:textId="77777777">
    <w:pPr>
      <w:pStyle w:val="Footer"/>
      <w:jc w:val="center"/>
      <w:rPr>
        <w:rFonts w:ascii="Arial" w:hAnsi="Arial"/>
        <w:sz w:val="22"/>
      </w:rPr>
    </w:pPr>
    <w:r w:rsidRPr="00711E33">
      <w:rPr>
        <w:rFonts w:ascii="Arial" w:hAnsi="Arial" w:cs="Arial"/>
        <w:sz w:val="22"/>
        <w:szCs w:val="22"/>
      </w:rPr>
      <w:t>-</w:t>
    </w:r>
    <w:r w:rsidRPr="003143C0">
      <w:rPr>
        <w:rFonts w:ascii="Arial" w:hAnsi="Arial"/>
        <w:sz w:val="22"/>
      </w:rPr>
      <w:fldChar w:fldCharType="begin"/>
    </w:r>
    <w:r w:rsidRPr="00711E33">
      <w:rPr>
        <w:rFonts w:ascii="Arial" w:hAnsi="Arial" w:cs="Arial"/>
        <w:sz w:val="22"/>
        <w:szCs w:val="22"/>
      </w:rPr>
      <w:instrText xml:space="preserve"> </w:instrText>
    </w:r>
    <w:r w:rsidRPr="003143C0">
      <w:rPr>
        <w:rFonts w:ascii="Arial" w:hAnsi="Arial"/>
        <w:sz w:val="22"/>
      </w:rPr>
      <w:instrText xml:space="preserve">PAGE  </w:instrText>
    </w:r>
    <w:r w:rsidRPr="00711E33">
      <w:rPr>
        <w:rFonts w:ascii="Arial" w:hAnsi="Arial" w:cs="Arial"/>
        <w:sz w:val="22"/>
        <w:szCs w:val="22"/>
      </w:rPr>
      <w:instrText xml:space="preserve"> \* MERGEFORMAT </w:instrText>
    </w:r>
    <w:r w:rsidRPr="003143C0">
      <w:rPr>
        <w:rFonts w:ascii="Arial" w:hAnsi="Arial"/>
        <w:sz w:val="22"/>
      </w:rPr>
      <w:fldChar w:fldCharType="separate"/>
    </w:r>
    <w:r>
      <w:rPr>
        <w:rFonts w:ascii="Arial" w:hAnsi="Arial"/>
        <w:noProof/>
        <w:sz w:val="22"/>
      </w:rPr>
      <w:t>1</w:t>
    </w:r>
    <w:r w:rsidRPr="003143C0">
      <w:rPr>
        <w:rFonts w:ascii="Arial" w:hAnsi="Arial"/>
        <w:sz w:val="22"/>
      </w:rPr>
      <w:fldChar w:fldCharType="end"/>
    </w:r>
    <w:r w:rsidRPr="00711E33">
      <w:rPr>
        <w:rFonts w:ascii="Arial" w:hAnsi="Arial" w:cs="Arial"/>
        <w:sz w:val="22"/>
        <w:szCs w:val="22"/>
      </w:rPr>
      <w:t>-</w:t>
    </w:r>
  </w:p>
  <w:p w:rsidR="00364AA1" w14:paraId="7996ACA7" w14:textId="77777777">
    <w:pPr>
      <w:pStyle w:val="Footer"/>
      <w:rPr>
        <w:rFonts w:ascii="CG Times" w:hAnsi="CG Times"/>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AA1" w:rsidRPr="0080440B" w:rsidP="0080440B" w14:paraId="14640A8F" w14:textId="77777777">
    <w:pPr>
      <w:tabs>
        <w:tab w:val="right" w:pos="9360"/>
      </w:tabs>
      <w:jc w:val="right"/>
      <w:rPr>
        <w:rFonts w:ascii="Arial" w:hAnsi="Arial" w:cs="Arial"/>
        <w:sz w:val="22"/>
        <w:szCs w:val="22"/>
      </w:rPr>
    </w:pPr>
    <w:r w:rsidRPr="00671EE2">
      <w:rPr>
        <w:rFonts w:ascii="Arial" w:hAnsi="Arial" w:cs="Arial"/>
        <w:sz w:val="22"/>
        <w:szCs w:val="22"/>
      </w:rPr>
      <w:t>O</w:t>
    </w:r>
    <w:r w:rsidRPr="0080440B">
      <w:rPr>
        <w:rFonts w:ascii="Arial" w:hAnsi="Arial" w:cs="Arial"/>
        <w:sz w:val="22"/>
        <w:szCs w:val="22"/>
      </w:rPr>
      <w:t xml:space="preserve">MB </w:t>
    </w:r>
    <w:r>
      <w:rPr>
        <w:rFonts w:ascii="Arial" w:hAnsi="Arial" w:cs="Arial"/>
        <w:sz w:val="22"/>
        <w:szCs w:val="22"/>
      </w:rPr>
      <w:t xml:space="preserve">No. </w:t>
    </w:r>
    <w:r w:rsidRPr="0080440B">
      <w:rPr>
        <w:rFonts w:ascii="Arial" w:hAnsi="Arial" w:cs="Arial"/>
        <w:sz w:val="22"/>
        <w:szCs w:val="22"/>
      </w:rPr>
      <w:t>3220-</w:t>
    </w:r>
    <w:r>
      <w:rPr>
        <w:rFonts w:ascii="Arial" w:hAnsi="Arial" w:cs="Arial"/>
        <w:sz w:val="22"/>
        <w:szCs w:val="22"/>
      </w:rPr>
      <w:t>0202</w:t>
    </w:r>
  </w:p>
  <w:p w:rsidR="00364AA1" w:rsidRPr="0080440B" w:rsidP="000F11AF" w14:paraId="5CF5C2D3" w14:textId="77777777">
    <w:pPr>
      <w:pStyle w:val="Header"/>
      <w:tabs>
        <w:tab w:val="clear" w:pos="8640"/>
        <w:tab w:val="right" w:pos="10260"/>
      </w:tabs>
      <w:rPr>
        <w:rFonts w:ascii="CG Times" w:hAnsi="CG Times"/>
        <w:sz w:val="22"/>
        <w:szCs w:val="22"/>
      </w:rPr>
    </w:pPr>
    <w:r w:rsidRPr="0080440B">
      <w:rPr>
        <w:rFonts w:ascii="Arial" w:hAnsi="Arial"/>
        <w:sz w:val="22"/>
        <w:szCs w:val="22"/>
      </w:rPr>
      <w:tab/>
    </w:r>
    <w:r w:rsidRPr="0080440B">
      <w:rPr>
        <w:rFonts w:ascii="Arial" w:hAnsi="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953D66"/>
    <w:multiLevelType w:val="hybridMultilevel"/>
    <w:tmpl w:val="FE6E8930"/>
    <w:lvl w:ilvl="0">
      <w:start w:val="1"/>
      <w:numFmt w:val="decimal"/>
      <w:lvlText w:val="%1."/>
      <w:lvlJc w:val="left"/>
      <w:pPr>
        <w:tabs>
          <w:tab w:val="num" w:pos="450"/>
        </w:tabs>
        <w:ind w:left="450" w:hanging="360"/>
      </w:pPr>
      <w:rPr>
        <w:strike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855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87"/>
    <w:rsid w:val="000F11AF"/>
    <w:rsid w:val="001657B2"/>
    <w:rsid w:val="001A616F"/>
    <w:rsid w:val="001B19FE"/>
    <w:rsid w:val="002532E7"/>
    <w:rsid w:val="00267008"/>
    <w:rsid w:val="0029176A"/>
    <w:rsid w:val="002B734C"/>
    <w:rsid w:val="003143C0"/>
    <w:rsid w:val="00364AA1"/>
    <w:rsid w:val="003C3F87"/>
    <w:rsid w:val="003F2671"/>
    <w:rsid w:val="004068F8"/>
    <w:rsid w:val="0044368B"/>
    <w:rsid w:val="005F28FF"/>
    <w:rsid w:val="00640B6A"/>
    <w:rsid w:val="00671EE2"/>
    <w:rsid w:val="006B3BC0"/>
    <w:rsid w:val="006D6E33"/>
    <w:rsid w:val="00711E33"/>
    <w:rsid w:val="00717E9C"/>
    <w:rsid w:val="007B63B8"/>
    <w:rsid w:val="007E1786"/>
    <w:rsid w:val="007F10B3"/>
    <w:rsid w:val="0080440B"/>
    <w:rsid w:val="00816BF9"/>
    <w:rsid w:val="008276F8"/>
    <w:rsid w:val="009925F4"/>
    <w:rsid w:val="009D3FF0"/>
    <w:rsid w:val="009E207E"/>
    <w:rsid w:val="00A56FE3"/>
    <w:rsid w:val="00A959A8"/>
    <w:rsid w:val="00AF38CE"/>
    <w:rsid w:val="00BD2591"/>
    <w:rsid w:val="00CE622E"/>
    <w:rsid w:val="00CF4C24"/>
    <w:rsid w:val="00D30F20"/>
    <w:rsid w:val="00E7253A"/>
    <w:rsid w:val="00ED1E2F"/>
    <w:rsid w:val="00F672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AADD6"/>
  <w15:chartTrackingRefBased/>
  <w15:docId w15:val="{C000692A-ED5A-4144-AAA1-4D4765DE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F87"/>
    <w:pPr>
      <w:spacing w:after="0" w:line="240" w:lineRule="auto"/>
    </w:pPr>
    <w:rPr>
      <w:rFonts w:ascii="Tahoma" w:eastAsia="Times New Roman" w:hAnsi="Tahoma" w:cs="Tahoma"/>
      <w:kern w:val="0"/>
      <w:sz w:val="28"/>
      <w:szCs w:val="24"/>
    </w:rPr>
  </w:style>
  <w:style w:type="paragraph" w:styleId="Heading3">
    <w:name w:val="heading 3"/>
    <w:basedOn w:val="Normal"/>
    <w:next w:val="Normal"/>
    <w:link w:val="Heading3Char"/>
    <w:qFormat/>
    <w:rsid w:val="003C3F87"/>
    <w:pPr>
      <w:keepNext/>
      <w:tabs>
        <w:tab w:val="left" w:pos="2160"/>
        <w:tab w:val="left" w:pos="4320"/>
        <w:tab w:val="left" w:pos="5760"/>
        <w:tab w:val="left" w:pos="6660"/>
      </w:tabs>
      <w:jc w:val="center"/>
      <w:outlineLvl w:val="2"/>
    </w:pPr>
    <w:rPr>
      <w:rFonts w:ascii="CG Times" w:hAnsi="CG 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3F87"/>
    <w:rPr>
      <w:rFonts w:ascii="CG Times" w:eastAsia="Times New Roman" w:hAnsi="CG Times" w:cs="Tahoma"/>
      <w:b/>
      <w:bCs/>
      <w:kern w:val="0"/>
      <w:sz w:val="24"/>
      <w:szCs w:val="24"/>
    </w:rPr>
  </w:style>
  <w:style w:type="paragraph" w:styleId="BodyText">
    <w:name w:val="Body Text"/>
    <w:basedOn w:val="Normal"/>
    <w:link w:val="BodyTextChar"/>
    <w:rsid w:val="003C3F87"/>
    <w:pPr>
      <w:tabs>
        <w:tab w:val="left" w:pos="720"/>
        <w:tab w:val="left" w:pos="5760"/>
      </w:tabs>
      <w:jc w:val="both"/>
    </w:pPr>
    <w:rPr>
      <w:sz w:val="24"/>
    </w:rPr>
  </w:style>
  <w:style w:type="character" w:customStyle="1" w:styleId="BodyTextChar">
    <w:name w:val="Body Text Char"/>
    <w:basedOn w:val="DefaultParagraphFont"/>
    <w:link w:val="BodyText"/>
    <w:rsid w:val="003C3F87"/>
    <w:rPr>
      <w:rFonts w:ascii="Tahoma" w:eastAsia="Times New Roman" w:hAnsi="Tahoma" w:cs="Tahoma"/>
      <w:kern w:val="0"/>
      <w:sz w:val="24"/>
      <w:szCs w:val="24"/>
    </w:rPr>
  </w:style>
  <w:style w:type="paragraph" w:styleId="Footer">
    <w:name w:val="footer"/>
    <w:basedOn w:val="Normal"/>
    <w:link w:val="FooterChar"/>
    <w:rsid w:val="003C3F87"/>
    <w:pPr>
      <w:tabs>
        <w:tab w:val="center" w:pos="4320"/>
        <w:tab w:val="right" w:pos="8640"/>
      </w:tabs>
    </w:pPr>
  </w:style>
  <w:style w:type="character" w:customStyle="1" w:styleId="FooterChar">
    <w:name w:val="Footer Char"/>
    <w:basedOn w:val="DefaultParagraphFont"/>
    <w:link w:val="Footer"/>
    <w:rsid w:val="003C3F87"/>
    <w:rPr>
      <w:rFonts w:ascii="Tahoma" w:eastAsia="Times New Roman" w:hAnsi="Tahoma" w:cs="Tahoma"/>
      <w:kern w:val="0"/>
      <w:sz w:val="28"/>
      <w:szCs w:val="24"/>
    </w:rPr>
  </w:style>
  <w:style w:type="character" w:styleId="PageNumber">
    <w:name w:val="page number"/>
    <w:basedOn w:val="DefaultParagraphFont"/>
    <w:rsid w:val="003C3F87"/>
  </w:style>
  <w:style w:type="paragraph" w:styleId="Header">
    <w:name w:val="header"/>
    <w:basedOn w:val="Normal"/>
    <w:link w:val="HeaderChar"/>
    <w:rsid w:val="003C3F87"/>
    <w:pPr>
      <w:tabs>
        <w:tab w:val="center" w:pos="4320"/>
        <w:tab w:val="right" w:pos="8640"/>
      </w:tabs>
    </w:pPr>
  </w:style>
  <w:style w:type="character" w:customStyle="1" w:styleId="HeaderChar">
    <w:name w:val="Header Char"/>
    <w:basedOn w:val="DefaultParagraphFont"/>
    <w:link w:val="Header"/>
    <w:rsid w:val="003C3F87"/>
    <w:rPr>
      <w:rFonts w:ascii="Tahoma" w:eastAsia="Times New Roman" w:hAnsi="Tahoma" w:cs="Tahoma"/>
      <w:kern w:val="0"/>
      <w:sz w:val="28"/>
      <w:szCs w:val="24"/>
    </w:rPr>
  </w:style>
  <w:style w:type="paragraph" w:styleId="ListParagraph">
    <w:name w:val="List Paragraph"/>
    <w:basedOn w:val="Normal"/>
    <w:uiPriority w:val="34"/>
    <w:qFormat/>
    <w:rsid w:val="003C3F87"/>
    <w:pPr>
      <w:ind w:left="720"/>
    </w:pPr>
  </w:style>
  <w:style w:type="paragraph" w:styleId="Revision">
    <w:name w:val="Revision"/>
    <w:hidden/>
    <w:uiPriority w:val="99"/>
    <w:semiHidden/>
    <w:rsid w:val="003C3F87"/>
    <w:pPr>
      <w:spacing w:after="0" w:line="240" w:lineRule="auto"/>
    </w:pPr>
    <w:rPr>
      <w:rFonts w:ascii="Tahoma" w:eastAsia="Times New Roman" w:hAnsi="Tahoma" w:cs="Tahoma"/>
      <w:kern w:val="0"/>
      <w:sz w:val="28"/>
      <w:szCs w:val="24"/>
    </w:rPr>
  </w:style>
  <w:style w:type="character" w:styleId="CommentReference">
    <w:name w:val="annotation reference"/>
    <w:basedOn w:val="DefaultParagraphFont"/>
    <w:uiPriority w:val="99"/>
    <w:semiHidden/>
    <w:unhideWhenUsed/>
    <w:rsid w:val="007B63B8"/>
    <w:rPr>
      <w:sz w:val="16"/>
      <w:szCs w:val="16"/>
    </w:rPr>
  </w:style>
  <w:style w:type="paragraph" w:styleId="CommentText">
    <w:name w:val="annotation text"/>
    <w:basedOn w:val="Normal"/>
    <w:link w:val="CommentTextChar"/>
    <w:uiPriority w:val="99"/>
    <w:unhideWhenUsed/>
    <w:rsid w:val="007B63B8"/>
    <w:rPr>
      <w:sz w:val="20"/>
      <w:szCs w:val="20"/>
    </w:rPr>
  </w:style>
  <w:style w:type="character" w:customStyle="1" w:styleId="CommentTextChar">
    <w:name w:val="Comment Text Char"/>
    <w:basedOn w:val="DefaultParagraphFont"/>
    <w:link w:val="CommentText"/>
    <w:uiPriority w:val="99"/>
    <w:rsid w:val="007B63B8"/>
    <w:rPr>
      <w:rFonts w:ascii="Tahoma" w:eastAsia="Times New Roman" w:hAnsi="Tahoma" w:cs="Tahoma"/>
      <w:kern w:val="0"/>
      <w:sz w:val="20"/>
      <w:szCs w:val="20"/>
    </w:rPr>
  </w:style>
  <w:style w:type="paragraph" w:styleId="CommentSubject">
    <w:name w:val="annotation subject"/>
    <w:basedOn w:val="CommentText"/>
    <w:next w:val="CommentText"/>
    <w:link w:val="CommentSubjectChar"/>
    <w:uiPriority w:val="99"/>
    <w:semiHidden/>
    <w:unhideWhenUsed/>
    <w:rsid w:val="007B63B8"/>
    <w:rPr>
      <w:b/>
      <w:bCs/>
    </w:rPr>
  </w:style>
  <w:style w:type="character" w:customStyle="1" w:styleId="CommentSubjectChar">
    <w:name w:val="Comment Subject Char"/>
    <w:basedOn w:val="CommentTextChar"/>
    <w:link w:val="CommentSubject"/>
    <w:uiPriority w:val="99"/>
    <w:semiHidden/>
    <w:rsid w:val="007B63B8"/>
    <w:rPr>
      <w:rFonts w:ascii="Tahoma" w:eastAsia="Times New Roman" w:hAnsi="Tahoma" w:cs="Tahom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359B-0FAF-48AC-A90D-C1EAE2F8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1117</Words>
  <Characters>6381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
    </vt:vector>
  </TitlesOfParts>
  <Company>Visio Pro LTSC 2021 x86</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Verzi, Colton</dc:creator>
  <cp:lastModifiedBy>Foster, Brian D.</cp:lastModifiedBy>
  <cp:revision>4</cp:revision>
  <dcterms:created xsi:type="dcterms:W3CDTF">2024-03-19T15:50:00Z</dcterms:created>
  <dcterms:modified xsi:type="dcterms:W3CDTF">2024-03-19T19:56:00Z</dcterms:modified>
</cp:coreProperties>
</file>