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40BA" w:rsidRPr="007015AE" w:rsidP="00FD40BA" w14:paraId="09750EDF" w14:textId="77777777">
      <w:pPr>
        <w:pBdr>
          <w:bottom w:val="single" w:sz="4" w:space="1" w:color="auto"/>
        </w:pBdr>
        <w:rPr>
          <w:b/>
          <w:sz w:val="28"/>
        </w:rPr>
      </w:pPr>
      <w:r w:rsidRPr="007015AE">
        <w:rPr>
          <w:b/>
          <w:sz w:val="28"/>
        </w:rPr>
        <w:t xml:space="preserve">American Community Survey Research and Evaluation Program </w:t>
      </w:r>
    </w:p>
    <w:p w:rsidR="00FD40BA" w:rsidRPr="00651713" w:rsidP="009B41D8" w14:paraId="09750EE0" w14:textId="6812B8CE">
      <w:pPr>
        <w:spacing w:before="120"/>
        <w:jc w:val="right"/>
        <w:rPr>
          <w:sz w:val="28"/>
        </w:rPr>
      </w:pPr>
      <w:sdt>
        <w:sdtPr>
          <w:rPr>
            <w:sz w:val="28"/>
          </w:rPr>
          <w:alias w:val="Report Date"/>
          <w:tag w:val="Report Date"/>
          <w:id w:val="1641605279"/>
          <w:placeholder>
            <w:docPart w:val="FB15E30F00E143C7B1225606CF738D69"/>
          </w:placeholder>
          <w:date w:fullDate="2024-04-17T00:00:00Z">
            <w:dateFormat w:val="MMMM d, yyyy"/>
            <w:lid w:val="en-US"/>
            <w:storeMappedDataAs w:val="dateTime"/>
            <w:calendar w:val="gregorian"/>
          </w:date>
        </w:sdtPr>
        <w:sdtContent>
          <w:r w:rsidR="001A6B71">
            <w:rPr>
              <w:sz w:val="28"/>
            </w:rPr>
            <w:t>April 17, 2024</w:t>
          </w:r>
        </w:sdtContent>
      </w:sdt>
    </w:p>
    <w:p w:rsidR="001C4AB8" w:rsidP="00E54C7F" w14:paraId="732FE83F" w14:textId="77777777">
      <w:pPr>
        <w:jc w:val="center"/>
      </w:pPr>
    </w:p>
    <w:p w:rsidR="00FD40BA" w:rsidP="00A2512C" w14:paraId="09750EE4" w14:textId="4DD880EF">
      <w:pPr>
        <w:jc w:val="center"/>
        <w:rPr>
          <w:b/>
          <w:sz w:val="44"/>
        </w:rPr>
      </w:pPr>
      <w:r w:rsidRPr="00A2512C">
        <w:rPr>
          <w:b/>
          <w:sz w:val="44"/>
        </w:rPr>
        <w:t>ACS Research &amp; Evaluation Analysis Plan (REAP)</w:t>
      </w:r>
    </w:p>
    <w:p w:rsidR="001C4AB8" w:rsidRPr="001C4AB8" w:rsidP="00E54C7F" w14:paraId="05D72473" w14:textId="77777777">
      <w:pPr>
        <w:jc w:val="center"/>
      </w:pPr>
    </w:p>
    <w:p w:rsidR="00FD40BA" w:rsidRPr="005C5F00" w:rsidP="00A2512C" w14:paraId="09750EE5" w14:textId="5E5641E4">
      <w:pPr>
        <w:jc w:val="center"/>
        <w:rPr>
          <w:b/>
          <w:sz w:val="72"/>
          <w:szCs w:val="80"/>
        </w:rPr>
      </w:pPr>
      <w:r>
        <w:rPr>
          <w:b/>
          <w:sz w:val="72"/>
          <w:szCs w:val="80"/>
        </w:rPr>
        <w:t>Sexual Orientation and Gender Identity Test</w:t>
      </w:r>
    </w:p>
    <w:p w:rsidR="00FD40BA" w:rsidP="00E54C7F" w14:paraId="09750EE6" w14:textId="77777777">
      <w:pPr>
        <w:jc w:val="center"/>
      </w:pPr>
    </w:p>
    <w:p w:rsidR="00EE6355" w:rsidP="00E54C7F" w14:paraId="42587E12" w14:textId="77777777">
      <w:pPr>
        <w:jc w:val="center"/>
      </w:pPr>
    </w:p>
    <w:p w:rsidR="00EE6355" w:rsidP="00E54C7F" w14:paraId="2F3AABB1" w14:textId="77777777">
      <w:pPr>
        <w:jc w:val="center"/>
      </w:pPr>
    </w:p>
    <w:p w:rsidR="00EE6355" w:rsidP="00E54C7F" w14:paraId="4B2BB709" w14:textId="77777777">
      <w:pPr>
        <w:jc w:val="center"/>
      </w:pPr>
    </w:p>
    <w:p w:rsidR="00EE6355" w:rsidP="00E54C7F" w14:paraId="5DB24B6E" w14:textId="77777777">
      <w:pPr>
        <w:jc w:val="center"/>
      </w:pPr>
    </w:p>
    <w:p w:rsidR="00EE6355" w:rsidP="00E54C7F" w14:paraId="7A3CE691" w14:textId="77777777">
      <w:pPr>
        <w:jc w:val="center"/>
      </w:pPr>
    </w:p>
    <w:p w:rsidR="00EE6355" w:rsidP="00E54C7F" w14:paraId="28B329BA" w14:textId="77777777">
      <w:pPr>
        <w:jc w:val="center"/>
      </w:pPr>
    </w:p>
    <w:p w:rsidR="00EE6355" w:rsidP="00E54C7F" w14:paraId="53B8A60D" w14:textId="77777777">
      <w:pPr>
        <w:jc w:val="center"/>
      </w:pPr>
    </w:p>
    <w:p w:rsidR="00EE6355" w:rsidP="00E54C7F" w14:paraId="0B1C0EEF" w14:textId="77777777">
      <w:pPr>
        <w:jc w:val="center"/>
      </w:pPr>
    </w:p>
    <w:p w:rsidR="00EE6355" w:rsidP="00E54C7F" w14:paraId="135F2E9C" w14:textId="77777777">
      <w:pPr>
        <w:jc w:val="center"/>
      </w:pPr>
    </w:p>
    <w:p w:rsidR="00EE6355" w:rsidP="00E54C7F" w14:paraId="200797C5" w14:textId="77777777">
      <w:pPr>
        <w:jc w:val="center"/>
      </w:pPr>
    </w:p>
    <w:p w:rsidR="00EE6355" w:rsidP="00E54C7F" w14:paraId="2AC113D6" w14:textId="77777777">
      <w:pPr>
        <w:jc w:val="center"/>
      </w:pPr>
    </w:p>
    <w:p w:rsidR="00EE6355" w:rsidP="00E54C7F" w14:paraId="6E65B644" w14:textId="77777777">
      <w:pPr>
        <w:jc w:val="center"/>
      </w:pPr>
    </w:p>
    <w:p w:rsidR="00EE6355" w:rsidP="00E54C7F" w14:paraId="6F471672" w14:textId="77777777">
      <w:pPr>
        <w:jc w:val="center"/>
      </w:pPr>
    </w:p>
    <w:p w:rsidR="00EE6355" w:rsidP="00E54C7F" w14:paraId="2CD1ADAB" w14:textId="77777777">
      <w:pPr>
        <w:jc w:val="center"/>
      </w:pPr>
    </w:p>
    <w:p w:rsidR="00EE6355" w:rsidP="00E54C7F" w14:paraId="396553A0" w14:textId="77777777">
      <w:pPr>
        <w:jc w:val="center"/>
      </w:pPr>
    </w:p>
    <w:p w:rsidR="00EE6355" w:rsidP="00E54C7F" w14:paraId="38B7358E" w14:textId="77777777">
      <w:pPr>
        <w:jc w:val="center"/>
      </w:pPr>
    </w:p>
    <w:p w:rsidR="00EE6355" w:rsidP="00E54C7F" w14:paraId="5C4BC24D" w14:textId="77777777">
      <w:pPr>
        <w:jc w:val="center"/>
      </w:pPr>
    </w:p>
    <w:p w:rsidR="00EE6355" w:rsidP="00E54C7F" w14:paraId="3A4ECE1C" w14:textId="77777777">
      <w:pPr>
        <w:jc w:val="center"/>
      </w:pPr>
    </w:p>
    <w:p w:rsidR="00EE6355" w:rsidP="00E54C7F" w14:paraId="1C5908AA" w14:textId="77777777">
      <w:pPr>
        <w:jc w:val="center"/>
      </w:pPr>
    </w:p>
    <w:p w:rsidR="00EE6355" w:rsidP="00E54C7F" w14:paraId="1C063BB5" w14:textId="77777777">
      <w:pPr>
        <w:jc w:val="center"/>
      </w:pPr>
    </w:p>
    <w:p w:rsidR="00EE6355" w:rsidP="00E54C7F" w14:paraId="023E5881" w14:textId="77777777">
      <w:pPr>
        <w:jc w:val="center"/>
      </w:pPr>
    </w:p>
    <w:p w:rsidR="00EE6355" w:rsidP="00E54C7F" w14:paraId="29E04F62" w14:textId="77777777">
      <w:pPr>
        <w:jc w:val="center"/>
      </w:pPr>
    </w:p>
    <w:p w:rsidR="0039722D" w:rsidP="00E54C7F" w14:paraId="5F92B2B0" w14:textId="77777777">
      <w:pPr>
        <w:jc w:val="center"/>
      </w:pPr>
    </w:p>
    <w:p w:rsidR="00FD40BA" w:rsidP="00FD40BA" w14:paraId="09750EFE" w14:textId="239F0891">
      <w:pPr>
        <w:ind w:left="5040"/>
        <w:rPr>
          <w:b/>
          <w:sz w:val="22"/>
        </w:rPr>
      </w:pPr>
      <w:r>
        <w:rPr>
          <w:b/>
          <w:noProof/>
          <w:sz w:val="22"/>
        </w:rPr>
        <w:drawing>
          <wp:anchor distT="0" distB="0" distL="114300" distR="114300" simplePos="0" relativeHeight="251659264" behindDoc="1" locked="0" layoutInCell="1" allowOverlap="1">
            <wp:simplePos x="0" y="0"/>
            <wp:positionH relativeFrom="margin">
              <wp:posOffset>66675</wp:posOffset>
            </wp:positionH>
            <wp:positionV relativeFrom="paragraph">
              <wp:posOffset>9525</wp:posOffset>
            </wp:positionV>
            <wp:extent cx="1724025" cy="678180"/>
            <wp:effectExtent l="0" t="0" r="9525" b="7620"/>
            <wp:wrapSquare wrapText="bothSides"/>
            <wp:docPr id="1" name="Picture 1" descr="Census Bureau Logo" title="Census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ENSUS_IDENTITY_SOLO_BLACK_2in_TM.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724025" cy="678180"/>
                    </a:xfrm>
                    <a:prstGeom prst="rect">
                      <a:avLst/>
                    </a:prstGeom>
                  </pic:spPr>
                </pic:pic>
              </a:graphicData>
            </a:graphic>
            <wp14:sizeRelH relativeFrom="margin">
              <wp14:pctWidth>0</wp14:pctWidth>
            </wp14:sizeRelH>
            <wp14:sizeRelV relativeFrom="margin">
              <wp14:pctHeight>0</wp14:pctHeight>
            </wp14:sizeRelV>
          </wp:anchor>
        </w:drawing>
      </w:r>
      <w:r w:rsidR="00D87B4B">
        <w:rPr>
          <w:b/>
          <w:noProof/>
          <w:sz w:val="22"/>
        </w:rPr>
        <w:drawing>
          <wp:anchor distT="0" distB="0" distL="114300" distR="114300" simplePos="0" relativeHeight="251658240" behindDoc="1" locked="0" layoutInCell="1" allowOverlap="1">
            <wp:simplePos x="0" y="0"/>
            <wp:positionH relativeFrom="margin">
              <wp:posOffset>66675</wp:posOffset>
            </wp:positionH>
            <wp:positionV relativeFrom="paragraph">
              <wp:posOffset>9525</wp:posOffset>
            </wp:positionV>
            <wp:extent cx="1390650" cy="546735"/>
            <wp:effectExtent l="0" t="0" r="0" b="5715"/>
            <wp:wrapSquare wrapText="bothSides"/>
            <wp:docPr id="7" name="Picture 7" descr="Census Bureau Logo" title="Census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CENSUS_IDENTITY_SOLO_BLACK_2in_TM.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90650" cy="546735"/>
                    </a:xfrm>
                    <a:prstGeom prst="rect">
                      <a:avLst/>
                    </a:prstGeom>
                  </pic:spPr>
                </pic:pic>
              </a:graphicData>
            </a:graphic>
            <wp14:sizeRelH relativeFrom="margin">
              <wp14:pctWidth>0</wp14:pctWidth>
            </wp14:sizeRelH>
            <wp14:sizeRelV relativeFrom="margin">
              <wp14:pctHeight>0</wp14:pctHeight>
            </wp14:sizeRelV>
          </wp:anchor>
        </w:drawing>
      </w:r>
    </w:p>
    <w:p w:rsidR="00EE6355" w14:paraId="480E7CF1" w14:textId="77777777">
      <w:pPr>
        <w:rPr>
          <w:rFonts w:eastAsiaTheme="majorEastAsia" w:cstheme="majorBidi"/>
          <w:b/>
          <w:caps/>
          <w:sz w:val="28"/>
          <w:szCs w:val="32"/>
        </w:rPr>
      </w:pPr>
      <w:r>
        <w:br w:type="page"/>
      </w:r>
    </w:p>
    <w:p w:rsidR="00801EDF" w:rsidRPr="00030169" w:rsidP="00030169" w14:paraId="09750F00" w14:textId="1C8D9AE6">
      <w:pPr>
        <w:pStyle w:val="TOCHeading"/>
      </w:pPr>
      <w:r w:rsidRPr="00030169">
        <w:t>TABLE OF CONTENTS</w:t>
      </w:r>
    </w:p>
    <w:p w:rsidR="00F376F4" w14:paraId="673975C5" w14:textId="29ADF75F">
      <w:pPr>
        <w:pStyle w:val="TOC1"/>
        <w:rPr>
          <w:rFonts w:eastAsiaTheme="minorEastAsia"/>
          <w:b w:val="0"/>
          <w:noProof/>
          <w:kern w:val="2"/>
          <w:sz w:val="22"/>
          <w:szCs w:val="22"/>
          <w14:ligatures w14:val="standardContextual"/>
        </w:rPr>
      </w:pPr>
      <w:r>
        <w:fldChar w:fldCharType="begin"/>
      </w:r>
      <w:r>
        <w:instrText xml:space="preserve"> TOC \o "1-3" \u </w:instrText>
      </w:r>
      <w:r>
        <w:fldChar w:fldCharType="separate"/>
      </w:r>
      <w:r>
        <w:rPr>
          <w:noProof/>
        </w:rPr>
        <w:t>1.</w:t>
      </w:r>
      <w:r>
        <w:rPr>
          <w:rFonts w:eastAsiaTheme="minorEastAsia"/>
          <w:b w:val="0"/>
          <w:noProof/>
          <w:kern w:val="2"/>
          <w:sz w:val="22"/>
          <w:szCs w:val="22"/>
          <w14:ligatures w14:val="standardContextual"/>
        </w:rPr>
        <w:tab/>
      </w:r>
      <w:r>
        <w:rPr>
          <w:noProof/>
        </w:rPr>
        <w:t>INTRODUCTION</w:t>
      </w:r>
      <w:r>
        <w:rPr>
          <w:noProof/>
        </w:rPr>
        <w:tab/>
      </w:r>
      <w:r>
        <w:rPr>
          <w:noProof/>
        </w:rPr>
        <w:fldChar w:fldCharType="begin"/>
      </w:r>
      <w:r>
        <w:rPr>
          <w:noProof/>
        </w:rPr>
        <w:instrText xml:space="preserve"> PAGEREF _Toc164241826 \h </w:instrText>
      </w:r>
      <w:r>
        <w:rPr>
          <w:noProof/>
        </w:rPr>
        <w:fldChar w:fldCharType="separate"/>
      </w:r>
      <w:r w:rsidR="00EE6355">
        <w:rPr>
          <w:noProof/>
        </w:rPr>
        <w:t>1</w:t>
      </w:r>
      <w:r>
        <w:rPr>
          <w:noProof/>
        </w:rPr>
        <w:fldChar w:fldCharType="end"/>
      </w:r>
    </w:p>
    <w:p w:rsidR="00F376F4" w14:paraId="2267F1DE" w14:textId="6AC85FA2">
      <w:pPr>
        <w:pStyle w:val="TOC1"/>
        <w:rPr>
          <w:rFonts w:eastAsiaTheme="minorEastAsia"/>
          <w:b w:val="0"/>
          <w:noProof/>
          <w:kern w:val="2"/>
          <w:sz w:val="22"/>
          <w:szCs w:val="22"/>
          <w14:ligatures w14:val="standardContextual"/>
        </w:rPr>
      </w:pPr>
      <w:r>
        <w:rPr>
          <w:noProof/>
        </w:rPr>
        <w:t>2.</w:t>
      </w:r>
      <w:r>
        <w:rPr>
          <w:rFonts w:eastAsiaTheme="minorEastAsia"/>
          <w:b w:val="0"/>
          <w:noProof/>
          <w:kern w:val="2"/>
          <w:sz w:val="22"/>
          <w:szCs w:val="22"/>
          <w14:ligatures w14:val="standardContextual"/>
        </w:rPr>
        <w:tab/>
      </w:r>
      <w:r>
        <w:rPr>
          <w:noProof/>
        </w:rPr>
        <w:t>BACKGROUND</w:t>
      </w:r>
      <w:r>
        <w:rPr>
          <w:noProof/>
        </w:rPr>
        <w:tab/>
      </w:r>
      <w:r>
        <w:rPr>
          <w:noProof/>
        </w:rPr>
        <w:fldChar w:fldCharType="begin"/>
      </w:r>
      <w:r>
        <w:rPr>
          <w:noProof/>
        </w:rPr>
        <w:instrText xml:space="preserve"> PAGEREF _Toc164241827 \h </w:instrText>
      </w:r>
      <w:r>
        <w:rPr>
          <w:noProof/>
        </w:rPr>
        <w:fldChar w:fldCharType="separate"/>
      </w:r>
      <w:r w:rsidR="00EE6355">
        <w:rPr>
          <w:noProof/>
        </w:rPr>
        <w:t>1</w:t>
      </w:r>
      <w:r>
        <w:rPr>
          <w:noProof/>
        </w:rPr>
        <w:fldChar w:fldCharType="end"/>
      </w:r>
    </w:p>
    <w:p w:rsidR="00F376F4" w14:paraId="08B68953" w14:textId="23EA4BAB">
      <w:pPr>
        <w:pStyle w:val="TOC2"/>
        <w:tabs>
          <w:tab w:val="left" w:pos="1080"/>
          <w:tab w:val="right" w:leader="dot" w:pos="9350"/>
        </w:tabs>
        <w:rPr>
          <w:rFonts w:eastAsiaTheme="minorEastAsia"/>
          <w:noProof/>
          <w:kern w:val="2"/>
          <w:sz w:val="22"/>
          <w:szCs w:val="22"/>
          <w14:ligatures w14:val="standardContextual"/>
        </w:rPr>
      </w:pPr>
      <w:r>
        <w:rPr>
          <w:noProof/>
        </w:rPr>
        <w:t>2.1</w:t>
      </w:r>
      <w:r>
        <w:rPr>
          <w:rFonts w:eastAsiaTheme="minorEastAsia"/>
          <w:noProof/>
          <w:kern w:val="2"/>
          <w:sz w:val="22"/>
          <w:szCs w:val="22"/>
          <w14:ligatures w14:val="standardContextual"/>
        </w:rPr>
        <w:tab/>
      </w:r>
      <w:r>
        <w:rPr>
          <w:noProof/>
        </w:rPr>
        <w:t>Cognitive Testing</w:t>
      </w:r>
      <w:r>
        <w:rPr>
          <w:noProof/>
        </w:rPr>
        <w:tab/>
      </w:r>
      <w:r>
        <w:rPr>
          <w:noProof/>
        </w:rPr>
        <w:fldChar w:fldCharType="begin"/>
      </w:r>
      <w:r>
        <w:rPr>
          <w:noProof/>
        </w:rPr>
        <w:instrText xml:space="preserve"> PAGEREF _Toc164241828 \h </w:instrText>
      </w:r>
      <w:r>
        <w:rPr>
          <w:noProof/>
        </w:rPr>
        <w:fldChar w:fldCharType="separate"/>
      </w:r>
      <w:r w:rsidR="00EE6355">
        <w:rPr>
          <w:noProof/>
        </w:rPr>
        <w:t>1</w:t>
      </w:r>
      <w:r>
        <w:rPr>
          <w:noProof/>
        </w:rPr>
        <w:fldChar w:fldCharType="end"/>
      </w:r>
    </w:p>
    <w:p w:rsidR="00F376F4" w14:paraId="5DBEE70E" w14:textId="4D843D69">
      <w:pPr>
        <w:pStyle w:val="TOC2"/>
        <w:tabs>
          <w:tab w:val="left" w:pos="1080"/>
          <w:tab w:val="right" w:leader="dot" w:pos="9350"/>
        </w:tabs>
        <w:rPr>
          <w:rFonts w:eastAsiaTheme="minorEastAsia"/>
          <w:noProof/>
          <w:kern w:val="2"/>
          <w:sz w:val="22"/>
          <w:szCs w:val="22"/>
          <w14:ligatures w14:val="standardContextual"/>
        </w:rPr>
      </w:pPr>
      <w:r>
        <w:rPr>
          <w:noProof/>
        </w:rPr>
        <w:t>2.2</w:t>
      </w:r>
      <w:r>
        <w:rPr>
          <w:rFonts w:eastAsiaTheme="minorEastAsia"/>
          <w:noProof/>
          <w:kern w:val="2"/>
          <w:sz w:val="22"/>
          <w:szCs w:val="22"/>
          <w14:ligatures w14:val="standardContextual"/>
        </w:rPr>
        <w:tab/>
      </w:r>
      <w:r>
        <w:rPr>
          <w:noProof/>
        </w:rPr>
        <w:t>Data Collection and Field Testing</w:t>
      </w:r>
      <w:r>
        <w:rPr>
          <w:noProof/>
        </w:rPr>
        <w:tab/>
      </w:r>
      <w:r>
        <w:rPr>
          <w:noProof/>
        </w:rPr>
        <w:fldChar w:fldCharType="begin"/>
      </w:r>
      <w:r>
        <w:rPr>
          <w:noProof/>
        </w:rPr>
        <w:instrText xml:space="preserve"> PAGEREF _Toc164241829 \h </w:instrText>
      </w:r>
      <w:r>
        <w:rPr>
          <w:noProof/>
        </w:rPr>
        <w:fldChar w:fldCharType="separate"/>
      </w:r>
      <w:r w:rsidR="00EE6355">
        <w:rPr>
          <w:noProof/>
        </w:rPr>
        <w:t>2</w:t>
      </w:r>
      <w:r>
        <w:rPr>
          <w:noProof/>
        </w:rPr>
        <w:fldChar w:fldCharType="end"/>
      </w:r>
    </w:p>
    <w:p w:rsidR="00F376F4" w14:paraId="7FB2DCDF" w14:textId="36DCB533">
      <w:pPr>
        <w:pStyle w:val="TOC2"/>
        <w:tabs>
          <w:tab w:val="left" w:pos="1080"/>
          <w:tab w:val="right" w:leader="dot" w:pos="9350"/>
        </w:tabs>
        <w:rPr>
          <w:rFonts w:eastAsiaTheme="minorEastAsia"/>
          <w:noProof/>
          <w:kern w:val="2"/>
          <w:sz w:val="22"/>
          <w:szCs w:val="22"/>
          <w14:ligatures w14:val="standardContextual"/>
        </w:rPr>
      </w:pPr>
      <w:r>
        <w:rPr>
          <w:noProof/>
        </w:rPr>
        <w:t>2.3</w:t>
      </w:r>
      <w:r>
        <w:rPr>
          <w:rFonts w:eastAsiaTheme="minorEastAsia"/>
          <w:noProof/>
          <w:kern w:val="2"/>
          <w:sz w:val="22"/>
          <w:szCs w:val="22"/>
          <w14:ligatures w14:val="standardContextual"/>
        </w:rPr>
        <w:tab/>
      </w:r>
      <w:r>
        <w:rPr>
          <w:noProof/>
        </w:rPr>
        <w:t>Content Follow-Up</w:t>
      </w:r>
      <w:r>
        <w:rPr>
          <w:noProof/>
        </w:rPr>
        <w:tab/>
      </w:r>
      <w:r>
        <w:rPr>
          <w:noProof/>
        </w:rPr>
        <w:fldChar w:fldCharType="begin"/>
      </w:r>
      <w:r>
        <w:rPr>
          <w:noProof/>
        </w:rPr>
        <w:instrText xml:space="preserve"> PAGEREF _Toc164241830 \h </w:instrText>
      </w:r>
      <w:r>
        <w:rPr>
          <w:noProof/>
        </w:rPr>
        <w:fldChar w:fldCharType="separate"/>
      </w:r>
      <w:r w:rsidR="00EE6355">
        <w:rPr>
          <w:noProof/>
        </w:rPr>
        <w:t>4</w:t>
      </w:r>
      <w:r>
        <w:rPr>
          <w:noProof/>
        </w:rPr>
        <w:fldChar w:fldCharType="end"/>
      </w:r>
    </w:p>
    <w:p w:rsidR="00F376F4" w14:paraId="0BD06095" w14:textId="08C1F224">
      <w:pPr>
        <w:pStyle w:val="TOC2"/>
        <w:tabs>
          <w:tab w:val="left" w:pos="1080"/>
          <w:tab w:val="right" w:leader="dot" w:pos="9350"/>
        </w:tabs>
        <w:rPr>
          <w:rFonts w:eastAsiaTheme="minorEastAsia"/>
          <w:noProof/>
          <w:kern w:val="2"/>
          <w:sz w:val="22"/>
          <w:szCs w:val="22"/>
          <w14:ligatures w14:val="standardContextual"/>
        </w:rPr>
      </w:pPr>
      <w:r>
        <w:rPr>
          <w:noProof/>
        </w:rPr>
        <w:t>2.4</w:t>
      </w:r>
      <w:r>
        <w:rPr>
          <w:rFonts w:eastAsiaTheme="minorEastAsia"/>
          <w:noProof/>
          <w:kern w:val="2"/>
          <w:sz w:val="22"/>
          <w:szCs w:val="22"/>
          <w14:ligatures w14:val="standardContextual"/>
        </w:rPr>
        <w:tab/>
      </w:r>
      <w:r>
        <w:rPr>
          <w:noProof/>
        </w:rPr>
        <w:t>Question Content for SOGI Field Test</w:t>
      </w:r>
      <w:r>
        <w:rPr>
          <w:noProof/>
        </w:rPr>
        <w:tab/>
      </w:r>
      <w:r>
        <w:rPr>
          <w:noProof/>
        </w:rPr>
        <w:fldChar w:fldCharType="begin"/>
      </w:r>
      <w:r>
        <w:rPr>
          <w:noProof/>
        </w:rPr>
        <w:instrText xml:space="preserve"> PAGEREF _Toc164241831 \h </w:instrText>
      </w:r>
      <w:r>
        <w:rPr>
          <w:noProof/>
        </w:rPr>
        <w:fldChar w:fldCharType="separate"/>
      </w:r>
      <w:r w:rsidR="00EE6355">
        <w:rPr>
          <w:noProof/>
        </w:rPr>
        <w:t>6</w:t>
      </w:r>
      <w:r>
        <w:rPr>
          <w:noProof/>
        </w:rPr>
        <w:fldChar w:fldCharType="end"/>
      </w:r>
    </w:p>
    <w:p w:rsidR="00F376F4" w14:paraId="5415FA7C" w14:textId="3C2AAACC">
      <w:pPr>
        <w:pStyle w:val="TOC3"/>
        <w:rPr>
          <w:rFonts w:eastAsiaTheme="minorEastAsia"/>
          <w:noProof/>
          <w:kern w:val="2"/>
          <w:sz w:val="22"/>
          <w:szCs w:val="22"/>
          <w14:ligatures w14:val="standardContextual"/>
        </w:rPr>
      </w:pPr>
      <w:r>
        <w:rPr>
          <w:noProof/>
        </w:rPr>
        <w:t>2.4.1</w:t>
      </w:r>
      <w:r>
        <w:rPr>
          <w:rFonts w:eastAsiaTheme="minorEastAsia"/>
          <w:noProof/>
          <w:kern w:val="2"/>
          <w:sz w:val="22"/>
          <w:szCs w:val="22"/>
          <w14:ligatures w14:val="standardContextual"/>
        </w:rPr>
        <w:tab/>
      </w:r>
      <w:r>
        <w:rPr>
          <w:noProof/>
        </w:rPr>
        <w:t>Guidelines and Recommendations for Measuring SOGI</w:t>
      </w:r>
      <w:r>
        <w:rPr>
          <w:noProof/>
        </w:rPr>
        <w:tab/>
      </w:r>
      <w:r>
        <w:rPr>
          <w:noProof/>
        </w:rPr>
        <w:fldChar w:fldCharType="begin"/>
      </w:r>
      <w:r>
        <w:rPr>
          <w:noProof/>
        </w:rPr>
        <w:instrText xml:space="preserve"> PAGEREF _Toc164241832 \h </w:instrText>
      </w:r>
      <w:r>
        <w:rPr>
          <w:noProof/>
        </w:rPr>
        <w:fldChar w:fldCharType="separate"/>
      </w:r>
      <w:r w:rsidR="00EE6355">
        <w:rPr>
          <w:noProof/>
        </w:rPr>
        <w:t>6</w:t>
      </w:r>
      <w:r>
        <w:rPr>
          <w:noProof/>
        </w:rPr>
        <w:fldChar w:fldCharType="end"/>
      </w:r>
    </w:p>
    <w:p w:rsidR="00F376F4" w14:paraId="6A375663" w14:textId="7C343377">
      <w:pPr>
        <w:pStyle w:val="TOC3"/>
        <w:rPr>
          <w:rFonts w:eastAsiaTheme="minorEastAsia"/>
          <w:noProof/>
          <w:kern w:val="2"/>
          <w:sz w:val="22"/>
          <w:szCs w:val="22"/>
          <w14:ligatures w14:val="standardContextual"/>
        </w:rPr>
      </w:pPr>
      <w:r>
        <w:rPr>
          <w:noProof/>
        </w:rPr>
        <w:t>2.4.2</w:t>
      </w:r>
      <w:r>
        <w:rPr>
          <w:rFonts w:eastAsiaTheme="minorEastAsia"/>
          <w:noProof/>
          <w:kern w:val="2"/>
          <w:sz w:val="22"/>
          <w:szCs w:val="22"/>
          <w14:ligatures w14:val="standardContextual"/>
        </w:rPr>
        <w:tab/>
      </w:r>
      <w:r>
        <w:rPr>
          <w:noProof/>
        </w:rPr>
        <w:t>Question Content for Gender Identity and Sexual Orientation</w:t>
      </w:r>
      <w:r>
        <w:rPr>
          <w:noProof/>
        </w:rPr>
        <w:tab/>
      </w:r>
      <w:r>
        <w:rPr>
          <w:noProof/>
        </w:rPr>
        <w:fldChar w:fldCharType="begin"/>
      </w:r>
      <w:r>
        <w:rPr>
          <w:noProof/>
        </w:rPr>
        <w:instrText xml:space="preserve"> PAGEREF _Toc164241833 \h </w:instrText>
      </w:r>
      <w:r>
        <w:rPr>
          <w:noProof/>
        </w:rPr>
        <w:fldChar w:fldCharType="separate"/>
      </w:r>
      <w:r w:rsidR="00EE6355">
        <w:rPr>
          <w:noProof/>
        </w:rPr>
        <w:t>7</w:t>
      </w:r>
      <w:r>
        <w:rPr>
          <w:noProof/>
        </w:rPr>
        <w:fldChar w:fldCharType="end"/>
      </w:r>
    </w:p>
    <w:p w:rsidR="00F376F4" w14:paraId="67FA1105" w14:textId="26860992">
      <w:pPr>
        <w:pStyle w:val="TOC3"/>
        <w:rPr>
          <w:rFonts w:eastAsiaTheme="minorEastAsia"/>
          <w:noProof/>
          <w:kern w:val="2"/>
          <w:sz w:val="22"/>
          <w:szCs w:val="22"/>
          <w14:ligatures w14:val="standardContextual"/>
        </w:rPr>
      </w:pPr>
      <w:r>
        <w:rPr>
          <w:noProof/>
        </w:rPr>
        <w:t>2.4.3</w:t>
      </w:r>
      <w:r>
        <w:rPr>
          <w:rFonts w:eastAsiaTheme="minorEastAsia"/>
          <w:noProof/>
          <w:kern w:val="2"/>
          <w:sz w:val="22"/>
          <w:szCs w:val="22"/>
          <w14:ligatures w14:val="standardContextual"/>
        </w:rPr>
        <w:tab/>
      </w:r>
      <w:r>
        <w:rPr>
          <w:noProof/>
        </w:rPr>
        <w:t>Internet Write-In Box Display</w:t>
      </w:r>
      <w:r>
        <w:rPr>
          <w:noProof/>
        </w:rPr>
        <w:tab/>
      </w:r>
      <w:r>
        <w:rPr>
          <w:noProof/>
        </w:rPr>
        <w:fldChar w:fldCharType="begin"/>
      </w:r>
      <w:r>
        <w:rPr>
          <w:noProof/>
        </w:rPr>
        <w:instrText xml:space="preserve"> PAGEREF _Toc164241834 \h </w:instrText>
      </w:r>
      <w:r>
        <w:rPr>
          <w:noProof/>
        </w:rPr>
        <w:fldChar w:fldCharType="separate"/>
      </w:r>
      <w:r w:rsidR="00EE6355">
        <w:rPr>
          <w:noProof/>
        </w:rPr>
        <w:t>9</w:t>
      </w:r>
      <w:r>
        <w:rPr>
          <w:noProof/>
        </w:rPr>
        <w:fldChar w:fldCharType="end"/>
      </w:r>
    </w:p>
    <w:p w:rsidR="00F376F4" w14:paraId="7F6BCCB9" w14:textId="064D8ED1">
      <w:pPr>
        <w:pStyle w:val="TOC3"/>
        <w:rPr>
          <w:rFonts w:eastAsiaTheme="minorEastAsia"/>
          <w:noProof/>
          <w:kern w:val="2"/>
          <w:sz w:val="22"/>
          <w:szCs w:val="22"/>
          <w14:ligatures w14:val="standardContextual"/>
        </w:rPr>
      </w:pPr>
      <w:r>
        <w:rPr>
          <w:noProof/>
        </w:rPr>
        <w:t>2.4.4</w:t>
      </w:r>
      <w:r>
        <w:rPr>
          <w:rFonts w:eastAsiaTheme="minorEastAsia"/>
          <w:noProof/>
          <w:kern w:val="2"/>
          <w:sz w:val="22"/>
          <w:szCs w:val="22"/>
          <w14:ligatures w14:val="standardContextual"/>
        </w:rPr>
        <w:tab/>
      </w:r>
      <w:r>
        <w:rPr>
          <w:noProof/>
        </w:rPr>
        <w:t>Additional Questionnaire and Instrument Changes</w:t>
      </w:r>
      <w:r>
        <w:rPr>
          <w:noProof/>
        </w:rPr>
        <w:tab/>
      </w:r>
      <w:r>
        <w:rPr>
          <w:noProof/>
        </w:rPr>
        <w:fldChar w:fldCharType="begin"/>
      </w:r>
      <w:r>
        <w:rPr>
          <w:noProof/>
        </w:rPr>
        <w:instrText xml:space="preserve"> PAGEREF _Toc164241835 \h </w:instrText>
      </w:r>
      <w:r>
        <w:rPr>
          <w:noProof/>
        </w:rPr>
        <w:fldChar w:fldCharType="separate"/>
      </w:r>
      <w:r w:rsidR="00EE6355">
        <w:rPr>
          <w:noProof/>
        </w:rPr>
        <w:t>11</w:t>
      </w:r>
      <w:r>
        <w:rPr>
          <w:noProof/>
        </w:rPr>
        <w:fldChar w:fldCharType="end"/>
      </w:r>
    </w:p>
    <w:p w:rsidR="00F376F4" w14:paraId="6599C23A" w14:textId="270EAD10">
      <w:pPr>
        <w:pStyle w:val="TOC3"/>
        <w:rPr>
          <w:rFonts w:eastAsiaTheme="minorEastAsia"/>
          <w:noProof/>
          <w:kern w:val="2"/>
          <w:sz w:val="22"/>
          <w:szCs w:val="22"/>
          <w14:ligatures w14:val="standardContextual"/>
        </w:rPr>
      </w:pPr>
      <w:r>
        <w:rPr>
          <w:noProof/>
        </w:rPr>
        <w:t>2.4.5</w:t>
      </w:r>
      <w:r>
        <w:rPr>
          <w:rFonts w:eastAsiaTheme="minorEastAsia"/>
          <w:noProof/>
          <w:kern w:val="2"/>
          <w:sz w:val="22"/>
          <w:szCs w:val="22"/>
          <w14:ligatures w14:val="standardContextual"/>
        </w:rPr>
        <w:tab/>
      </w:r>
      <w:r>
        <w:rPr>
          <w:noProof/>
        </w:rPr>
        <w:t>Qualitative Questions</w:t>
      </w:r>
      <w:r>
        <w:rPr>
          <w:noProof/>
        </w:rPr>
        <w:tab/>
      </w:r>
      <w:r>
        <w:rPr>
          <w:noProof/>
        </w:rPr>
        <w:fldChar w:fldCharType="begin"/>
      </w:r>
      <w:r>
        <w:rPr>
          <w:noProof/>
        </w:rPr>
        <w:instrText xml:space="preserve"> PAGEREF _Toc164241836 \h </w:instrText>
      </w:r>
      <w:r>
        <w:rPr>
          <w:noProof/>
        </w:rPr>
        <w:fldChar w:fldCharType="separate"/>
      </w:r>
      <w:r w:rsidR="00EE6355">
        <w:rPr>
          <w:noProof/>
        </w:rPr>
        <w:t>13</w:t>
      </w:r>
      <w:r>
        <w:rPr>
          <w:noProof/>
        </w:rPr>
        <w:fldChar w:fldCharType="end"/>
      </w:r>
    </w:p>
    <w:p w:rsidR="00F376F4" w14:paraId="56BD0FFF" w14:textId="40D38F31">
      <w:pPr>
        <w:pStyle w:val="TOC1"/>
        <w:rPr>
          <w:rFonts w:eastAsiaTheme="minorEastAsia"/>
          <w:b w:val="0"/>
          <w:noProof/>
          <w:kern w:val="2"/>
          <w:sz w:val="22"/>
          <w:szCs w:val="22"/>
          <w14:ligatures w14:val="standardContextual"/>
        </w:rPr>
      </w:pPr>
      <w:r>
        <w:rPr>
          <w:noProof/>
        </w:rPr>
        <w:t>3.</w:t>
      </w:r>
      <w:r>
        <w:rPr>
          <w:rFonts w:eastAsiaTheme="minorEastAsia"/>
          <w:b w:val="0"/>
          <w:noProof/>
          <w:kern w:val="2"/>
          <w:sz w:val="22"/>
          <w:szCs w:val="22"/>
          <w14:ligatures w14:val="standardContextual"/>
        </w:rPr>
        <w:tab/>
      </w:r>
      <w:r>
        <w:rPr>
          <w:noProof/>
        </w:rPr>
        <w:t>LITERATURE REVIEW</w:t>
      </w:r>
      <w:r>
        <w:rPr>
          <w:noProof/>
        </w:rPr>
        <w:tab/>
      </w:r>
      <w:r>
        <w:rPr>
          <w:noProof/>
        </w:rPr>
        <w:fldChar w:fldCharType="begin"/>
      </w:r>
      <w:r>
        <w:rPr>
          <w:noProof/>
        </w:rPr>
        <w:instrText xml:space="preserve"> PAGEREF _Toc164241837 \h </w:instrText>
      </w:r>
      <w:r>
        <w:rPr>
          <w:noProof/>
        </w:rPr>
        <w:fldChar w:fldCharType="separate"/>
      </w:r>
      <w:r w:rsidR="00EE6355">
        <w:rPr>
          <w:noProof/>
        </w:rPr>
        <w:t>14</w:t>
      </w:r>
      <w:r>
        <w:rPr>
          <w:noProof/>
        </w:rPr>
        <w:fldChar w:fldCharType="end"/>
      </w:r>
    </w:p>
    <w:p w:rsidR="00F376F4" w14:paraId="2E1B9D2D" w14:textId="398EEC51">
      <w:pPr>
        <w:pStyle w:val="TOC2"/>
        <w:tabs>
          <w:tab w:val="left" w:pos="1080"/>
          <w:tab w:val="right" w:leader="dot" w:pos="9350"/>
        </w:tabs>
        <w:rPr>
          <w:rFonts w:eastAsiaTheme="minorEastAsia"/>
          <w:noProof/>
          <w:kern w:val="2"/>
          <w:sz w:val="22"/>
          <w:szCs w:val="22"/>
          <w14:ligatures w14:val="standardContextual"/>
        </w:rPr>
      </w:pPr>
      <w:r>
        <w:rPr>
          <w:noProof/>
        </w:rPr>
        <w:t>3.1</w:t>
      </w:r>
      <w:r>
        <w:rPr>
          <w:rFonts w:eastAsiaTheme="minorEastAsia"/>
          <w:noProof/>
          <w:kern w:val="2"/>
          <w:sz w:val="22"/>
          <w:szCs w:val="22"/>
          <w14:ligatures w14:val="standardContextual"/>
        </w:rPr>
        <w:tab/>
      </w:r>
      <w:r>
        <w:rPr>
          <w:noProof/>
        </w:rPr>
        <w:t>SOGI Questions in Federal Surveys</w:t>
      </w:r>
      <w:r>
        <w:rPr>
          <w:noProof/>
        </w:rPr>
        <w:tab/>
      </w:r>
      <w:r>
        <w:rPr>
          <w:noProof/>
        </w:rPr>
        <w:fldChar w:fldCharType="begin"/>
      </w:r>
      <w:r>
        <w:rPr>
          <w:noProof/>
        </w:rPr>
        <w:instrText xml:space="preserve"> PAGEREF _Toc164241838 \h </w:instrText>
      </w:r>
      <w:r>
        <w:rPr>
          <w:noProof/>
        </w:rPr>
        <w:fldChar w:fldCharType="separate"/>
      </w:r>
      <w:r w:rsidR="00EE6355">
        <w:rPr>
          <w:noProof/>
        </w:rPr>
        <w:t>15</w:t>
      </w:r>
      <w:r>
        <w:rPr>
          <w:noProof/>
        </w:rPr>
        <w:fldChar w:fldCharType="end"/>
      </w:r>
    </w:p>
    <w:p w:rsidR="00F376F4" w14:paraId="7469A4A1" w14:textId="73966714">
      <w:pPr>
        <w:pStyle w:val="TOC2"/>
        <w:tabs>
          <w:tab w:val="left" w:pos="1080"/>
          <w:tab w:val="right" w:leader="dot" w:pos="9350"/>
        </w:tabs>
        <w:rPr>
          <w:rFonts w:eastAsiaTheme="minorEastAsia"/>
          <w:noProof/>
          <w:kern w:val="2"/>
          <w:sz w:val="22"/>
          <w:szCs w:val="22"/>
          <w14:ligatures w14:val="standardContextual"/>
        </w:rPr>
      </w:pPr>
      <w:r>
        <w:rPr>
          <w:noProof/>
        </w:rPr>
        <w:t>3.2</w:t>
      </w:r>
      <w:r>
        <w:rPr>
          <w:rFonts w:eastAsiaTheme="minorEastAsia"/>
          <w:noProof/>
          <w:kern w:val="2"/>
          <w:sz w:val="22"/>
          <w:szCs w:val="22"/>
          <w14:ligatures w14:val="standardContextual"/>
        </w:rPr>
        <w:tab/>
      </w:r>
      <w:r>
        <w:rPr>
          <w:noProof/>
        </w:rPr>
        <w:t>Additional SOGI Testing</w:t>
      </w:r>
      <w:r>
        <w:rPr>
          <w:noProof/>
        </w:rPr>
        <w:tab/>
      </w:r>
      <w:r>
        <w:rPr>
          <w:noProof/>
        </w:rPr>
        <w:fldChar w:fldCharType="begin"/>
      </w:r>
      <w:r>
        <w:rPr>
          <w:noProof/>
        </w:rPr>
        <w:instrText xml:space="preserve"> PAGEREF _Toc164241839 \h </w:instrText>
      </w:r>
      <w:r>
        <w:rPr>
          <w:noProof/>
        </w:rPr>
        <w:fldChar w:fldCharType="separate"/>
      </w:r>
      <w:r w:rsidR="00EE6355">
        <w:rPr>
          <w:noProof/>
        </w:rPr>
        <w:t>20</w:t>
      </w:r>
      <w:r>
        <w:rPr>
          <w:noProof/>
        </w:rPr>
        <w:fldChar w:fldCharType="end"/>
      </w:r>
    </w:p>
    <w:p w:rsidR="00F376F4" w14:paraId="13DDBA2A" w14:textId="70C5738D">
      <w:pPr>
        <w:pStyle w:val="TOC1"/>
        <w:rPr>
          <w:rFonts w:eastAsiaTheme="minorEastAsia"/>
          <w:b w:val="0"/>
          <w:noProof/>
          <w:kern w:val="2"/>
          <w:sz w:val="22"/>
          <w:szCs w:val="22"/>
          <w14:ligatures w14:val="standardContextual"/>
        </w:rPr>
      </w:pPr>
      <w:r>
        <w:rPr>
          <w:noProof/>
        </w:rPr>
        <w:t>4.</w:t>
      </w:r>
      <w:r>
        <w:rPr>
          <w:rFonts w:eastAsiaTheme="minorEastAsia"/>
          <w:b w:val="0"/>
          <w:noProof/>
          <w:kern w:val="2"/>
          <w:sz w:val="22"/>
          <w:szCs w:val="22"/>
          <w14:ligatures w14:val="standardContextual"/>
        </w:rPr>
        <w:tab/>
      </w:r>
      <w:r>
        <w:rPr>
          <w:noProof/>
        </w:rPr>
        <w:t>RESEARCH QUESTIONS AND METHODOLOGY</w:t>
      </w:r>
      <w:r>
        <w:rPr>
          <w:noProof/>
        </w:rPr>
        <w:tab/>
      </w:r>
      <w:r>
        <w:rPr>
          <w:noProof/>
        </w:rPr>
        <w:fldChar w:fldCharType="begin"/>
      </w:r>
      <w:r>
        <w:rPr>
          <w:noProof/>
        </w:rPr>
        <w:instrText xml:space="preserve"> PAGEREF _Toc164241840 \h </w:instrText>
      </w:r>
      <w:r>
        <w:rPr>
          <w:noProof/>
        </w:rPr>
        <w:fldChar w:fldCharType="separate"/>
      </w:r>
      <w:r w:rsidR="00EE6355">
        <w:rPr>
          <w:noProof/>
        </w:rPr>
        <w:t>21</w:t>
      </w:r>
      <w:r>
        <w:rPr>
          <w:noProof/>
        </w:rPr>
        <w:fldChar w:fldCharType="end"/>
      </w:r>
    </w:p>
    <w:p w:rsidR="00F376F4" w14:paraId="3C3B9288" w14:textId="2107A102">
      <w:pPr>
        <w:pStyle w:val="TOC2"/>
        <w:tabs>
          <w:tab w:val="left" w:pos="1080"/>
          <w:tab w:val="right" w:leader="dot" w:pos="9350"/>
        </w:tabs>
        <w:rPr>
          <w:rFonts w:eastAsiaTheme="minorEastAsia"/>
          <w:noProof/>
          <w:kern w:val="2"/>
          <w:sz w:val="22"/>
          <w:szCs w:val="22"/>
          <w14:ligatures w14:val="standardContextual"/>
        </w:rPr>
      </w:pPr>
      <w:r>
        <w:rPr>
          <w:noProof/>
        </w:rPr>
        <w:t>4.1</w:t>
      </w:r>
      <w:r>
        <w:rPr>
          <w:rFonts w:eastAsiaTheme="minorEastAsia"/>
          <w:noProof/>
          <w:kern w:val="2"/>
          <w:sz w:val="22"/>
          <w:szCs w:val="22"/>
          <w14:ligatures w14:val="standardContextual"/>
        </w:rPr>
        <w:tab/>
      </w:r>
      <w:r>
        <w:rPr>
          <w:noProof/>
        </w:rPr>
        <w:t>Sample Design</w:t>
      </w:r>
      <w:r>
        <w:rPr>
          <w:noProof/>
        </w:rPr>
        <w:tab/>
      </w:r>
      <w:r>
        <w:rPr>
          <w:noProof/>
        </w:rPr>
        <w:fldChar w:fldCharType="begin"/>
      </w:r>
      <w:r>
        <w:rPr>
          <w:noProof/>
        </w:rPr>
        <w:instrText xml:space="preserve"> PAGEREF _Toc164241841 \h </w:instrText>
      </w:r>
      <w:r>
        <w:rPr>
          <w:noProof/>
        </w:rPr>
        <w:fldChar w:fldCharType="separate"/>
      </w:r>
      <w:r w:rsidR="00EE6355">
        <w:rPr>
          <w:noProof/>
        </w:rPr>
        <w:t>21</w:t>
      </w:r>
      <w:r>
        <w:rPr>
          <w:noProof/>
        </w:rPr>
        <w:fldChar w:fldCharType="end"/>
      </w:r>
    </w:p>
    <w:p w:rsidR="00F376F4" w14:paraId="54714ADD" w14:textId="0F1209C3">
      <w:pPr>
        <w:pStyle w:val="TOC2"/>
        <w:tabs>
          <w:tab w:val="left" w:pos="1080"/>
          <w:tab w:val="right" w:leader="dot" w:pos="9350"/>
        </w:tabs>
        <w:rPr>
          <w:rFonts w:eastAsiaTheme="minorEastAsia"/>
          <w:noProof/>
          <w:kern w:val="2"/>
          <w:sz w:val="22"/>
          <w:szCs w:val="22"/>
          <w14:ligatures w14:val="standardContextual"/>
        </w:rPr>
      </w:pPr>
      <w:r>
        <w:rPr>
          <w:noProof/>
        </w:rPr>
        <w:t>4.2</w:t>
      </w:r>
      <w:r>
        <w:rPr>
          <w:rFonts w:eastAsiaTheme="minorEastAsia"/>
          <w:noProof/>
          <w:kern w:val="2"/>
          <w:sz w:val="22"/>
          <w:szCs w:val="22"/>
          <w14:ligatures w14:val="standardContextual"/>
        </w:rPr>
        <w:tab/>
      </w:r>
      <w:r>
        <w:rPr>
          <w:noProof/>
        </w:rPr>
        <w:t>Experimental Design</w:t>
      </w:r>
      <w:r>
        <w:rPr>
          <w:noProof/>
        </w:rPr>
        <w:tab/>
      </w:r>
      <w:r>
        <w:rPr>
          <w:noProof/>
        </w:rPr>
        <w:fldChar w:fldCharType="begin"/>
      </w:r>
      <w:r>
        <w:rPr>
          <w:noProof/>
        </w:rPr>
        <w:instrText xml:space="preserve"> PAGEREF _Toc164241842 \h </w:instrText>
      </w:r>
      <w:r>
        <w:rPr>
          <w:noProof/>
        </w:rPr>
        <w:fldChar w:fldCharType="separate"/>
      </w:r>
      <w:r w:rsidR="00EE6355">
        <w:rPr>
          <w:noProof/>
        </w:rPr>
        <w:t>22</w:t>
      </w:r>
      <w:r>
        <w:rPr>
          <w:noProof/>
        </w:rPr>
        <w:fldChar w:fldCharType="end"/>
      </w:r>
    </w:p>
    <w:p w:rsidR="00F376F4" w14:paraId="1951E9DD" w14:textId="0E8BA937">
      <w:pPr>
        <w:pStyle w:val="TOC2"/>
        <w:tabs>
          <w:tab w:val="left" w:pos="1080"/>
          <w:tab w:val="right" w:leader="dot" w:pos="9350"/>
        </w:tabs>
        <w:rPr>
          <w:rFonts w:eastAsiaTheme="minorEastAsia"/>
          <w:noProof/>
          <w:kern w:val="2"/>
          <w:sz w:val="22"/>
          <w:szCs w:val="22"/>
          <w14:ligatures w14:val="standardContextual"/>
        </w:rPr>
      </w:pPr>
      <w:r>
        <w:rPr>
          <w:noProof/>
        </w:rPr>
        <w:t>4.3</w:t>
      </w:r>
      <w:r>
        <w:rPr>
          <w:rFonts w:eastAsiaTheme="minorEastAsia"/>
          <w:noProof/>
          <w:kern w:val="2"/>
          <w:sz w:val="22"/>
          <w:szCs w:val="22"/>
          <w14:ligatures w14:val="standardContextual"/>
        </w:rPr>
        <w:tab/>
      </w:r>
      <w:r>
        <w:rPr>
          <w:noProof/>
        </w:rPr>
        <w:t>Research Questions</w:t>
      </w:r>
      <w:r>
        <w:rPr>
          <w:noProof/>
        </w:rPr>
        <w:tab/>
      </w:r>
      <w:r>
        <w:rPr>
          <w:noProof/>
        </w:rPr>
        <w:fldChar w:fldCharType="begin"/>
      </w:r>
      <w:r>
        <w:rPr>
          <w:noProof/>
        </w:rPr>
        <w:instrText xml:space="preserve"> PAGEREF _Toc164241843 \h </w:instrText>
      </w:r>
      <w:r>
        <w:rPr>
          <w:noProof/>
        </w:rPr>
        <w:fldChar w:fldCharType="separate"/>
      </w:r>
      <w:r w:rsidR="00EE6355">
        <w:rPr>
          <w:noProof/>
        </w:rPr>
        <w:t>23</w:t>
      </w:r>
      <w:r>
        <w:rPr>
          <w:noProof/>
        </w:rPr>
        <w:fldChar w:fldCharType="end"/>
      </w:r>
    </w:p>
    <w:p w:rsidR="00F376F4" w14:paraId="76857423" w14:textId="2B543F08">
      <w:pPr>
        <w:pStyle w:val="TOC2"/>
        <w:tabs>
          <w:tab w:val="left" w:pos="1080"/>
          <w:tab w:val="right" w:leader="dot" w:pos="9350"/>
        </w:tabs>
        <w:rPr>
          <w:rFonts w:eastAsiaTheme="minorEastAsia"/>
          <w:noProof/>
          <w:kern w:val="2"/>
          <w:sz w:val="22"/>
          <w:szCs w:val="22"/>
          <w14:ligatures w14:val="standardContextual"/>
        </w:rPr>
      </w:pPr>
      <w:r>
        <w:rPr>
          <w:noProof/>
        </w:rPr>
        <w:t>4.4</w:t>
      </w:r>
      <w:r>
        <w:rPr>
          <w:rFonts w:eastAsiaTheme="minorEastAsia"/>
          <w:noProof/>
          <w:kern w:val="2"/>
          <w:sz w:val="22"/>
          <w:szCs w:val="22"/>
          <w14:ligatures w14:val="standardContextual"/>
        </w:rPr>
        <w:tab/>
      </w:r>
      <w:r>
        <w:rPr>
          <w:noProof/>
        </w:rPr>
        <w:t>Analysis Metrics</w:t>
      </w:r>
      <w:r>
        <w:rPr>
          <w:noProof/>
        </w:rPr>
        <w:tab/>
      </w:r>
      <w:r>
        <w:rPr>
          <w:noProof/>
        </w:rPr>
        <w:fldChar w:fldCharType="begin"/>
      </w:r>
      <w:r>
        <w:rPr>
          <w:noProof/>
        </w:rPr>
        <w:instrText xml:space="preserve"> PAGEREF _Toc164241844 \h </w:instrText>
      </w:r>
      <w:r>
        <w:rPr>
          <w:noProof/>
        </w:rPr>
        <w:fldChar w:fldCharType="separate"/>
      </w:r>
      <w:r w:rsidR="00EE6355">
        <w:rPr>
          <w:noProof/>
        </w:rPr>
        <w:t>31</w:t>
      </w:r>
      <w:r>
        <w:rPr>
          <w:noProof/>
        </w:rPr>
        <w:fldChar w:fldCharType="end"/>
      </w:r>
    </w:p>
    <w:p w:rsidR="00F376F4" w14:paraId="78C54D09" w14:textId="3BDFB924">
      <w:pPr>
        <w:pStyle w:val="TOC3"/>
        <w:rPr>
          <w:rFonts w:eastAsiaTheme="minorEastAsia"/>
          <w:noProof/>
          <w:kern w:val="2"/>
          <w:sz w:val="22"/>
          <w:szCs w:val="22"/>
          <w14:ligatures w14:val="standardContextual"/>
        </w:rPr>
      </w:pPr>
      <w:r>
        <w:rPr>
          <w:noProof/>
        </w:rPr>
        <w:t>4.4.1</w:t>
      </w:r>
      <w:r>
        <w:rPr>
          <w:rFonts w:eastAsiaTheme="minorEastAsia"/>
          <w:noProof/>
          <w:kern w:val="2"/>
          <w:sz w:val="22"/>
          <w:szCs w:val="22"/>
          <w14:ligatures w14:val="standardContextual"/>
        </w:rPr>
        <w:tab/>
      </w:r>
      <w:r>
        <w:rPr>
          <w:noProof/>
        </w:rPr>
        <w:t>Unit-Level Analysis</w:t>
      </w:r>
      <w:r>
        <w:rPr>
          <w:noProof/>
        </w:rPr>
        <w:tab/>
      </w:r>
      <w:r>
        <w:rPr>
          <w:noProof/>
        </w:rPr>
        <w:fldChar w:fldCharType="begin"/>
      </w:r>
      <w:r>
        <w:rPr>
          <w:noProof/>
        </w:rPr>
        <w:instrText xml:space="preserve"> PAGEREF _Toc164241845 \h </w:instrText>
      </w:r>
      <w:r>
        <w:rPr>
          <w:noProof/>
        </w:rPr>
        <w:fldChar w:fldCharType="separate"/>
      </w:r>
      <w:r w:rsidR="00EE6355">
        <w:rPr>
          <w:noProof/>
        </w:rPr>
        <w:t>32</w:t>
      </w:r>
      <w:r>
        <w:rPr>
          <w:noProof/>
        </w:rPr>
        <w:fldChar w:fldCharType="end"/>
      </w:r>
    </w:p>
    <w:p w:rsidR="00F376F4" w14:paraId="442948E2" w14:textId="585F1147">
      <w:pPr>
        <w:pStyle w:val="TOC3"/>
        <w:rPr>
          <w:rFonts w:eastAsiaTheme="minorEastAsia"/>
          <w:noProof/>
          <w:kern w:val="2"/>
          <w:sz w:val="22"/>
          <w:szCs w:val="22"/>
          <w14:ligatures w14:val="standardContextual"/>
        </w:rPr>
      </w:pPr>
      <w:r>
        <w:rPr>
          <w:noProof/>
        </w:rPr>
        <w:t>4.4.2</w:t>
      </w:r>
      <w:r>
        <w:rPr>
          <w:rFonts w:eastAsiaTheme="minorEastAsia"/>
          <w:noProof/>
          <w:kern w:val="2"/>
          <w:sz w:val="22"/>
          <w:szCs w:val="22"/>
          <w14:ligatures w14:val="standardContextual"/>
        </w:rPr>
        <w:tab/>
      </w:r>
      <w:r>
        <w:rPr>
          <w:noProof/>
        </w:rPr>
        <w:t>Benchmarks</w:t>
      </w:r>
      <w:r>
        <w:rPr>
          <w:noProof/>
        </w:rPr>
        <w:tab/>
      </w:r>
      <w:r>
        <w:rPr>
          <w:noProof/>
        </w:rPr>
        <w:fldChar w:fldCharType="begin"/>
      </w:r>
      <w:r>
        <w:rPr>
          <w:noProof/>
        </w:rPr>
        <w:instrText xml:space="preserve"> PAGEREF _Toc164241846 \h </w:instrText>
      </w:r>
      <w:r>
        <w:rPr>
          <w:noProof/>
        </w:rPr>
        <w:fldChar w:fldCharType="separate"/>
      </w:r>
      <w:r w:rsidR="00EE6355">
        <w:rPr>
          <w:noProof/>
        </w:rPr>
        <w:t>33</w:t>
      </w:r>
      <w:r>
        <w:rPr>
          <w:noProof/>
        </w:rPr>
        <w:fldChar w:fldCharType="end"/>
      </w:r>
    </w:p>
    <w:p w:rsidR="00F376F4" w14:paraId="7EDDCE41" w14:textId="33D99315">
      <w:pPr>
        <w:pStyle w:val="TOC3"/>
        <w:rPr>
          <w:rFonts w:eastAsiaTheme="minorEastAsia"/>
          <w:noProof/>
          <w:kern w:val="2"/>
          <w:sz w:val="22"/>
          <w:szCs w:val="22"/>
          <w14:ligatures w14:val="standardContextual"/>
        </w:rPr>
      </w:pPr>
      <w:r>
        <w:rPr>
          <w:noProof/>
        </w:rPr>
        <w:t>4.4.3</w:t>
      </w:r>
      <w:r>
        <w:rPr>
          <w:rFonts w:eastAsiaTheme="minorEastAsia"/>
          <w:noProof/>
          <w:kern w:val="2"/>
          <w:sz w:val="22"/>
          <w:szCs w:val="22"/>
          <w14:ligatures w14:val="standardContextual"/>
        </w:rPr>
        <w:tab/>
      </w:r>
      <w:r>
        <w:rPr>
          <w:noProof/>
        </w:rPr>
        <w:t>Item Missing Data Rates</w:t>
      </w:r>
      <w:r>
        <w:rPr>
          <w:noProof/>
        </w:rPr>
        <w:tab/>
      </w:r>
      <w:r>
        <w:rPr>
          <w:noProof/>
        </w:rPr>
        <w:fldChar w:fldCharType="begin"/>
      </w:r>
      <w:r>
        <w:rPr>
          <w:noProof/>
        </w:rPr>
        <w:instrText xml:space="preserve"> PAGEREF _Toc164241847 \h </w:instrText>
      </w:r>
      <w:r>
        <w:rPr>
          <w:noProof/>
        </w:rPr>
        <w:fldChar w:fldCharType="separate"/>
      </w:r>
      <w:r w:rsidR="00EE6355">
        <w:rPr>
          <w:noProof/>
        </w:rPr>
        <w:t>36</w:t>
      </w:r>
      <w:r>
        <w:rPr>
          <w:noProof/>
        </w:rPr>
        <w:fldChar w:fldCharType="end"/>
      </w:r>
    </w:p>
    <w:p w:rsidR="00F376F4" w14:paraId="1E3E90BF" w14:textId="4FAEAE9B">
      <w:pPr>
        <w:pStyle w:val="TOC3"/>
        <w:rPr>
          <w:rFonts w:eastAsiaTheme="minorEastAsia"/>
          <w:noProof/>
          <w:kern w:val="2"/>
          <w:sz w:val="22"/>
          <w:szCs w:val="22"/>
          <w14:ligatures w14:val="standardContextual"/>
        </w:rPr>
      </w:pPr>
      <w:r>
        <w:rPr>
          <w:noProof/>
        </w:rPr>
        <w:t>4.4.4</w:t>
      </w:r>
      <w:r>
        <w:rPr>
          <w:rFonts w:eastAsiaTheme="minorEastAsia"/>
          <w:noProof/>
          <w:kern w:val="2"/>
          <w:sz w:val="22"/>
          <w:szCs w:val="22"/>
          <w14:ligatures w14:val="standardContextual"/>
        </w:rPr>
        <w:tab/>
      </w:r>
      <w:r>
        <w:rPr>
          <w:noProof/>
        </w:rPr>
        <w:t>Response Distributions</w:t>
      </w:r>
      <w:r>
        <w:rPr>
          <w:noProof/>
        </w:rPr>
        <w:tab/>
      </w:r>
      <w:r>
        <w:rPr>
          <w:noProof/>
        </w:rPr>
        <w:fldChar w:fldCharType="begin"/>
      </w:r>
      <w:r>
        <w:rPr>
          <w:noProof/>
        </w:rPr>
        <w:instrText xml:space="preserve"> PAGEREF _Toc164241848 \h </w:instrText>
      </w:r>
      <w:r>
        <w:rPr>
          <w:noProof/>
        </w:rPr>
        <w:fldChar w:fldCharType="separate"/>
      </w:r>
      <w:r w:rsidR="00EE6355">
        <w:rPr>
          <w:noProof/>
        </w:rPr>
        <w:t>36</w:t>
      </w:r>
      <w:r>
        <w:rPr>
          <w:noProof/>
        </w:rPr>
        <w:fldChar w:fldCharType="end"/>
      </w:r>
    </w:p>
    <w:p w:rsidR="00F376F4" w14:paraId="6143B00C" w14:textId="2E689B72">
      <w:pPr>
        <w:pStyle w:val="TOC3"/>
        <w:rPr>
          <w:rFonts w:eastAsiaTheme="minorEastAsia"/>
          <w:noProof/>
          <w:kern w:val="2"/>
          <w:sz w:val="22"/>
          <w:szCs w:val="22"/>
          <w14:ligatures w14:val="standardContextual"/>
        </w:rPr>
      </w:pPr>
      <w:r>
        <w:rPr>
          <w:noProof/>
        </w:rPr>
        <w:t>4.4.5</w:t>
      </w:r>
      <w:r>
        <w:rPr>
          <w:rFonts w:eastAsiaTheme="minorEastAsia"/>
          <w:noProof/>
          <w:kern w:val="2"/>
          <w:sz w:val="22"/>
          <w:szCs w:val="22"/>
          <w14:ligatures w14:val="standardContextual"/>
        </w:rPr>
        <w:tab/>
      </w:r>
      <w:r>
        <w:rPr>
          <w:noProof/>
        </w:rPr>
        <w:t>Response Reliability</w:t>
      </w:r>
      <w:r>
        <w:rPr>
          <w:noProof/>
        </w:rPr>
        <w:tab/>
      </w:r>
      <w:r>
        <w:rPr>
          <w:noProof/>
        </w:rPr>
        <w:fldChar w:fldCharType="begin"/>
      </w:r>
      <w:r>
        <w:rPr>
          <w:noProof/>
        </w:rPr>
        <w:instrText xml:space="preserve"> PAGEREF _Toc164241849 \h </w:instrText>
      </w:r>
      <w:r>
        <w:rPr>
          <w:noProof/>
        </w:rPr>
        <w:fldChar w:fldCharType="separate"/>
      </w:r>
      <w:r w:rsidR="00EE6355">
        <w:rPr>
          <w:noProof/>
        </w:rPr>
        <w:t>37</w:t>
      </w:r>
      <w:r>
        <w:rPr>
          <w:noProof/>
        </w:rPr>
        <w:fldChar w:fldCharType="end"/>
      </w:r>
    </w:p>
    <w:p w:rsidR="00F376F4" w14:paraId="7CC5B331" w14:textId="3674101D">
      <w:pPr>
        <w:pStyle w:val="TOC2"/>
        <w:tabs>
          <w:tab w:val="left" w:pos="1080"/>
          <w:tab w:val="right" w:leader="dot" w:pos="9350"/>
        </w:tabs>
        <w:rPr>
          <w:rFonts w:eastAsiaTheme="minorEastAsia"/>
          <w:noProof/>
          <w:kern w:val="2"/>
          <w:sz w:val="22"/>
          <w:szCs w:val="22"/>
          <w14:ligatures w14:val="standardContextual"/>
        </w:rPr>
      </w:pPr>
      <w:r>
        <w:rPr>
          <w:noProof/>
        </w:rPr>
        <w:t>4.5</w:t>
      </w:r>
      <w:r>
        <w:rPr>
          <w:rFonts w:eastAsiaTheme="minorEastAsia"/>
          <w:noProof/>
          <w:kern w:val="2"/>
          <w:sz w:val="22"/>
          <w:szCs w:val="22"/>
          <w14:ligatures w14:val="standardContextual"/>
        </w:rPr>
        <w:tab/>
      </w:r>
      <w:r>
        <w:rPr>
          <w:noProof/>
        </w:rPr>
        <w:t>Weighting</w:t>
      </w:r>
      <w:r>
        <w:rPr>
          <w:noProof/>
        </w:rPr>
        <w:tab/>
      </w:r>
      <w:r>
        <w:rPr>
          <w:noProof/>
        </w:rPr>
        <w:fldChar w:fldCharType="begin"/>
      </w:r>
      <w:r>
        <w:rPr>
          <w:noProof/>
        </w:rPr>
        <w:instrText xml:space="preserve"> PAGEREF _Toc164241850 \h </w:instrText>
      </w:r>
      <w:r>
        <w:rPr>
          <w:noProof/>
        </w:rPr>
        <w:fldChar w:fldCharType="separate"/>
      </w:r>
      <w:r w:rsidR="00EE6355">
        <w:rPr>
          <w:noProof/>
        </w:rPr>
        <w:t>41</w:t>
      </w:r>
      <w:r>
        <w:rPr>
          <w:noProof/>
        </w:rPr>
        <w:fldChar w:fldCharType="end"/>
      </w:r>
    </w:p>
    <w:p w:rsidR="00F376F4" w14:paraId="47786226" w14:textId="5CF682B8">
      <w:pPr>
        <w:pStyle w:val="TOC1"/>
        <w:rPr>
          <w:rFonts w:eastAsiaTheme="minorEastAsia"/>
          <w:b w:val="0"/>
          <w:noProof/>
          <w:kern w:val="2"/>
          <w:sz w:val="22"/>
          <w:szCs w:val="22"/>
          <w14:ligatures w14:val="standardContextual"/>
        </w:rPr>
      </w:pPr>
      <w:r>
        <w:rPr>
          <w:noProof/>
        </w:rPr>
        <w:t>5.</w:t>
      </w:r>
      <w:r>
        <w:rPr>
          <w:rFonts w:eastAsiaTheme="minorEastAsia"/>
          <w:b w:val="0"/>
          <w:noProof/>
          <w:kern w:val="2"/>
          <w:sz w:val="22"/>
          <w:szCs w:val="22"/>
          <w14:ligatures w14:val="standardContextual"/>
        </w:rPr>
        <w:tab/>
      </w:r>
      <w:r>
        <w:rPr>
          <w:noProof/>
        </w:rPr>
        <w:t>DECISION CRITERIA</w:t>
      </w:r>
      <w:r>
        <w:rPr>
          <w:noProof/>
        </w:rPr>
        <w:tab/>
      </w:r>
      <w:r>
        <w:rPr>
          <w:noProof/>
        </w:rPr>
        <w:fldChar w:fldCharType="begin"/>
      </w:r>
      <w:r>
        <w:rPr>
          <w:noProof/>
        </w:rPr>
        <w:instrText xml:space="preserve"> PAGEREF _Toc164241851 \h </w:instrText>
      </w:r>
      <w:r>
        <w:rPr>
          <w:noProof/>
        </w:rPr>
        <w:fldChar w:fldCharType="separate"/>
      </w:r>
      <w:r w:rsidR="00EE6355">
        <w:rPr>
          <w:noProof/>
        </w:rPr>
        <w:t>41</w:t>
      </w:r>
      <w:r>
        <w:rPr>
          <w:noProof/>
        </w:rPr>
        <w:fldChar w:fldCharType="end"/>
      </w:r>
    </w:p>
    <w:p w:rsidR="00F376F4" w14:paraId="705A35AD" w14:textId="76AE67D7">
      <w:pPr>
        <w:pStyle w:val="TOC1"/>
        <w:rPr>
          <w:rFonts w:eastAsiaTheme="minorEastAsia"/>
          <w:b w:val="0"/>
          <w:noProof/>
          <w:kern w:val="2"/>
          <w:sz w:val="22"/>
          <w:szCs w:val="22"/>
          <w14:ligatures w14:val="standardContextual"/>
        </w:rPr>
      </w:pPr>
      <w:r>
        <w:rPr>
          <w:noProof/>
        </w:rPr>
        <w:t>6.</w:t>
      </w:r>
      <w:r>
        <w:rPr>
          <w:rFonts w:eastAsiaTheme="minorEastAsia"/>
          <w:b w:val="0"/>
          <w:noProof/>
          <w:kern w:val="2"/>
          <w:sz w:val="22"/>
          <w:szCs w:val="22"/>
          <w14:ligatures w14:val="standardContextual"/>
        </w:rPr>
        <w:tab/>
      </w:r>
      <w:r>
        <w:rPr>
          <w:noProof/>
        </w:rPr>
        <w:t>ASSUMPTIONS AND LIMITATIONS</w:t>
      </w:r>
      <w:r>
        <w:rPr>
          <w:noProof/>
        </w:rPr>
        <w:tab/>
      </w:r>
      <w:r>
        <w:rPr>
          <w:noProof/>
        </w:rPr>
        <w:fldChar w:fldCharType="begin"/>
      </w:r>
      <w:r>
        <w:rPr>
          <w:noProof/>
        </w:rPr>
        <w:instrText xml:space="preserve"> PAGEREF _Toc164241852 \h </w:instrText>
      </w:r>
      <w:r>
        <w:rPr>
          <w:noProof/>
        </w:rPr>
        <w:fldChar w:fldCharType="separate"/>
      </w:r>
      <w:r w:rsidR="00EE6355">
        <w:rPr>
          <w:noProof/>
        </w:rPr>
        <w:t>45</w:t>
      </w:r>
      <w:r>
        <w:rPr>
          <w:noProof/>
        </w:rPr>
        <w:fldChar w:fldCharType="end"/>
      </w:r>
    </w:p>
    <w:p w:rsidR="00F376F4" w14:paraId="4FCA20F0" w14:textId="7A8AE28C">
      <w:pPr>
        <w:pStyle w:val="TOC2"/>
        <w:tabs>
          <w:tab w:val="left" w:pos="1080"/>
          <w:tab w:val="right" w:leader="dot" w:pos="9350"/>
        </w:tabs>
        <w:rPr>
          <w:rFonts w:eastAsiaTheme="minorEastAsia"/>
          <w:noProof/>
          <w:kern w:val="2"/>
          <w:sz w:val="22"/>
          <w:szCs w:val="22"/>
          <w14:ligatures w14:val="standardContextual"/>
        </w:rPr>
      </w:pPr>
      <w:r>
        <w:rPr>
          <w:noProof/>
        </w:rPr>
        <w:t>6.1</w:t>
      </w:r>
      <w:r>
        <w:rPr>
          <w:rFonts w:eastAsiaTheme="minorEastAsia"/>
          <w:noProof/>
          <w:kern w:val="2"/>
          <w:sz w:val="22"/>
          <w:szCs w:val="22"/>
          <w14:ligatures w14:val="standardContextual"/>
        </w:rPr>
        <w:tab/>
      </w:r>
      <w:r>
        <w:rPr>
          <w:noProof/>
        </w:rPr>
        <w:t>Assumptions</w:t>
      </w:r>
      <w:r>
        <w:rPr>
          <w:noProof/>
        </w:rPr>
        <w:tab/>
      </w:r>
      <w:r>
        <w:rPr>
          <w:noProof/>
        </w:rPr>
        <w:fldChar w:fldCharType="begin"/>
      </w:r>
      <w:r>
        <w:rPr>
          <w:noProof/>
        </w:rPr>
        <w:instrText xml:space="preserve"> PAGEREF _Toc164241853 \h </w:instrText>
      </w:r>
      <w:r>
        <w:rPr>
          <w:noProof/>
        </w:rPr>
        <w:fldChar w:fldCharType="separate"/>
      </w:r>
      <w:r w:rsidR="00EE6355">
        <w:rPr>
          <w:noProof/>
        </w:rPr>
        <w:t>45</w:t>
      </w:r>
      <w:r>
        <w:rPr>
          <w:noProof/>
        </w:rPr>
        <w:fldChar w:fldCharType="end"/>
      </w:r>
    </w:p>
    <w:p w:rsidR="00F376F4" w14:paraId="185E7107" w14:textId="5E1C0951">
      <w:pPr>
        <w:pStyle w:val="TOC2"/>
        <w:tabs>
          <w:tab w:val="left" w:pos="1080"/>
          <w:tab w:val="right" w:leader="dot" w:pos="9350"/>
        </w:tabs>
        <w:rPr>
          <w:rFonts w:eastAsiaTheme="minorEastAsia"/>
          <w:noProof/>
          <w:kern w:val="2"/>
          <w:sz w:val="22"/>
          <w:szCs w:val="22"/>
          <w14:ligatures w14:val="standardContextual"/>
        </w:rPr>
      </w:pPr>
      <w:r>
        <w:rPr>
          <w:noProof/>
        </w:rPr>
        <w:t>6.2</w:t>
      </w:r>
      <w:r>
        <w:rPr>
          <w:rFonts w:eastAsiaTheme="minorEastAsia"/>
          <w:noProof/>
          <w:kern w:val="2"/>
          <w:sz w:val="22"/>
          <w:szCs w:val="22"/>
          <w14:ligatures w14:val="standardContextual"/>
        </w:rPr>
        <w:tab/>
      </w:r>
      <w:r>
        <w:rPr>
          <w:noProof/>
        </w:rPr>
        <w:t>Limitations</w:t>
      </w:r>
      <w:r>
        <w:rPr>
          <w:noProof/>
        </w:rPr>
        <w:tab/>
      </w:r>
      <w:r>
        <w:rPr>
          <w:noProof/>
        </w:rPr>
        <w:fldChar w:fldCharType="begin"/>
      </w:r>
      <w:r>
        <w:rPr>
          <w:noProof/>
        </w:rPr>
        <w:instrText xml:space="preserve"> PAGEREF _Toc164241854 \h </w:instrText>
      </w:r>
      <w:r>
        <w:rPr>
          <w:noProof/>
        </w:rPr>
        <w:fldChar w:fldCharType="separate"/>
      </w:r>
      <w:r w:rsidR="00EE6355">
        <w:rPr>
          <w:noProof/>
        </w:rPr>
        <w:t>45</w:t>
      </w:r>
      <w:r>
        <w:rPr>
          <w:noProof/>
        </w:rPr>
        <w:fldChar w:fldCharType="end"/>
      </w:r>
    </w:p>
    <w:p w:rsidR="00F376F4" w14:paraId="7A22EB36" w14:textId="77948E89">
      <w:pPr>
        <w:pStyle w:val="TOC1"/>
        <w:rPr>
          <w:rFonts w:eastAsiaTheme="minorEastAsia"/>
          <w:b w:val="0"/>
          <w:noProof/>
          <w:kern w:val="2"/>
          <w:sz w:val="22"/>
          <w:szCs w:val="22"/>
          <w14:ligatures w14:val="standardContextual"/>
        </w:rPr>
      </w:pPr>
      <w:r>
        <w:rPr>
          <w:noProof/>
        </w:rPr>
        <w:t>7.</w:t>
      </w:r>
      <w:r>
        <w:rPr>
          <w:rFonts w:eastAsiaTheme="minorEastAsia"/>
          <w:b w:val="0"/>
          <w:noProof/>
          <w:kern w:val="2"/>
          <w:sz w:val="22"/>
          <w:szCs w:val="22"/>
          <w14:ligatures w14:val="standardContextual"/>
        </w:rPr>
        <w:tab/>
      </w:r>
      <w:r>
        <w:rPr>
          <w:noProof/>
        </w:rPr>
        <w:t>POTENTIAL CHANGES TO ACS</w:t>
      </w:r>
      <w:r>
        <w:rPr>
          <w:noProof/>
        </w:rPr>
        <w:tab/>
      </w:r>
      <w:r>
        <w:rPr>
          <w:noProof/>
        </w:rPr>
        <w:fldChar w:fldCharType="begin"/>
      </w:r>
      <w:r>
        <w:rPr>
          <w:noProof/>
        </w:rPr>
        <w:instrText xml:space="preserve"> PAGEREF _Toc164241855 \h </w:instrText>
      </w:r>
      <w:r>
        <w:rPr>
          <w:noProof/>
        </w:rPr>
        <w:fldChar w:fldCharType="separate"/>
      </w:r>
      <w:r w:rsidR="00EE6355">
        <w:rPr>
          <w:noProof/>
        </w:rPr>
        <w:t>46</w:t>
      </w:r>
      <w:r>
        <w:rPr>
          <w:noProof/>
        </w:rPr>
        <w:fldChar w:fldCharType="end"/>
      </w:r>
    </w:p>
    <w:p w:rsidR="00F376F4" w14:paraId="28A6765F" w14:textId="6FFE0C91">
      <w:pPr>
        <w:pStyle w:val="TOC1"/>
        <w:rPr>
          <w:rFonts w:eastAsiaTheme="minorEastAsia"/>
          <w:b w:val="0"/>
          <w:noProof/>
          <w:kern w:val="2"/>
          <w:sz w:val="22"/>
          <w:szCs w:val="22"/>
          <w14:ligatures w14:val="standardContextual"/>
        </w:rPr>
      </w:pPr>
      <w:r>
        <w:rPr>
          <w:noProof/>
        </w:rPr>
        <w:t>8.</w:t>
      </w:r>
      <w:r>
        <w:rPr>
          <w:rFonts w:eastAsiaTheme="minorEastAsia"/>
          <w:b w:val="0"/>
          <w:noProof/>
          <w:kern w:val="2"/>
          <w:sz w:val="22"/>
          <w:szCs w:val="22"/>
          <w14:ligatures w14:val="standardContextual"/>
        </w:rPr>
        <w:tab/>
      </w:r>
      <w:r>
        <w:rPr>
          <w:noProof/>
        </w:rPr>
        <w:t>REFERENCES</w:t>
      </w:r>
      <w:r>
        <w:rPr>
          <w:noProof/>
        </w:rPr>
        <w:tab/>
      </w:r>
      <w:r>
        <w:rPr>
          <w:noProof/>
        </w:rPr>
        <w:fldChar w:fldCharType="begin"/>
      </w:r>
      <w:r>
        <w:rPr>
          <w:noProof/>
        </w:rPr>
        <w:instrText xml:space="preserve"> PAGEREF _Toc164241856 \h </w:instrText>
      </w:r>
      <w:r>
        <w:rPr>
          <w:noProof/>
        </w:rPr>
        <w:fldChar w:fldCharType="separate"/>
      </w:r>
      <w:r w:rsidR="00EE6355">
        <w:rPr>
          <w:noProof/>
        </w:rPr>
        <w:t>47</w:t>
      </w:r>
      <w:r>
        <w:rPr>
          <w:noProof/>
        </w:rPr>
        <w:fldChar w:fldCharType="end"/>
      </w:r>
    </w:p>
    <w:p w:rsidR="00E65748" w:rsidP="00E65748" w14:paraId="7B377D36" w14:textId="1517E8D1">
      <w:pPr>
        <w:sectPr w:rsidSect="00A072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r>
        <w:rPr>
          <w:b/>
        </w:rPr>
        <w:fldChar w:fldCharType="end"/>
      </w:r>
    </w:p>
    <w:p w:rsidR="006D73CC" w:rsidRPr="00E65748" w:rsidP="00E65748" w14:paraId="09750F36" w14:textId="6A21D4EE">
      <w:pPr>
        <w:pStyle w:val="Heading1"/>
      </w:pPr>
      <w:bookmarkStart w:id="0" w:name="_Toc164241826"/>
      <w:r>
        <w:t>I</w:t>
      </w:r>
      <w:r w:rsidR="005946AA">
        <w:t>NTRODUCTION</w:t>
      </w:r>
      <w:bookmarkEnd w:id="0"/>
    </w:p>
    <w:p w:rsidR="00BC206B" w:rsidP="006D73CC" w14:paraId="7174BEC5" w14:textId="3D1D17C9">
      <w:pPr>
        <w:pStyle w:val="BodyText"/>
      </w:pPr>
      <w:r>
        <w:t>In December</w:t>
      </w:r>
      <w:r w:rsidR="00B002E4">
        <w:t xml:space="preserve"> of 2022</w:t>
      </w:r>
      <w:r>
        <w:t xml:space="preserve">, the </w:t>
      </w:r>
      <w:r w:rsidR="00650AC7">
        <w:t xml:space="preserve">U.S. </w:t>
      </w:r>
      <w:r>
        <w:t>Census Bureau requested funding to research</w:t>
      </w:r>
      <w:r w:rsidR="00650AC7">
        <w:t xml:space="preserve"> the effect of</w:t>
      </w:r>
      <w:r>
        <w:t xml:space="preserve"> including questions </w:t>
      </w:r>
      <w:r w:rsidR="00FC5647">
        <w:t>about</w:t>
      </w:r>
      <w:r>
        <w:t xml:space="preserve"> Sexual Orientation and Gender </w:t>
      </w:r>
      <w:r w:rsidR="001A1173">
        <w:t>I</w:t>
      </w:r>
      <w:r>
        <w:t xml:space="preserve">dentity (SOGI) on the American Community Survey (ACS). The request was made amid growing interest in the federal government and survey research community to have more detailed information about sexual </w:t>
      </w:r>
      <w:r w:rsidR="007B3492">
        <w:t>a</w:t>
      </w:r>
      <w:r>
        <w:t>nd gender minori</w:t>
      </w:r>
      <w:r w:rsidR="007B3492">
        <w:t>ty populations</w:t>
      </w:r>
      <w:r>
        <w:t xml:space="preserve">. The Census Bureau </w:t>
      </w:r>
      <w:r w:rsidR="00E11113">
        <w:t xml:space="preserve">received funding </w:t>
      </w:r>
      <w:r>
        <w:t>as part of the fiscal year 2023 Omnibus Appropriations bill</w:t>
      </w:r>
      <w:r w:rsidR="00E11113">
        <w:t xml:space="preserve"> to examine the feasibility of collection SOGI information on the ACS</w:t>
      </w:r>
      <w:r>
        <w:t>.</w:t>
      </w:r>
    </w:p>
    <w:p w:rsidR="00823163" w:rsidP="00051011" w14:paraId="2D3665C2" w14:textId="68267E44">
      <w:pPr>
        <w:pStyle w:val="BodyText"/>
      </w:pPr>
      <w:r>
        <w:t>The purpose of the 2024 ACS SOGI Test is t</w:t>
      </w:r>
      <w:r w:rsidR="00051011">
        <w:t xml:space="preserve">o test </w:t>
      </w:r>
      <w:r w:rsidR="00051011">
        <w:t xml:space="preserve">the feasibility of adding SOGI questions to the ACS. This </w:t>
      </w:r>
      <w:r w:rsidR="000471C0">
        <w:t>test</w:t>
      </w:r>
      <w:r w:rsidR="00051011">
        <w:t xml:space="preserve"> will include cognitive testing</w:t>
      </w:r>
      <w:r w:rsidR="00650AC7">
        <w:t xml:space="preserve"> and </w:t>
      </w:r>
      <w:r w:rsidR="00051011">
        <w:t xml:space="preserve">field testing. </w:t>
      </w:r>
      <w:r w:rsidR="0028556F">
        <w:t>We</w:t>
      </w:r>
      <w:r w:rsidR="00051011">
        <w:t xml:space="preserve"> will test </w:t>
      </w:r>
      <w:r w:rsidR="00051011">
        <w:t>the wording</w:t>
      </w:r>
      <w:r w:rsidR="001A3F3A">
        <w:t>, format,</w:t>
      </w:r>
      <w:r w:rsidR="00051011">
        <w:t xml:space="preserve"> and placement of the SOGI questions, investig</w:t>
      </w:r>
      <w:r w:rsidR="00650AC7">
        <w:t>ate</w:t>
      </w:r>
      <w:r w:rsidR="00051011">
        <w:t xml:space="preserve"> translation issues for Spanish questionnaires, and evaluat</w:t>
      </w:r>
      <w:r w:rsidR="00650AC7">
        <w:t>e</w:t>
      </w:r>
      <w:r w:rsidR="00051011">
        <w:t xml:space="preserve"> </w:t>
      </w:r>
      <w:r w:rsidR="00051011">
        <w:t xml:space="preserve">potential </w:t>
      </w:r>
      <w:r w:rsidR="001B4B44">
        <w:t>issues</w:t>
      </w:r>
      <w:r w:rsidR="001B4B44">
        <w:t xml:space="preserve"> with</w:t>
      </w:r>
      <w:r w:rsidR="00051011">
        <w:t xml:space="preserve"> proxy reporting. </w:t>
      </w:r>
    </w:p>
    <w:p w:rsidR="00FC5647" w:rsidP="00051011" w14:paraId="10C97605" w14:textId="7BD50ACC">
      <w:pPr>
        <w:pStyle w:val="BodyText"/>
      </w:pPr>
      <w:r>
        <w:t xml:space="preserve">The test will be conducted in two parts: first focusing on self-response and later focusing on interviewer-administered data collection. </w:t>
      </w:r>
      <w:r w:rsidR="00823163">
        <w:t xml:space="preserve">This analysis plan is specific to the self-response portion of the field test; the </w:t>
      </w:r>
      <w:r>
        <w:t xml:space="preserve">interviewer-administered </w:t>
      </w:r>
      <w:r w:rsidR="00823163">
        <w:t xml:space="preserve">portion of the field test will be detailed in a separate document. </w:t>
      </w:r>
    </w:p>
    <w:p w:rsidR="00D57A4B" w:rsidP="006D73CC" w14:paraId="4752FB99" w14:textId="243484AA">
      <w:pPr>
        <w:pStyle w:val="Heading1"/>
      </w:pPr>
      <w:bookmarkStart w:id="1" w:name="_Toc164241827"/>
      <w:r>
        <w:t>B</w:t>
      </w:r>
      <w:r w:rsidR="005946AA">
        <w:t>ACKGROUND</w:t>
      </w:r>
      <w:bookmarkEnd w:id="1"/>
    </w:p>
    <w:p w:rsidR="00AE5593" w:rsidP="00AD313C" w14:paraId="7E32A2AC" w14:textId="47713ECF">
      <w:pPr>
        <w:pStyle w:val="BodyText"/>
      </w:pPr>
      <w:r w:rsidRPr="00281E69">
        <w:t xml:space="preserve">The </w:t>
      </w:r>
      <w:r>
        <w:t>ACS</w:t>
      </w:r>
      <w:r w:rsidRPr="00281E69">
        <w:t xml:space="preserve">, conducted by the Census Bureau, is the premiere source for detailed population and housing information about our nation. </w:t>
      </w:r>
      <w:r w:rsidR="00B002E4">
        <w:t>Currently</w:t>
      </w:r>
      <w:r w:rsidR="00650BE9">
        <w:t xml:space="preserve">, the ACS </w:t>
      </w:r>
      <w:r w:rsidR="00B002E4">
        <w:t xml:space="preserve">does </w:t>
      </w:r>
      <w:r w:rsidR="00650BE9">
        <w:t>not collect</w:t>
      </w:r>
      <w:r w:rsidR="00B002E4">
        <w:t xml:space="preserve"> </w:t>
      </w:r>
      <w:r w:rsidR="00650BE9">
        <w:t xml:space="preserve">information regarding </w:t>
      </w:r>
      <w:r w:rsidR="00FB4223">
        <w:t>sexual orientation or gender identity status</w:t>
      </w:r>
      <w:r w:rsidR="00650BE9">
        <w:t xml:space="preserve">. </w:t>
      </w:r>
    </w:p>
    <w:p w:rsidR="00923AE2" w:rsidP="00AD313C" w14:paraId="0A83E47C" w14:textId="2F7BF22F">
      <w:pPr>
        <w:pStyle w:val="BodyText"/>
      </w:pPr>
      <w:r>
        <w:t xml:space="preserve">The </w:t>
      </w:r>
      <w:r w:rsidR="006B43C7">
        <w:t>Office of Management and Budget’s (</w:t>
      </w:r>
      <w:r>
        <w:t>OMB</w:t>
      </w:r>
      <w:r w:rsidR="006B43C7">
        <w:t>)</w:t>
      </w:r>
      <w:r>
        <w:t xml:space="preserve"> Standards and Guidelines for Statistical Surveys (OMB, 2006) and the Census </w:t>
      </w:r>
      <w:r w:rsidRPr="00B458B7">
        <w:t>Bureau</w:t>
      </w:r>
      <w:r>
        <w:t>’s</w:t>
      </w:r>
      <w:r w:rsidRPr="00B458B7">
        <w:t xml:space="preserve"> Statistical Quality Standards</w:t>
      </w:r>
      <w:r>
        <w:t xml:space="preserve"> (U.S. Census Bureau, 20</w:t>
      </w:r>
      <w:r w:rsidR="009F4D9F">
        <w:t>22a</w:t>
      </w:r>
      <w:r>
        <w:t xml:space="preserve">) require that </w:t>
      </w:r>
      <w:r w:rsidR="00976C80">
        <w:t>any proposed</w:t>
      </w:r>
      <w:r>
        <w:t xml:space="preserve"> changes to </w:t>
      </w:r>
      <w:r w:rsidR="009A2686">
        <w:t xml:space="preserve">the </w:t>
      </w:r>
      <w:r>
        <w:t>ACS</w:t>
      </w:r>
      <w:r w:rsidR="00355C03">
        <w:t xml:space="preserve"> first undergo cognitive testing and field testing</w:t>
      </w:r>
      <w:r>
        <w:t>.</w:t>
      </w:r>
    </w:p>
    <w:p w:rsidR="00650BE9" w:rsidP="00650BE9" w14:paraId="52B7E6DE" w14:textId="21020512">
      <w:pPr>
        <w:pStyle w:val="Heading2"/>
      </w:pPr>
      <w:bookmarkStart w:id="2" w:name="_Toc164241828"/>
      <w:r>
        <w:t>Cognitive Testing</w:t>
      </w:r>
      <w:bookmarkEnd w:id="2"/>
    </w:p>
    <w:p w:rsidR="00FF5F2A" w:rsidP="00040C27" w14:paraId="419DCCB2" w14:textId="3E6D237C">
      <w:pPr>
        <w:pStyle w:val="BodyText"/>
      </w:pPr>
      <w:r>
        <w:t>Cognitive</w:t>
      </w:r>
      <w:r w:rsidRPr="006D1633">
        <w:t xml:space="preserve"> testing </w:t>
      </w:r>
      <w:r>
        <w:t xml:space="preserve">of the </w:t>
      </w:r>
      <w:r w:rsidRPr="006D1633">
        <w:t xml:space="preserve">SOGI questions </w:t>
      </w:r>
      <w:r>
        <w:t>will focus on three main areas:</w:t>
      </w:r>
    </w:p>
    <w:p w:rsidR="00040C27" w:rsidP="00040C27" w14:paraId="229A0B12" w14:textId="0EBFBF3F">
      <w:pPr>
        <w:pStyle w:val="BodyText"/>
        <w:numPr>
          <w:ilvl w:val="0"/>
          <w:numId w:val="36"/>
        </w:numPr>
        <w:contextualSpacing/>
      </w:pPr>
      <w:r>
        <w:t>Spanish-language translation</w:t>
      </w:r>
    </w:p>
    <w:p w:rsidR="00040C27" w:rsidP="00040C27" w14:paraId="23120D53" w14:textId="6D189EAA">
      <w:pPr>
        <w:pStyle w:val="BodyText"/>
        <w:numPr>
          <w:ilvl w:val="0"/>
          <w:numId w:val="36"/>
        </w:numPr>
        <w:contextualSpacing/>
      </w:pPr>
      <w:r>
        <w:t>Multi-mode measurement</w:t>
      </w:r>
    </w:p>
    <w:p w:rsidR="00040C27" w:rsidP="00FF5F2A" w14:paraId="29104608" w14:textId="648BC43C">
      <w:pPr>
        <w:pStyle w:val="BodyText"/>
        <w:numPr>
          <w:ilvl w:val="0"/>
          <w:numId w:val="36"/>
        </w:numPr>
      </w:pPr>
      <w:r>
        <w:t>Proxy response</w:t>
      </w:r>
    </w:p>
    <w:p w:rsidR="00A32213" w:rsidRPr="00AB6DD4" w:rsidP="00040C27" w14:paraId="412C5367" w14:textId="16D52521">
      <w:pPr>
        <w:pStyle w:val="BodyText"/>
      </w:pPr>
      <w:r w:rsidRPr="00A32213">
        <w:t xml:space="preserve">About half of the total respondents </w:t>
      </w:r>
      <w:r w:rsidR="00D3133A">
        <w:t xml:space="preserve">recruited </w:t>
      </w:r>
      <w:r w:rsidRPr="00A32213">
        <w:t>will be straight</w:t>
      </w:r>
      <w:r w:rsidR="001B2D54">
        <w:t xml:space="preserve"> and have gender identities that match their sex assigned at birth</w:t>
      </w:r>
      <w:r w:rsidRPr="00A32213">
        <w:t xml:space="preserve">. The other half of respondents </w:t>
      </w:r>
      <w:r w:rsidR="001B2D54">
        <w:t xml:space="preserve">recruited </w:t>
      </w:r>
      <w:r w:rsidRPr="00A32213">
        <w:t xml:space="preserve">will be a sexual </w:t>
      </w:r>
      <w:r w:rsidRPr="00A32213">
        <w:t>and/or gender minority.</w:t>
      </w:r>
      <w:r>
        <w:rPr>
          <w:rStyle w:val="FootnoteReference"/>
        </w:rPr>
        <w:footnoteReference w:id="3"/>
      </w:r>
      <w:r>
        <w:t xml:space="preserve"> </w:t>
      </w:r>
      <w:r w:rsidRPr="00AB6DD4">
        <w:t>Since proxy reporting is a key research area, we will aim for roughly 80</w:t>
      </w:r>
      <w:r w:rsidR="00FF5F2A">
        <w:t xml:space="preserve"> percent</w:t>
      </w:r>
      <w:r w:rsidRPr="00AB6DD4">
        <w:t xml:space="preserve"> of the respondents to be from a multi-person household. </w:t>
      </w:r>
    </w:p>
    <w:p w:rsidR="00A32213" w:rsidP="00040C27" w14:paraId="6E40F428" w14:textId="1DD684D7">
      <w:pPr>
        <w:pStyle w:val="BodyText"/>
      </w:pPr>
      <w:r w:rsidRPr="00AB6DD4">
        <w:t>We will also aim for demographic diversity on the following characteristics:</w:t>
      </w:r>
    </w:p>
    <w:p w:rsidR="00FF5F2A" w:rsidP="00FF5F2A" w14:paraId="49B2E221" w14:textId="307E63E3">
      <w:pPr>
        <w:pStyle w:val="BodyText"/>
        <w:numPr>
          <w:ilvl w:val="0"/>
          <w:numId w:val="38"/>
        </w:numPr>
        <w:spacing w:after="0"/>
      </w:pPr>
      <w:r>
        <w:t>Age and education</w:t>
      </w:r>
    </w:p>
    <w:p w:rsidR="00FF5F2A" w:rsidP="00FF5F2A" w14:paraId="7BCABF6C" w14:textId="023A240D">
      <w:pPr>
        <w:pStyle w:val="BodyText"/>
        <w:numPr>
          <w:ilvl w:val="0"/>
          <w:numId w:val="38"/>
        </w:numPr>
        <w:spacing w:after="0"/>
      </w:pPr>
      <w:r>
        <w:t>Race/ethnicity (English interviews only)</w:t>
      </w:r>
    </w:p>
    <w:p w:rsidR="00FF5F2A" w:rsidP="00FF5F2A" w14:paraId="0B85B688" w14:textId="308EFBAE">
      <w:pPr>
        <w:pStyle w:val="BodyText"/>
        <w:numPr>
          <w:ilvl w:val="0"/>
          <w:numId w:val="38"/>
        </w:numPr>
        <w:spacing w:after="0"/>
      </w:pPr>
      <w:r>
        <w:t>Hispanic origin (Spanish stateside interviews only)</w:t>
      </w:r>
    </w:p>
    <w:p w:rsidR="00FF5F2A" w:rsidP="00FF5F2A" w14:paraId="7859FCBA" w14:textId="6F76CDE5">
      <w:pPr>
        <w:pStyle w:val="BodyText"/>
        <w:numPr>
          <w:ilvl w:val="0"/>
          <w:numId w:val="38"/>
        </w:numPr>
        <w:spacing w:after="0"/>
      </w:pPr>
      <w:r>
        <w:t>Geographic diversity in region of the country</w:t>
      </w:r>
    </w:p>
    <w:p w:rsidR="00FF5F2A" w:rsidRPr="00AB6DD4" w:rsidP="00FF5F2A" w14:paraId="3BC5C992" w14:textId="6B8DC45A">
      <w:pPr>
        <w:pStyle w:val="BodyText"/>
        <w:numPr>
          <w:ilvl w:val="0"/>
          <w:numId w:val="38"/>
        </w:numPr>
      </w:pPr>
      <w:r>
        <w:t>Household composition</w:t>
      </w:r>
      <w:r w:rsidR="0045257A">
        <w:t xml:space="preserve"> (e.g.</w:t>
      </w:r>
      <w:r w:rsidR="00DA29C5">
        <w:t>,</w:t>
      </w:r>
      <w:r w:rsidR="0045257A">
        <w:t xml:space="preserve"> number of people, relationships of household members, </w:t>
      </w:r>
      <w:r w:rsidR="00A04635">
        <w:t xml:space="preserve">and </w:t>
      </w:r>
      <w:r w:rsidR="0045257A">
        <w:t>whether there are children)</w:t>
      </w:r>
    </w:p>
    <w:p w:rsidR="00650BE9" w:rsidP="00FF5F2A" w14:paraId="65894673" w14:textId="0FAC01A9">
      <w:pPr>
        <w:pStyle w:val="BodyText"/>
        <w:rPr>
          <w:rFonts w:eastAsia="Calibri" w:cstheme="minorHAnsi"/>
        </w:rPr>
      </w:pPr>
      <w:r w:rsidRPr="00AB6DD4">
        <w:t xml:space="preserve">The cognitive testing </w:t>
      </w:r>
      <w:r w:rsidRPr="00FF5F2A">
        <w:t>interviews</w:t>
      </w:r>
      <w:r w:rsidRPr="00AB6DD4">
        <w:t xml:space="preserve"> will be conducted by </w:t>
      </w:r>
      <w:r w:rsidRPr="00AB6DD4" w:rsidR="009D0267">
        <w:t>RTI International and partner Research Support Services (RSS</w:t>
      </w:r>
      <w:r w:rsidRPr="00AB6DD4">
        <w:t xml:space="preserve">). RSS </w:t>
      </w:r>
      <w:r w:rsidRPr="00AB6DD4" w:rsidR="009D0267">
        <w:t>will conduct 218 cognitive interviews—64 stateside English interviews, 80 stateside Spanish interviews, and 74 Puerto Rican Spanish interviews.</w:t>
      </w:r>
      <w:r w:rsidRPr="00AB6DD4">
        <w:t xml:space="preserve"> </w:t>
      </w:r>
      <w:r w:rsidRPr="00AB6DD4" w:rsidR="009D0267">
        <w:t xml:space="preserve">Interviewing </w:t>
      </w:r>
      <w:r w:rsidR="00AB6DD4">
        <w:t xml:space="preserve">is </w:t>
      </w:r>
      <w:r w:rsidRPr="00AB6DD4" w:rsidR="009D0267">
        <w:t>expected to start mid-</w:t>
      </w:r>
      <w:r w:rsidR="008D430C">
        <w:t>January</w:t>
      </w:r>
      <w:r w:rsidRPr="00AB6DD4" w:rsidR="009D0267">
        <w:t xml:space="preserve"> and run through May of 2024</w:t>
      </w:r>
      <w:r w:rsidR="00AB6DD4">
        <w:t>.</w:t>
      </w:r>
      <w:r w:rsidRPr="009D0267" w:rsidR="009D0267">
        <w:rPr>
          <w:rFonts w:eastAsia="Calibri" w:cstheme="minorHAnsi"/>
        </w:rPr>
        <w:t xml:space="preserve"> </w:t>
      </w:r>
    </w:p>
    <w:p w:rsidR="00FF2C57" w:rsidP="00FF5F2A" w14:paraId="50E7BFD6" w14:textId="69DEFCF8">
      <w:pPr>
        <w:pStyle w:val="BodyText"/>
        <w:rPr>
          <w:rFonts w:eastAsia="Calibri" w:cstheme="minorHAnsi"/>
        </w:rPr>
      </w:pPr>
      <w:r>
        <w:rPr>
          <w:rFonts w:eastAsia="Calibri" w:cstheme="minorHAnsi"/>
        </w:rPr>
        <w:t xml:space="preserve">Normally, the results from cognitive testing help fine-tune the content or mail materials used in field testing. However, </w:t>
      </w:r>
      <w:r w:rsidR="0045257A">
        <w:rPr>
          <w:rFonts w:eastAsia="Calibri" w:cstheme="minorHAnsi"/>
        </w:rPr>
        <w:t xml:space="preserve">the </w:t>
      </w:r>
      <w:r>
        <w:rPr>
          <w:rFonts w:eastAsia="Calibri" w:cstheme="minorHAnsi"/>
        </w:rPr>
        <w:t xml:space="preserve">cognitive testing results will not be available in time </w:t>
      </w:r>
      <w:r w:rsidR="0045257A">
        <w:rPr>
          <w:rFonts w:eastAsia="Calibri" w:cstheme="minorHAnsi"/>
        </w:rPr>
        <w:t>for the 2024 SOGI field test and will serve as a resource for future SOGI research</w:t>
      </w:r>
      <w:r w:rsidR="0065725B">
        <w:rPr>
          <w:rFonts w:eastAsia="Calibri" w:cstheme="minorHAnsi"/>
        </w:rPr>
        <w:t xml:space="preserve"> and for translation of the SOGI questions into Spanish</w:t>
      </w:r>
      <w:r w:rsidR="0045257A">
        <w:rPr>
          <w:rFonts w:eastAsia="Calibri" w:cstheme="minorHAnsi"/>
        </w:rPr>
        <w:t>.</w:t>
      </w:r>
    </w:p>
    <w:p w:rsidR="00EA5CF2" w:rsidP="00EA5CF2" w14:paraId="68B444EE" w14:textId="0D5B99BC">
      <w:pPr>
        <w:pStyle w:val="Heading2"/>
      </w:pPr>
      <w:bookmarkStart w:id="3" w:name="_Toc164241829"/>
      <w:r>
        <w:t>Data Collection</w:t>
      </w:r>
      <w:r w:rsidR="0014337B">
        <w:t xml:space="preserve"> and Field Testing</w:t>
      </w:r>
      <w:bookmarkEnd w:id="3"/>
    </w:p>
    <w:p w:rsidR="00CD2A72" w:rsidRPr="00CD2A72" w:rsidP="005F4FD2" w14:paraId="31A42865" w14:textId="0704A7A5">
      <w:pPr>
        <w:pStyle w:val="BodyText"/>
      </w:pPr>
      <w:r>
        <w:t xml:space="preserve">The 2024 </w:t>
      </w:r>
      <w:r w:rsidR="00A9683C">
        <w:t xml:space="preserve">ACS </w:t>
      </w:r>
      <w:r>
        <w:t xml:space="preserve">SOGI Test will mirror the production ACS data collection process as much as possible, with some slight variations. </w:t>
      </w:r>
    </w:p>
    <w:p w:rsidR="008E340C" w:rsidRPr="005F4FD2" w:rsidP="005F4FD2" w14:paraId="6A29162B" w14:textId="6086E24A">
      <w:pPr>
        <w:pStyle w:val="BodyText"/>
        <w:rPr>
          <w:i/>
          <w:iCs/>
        </w:rPr>
      </w:pPr>
      <w:r w:rsidRPr="005F4FD2">
        <w:rPr>
          <w:i/>
          <w:iCs/>
        </w:rPr>
        <w:t>Data Collection for ACS Production</w:t>
      </w:r>
    </w:p>
    <w:p w:rsidR="00F0019F" w:rsidP="005F4FD2" w14:paraId="41DE396D" w14:textId="625999B7">
      <w:pPr>
        <w:pStyle w:val="BodyText"/>
      </w:pPr>
      <w:r w:rsidRPr="00F56F11">
        <w:t xml:space="preserve">The monthly ACS production sample </w:t>
      </w:r>
      <w:r>
        <w:t xml:space="preserve">consists of </w:t>
      </w:r>
      <w:r w:rsidRPr="00F56F11">
        <w:t xml:space="preserve">approximately 295,000 </w:t>
      </w:r>
      <w:r>
        <w:t xml:space="preserve">housing unit </w:t>
      </w:r>
      <w:r w:rsidRPr="00F56F11">
        <w:t>addresses</w:t>
      </w:r>
      <w:r>
        <w:t xml:space="preserve">, which we refer to as a panel. Data collection for each panel occurs over three months. During the first two months, respondents are </w:t>
      </w:r>
      <w:r w:rsidR="00B002E4">
        <w:t xml:space="preserve">asked </w:t>
      </w:r>
      <w:r>
        <w:t>to self-respond by internet or paper questionnaire. In the third month</w:t>
      </w:r>
      <w:r w:rsidR="00C40A1C">
        <w:t>,</w:t>
      </w:r>
      <w:r>
        <w:t xml:space="preserve"> </w:t>
      </w:r>
      <w:r w:rsidR="00C40A1C">
        <w:t xml:space="preserve">a </w:t>
      </w:r>
      <w:r w:rsidRPr="00C40A1C" w:rsidR="00C40A1C">
        <w:t>Computer-Assisted Personal Interviewing (CAPI) nonresponse follow-up operation</w:t>
      </w:r>
      <w:r>
        <w:t xml:space="preserve"> </w:t>
      </w:r>
      <w:r w:rsidR="00C40A1C">
        <w:t>begins. There is also a</w:t>
      </w:r>
      <w:r w:rsidRPr="00C40A1C" w:rsidR="00C40A1C">
        <w:t xml:space="preserve"> Telephone Questionnaire Assistance (TQA) </w:t>
      </w:r>
      <w:r w:rsidR="00C40A1C">
        <w:t xml:space="preserve">option throughout the data collection period. </w:t>
      </w:r>
    </w:p>
    <w:p w:rsidR="008E340C" w:rsidRPr="005F4FD2" w:rsidP="00B81701" w14:paraId="465676D0" w14:textId="15FF94C3">
      <w:pPr>
        <w:pStyle w:val="BodyText"/>
        <w:keepNext/>
        <w:rPr>
          <w:i/>
          <w:iCs/>
        </w:rPr>
      </w:pPr>
      <w:r w:rsidRPr="005F4FD2">
        <w:rPr>
          <w:i/>
          <w:iCs/>
        </w:rPr>
        <w:t xml:space="preserve">Data Collection for the </w:t>
      </w:r>
      <w:r w:rsidRPr="005F4FD2" w:rsidR="00D26B42">
        <w:rPr>
          <w:i/>
          <w:iCs/>
        </w:rPr>
        <w:t xml:space="preserve">2024 ACS </w:t>
      </w:r>
      <w:r w:rsidRPr="005F4FD2">
        <w:rPr>
          <w:i/>
          <w:iCs/>
        </w:rPr>
        <w:t>SOGI Test</w:t>
      </w:r>
    </w:p>
    <w:p w:rsidR="006414CD" w:rsidP="005F4FD2" w14:paraId="6D76D567" w14:textId="31D39855">
      <w:pPr>
        <w:pStyle w:val="BodyText"/>
      </w:pPr>
      <w:r w:rsidRPr="00184641">
        <w:t xml:space="preserve">The </w:t>
      </w:r>
      <w:r>
        <w:t>202</w:t>
      </w:r>
      <w:r w:rsidR="0082504A">
        <w:t>4</w:t>
      </w:r>
      <w:r>
        <w:t xml:space="preserve"> ACS</w:t>
      </w:r>
      <w:r w:rsidRPr="00184641">
        <w:t xml:space="preserve"> </w:t>
      </w:r>
      <w:r w:rsidR="0082504A">
        <w:t>SOGI</w:t>
      </w:r>
      <w:r>
        <w:t xml:space="preserve"> Test</w:t>
      </w:r>
      <w:r w:rsidRPr="00184641">
        <w:t xml:space="preserve"> will occur in parallel with data collection activities for the </w:t>
      </w:r>
      <w:r w:rsidR="00651A88">
        <w:t xml:space="preserve">August </w:t>
      </w:r>
      <w:r w:rsidR="00EE1B88">
        <w:t xml:space="preserve">and </w:t>
      </w:r>
      <w:r w:rsidR="00651A88">
        <w:t>September</w:t>
      </w:r>
      <w:r>
        <w:t xml:space="preserve"> 202</w:t>
      </w:r>
      <w:r w:rsidR="0082504A">
        <w:t>4</w:t>
      </w:r>
      <w:r w:rsidRPr="00184641">
        <w:t xml:space="preserve"> </w:t>
      </w:r>
      <w:r>
        <w:t xml:space="preserve">ACS production </w:t>
      </w:r>
      <w:r w:rsidRPr="00184641">
        <w:t>panel</w:t>
      </w:r>
      <w:r w:rsidR="00EE1B88">
        <w:t>s</w:t>
      </w:r>
      <w:r w:rsidRPr="00184641">
        <w:t xml:space="preserve">. The </w:t>
      </w:r>
      <w:r w:rsidR="006F764A">
        <w:t>test</w:t>
      </w:r>
      <w:r w:rsidRPr="00184641">
        <w:t xml:space="preserve"> will use a </w:t>
      </w:r>
      <w:r w:rsidRPr="008E340C">
        <w:t xml:space="preserve">nationally representative sample, independent of the ACS production sample, distributed evenly </w:t>
      </w:r>
      <w:r w:rsidR="00355C03">
        <w:t>among</w:t>
      </w:r>
      <w:r w:rsidR="00D168CC">
        <w:t xml:space="preserve"> </w:t>
      </w:r>
      <w:r w:rsidRPr="008E340C" w:rsidR="008E340C">
        <w:t xml:space="preserve">four treatments. </w:t>
      </w:r>
      <w:r>
        <w:t xml:space="preserve">The </w:t>
      </w:r>
      <w:r>
        <w:t xml:space="preserve">treatments are defined by their unique combination of question wording for the Current Gender question and </w:t>
      </w:r>
      <w:r w:rsidR="00D762A4">
        <w:t xml:space="preserve">internet </w:t>
      </w:r>
      <w:r>
        <w:t xml:space="preserve">write-in box display for the Current Gender and Sexual Orientation questions. </w:t>
      </w:r>
      <w:r w:rsidRPr="008E340C">
        <w:t>More information about the sample is provided in Section</w:t>
      </w:r>
      <w:r w:rsidRPr="008E340C" w:rsidR="006F764A">
        <w:t xml:space="preserve"> </w:t>
      </w:r>
      <w:r w:rsidRPr="008E340C" w:rsidR="008E340C">
        <w:fldChar w:fldCharType="begin"/>
      </w:r>
      <w:r w:rsidRPr="008E340C" w:rsidR="008E340C">
        <w:instrText xml:space="preserve"> REF _Ref150348820 \r \h </w:instrText>
      </w:r>
      <w:r w:rsidR="008E340C">
        <w:instrText xml:space="preserve"> \* MERGEFORMAT </w:instrText>
      </w:r>
      <w:r w:rsidRPr="008E340C" w:rsidR="008E340C">
        <w:fldChar w:fldCharType="separate"/>
      </w:r>
      <w:r w:rsidR="00F376F4">
        <w:t>4.1</w:t>
      </w:r>
      <w:r w:rsidRPr="008E340C" w:rsidR="008E340C">
        <w:fldChar w:fldCharType="end"/>
      </w:r>
      <w:r>
        <w:t xml:space="preserve">, and more information about the treatments is provided in Section </w:t>
      </w:r>
      <w:r>
        <w:fldChar w:fldCharType="begin"/>
      </w:r>
      <w:r>
        <w:instrText xml:space="preserve"> REF _Ref158795864 \w \h </w:instrText>
      </w:r>
      <w:r>
        <w:fldChar w:fldCharType="separate"/>
      </w:r>
      <w:r w:rsidR="00F376F4">
        <w:t>4.2</w:t>
      </w:r>
      <w:r>
        <w:fldChar w:fldCharType="end"/>
      </w:r>
      <w:r w:rsidRPr="008E340C">
        <w:t xml:space="preserve">. </w:t>
      </w:r>
      <w:r w:rsidRPr="008E340C" w:rsidR="006F764A">
        <w:t>Data</w:t>
      </w:r>
      <w:r w:rsidR="006F764A">
        <w:t xml:space="preserve"> collection will follow the same protocols as </w:t>
      </w:r>
      <w:r w:rsidR="00763AE4">
        <w:t xml:space="preserve">ACS </w:t>
      </w:r>
      <w:r w:rsidR="006F764A">
        <w:t>production, except where noted.</w:t>
      </w:r>
    </w:p>
    <w:p w:rsidR="00EA5CF2" w:rsidP="005F4FD2" w14:paraId="0D3298C8" w14:textId="77777777">
      <w:pPr>
        <w:pStyle w:val="BodyText"/>
      </w:pPr>
      <w:r>
        <w:t>The data collection protocols that will be the same are:</w:t>
      </w:r>
    </w:p>
    <w:p w:rsidR="00250195" w:rsidP="00DE5C09" w14:paraId="30F47682" w14:textId="3B92EBDA">
      <w:pPr>
        <w:pStyle w:val="BodyText"/>
        <w:numPr>
          <w:ilvl w:val="0"/>
          <w:numId w:val="8"/>
        </w:numPr>
        <w:spacing w:after="0"/>
      </w:pPr>
      <w:r>
        <w:t xml:space="preserve">In the first and second month of </w:t>
      </w:r>
      <w:r w:rsidR="003B24F4">
        <w:t xml:space="preserve">both panels in </w:t>
      </w:r>
      <w:r>
        <w:t xml:space="preserve">data collection, </w:t>
      </w:r>
      <w:r w:rsidR="0028556F">
        <w:t xml:space="preserve">sampled addresses </w:t>
      </w:r>
      <w:r w:rsidR="001021BC">
        <w:t>will be</w:t>
      </w:r>
      <w:r>
        <w:t xml:space="preserve"> mailed </w:t>
      </w:r>
      <w:r w:rsidR="001021BC">
        <w:t>up to five mailings to encourage self-response by internet or paper questionnaire.</w:t>
      </w:r>
    </w:p>
    <w:p w:rsidR="00EA5CF2" w:rsidP="00DE5C09" w14:paraId="1A5D933D" w14:textId="06E2AAD0">
      <w:pPr>
        <w:pStyle w:val="BodyText"/>
        <w:numPr>
          <w:ilvl w:val="0"/>
          <w:numId w:val="8"/>
        </w:numPr>
        <w:spacing w:after="0"/>
      </w:pPr>
      <w:r>
        <w:t xml:space="preserve">A subsample of nonresponding addresses </w:t>
      </w:r>
      <w:r w:rsidR="00FA508A">
        <w:t xml:space="preserve">after the second month of data collection </w:t>
      </w:r>
      <w:r>
        <w:t xml:space="preserve">will be selected for the </w:t>
      </w:r>
      <w:r w:rsidR="00C40A1C">
        <w:t>C</w:t>
      </w:r>
      <w:r w:rsidRPr="00184641">
        <w:t>API</w:t>
      </w:r>
      <w:r>
        <w:t xml:space="preserve"> nonresponse follow-up operation.</w:t>
      </w:r>
      <w:r w:rsidR="00FA508A">
        <w:t xml:space="preserve"> </w:t>
      </w:r>
      <w:r>
        <w:t xml:space="preserve">During </w:t>
      </w:r>
      <w:r w:rsidRPr="00184641" w:rsidR="00EE1B88">
        <w:t>CAPI</w:t>
      </w:r>
      <w:r>
        <w:t xml:space="preserve">, Census Bureau field representatives will conduct interviews </w:t>
      </w:r>
      <w:r w:rsidR="00335530">
        <w:t>by personal visit</w:t>
      </w:r>
      <w:r>
        <w:t xml:space="preserve"> </w:t>
      </w:r>
      <w:r w:rsidR="00335530">
        <w:t>or</w:t>
      </w:r>
      <w:r>
        <w:t xml:space="preserve"> phone.</w:t>
      </w:r>
      <w:r w:rsidR="00335530">
        <w:t xml:space="preserve"> The CAPI instrument will be in English and Spanish.</w:t>
      </w:r>
    </w:p>
    <w:p w:rsidR="00EA5CF2" w:rsidRPr="00184641" w:rsidP="00DE5C09" w14:paraId="12E64921" w14:textId="2E7DA07A">
      <w:pPr>
        <w:pStyle w:val="BodyText"/>
        <w:numPr>
          <w:ilvl w:val="0"/>
          <w:numId w:val="8"/>
        </w:numPr>
      </w:pPr>
      <w:r>
        <w:t>The internet instrument will be in English and Spanish. The</w:t>
      </w:r>
      <w:r w:rsidR="002A21E0">
        <w:t>re will be a</w:t>
      </w:r>
      <w:r>
        <w:t xml:space="preserve"> paper </w:t>
      </w:r>
      <w:r>
        <w:t>questionnaire  in</w:t>
      </w:r>
      <w:r>
        <w:t xml:space="preserve"> English. </w:t>
      </w:r>
    </w:p>
    <w:p w:rsidR="00EA5CF2" w:rsidP="00EA5CF2" w14:paraId="3F56CE6F" w14:textId="77777777">
      <w:pPr>
        <w:pStyle w:val="BodyText"/>
      </w:pPr>
      <w:r>
        <w:t>The data collection protocols that will be different are:</w:t>
      </w:r>
    </w:p>
    <w:p w:rsidR="0003095D" w:rsidP="00DE5C09" w14:paraId="0F320ABC" w14:textId="7FC1445A">
      <w:pPr>
        <w:pStyle w:val="BodyText"/>
        <w:numPr>
          <w:ilvl w:val="0"/>
          <w:numId w:val="7"/>
        </w:numPr>
        <w:spacing w:after="0"/>
      </w:pPr>
      <w:r>
        <w:t xml:space="preserve">The first mailing for the </w:t>
      </w:r>
      <w:r w:rsidR="00651A88">
        <w:t>August and September</w:t>
      </w:r>
      <w:r>
        <w:t xml:space="preserve"> SOGI panels will be mailed a week later than the first mailings for the </w:t>
      </w:r>
      <w:r w:rsidR="00651A88">
        <w:t>August and September</w:t>
      </w:r>
      <w:r>
        <w:t xml:space="preserve"> ACS production data collection panels.</w:t>
      </w:r>
      <w:r>
        <w:rPr>
          <w:rStyle w:val="FootnoteReference"/>
        </w:rPr>
        <w:footnoteReference w:id="4"/>
      </w:r>
      <w:r>
        <w:t xml:space="preserve">  </w:t>
      </w:r>
    </w:p>
    <w:p w:rsidR="00EA5CF2" w:rsidP="00DE5C09" w14:paraId="003A3CD0" w14:textId="351B504F">
      <w:pPr>
        <w:pStyle w:val="BodyText"/>
        <w:numPr>
          <w:ilvl w:val="0"/>
          <w:numId w:val="7"/>
        </w:numPr>
        <w:spacing w:after="0"/>
      </w:pPr>
      <w:r>
        <w:t>T</w:t>
      </w:r>
      <w:r w:rsidRPr="008869CD">
        <w:t>here will be no paper questionnaires in Spanish.</w:t>
      </w:r>
      <w:r>
        <w:rPr>
          <w:rStyle w:val="FootnoteReference"/>
          <w:rFonts w:eastAsia="Calibri" w:cs="Times New Roman"/>
          <w:color w:val="000000"/>
        </w:rPr>
        <w:footnoteReference w:id="5"/>
      </w:r>
    </w:p>
    <w:p w:rsidR="00EA5CF2" w:rsidP="00DE5C09" w14:paraId="553BABC9" w14:textId="38190BAA">
      <w:pPr>
        <w:pStyle w:val="BodyText"/>
        <w:numPr>
          <w:ilvl w:val="0"/>
          <w:numId w:val="7"/>
        </w:numPr>
        <w:spacing w:after="0"/>
      </w:pPr>
      <w:r w:rsidRPr="008869CD">
        <w:t xml:space="preserve">If respondents call TQA </w:t>
      </w:r>
      <w:r>
        <w:t>and opt to complete the survey over</w:t>
      </w:r>
      <w:r w:rsidRPr="008869CD">
        <w:t xml:space="preserve"> the phone, the</w:t>
      </w:r>
      <w:r>
        <w:t xml:space="preserve"> interviewers</w:t>
      </w:r>
      <w:r w:rsidRPr="008869CD">
        <w:t xml:space="preserve"> will </w:t>
      </w:r>
      <w:r>
        <w:t>conduct</w:t>
      </w:r>
      <w:r w:rsidRPr="008869CD">
        <w:t xml:space="preserve"> the </w:t>
      </w:r>
      <w:r>
        <w:t xml:space="preserve">survey using </w:t>
      </w:r>
      <w:r w:rsidRPr="008869CD">
        <w:t xml:space="preserve">the </w:t>
      </w:r>
      <w:r w:rsidR="00763AE4">
        <w:t xml:space="preserve">ACS </w:t>
      </w:r>
      <w:r w:rsidRPr="008869CD">
        <w:t>production questionnaire.</w:t>
      </w:r>
      <w:r>
        <w:rPr>
          <w:rStyle w:val="FootnoteReference"/>
        </w:rPr>
        <w:footnoteReference w:id="6"/>
      </w:r>
      <w:r w:rsidRPr="008869CD">
        <w:t xml:space="preserve"> </w:t>
      </w:r>
      <w:r>
        <w:t xml:space="preserve">Since the TQA interviews will not include </w:t>
      </w:r>
      <w:r w:rsidR="00BD7FC4">
        <w:t>SOGI</w:t>
      </w:r>
      <w:r>
        <w:t xml:space="preserve"> questions, they will be excluded from the analysis.</w:t>
      </w:r>
    </w:p>
    <w:p w:rsidR="00EE1B88" w:rsidP="00DE5C09" w14:paraId="268D5A78" w14:textId="349E2BA7">
      <w:pPr>
        <w:pStyle w:val="BodyText"/>
        <w:numPr>
          <w:ilvl w:val="0"/>
          <w:numId w:val="7"/>
        </w:numPr>
        <w:spacing w:after="0"/>
      </w:pPr>
      <w:r>
        <w:t>Due to budget restraints, t</w:t>
      </w:r>
      <w:r w:rsidR="0003095D">
        <w:t>he CAPI operation, which normally occurs i</w:t>
      </w:r>
      <w:r>
        <w:t>n</w:t>
      </w:r>
      <w:r w:rsidRPr="00184641">
        <w:t xml:space="preserve"> the third month</w:t>
      </w:r>
      <w:r>
        <w:t xml:space="preserve"> of data collection</w:t>
      </w:r>
      <w:r w:rsidRPr="00184641">
        <w:t>,</w:t>
      </w:r>
      <w:r w:rsidR="0003095D">
        <w:t xml:space="preserve"> will be </w:t>
      </w:r>
      <w:r w:rsidR="00FA508A">
        <w:t>delayed,</w:t>
      </w:r>
      <w:r w:rsidR="0003095D">
        <w:t xml:space="preserve"> and start in </w:t>
      </w:r>
      <w:r w:rsidR="007132B6">
        <w:t>s</w:t>
      </w:r>
      <w:r w:rsidR="00183FA7">
        <w:t>pring</w:t>
      </w:r>
      <w:r w:rsidR="0003095D">
        <w:t xml:space="preserve"> 2025. </w:t>
      </w:r>
      <w:r w:rsidRPr="00184641">
        <w:t xml:space="preserve"> </w:t>
      </w:r>
    </w:p>
    <w:p w:rsidR="00EA5CF2" w:rsidP="00DE5C09" w14:paraId="6D3A2F03" w14:textId="722C5FDC">
      <w:pPr>
        <w:pStyle w:val="BodyText"/>
        <w:numPr>
          <w:ilvl w:val="0"/>
          <w:numId w:val="7"/>
        </w:numPr>
        <w:spacing w:after="0"/>
      </w:pPr>
      <w:r w:rsidRPr="008869CD">
        <w:t xml:space="preserve">The </w:t>
      </w:r>
      <w:r w:rsidR="00BD7FC4">
        <w:t xml:space="preserve">2024 </w:t>
      </w:r>
      <w:r w:rsidR="007F7EEB">
        <w:t xml:space="preserve">ACS </w:t>
      </w:r>
      <w:r w:rsidR="00BD7FC4">
        <w:t xml:space="preserve">SOGI </w:t>
      </w:r>
      <w:r w:rsidRPr="008869CD">
        <w:t xml:space="preserve">Test will </w:t>
      </w:r>
      <w:r>
        <w:t>not have</w:t>
      </w:r>
      <w:r w:rsidRPr="008869CD">
        <w:t xml:space="preserve"> the Telephone Failed</w:t>
      </w:r>
      <w:r>
        <w:t>-</w:t>
      </w:r>
      <w:r w:rsidRPr="008869CD">
        <w:t>Edit Follow</w:t>
      </w:r>
      <w:r>
        <w:t>-U</w:t>
      </w:r>
      <w:r w:rsidRPr="008869CD">
        <w:t>p (FEFU) operation</w:t>
      </w:r>
      <w:r>
        <w:t xml:space="preserve">. In </w:t>
      </w:r>
      <w:r w:rsidR="00763AE4">
        <w:t xml:space="preserve">ACS </w:t>
      </w:r>
      <w:r>
        <w:t xml:space="preserve">production, this operation </w:t>
      </w:r>
      <w:r w:rsidRPr="008869CD">
        <w:t>follow</w:t>
      </w:r>
      <w:r>
        <w:t xml:space="preserve">s </w:t>
      </w:r>
      <w:r w:rsidRPr="008869CD">
        <w:t>up on households that provided incomplete information or reported more than five people on the roster</w:t>
      </w:r>
      <w:r>
        <w:t xml:space="preserve"> of a paper questionnaire</w:t>
      </w:r>
      <w:r w:rsidRPr="008869CD">
        <w:t>.</w:t>
      </w:r>
      <w:r>
        <w:rPr>
          <w:rStyle w:val="FootnoteReference"/>
        </w:rPr>
        <w:footnoteReference w:id="7"/>
      </w:r>
    </w:p>
    <w:p w:rsidR="0000183D" w:rsidRPr="008869CD" w:rsidP="00DE5C09" w14:paraId="322AF195" w14:textId="7F8EAFCA">
      <w:pPr>
        <w:pStyle w:val="BodyText"/>
        <w:numPr>
          <w:ilvl w:val="0"/>
          <w:numId w:val="7"/>
        </w:numPr>
        <w:spacing w:after="0"/>
      </w:pPr>
      <w:r>
        <w:t xml:space="preserve">Data collection will not include </w:t>
      </w:r>
      <w:r w:rsidRPr="00FA508A">
        <w:t>remote Alaska, Group Quarters, or Puerto Rico</w:t>
      </w:r>
      <w:r>
        <w:t xml:space="preserve">. </w:t>
      </w:r>
    </w:p>
    <w:p w:rsidR="0000183D" w:rsidRPr="0000183D" w:rsidP="00DE5C09" w14:paraId="6CE6E206" w14:textId="7AC80068">
      <w:pPr>
        <w:pStyle w:val="BodyText"/>
        <w:numPr>
          <w:ilvl w:val="0"/>
          <w:numId w:val="7"/>
        </w:numPr>
        <w:rPr>
          <w:rFonts w:eastAsia="Calibri"/>
        </w:rPr>
      </w:pPr>
      <w:r>
        <w:t>T</w:t>
      </w:r>
      <w:r w:rsidRPr="008869CD">
        <w:t xml:space="preserve">he </w:t>
      </w:r>
      <w:r>
        <w:t xml:space="preserve">2024 </w:t>
      </w:r>
      <w:r w:rsidR="007F7EEB">
        <w:t xml:space="preserve">ACS </w:t>
      </w:r>
      <w:r>
        <w:t>SOGI</w:t>
      </w:r>
      <w:r w:rsidRPr="008869CD">
        <w:t xml:space="preserve"> Test </w:t>
      </w:r>
      <w:r w:rsidRPr="008869CD">
        <w:t xml:space="preserve">will have a </w:t>
      </w:r>
      <w:r w:rsidRPr="00FA508A">
        <w:t xml:space="preserve">reinterview </w:t>
      </w:r>
      <w:r w:rsidRPr="00FA508A">
        <w:t>operation</w:t>
      </w:r>
      <w:r>
        <w:t xml:space="preserve"> called the Content Follow-Up (CFU) operation. The reinterviews will be </w:t>
      </w:r>
      <w:r w:rsidRPr="008869CD">
        <w:t xml:space="preserve">used to </w:t>
      </w:r>
      <w:r w:rsidRPr="00B57D6E">
        <w:t xml:space="preserve">measure response reliability </w:t>
      </w:r>
      <w:r w:rsidRPr="00B57D6E" w:rsidR="00B57D6E">
        <w:t>and test the accuracy of proxy reporting</w:t>
      </w:r>
      <w:r w:rsidRPr="00B57D6E">
        <w:t>. We describe the CFU o</w:t>
      </w:r>
      <w:r>
        <w:t>peration</w:t>
      </w:r>
      <w:r w:rsidRPr="008869CD">
        <w:t xml:space="preserve"> in more detail in </w:t>
      </w:r>
      <w:r>
        <w:t>S</w:t>
      </w:r>
      <w:r w:rsidRPr="008869CD">
        <w:t>ection</w:t>
      </w:r>
      <w:r w:rsidR="0005117D">
        <w:t xml:space="preserve"> </w:t>
      </w:r>
      <w:r w:rsidR="0005117D">
        <w:fldChar w:fldCharType="begin"/>
      </w:r>
      <w:r w:rsidR="0005117D">
        <w:instrText xml:space="preserve"> REF _Ref125559051 \w \h </w:instrText>
      </w:r>
      <w:r w:rsidR="0005117D">
        <w:fldChar w:fldCharType="separate"/>
      </w:r>
      <w:r w:rsidR="00F376F4">
        <w:t>2.3</w:t>
      </w:r>
      <w:r w:rsidR="0005117D">
        <w:fldChar w:fldCharType="end"/>
      </w:r>
      <w:r w:rsidRPr="008869CD">
        <w:t>.</w:t>
      </w:r>
    </w:p>
    <w:p w:rsidR="008E340C" w:rsidP="00EA5CF2" w14:paraId="64BB37C4" w14:textId="2D7B485D">
      <w:pPr>
        <w:pStyle w:val="BodyText"/>
      </w:pPr>
      <w:r>
        <w:t xml:space="preserve">Additional information about ACS data collection procedures can be found in the ACS </w:t>
      </w:r>
      <w:r w:rsidR="00DB0244">
        <w:t xml:space="preserve">and Puerto Rico Community Survey </w:t>
      </w:r>
      <w:r w:rsidR="00E865E7">
        <w:t xml:space="preserve">(PRCS) </w:t>
      </w:r>
      <w:r>
        <w:t>Design and Methodology Report (U.S. Census Bureau, 2022</w:t>
      </w:r>
      <w:r w:rsidR="009F4D9F">
        <w:t>b</w:t>
      </w:r>
      <w:r>
        <w:t>).</w:t>
      </w:r>
    </w:p>
    <w:p w:rsidR="00EA5CF2" w:rsidP="00DF1B89" w14:paraId="083880A7" w14:textId="7B28C7D5">
      <w:pPr>
        <w:pStyle w:val="Heading2"/>
      </w:pPr>
      <w:bookmarkStart w:id="4" w:name="_Ref125559051"/>
      <w:bookmarkStart w:id="5" w:name="_Toc164241830"/>
      <w:r>
        <w:t>Content Follow-Up</w:t>
      </w:r>
      <w:bookmarkEnd w:id="4"/>
      <w:bookmarkEnd w:id="5"/>
    </w:p>
    <w:p w:rsidR="00DF1B89" w:rsidP="00DF1B89" w14:paraId="5E78899B" w14:textId="0136F56F">
      <w:pPr>
        <w:pStyle w:val="BodyText"/>
        <w:rPr>
          <w:rFonts w:eastAsia="Calibri"/>
        </w:rPr>
      </w:pPr>
      <w:r>
        <w:rPr>
          <w:rFonts w:eastAsia="Calibri"/>
        </w:rPr>
        <w:t>To measure response reliability, w</w:t>
      </w:r>
      <w:r w:rsidRPr="007A6E16">
        <w:rPr>
          <w:rFonts w:eastAsia="Calibri"/>
        </w:rPr>
        <w:t xml:space="preserve">e will attempt a CFU reinterview </w:t>
      </w:r>
      <w:r w:rsidRPr="003E45F2">
        <w:rPr>
          <w:rFonts w:eastAsia="Calibri"/>
        </w:rPr>
        <w:t xml:space="preserve">with every household </w:t>
      </w:r>
      <w:r w:rsidR="00035383">
        <w:rPr>
          <w:rFonts w:eastAsia="Calibri"/>
        </w:rPr>
        <w:t>that completes</w:t>
      </w:r>
      <w:r w:rsidRPr="003E45F2">
        <w:rPr>
          <w:rFonts w:eastAsia="Calibri"/>
        </w:rPr>
        <w:t xml:space="preserve"> an original interview </w:t>
      </w:r>
      <w:r w:rsidR="00035383">
        <w:rPr>
          <w:rFonts w:eastAsia="Calibri"/>
        </w:rPr>
        <w:t>and</w:t>
      </w:r>
      <w:r w:rsidRPr="003E45F2">
        <w:rPr>
          <w:rFonts w:eastAsia="Calibri"/>
        </w:rPr>
        <w:t xml:space="preserve"> meets the eligibility requirements</w:t>
      </w:r>
      <w:r w:rsidR="00A83C22">
        <w:rPr>
          <w:rFonts w:eastAsia="Calibri"/>
        </w:rPr>
        <w:t xml:space="preserve"> as described in </w:t>
      </w:r>
      <w:r w:rsidRPr="00EC097C" w:rsidR="00A83C22">
        <w:rPr>
          <w:rFonts w:eastAsia="Calibri"/>
        </w:rPr>
        <w:t>Contard</w:t>
      </w:r>
      <w:r w:rsidR="00A83C22">
        <w:rPr>
          <w:rFonts w:eastAsia="Calibri"/>
        </w:rPr>
        <w:t> </w:t>
      </w:r>
      <w:r w:rsidRPr="00EC097C" w:rsidR="00A83C22">
        <w:rPr>
          <w:rFonts w:eastAsia="Calibri"/>
        </w:rPr>
        <w:t>(202</w:t>
      </w:r>
      <w:r w:rsidR="00A83C22">
        <w:rPr>
          <w:rFonts w:eastAsia="Calibri"/>
        </w:rPr>
        <w:t>4</w:t>
      </w:r>
      <w:r w:rsidRPr="00EC097C" w:rsidR="00A83C22">
        <w:rPr>
          <w:rFonts w:eastAsia="Calibri"/>
        </w:rPr>
        <w:t>)</w:t>
      </w:r>
      <w:r w:rsidRPr="003E45F2">
        <w:rPr>
          <w:rFonts w:eastAsia="Calibri"/>
        </w:rPr>
        <w:t>.</w:t>
      </w:r>
      <w:r>
        <w:rPr>
          <w:rFonts w:eastAsia="Calibri"/>
        </w:rPr>
        <w:t xml:space="preserve"> </w:t>
      </w:r>
    </w:p>
    <w:p w:rsidR="003E45F2" w:rsidRPr="00E05727" w:rsidP="00DF1B89" w14:paraId="2A24BE3B" w14:textId="7C48C167">
      <w:pPr>
        <w:pStyle w:val="BodyText"/>
        <w:rPr>
          <w:rFonts w:eastAsia="Calibri"/>
          <w:i/>
          <w:iCs/>
        </w:rPr>
      </w:pPr>
      <w:r>
        <w:rPr>
          <w:rFonts w:eastAsia="Calibri"/>
          <w:i/>
          <w:iCs/>
        </w:rPr>
        <w:t xml:space="preserve">CFU </w:t>
      </w:r>
      <w:r w:rsidRPr="00E05727">
        <w:rPr>
          <w:rFonts w:eastAsia="Calibri"/>
          <w:i/>
          <w:iCs/>
        </w:rPr>
        <w:t>Timing</w:t>
      </w:r>
    </w:p>
    <w:p w:rsidR="00DF1B89" w:rsidRPr="007A6E16" w:rsidP="00DF1B89" w14:paraId="5143E330" w14:textId="11BA5FF3">
      <w:pPr>
        <w:pStyle w:val="BodyText"/>
        <w:rPr>
          <w:rFonts w:eastAsia="Calibri"/>
        </w:rPr>
      </w:pPr>
      <w:r w:rsidRPr="007A6E16">
        <w:rPr>
          <w:rFonts w:eastAsia="Calibri"/>
        </w:rPr>
        <w:t xml:space="preserve">The </w:t>
      </w:r>
      <w:r>
        <w:rPr>
          <w:rFonts w:eastAsia="Calibri"/>
        </w:rPr>
        <w:t xml:space="preserve">CFU </w:t>
      </w:r>
      <w:r w:rsidRPr="007A6E16">
        <w:rPr>
          <w:rFonts w:eastAsia="Calibri"/>
        </w:rPr>
        <w:t>reinterview will be conducte</w:t>
      </w:r>
      <w:r w:rsidRPr="00A168A2">
        <w:rPr>
          <w:rFonts w:eastAsia="Calibri"/>
        </w:rPr>
        <w:t xml:space="preserve">d </w:t>
      </w:r>
      <w:r w:rsidR="005776B8">
        <w:rPr>
          <w:rFonts w:eastAsia="Calibri"/>
        </w:rPr>
        <w:t xml:space="preserve">approximately </w:t>
      </w:r>
      <w:r w:rsidRPr="00A168A2">
        <w:rPr>
          <w:rFonts w:eastAsia="Calibri"/>
        </w:rPr>
        <w:t xml:space="preserve">two to five weeks after the original interview. </w:t>
      </w:r>
      <w:r w:rsidR="00553176">
        <w:rPr>
          <w:rFonts w:eastAsia="Calibri"/>
        </w:rPr>
        <w:t>A</w:t>
      </w:r>
      <w:r w:rsidRPr="00A168A2">
        <w:rPr>
          <w:rFonts w:eastAsia="Calibri"/>
        </w:rPr>
        <w:t xml:space="preserve"> case will be sent to the CFU operation </w:t>
      </w:r>
      <w:r w:rsidR="00F515BB">
        <w:rPr>
          <w:rFonts w:eastAsia="Calibri"/>
        </w:rPr>
        <w:t>one to</w:t>
      </w:r>
      <w:r w:rsidRPr="00A168A2">
        <w:rPr>
          <w:rFonts w:eastAsia="Calibri"/>
        </w:rPr>
        <w:t xml:space="preserve"> two weeks</w:t>
      </w:r>
      <w:r w:rsidR="00F515BB">
        <w:rPr>
          <w:rFonts w:eastAsia="Calibri"/>
        </w:rPr>
        <w:t xml:space="preserve"> </w:t>
      </w:r>
      <w:r w:rsidRPr="00A168A2">
        <w:rPr>
          <w:rFonts w:eastAsia="Calibri"/>
        </w:rPr>
        <w:t>after the original interview and must be completed within three weeks after being sent to CFU. This timing attempts to balance two competing needs: to minimize the possibility of real changes in answers due to a change in life circumstances between the two interviews and to minimize the possibility that the respondent repeats their previous answer based on their recollection of the original interview response rather than considering the most appropriate answer.</w:t>
      </w:r>
      <w:r>
        <w:rPr>
          <w:rFonts w:eastAsia="Calibri"/>
        </w:rPr>
        <w:t xml:space="preserve"> </w:t>
      </w:r>
    </w:p>
    <w:p w:rsidR="003E45F2" w:rsidRPr="00E05727" w:rsidP="00DF1B89" w14:paraId="2CC6B73C" w14:textId="38DAE3A9">
      <w:pPr>
        <w:pStyle w:val="BodyText"/>
        <w:rPr>
          <w:rFonts w:eastAsia="Calibri"/>
          <w:i/>
          <w:iCs/>
        </w:rPr>
      </w:pPr>
      <w:r>
        <w:rPr>
          <w:rFonts w:eastAsia="Calibri"/>
          <w:i/>
          <w:iCs/>
        </w:rPr>
        <w:t>CFU</w:t>
      </w:r>
      <w:r w:rsidRPr="00E05727">
        <w:rPr>
          <w:rFonts w:eastAsia="Calibri"/>
          <w:i/>
          <w:iCs/>
        </w:rPr>
        <w:t xml:space="preserve"> Modes</w:t>
      </w:r>
    </w:p>
    <w:p w:rsidR="00114F01" w:rsidP="00114F01" w14:paraId="541618A1" w14:textId="440EA7ED">
      <w:pPr>
        <w:pStyle w:val="BodyText"/>
        <w:rPr>
          <w:rFonts w:eastAsia="Calibri"/>
        </w:rPr>
      </w:pPr>
      <w:r>
        <w:rPr>
          <w:rFonts w:eastAsia="Calibri"/>
        </w:rPr>
        <w:t>Historically</w:t>
      </w:r>
      <w:r w:rsidR="00AA0B04">
        <w:rPr>
          <w:rFonts w:eastAsia="Calibri"/>
        </w:rPr>
        <w:t>,</w:t>
      </w:r>
      <w:r>
        <w:rPr>
          <w:rFonts w:eastAsia="Calibri"/>
        </w:rPr>
        <w:t xml:space="preserve"> CFU reinterviews have been conducted by phone. Low response rates </w:t>
      </w:r>
      <w:r w:rsidR="00082F55">
        <w:rPr>
          <w:rFonts w:eastAsia="Calibri"/>
        </w:rPr>
        <w:t xml:space="preserve">in previous tests </w:t>
      </w:r>
      <w:r>
        <w:rPr>
          <w:rFonts w:eastAsia="Calibri"/>
        </w:rPr>
        <w:t xml:space="preserve">and the potential for a high workload in our phone centers </w:t>
      </w:r>
      <w:r w:rsidR="00082F55">
        <w:rPr>
          <w:rFonts w:eastAsia="Calibri"/>
        </w:rPr>
        <w:t xml:space="preserve">for this test </w:t>
      </w:r>
      <w:r>
        <w:rPr>
          <w:rFonts w:eastAsia="Calibri"/>
        </w:rPr>
        <w:t xml:space="preserve">have caused us to </w:t>
      </w:r>
      <w:r w:rsidR="00035383">
        <w:rPr>
          <w:rFonts w:eastAsia="Calibri"/>
        </w:rPr>
        <w:t>modify</w:t>
      </w:r>
      <w:r>
        <w:rPr>
          <w:rFonts w:eastAsia="Calibri"/>
        </w:rPr>
        <w:t xml:space="preserve"> the mode of collecting the CFU reinterview.</w:t>
      </w:r>
    </w:p>
    <w:p w:rsidR="003E45F2" w:rsidP="00114F01" w14:paraId="5EDEBE71" w14:textId="6CCA74F6">
      <w:pPr>
        <w:pStyle w:val="BodyText"/>
        <w:rPr>
          <w:rFonts w:eastAsia="Calibri"/>
        </w:rPr>
      </w:pPr>
      <w:r>
        <w:rPr>
          <w:rFonts w:eastAsia="Calibri"/>
        </w:rPr>
        <w:t xml:space="preserve">For the </w:t>
      </w:r>
      <w:r w:rsidR="00A9683C">
        <w:rPr>
          <w:rFonts w:eastAsia="Calibri"/>
        </w:rPr>
        <w:t xml:space="preserve">2024 ACS </w:t>
      </w:r>
      <w:r>
        <w:rPr>
          <w:rFonts w:eastAsia="Calibri"/>
        </w:rPr>
        <w:t xml:space="preserve">SOGI Test, </w:t>
      </w:r>
      <w:r w:rsidRPr="00952B66" w:rsidR="00DF1B89">
        <w:rPr>
          <w:rFonts w:eastAsia="Calibri"/>
        </w:rPr>
        <w:t>CFU reinterviews will be conducted by telephone</w:t>
      </w:r>
      <w:r w:rsidRPr="00952B66" w:rsidR="00952B66">
        <w:rPr>
          <w:rFonts w:eastAsia="Calibri"/>
        </w:rPr>
        <w:t xml:space="preserve"> for households that responded by mail in the original interview and </w:t>
      </w:r>
      <w:r w:rsidR="00EF2D0B">
        <w:rPr>
          <w:rFonts w:eastAsia="Calibri"/>
        </w:rPr>
        <w:t xml:space="preserve">will be conducted </w:t>
      </w:r>
      <w:r w:rsidRPr="00952B66" w:rsidR="00952B66">
        <w:rPr>
          <w:rFonts w:eastAsia="Calibri"/>
        </w:rPr>
        <w:t>by internet for households that responded by internet in the original interview</w:t>
      </w:r>
      <w:r w:rsidRPr="00952B66" w:rsidR="00DF1B89">
        <w:rPr>
          <w:rFonts w:eastAsia="Calibri"/>
        </w:rPr>
        <w:t>.</w:t>
      </w:r>
      <w:r>
        <w:rPr>
          <w:rFonts w:eastAsia="Calibri"/>
        </w:rPr>
        <w:t xml:space="preserve"> </w:t>
      </w:r>
    </w:p>
    <w:p w:rsidR="003E45F2" w:rsidRPr="00E05727" w:rsidP="00DF1B89" w14:paraId="4A606F7B" w14:textId="67876913">
      <w:pPr>
        <w:pStyle w:val="BodyText"/>
        <w:rPr>
          <w:rFonts w:eastAsia="Calibri"/>
          <w:i/>
          <w:iCs/>
        </w:rPr>
      </w:pPr>
      <w:r>
        <w:rPr>
          <w:rFonts w:eastAsia="Calibri"/>
          <w:i/>
          <w:iCs/>
        </w:rPr>
        <w:t xml:space="preserve">CFU </w:t>
      </w:r>
      <w:r w:rsidRPr="00E05727">
        <w:rPr>
          <w:rFonts w:eastAsia="Calibri"/>
          <w:i/>
          <w:iCs/>
        </w:rPr>
        <w:t>Proxy Response</w:t>
      </w:r>
    </w:p>
    <w:p w:rsidR="008847E9" w:rsidRPr="00A83C22" w14:paraId="043B439C" w14:textId="25341AAA">
      <w:pPr>
        <w:pStyle w:val="BodyText"/>
        <w:rPr>
          <w:rStyle w:val="BookTitle"/>
          <w:b w:val="0"/>
          <w:bCs w:val="0"/>
          <w:i w:val="0"/>
          <w:iCs w:val="0"/>
        </w:rPr>
      </w:pPr>
      <w:r>
        <w:t xml:space="preserve">For </w:t>
      </w:r>
      <w:r w:rsidR="003E45F2">
        <w:t xml:space="preserve">some </w:t>
      </w:r>
      <w:r>
        <w:t xml:space="preserve">CFU </w:t>
      </w:r>
      <w:r w:rsidR="00E05727">
        <w:t>cases,</w:t>
      </w:r>
      <w:r w:rsidR="003E45F2">
        <w:t xml:space="preserve"> we will interview </w:t>
      </w:r>
      <w:r w:rsidR="00615BAC">
        <w:t>the same household member who provided information in the original interview</w:t>
      </w:r>
      <w:r w:rsidR="00575F91">
        <w:t>,</w:t>
      </w:r>
      <w:r w:rsidR="00615BAC">
        <w:t xml:space="preserve"> and for other CFU cases we will interview </w:t>
      </w:r>
      <w:r w:rsidR="003E45F2">
        <w:t xml:space="preserve">a different household member than the one who provided information in the original interview. The </w:t>
      </w:r>
      <w:r w:rsidR="00C01C0B">
        <w:t>reason</w:t>
      </w:r>
      <w:r w:rsidR="003E45F2">
        <w:t xml:space="preserve"> for this is </w:t>
      </w:r>
      <w:r w:rsidR="003E45F2">
        <w:t>to test the accuracy of proxy reporting for the SOGI questions</w:t>
      </w:r>
      <w:r w:rsidRPr="201F90FC" w:rsidR="00A168A2">
        <w:t xml:space="preserve">. </w:t>
      </w:r>
      <w:r w:rsidRPr="00A168A2" w:rsidR="003E45F2">
        <w:t xml:space="preserve">For all </w:t>
      </w:r>
      <w:r w:rsidRPr="00E87C63" w:rsidR="00A168A2">
        <w:rPr>
          <w:rStyle w:val="BookTitle"/>
          <w:b w:val="0"/>
          <w:bCs w:val="0"/>
          <w:i w:val="0"/>
          <w:iCs w:val="0"/>
        </w:rPr>
        <w:t>households with only one adult, that person will be assigned as the CFU respondent.</w:t>
      </w:r>
      <w:r>
        <w:rPr>
          <w:rStyle w:val="FootnoteReference"/>
          <w:spacing w:val="5"/>
        </w:rPr>
        <w:footnoteReference w:id="8"/>
      </w:r>
      <w:r w:rsidRPr="00E87C63" w:rsidR="00A168A2">
        <w:rPr>
          <w:rStyle w:val="BookTitle"/>
          <w:b w:val="0"/>
          <w:bCs w:val="0"/>
          <w:i w:val="0"/>
          <w:iCs w:val="0"/>
        </w:rPr>
        <w:t xml:space="preserve"> Households with more than one adult </w:t>
      </w:r>
      <w:r w:rsidRPr="00E87C63">
        <w:rPr>
          <w:rStyle w:val="BookTitle"/>
          <w:b w:val="0"/>
          <w:bCs w:val="0"/>
          <w:i w:val="0"/>
          <w:iCs w:val="0"/>
        </w:rPr>
        <w:t xml:space="preserve">will be first stratified into two groups: </w:t>
      </w:r>
    </w:p>
    <w:p w:rsidR="008847E9" w:rsidP="008847E9" w14:paraId="3A5BCEDF" w14:textId="167F2BED">
      <w:pPr>
        <w:numPr>
          <w:ilvl w:val="0"/>
          <w:numId w:val="35"/>
        </w:numPr>
        <w:rPr>
          <w:rStyle w:val="BookTitle"/>
          <w:b w:val="0"/>
          <w:i w:val="0"/>
          <w:iCs w:val="0"/>
        </w:rPr>
      </w:pPr>
      <w:r>
        <w:rPr>
          <w:rStyle w:val="BookTitle"/>
          <w:b w:val="0"/>
          <w:i w:val="0"/>
          <w:iCs w:val="0"/>
        </w:rPr>
        <w:t>H</w:t>
      </w:r>
      <w:r>
        <w:rPr>
          <w:rStyle w:val="BookTitle"/>
          <w:b w:val="0"/>
          <w:i w:val="0"/>
          <w:iCs w:val="0"/>
        </w:rPr>
        <w:t xml:space="preserve">ouseholds with a member who was identified as a sexual or gender </w:t>
      </w:r>
      <w:r>
        <w:rPr>
          <w:rStyle w:val="BookTitle"/>
          <w:b w:val="0"/>
          <w:i w:val="0"/>
          <w:iCs w:val="0"/>
        </w:rPr>
        <w:t>minority</w:t>
      </w:r>
      <w:r>
        <w:rPr>
          <w:rStyle w:val="BookTitle"/>
          <w:b w:val="0"/>
          <w:i w:val="0"/>
          <w:iCs w:val="0"/>
        </w:rPr>
        <w:t xml:space="preserve"> </w:t>
      </w:r>
    </w:p>
    <w:p w:rsidR="008847E9" w:rsidP="006B3342" w14:paraId="4C5E7628" w14:textId="1CA14288">
      <w:pPr>
        <w:numPr>
          <w:ilvl w:val="0"/>
          <w:numId w:val="35"/>
        </w:numPr>
        <w:spacing w:after="240"/>
        <w:rPr>
          <w:rStyle w:val="BookTitle"/>
          <w:b w:val="0"/>
          <w:i w:val="0"/>
          <w:iCs w:val="0"/>
        </w:rPr>
      </w:pPr>
      <w:r>
        <w:rPr>
          <w:rStyle w:val="BookTitle"/>
          <w:b w:val="0"/>
          <w:i w:val="0"/>
          <w:iCs w:val="0"/>
        </w:rPr>
        <w:t>A</w:t>
      </w:r>
      <w:r>
        <w:rPr>
          <w:rStyle w:val="BookTitle"/>
          <w:b w:val="0"/>
          <w:i w:val="0"/>
          <w:iCs w:val="0"/>
        </w:rPr>
        <w:t>ll other multiple-adult households</w:t>
      </w:r>
    </w:p>
    <w:p w:rsidR="003E45F2" w:rsidP="006B3342" w14:paraId="3E22257A" w14:textId="384EB9C7">
      <w:pPr>
        <w:pStyle w:val="BodyText"/>
        <w:rPr>
          <w:rFonts w:eastAsia="Calibri"/>
        </w:rPr>
      </w:pPr>
      <w:r>
        <w:rPr>
          <w:rStyle w:val="BookTitle"/>
          <w:b w:val="0"/>
          <w:i w:val="0"/>
          <w:iCs w:val="0"/>
        </w:rPr>
        <w:t xml:space="preserve">Within each </w:t>
      </w:r>
      <w:r w:rsidR="00277BF8">
        <w:rPr>
          <w:rStyle w:val="BookTitle"/>
          <w:b w:val="0"/>
          <w:i w:val="0"/>
          <w:iCs w:val="0"/>
        </w:rPr>
        <w:t>stratum</w:t>
      </w:r>
      <w:r>
        <w:rPr>
          <w:rStyle w:val="BookTitle"/>
          <w:b w:val="0"/>
          <w:i w:val="0"/>
          <w:iCs w:val="0"/>
        </w:rPr>
        <w:t xml:space="preserve">, households </w:t>
      </w:r>
      <w:r w:rsidR="00C01C0B">
        <w:rPr>
          <w:rStyle w:val="BookTitle"/>
          <w:b w:val="0"/>
          <w:i w:val="0"/>
          <w:iCs w:val="0"/>
        </w:rPr>
        <w:t>will</w:t>
      </w:r>
      <w:r>
        <w:rPr>
          <w:rStyle w:val="BookTitle"/>
          <w:b w:val="0"/>
          <w:i w:val="0"/>
          <w:iCs w:val="0"/>
        </w:rPr>
        <w:t xml:space="preserve"> be assigned</w:t>
      </w:r>
      <w:r w:rsidR="0075244A">
        <w:rPr>
          <w:rStyle w:val="BookTitle"/>
          <w:b w:val="0"/>
          <w:i w:val="0"/>
          <w:iCs w:val="0"/>
        </w:rPr>
        <w:t xml:space="preserve"> evenly</w:t>
      </w:r>
      <w:r>
        <w:rPr>
          <w:rStyle w:val="BookTitle"/>
          <w:b w:val="0"/>
          <w:i w:val="0"/>
          <w:iCs w:val="0"/>
        </w:rPr>
        <w:t xml:space="preserve"> </w:t>
      </w:r>
      <w:r w:rsidR="00277BF8">
        <w:rPr>
          <w:rStyle w:val="BookTitle"/>
          <w:b w:val="0"/>
          <w:i w:val="0"/>
          <w:iCs w:val="0"/>
        </w:rPr>
        <w:t>between two CFU respondent treatments</w:t>
      </w:r>
      <w:r>
        <w:rPr>
          <w:rStyle w:val="BookTitle"/>
          <w:b w:val="0"/>
          <w:i w:val="0"/>
          <w:iCs w:val="0"/>
        </w:rPr>
        <w:t>.</w:t>
      </w:r>
      <w:r w:rsidRPr="00A168A2" w:rsidR="00A168A2">
        <w:rPr>
          <w:rStyle w:val="BookTitle"/>
          <w:b w:val="0"/>
          <w:i w:val="0"/>
          <w:iCs w:val="0"/>
        </w:rPr>
        <w:t xml:space="preserve"> In one, the original respondent will be assigned as the CFU respondent. In th</w:t>
      </w:r>
      <w:r w:rsidR="00A168A2">
        <w:rPr>
          <w:rStyle w:val="BookTitle"/>
          <w:b w:val="0"/>
          <w:i w:val="0"/>
          <w:iCs w:val="0"/>
        </w:rPr>
        <w:t xml:space="preserve">e other </w:t>
      </w:r>
      <w:r w:rsidR="00277BF8">
        <w:rPr>
          <w:rStyle w:val="BookTitle"/>
          <w:b w:val="0"/>
          <w:i w:val="0"/>
          <w:iCs w:val="0"/>
        </w:rPr>
        <w:t>CFU respondent treatment</w:t>
      </w:r>
      <w:r w:rsidRPr="00A168A2" w:rsidR="00A168A2">
        <w:rPr>
          <w:rStyle w:val="BookTitle"/>
          <w:b w:val="0"/>
          <w:i w:val="0"/>
          <w:iCs w:val="0"/>
        </w:rPr>
        <w:t xml:space="preserve">, a different adult in the household will be </w:t>
      </w:r>
      <w:r w:rsidR="00C01C0B">
        <w:rPr>
          <w:rStyle w:val="BookTitle"/>
          <w:b w:val="0"/>
          <w:i w:val="0"/>
          <w:iCs w:val="0"/>
        </w:rPr>
        <w:t xml:space="preserve">randomly </w:t>
      </w:r>
      <w:r w:rsidRPr="00A168A2" w:rsidR="00A624A7">
        <w:rPr>
          <w:rStyle w:val="BookTitle"/>
          <w:b w:val="0"/>
          <w:i w:val="0"/>
          <w:iCs w:val="0"/>
        </w:rPr>
        <w:t>selected and</w:t>
      </w:r>
      <w:r w:rsidRPr="00A168A2" w:rsidR="00A168A2">
        <w:rPr>
          <w:rStyle w:val="BookTitle"/>
          <w:b w:val="0"/>
          <w:i w:val="0"/>
          <w:iCs w:val="0"/>
        </w:rPr>
        <w:t xml:space="preserve"> assigned as the CFU respondent.</w:t>
      </w:r>
      <w:r>
        <w:rPr>
          <w:rStyle w:val="FootnoteReference"/>
          <w:bCs/>
          <w:spacing w:val="5"/>
        </w:rPr>
        <w:footnoteReference w:id="9"/>
      </w:r>
      <w:r w:rsidRPr="00A168A2" w:rsidR="00A168A2">
        <w:rPr>
          <w:rStyle w:val="BookTitle"/>
          <w:b w:val="0"/>
          <w:i w:val="0"/>
          <w:iCs w:val="0"/>
        </w:rPr>
        <w:t xml:space="preserve"> </w:t>
      </w:r>
      <w:r w:rsidR="00277BF8">
        <w:rPr>
          <w:rStyle w:val="BookTitle"/>
          <w:b w:val="0"/>
          <w:i w:val="0"/>
          <w:iCs w:val="0"/>
        </w:rPr>
        <w:t>If there are any adults in the household who were identified as a sexual or gender minority</w:t>
      </w:r>
      <w:r w:rsidR="000527B6">
        <w:rPr>
          <w:rStyle w:val="BookTitle"/>
          <w:b w:val="0"/>
          <w:i w:val="0"/>
          <w:iCs w:val="0"/>
        </w:rPr>
        <w:t xml:space="preserve"> and were not the original respondent</w:t>
      </w:r>
      <w:r w:rsidR="00277BF8">
        <w:rPr>
          <w:rStyle w:val="BookTitle"/>
          <w:b w:val="0"/>
          <w:i w:val="0"/>
          <w:iCs w:val="0"/>
        </w:rPr>
        <w:t xml:space="preserve">, the CFU respondent will be randomly selected from those persons. </w:t>
      </w:r>
      <w:r w:rsidR="00F32C66">
        <w:rPr>
          <w:rStyle w:val="BookTitle"/>
          <w:b w:val="0"/>
          <w:i w:val="0"/>
          <w:iCs w:val="0"/>
        </w:rPr>
        <w:t>Otherwise, the CFU respondent will be randomly selected from among all adults in the household who were not the original respondent.</w:t>
      </w:r>
    </w:p>
    <w:p w:rsidR="003E45F2" w:rsidRPr="00E05727" w:rsidP="00DF1B89" w14:paraId="5BA60DCF" w14:textId="579D0C04">
      <w:pPr>
        <w:pStyle w:val="BodyText"/>
        <w:rPr>
          <w:rFonts w:eastAsia="Calibri"/>
          <w:i/>
          <w:iCs/>
        </w:rPr>
      </w:pPr>
      <w:r w:rsidRPr="00E05727">
        <w:rPr>
          <w:rFonts w:eastAsia="Calibri"/>
          <w:i/>
          <w:iCs/>
        </w:rPr>
        <w:t>CFU Content</w:t>
      </w:r>
    </w:p>
    <w:p w:rsidR="00DF1B89" w:rsidP="00DF1B89" w14:paraId="05079C2C" w14:textId="065513E3">
      <w:pPr>
        <w:pStyle w:val="BodyText"/>
        <w:rPr>
          <w:rFonts w:eastAsia="Calibri"/>
        </w:rPr>
      </w:pPr>
      <w:r w:rsidRPr="007A6E16">
        <w:rPr>
          <w:rFonts w:eastAsia="Calibri"/>
        </w:rPr>
        <w:t>The CFU instrument will not include all ACS questions, but for context</w:t>
      </w:r>
      <w:r w:rsidR="00360EA3">
        <w:rPr>
          <w:rFonts w:eastAsia="Calibri"/>
        </w:rPr>
        <w:t xml:space="preserve"> and analysis purposes</w:t>
      </w:r>
      <w:r w:rsidRPr="007A6E16">
        <w:rPr>
          <w:rFonts w:eastAsia="Calibri"/>
        </w:rPr>
        <w:t xml:space="preserve">, it will include some </w:t>
      </w:r>
      <w:r w:rsidR="00763AE4">
        <w:rPr>
          <w:rFonts w:eastAsia="Calibri"/>
        </w:rPr>
        <w:t xml:space="preserve">ACS </w:t>
      </w:r>
      <w:r w:rsidRPr="007A6E16">
        <w:rPr>
          <w:rFonts w:eastAsia="Calibri"/>
        </w:rPr>
        <w:t>production questions in addition to the ones being tested for revision or addition. Questions will be asked in the reinterview regardless of whether the question was left blank in the original interview.</w:t>
      </w:r>
      <w:r>
        <w:rPr>
          <w:rFonts w:eastAsia="Calibri"/>
        </w:rPr>
        <w:t xml:space="preserve"> </w:t>
      </w:r>
    </w:p>
    <w:p w:rsidR="00DF1B89" w:rsidP="00DF1B89" w14:paraId="0FFEEAA7" w14:textId="77777777">
      <w:pPr>
        <w:pStyle w:val="BodyText"/>
        <w:rPr>
          <w:rFonts w:eastAsia="Calibri"/>
        </w:rPr>
      </w:pPr>
      <w:r>
        <w:rPr>
          <w:rFonts w:eastAsia="Calibri"/>
        </w:rPr>
        <w:t>The questions that will be asked in the CFU reinterview include:</w:t>
      </w:r>
    </w:p>
    <w:p w:rsidR="00DF1B89" w:rsidP="00DE5C09" w14:paraId="417CB1A7" w14:textId="4D526AA9">
      <w:pPr>
        <w:pStyle w:val="NoSpacing"/>
        <w:numPr>
          <w:ilvl w:val="0"/>
          <w:numId w:val="9"/>
        </w:numPr>
        <w:rPr>
          <w:rFonts w:eastAsia="Calibri"/>
          <w:sz w:val="24"/>
          <w:szCs w:val="24"/>
        </w:rPr>
      </w:pPr>
      <w:r>
        <w:rPr>
          <w:rFonts w:eastAsia="Calibri"/>
          <w:sz w:val="24"/>
          <w:szCs w:val="24"/>
        </w:rPr>
        <w:t>Relationship</w:t>
      </w:r>
      <w:r w:rsidR="00434123">
        <w:rPr>
          <w:rFonts w:eastAsia="Calibri"/>
          <w:sz w:val="24"/>
          <w:szCs w:val="24"/>
        </w:rPr>
        <w:t xml:space="preserve"> </w:t>
      </w:r>
    </w:p>
    <w:p w:rsidR="00C7798F" w:rsidP="00DE5C09" w14:paraId="3684D875" w14:textId="41D72719">
      <w:pPr>
        <w:pStyle w:val="NoSpacing"/>
        <w:numPr>
          <w:ilvl w:val="0"/>
          <w:numId w:val="9"/>
        </w:numPr>
        <w:rPr>
          <w:rFonts w:eastAsia="Calibri"/>
          <w:sz w:val="24"/>
          <w:szCs w:val="24"/>
        </w:rPr>
      </w:pPr>
      <w:r>
        <w:rPr>
          <w:rFonts w:eastAsia="Calibri"/>
          <w:sz w:val="24"/>
          <w:szCs w:val="24"/>
        </w:rPr>
        <w:t>Age</w:t>
      </w:r>
      <w:r w:rsidR="00434123">
        <w:rPr>
          <w:rFonts w:eastAsia="Calibri"/>
          <w:sz w:val="24"/>
          <w:szCs w:val="24"/>
        </w:rPr>
        <w:t xml:space="preserve"> </w:t>
      </w:r>
    </w:p>
    <w:p w:rsidR="00C7798F" w:rsidP="00DE5C09" w14:paraId="6C5D10C0" w14:textId="297187A8">
      <w:pPr>
        <w:pStyle w:val="NoSpacing"/>
        <w:numPr>
          <w:ilvl w:val="0"/>
          <w:numId w:val="9"/>
        </w:numPr>
        <w:rPr>
          <w:rFonts w:eastAsia="Calibri"/>
          <w:sz w:val="24"/>
          <w:szCs w:val="24"/>
        </w:rPr>
      </w:pPr>
      <w:r>
        <w:rPr>
          <w:rFonts w:eastAsia="Calibri"/>
          <w:sz w:val="24"/>
          <w:szCs w:val="24"/>
        </w:rPr>
        <w:t>Sex at Birth</w:t>
      </w:r>
      <w:r w:rsidR="00434123">
        <w:rPr>
          <w:rFonts w:eastAsia="Calibri"/>
          <w:sz w:val="24"/>
          <w:szCs w:val="24"/>
        </w:rPr>
        <w:t xml:space="preserve"> </w:t>
      </w:r>
    </w:p>
    <w:p w:rsidR="00E667F7" w:rsidP="00DE5C09" w14:paraId="634A77FF" w14:textId="28323F6E">
      <w:pPr>
        <w:pStyle w:val="NoSpacing"/>
        <w:numPr>
          <w:ilvl w:val="0"/>
          <w:numId w:val="9"/>
        </w:numPr>
        <w:rPr>
          <w:rFonts w:eastAsia="Calibri"/>
          <w:sz w:val="24"/>
          <w:szCs w:val="24"/>
        </w:rPr>
      </w:pPr>
      <w:r>
        <w:rPr>
          <w:rFonts w:eastAsia="Calibri"/>
          <w:sz w:val="24"/>
          <w:szCs w:val="24"/>
        </w:rPr>
        <w:t>Current Gender</w:t>
      </w:r>
      <w:r w:rsidR="00434123">
        <w:rPr>
          <w:rFonts w:eastAsia="Calibri"/>
          <w:sz w:val="24"/>
          <w:szCs w:val="24"/>
        </w:rPr>
        <w:t xml:space="preserve"> </w:t>
      </w:r>
    </w:p>
    <w:p w:rsidR="00E667F7" w:rsidP="00DE5C09" w14:paraId="0B133C8F" w14:textId="03DFBD11">
      <w:pPr>
        <w:pStyle w:val="NoSpacing"/>
        <w:numPr>
          <w:ilvl w:val="0"/>
          <w:numId w:val="9"/>
        </w:numPr>
        <w:rPr>
          <w:rFonts w:eastAsia="Calibri"/>
          <w:sz w:val="24"/>
          <w:szCs w:val="24"/>
        </w:rPr>
      </w:pPr>
      <w:r>
        <w:rPr>
          <w:rFonts w:eastAsia="Calibri"/>
          <w:sz w:val="24"/>
          <w:szCs w:val="24"/>
        </w:rPr>
        <w:t>Hispanic Origin</w:t>
      </w:r>
    </w:p>
    <w:p w:rsidR="00E667F7" w:rsidP="00DE5C09" w14:paraId="287612BF" w14:textId="04ECFFB4">
      <w:pPr>
        <w:pStyle w:val="NoSpacing"/>
        <w:numPr>
          <w:ilvl w:val="0"/>
          <w:numId w:val="9"/>
        </w:numPr>
        <w:rPr>
          <w:rFonts w:eastAsia="Calibri"/>
          <w:sz w:val="24"/>
          <w:szCs w:val="24"/>
        </w:rPr>
      </w:pPr>
      <w:r>
        <w:rPr>
          <w:rFonts w:eastAsia="Calibri"/>
          <w:sz w:val="24"/>
          <w:szCs w:val="24"/>
        </w:rPr>
        <w:t>Race</w:t>
      </w:r>
      <w:r w:rsidR="00434123">
        <w:rPr>
          <w:rFonts w:eastAsia="Calibri"/>
          <w:sz w:val="24"/>
          <w:szCs w:val="24"/>
        </w:rPr>
        <w:t xml:space="preserve"> </w:t>
      </w:r>
    </w:p>
    <w:p w:rsidR="00E667F7" w:rsidP="00DE5C09" w14:paraId="5EEA4450" w14:textId="7C8714AE">
      <w:pPr>
        <w:pStyle w:val="NoSpacing"/>
        <w:numPr>
          <w:ilvl w:val="0"/>
          <w:numId w:val="9"/>
        </w:numPr>
        <w:rPr>
          <w:rFonts w:eastAsia="Calibri"/>
          <w:sz w:val="24"/>
          <w:szCs w:val="24"/>
        </w:rPr>
      </w:pPr>
      <w:r>
        <w:rPr>
          <w:rFonts w:eastAsia="Calibri"/>
          <w:sz w:val="24"/>
          <w:szCs w:val="24"/>
        </w:rPr>
        <w:t>Place of Birth</w:t>
      </w:r>
      <w:r w:rsidR="00434123">
        <w:rPr>
          <w:rFonts w:eastAsia="Calibri"/>
          <w:sz w:val="24"/>
          <w:szCs w:val="24"/>
        </w:rPr>
        <w:t xml:space="preserve"> </w:t>
      </w:r>
    </w:p>
    <w:p w:rsidR="00E667F7" w:rsidP="00DE5C09" w14:paraId="433461EF" w14:textId="62D9705E">
      <w:pPr>
        <w:pStyle w:val="NoSpacing"/>
        <w:numPr>
          <w:ilvl w:val="0"/>
          <w:numId w:val="9"/>
        </w:numPr>
        <w:rPr>
          <w:rFonts w:eastAsia="Calibri"/>
          <w:sz w:val="24"/>
          <w:szCs w:val="24"/>
        </w:rPr>
      </w:pPr>
      <w:r>
        <w:rPr>
          <w:rFonts w:eastAsia="Calibri"/>
          <w:sz w:val="24"/>
          <w:szCs w:val="24"/>
        </w:rPr>
        <w:t>Educational Attainment</w:t>
      </w:r>
      <w:r w:rsidR="00434123">
        <w:rPr>
          <w:rFonts w:eastAsia="Calibri"/>
          <w:sz w:val="24"/>
          <w:szCs w:val="24"/>
        </w:rPr>
        <w:t xml:space="preserve"> </w:t>
      </w:r>
    </w:p>
    <w:p w:rsidR="00E667F7" w:rsidP="00DE5C09" w14:paraId="0A60BD06" w14:textId="67EC60EB">
      <w:pPr>
        <w:pStyle w:val="NoSpacing"/>
        <w:numPr>
          <w:ilvl w:val="0"/>
          <w:numId w:val="9"/>
        </w:numPr>
        <w:rPr>
          <w:rFonts w:eastAsia="Calibri"/>
          <w:sz w:val="24"/>
          <w:szCs w:val="24"/>
        </w:rPr>
      </w:pPr>
      <w:r>
        <w:rPr>
          <w:rFonts w:eastAsia="Calibri"/>
          <w:sz w:val="24"/>
          <w:szCs w:val="24"/>
        </w:rPr>
        <w:t>Health Insurance Coverage</w:t>
      </w:r>
    </w:p>
    <w:p w:rsidR="00E667F7" w:rsidP="00DE5C09" w14:paraId="5FB13558" w14:textId="2501435C">
      <w:pPr>
        <w:pStyle w:val="NoSpacing"/>
        <w:numPr>
          <w:ilvl w:val="0"/>
          <w:numId w:val="9"/>
        </w:numPr>
        <w:rPr>
          <w:rFonts w:eastAsia="Calibri"/>
          <w:sz w:val="24"/>
          <w:szCs w:val="24"/>
        </w:rPr>
      </w:pPr>
      <w:r>
        <w:rPr>
          <w:rFonts w:eastAsia="Calibri"/>
          <w:sz w:val="24"/>
          <w:szCs w:val="24"/>
        </w:rPr>
        <w:t>Disability</w:t>
      </w:r>
      <w:r w:rsidR="00434123">
        <w:rPr>
          <w:rFonts w:eastAsia="Calibri"/>
          <w:sz w:val="24"/>
          <w:szCs w:val="24"/>
        </w:rPr>
        <w:t xml:space="preserve"> </w:t>
      </w:r>
    </w:p>
    <w:p w:rsidR="00E667F7" w:rsidP="00DE5C09" w14:paraId="42E7FB6B" w14:textId="0411B6C3">
      <w:pPr>
        <w:pStyle w:val="NoSpacing"/>
        <w:numPr>
          <w:ilvl w:val="0"/>
          <w:numId w:val="9"/>
        </w:numPr>
        <w:rPr>
          <w:rFonts w:eastAsia="Calibri"/>
          <w:sz w:val="24"/>
          <w:szCs w:val="24"/>
        </w:rPr>
      </w:pPr>
      <w:r>
        <w:rPr>
          <w:rFonts w:eastAsia="Calibri"/>
          <w:sz w:val="24"/>
          <w:szCs w:val="24"/>
        </w:rPr>
        <w:t>Marital Status/History</w:t>
      </w:r>
      <w:r w:rsidR="00434123">
        <w:rPr>
          <w:rFonts w:eastAsia="Calibri"/>
          <w:sz w:val="24"/>
          <w:szCs w:val="24"/>
        </w:rPr>
        <w:t xml:space="preserve"> </w:t>
      </w:r>
    </w:p>
    <w:p w:rsidR="00E667F7" w:rsidP="00DE5C09" w14:paraId="388BFD32" w14:textId="33E4CD8A">
      <w:pPr>
        <w:pStyle w:val="NoSpacing"/>
        <w:numPr>
          <w:ilvl w:val="0"/>
          <w:numId w:val="9"/>
        </w:numPr>
        <w:rPr>
          <w:rFonts w:eastAsia="Calibri"/>
          <w:sz w:val="24"/>
          <w:szCs w:val="24"/>
        </w:rPr>
      </w:pPr>
      <w:r>
        <w:rPr>
          <w:rFonts w:eastAsia="Calibri"/>
          <w:sz w:val="24"/>
          <w:szCs w:val="24"/>
        </w:rPr>
        <w:t>Sexual Orientation</w:t>
      </w:r>
      <w:r w:rsidR="00434123">
        <w:rPr>
          <w:rFonts w:eastAsia="Calibri"/>
          <w:sz w:val="24"/>
          <w:szCs w:val="24"/>
        </w:rPr>
        <w:t xml:space="preserve"> </w:t>
      </w:r>
    </w:p>
    <w:p w:rsidR="00E667F7" w:rsidP="00DE5C09" w14:paraId="3F3C764E" w14:textId="4C2A2264">
      <w:pPr>
        <w:pStyle w:val="NoSpacing"/>
        <w:numPr>
          <w:ilvl w:val="0"/>
          <w:numId w:val="9"/>
        </w:numPr>
        <w:rPr>
          <w:rFonts w:eastAsia="Calibri"/>
          <w:sz w:val="24"/>
          <w:szCs w:val="24"/>
        </w:rPr>
      </w:pPr>
      <w:r>
        <w:rPr>
          <w:rFonts w:eastAsia="Calibri"/>
          <w:sz w:val="24"/>
          <w:szCs w:val="24"/>
        </w:rPr>
        <w:t>Fertility</w:t>
      </w:r>
      <w:r w:rsidR="00434123">
        <w:rPr>
          <w:rFonts w:eastAsia="Calibri"/>
          <w:sz w:val="24"/>
          <w:szCs w:val="24"/>
        </w:rPr>
        <w:t xml:space="preserve"> </w:t>
      </w:r>
    </w:p>
    <w:p w:rsidR="00E667F7" w:rsidRPr="00B368DB" w:rsidP="006B3342" w14:paraId="5E3498BC" w14:textId="674C7326">
      <w:pPr>
        <w:pStyle w:val="NoSpacing"/>
        <w:numPr>
          <w:ilvl w:val="0"/>
          <w:numId w:val="9"/>
        </w:numPr>
        <w:spacing w:after="240"/>
        <w:rPr>
          <w:rFonts w:eastAsia="Calibri"/>
          <w:sz w:val="24"/>
          <w:szCs w:val="24"/>
        </w:rPr>
      </w:pPr>
      <w:r>
        <w:rPr>
          <w:rFonts w:eastAsia="Calibri"/>
          <w:sz w:val="24"/>
          <w:szCs w:val="24"/>
        </w:rPr>
        <w:t>Wages</w:t>
      </w:r>
    </w:p>
    <w:p w:rsidR="00DF1B89" w:rsidP="006B3342" w14:paraId="6D957C5F" w14:textId="5E37D736">
      <w:pPr>
        <w:pStyle w:val="BodyText"/>
      </w:pPr>
      <w:r>
        <w:t>In the CFU reinterviews</w:t>
      </w:r>
      <w:r w:rsidR="00AA0B04">
        <w:t>,</w:t>
      </w:r>
      <w:r>
        <w:t xml:space="preserve"> we will ask t</w:t>
      </w:r>
      <w:r>
        <w:t xml:space="preserve">he same version of the </w:t>
      </w:r>
      <w:r>
        <w:t xml:space="preserve">SOGI </w:t>
      </w:r>
      <w:r>
        <w:t>question</w:t>
      </w:r>
      <w:r>
        <w:t>s</w:t>
      </w:r>
      <w:r>
        <w:t xml:space="preserve"> </w:t>
      </w:r>
      <w:r>
        <w:t xml:space="preserve">asked </w:t>
      </w:r>
      <w:r>
        <w:t>in the original interview</w:t>
      </w:r>
      <w:r w:rsidR="00F96D52">
        <w:t xml:space="preserve"> for each treatment</w:t>
      </w:r>
      <w:r w:rsidR="00C7798F">
        <w:t>.</w:t>
      </w:r>
    </w:p>
    <w:p w:rsidR="00634520" w:rsidP="00DF1B89" w14:paraId="2556B40D" w14:textId="227AC8C0">
      <w:pPr>
        <w:pStyle w:val="BodyText"/>
        <w:rPr>
          <w:rFonts w:eastAsia="Calibri"/>
        </w:rPr>
      </w:pPr>
      <w:r>
        <w:rPr>
          <w:rFonts w:eastAsia="Calibri"/>
        </w:rPr>
        <w:t>For more information on the CFU operation</w:t>
      </w:r>
      <w:r w:rsidR="00434123">
        <w:rPr>
          <w:rFonts w:eastAsia="Calibri"/>
        </w:rPr>
        <w:t xml:space="preserve"> and eligibility requirements</w:t>
      </w:r>
      <w:r>
        <w:rPr>
          <w:rFonts w:eastAsia="Calibri"/>
        </w:rPr>
        <w:t xml:space="preserve">, see </w:t>
      </w:r>
      <w:r w:rsidRPr="00EC097C" w:rsidR="00434123">
        <w:rPr>
          <w:rFonts w:eastAsia="Calibri"/>
        </w:rPr>
        <w:t>Contard</w:t>
      </w:r>
      <w:r w:rsidRPr="00EC097C">
        <w:rPr>
          <w:rFonts w:eastAsia="Calibri"/>
        </w:rPr>
        <w:t xml:space="preserve"> (202</w:t>
      </w:r>
      <w:r w:rsidR="00F515BB">
        <w:rPr>
          <w:rFonts w:eastAsia="Calibri"/>
        </w:rPr>
        <w:t>4</w:t>
      </w:r>
      <w:r w:rsidRPr="00EC097C">
        <w:rPr>
          <w:rFonts w:eastAsia="Calibri"/>
        </w:rPr>
        <w:t>).</w:t>
      </w:r>
    </w:p>
    <w:p w:rsidR="00F515BB" w:rsidP="00F515BB" w14:paraId="1BD56773" w14:textId="224DF122">
      <w:pPr>
        <w:pStyle w:val="Heading2"/>
      </w:pPr>
      <w:bookmarkStart w:id="6" w:name="_Ref150354336"/>
      <w:bookmarkStart w:id="7" w:name="_Toc164241831"/>
      <w:r>
        <w:t xml:space="preserve">Question Content </w:t>
      </w:r>
      <w:bookmarkEnd w:id="6"/>
      <w:r w:rsidR="004213E3">
        <w:t>for SOGI Field Test</w:t>
      </w:r>
      <w:bookmarkEnd w:id="7"/>
    </w:p>
    <w:p w:rsidR="00FA475B" w:rsidP="00FA475B" w14:paraId="254ED2D7" w14:textId="77777777">
      <w:pPr>
        <w:pStyle w:val="Heading3"/>
      </w:pPr>
      <w:bookmarkStart w:id="8" w:name="_Toc164241832"/>
      <w:r>
        <w:t>Guidelines and Recommendations for Measuring SOGI</w:t>
      </w:r>
      <w:bookmarkEnd w:id="8"/>
    </w:p>
    <w:p w:rsidR="00495BB4" w:rsidP="00FA475B" w14:paraId="02424E44" w14:textId="4D1E734B">
      <w:pPr>
        <w:pStyle w:val="BodyText"/>
      </w:pPr>
      <w:r>
        <w:t xml:space="preserve">The SOGI questions in this test were developed using </w:t>
      </w:r>
      <w:r>
        <w:t xml:space="preserve">guidelines and recommendations for measuring SOGI in federal surveys. Those guidelines and recommendations are based on </w:t>
      </w:r>
      <w:r w:rsidR="00087C67">
        <w:t xml:space="preserve">previous research on measuring SOGI, expert advice, and existing SOGI questions in federal surveys. </w:t>
      </w:r>
    </w:p>
    <w:p w:rsidR="00FA475B" w:rsidP="00FA475B" w14:paraId="5BFB3CA0" w14:textId="146C20ED">
      <w:pPr>
        <w:pStyle w:val="BodyText"/>
      </w:pPr>
      <w:r>
        <w:t xml:space="preserve">Federal agencies interested in collecting SOGI data independently researched how best to measure SOGI. To coordinate SOGI data collection efforts across the federal government, OMB convened the </w:t>
      </w:r>
      <w:r w:rsidRPr="2D1D6284">
        <w:rPr>
          <w:rFonts w:cs="Times New Roman"/>
        </w:rPr>
        <w:t>Federal Interagency Working Group on Improving Measurement of Sexual Orientation and Gender Identity in Federal Surveys</w:t>
      </w:r>
      <w:r>
        <w:rPr>
          <w:rFonts w:cs="Times New Roman"/>
        </w:rPr>
        <w:t xml:space="preserve"> (IWG)</w:t>
      </w:r>
      <w:r w:rsidRPr="009F7249">
        <w:t xml:space="preserve"> </w:t>
      </w:r>
      <w:r>
        <w:t>in 2015</w:t>
      </w:r>
      <w:r>
        <w:rPr>
          <w:rFonts w:cs="Times New Roman"/>
        </w:rPr>
        <w:t>.</w:t>
      </w:r>
      <w:r>
        <w:t xml:space="preserve"> The group was also convened to address the methodological issues surrounding the collection and measurement of SOGI data (</w:t>
      </w:r>
      <w:r w:rsidRPr="2D1D6284">
        <w:rPr>
          <w:rFonts w:cs="Times New Roman"/>
        </w:rPr>
        <w:t>IWG, 2016a</w:t>
      </w:r>
      <w:r>
        <w:t xml:space="preserve">).  </w:t>
      </w:r>
    </w:p>
    <w:p w:rsidR="00FA475B" w:rsidP="00FA475B" w14:paraId="50519AA5" w14:textId="77777777">
      <w:pPr>
        <w:pStyle w:val="BodyText"/>
      </w:pPr>
      <w:r>
        <w:t>The IWG published three working papers in 2016. The first paper, “Current Measures of SOGI in Federal Surveys” (</w:t>
      </w:r>
      <w:r w:rsidRPr="3E3B57A1">
        <w:rPr>
          <w:rFonts w:eastAsiaTheme="minorEastAsia"/>
        </w:rPr>
        <w:t>IWG, 2016a</w:t>
      </w:r>
      <w:r>
        <w:t>), gave an overview of the current SOGI concepts and measures in federal household surveys. The second paper, “Evaluations of SOGI Measures” (</w:t>
      </w:r>
      <w:r w:rsidRPr="3E3B57A1">
        <w:rPr>
          <w:rFonts w:cs="Times New Roman"/>
        </w:rPr>
        <w:t>IWG, 2016b</w:t>
      </w:r>
      <w:r>
        <w:t>), was a meta-analysis of assessments of SOGI measurement error in federal surveys. It also described how federal surveys defined SOGI, any measurement challenges, and areas of future research. The third paper, “Toward a Research Agenda” (</w:t>
      </w:r>
      <w:r w:rsidRPr="3E3B57A1">
        <w:rPr>
          <w:rFonts w:cs="Times New Roman"/>
        </w:rPr>
        <w:t>IWG, 2016c</w:t>
      </w:r>
      <w:r>
        <w:t xml:space="preserve">), proposed research priorities and strategies for improving SOGI measurement in federal surveys. The top proposed priorities included 1) question terminology related to gender identity, 2) proxy reporting, and 3) translation of SOGI questions into other languages. </w:t>
      </w:r>
    </w:p>
    <w:p w:rsidR="00FA475B" w:rsidP="00FA475B" w14:paraId="65A68195" w14:textId="77777777">
      <w:pPr>
        <w:pStyle w:val="BodyText"/>
      </w:pPr>
      <w:r>
        <w:t xml:space="preserve">In 2020, the National Academies of Sciences, Engineering, and Medicine (NASEM) issued a report calling on the federal government to develop standards for collecting SOGI information. The National Institutes of Health then asked NASEM to have a committee of experts review the current SOGI measures in surveys and provide guidelines for collecting these data in various settings. The “Measuring Sex, Gender Identity, and Sexual Orientation” report (NASEM, 2022) was the outcome of this review. It provides recommended questions for measuring sex, gender identity, and sexual orientation, as well as future research areas. </w:t>
      </w:r>
    </w:p>
    <w:p w:rsidR="00FA475B" w:rsidRPr="00FA475B" w:rsidP="00FA475B" w14:paraId="27F96F89" w14:textId="4FE104B5">
      <w:pPr>
        <w:pStyle w:val="BodyText"/>
      </w:pPr>
      <w:r>
        <w:t xml:space="preserve">Drawing from the research of these and other working groups, OMB issued the “Recommendations on the Best Practices for the Collection of Sexual Orientation and Gender Identity Data on Federal Statistical Surveys” report (OMB, 2023). It detailed considerations for </w:t>
      </w:r>
      <w:r>
        <w:t xml:space="preserve">including SOGI items on surveys, example modules for asking about SOGI, and guidelines for reporting and safeguarding SOGI data. </w:t>
      </w:r>
    </w:p>
    <w:p w:rsidR="00626D0B" w:rsidRPr="00626D0B" w:rsidP="00626D0B" w14:paraId="6245BA1F" w14:textId="531E7736">
      <w:pPr>
        <w:pStyle w:val="Heading3"/>
      </w:pPr>
      <w:bookmarkStart w:id="9" w:name="_Toc164241833"/>
      <w:r>
        <w:t>Question Content for Gender Identity and Sexual Orientation</w:t>
      </w:r>
      <w:bookmarkEnd w:id="9"/>
    </w:p>
    <w:p w:rsidR="00F515BB" w:rsidP="00F515BB" w14:paraId="64EE603F" w14:textId="4A1A6682">
      <w:pPr>
        <w:pStyle w:val="BodyText"/>
      </w:pPr>
      <w:r>
        <w:t xml:space="preserve">The two versions we will test for the Gender Identity series of questions are provided in </w:t>
      </w:r>
      <w:r>
        <w:fldChar w:fldCharType="begin"/>
      </w:r>
      <w:r>
        <w:instrText xml:space="preserve"> REF _Ref150350425 \h </w:instrText>
      </w:r>
      <w:r>
        <w:fldChar w:fldCharType="separate"/>
      </w:r>
      <w:r w:rsidR="00F376F4">
        <w:t xml:space="preserve">Figure </w:t>
      </w:r>
      <w:r w:rsidR="00F376F4">
        <w:rPr>
          <w:noProof/>
        </w:rPr>
        <w:t>1</w:t>
      </w:r>
      <w:r>
        <w:fldChar w:fldCharType="end"/>
      </w:r>
      <w:r>
        <w:t>. Both versions have the same wording for the Sex at Birth question</w:t>
      </w:r>
      <w:r w:rsidR="006B43C7">
        <w:t xml:space="preserve"> and Current Gender question</w:t>
      </w:r>
      <w:r>
        <w:t xml:space="preserve">, but the Current Gender instructions for Version 1 instruct the respondent to mark only one box while the instructions for Version 2 say </w:t>
      </w:r>
      <w:r w:rsidR="006B43C7">
        <w:t xml:space="preserve">to </w:t>
      </w:r>
      <w:r>
        <w:t>mark one or more boxes.</w:t>
      </w:r>
    </w:p>
    <w:p w:rsidR="00AE1C3E" w:rsidP="00E959F1" w14:paraId="6A9BB0E1" w14:textId="4BEAE1C3">
      <w:pPr>
        <w:pStyle w:val="Caption"/>
      </w:pPr>
      <w:bookmarkStart w:id="10" w:name="_Ref150350425"/>
      <w:bookmarkStart w:id="11" w:name="_Ref150354296"/>
      <w:r>
        <w:t xml:space="preserve">Figure </w:t>
      </w:r>
      <w:r w:rsidR="00EE6355">
        <w:fldChar w:fldCharType="begin"/>
      </w:r>
      <w:r w:rsidR="00EE6355">
        <w:instrText xml:space="preserve"> SEQ Figure \* ARABIC </w:instrText>
      </w:r>
      <w:r w:rsidR="00EE6355">
        <w:fldChar w:fldCharType="separate"/>
      </w:r>
      <w:r w:rsidR="00F376F4">
        <w:rPr>
          <w:noProof/>
        </w:rPr>
        <w:t>1</w:t>
      </w:r>
      <w:r w:rsidR="00EE6355">
        <w:rPr>
          <w:noProof/>
        </w:rPr>
        <w:fldChar w:fldCharType="end"/>
      </w:r>
      <w:bookmarkEnd w:id="10"/>
      <w:r>
        <w:t>. Gender Identity Questions (Paper):</w:t>
      </w:r>
      <w:bookmarkEnd w:id="11"/>
      <w:r>
        <w:t xml:space="preserve"> Version 1 (Left) and Version 2 (Right)</w:t>
      </w:r>
    </w:p>
    <w:p w:rsidR="00F47C56" w:rsidP="00F515BB" w14:paraId="4D39DA2F" w14:textId="5217B4B5">
      <w:pPr>
        <w:pStyle w:val="BodyText"/>
      </w:pPr>
      <w:r>
        <w:rPr>
          <w:noProof/>
        </w:rPr>
        <w:drawing>
          <wp:inline distT="0" distB="0" distL="0" distR="0">
            <wp:extent cx="2907792" cy="2413750"/>
            <wp:effectExtent l="0" t="0" r="6985" b="5715"/>
            <wp:docPr id="21" name="Picture 21" descr="Version 1 of the Gender Identity questions from the paper questionnaire. Question 4: What sex was Person 1 assigned at birth? Mark (X) ONE box. Options Male or Female. Question 5: What is Person 1's current gender? Mark (X) ONE box. If this person is less than 15 years old, SKIP to the next question. Options Male, Female, Transgender, Nonbinary, or This person uses a different term with write-in box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Version 1 of the Gender Identity questions from the paper questionnaire. Question 4: What sex was Person 1 assigned at birth? Mark (X) ONE box. Options Male or Female. Question 5: What is Person 1's current gender? Mark (X) ONE box. If this person is less than 15 years old, SKIP to the next question. Options Male, Female, Transgender, Nonbinary, or This person uses a different term with write-in box below. "/>
                    <pic:cNvPicPr/>
                  </pic:nvPicPr>
                  <pic:blipFill>
                    <a:blip xmlns:r="http://schemas.openxmlformats.org/officeDocument/2006/relationships" r:embed="rId16"/>
                    <a:stretch>
                      <a:fillRect/>
                    </a:stretch>
                  </pic:blipFill>
                  <pic:spPr>
                    <a:xfrm>
                      <a:off x="0" y="0"/>
                      <a:ext cx="2907792" cy="2413750"/>
                    </a:xfrm>
                    <a:prstGeom prst="rect">
                      <a:avLst/>
                    </a:prstGeom>
                  </pic:spPr>
                </pic:pic>
              </a:graphicData>
            </a:graphic>
          </wp:inline>
        </w:drawing>
      </w:r>
      <w:r>
        <w:rPr>
          <w:noProof/>
        </w:rPr>
        <w:drawing>
          <wp:inline distT="0" distB="0" distL="0" distR="0">
            <wp:extent cx="2907792" cy="2411339"/>
            <wp:effectExtent l="0" t="0" r="6985" b="8255"/>
            <wp:docPr id="12" name="Picture 12" descr="Version 2 of the Gender Identity questions from the paper questionnaire. Question 4: What sex was Person 1 assigned at birth? Mark (X) ONE box. Options Male or Female. Question 5: What is Person 1's current gender? Mark (X) one or more boxes. If this person is less than 15 years old, SKIP to the next question. Options Male, Female, Transgender, Nonbinary, or This person uses a different term with write-in box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ersion 2 of the Gender Identity questions from the paper questionnaire. Question 4: What sex was Person 1 assigned at birth? Mark (X) ONE box. Options Male or Female. Question 5: What is Person 1's current gender? Mark (X) one or more boxes. If this person is less than 15 years old, SKIP to the next question. Options Male, Female, Transgender, Nonbinary, or This person uses a different term with write-in box below. "/>
                    <pic:cNvPicPr/>
                  </pic:nvPicPr>
                  <pic:blipFill>
                    <a:blip xmlns:r="http://schemas.openxmlformats.org/officeDocument/2006/relationships" r:embed="rId17"/>
                    <a:stretch>
                      <a:fillRect/>
                    </a:stretch>
                  </pic:blipFill>
                  <pic:spPr>
                    <a:xfrm>
                      <a:off x="0" y="0"/>
                      <a:ext cx="2907792" cy="2411339"/>
                    </a:xfrm>
                    <a:prstGeom prst="rect">
                      <a:avLst/>
                    </a:prstGeom>
                  </pic:spPr>
                </pic:pic>
              </a:graphicData>
            </a:graphic>
          </wp:inline>
        </w:drawing>
      </w:r>
    </w:p>
    <w:p w:rsidR="001D1C3C" w:rsidP="00F515BB" w14:paraId="483835CC" w14:textId="1BD81F6A">
      <w:pPr>
        <w:pStyle w:val="BodyText"/>
      </w:pPr>
      <w:r>
        <w:t xml:space="preserve">The two-step approach to measuring gender identity </w:t>
      </w:r>
      <w:r w:rsidR="00794FDF">
        <w:t xml:space="preserve">uses a sex at birth question and a current gender question as a pair to provide estimates of cisgender men and women, transgender </w:t>
      </w:r>
      <w:r w:rsidR="00794FDF">
        <w:t>men</w:t>
      </w:r>
      <w:r w:rsidR="00794FDF">
        <w:t xml:space="preserve"> and women, and those who identify using other terms. </w:t>
      </w:r>
      <w:r w:rsidR="002260AD">
        <w:t xml:space="preserve">This approach has been used on several federal surveys, including the National Crime Victimization Survey (NCVS) and the Household Pulse Survey (HPS), and is </w:t>
      </w:r>
      <w:r w:rsidR="00AF4200">
        <w:t>supported in the NASEM (2022) report.</w:t>
      </w:r>
      <w:r>
        <w:rPr>
          <w:rStyle w:val="FootnoteReference"/>
        </w:rPr>
        <w:footnoteReference w:id="10"/>
      </w:r>
      <w:r w:rsidR="002260AD">
        <w:t xml:space="preserve"> </w:t>
      </w:r>
    </w:p>
    <w:p w:rsidR="004B78C3" w:rsidP="00F515BB" w14:paraId="1F27D774" w14:textId="08267057">
      <w:pPr>
        <w:pStyle w:val="BodyText"/>
      </w:pPr>
      <w:r>
        <w:t xml:space="preserve">Also as recommended in the NASEM (2022) report, </w:t>
      </w:r>
      <w:r w:rsidR="000A18D3">
        <w:t xml:space="preserve">in the test questionnaire, </w:t>
      </w:r>
      <w:r>
        <w:t xml:space="preserve">the Sex at Birth question replaces the Sex question from ACS production. </w:t>
      </w:r>
      <w:r w:rsidR="000A18D3">
        <w:t>The Sex at Birth question</w:t>
      </w:r>
      <w:r>
        <w:t xml:space="preserve"> </w:t>
      </w:r>
      <w:r w:rsidR="009813F1">
        <w:t xml:space="preserve">is included, along with Current Gender, in the basic demographic section, being asked after Age and before Hispanic Origin and Race. </w:t>
      </w:r>
    </w:p>
    <w:p w:rsidR="00F515BB" w:rsidP="00F515BB" w14:paraId="7CC3D716" w14:textId="367782ED">
      <w:pPr>
        <w:pStyle w:val="BodyText"/>
      </w:pPr>
      <w:r>
        <w:t>The Sex at Birth question differs from the OMB (2023) recommendation by not referencing a person’s original birth certificate</w:t>
      </w:r>
      <w:r w:rsidR="00476D14">
        <w:t xml:space="preserve">, </w:t>
      </w:r>
      <w:r>
        <w:t>listing male before female</w:t>
      </w:r>
      <w:r w:rsidR="00476D14">
        <w:t>, and allowing for proxy reporting</w:t>
      </w:r>
      <w:r>
        <w:t xml:space="preserve">. Versions of the question without the birth certificate language have appeared in other surveys </w:t>
      </w:r>
      <w:r>
        <w:t>and testing.</w:t>
      </w:r>
      <w:r>
        <w:rPr>
          <w:rStyle w:val="FootnoteReference"/>
        </w:rPr>
        <w:footnoteReference w:id="11"/>
      </w:r>
      <w:r>
        <w:t xml:space="preserve"> </w:t>
      </w:r>
      <w:r w:rsidR="00B15C9F">
        <w:t>It</w:t>
      </w:r>
      <w:r>
        <w:t xml:space="preserve"> prevents confusion in non-English speakers that may not have a birth certificate available or parents of children with an X listed for sex. The Sex at Birth question also keeps the original order of the male and female categories from the previous sex question on the ACS to prevent any accidental keying from interviewers who are used to the existing order. </w:t>
      </w:r>
    </w:p>
    <w:p w:rsidR="00F515BB" w:rsidP="00F515BB" w14:paraId="001F724A" w14:textId="1CC748C7">
      <w:pPr>
        <w:pStyle w:val="BodyText"/>
      </w:pPr>
      <w:r>
        <w:t>The Current Gender question is a mix of recommendations from NASEM (2022) and OMB (2023)</w:t>
      </w:r>
      <w:r w:rsidR="00143EBE">
        <w:t>.</w:t>
      </w:r>
      <w:r>
        <w:t xml:space="preserve"> </w:t>
      </w:r>
      <w:r w:rsidR="00143EBE">
        <w:t>T</w:t>
      </w:r>
      <w:r>
        <w:t>he question stem aligns with NASEM (2022), except for changes to allow for proxy reporting</w:t>
      </w:r>
      <w:r w:rsidR="00143EBE">
        <w:t xml:space="preserve">. However, the response options align with the OMB (2023) recommendations, </w:t>
      </w:r>
      <w:r>
        <w:t>except for the addition of a nonbinary category. Nonbinary is a growing identity</w:t>
      </w:r>
      <w:r w:rsidR="002C0E50">
        <w:t xml:space="preserve"> – approximately 1.2 million adults in the U.S. identify as nonbinary (Wilson and Meyer, 2021).</w:t>
      </w:r>
    </w:p>
    <w:p w:rsidR="00F515BB" w:rsidP="00F515BB" w14:paraId="517027C5" w14:textId="11F0B2EC">
      <w:pPr>
        <w:pStyle w:val="BodyText"/>
      </w:pPr>
      <w:r>
        <w:t xml:space="preserve">The </w:t>
      </w:r>
      <w:r w:rsidR="00143EBE">
        <w:t>mark one instruction in Version 1 of the Current Gender question follows the NASEM (2022) report.</w:t>
      </w:r>
      <w:r>
        <w:t xml:space="preserve"> </w:t>
      </w:r>
      <w:r>
        <w:t>The mark-all-that-apply option in Version 2 of the question follows the OMB</w:t>
      </w:r>
      <w:r w:rsidR="00771D3A">
        <w:t> </w:t>
      </w:r>
      <w:r>
        <w:t xml:space="preserve">(2023) recommendations. However, few federal surveys use </w:t>
      </w:r>
      <w:r w:rsidR="00D57A31">
        <w:t xml:space="preserve">a </w:t>
      </w:r>
      <w:r>
        <w:t xml:space="preserve">mark-all-that-apply </w:t>
      </w:r>
      <w:r w:rsidR="00D57A31">
        <w:t xml:space="preserve">instruction </w:t>
      </w:r>
      <w:r>
        <w:t xml:space="preserve">for gender identity, and the California Health Interview Survey decided not to implement it due to concerns about erroneous increases in gender minority reporting (Hughes et al., 2023). Therefore, we are testing this option against the mark one option to further research in this area. </w:t>
      </w:r>
    </w:p>
    <w:p w:rsidR="00F515BB" w:rsidRPr="00FB157E" w:rsidP="00F515BB" w14:paraId="56B294D2" w14:textId="3FB6E123">
      <w:pPr>
        <w:pStyle w:val="BodyText"/>
      </w:pPr>
      <w:r>
        <w:t>On the automated instruments (i.e., not the paper questionnaire), a confirmation question will be</w:t>
      </w:r>
      <w:r w:rsidRPr="00FB157E">
        <w:t xml:space="preserve"> asked</w:t>
      </w:r>
      <w:r>
        <w:t xml:space="preserve"> after the Current Gender question confirming the respondent’s answers to both questions.</w:t>
      </w:r>
      <w:r w:rsidRPr="00FB157E">
        <w:t xml:space="preserve"> </w:t>
      </w:r>
      <w:r>
        <w:t xml:space="preserve">Other surveys ask a confirmation question </w:t>
      </w:r>
      <w:r w:rsidRPr="00FB157E">
        <w:t>when S</w:t>
      </w:r>
      <w:r>
        <w:t xml:space="preserve">ex at </w:t>
      </w:r>
      <w:r w:rsidRPr="00FB157E">
        <w:t>B</w:t>
      </w:r>
      <w:r>
        <w:t>irth</w:t>
      </w:r>
      <w:r w:rsidRPr="00FB157E">
        <w:t xml:space="preserve"> and Current Gender do</w:t>
      </w:r>
      <w:r w:rsidR="00D63B91">
        <w:t xml:space="preserve"> not</w:t>
      </w:r>
      <w:r w:rsidRPr="00FB157E">
        <w:t xml:space="preserve"> match</w:t>
      </w:r>
      <w:r>
        <w:t xml:space="preserve"> to make sure the respondent did not accidently click or say different answers (i.e., give a false positive). </w:t>
      </w:r>
      <w:r w:rsidR="00AA3766">
        <w:t xml:space="preserve">The effects of this misclassification error can be substantial because the percentage of gender minorities is small. </w:t>
      </w:r>
      <w:r w:rsidR="00BA4C0F">
        <w:t>For the 2024 ACS SOGI Test</w:t>
      </w:r>
      <w:r w:rsidR="00B84AAF">
        <w:t>,</w:t>
      </w:r>
      <w:r w:rsidR="00BA4C0F">
        <w:t xml:space="preserve"> w</w:t>
      </w:r>
      <w:r>
        <w:t xml:space="preserve">e are asking the confirmation question for all responses to test if </w:t>
      </w:r>
      <w:r w:rsidR="00AA3766">
        <w:t xml:space="preserve">there is additional error from </w:t>
      </w:r>
      <w:r>
        <w:t>respondents accidently click</w:t>
      </w:r>
      <w:r w:rsidR="00AA3766">
        <w:t>ing</w:t>
      </w:r>
      <w:r>
        <w:t xml:space="preserve"> or say</w:t>
      </w:r>
      <w:r w:rsidR="00AA3766">
        <w:t>ing</w:t>
      </w:r>
      <w:r>
        <w:t xml:space="preserve"> the same answer to both questions (i.e., giv</w:t>
      </w:r>
      <w:r w:rsidR="00AA3766">
        <w:t>ing</w:t>
      </w:r>
      <w:r>
        <w:t xml:space="preserve"> a false negative).   </w:t>
      </w:r>
      <w:r w:rsidRPr="00FB157E">
        <w:t xml:space="preserve"> </w:t>
      </w:r>
    </w:p>
    <w:p w:rsidR="00F515BB" w:rsidP="00F515BB" w14:paraId="1C0425DE" w14:textId="4E9561CB">
      <w:pPr>
        <w:pStyle w:val="BodyText"/>
      </w:pPr>
      <w:r>
        <w:t xml:space="preserve">We will test one version of the Sexual Orientation question, provided in </w:t>
      </w:r>
      <w:r>
        <w:fldChar w:fldCharType="begin"/>
      </w:r>
      <w:r>
        <w:instrText xml:space="preserve"> REF _Ref150350647 \h </w:instrText>
      </w:r>
      <w:r>
        <w:fldChar w:fldCharType="separate"/>
      </w:r>
      <w:r w:rsidR="00F376F4">
        <w:t xml:space="preserve">Figure </w:t>
      </w:r>
      <w:r w:rsidR="00F376F4">
        <w:rPr>
          <w:noProof/>
        </w:rPr>
        <w:t>2</w:t>
      </w:r>
      <w:r>
        <w:fldChar w:fldCharType="end"/>
      </w:r>
      <w:r>
        <w:t>. This version aligns with the OMB (2023) recommendations except for minor changes to work in the ACS instruments.</w:t>
      </w:r>
      <w:r>
        <w:rPr>
          <w:rStyle w:val="FootnoteReference"/>
        </w:rPr>
        <w:footnoteReference w:id="12"/>
      </w:r>
      <w:r w:rsidR="00AF5BCF">
        <w:t xml:space="preserve"> It is also </w:t>
      </w:r>
      <w:r w:rsidR="00AF5BCF">
        <w:t>similar to</w:t>
      </w:r>
      <w:r w:rsidR="00AF5BCF">
        <w:t xml:space="preserve"> versions used in other federal surveys (see Section </w:t>
      </w:r>
      <w:r w:rsidR="00AF5BCF">
        <w:fldChar w:fldCharType="begin"/>
      </w:r>
      <w:r w:rsidR="00AF5BCF">
        <w:instrText xml:space="preserve"> REF _Ref155613958 \w \h </w:instrText>
      </w:r>
      <w:r w:rsidR="00AF5BCF">
        <w:fldChar w:fldCharType="separate"/>
      </w:r>
      <w:r w:rsidR="00F376F4">
        <w:t>3.1</w:t>
      </w:r>
      <w:r w:rsidR="00AF5BCF">
        <w:fldChar w:fldCharType="end"/>
      </w:r>
      <w:r w:rsidR="00AF5BCF">
        <w:t xml:space="preserve">) and to the recommendation from the NASEM (2022) report. </w:t>
      </w:r>
    </w:p>
    <w:p w:rsidR="00F515BB" w:rsidP="00F515BB" w14:paraId="662D6680" w14:textId="6FE2BBD0">
      <w:pPr>
        <w:pStyle w:val="Caption"/>
      </w:pPr>
      <w:bookmarkStart w:id="13" w:name="_Ref150350647"/>
      <w:r>
        <w:t xml:space="preserve">Figure </w:t>
      </w:r>
      <w:r w:rsidR="00EE6355">
        <w:fldChar w:fldCharType="begin"/>
      </w:r>
      <w:r w:rsidR="00EE6355">
        <w:instrText xml:space="preserve"> SEQ Figure \* ARABIC </w:instrText>
      </w:r>
      <w:r w:rsidR="00EE6355">
        <w:fldChar w:fldCharType="separate"/>
      </w:r>
      <w:r w:rsidR="00F376F4">
        <w:rPr>
          <w:noProof/>
        </w:rPr>
        <w:t>2</w:t>
      </w:r>
      <w:r w:rsidR="00EE6355">
        <w:rPr>
          <w:noProof/>
        </w:rPr>
        <w:fldChar w:fldCharType="end"/>
      </w:r>
      <w:bookmarkEnd w:id="13"/>
      <w:r>
        <w:t>. Sexual Orientation Question (Paper)</w:t>
      </w:r>
    </w:p>
    <w:p w:rsidR="00F515BB" w:rsidP="00F515BB" w14:paraId="76C226D2" w14:textId="77777777">
      <w:pPr>
        <w:pStyle w:val="BodyText"/>
      </w:pPr>
      <w:r>
        <w:rPr>
          <w:noProof/>
        </w:rPr>
        <w:drawing>
          <wp:inline distT="0" distB="0" distL="0" distR="0">
            <wp:extent cx="3282950" cy="1849018"/>
            <wp:effectExtent l="0" t="0" r="0" b="0"/>
            <wp:docPr id="22" name="Picture 22" descr="Sexual Orientation question from the paper questionnaire. Question 26: Which of the following best represents how this person thinks of themselves? Mark (X) ONE box. Options Gay or lesbian; Straight, that is not gay or lesbian; Bisexual; or This person uses a different term with write-in box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exual Orientation question from the paper questionnaire. Question 26: Which of the following best represents how this person thinks of themselves? Mark (X) ONE box. Options Gay or lesbian; Straight, that is not gay or lesbian; Bisexual; or This person uses a different term with write-in box below. "/>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l="2064" t="2971" r="-1"/>
                    <a:stretch>
                      <a:fillRect/>
                    </a:stretch>
                  </pic:blipFill>
                  <pic:spPr bwMode="auto">
                    <a:xfrm>
                      <a:off x="0" y="0"/>
                      <a:ext cx="3302225" cy="18598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515BB" w:rsidP="00F515BB" w14:paraId="11583CD4" w14:textId="55BA7084">
      <w:pPr>
        <w:pStyle w:val="BodyText"/>
      </w:pPr>
      <w:r>
        <w:t>The wording of the Sexual Orientation question will be the same across all treatments.</w:t>
      </w:r>
      <w:r w:rsidR="00AF5BCF">
        <w:t xml:space="preserve"> It will be asked after questions on marital status and history and before the question on fertility. </w:t>
      </w:r>
      <w:r w:rsidR="00E05912">
        <w:t xml:space="preserve">This placement is part of the questions that apply only to persons </w:t>
      </w:r>
      <w:r w:rsidR="00E05912">
        <w:t>age</w:t>
      </w:r>
      <w:r w:rsidR="00E05912">
        <w:t xml:space="preserve"> 15 or older. </w:t>
      </w:r>
    </w:p>
    <w:p w:rsidR="00626D0B" w:rsidP="00626D0B" w14:paraId="6681A2D8" w14:textId="4B574F5F">
      <w:pPr>
        <w:pStyle w:val="Heading3"/>
      </w:pPr>
      <w:bookmarkStart w:id="14" w:name="_Toc164241834"/>
      <w:r>
        <w:t>Internet Write-In Box Display</w:t>
      </w:r>
      <w:bookmarkEnd w:id="14"/>
    </w:p>
    <w:p w:rsidR="002B04A1" w:rsidP="00F515BB" w14:paraId="4D196C37" w14:textId="768F8428">
      <w:pPr>
        <w:pStyle w:val="BodyText"/>
      </w:pPr>
      <w:r>
        <w:t>The write-in box for both the Current Gender and Sexual Orientation questions will be displayed two different ways</w:t>
      </w:r>
      <w:r w:rsidR="00BA4C0F">
        <w:t xml:space="preserve"> for internet respondents</w:t>
      </w:r>
      <w:r>
        <w:t xml:space="preserve">. </w:t>
      </w:r>
      <w:r>
        <w:fldChar w:fldCharType="begin"/>
      </w:r>
      <w:r>
        <w:instrText xml:space="preserve"> REF _Ref150350939 \h </w:instrText>
      </w:r>
      <w:r>
        <w:fldChar w:fldCharType="separate"/>
      </w:r>
      <w:r w:rsidR="00F376F4">
        <w:t xml:space="preserve">Figure </w:t>
      </w:r>
      <w:r w:rsidR="00F376F4">
        <w:rPr>
          <w:noProof/>
        </w:rPr>
        <w:t>3</w:t>
      </w:r>
      <w:r>
        <w:fldChar w:fldCharType="end"/>
      </w:r>
      <w:r w:rsidR="00FE637B">
        <w:t xml:space="preserve"> and </w:t>
      </w:r>
      <w:r>
        <w:fldChar w:fldCharType="begin"/>
      </w:r>
      <w:r>
        <w:instrText xml:space="preserve"> REF _Ref150351032 \h </w:instrText>
      </w:r>
      <w:r>
        <w:fldChar w:fldCharType="separate"/>
      </w:r>
      <w:r w:rsidR="00F376F4">
        <w:t xml:space="preserve">Figure </w:t>
      </w:r>
      <w:r w:rsidR="00F376F4">
        <w:rPr>
          <w:noProof/>
        </w:rPr>
        <w:t>4</w:t>
      </w:r>
      <w:r>
        <w:fldChar w:fldCharType="end"/>
      </w:r>
      <w:r w:rsidR="00FE637B">
        <w:t xml:space="preserve"> show the two different ways for the Sexual Orientation write-in box, but this will also apply to the Current Gender write-in boxes. </w:t>
      </w:r>
    </w:p>
    <w:p w:rsidR="00F515BB" w:rsidP="00F515BB" w14:paraId="01225248" w14:textId="0EB8C736">
      <w:pPr>
        <w:pStyle w:val="BodyText"/>
      </w:pPr>
      <w:r>
        <w:t xml:space="preserve">The first display option is shown in </w:t>
      </w:r>
      <w:r>
        <w:fldChar w:fldCharType="begin"/>
      </w:r>
      <w:r>
        <w:instrText xml:space="preserve"> REF _Ref150350939 \h </w:instrText>
      </w:r>
      <w:r>
        <w:fldChar w:fldCharType="separate"/>
      </w:r>
      <w:r w:rsidR="00F376F4">
        <w:t xml:space="preserve">Figure </w:t>
      </w:r>
      <w:r w:rsidR="00F376F4">
        <w:rPr>
          <w:noProof/>
        </w:rPr>
        <w:t>3</w:t>
      </w:r>
      <w:r>
        <w:fldChar w:fldCharType="end"/>
      </w:r>
      <w:r>
        <w:t>.</w:t>
      </w:r>
      <w:r w:rsidR="00AF4804">
        <w:t xml:space="preserve"> In this version, the write-in box is visible but greyed-out. The respondent must click on the box to write in an answer. This layout is the standard display option for write-in boxes on the ACS. </w:t>
      </w:r>
    </w:p>
    <w:p w:rsidR="00F515BB" w:rsidP="00F515BB" w14:paraId="1CBB4FA7" w14:textId="758CB88C">
      <w:pPr>
        <w:pStyle w:val="Caption"/>
      </w:pPr>
      <w:bookmarkStart w:id="15" w:name="_Ref150350939"/>
      <w:r>
        <w:t xml:space="preserve">Figure </w:t>
      </w:r>
      <w:r w:rsidR="00EE6355">
        <w:fldChar w:fldCharType="begin"/>
      </w:r>
      <w:r w:rsidR="00EE6355">
        <w:instrText xml:space="preserve"> SEQ Figure \* ARABIC </w:instrText>
      </w:r>
      <w:r w:rsidR="00EE6355">
        <w:fldChar w:fldCharType="separate"/>
      </w:r>
      <w:r w:rsidR="00F376F4">
        <w:rPr>
          <w:noProof/>
        </w:rPr>
        <w:t>3</w:t>
      </w:r>
      <w:r w:rsidR="00EE6355">
        <w:rPr>
          <w:noProof/>
        </w:rPr>
        <w:fldChar w:fldCharType="end"/>
      </w:r>
      <w:bookmarkEnd w:id="15"/>
      <w:r>
        <w:t>. Internet Display Option for the Write-in Box: Version A</w:t>
      </w:r>
    </w:p>
    <w:p w:rsidR="00F515BB" w:rsidP="00F515BB" w14:paraId="58EB75AF" w14:textId="4B3594C7">
      <w:pPr>
        <w:pStyle w:val="BodyText"/>
      </w:pPr>
      <w:r>
        <w:rPr>
          <w:noProof/>
        </w:rPr>
        <w:drawing>
          <wp:inline distT="0" distB="0" distL="0" distR="0">
            <wp:extent cx="5943600" cy="406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9"/>
                    <a:stretch>
                      <a:fillRect/>
                    </a:stretch>
                  </pic:blipFill>
                  <pic:spPr>
                    <a:xfrm>
                      <a:off x="0" y="0"/>
                      <a:ext cx="5943600" cy="4067175"/>
                    </a:xfrm>
                    <a:prstGeom prst="rect">
                      <a:avLst/>
                    </a:prstGeom>
                  </pic:spPr>
                </pic:pic>
              </a:graphicData>
            </a:graphic>
          </wp:inline>
        </w:drawing>
      </w:r>
    </w:p>
    <w:p w:rsidR="00F515BB" w:rsidP="00F515BB" w14:paraId="3AF0F392" w14:textId="52BECC79">
      <w:pPr>
        <w:pStyle w:val="BodyText"/>
      </w:pPr>
      <w:r>
        <w:t xml:space="preserve">The second display option for the write-in box is shown in </w:t>
      </w:r>
      <w:r>
        <w:fldChar w:fldCharType="begin"/>
      </w:r>
      <w:r>
        <w:instrText xml:space="preserve"> REF _Ref150351032 \h </w:instrText>
      </w:r>
      <w:r>
        <w:fldChar w:fldCharType="separate"/>
      </w:r>
      <w:r w:rsidR="00F376F4">
        <w:t xml:space="preserve">Figure </w:t>
      </w:r>
      <w:r w:rsidR="00F376F4">
        <w:rPr>
          <w:noProof/>
        </w:rPr>
        <w:t>4</w:t>
      </w:r>
      <w:r>
        <w:fldChar w:fldCharType="end"/>
      </w:r>
      <w:r>
        <w:t>.</w:t>
      </w:r>
      <w:r w:rsidR="002B04A1">
        <w:t xml:space="preserve"> In Version B, the write-in box pops up as a separate question only after a respondent checks the “I use a different term” response option and clicks the “next” button. That is, when the respondent first reaches this screen, they will not have a visual cue that a write-in response is available if they mark “I use a different term.” Fewer respondents may give “protest” write-ins (i.e., responses protesting the question content) if the existence of a write-in box is not immediately apparent. </w:t>
      </w:r>
    </w:p>
    <w:p w:rsidR="00F515BB" w:rsidP="00F515BB" w14:paraId="48BD0AB8" w14:textId="16CFAB6E">
      <w:pPr>
        <w:pStyle w:val="Caption"/>
      </w:pPr>
      <w:bookmarkStart w:id="16" w:name="_Ref150351032"/>
      <w:r>
        <w:t xml:space="preserve">Figure </w:t>
      </w:r>
      <w:r w:rsidR="00EE6355">
        <w:fldChar w:fldCharType="begin"/>
      </w:r>
      <w:r w:rsidR="00EE6355">
        <w:instrText xml:space="preserve"> SEQ Figure \* ARABIC </w:instrText>
      </w:r>
      <w:r w:rsidR="00EE6355">
        <w:fldChar w:fldCharType="separate"/>
      </w:r>
      <w:r w:rsidR="00F376F4">
        <w:rPr>
          <w:noProof/>
        </w:rPr>
        <w:t>4</w:t>
      </w:r>
      <w:r w:rsidR="00EE6355">
        <w:rPr>
          <w:noProof/>
        </w:rPr>
        <w:fldChar w:fldCharType="end"/>
      </w:r>
      <w:bookmarkEnd w:id="16"/>
      <w:r>
        <w:t xml:space="preserve">. </w:t>
      </w:r>
      <w:r w:rsidRPr="00064739">
        <w:t xml:space="preserve">Internet Display </w:t>
      </w:r>
      <w:r>
        <w:t>Option for the</w:t>
      </w:r>
      <w:r w:rsidRPr="00064739">
        <w:t xml:space="preserve"> Write-in Box: Version </w:t>
      </w:r>
      <w:r>
        <w:t>B</w:t>
      </w:r>
    </w:p>
    <w:p w:rsidR="00BA698B" w:rsidRPr="00BA698B" w:rsidP="00BA698B" w14:paraId="665DEA21" w14:textId="5C0B5D06">
      <w:r>
        <w:rPr>
          <w:noProof/>
        </w:rPr>
        <w:drawing>
          <wp:inline distT="0" distB="0" distL="0" distR="0">
            <wp:extent cx="5943600" cy="407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0"/>
                    <a:stretch>
                      <a:fillRect/>
                    </a:stretch>
                  </pic:blipFill>
                  <pic:spPr>
                    <a:xfrm>
                      <a:off x="0" y="0"/>
                      <a:ext cx="5943600" cy="4070985"/>
                    </a:xfrm>
                    <a:prstGeom prst="rect">
                      <a:avLst/>
                    </a:prstGeom>
                  </pic:spPr>
                </pic:pic>
              </a:graphicData>
            </a:graphic>
          </wp:inline>
        </w:drawing>
      </w:r>
    </w:p>
    <w:p w:rsidR="00577871" w:rsidRPr="00577871" w:rsidP="00577871" w14:paraId="4024CEB5" w14:textId="77777777"/>
    <w:p w:rsidR="00F515BB" w:rsidP="00F515BB" w14:paraId="08F604ED" w14:textId="166686CD">
      <w:pPr>
        <w:pStyle w:val="BodyText"/>
      </w:pPr>
      <w:r>
        <w:t xml:space="preserve">Each treatment in the 2024 ACS SOGI Test will have a unique combination of question wording and write-in box display, giving us four treatments: Treatment 1A, Treatment 1B, Treatment 2A, and Treatment 2B. For more information about the treatments and the sample design of the </w:t>
      </w:r>
      <w:r w:rsidR="00A9683C">
        <w:t>test</w:t>
      </w:r>
      <w:r>
        <w:t xml:space="preserve">, see Section </w:t>
      </w:r>
      <w:r>
        <w:fldChar w:fldCharType="begin"/>
      </w:r>
      <w:r>
        <w:instrText xml:space="preserve"> REF _Ref150351257 \r \h </w:instrText>
      </w:r>
      <w:r>
        <w:fldChar w:fldCharType="separate"/>
      </w:r>
      <w:r w:rsidR="00F376F4">
        <w:t>4</w:t>
      </w:r>
      <w:r>
        <w:fldChar w:fldCharType="end"/>
      </w:r>
      <w:r>
        <w:t>.</w:t>
      </w:r>
    </w:p>
    <w:p w:rsidR="00626D0B" w:rsidP="00626D0B" w14:paraId="491D6CE4" w14:textId="6833EC29">
      <w:pPr>
        <w:pStyle w:val="Heading3"/>
      </w:pPr>
      <w:bookmarkStart w:id="17" w:name="_Toc164241835"/>
      <w:r>
        <w:t xml:space="preserve">Additional Questionnaire </w:t>
      </w:r>
      <w:r w:rsidR="00AF5A27">
        <w:t xml:space="preserve">and Instrument </w:t>
      </w:r>
      <w:r>
        <w:t>Changes</w:t>
      </w:r>
      <w:bookmarkEnd w:id="17"/>
    </w:p>
    <w:p w:rsidR="00D01484" w:rsidP="00F515BB" w14:paraId="7D27AD10" w14:textId="1E757736">
      <w:pPr>
        <w:pStyle w:val="BodyText"/>
      </w:pPr>
      <w:r>
        <w:t xml:space="preserve">Some ACS questions include language related to gender as only male or female. </w:t>
      </w:r>
      <w:r w:rsidR="00C41166">
        <w:t xml:space="preserve">For the </w:t>
      </w:r>
      <w:r w:rsidR="00A9683C">
        <w:t xml:space="preserve">2024 ACS </w:t>
      </w:r>
      <w:r w:rsidR="00C41166">
        <w:t xml:space="preserve">SOGI Test, we are including gender-neutral language </w:t>
      </w:r>
      <w:r w:rsidR="00C77159">
        <w:t xml:space="preserve">(“they” instead of “he/she”) </w:t>
      </w:r>
      <w:r w:rsidR="00C41166">
        <w:t>throughout the ACS questionnaire</w:t>
      </w:r>
      <w:r w:rsidR="00860EE5">
        <w:t xml:space="preserve"> to accommodate identities outside this binary construct</w:t>
      </w:r>
      <w:r w:rsidR="00C41166">
        <w:t xml:space="preserve">. </w:t>
      </w:r>
    </w:p>
    <w:p w:rsidR="00F515BB" w:rsidP="00F515BB" w14:paraId="6127A3EE" w14:textId="0FB58FCE">
      <w:pPr>
        <w:pStyle w:val="BodyText"/>
      </w:pPr>
      <w:r>
        <w:t>W</w:t>
      </w:r>
      <w:r>
        <w:t xml:space="preserve">e </w:t>
      </w:r>
      <w:r w:rsidR="00D01484">
        <w:t xml:space="preserve">are </w:t>
      </w:r>
      <w:r w:rsidR="00C77159">
        <w:t xml:space="preserve">also </w:t>
      </w:r>
      <w:r>
        <w:t>updat</w:t>
      </w:r>
      <w:r w:rsidR="00C77159">
        <w:t>ing</w:t>
      </w:r>
      <w:r>
        <w:t xml:space="preserve"> </w:t>
      </w:r>
      <w:r>
        <w:t>the Relationship question</w:t>
      </w:r>
      <w:r w:rsidR="00F34996">
        <w:t xml:space="preserve"> for all modes and the instruction for the Fertility question on the paper questionnaire</w:t>
      </w:r>
      <w:r>
        <w:t xml:space="preserve">. </w:t>
      </w:r>
      <w:r>
        <w:fldChar w:fldCharType="begin"/>
      </w:r>
      <w:r>
        <w:instrText xml:space="preserve"> REF _Ref150778731 \h </w:instrText>
      </w:r>
      <w:r>
        <w:fldChar w:fldCharType="separate"/>
      </w:r>
      <w:r w:rsidR="00F376F4">
        <w:t xml:space="preserve">Figure </w:t>
      </w:r>
      <w:r w:rsidR="00F376F4">
        <w:rPr>
          <w:noProof/>
        </w:rPr>
        <w:t>5</w:t>
      </w:r>
      <w:r>
        <w:fldChar w:fldCharType="end"/>
      </w:r>
      <w:r>
        <w:t xml:space="preserve"> shows the Relationship question for </w:t>
      </w:r>
      <w:r w:rsidR="00C77159">
        <w:t>that is currently used in the ACS</w:t>
      </w:r>
      <w:r>
        <w:t xml:space="preserve"> and the version that will be used in the 2024 ACS SOGI Test. The updated question no longer specifies opposite-sex and same-sex spouse or unmarried partner, as well as removes gendered descriptions from some of the other response categories. </w:t>
      </w:r>
    </w:p>
    <w:p w:rsidR="00F515BB" w:rsidP="00F515BB" w14:paraId="48C8C544" w14:textId="38405868">
      <w:pPr>
        <w:pStyle w:val="Caption"/>
      </w:pPr>
      <w:bookmarkStart w:id="18" w:name="_Ref150778731"/>
      <w:r>
        <w:t xml:space="preserve">Figure </w:t>
      </w:r>
      <w:r w:rsidR="00EE6355">
        <w:fldChar w:fldCharType="begin"/>
      </w:r>
      <w:r w:rsidR="00EE6355">
        <w:instrText xml:space="preserve"> SEQ Figure \* ARABIC </w:instrText>
      </w:r>
      <w:r w:rsidR="00EE6355">
        <w:fldChar w:fldCharType="separate"/>
      </w:r>
      <w:r w:rsidR="00F376F4">
        <w:rPr>
          <w:noProof/>
        </w:rPr>
        <w:t>5</w:t>
      </w:r>
      <w:r w:rsidR="00EE6355">
        <w:rPr>
          <w:noProof/>
        </w:rPr>
        <w:fldChar w:fldCharType="end"/>
      </w:r>
      <w:bookmarkEnd w:id="18"/>
      <w:r>
        <w:t xml:space="preserve">. Paper Questionnaire Wording for the Relationship Question: </w:t>
      </w:r>
    </w:p>
    <w:p w:rsidR="00F515BB" w:rsidP="00F515BB" w14:paraId="59449971" w14:textId="4F3640A7">
      <w:pPr>
        <w:pStyle w:val="Caption"/>
      </w:pPr>
      <w:r>
        <w:t xml:space="preserve">ACS </w:t>
      </w:r>
      <w:r>
        <w:t>Production Version (Left) and SOGI Version (Right)</w:t>
      </w:r>
    </w:p>
    <w:p w:rsidR="00F515BB" w:rsidP="00F515BB" w14:paraId="37BF78CA" w14:textId="1061BF5B">
      <w:pPr>
        <w:pStyle w:val="BodyText"/>
      </w:pPr>
      <w:r>
        <w:rPr>
          <w:noProof/>
        </w:rPr>
        <w:drawing>
          <wp:inline distT="0" distB="0" distL="0" distR="0">
            <wp:extent cx="2620288" cy="355092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21"/>
                    <a:stretch>
                      <a:fillRect/>
                    </a:stretch>
                  </pic:blipFill>
                  <pic:spPr>
                    <a:xfrm>
                      <a:off x="0" y="0"/>
                      <a:ext cx="2631460" cy="3566060"/>
                    </a:xfrm>
                    <a:prstGeom prst="rect">
                      <a:avLst/>
                    </a:prstGeom>
                  </pic:spPr>
                </pic:pic>
              </a:graphicData>
            </a:graphic>
          </wp:inline>
        </w:drawing>
      </w:r>
      <w:r>
        <w:rPr>
          <w:noProof/>
        </w:rPr>
        <w:drawing>
          <wp:inline distT="0" distB="0" distL="0" distR="0">
            <wp:extent cx="2841117" cy="3549545"/>
            <wp:effectExtent l="0" t="0" r="0" b="0"/>
            <wp:docPr id="23" name="Picture 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able&#10;&#10;Description automatically generated"/>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rcRect r="11318"/>
                    <a:stretch>
                      <a:fillRect/>
                    </a:stretch>
                  </pic:blipFill>
                  <pic:spPr bwMode="auto">
                    <a:xfrm>
                      <a:off x="0" y="0"/>
                      <a:ext cx="2851484" cy="356249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34996" w:rsidP="00F515BB" w14:paraId="10F6CE25" w14:textId="42073C7E">
      <w:pPr>
        <w:pStyle w:val="BodyText"/>
      </w:pPr>
      <w:r>
        <w:fldChar w:fldCharType="begin"/>
      </w:r>
      <w:r>
        <w:instrText xml:space="preserve"> REF _Ref155799396 \h </w:instrText>
      </w:r>
      <w:r>
        <w:fldChar w:fldCharType="separate"/>
      </w:r>
      <w:r w:rsidR="00F376F4">
        <w:t xml:space="preserve">Figure </w:t>
      </w:r>
      <w:r w:rsidR="00F376F4">
        <w:rPr>
          <w:noProof/>
        </w:rPr>
        <w:t>6</w:t>
      </w:r>
      <w:r>
        <w:fldChar w:fldCharType="end"/>
      </w:r>
      <w:r>
        <w:t xml:space="preserve"> shows the instruction for the Fertility question on the paper questionnaire for </w:t>
      </w:r>
      <w:r w:rsidR="00C77159">
        <w:t>the current ACS</w:t>
      </w:r>
      <w:r>
        <w:t xml:space="preserve"> and the version that will be used in the</w:t>
      </w:r>
      <w:r w:rsidR="00A9683C">
        <w:t xml:space="preserve"> 2024 ACS </w:t>
      </w:r>
      <w:r>
        <w:t>SOGI Test. The updated instruction specifies that the question should be answered for those whose sex at birth was female.</w:t>
      </w:r>
      <w:r>
        <w:rPr>
          <w:rStyle w:val="FootnoteReference"/>
        </w:rPr>
        <w:footnoteReference w:id="13"/>
      </w:r>
      <w:r>
        <w:t xml:space="preserve"> This instruction is not needed in the other data collection modes </w:t>
      </w:r>
      <w:r w:rsidR="003B64E1">
        <w:t xml:space="preserve">where skip patterns are automated. </w:t>
      </w:r>
    </w:p>
    <w:p w:rsidR="003A3260" w:rsidP="003A3260" w14:paraId="5F9713FC" w14:textId="3A258A00">
      <w:pPr>
        <w:pStyle w:val="Caption"/>
      </w:pPr>
      <w:bookmarkStart w:id="19" w:name="_Ref155799396"/>
      <w:r>
        <w:t xml:space="preserve">Figure </w:t>
      </w:r>
      <w:r w:rsidR="00EE6355">
        <w:fldChar w:fldCharType="begin"/>
      </w:r>
      <w:r w:rsidR="00EE6355">
        <w:instrText xml:space="preserve"> SEQ Figure \* ARABIC </w:instrText>
      </w:r>
      <w:r w:rsidR="00EE6355">
        <w:fldChar w:fldCharType="separate"/>
      </w:r>
      <w:r w:rsidR="00F376F4">
        <w:rPr>
          <w:noProof/>
        </w:rPr>
        <w:t>6</w:t>
      </w:r>
      <w:r w:rsidR="00EE6355">
        <w:rPr>
          <w:noProof/>
        </w:rPr>
        <w:fldChar w:fldCharType="end"/>
      </w:r>
      <w:bookmarkEnd w:id="19"/>
      <w:r>
        <w:t xml:space="preserve">. Paper Questionnaire Wording for the Instruction to the Fertility Question: </w:t>
      </w:r>
      <w:r w:rsidR="00763AE4">
        <w:t>ACS </w:t>
      </w:r>
      <w:r>
        <w:t>Production Version (Left) and SOGI Version (Right)</w:t>
      </w:r>
    </w:p>
    <w:p w:rsidR="00610E8A" w:rsidP="00F515BB" w14:paraId="082BE4F5" w14:textId="21B3693E">
      <w:pPr>
        <w:pStyle w:val="BodyText"/>
      </w:pPr>
      <w:r>
        <w:rPr>
          <w:noProof/>
        </w:rPr>
        <w:drawing>
          <wp:inline distT="0" distB="0" distL="0" distR="0">
            <wp:extent cx="2867025" cy="6947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23"/>
                    <a:stretch>
                      <a:fillRect/>
                    </a:stretch>
                  </pic:blipFill>
                  <pic:spPr>
                    <a:xfrm>
                      <a:off x="0" y="0"/>
                      <a:ext cx="2970907" cy="719874"/>
                    </a:xfrm>
                    <a:prstGeom prst="rect">
                      <a:avLst/>
                    </a:prstGeom>
                  </pic:spPr>
                </pic:pic>
              </a:graphicData>
            </a:graphic>
          </wp:inline>
        </w:drawing>
      </w:r>
      <w:r w:rsidR="003A3260">
        <w:rPr>
          <w:noProof/>
        </w:rPr>
        <w:drawing>
          <wp:inline distT="0" distB="0" distL="0" distR="0">
            <wp:extent cx="2914650" cy="712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24"/>
                    <a:stretch>
                      <a:fillRect/>
                    </a:stretch>
                  </pic:blipFill>
                  <pic:spPr>
                    <a:xfrm>
                      <a:off x="0" y="0"/>
                      <a:ext cx="2933989" cy="716827"/>
                    </a:xfrm>
                    <a:prstGeom prst="rect">
                      <a:avLst/>
                    </a:prstGeom>
                  </pic:spPr>
                </pic:pic>
              </a:graphicData>
            </a:graphic>
          </wp:inline>
        </w:drawing>
      </w:r>
    </w:p>
    <w:p w:rsidR="00F34996" w:rsidP="00F515BB" w14:paraId="76F0A471" w14:textId="2AFF6A3A">
      <w:pPr>
        <w:pStyle w:val="BodyText"/>
      </w:pPr>
      <w:r>
        <w:t>The updates to the Relationship and Fertility questions are to align the language of current questions to the SOGI questions. We are not making comparisons amongst the treatments in the SOGI sample for these questions</w:t>
      </w:r>
      <w:r w:rsidR="00CD4BDF">
        <w:t xml:space="preserve"> (as the same versions will be used in all four treatments).</w:t>
      </w:r>
      <w:r>
        <w:t xml:space="preserve"> </w:t>
      </w:r>
      <w:r w:rsidR="00CD4BDF">
        <w:t>Instead,</w:t>
      </w:r>
      <w:r>
        <w:t xml:space="preserve"> we will compare against</w:t>
      </w:r>
      <w:r w:rsidR="00E6032F">
        <w:t xml:space="preserve"> ACS</w:t>
      </w:r>
      <w:r>
        <w:t xml:space="preserve"> production. </w:t>
      </w:r>
    </w:p>
    <w:p w:rsidR="000476CA" w:rsidP="000476CA" w14:paraId="1722B0EF" w14:textId="11752F11">
      <w:pPr>
        <w:pStyle w:val="Heading3"/>
      </w:pPr>
      <w:bookmarkStart w:id="20" w:name="_Toc164241836"/>
      <w:r>
        <w:t>Qualitative Questions</w:t>
      </w:r>
      <w:bookmarkEnd w:id="20"/>
    </w:p>
    <w:p w:rsidR="00602393" w:rsidP="000476CA" w14:paraId="33FF5B24" w14:textId="5CEF6B76">
      <w:pPr>
        <w:pStyle w:val="BodyText"/>
      </w:pPr>
      <w:r>
        <w:t xml:space="preserve">The 2024 ACS SOGI Test will include some qualitative follow-up questions in the internet instruments. </w:t>
      </w:r>
      <w:r w:rsidR="00645314">
        <w:t xml:space="preserve">The questions will appear at the end of the survey, after the respondent answers questions for all household members. </w:t>
      </w:r>
      <w:r>
        <w:t>The purpose of the</w:t>
      </w:r>
      <w:r w:rsidR="004404CE">
        <w:t>se</w:t>
      </w:r>
      <w:r>
        <w:t xml:space="preserve"> questions is to better understand respondents’ behavior when interacting with the SOGI questions. </w:t>
      </w:r>
    </w:p>
    <w:p w:rsidR="00602393" w:rsidP="000476CA" w14:paraId="11FC986B" w14:textId="414FC8CD">
      <w:pPr>
        <w:pStyle w:val="BodyText"/>
      </w:pPr>
      <w:r>
        <w:t xml:space="preserve">There will be </w:t>
      </w:r>
      <w:r w:rsidR="007D41AE">
        <w:t>four</w:t>
      </w:r>
      <w:r>
        <w:t xml:space="preserve"> follow-up questions for Gender Identity and one follow-up question for Sexual Orientation. Respondents may not see </w:t>
      </w:r>
      <w:r>
        <w:t>all of</w:t>
      </w:r>
      <w:r>
        <w:t xml:space="preserve"> the questions</w:t>
      </w:r>
      <w:r w:rsidR="004404CE">
        <w:t>. The</w:t>
      </w:r>
      <w:r>
        <w:t xml:space="preserve"> questions they see will depend on their responses to the SOGI questions and the treatment assignment. </w:t>
      </w:r>
    </w:p>
    <w:p w:rsidR="007E117A" w:rsidP="000476CA" w14:paraId="10DDF4A0" w14:textId="0292CD22">
      <w:pPr>
        <w:pStyle w:val="BodyText"/>
      </w:pPr>
      <w:r>
        <w:t>Gender Identity Follow-Up Part 1 will be asked to respond</w:t>
      </w:r>
      <w:r w:rsidR="001007B8">
        <w:t xml:space="preserve">ents in Treatment 1 (mark only one). Responses from the question will help inform how Treatment 1 responses would vary if the respondent </w:t>
      </w:r>
      <w:r w:rsidR="006A13F2">
        <w:t>had a mark-all-that-apply option. The question is as follows (asked once of all household members):</w:t>
      </w:r>
    </w:p>
    <w:p w:rsidR="006A13F2" w:rsidP="000476CA" w14:paraId="6C562DB9" w14:textId="4D4754B2">
      <w:pPr>
        <w:pStyle w:val="BodyText"/>
        <w:rPr>
          <w:i/>
          <w:iCs/>
        </w:rPr>
      </w:pPr>
      <w:r>
        <w:rPr>
          <w:i/>
          <w:iCs/>
        </w:rPr>
        <w:t>Would your answer have changed if you could have selected more than one option (for anyone in your household)? If yes, what options would you have selected?</w:t>
      </w:r>
    </w:p>
    <w:p w:rsidR="006A13F2" w:rsidRPr="006A13F2" w:rsidP="000476CA" w14:paraId="5A982F30" w14:textId="40148342">
      <w:pPr>
        <w:pStyle w:val="BodyText"/>
      </w:pPr>
      <w:r>
        <w:t xml:space="preserve">Gender Identity Follow-Up Part 2 </w:t>
      </w:r>
      <w:r w:rsidR="006F71AD">
        <w:t xml:space="preserve">will be asked for any person whose Current Gender answer is nonbinary or uses a different term. Responses from the question will help us better understand </w:t>
      </w:r>
      <w:r w:rsidR="00866A67">
        <w:t>the behavior of respondents who do not choose the other three options: male, female, or transgender. The question is as follows (repeated for each eligible household member):</w:t>
      </w:r>
    </w:p>
    <w:p w:rsidR="006A13F2" w:rsidP="000476CA" w14:paraId="16082F9A" w14:textId="75C2CBF0">
      <w:pPr>
        <w:pStyle w:val="BodyText"/>
        <w:rPr>
          <w:i/>
          <w:iCs/>
        </w:rPr>
      </w:pPr>
      <w:r w:rsidRPr="006A13F2">
        <w:rPr>
          <w:i/>
          <w:iCs/>
        </w:rPr>
        <w:t>You indicated that (gender identity fill). Could you tell us more about how you came up with your answer? Are there any other answers you thought about choosing but did not?</w:t>
      </w:r>
    </w:p>
    <w:p w:rsidR="00AF1550" w:rsidP="000476CA" w14:paraId="7A62CFE3" w14:textId="1C5DF624">
      <w:pPr>
        <w:pStyle w:val="BodyText"/>
      </w:pPr>
      <w:r>
        <w:t>Gender Identity Follow-Up Part 3 will be asked for any person</w:t>
      </w:r>
      <w:r w:rsidR="00EF7C80">
        <w:t xml:space="preserve"> under 18</w:t>
      </w:r>
      <w:r>
        <w:t xml:space="preserve"> whose Sex at Birth and Current Gender answers are different. For the 2024 ACS SOGI Test, the universe for the Current Gender question is persons </w:t>
      </w:r>
      <w:r>
        <w:t>age</w:t>
      </w:r>
      <w:r>
        <w:t xml:space="preserve"> 15 </w:t>
      </w:r>
      <w:r w:rsidR="00B25A55">
        <w:t>or</w:t>
      </w:r>
      <w:r>
        <w:t xml:space="preserve"> older. </w:t>
      </w:r>
      <w:r w:rsidR="00EB6073">
        <w:t>Age minimums for gender identity questions are not consistent across surveys, with some asking questions to youth younger than 15 years old (NASEM, 2022). Responses to the qualitative follow-up question will help inform potential future research related to the Current Gender age universe. Due to the late addition during test design, the question is only asked on the CFU instrument</w:t>
      </w:r>
      <w:r w:rsidR="00EF7C80">
        <w:t>s</w:t>
      </w:r>
      <w:r w:rsidR="00EB6073">
        <w:t>, with the question as follows (repeated for each eligible household member):</w:t>
      </w:r>
    </w:p>
    <w:p w:rsidR="00EB6073" w:rsidRPr="00EB6073" w:rsidP="000476CA" w14:paraId="255859E5" w14:textId="7555056F">
      <w:pPr>
        <w:pStyle w:val="BodyText"/>
        <w:rPr>
          <w:i/>
          <w:iCs/>
        </w:rPr>
      </w:pPr>
      <w:r w:rsidRPr="00EB6073">
        <w:rPr>
          <w:i/>
          <w:iCs/>
        </w:rPr>
        <w:t>How old (</w:t>
      </w:r>
      <w:r w:rsidRPr="00EB6073">
        <w:rPr>
          <w:i/>
          <w:iCs/>
        </w:rPr>
        <w:t>were</w:t>
      </w:r>
      <w:r w:rsidRPr="00EB6073">
        <w:rPr>
          <w:i/>
          <w:iCs/>
        </w:rPr>
        <w:t xml:space="preserve"> you/was (Name)) when they started to feel that their sex assigned at birth and current gender were different?</w:t>
      </w:r>
    </w:p>
    <w:p w:rsidR="007D41AE" w:rsidP="007D41AE" w14:paraId="1CBB46B8" w14:textId="01D552A1">
      <w:pPr>
        <w:pStyle w:val="BodyText"/>
      </w:pPr>
      <w:r>
        <w:t xml:space="preserve">Gender Identity Follow-Up Part 4 will be asked to respondents in Treatment 2 (mark-all-that-apply) who chose more than one option for Current Gender for any household member. It is a counterpart question to Gender Identity Follow-Up Part 1, and responses from the question will help inform how Treatment 2 responses would vary if the respondent had a mark only one </w:t>
      </w:r>
      <w:r>
        <w:t>option. Due to the late addition during test design, the question is only asked on the CFU instrument</w:t>
      </w:r>
      <w:r w:rsidR="00EF7C80">
        <w:t>s</w:t>
      </w:r>
      <w:r>
        <w:t>, with the question as follows (</w:t>
      </w:r>
      <w:r w:rsidR="00AD4582">
        <w:t>repeated for each eligible household member</w:t>
      </w:r>
      <w:r>
        <w:t>):</w:t>
      </w:r>
    </w:p>
    <w:p w:rsidR="00AF1550" w:rsidRPr="007D41AE" w:rsidP="000476CA" w14:paraId="70D011BA" w14:textId="7D65C98B">
      <w:pPr>
        <w:pStyle w:val="BodyText"/>
        <w:rPr>
          <w:i/>
          <w:iCs/>
        </w:rPr>
      </w:pPr>
      <w:r w:rsidRPr="007D41AE">
        <w:rPr>
          <w:i/>
          <w:iCs/>
        </w:rPr>
        <w:t>You indicated that (gender identity fill). If you could have selected only one option, what option would you have selected?</w:t>
      </w:r>
    </w:p>
    <w:p w:rsidR="00866A67" w:rsidP="000476CA" w14:paraId="02F5B71F" w14:textId="3BCE34E5">
      <w:pPr>
        <w:pStyle w:val="BodyText"/>
      </w:pPr>
      <w:r>
        <w:t xml:space="preserve">Sexual Orientation Follow-Up will be asked </w:t>
      </w:r>
      <w:r w:rsidR="00542FA6">
        <w:t>for any person whose Sexual Orientation answer is uses a different term. Responses from the question will help us better understand the behavior of respondents who choose the write-in option. The question is as follows (repeated for each eligible household member):</w:t>
      </w:r>
    </w:p>
    <w:p w:rsidR="00866A67" w:rsidRPr="00542FA6" w:rsidP="000476CA" w14:paraId="46E15318" w14:textId="702051DB">
      <w:pPr>
        <w:pStyle w:val="BodyText"/>
        <w:rPr>
          <w:i/>
          <w:iCs/>
        </w:rPr>
      </w:pPr>
      <w:r w:rsidRPr="00542FA6">
        <w:rPr>
          <w:i/>
          <w:iCs/>
        </w:rPr>
        <w:t>You indicated that (you use/(Name) uses) a different term. Could you tell us more about how you came up with that answer? Are there any other answers you thought about choosing but did not?</w:t>
      </w:r>
    </w:p>
    <w:p w:rsidR="00645314" w:rsidP="00645314" w14:paraId="63C77428" w14:textId="1CA13825">
      <w:pPr>
        <w:pStyle w:val="BodyText"/>
      </w:pPr>
      <w:r>
        <w:t xml:space="preserve">Responses from the qualitative questions are for informational purposes only – to better inform how respondents interact with the SOGI questions and future research. The responses from them do not factor into the decision criteria in Section </w:t>
      </w:r>
      <w:r>
        <w:fldChar w:fldCharType="begin"/>
      </w:r>
      <w:r>
        <w:instrText xml:space="preserve"> REF _Ref159313778 \w \h </w:instrText>
      </w:r>
      <w:r>
        <w:fldChar w:fldCharType="separate"/>
      </w:r>
      <w:r w:rsidR="00F376F4">
        <w:t>5</w:t>
      </w:r>
      <w:r>
        <w:fldChar w:fldCharType="end"/>
      </w:r>
      <w:r>
        <w:t xml:space="preserve">. </w:t>
      </w:r>
    </w:p>
    <w:p w:rsidR="006D73CC" w:rsidP="006D73CC" w14:paraId="09750F38" w14:textId="4006E68D">
      <w:pPr>
        <w:pStyle w:val="Heading1"/>
      </w:pPr>
      <w:bookmarkStart w:id="21" w:name="_Toc164241837"/>
      <w:r>
        <w:t>L</w:t>
      </w:r>
      <w:r w:rsidR="005946AA">
        <w:t>ITERATURE REVIEW</w:t>
      </w:r>
      <w:bookmarkEnd w:id="21"/>
    </w:p>
    <w:p w:rsidR="00561A18" w:rsidP="006D73CC" w14:paraId="5E380816" w14:textId="4AC215B3">
      <w:pPr>
        <w:pStyle w:val="BodyText"/>
      </w:pPr>
      <w:r>
        <w:t xml:space="preserve">Questions about SOGI on the ACS could help </w:t>
      </w:r>
      <w:r w:rsidR="00185832">
        <w:t xml:space="preserve">federal agencies improve their understanding of sexual and gender minority populations, as well as help </w:t>
      </w:r>
      <w:r>
        <w:t xml:space="preserve">inform civil rights and equal employment enforcement. </w:t>
      </w:r>
      <w:r>
        <w:t xml:space="preserve">While </w:t>
      </w:r>
      <w:r w:rsidR="009837DB">
        <w:t xml:space="preserve">there are questions about SOGI on other federal surveys (see </w:t>
      </w:r>
      <w:r w:rsidR="009837DB">
        <w:fldChar w:fldCharType="begin"/>
      </w:r>
      <w:r w:rsidR="009837DB">
        <w:instrText xml:space="preserve"> REF _Ref149224168 \h </w:instrText>
      </w:r>
      <w:r w:rsidR="009837DB">
        <w:fldChar w:fldCharType="separate"/>
      </w:r>
      <w:r w:rsidR="00F376F4">
        <w:t xml:space="preserve">Table </w:t>
      </w:r>
      <w:r w:rsidR="00F376F4">
        <w:rPr>
          <w:noProof/>
        </w:rPr>
        <w:t>1</w:t>
      </w:r>
      <w:r w:rsidR="009837DB">
        <w:fldChar w:fldCharType="end"/>
      </w:r>
      <w:r w:rsidR="009837DB">
        <w:t xml:space="preserve"> and </w:t>
      </w:r>
      <w:r w:rsidR="009837DB">
        <w:fldChar w:fldCharType="begin"/>
      </w:r>
      <w:r w:rsidR="009837DB">
        <w:instrText xml:space="preserve"> REF _Ref149224266 \h </w:instrText>
      </w:r>
      <w:r w:rsidR="009837DB">
        <w:fldChar w:fldCharType="separate"/>
      </w:r>
      <w:r w:rsidR="00F376F4">
        <w:t xml:space="preserve">Table </w:t>
      </w:r>
      <w:r w:rsidR="00F376F4">
        <w:rPr>
          <w:noProof/>
        </w:rPr>
        <w:t>2</w:t>
      </w:r>
      <w:r w:rsidR="009837DB">
        <w:fldChar w:fldCharType="end"/>
      </w:r>
      <w:r w:rsidR="009837DB">
        <w:t xml:space="preserve"> in Section </w:t>
      </w:r>
      <w:r w:rsidR="009837DB">
        <w:fldChar w:fldCharType="begin"/>
      </w:r>
      <w:r w:rsidR="009837DB">
        <w:instrText xml:space="preserve"> REF _Ref155613958 \w \h </w:instrText>
      </w:r>
      <w:r w:rsidR="009837DB">
        <w:fldChar w:fldCharType="separate"/>
      </w:r>
      <w:r w:rsidR="00F376F4">
        <w:t>3.1</w:t>
      </w:r>
      <w:r w:rsidR="009837DB">
        <w:fldChar w:fldCharType="end"/>
      </w:r>
      <w:r w:rsidR="009837DB">
        <w:t xml:space="preserve">), this information is not at the detailed level of geography </w:t>
      </w:r>
      <w:r w:rsidR="009F7249">
        <w:t xml:space="preserve">as in </w:t>
      </w:r>
      <w:r w:rsidR="009837DB">
        <w:t xml:space="preserve">the ACS. </w:t>
      </w:r>
    </w:p>
    <w:p w:rsidR="00077631" w:rsidP="006D73CC" w14:paraId="4FEC42FE" w14:textId="55C6154C">
      <w:pPr>
        <w:pStyle w:val="BodyText"/>
      </w:pPr>
      <w:r>
        <w:t xml:space="preserve">The current ACS </w:t>
      </w:r>
      <w:r w:rsidR="00920B91">
        <w:t>(202</w:t>
      </w:r>
      <w:r w:rsidR="00E05415">
        <w:t>4</w:t>
      </w:r>
      <w:r w:rsidR="00920B91">
        <w:t xml:space="preserve">) </w:t>
      </w:r>
      <w:r w:rsidR="00431AE1">
        <w:t xml:space="preserve">instrument </w:t>
      </w:r>
      <w:r>
        <w:t xml:space="preserve">has a sex question and a relationship question. The sex question has two response options: male or female. </w:t>
      </w:r>
      <w:r>
        <w:t xml:space="preserve">It does not </w:t>
      </w:r>
      <w:r w:rsidR="000F0348">
        <w:t>ask specifically about sex at birth, nor is there a question asking about gender identity</w:t>
      </w:r>
      <w:r>
        <w:t xml:space="preserve">. </w:t>
      </w:r>
    </w:p>
    <w:p w:rsidR="00D30D7A" w:rsidP="006D73CC" w14:paraId="15D384D5" w14:textId="59171400">
      <w:pPr>
        <w:pStyle w:val="BodyText"/>
      </w:pPr>
      <w:r>
        <w:t>The relationship question has response options ”</w:t>
      </w:r>
      <w:r w:rsidRPr="00D30D7A">
        <w:t>Opposite-sex husband/wife/spouse</w:t>
      </w:r>
      <w:r>
        <w:t xml:space="preserve">”, </w:t>
      </w:r>
      <w:r w:rsidR="000B4078">
        <w:t>“</w:t>
      </w:r>
      <w:r>
        <w:t>Opposite-sex unmarried partner”, “</w:t>
      </w:r>
      <w:r w:rsidRPr="00D30D7A">
        <w:t>Same-sex husband/wife/spouse</w:t>
      </w:r>
      <w:r>
        <w:t>”, and “Same-sex unmarried partner”, among others.</w:t>
      </w:r>
      <w:r>
        <w:rPr>
          <w:rStyle w:val="FootnoteReference"/>
        </w:rPr>
        <w:footnoteReference w:id="14"/>
      </w:r>
      <w:r>
        <w:t xml:space="preserve"> However, the relationship question is only asked of </w:t>
      </w:r>
      <w:r w:rsidR="00EF563D">
        <w:t>household members other than person 1</w:t>
      </w:r>
      <w:r w:rsidR="00F64029">
        <w:t xml:space="preserve"> and only captures living arrangement information</w:t>
      </w:r>
      <w:r>
        <w:t>, so no information re</w:t>
      </w:r>
      <w:r w:rsidR="00F64029">
        <w:t>lated to</w:t>
      </w:r>
      <w:r>
        <w:t xml:space="preserve"> sexual orientation is collected for single-person households, nor is it collected for those not in a romantic relationship with person 1 for multiple-person households.</w:t>
      </w:r>
    </w:p>
    <w:p w:rsidR="001F6001" w:rsidP="006D73CC" w14:paraId="2531DF71" w14:textId="4E23D3AE">
      <w:pPr>
        <w:pStyle w:val="BodyText"/>
      </w:pPr>
      <w:r>
        <w:t>Neither of these existing questions is sufficient for collect</w:t>
      </w:r>
      <w:r w:rsidR="00ED14B4">
        <w:t>ing</w:t>
      </w:r>
      <w:r>
        <w:t xml:space="preserve"> information about </w:t>
      </w:r>
      <w:r w:rsidR="00E05415">
        <w:t>the sexual and gender minority population</w:t>
      </w:r>
      <w:r>
        <w:t>.</w:t>
      </w:r>
    </w:p>
    <w:p w:rsidR="00B127F9" w:rsidP="00B127F9" w14:paraId="527E6F2E" w14:textId="7250896A">
      <w:pPr>
        <w:pStyle w:val="Heading2"/>
      </w:pPr>
      <w:bookmarkStart w:id="22" w:name="_Ref155613958"/>
      <w:bookmarkStart w:id="23" w:name="_Toc164241838"/>
      <w:r>
        <w:t>SOGI Questions in Federal Surveys</w:t>
      </w:r>
      <w:bookmarkEnd w:id="22"/>
      <w:bookmarkEnd w:id="23"/>
    </w:p>
    <w:p w:rsidR="001F6001" w:rsidRPr="004024A8" w:rsidP="001F6001" w14:paraId="74A3583E" w14:textId="5F51C0DD">
      <w:pPr>
        <w:pStyle w:val="BodyText"/>
      </w:pPr>
      <w:r w:rsidRPr="004024A8">
        <w:t>SOGI question</w:t>
      </w:r>
      <w:r w:rsidRPr="004024A8" w:rsidR="0065153C">
        <w:t>s have been</w:t>
      </w:r>
      <w:r w:rsidRPr="004024A8">
        <w:t xml:space="preserve"> implement</w:t>
      </w:r>
      <w:r w:rsidRPr="004024A8" w:rsidR="0065153C">
        <w:t>ed</w:t>
      </w:r>
      <w:r w:rsidRPr="004024A8">
        <w:t xml:space="preserve"> </w:t>
      </w:r>
      <w:r w:rsidR="004816E4">
        <w:t xml:space="preserve">already </w:t>
      </w:r>
      <w:r w:rsidRPr="004024A8">
        <w:t xml:space="preserve">in </w:t>
      </w:r>
      <w:r w:rsidR="004816E4">
        <w:t>some</w:t>
      </w:r>
      <w:r w:rsidRPr="004024A8">
        <w:t xml:space="preserve"> </w:t>
      </w:r>
      <w:r w:rsidRPr="004024A8" w:rsidR="0065153C">
        <w:t xml:space="preserve">federal surveys (both </w:t>
      </w:r>
      <w:r w:rsidRPr="004024A8">
        <w:t>surve</w:t>
      </w:r>
      <w:r w:rsidRPr="004024A8" w:rsidR="0065153C">
        <w:t xml:space="preserve">ys </w:t>
      </w:r>
      <w:r w:rsidR="00E9535D">
        <w:t>administered and not administered by the Census Bureau</w:t>
      </w:r>
      <w:r w:rsidRPr="004024A8" w:rsidR="0065153C">
        <w:t>)</w:t>
      </w:r>
      <w:r w:rsidR="00FE2AD2">
        <w:t>. Some of the Census</w:t>
      </w:r>
      <w:r w:rsidR="00E9535D">
        <w:t xml:space="preserve"> Bureau</w:t>
      </w:r>
      <w:r w:rsidR="00732558">
        <w:t>-</w:t>
      </w:r>
      <w:r w:rsidR="00E9535D">
        <w:t>administered</w:t>
      </w:r>
      <w:r w:rsidR="00FE2AD2">
        <w:t xml:space="preserve"> surveys that collect SOGI information include the National Health Interview Survey (NHIS), the National Crime Victimization Survey (NCVS), and the Household Pulse Survey</w:t>
      </w:r>
      <w:r w:rsidR="007258BC">
        <w:t> </w:t>
      </w:r>
      <w:r w:rsidR="00FE2AD2">
        <w:t>(HPS).</w:t>
      </w:r>
    </w:p>
    <w:p w:rsidR="00FE2AD2" w:rsidRPr="00FE2AD2" w:rsidP="0064577F" w14:paraId="31DE5235" w14:textId="2A9CE1A2">
      <w:pPr>
        <w:pStyle w:val="BodyText"/>
        <w:rPr>
          <w:i/>
          <w:iCs/>
        </w:rPr>
      </w:pPr>
      <w:r w:rsidRPr="00FE2AD2">
        <w:rPr>
          <w:i/>
          <w:iCs/>
        </w:rPr>
        <w:t>National Health Interview Survey (NHIS)</w:t>
      </w:r>
    </w:p>
    <w:p w:rsidR="001F6001" w:rsidP="0064577F" w14:paraId="07A5BEC4" w14:textId="50746951">
      <w:pPr>
        <w:pStyle w:val="BodyText"/>
      </w:pPr>
      <w:r w:rsidRPr="004024A8">
        <w:t>In 2013</w:t>
      </w:r>
      <w:r w:rsidR="00E9535D">
        <w:t>,</w:t>
      </w:r>
      <w:r w:rsidRPr="004024A8">
        <w:t xml:space="preserve"> </w:t>
      </w:r>
      <w:r>
        <w:t xml:space="preserve">NHIS began collecting data regarding </w:t>
      </w:r>
      <w:r w:rsidR="004024A8">
        <w:t xml:space="preserve">sexual orientation. </w:t>
      </w:r>
      <w:r w:rsidRPr="70E2E263" w:rsidR="004024A8">
        <w:rPr>
          <w:rFonts w:eastAsia="Calibri"/>
        </w:rPr>
        <w:t>Th</w:t>
      </w:r>
      <w:r w:rsidR="004024A8">
        <w:rPr>
          <w:rFonts w:eastAsia="Calibri"/>
        </w:rPr>
        <w:t>is</w:t>
      </w:r>
      <w:r w:rsidRPr="70E2E263" w:rsidR="004024A8">
        <w:rPr>
          <w:rFonts w:eastAsia="Calibri"/>
        </w:rPr>
        <w:t xml:space="preserve"> survey tracks the intersection of sexual orientation, health status, and access to healthcare</w:t>
      </w:r>
      <w:r w:rsidR="004024A8">
        <w:rPr>
          <w:rFonts w:eastAsia="Calibri"/>
        </w:rPr>
        <w:t>.</w:t>
      </w:r>
      <w:r w:rsidR="004024A8">
        <w:t xml:space="preserve"> Gender identity questions were later added in 2022.</w:t>
      </w:r>
    </w:p>
    <w:p w:rsidR="00FD26D9" w:rsidP="00FD26D9" w14:paraId="35E1D136" w14:textId="33BF4515">
      <w:pPr>
        <w:pStyle w:val="BodyText"/>
      </w:pPr>
      <w:r>
        <w:t xml:space="preserve">The NHIS is an interviewer-administered survey. While everyone in the household is rostered, only one adult (age 18 years or older) is asked about SOGI. </w:t>
      </w:r>
      <w:r w:rsidR="00554993">
        <w:t xml:space="preserve">During this roster, </w:t>
      </w:r>
      <w:r w:rsidR="00AC338D">
        <w:t xml:space="preserve">age, sex, race, and ethnicity is asked of everyone in the household. Next, one adult (age 18 years or older) and one child (age 17 years or younger) are chosen randomly to complete the rest of the survey. The SOGI questions are asked of the sample adult. </w:t>
      </w:r>
      <w:r w:rsidR="00373C1D">
        <w:t>S</w:t>
      </w:r>
      <w:r w:rsidRPr="00A433D6" w:rsidR="00D148A0">
        <w:t>exual orientation</w:t>
      </w:r>
      <w:r w:rsidR="00961568">
        <w:t xml:space="preserve"> </w:t>
      </w:r>
      <w:r w:rsidR="00373C1D">
        <w:t xml:space="preserve">is asked </w:t>
      </w:r>
      <w:r w:rsidR="00961568">
        <w:t xml:space="preserve">prior to </w:t>
      </w:r>
      <w:r w:rsidR="001A1173">
        <w:t>current gender</w:t>
      </w:r>
      <w:r w:rsidRPr="00A433D6" w:rsidR="00D148A0">
        <w:t>. Th</w:t>
      </w:r>
      <w:r w:rsidR="00373C1D">
        <w:t>e sexual orientation</w:t>
      </w:r>
      <w:r w:rsidRPr="00A433D6" w:rsidR="00D148A0">
        <w:t xml:space="preserve"> question is asked separately for males and females</w:t>
      </w:r>
      <w:r w:rsidR="00961568">
        <w:t xml:space="preserve"> based on the response to the sex question during rostering</w:t>
      </w:r>
      <w:r w:rsidR="008128FA">
        <w:t>. The wording of the question is the same, however the response options differ slightly. Both males and females are asked, “Which of the following best represents how you think of yourself?”.</w:t>
      </w:r>
      <w:r w:rsidRPr="00A433D6" w:rsidR="00D148A0">
        <w:t xml:space="preserve"> The response </w:t>
      </w:r>
      <w:r w:rsidRPr="00A433D6" w:rsidR="008128FA">
        <w:t>options are</w:t>
      </w:r>
      <w:r w:rsidRPr="00A433D6" w:rsidR="00D148A0">
        <w:t>:</w:t>
      </w:r>
    </w:p>
    <w:p w:rsidR="00FD26D9" w:rsidP="00FD26D9" w14:paraId="14F77F4E" w14:textId="77777777">
      <w:pPr>
        <w:pStyle w:val="BodyText"/>
        <w:numPr>
          <w:ilvl w:val="0"/>
          <w:numId w:val="15"/>
        </w:numPr>
        <w:spacing w:after="0"/>
      </w:pPr>
      <w:r w:rsidRPr="00FD26D9">
        <w:t>Gay (for males)/Lesbian or gay(females)</w:t>
      </w:r>
    </w:p>
    <w:p w:rsidR="00FD26D9" w:rsidP="00FD26D9" w14:paraId="3FE5401A" w14:textId="77777777">
      <w:pPr>
        <w:pStyle w:val="BodyText"/>
        <w:numPr>
          <w:ilvl w:val="0"/>
          <w:numId w:val="15"/>
        </w:numPr>
        <w:spacing w:after="0"/>
      </w:pPr>
      <w:r w:rsidRPr="00FD26D9">
        <w:t xml:space="preserve">Straight, that is not </w:t>
      </w:r>
      <w:r w:rsidRPr="00FD26D9">
        <w:t>gay</w:t>
      </w:r>
    </w:p>
    <w:p w:rsidR="00FD26D9" w:rsidP="00FD26D9" w14:paraId="116AE60D" w14:textId="77777777">
      <w:pPr>
        <w:pStyle w:val="BodyText"/>
        <w:numPr>
          <w:ilvl w:val="0"/>
          <w:numId w:val="15"/>
        </w:numPr>
        <w:spacing w:after="0"/>
      </w:pPr>
      <w:r w:rsidRPr="00FD26D9">
        <w:t>Bisexual</w:t>
      </w:r>
    </w:p>
    <w:p w:rsidR="00FD26D9" w:rsidP="00FD26D9" w14:paraId="053522FC" w14:textId="77777777">
      <w:pPr>
        <w:pStyle w:val="BodyText"/>
        <w:numPr>
          <w:ilvl w:val="0"/>
          <w:numId w:val="15"/>
        </w:numPr>
        <w:spacing w:after="0"/>
      </w:pPr>
      <w:r w:rsidRPr="00FD26D9">
        <w:t>Something else</w:t>
      </w:r>
    </w:p>
    <w:p w:rsidR="00FD26D9" w:rsidP="00FD26D9" w14:paraId="54DFC0D7" w14:textId="77777777">
      <w:pPr>
        <w:pStyle w:val="BodyText"/>
        <w:numPr>
          <w:ilvl w:val="0"/>
          <w:numId w:val="15"/>
        </w:numPr>
        <w:spacing w:after="0"/>
      </w:pPr>
      <w:r w:rsidRPr="00FD26D9">
        <w:t xml:space="preserve">Don’t </w:t>
      </w:r>
      <w:r w:rsidRPr="00FD26D9">
        <w:t>know</w:t>
      </w:r>
    </w:p>
    <w:p w:rsidR="00A433D6" w:rsidRPr="00A433D6" w:rsidP="00FD26D9" w14:paraId="280AF21D" w14:textId="69329735">
      <w:pPr>
        <w:pStyle w:val="BodyText"/>
        <w:numPr>
          <w:ilvl w:val="0"/>
          <w:numId w:val="15"/>
        </w:numPr>
      </w:pPr>
      <w:r w:rsidRPr="00FD26D9">
        <w:t>Refused</w:t>
      </w:r>
    </w:p>
    <w:p w:rsidR="00483E8C" w:rsidP="001332E5" w14:paraId="2F50BA47" w14:textId="3E2A83C1">
      <w:pPr>
        <w:pStyle w:val="BodyText"/>
      </w:pPr>
      <w:r>
        <w:t xml:space="preserve">Early research on the NHIS sexual orientation question showed some evidence of question </w:t>
      </w:r>
      <w:r w:rsidRPr="00483E8C">
        <w:t>s</w:t>
      </w:r>
      <w:r>
        <w:t xml:space="preserve">kipping </w:t>
      </w:r>
      <w:r w:rsidRPr="00483E8C">
        <w:t xml:space="preserve">for older adults, less-educated adults, and adults answering in Spanish. </w:t>
      </w:r>
      <w:r>
        <w:t xml:space="preserve">The NHIS is an interviewer-administered survey, so it is unknown whether this was </w:t>
      </w:r>
      <w:r w:rsidRPr="00483E8C">
        <w:t>the result of interviewers’ sensitivity toward asking this question</w:t>
      </w:r>
      <w:r>
        <w:t xml:space="preserve">, respondents’ refusal to answer, or </w:t>
      </w:r>
      <w:r w:rsidR="008128FA">
        <w:t>an alternative reason</w:t>
      </w:r>
      <w:r>
        <w:t xml:space="preserve"> </w:t>
      </w:r>
      <w:r w:rsidRPr="007D2A5C">
        <w:t>(</w:t>
      </w:r>
      <w:r w:rsidR="00E05E0E">
        <w:t>Dahlhamer</w:t>
      </w:r>
      <w:r w:rsidR="00E05E0E">
        <w:t xml:space="preserve"> et al.</w:t>
      </w:r>
      <w:r w:rsidR="00924795">
        <w:t>,</w:t>
      </w:r>
      <w:r w:rsidRPr="007D2A5C" w:rsidR="007D2A5C">
        <w:t xml:space="preserve"> </w:t>
      </w:r>
      <w:r w:rsidR="002B2975">
        <w:t>20</w:t>
      </w:r>
      <w:r w:rsidR="00E05E0E">
        <w:t>14</w:t>
      </w:r>
      <w:r w:rsidRPr="007D2A5C">
        <w:t>).</w:t>
      </w:r>
    </w:p>
    <w:p w:rsidR="00961568" w:rsidP="007258BC" w14:paraId="78375313" w14:textId="09C1EF59">
      <w:pPr>
        <w:pStyle w:val="BodyText"/>
        <w:keepNext/>
      </w:pPr>
      <w:r>
        <w:t xml:space="preserve">The </w:t>
      </w:r>
      <w:r w:rsidR="00205D82">
        <w:t>c</w:t>
      </w:r>
      <w:r w:rsidR="001A1173">
        <w:t xml:space="preserve">urrent </w:t>
      </w:r>
      <w:r w:rsidR="00205D82">
        <w:t>g</w:t>
      </w:r>
      <w:r>
        <w:t>ender question wording and response options</w:t>
      </w:r>
      <w:r w:rsidR="008128FA">
        <w:t xml:space="preserve"> for the NHIS</w:t>
      </w:r>
      <w:r>
        <w:t xml:space="preserve"> are as follows:</w:t>
      </w:r>
    </w:p>
    <w:p w:rsidR="001332E5" w:rsidRPr="00A433D6" w:rsidP="001332E5" w14:paraId="65411266" w14:textId="6DC4AC29">
      <w:pPr>
        <w:pStyle w:val="BodyText"/>
      </w:pPr>
      <w:r>
        <w:t>“</w:t>
      </w:r>
      <w:r w:rsidRPr="00A433D6">
        <w:t xml:space="preserve">For this next question you may select more than one answer. Do you currently describe </w:t>
      </w:r>
      <w:r w:rsidRPr="00A433D6" w:rsidR="00D148A0">
        <w:t>y</w:t>
      </w:r>
      <w:r w:rsidRPr="00A433D6">
        <w:t>ourself as male, female, transgender, nonbinary, or another gender?</w:t>
      </w:r>
      <w:r>
        <w:t>”</w:t>
      </w:r>
      <w:r w:rsidRPr="00A433D6">
        <w:t xml:space="preserve"> </w:t>
      </w:r>
    </w:p>
    <w:p w:rsidR="001332E5" w:rsidRPr="00A433D6" w:rsidP="00A433D6" w14:paraId="0C6BCB65" w14:textId="77777777">
      <w:pPr>
        <w:pStyle w:val="NoSpacing"/>
        <w:ind w:left="432"/>
        <w:rPr>
          <w:sz w:val="24"/>
          <w:szCs w:val="24"/>
        </w:rPr>
      </w:pPr>
      <w:r w:rsidRPr="00A433D6">
        <w:rPr>
          <w:sz w:val="24"/>
          <w:szCs w:val="24"/>
        </w:rPr>
        <w:t xml:space="preserve">• Male </w:t>
      </w:r>
    </w:p>
    <w:p w:rsidR="001332E5" w:rsidRPr="00A433D6" w:rsidP="00A433D6" w14:paraId="1E668A3B" w14:textId="77777777">
      <w:pPr>
        <w:pStyle w:val="NoSpacing"/>
        <w:ind w:left="432"/>
        <w:rPr>
          <w:sz w:val="24"/>
          <w:szCs w:val="24"/>
        </w:rPr>
      </w:pPr>
      <w:r w:rsidRPr="00A433D6">
        <w:rPr>
          <w:sz w:val="24"/>
          <w:szCs w:val="24"/>
        </w:rPr>
        <w:t xml:space="preserve">• Female </w:t>
      </w:r>
    </w:p>
    <w:p w:rsidR="001332E5" w:rsidRPr="00A433D6" w:rsidP="00A433D6" w14:paraId="5ED1B72C" w14:textId="77777777">
      <w:pPr>
        <w:pStyle w:val="NoSpacing"/>
        <w:ind w:left="432"/>
        <w:rPr>
          <w:sz w:val="24"/>
          <w:szCs w:val="24"/>
        </w:rPr>
      </w:pPr>
      <w:r w:rsidRPr="00A433D6">
        <w:rPr>
          <w:sz w:val="24"/>
          <w:szCs w:val="24"/>
        </w:rPr>
        <w:t>• Transgender</w:t>
      </w:r>
    </w:p>
    <w:p w:rsidR="001332E5" w:rsidRPr="00A433D6" w:rsidP="00A433D6" w14:paraId="2E6D069A" w14:textId="77777777">
      <w:pPr>
        <w:pStyle w:val="NoSpacing"/>
        <w:ind w:left="432"/>
        <w:rPr>
          <w:sz w:val="24"/>
          <w:szCs w:val="24"/>
        </w:rPr>
      </w:pPr>
      <w:r w:rsidRPr="00A433D6">
        <w:rPr>
          <w:sz w:val="24"/>
          <w:szCs w:val="24"/>
        </w:rPr>
        <w:t>• Nonbinary</w:t>
      </w:r>
    </w:p>
    <w:p w:rsidR="00D148A0" w:rsidRPr="00A433D6" w:rsidP="003E3DCA" w14:paraId="36B35298" w14:textId="29952F73">
      <w:pPr>
        <w:pStyle w:val="NoSpacing"/>
        <w:ind w:left="432"/>
      </w:pPr>
      <w:r w:rsidRPr="00A433D6">
        <w:rPr>
          <w:sz w:val="24"/>
          <w:szCs w:val="24"/>
        </w:rPr>
        <w:t>• Another Gender</w:t>
      </w:r>
    </w:p>
    <w:p w:rsidR="00961568" w:rsidP="00961568" w14:paraId="5342578B" w14:textId="77777777">
      <w:pPr>
        <w:pStyle w:val="NoSpacing"/>
      </w:pPr>
    </w:p>
    <w:p w:rsidR="008128FA" w:rsidP="001332E5" w14:paraId="73550812" w14:textId="62F16370">
      <w:pPr>
        <w:pStyle w:val="BodyText"/>
      </w:pPr>
      <w:r w:rsidRPr="00A433D6">
        <w:t xml:space="preserve">If </w:t>
      </w:r>
      <w:r w:rsidR="00961568">
        <w:t xml:space="preserve">the </w:t>
      </w:r>
      <w:r w:rsidRPr="00A433D6">
        <w:t xml:space="preserve">response </w:t>
      </w:r>
      <w:r w:rsidRPr="00A433D6" w:rsidR="00D148A0">
        <w:t xml:space="preserve">given </w:t>
      </w:r>
      <w:r w:rsidRPr="00A433D6">
        <w:t>is “Another Gender</w:t>
      </w:r>
      <w:r w:rsidRPr="00A433D6" w:rsidR="00A433D6">
        <w:t>”</w:t>
      </w:r>
      <w:r w:rsidR="009F7249">
        <w:t>,</w:t>
      </w:r>
      <w:r w:rsidRPr="00A433D6" w:rsidR="00D148A0">
        <w:t xml:space="preserve"> a write-in </w:t>
      </w:r>
      <w:r w:rsidRPr="00A433D6" w:rsidR="00A433D6">
        <w:t>response is prompted.</w:t>
      </w:r>
      <w:r w:rsidR="00961568">
        <w:t xml:space="preserve"> </w:t>
      </w:r>
    </w:p>
    <w:p w:rsidR="001332E5" w:rsidP="001332E5" w14:paraId="0113448B" w14:textId="3096C966">
      <w:pPr>
        <w:pStyle w:val="BodyText"/>
      </w:pPr>
      <w:r>
        <w:t>For the 2022 and 2023 NHIS, a</w:t>
      </w:r>
      <w:r w:rsidR="008128FA">
        <w:t xml:space="preserve">fter the </w:t>
      </w:r>
      <w:r w:rsidR="001A1173">
        <w:t xml:space="preserve">current </w:t>
      </w:r>
      <w:r w:rsidR="008128FA">
        <w:t>gender question</w:t>
      </w:r>
      <w:r w:rsidR="00805320">
        <w:t>,</w:t>
      </w:r>
      <w:r w:rsidR="008128FA">
        <w:t xml:space="preserve"> r</w:t>
      </w:r>
      <w:r w:rsidRPr="00A433D6">
        <w:t>espon</w:t>
      </w:r>
      <w:r w:rsidRPr="00A433D6" w:rsidR="00A433D6">
        <w:t>dent</w:t>
      </w:r>
      <w:r w:rsidR="008128FA">
        <w:t>s</w:t>
      </w:r>
      <w:r w:rsidRPr="00A433D6">
        <w:t xml:space="preserve"> </w:t>
      </w:r>
      <w:r>
        <w:t>were</w:t>
      </w:r>
      <w:r w:rsidRPr="00A433D6">
        <w:t xml:space="preserve"> </w:t>
      </w:r>
      <w:r w:rsidRPr="00A433D6" w:rsidR="00A433D6">
        <w:t>then asked their sex assigned at birth.</w:t>
      </w:r>
      <w:r>
        <w:rPr>
          <w:rStyle w:val="FootnoteReference"/>
        </w:rPr>
        <w:footnoteReference w:id="15"/>
      </w:r>
      <w:r w:rsidRPr="00A433D6" w:rsidR="00A433D6">
        <w:t xml:space="preserve"> A c</w:t>
      </w:r>
      <w:r w:rsidRPr="00A433D6">
        <w:t xml:space="preserve">onfirmation question </w:t>
      </w:r>
      <w:r>
        <w:t>was</w:t>
      </w:r>
      <w:r w:rsidRPr="00A433D6" w:rsidR="00A433D6">
        <w:t xml:space="preserve"> asked </w:t>
      </w:r>
      <w:r w:rsidRPr="00A433D6">
        <w:t xml:space="preserve">if sex assigned at birth </w:t>
      </w:r>
      <w:r w:rsidR="00C35DA3">
        <w:t>did not match</w:t>
      </w:r>
      <w:r w:rsidRPr="00A433D6" w:rsidR="00C35DA3">
        <w:t xml:space="preserve"> </w:t>
      </w:r>
      <w:r w:rsidRPr="00A433D6" w:rsidR="00A433D6">
        <w:t xml:space="preserve">their </w:t>
      </w:r>
      <w:r w:rsidRPr="00A433D6">
        <w:t>current identity</w:t>
      </w:r>
      <w:r w:rsidRPr="00A433D6" w:rsidR="00A433D6">
        <w:t>.</w:t>
      </w:r>
      <w:r w:rsidR="00205D82">
        <w:t xml:space="preserve"> </w:t>
      </w:r>
      <w:r w:rsidR="00B37997">
        <w:t>Cognitive t</w:t>
      </w:r>
      <w:r w:rsidRPr="00A433D6" w:rsidR="00A433D6">
        <w:t xml:space="preserve">esting </w:t>
      </w:r>
      <w:r w:rsidR="00961568">
        <w:t>of the</w:t>
      </w:r>
      <w:r w:rsidRPr="00A433D6" w:rsidR="00A433D6">
        <w:t xml:space="preserve"> </w:t>
      </w:r>
      <w:r w:rsidR="00205D82">
        <w:t>g</w:t>
      </w:r>
      <w:r w:rsidR="00961568">
        <w:t xml:space="preserve">ender </w:t>
      </w:r>
      <w:r w:rsidR="00205D82">
        <w:t>i</w:t>
      </w:r>
      <w:r w:rsidR="00961568">
        <w:t xml:space="preserve">dentity </w:t>
      </w:r>
      <w:r w:rsidR="001A1173">
        <w:t xml:space="preserve">series of </w:t>
      </w:r>
      <w:r w:rsidR="00961568">
        <w:t>question</w:t>
      </w:r>
      <w:r w:rsidR="001A1173">
        <w:t>s</w:t>
      </w:r>
      <w:r w:rsidRPr="00A433D6" w:rsidR="00A433D6">
        <w:t xml:space="preserve"> showed the c</w:t>
      </w:r>
      <w:r w:rsidRPr="00A433D6">
        <w:t xml:space="preserve">onfirmation question </w:t>
      </w:r>
      <w:r w:rsidRPr="00A433D6" w:rsidR="00A433D6">
        <w:t>wa</w:t>
      </w:r>
      <w:r w:rsidRPr="00A433D6">
        <w:t>s very important</w:t>
      </w:r>
      <w:r w:rsidR="00205D82">
        <w:t xml:space="preserve"> for data quality</w:t>
      </w:r>
      <w:r w:rsidR="00707A98">
        <w:t xml:space="preserve"> in the two-step series</w:t>
      </w:r>
      <w:r w:rsidRPr="00A433D6" w:rsidR="00A433D6">
        <w:t xml:space="preserve">, </w:t>
      </w:r>
      <w:r w:rsidR="004E1F1A">
        <w:t xml:space="preserve">with </w:t>
      </w:r>
      <w:r w:rsidR="00B37997">
        <w:t>several</w:t>
      </w:r>
      <w:r w:rsidRPr="00A433D6">
        <w:t xml:space="preserve"> </w:t>
      </w:r>
      <w:r w:rsidR="004E1F1A">
        <w:t>respondents</w:t>
      </w:r>
      <w:r w:rsidRPr="00A433D6">
        <w:t xml:space="preserve"> </w:t>
      </w:r>
      <w:r w:rsidR="004E1F1A">
        <w:t xml:space="preserve">changing their </w:t>
      </w:r>
      <w:r w:rsidRPr="00924795" w:rsidR="004E1F1A">
        <w:t>response</w:t>
      </w:r>
      <w:r w:rsidR="00707A98">
        <w:t xml:space="preserve"> and preventing false positives</w:t>
      </w:r>
      <w:r w:rsidRPr="00924795" w:rsidR="004E1F1A">
        <w:t xml:space="preserve"> (</w:t>
      </w:r>
      <w:r w:rsidR="00B37997">
        <w:t>Miller</w:t>
      </w:r>
      <w:r w:rsidR="00924795">
        <w:t>, 2022</w:t>
      </w:r>
      <w:r w:rsidRPr="00924795" w:rsidR="004E1F1A">
        <w:t>).</w:t>
      </w:r>
      <w:r w:rsidR="00707A98">
        <w:t xml:space="preserve"> However, </w:t>
      </w:r>
      <w:r w:rsidR="000A2A55">
        <w:t xml:space="preserve">cognitive testing of the two-step series </w:t>
      </w:r>
      <w:r w:rsidR="00B37997">
        <w:t xml:space="preserve">also </w:t>
      </w:r>
      <w:r w:rsidR="000A2A55">
        <w:t>indicated some people who are not gender minorities may confuse the sex assigned at birth question with a question on sexuality, thus choosing the sex of their partner (</w:t>
      </w:r>
      <w:r w:rsidR="004F1413">
        <w:t>Miller et al., 2021</w:t>
      </w:r>
      <w:r w:rsidR="000A2A55">
        <w:t xml:space="preserve">). The 2024 NHIS does not include the sex assigned at birth or confirmation question; a question about sex is still included in the roster section of the survey. </w:t>
      </w:r>
    </w:p>
    <w:p w:rsidR="00FE2AD2" w:rsidRPr="00FE2AD2" w:rsidP="00277E3A" w14:paraId="119CBECE" w14:textId="06A11795">
      <w:pPr>
        <w:pStyle w:val="BodyText"/>
        <w:keepNext/>
        <w:rPr>
          <w:i/>
          <w:iCs/>
        </w:rPr>
      </w:pPr>
      <w:r w:rsidRPr="00A433D6">
        <w:rPr>
          <w:i/>
          <w:iCs/>
        </w:rPr>
        <w:t>National Crime Victimization Survey (NCVS)</w:t>
      </w:r>
    </w:p>
    <w:p w:rsidR="004024A8" w:rsidRPr="00FE2AD2" w:rsidP="004024A8" w14:paraId="4D5A8DBA" w14:textId="536C7F6F">
      <w:pPr>
        <w:pStyle w:val="BodyText"/>
      </w:pPr>
      <w:r w:rsidRPr="00FE2AD2">
        <w:t xml:space="preserve">In 2016 the </w:t>
      </w:r>
      <w:r w:rsidRPr="00FE2AD2" w:rsidR="00826D60">
        <w:t xml:space="preserve">NCVS </w:t>
      </w:r>
      <w:r w:rsidRPr="00FE2AD2">
        <w:t xml:space="preserve">added questions about </w:t>
      </w:r>
      <w:r w:rsidR="001A1173">
        <w:t>SOGI</w:t>
      </w:r>
      <w:r w:rsidRPr="00FE2AD2">
        <w:t>. Th</w:t>
      </w:r>
      <w:r w:rsidR="001A1173">
        <w:t>e results of th</w:t>
      </w:r>
      <w:r w:rsidRPr="00FE2AD2">
        <w:t>is survey can show the intersection of being a crime victim with sexual orientation or gender identity.</w:t>
      </w:r>
    </w:p>
    <w:p w:rsidR="00023507" w:rsidP="0081535D" w14:paraId="553ABA0A" w14:textId="0431F88E">
      <w:pPr>
        <w:pStyle w:val="BodyText"/>
      </w:pPr>
      <w:r>
        <w:t>The NCVS is an interviewer-administered survey</w:t>
      </w:r>
      <w:r w:rsidRPr="201F90FC">
        <w:t xml:space="preserve">. </w:t>
      </w:r>
      <w:r w:rsidRPr="00D148A0">
        <w:t>The SOGI questions are asked of those 16 and older and are asked in the 1</w:t>
      </w:r>
      <w:r w:rsidRPr="00D148A0">
        <w:rPr>
          <w:vertAlign w:val="superscript"/>
        </w:rPr>
        <w:t>st</w:t>
      </w:r>
      <w:r w:rsidRPr="00D148A0">
        <w:t>, 3</w:t>
      </w:r>
      <w:r w:rsidRPr="00D148A0">
        <w:rPr>
          <w:vertAlign w:val="superscript"/>
        </w:rPr>
        <w:t>rd</w:t>
      </w:r>
      <w:r w:rsidRPr="00D148A0">
        <w:t>, 5</w:t>
      </w:r>
      <w:r w:rsidRPr="00D148A0">
        <w:rPr>
          <w:vertAlign w:val="superscript"/>
        </w:rPr>
        <w:t>th</w:t>
      </w:r>
      <w:r w:rsidRPr="00D148A0">
        <w:t>, and 7</w:t>
      </w:r>
      <w:r w:rsidRPr="00D148A0">
        <w:rPr>
          <w:vertAlign w:val="superscript"/>
        </w:rPr>
        <w:t>th</w:t>
      </w:r>
      <w:r w:rsidRPr="00D148A0">
        <w:t xml:space="preserve"> interviews (out of a total of 7 </w:t>
      </w:r>
      <w:r w:rsidRPr="00F70370">
        <w:t>interviews)</w:t>
      </w:r>
      <w:r w:rsidRPr="201F90FC">
        <w:t xml:space="preserve"> (</w:t>
      </w:r>
      <w:r>
        <w:t>Truman and Morgan, 2022</w:t>
      </w:r>
      <w:r w:rsidRPr="201F90FC">
        <w:t>).</w:t>
      </w:r>
      <w:r>
        <w:rPr>
          <w:rStyle w:val="FootnoteReference"/>
        </w:rPr>
        <w:footnoteReference w:id="16"/>
      </w:r>
      <w:r w:rsidRPr="201F90FC">
        <w:t xml:space="preserve"> </w:t>
      </w:r>
      <w:r w:rsidR="001712D5">
        <w:t xml:space="preserve">The </w:t>
      </w:r>
      <w:r w:rsidR="004D3C38">
        <w:t>NCVS data collection process</w:t>
      </w:r>
      <w:r w:rsidR="001712D5">
        <w:t xml:space="preserve"> rosters an entire household</w:t>
      </w:r>
      <w:r w:rsidR="004D3C38">
        <w:t xml:space="preserve"> during the first visit</w:t>
      </w:r>
      <w:r w:rsidRPr="201F90FC" w:rsidR="001712D5">
        <w:t xml:space="preserve">. </w:t>
      </w:r>
      <w:r w:rsidR="004D3C38">
        <w:t xml:space="preserve">This roster includes the name, age, sex, race and ethnicity, marital status, and education level for each household member. After rostering, interviewers screen respondents </w:t>
      </w:r>
      <w:r w:rsidR="004D3C38">
        <w:t xml:space="preserve">for potential victimizations. </w:t>
      </w:r>
      <w:r>
        <w:t>Respondents are asked some socio-demographic questions in addition to the crime screener questions, including questions on SOGI.</w:t>
      </w:r>
      <w:r>
        <w:rPr>
          <w:rStyle w:val="FootnoteReference"/>
        </w:rPr>
        <w:footnoteReference w:id="17"/>
      </w:r>
      <w:r w:rsidRPr="201F90FC" w:rsidR="004D3C38">
        <w:t xml:space="preserve"> </w:t>
      </w:r>
    </w:p>
    <w:p w:rsidR="00FE2AD2" w:rsidP="00110BD1" w14:paraId="79461222" w14:textId="24D665EB">
      <w:pPr>
        <w:pStyle w:val="BodyText"/>
      </w:pPr>
      <w:r w:rsidRPr="00FE2AD2">
        <w:t xml:space="preserve">The NCVS </w:t>
      </w:r>
      <w:r w:rsidR="00023507">
        <w:t xml:space="preserve">basic screen </w:t>
      </w:r>
      <w:r w:rsidRPr="00FE2AD2">
        <w:t>questionnaire asks about sexual orientation</w:t>
      </w:r>
      <w:r w:rsidR="00961568">
        <w:t xml:space="preserve"> before </w:t>
      </w:r>
      <w:r w:rsidR="001A1173">
        <w:t>current gender</w:t>
      </w:r>
      <w:r w:rsidRPr="00FE2AD2">
        <w:t>. Th</w:t>
      </w:r>
      <w:r w:rsidR="00BE42E7">
        <w:t>e sexual orientation</w:t>
      </w:r>
      <w:r w:rsidRPr="00FE2AD2">
        <w:t xml:space="preserve"> question is </w:t>
      </w:r>
      <w:r w:rsidR="00465296">
        <w:t>the same</w:t>
      </w:r>
      <w:r w:rsidRPr="00FE2AD2">
        <w:t xml:space="preserve"> </w:t>
      </w:r>
      <w:r w:rsidR="00110BD1">
        <w:t>as the one used in the NHIS</w:t>
      </w:r>
      <w:r w:rsidRPr="00FE2AD2">
        <w:t>.</w:t>
      </w:r>
    </w:p>
    <w:p w:rsidR="002E3C23" w:rsidRPr="003C0DE2" w:rsidP="002E3C23" w14:paraId="039E9EBE" w14:textId="25AFBD16">
      <w:pPr>
        <w:pStyle w:val="BodyText"/>
        <w:rPr>
          <w:highlight w:val="yellow"/>
        </w:rPr>
      </w:pPr>
      <w:r>
        <w:t xml:space="preserve">Research showed the “something else” response was typically selected by English-speaking respondents when they did not want to disclose their identity </w:t>
      </w:r>
      <w:r w:rsidR="00FE2AD2">
        <w:t>whereas</w:t>
      </w:r>
      <w:r>
        <w:t xml:space="preserve"> </w:t>
      </w:r>
      <w:r w:rsidR="00FE2AD2">
        <w:t>Spanish</w:t>
      </w:r>
      <w:r>
        <w:t>-speaking respondents tended to select “something else” due to confusion about the terminology</w:t>
      </w:r>
      <w:r w:rsidR="001B6CC9">
        <w:t xml:space="preserve"> (</w:t>
      </w:r>
      <w:r w:rsidR="003536E7">
        <w:t>Truman et al., 2019</w:t>
      </w:r>
      <w:r w:rsidR="001B6CC9">
        <w:t>).</w:t>
      </w:r>
    </w:p>
    <w:p w:rsidR="005573AF" w:rsidRPr="00FE2AD2" w:rsidP="005573AF" w14:paraId="42ACF6F5" w14:textId="37CCF94A">
      <w:pPr>
        <w:pStyle w:val="BodyText"/>
      </w:pPr>
      <w:r w:rsidRPr="00FE2AD2">
        <w:t xml:space="preserve">There are two questions </w:t>
      </w:r>
      <w:r>
        <w:t xml:space="preserve">on the NCVS </w:t>
      </w:r>
      <w:r w:rsidRPr="00FE2AD2">
        <w:t xml:space="preserve">for </w:t>
      </w:r>
      <w:r w:rsidR="00D176E3">
        <w:t>gender</w:t>
      </w:r>
      <w:r w:rsidRPr="00FE2AD2">
        <w:t xml:space="preserve"> identity: first a question asking sex assigned at birth and then a question on how they currently describe their gender. A confirmation question is asked if the answers to these questions do no</w:t>
      </w:r>
      <w:r>
        <w:t>t</w:t>
      </w:r>
      <w:r w:rsidRPr="00FE2AD2">
        <w:t xml:space="preserve"> match.</w:t>
      </w:r>
    </w:p>
    <w:p w:rsidR="002E3C23" w:rsidP="002E3C23" w14:paraId="22E047CF" w14:textId="6132976A">
      <w:pPr>
        <w:pStyle w:val="BodyText"/>
      </w:pPr>
      <w:r w:rsidRPr="00FE2AD2">
        <w:t>The</w:t>
      </w:r>
      <w:r w:rsidR="001B6CC9">
        <w:t xml:space="preserve"> wording and</w:t>
      </w:r>
      <w:r w:rsidRPr="00FE2AD2">
        <w:t xml:space="preserve"> response options for the sex assigned at birth question</w:t>
      </w:r>
      <w:r w:rsidR="001B6CC9">
        <w:t xml:space="preserve"> and the </w:t>
      </w:r>
      <w:r w:rsidR="00D176E3">
        <w:t xml:space="preserve">current </w:t>
      </w:r>
      <w:r w:rsidR="001B6CC9">
        <w:t>gender question</w:t>
      </w:r>
      <w:r w:rsidRPr="00FE2AD2">
        <w:t xml:space="preserve"> </w:t>
      </w:r>
      <w:r w:rsidR="001B6CC9">
        <w:t>are as follows:</w:t>
      </w:r>
      <w:r w:rsidRPr="00FE2AD2">
        <w:t xml:space="preserve"> </w:t>
      </w:r>
    </w:p>
    <w:p w:rsidR="001B6CC9" w:rsidRPr="00FE2AD2" w:rsidP="002E3C23" w14:paraId="586A6070" w14:textId="6905CE78">
      <w:pPr>
        <w:pStyle w:val="BodyText"/>
      </w:pPr>
      <w:r>
        <w:t>“</w:t>
      </w:r>
      <w:r w:rsidRPr="001B6CC9">
        <w:t>What sex were you assigned at birth, on your original birth certificate</w:t>
      </w:r>
      <w:r>
        <w:t>?</w:t>
      </w:r>
      <w:r>
        <w:t>”</w:t>
      </w:r>
    </w:p>
    <w:p w:rsidR="002E3C23" w:rsidRPr="00FE2AD2" w:rsidP="00DE5C09" w14:paraId="112F9AE8" w14:textId="547A3FF5">
      <w:pPr>
        <w:pStyle w:val="NoSpacing"/>
        <w:numPr>
          <w:ilvl w:val="0"/>
          <w:numId w:val="15"/>
        </w:numPr>
        <w:rPr>
          <w:sz w:val="24"/>
          <w:szCs w:val="24"/>
        </w:rPr>
      </w:pPr>
      <w:r w:rsidRPr="00FE2AD2">
        <w:rPr>
          <w:sz w:val="24"/>
          <w:szCs w:val="24"/>
        </w:rPr>
        <w:t>Male</w:t>
      </w:r>
    </w:p>
    <w:p w:rsidR="002E3C23" w:rsidRPr="00FE2AD2" w:rsidP="00DE5C09" w14:paraId="6A566D6D" w14:textId="3A88D5A9">
      <w:pPr>
        <w:pStyle w:val="NoSpacing"/>
        <w:numPr>
          <w:ilvl w:val="0"/>
          <w:numId w:val="15"/>
        </w:numPr>
        <w:rPr>
          <w:sz w:val="24"/>
          <w:szCs w:val="24"/>
        </w:rPr>
      </w:pPr>
      <w:r w:rsidRPr="00FE2AD2">
        <w:rPr>
          <w:sz w:val="24"/>
          <w:szCs w:val="24"/>
        </w:rPr>
        <w:t>Female</w:t>
      </w:r>
    </w:p>
    <w:p w:rsidR="002E3C23" w:rsidRPr="00FE2AD2" w:rsidP="00DE5C09" w14:paraId="10B0E2D1" w14:textId="4F05B3BB">
      <w:pPr>
        <w:pStyle w:val="NoSpacing"/>
        <w:numPr>
          <w:ilvl w:val="0"/>
          <w:numId w:val="15"/>
        </w:numPr>
        <w:rPr>
          <w:sz w:val="24"/>
          <w:szCs w:val="24"/>
        </w:rPr>
      </w:pPr>
      <w:r w:rsidRPr="00FE2AD2">
        <w:rPr>
          <w:sz w:val="24"/>
          <w:szCs w:val="24"/>
        </w:rPr>
        <w:t>Refused</w:t>
      </w:r>
    </w:p>
    <w:p w:rsidR="002E3C23" w:rsidRPr="00FE2AD2" w:rsidP="00DE5C09" w14:paraId="3A0095B5" w14:textId="27B3C0C7">
      <w:pPr>
        <w:pStyle w:val="NoSpacing"/>
        <w:numPr>
          <w:ilvl w:val="0"/>
          <w:numId w:val="15"/>
        </w:numPr>
      </w:pPr>
      <w:r w:rsidRPr="00FE2AD2">
        <w:rPr>
          <w:sz w:val="24"/>
          <w:szCs w:val="24"/>
        </w:rPr>
        <w:t xml:space="preserve">Don’t </w:t>
      </w:r>
      <w:r w:rsidRPr="00FE2AD2">
        <w:rPr>
          <w:sz w:val="24"/>
          <w:szCs w:val="24"/>
        </w:rPr>
        <w:t>know</w:t>
      </w:r>
    </w:p>
    <w:p w:rsidR="002E3C23" w:rsidRPr="00FE2AD2" w:rsidP="002E3C23" w14:paraId="35F75DBF" w14:textId="3C4E922D">
      <w:pPr>
        <w:pStyle w:val="NoSpacing"/>
      </w:pPr>
    </w:p>
    <w:p w:rsidR="001B6CC9" w:rsidP="002E3C23" w14:paraId="09AB7199" w14:textId="5392F22D">
      <w:pPr>
        <w:pStyle w:val="BodyText"/>
      </w:pPr>
      <w:r>
        <w:t>“</w:t>
      </w:r>
      <w:r w:rsidRPr="001B6CC9">
        <w:t>Do you currently describe yourself as male, female or transgender?</w:t>
      </w:r>
      <w:r>
        <w:t>”</w:t>
      </w:r>
    </w:p>
    <w:p w:rsidR="002E3C23" w:rsidRPr="00FE2AD2" w:rsidP="00DE5C09" w14:paraId="498B8256" w14:textId="77777777">
      <w:pPr>
        <w:pStyle w:val="NoSpacing"/>
        <w:numPr>
          <w:ilvl w:val="0"/>
          <w:numId w:val="15"/>
        </w:numPr>
        <w:rPr>
          <w:sz w:val="24"/>
          <w:szCs w:val="24"/>
        </w:rPr>
      </w:pPr>
      <w:r w:rsidRPr="00FE2AD2">
        <w:rPr>
          <w:sz w:val="24"/>
          <w:szCs w:val="24"/>
        </w:rPr>
        <w:t>Male</w:t>
      </w:r>
    </w:p>
    <w:p w:rsidR="002E3C23" w:rsidRPr="00FE2AD2" w:rsidP="00DE5C09" w14:paraId="0813FFC7" w14:textId="475E00D1">
      <w:pPr>
        <w:pStyle w:val="NoSpacing"/>
        <w:numPr>
          <w:ilvl w:val="0"/>
          <w:numId w:val="15"/>
        </w:numPr>
        <w:rPr>
          <w:sz w:val="24"/>
          <w:szCs w:val="24"/>
        </w:rPr>
      </w:pPr>
      <w:r w:rsidRPr="00FE2AD2">
        <w:rPr>
          <w:sz w:val="24"/>
          <w:szCs w:val="24"/>
        </w:rPr>
        <w:t>Female</w:t>
      </w:r>
    </w:p>
    <w:p w:rsidR="002E3C23" w:rsidRPr="00FE2AD2" w:rsidP="00DE5C09" w14:paraId="76AD3B34" w14:textId="65147CC1">
      <w:pPr>
        <w:pStyle w:val="NoSpacing"/>
        <w:numPr>
          <w:ilvl w:val="0"/>
          <w:numId w:val="15"/>
        </w:numPr>
        <w:rPr>
          <w:sz w:val="24"/>
          <w:szCs w:val="24"/>
        </w:rPr>
      </w:pPr>
      <w:r w:rsidRPr="00FE2AD2">
        <w:rPr>
          <w:sz w:val="24"/>
          <w:szCs w:val="24"/>
        </w:rPr>
        <w:t>Transgender</w:t>
      </w:r>
    </w:p>
    <w:p w:rsidR="002E3C23" w:rsidRPr="00FE2AD2" w:rsidP="00DE5C09" w14:paraId="27F180FA" w14:textId="0CDD2198">
      <w:pPr>
        <w:pStyle w:val="NoSpacing"/>
        <w:numPr>
          <w:ilvl w:val="0"/>
          <w:numId w:val="15"/>
        </w:numPr>
      </w:pPr>
      <w:r w:rsidRPr="00FE2AD2">
        <w:rPr>
          <w:sz w:val="24"/>
          <w:szCs w:val="24"/>
        </w:rPr>
        <w:t>None of these</w:t>
      </w:r>
    </w:p>
    <w:p w:rsidR="002E3C23" w:rsidP="00F75B67" w14:paraId="2D4AAEED" w14:textId="00A1550D">
      <w:pPr>
        <w:pStyle w:val="NoSpacing"/>
        <w:tabs>
          <w:tab w:val="left" w:pos="7500"/>
        </w:tabs>
      </w:pPr>
    </w:p>
    <w:p w:rsidR="00D148A0" w:rsidRPr="004A5738" w:rsidP="00FE2AD2" w14:paraId="17B62ABC" w14:textId="4B813E9D">
      <w:pPr>
        <w:pStyle w:val="NoSpacing"/>
        <w:rPr>
          <w:rFonts w:eastAsia="Calibri"/>
          <w:sz w:val="24"/>
          <w:szCs w:val="24"/>
        </w:rPr>
      </w:pPr>
      <w:r>
        <w:rPr>
          <w:rFonts w:eastAsia="Calibri"/>
          <w:sz w:val="24"/>
          <w:szCs w:val="24"/>
        </w:rPr>
        <w:t xml:space="preserve">Item nonresponse </w:t>
      </w:r>
      <w:r w:rsidR="00D54F44">
        <w:rPr>
          <w:rFonts w:eastAsia="Calibri"/>
          <w:sz w:val="24"/>
          <w:szCs w:val="24"/>
        </w:rPr>
        <w:t>to the SOGI questions have been low</w:t>
      </w:r>
      <w:r w:rsidR="00C35DA3">
        <w:rPr>
          <w:rFonts w:eastAsia="Calibri"/>
          <w:sz w:val="24"/>
          <w:szCs w:val="24"/>
        </w:rPr>
        <w:t>,</w:t>
      </w:r>
      <w:r w:rsidR="00D54F44">
        <w:rPr>
          <w:rFonts w:eastAsia="Calibri"/>
          <w:sz w:val="24"/>
          <w:szCs w:val="24"/>
        </w:rPr>
        <w:t xml:space="preserve"> compared to other NCVS questions (Truman and Morgan, 2022)</w:t>
      </w:r>
      <w:r>
        <w:rPr>
          <w:rFonts w:eastAsia="Calibri"/>
          <w:sz w:val="24"/>
          <w:szCs w:val="24"/>
        </w:rPr>
        <w:t xml:space="preserve">. </w:t>
      </w:r>
    </w:p>
    <w:p w:rsidR="00D148A0" w:rsidRPr="00FE2AD2" w:rsidP="00FE2AD2" w14:paraId="3D66789B" w14:textId="77777777">
      <w:pPr>
        <w:pStyle w:val="NoSpacing"/>
      </w:pPr>
    </w:p>
    <w:p w:rsidR="00623DF5" w:rsidRPr="000F3E3B" w:rsidP="007E597A" w14:paraId="12CFCAFF" w14:textId="0E0AACF1">
      <w:pPr>
        <w:pStyle w:val="BodyText"/>
        <w:keepNext/>
      </w:pPr>
      <w:r w:rsidRPr="000F3E3B">
        <w:rPr>
          <w:i/>
          <w:iCs/>
        </w:rPr>
        <w:t>Household Pulse Survey</w:t>
      </w:r>
      <w:r w:rsidRPr="000F3E3B" w:rsidR="006C3866">
        <w:rPr>
          <w:i/>
          <w:iCs/>
        </w:rPr>
        <w:t xml:space="preserve"> </w:t>
      </w:r>
      <w:r w:rsidRPr="000F3E3B" w:rsidR="00FE2AD2">
        <w:rPr>
          <w:i/>
          <w:iCs/>
        </w:rPr>
        <w:t>(HPS)</w:t>
      </w:r>
    </w:p>
    <w:p w:rsidR="006C3866" w:rsidRPr="000F3E3B" w:rsidP="0081535D" w14:paraId="087B9382" w14:textId="3482CDFE">
      <w:pPr>
        <w:pStyle w:val="BodyText"/>
      </w:pPr>
      <w:r w:rsidRPr="000F3E3B">
        <w:t xml:space="preserve">The HPS </w:t>
      </w:r>
      <w:r w:rsidR="00166947">
        <w:t>is an experimental data product</w:t>
      </w:r>
      <w:r w:rsidRPr="000F3E3B">
        <w:t xml:space="preserve"> designed to analyze the COVID</w:t>
      </w:r>
      <w:r w:rsidR="00B572A8">
        <w:t>-19</w:t>
      </w:r>
      <w:r w:rsidRPr="000F3E3B">
        <w:t xml:space="preserve"> </w:t>
      </w:r>
      <w:r w:rsidRPr="000F3E3B">
        <w:t xml:space="preserve">pandemic’s impact on </w:t>
      </w:r>
      <w:r w:rsidR="00DF2235">
        <w:t>U.S. households</w:t>
      </w:r>
      <w:r w:rsidRPr="000F3E3B">
        <w:t xml:space="preserve">, both socially and economically. </w:t>
      </w:r>
      <w:r>
        <w:t xml:space="preserve">Questions regarding </w:t>
      </w:r>
      <w:r w:rsidR="00D176E3">
        <w:t xml:space="preserve">SOGI </w:t>
      </w:r>
      <w:r>
        <w:t xml:space="preserve">were added in </w:t>
      </w:r>
      <w:r>
        <w:t xml:space="preserve">2021. </w:t>
      </w:r>
      <w:r w:rsidRPr="000F3E3B">
        <w:t>Some res</w:t>
      </w:r>
      <w:r>
        <w:t>ults</w:t>
      </w:r>
      <w:r w:rsidRPr="000F3E3B">
        <w:t xml:space="preserve"> from this survey show </w:t>
      </w:r>
      <w:r w:rsidRPr="000F3E3B">
        <w:t xml:space="preserve">the pandemic may </w:t>
      </w:r>
      <w:r w:rsidRPr="000F3E3B">
        <w:t>ha</w:t>
      </w:r>
      <w:r>
        <w:t>v</w:t>
      </w:r>
      <w:r w:rsidRPr="000F3E3B">
        <w:t xml:space="preserve">e had a greater </w:t>
      </w:r>
      <w:r w:rsidRPr="000F3E3B">
        <w:t xml:space="preserve">impact </w:t>
      </w:r>
      <w:r w:rsidRPr="000F3E3B">
        <w:t xml:space="preserve">on the </w:t>
      </w:r>
      <w:r w:rsidRPr="000F3E3B">
        <w:t>sexual and gender minority populations</w:t>
      </w:r>
      <w:r w:rsidR="00F75B67">
        <w:t xml:space="preserve"> </w:t>
      </w:r>
      <w:r w:rsidRPr="00924795" w:rsidR="00924795">
        <w:t>(</w:t>
      </w:r>
      <w:r w:rsidR="00AD2461">
        <w:t>Anderson et al., 2021</w:t>
      </w:r>
      <w:r w:rsidRPr="00924795" w:rsidR="00924795">
        <w:t>)</w:t>
      </w:r>
      <w:r w:rsidR="00924795">
        <w:t>.</w:t>
      </w:r>
    </w:p>
    <w:p w:rsidR="000F3E3B" w:rsidRPr="000F3E3B" w:rsidP="0081535D" w14:paraId="7F606D30" w14:textId="03943399">
      <w:pPr>
        <w:pStyle w:val="BodyText"/>
      </w:pPr>
      <w:r w:rsidRPr="00DF24CF">
        <w:t>The HPS is collected by internet only. Respondents to the HPS must be at least 18 years of age. There is no rostering of the household and no proxy reporting.</w:t>
      </w:r>
      <w:r>
        <w:t xml:space="preserve"> </w:t>
      </w:r>
      <w:r w:rsidRPr="000F3E3B">
        <w:t>In the HPS</w:t>
      </w:r>
      <w:r w:rsidR="005C26C6">
        <w:t>,</w:t>
      </w:r>
      <w:r w:rsidRPr="000F3E3B">
        <w:t xml:space="preserve"> respondents are asked their sex assigned at birth, followed by a question on how the</w:t>
      </w:r>
      <w:r w:rsidR="008D5234">
        <w:t>y</w:t>
      </w:r>
      <w:r w:rsidRPr="000F3E3B">
        <w:t xml:space="preserve"> </w:t>
      </w:r>
      <w:r w:rsidR="008D5234">
        <w:t>define their gender</w:t>
      </w:r>
      <w:r w:rsidRPr="000F3E3B">
        <w:t xml:space="preserve">, and then they are asked about their sexual orientation. This differs from the previous two surveys which ask </w:t>
      </w:r>
      <w:r w:rsidR="002A5F59">
        <w:t>about</w:t>
      </w:r>
      <w:r w:rsidRPr="000F3E3B">
        <w:t xml:space="preserve"> sexual orientation </w:t>
      </w:r>
      <w:r w:rsidR="00D176E3">
        <w:t>before current gender</w:t>
      </w:r>
      <w:r w:rsidRPr="000F3E3B">
        <w:t>.</w:t>
      </w:r>
    </w:p>
    <w:p w:rsidR="005C26C6" w:rsidP="0081535D" w14:paraId="4915C1BD" w14:textId="57FBAD15">
      <w:pPr>
        <w:pStyle w:val="BodyText"/>
      </w:pPr>
      <w:r>
        <w:t xml:space="preserve">The wording and response options of the sex at birth question and </w:t>
      </w:r>
      <w:r w:rsidR="00D176E3">
        <w:t xml:space="preserve">current </w:t>
      </w:r>
      <w:r>
        <w:t>gender question are below:</w:t>
      </w:r>
    </w:p>
    <w:p w:rsidR="000F3E3B" w:rsidRPr="000F3E3B" w:rsidP="0081535D" w14:paraId="6C6FF2E1" w14:textId="352AB1E4">
      <w:pPr>
        <w:pStyle w:val="BodyText"/>
      </w:pPr>
      <w:r>
        <w:t>“</w:t>
      </w:r>
      <w:r w:rsidRPr="000F3E3B" w:rsidR="00623DF5">
        <w:t xml:space="preserve">What sex were you assigned at birth, on your original birth certificate? </w:t>
      </w:r>
      <w:r>
        <w:t>“</w:t>
      </w:r>
    </w:p>
    <w:p w:rsidR="000F3E3B" w:rsidRPr="000F3E3B" w:rsidP="00DE5C09" w14:paraId="6A68CABD" w14:textId="17895D34">
      <w:pPr>
        <w:pStyle w:val="NoSpacing"/>
        <w:numPr>
          <w:ilvl w:val="0"/>
          <w:numId w:val="16"/>
        </w:numPr>
        <w:rPr>
          <w:sz w:val="24"/>
          <w:szCs w:val="24"/>
        </w:rPr>
      </w:pPr>
      <w:r w:rsidRPr="000F3E3B">
        <w:rPr>
          <w:sz w:val="24"/>
          <w:szCs w:val="24"/>
        </w:rPr>
        <w:t>Male</w:t>
      </w:r>
    </w:p>
    <w:p w:rsidR="00623DF5" w:rsidRPr="000F3E3B" w:rsidP="00DE5C09" w14:paraId="52EBBFEA" w14:textId="42CC7DF1">
      <w:pPr>
        <w:pStyle w:val="NoSpacing"/>
        <w:numPr>
          <w:ilvl w:val="0"/>
          <w:numId w:val="16"/>
        </w:numPr>
        <w:rPr>
          <w:sz w:val="24"/>
          <w:szCs w:val="24"/>
        </w:rPr>
      </w:pPr>
      <w:r w:rsidRPr="000F3E3B">
        <w:rPr>
          <w:sz w:val="24"/>
          <w:szCs w:val="24"/>
        </w:rPr>
        <w:t xml:space="preserve">Female </w:t>
      </w:r>
    </w:p>
    <w:p w:rsidR="000F3E3B" w:rsidRPr="000F3E3B" w:rsidP="000F3E3B" w14:paraId="45DFC682" w14:textId="77777777">
      <w:pPr>
        <w:pStyle w:val="NoSpacing"/>
        <w:ind w:left="720"/>
        <w:rPr>
          <w:sz w:val="24"/>
          <w:szCs w:val="24"/>
        </w:rPr>
      </w:pPr>
    </w:p>
    <w:p w:rsidR="000F3E3B" w:rsidRPr="000F3E3B" w:rsidP="0081535D" w14:paraId="43D1C608" w14:textId="7C22BE20">
      <w:pPr>
        <w:pStyle w:val="BodyText"/>
      </w:pPr>
      <w:r>
        <w:t>“</w:t>
      </w:r>
      <w:r w:rsidRPr="000F3E3B" w:rsidR="00623DF5">
        <w:t>Do you currently describe yourself as male, female or transgender?</w:t>
      </w:r>
      <w:r>
        <w:t>”</w:t>
      </w:r>
      <w:r w:rsidRPr="000F3E3B" w:rsidR="00623DF5">
        <w:t xml:space="preserve"> </w:t>
      </w:r>
    </w:p>
    <w:p w:rsidR="000F3E3B" w:rsidRPr="000F3E3B" w:rsidP="00DE5C09" w14:paraId="45A03D14" w14:textId="6FB41EFF">
      <w:pPr>
        <w:pStyle w:val="NoSpacing"/>
        <w:numPr>
          <w:ilvl w:val="0"/>
          <w:numId w:val="17"/>
        </w:numPr>
        <w:rPr>
          <w:sz w:val="24"/>
          <w:szCs w:val="24"/>
        </w:rPr>
      </w:pPr>
      <w:r w:rsidRPr="000F3E3B">
        <w:rPr>
          <w:sz w:val="24"/>
          <w:szCs w:val="24"/>
        </w:rPr>
        <w:t>Male</w:t>
      </w:r>
    </w:p>
    <w:p w:rsidR="000F3E3B" w:rsidRPr="000F3E3B" w:rsidP="00DE5C09" w14:paraId="4ADDF614" w14:textId="6C160AB4">
      <w:pPr>
        <w:pStyle w:val="NoSpacing"/>
        <w:numPr>
          <w:ilvl w:val="0"/>
          <w:numId w:val="17"/>
        </w:numPr>
        <w:rPr>
          <w:sz w:val="24"/>
          <w:szCs w:val="24"/>
        </w:rPr>
      </w:pPr>
      <w:r w:rsidRPr="000F3E3B">
        <w:rPr>
          <w:sz w:val="24"/>
          <w:szCs w:val="24"/>
        </w:rPr>
        <w:t>Female</w:t>
      </w:r>
    </w:p>
    <w:p w:rsidR="000F3E3B" w:rsidRPr="000F3E3B" w:rsidP="00DE5C09" w14:paraId="209C04C2" w14:textId="24A59527">
      <w:pPr>
        <w:pStyle w:val="NoSpacing"/>
        <w:numPr>
          <w:ilvl w:val="0"/>
          <w:numId w:val="17"/>
        </w:numPr>
        <w:rPr>
          <w:sz w:val="24"/>
          <w:szCs w:val="24"/>
        </w:rPr>
      </w:pPr>
      <w:r w:rsidRPr="000F3E3B">
        <w:rPr>
          <w:sz w:val="24"/>
          <w:szCs w:val="24"/>
        </w:rPr>
        <w:t>Transgender</w:t>
      </w:r>
    </w:p>
    <w:p w:rsidR="000F3E3B" w:rsidRPr="000F3E3B" w:rsidP="00DE5C09" w14:paraId="0BFD6D27" w14:textId="484324C5">
      <w:pPr>
        <w:pStyle w:val="NoSpacing"/>
        <w:numPr>
          <w:ilvl w:val="0"/>
          <w:numId w:val="17"/>
        </w:numPr>
      </w:pPr>
      <w:r w:rsidRPr="000F3E3B">
        <w:rPr>
          <w:sz w:val="24"/>
          <w:szCs w:val="24"/>
        </w:rPr>
        <w:t xml:space="preserve">None of these </w:t>
      </w:r>
    </w:p>
    <w:p w:rsidR="005C26C6" w:rsidP="005C26C6" w14:paraId="733C93CF" w14:textId="77777777">
      <w:pPr>
        <w:pStyle w:val="NoSpacing"/>
      </w:pPr>
    </w:p>
    <w:p w:rsidR="002A5F59" w:rsidP="0081535D" w14:paraId="048F3738" w14:textId="77777777">
      <w:pPr>
        <w:pStyle w:val="BodyText"/>
      </w:pPr>
      <w:r w:rsidRPr="000F3E3B">
        <w:t>If the answers to these questions are not the same, a confirmation question is asked.</w:t>
      </w:r>
      <w:r w:rsidR="005C26C6">
        <w:t xml:space="preserve"> </w:t>
      </w:r>
    </w:p>
    <w:p w:rsidR="00623DF5" w:rsidRPr="000F3E3B" w:rsidP="0081535D" w14:paraId="1763F5E2" w14:textId="1F0E5994">
      <w:pPr>
        <w:pStyle w:val="BodyText"/>
      </w:pPr>
      <w:r>
        <w:t>The wording and response options of the sexual orientation question are:</w:t>
      </w:r>
    </w:p>
    <w:p w:rsidR="000F3E3B" w:rsidRPr="000F3E3B" w:rsidP="00771D3A" w14:paraId="06FC4E8A" w14:textId="1B192A5E">
      <w:pPr>
        <w:pStyle w:val="BodyText"/>
        <w:keepNext/>
      </w:pPr>
      <w:r>
        <w:t>“</w:t>
      </w:r>
      <w:r w:rsidRPr="000F3E3B" w:rsidR="00623DF5">
        <w:t xml:space="preserve">Which of the following best represents how you think of </w:t>
      </w:r>
      <w:r w:rsidRPr="000F3E3B" w:rsidR="00623DF5">
        <w:t>yourself?</w:t>
      </w:r>
      <w:r>
        <w:t>“</w:t>
      </w:r>
      <w:r w:rsidRPr="000F3E3B" w:rsidR="00623DF5">
        <w:t xml:space="preserve"> </w:t>
      </w:r>
    </w:p>
    <w:p w:rsidR="000F3E3B" w:rsidRPr="000F3E3B" w:rsidP="00771D3A" w14:paraId="6226B4E0" w14:textId="77777777">
      <w:pPr>
        <w:pStyle w:val="NoSpacing"/>
        <w:keepNext/>
        <w:numPr>
          <w:ilvl w:val="0"/>
          <w:numId w:val="18"/>
        </w:numPr>
        <w:rPr>
          <w:sz w:val="24"/>
          <w:szCs w:val="24"/>
        </w:rPr>
      </w:pPr>
      <w:r w:rsidRPr="000F3E3B">
        <w:rPr>
          <w:sz w:val="24"/>
          <w:szCs w:val="24"/>
        </w:rPr>
        <w:t xml:space="preserve">Gay or lesbian </w:t>
      </w:r>
    </w:p>
    <w:p w:rsidR="000F3E3B" w:rsidRPr="000F3E3B" w:rsidP="00771D3A" w14:paraId="2A95FC17" w14:textId="3F75A317">
      <w:pPr>
        <w:pStyle w:val="NoSpacing"/>
        <w:keepNext/>
        <w:numPr>
          <w:ilvl w:val="0"/>
          <w:numId w:val="18"/>
        </w:numPr>
        <w:rPr>
          <w:sz w:val="24"/>
          <w:szCs w:val="24"/>
        </w:rPr>
      </w:pPr>
      <w:r w:rsidRPr="000F3E3B">
        <w:rPr>
          <w:sz w:val="24"/>
          <w:szCs w:val="24"/>
        </w:rPr>
        <w:t xml:space="preserve">Straight, that is not gay or </w:t>
      </w:r>
      <w:r w:rsidRPr="000F3E3B">
        <w:rPr>
          <w:sz w:val="24"/>
          <w:szCs w:val="24"/>
        </w:rPr>
        <w:t>lesbian</w:t>
      </w:r>
      <w:r w:rsidRPr="000F3E3B">
        <w:rPr>
          <w:sz w:val="24"/>
          <w:szCs w:val="24"/>
        </w:rPr>
        <w:t xml:space="preserve"> </w:t>
      </w:r>
    </w:p>
    <w:p w:rsidR="000F3E3B" w:rsidRPr="000F3E3B" w:rsidP="00771D3A" w14:paraId="7C09E0AA" w14:textId="240A71B4">
      <w:pPr>
        <w:pStyle w:val="NoSpacing"/>
        <w:keepNext/>
        <w:numPr>
          <w:ilvl w:val="0"/>
          <w:numId w:val="18"/>
        </w:numPr>
        <w:rPr>
          <w:sz w:val="24"/>
          <w:szCs w:val="24"/>
        </w:rPr>
      </w:pPr>
      <w:r w:rsidRPr="000F3E3B">
        <w:rPr>
          <w:sz w:val="24"/>
          <w:szCs w:val="24"/>
        </w:rPr>
        <w:t xml:space="preserve">Bisexual </w:t>
      </w:r>
    </w:p>
    <w:p w:rsidR="000F3E3B" w:rsidRPr="000F3E3B" w:rsidP="00771D3A" w14:paraId="20C1A826" w14:textId="3FB8BA51">
      <w:pPr>
        <w:pStyle w:val="NoSpacing"/>
        <w:keepNext/>
        <w:numPr>
          <w:ilvl w:val="0"/>
          <w:numId w:val="18"/>
        </w:numPr>
        <w:rPr>
          <w:sz w:val="24"/>
          <w:szCs w:val="24"/>
        </w:rPr>
      </w:pPr>
      <w:r w:rsidRPr="000F3E3B">
        <w:rPr>
          <w:sz w:val="24"/>
          <w:szCs w:val="24"/>
        </w:rPr>
        <w:t xml:space="preserve">Something else, please specify_________________ </w:t>
      </w:r>
    </w:p>
    <w:p w:rsidR="000F3E3B" w:rsidRPr="000F3E3B" w:rsidP="0003539C" w14:paraId="42CECD83" w14:textId="2CD08A8C">
      <w:pPr>
        <w:pStyle w:val="NoSpacing"/>
        <w:numPr>
          <w:ilvl w:val="0"/>
          <w:numId w:val="18"/>
        </w:numPr>
        <w:spacing w:after="240"/>
        <w:rPr>
          <w:sz w:val="24"/>
          <w:szCs w:val="24"/>
        </w:rPr>
      </w:pPr>
      <w:r w:rsidRPr="000F3E3B">
        <w:rPr>
          <w:sz w:val="24"/>
          <w:szCs w:val="24"/>
        </w:rPr>
        <w:t xml:space="preserve">I don’t </w:t>
      </w:r>
      <w:r w:rsidRPr="000F3E3B">
        <w:rPr>
          <w:sz w:val="24"/>
          <w:szCs w:val="24"/>
        </w:rPr>
        <w:t>kno</w:t>
      </w:r>
      <w:r w:rsidRPr="000F3E3B">
        <w:rPr>
          <w:sz w:val="24"/>
          <w:szCs w:val="24"/>
        </w:rPr>
        <w:t>w</w:t>
      </w:r>
    </w:p>
    <w:p w:rsidR="00DF24CF" w:rsidP="0003539C" w14:paraId="7D4680FD" w14:textId="5A218216">
      <w:pPr>
        <w:pStyle w:val="BodyText"/>
      </w:pPr>
      <w:r>
        <w:t xml:space="preserve">It is important to note that the estimates from HPS are to measure </w:t>
      </w:r>
      <w:r w:rsidR="0003539C">
        <w:t xml:space="preserve">the COVID-19 pandemic’s </w:t>
      </w:r>
      <w:r>
        <w:t xml:space="preserve">impact on these populations and </w:t>
      </w:r>
      <w:r w:rsidR="00C62C60">
        <w:t>should not be used for prevalence estimates of</w:t>
      </w:r>
      <w:r>
        <w:t xml:space="preserve"> the </w:t>
      </w:r>
      <w:r w:rsidR="00F1722D">
        <w:t>lesbian, gay, bisexual, and transgender (</w:t>
      </w:r>
      <w:r>
        <w:t>LGBT</w:t>
      </w:r>
      <w:r w:rsidR="00F1722D">
        <w:t>)</w:t>
      </w:r>
      <w:r>
        <w:t xml:space="preserve"> population</w:t>
      </w:r>
      <w:r w:rsidR="00F75B67">
        <w:t xml:space="preserve"> </w:t>
      </w:r>
      <w:r w:rsidRPr="00145324" w:rsidR="00145324">
        <w:t>(</w:t>
      </w:r>
      <w:r w:rsidR="006D2D54">
        <w:t>ITWG, 2021</w:t>
      </w:r>
      <w:r w:rsidRPr="00145324" w:rsidR="00145324">
        <w:t>).</w:t>
      </w:r>
      <w:r w:rsidR="00145324">
        <w:t xml:space="preserve"> </w:t>
      </w:r>
    </w:p>
    <w:p w:rsidR="00525CA2" w:rsidRPr="0003539C" w:rsidP="0003539C" w14:paraId="3C95A87A" w14:textId="18FF0FD4">
      <w:pPr>
        <w:pStyle w:val="BodyText"/>
      </w:pPr>
      <w:r>
        <w:t>Phase 3.10 of the HPS</w:t>
      </w:r>
      <w:r w:rsidR="00D86842">
        <w:t>, which collected data from August 23 to October 30, 2023,</w:t>
      </w:r>
      <w:r>
        <w:t xml:space="preserve"> include</w:t>
      </w:r>
      <w:r w:rsidR="00D86842">
        <w:t>d</w:t>
      </w:r>
      <w:r>
        <w:t xml:space="preserve"> a split-sample test on an alternative</w:t>
      </w:r>
      <w:r w:rsidR="0082414D">
        <w:t xml:space="preserve"> version of the</w:t>
      </w:r>
      <w:r>
        <w:t xml:space="preserve"> current gender question. </w:t>
      </w:r>
      <w:r w:rsidR="0082414D">
        <w:t>The alternative version ha</w:t>
      </w:r>
      <w:r w:rsidR="00D86842">
        <w:t>d</w:t>
      </w:r>
      <w:r w:rsidR="0082414D">
        <w:t xml:space="preserve"> a mark-all-that-apply format, add</w:t>
      </w:r>
      <w:r w:rsidR="00D86842">
        <w:t>ed</w:t>
      </w:r>
      <w:r w:rsidR="0082414D">
        <w:t xml:space="preserve"> a nonbinary option, and change</w:t>
      </w:r>
      <w:r w:rsidR="00D86842">
        <w:t>d</w:t>
      </w:r>
      <w:r w:rsidR="0082414D">
        <w:t xml:space="preserve"> the “none of </w:t>
      </w:r>
      <w:r w:rsidR="0082414D">
        <w:t>these” option to “I use a different term” with a write-in field.</w:t>
      </w:r>
      <w:r w:rsidR="00D86842">
        <w:t xml:space="preserve"> </w:t>
      </w:r>
      <w:r w:rsidR="00CE66B0">
        <w:t xml:space="preserve">The results from this test </w:t>
      </w:r>
      <w:r w:rsidR="009340FE">
        <w:t xml:space="preserve">may help inform the analysis of the </w:t>
      </w:r>
      <w:r w:rsidR="00A9683C">
        <w:t xml:space="preserve">2024 ACS </w:t>
      </w:r>
      <w:r w:rsidR="009340FE">
        <w:t xml:space="preserve">SOGI Test. </w:t>
      </w:r>
      <w:r w:rsidR="0082414D">
        <w:t xml:space="preserve"> </w:t>
      </w:r>
    </w:p>
    <w:p w:rsidR="009A7D1A" w:rsidRPr="009A7D1A" w:rsidP="0081535D" w14:paraId="1C9C4110" w14:textId="67B5C3D1">
      <w:pPr>
        <w:pStyle w:val="BodyText"/>
        <w:rPr>
          <w:rFonts w:eastAsia="Calibri"/>
          <w:i/>
          <w:iCs/>
        </w:rPr>
      </w:pPr>
      <w:r>
        <w:rPr>
          <w:rFonts w:eastAsia="Calibri"/>
          <w:i/>
          <w:iCs/>
        </w:rPr>
        <w:t xml:space="preserve">Other </w:t>
      </w:r>
      <w:r w:rsidRPr="009A7D1A">
        <w:rPr>
          <w:rFonts w:eastAsia="Calibri"/>
          <w:i/>
          <w:iCs/>
        </w:rPr>
        <w:t>Federal Surveys that Currently Collect SOGI</w:t>
      </w:r>
    </w:p>
    <w:p w:rsidR="009A7D1A" w:rsidP="0081535D" w14:paraId="72BD455B" w14:textId="23F2C05C">
      <w:pPr>
        <w:pStyle w:val="BodyText"/>
        <w:rPr>
          <w:rStyle w:val="Strong1"/>
        </w:rPr>
      </w:pPr>
      <w:r>
        <w:rPr>
          <w:rFonts w:eastAsia="Calibri"/>
        </w:rPr>
        <w:t xml:space="preserve">Some </w:t>
      </w:r>
      <w:r w:rsidR="0057693F">
        <w:rPr>
          <w:rFonts w:eastAsia="Calibri"/>
        </w:rPr>
        <w:t xml:space="preserve">of the </w:t>
      </w:r>
      <w:r>
        <w:rPr>
          <w:rFonts w:eastAsia="Calibri"/>
        </w:rPr>
        <w:t>federal surveys</w:t>
      </w:r>
      <w:r w:rsidR="00EA43CE">
        <w:rPr>
          <w:rFonts w:eastAsia="Calibri"/>
        </w:rPr>
        <w:t xml:space="preserve"> not administered by the Census Bureau</w:t>
      </w:r>
      <w:r>
        <w:rPr>
          <w:rFonts w:eastAsia="Calibri"/>
        </w:rPr>
        <w:t xml:space="preserve"> that collect SOGI information include the</w:t>
      </w:r>
      <w:r w:rsidR="00007086">
        <w:rPr>
          <w:rFonts w:eastAsia="Calibri"/>
        </w:rPr>
        <w:t xml:space="preserve"> </w:t>
      </w:r>
      <w:r w:rsidRPr="00B5714D" w:rsidR="00007086">
        <w:t>Behavioral Risk Factor Surveillance System (BFRSS)</w:t>
      </w:r>
      <w:r w:rsidR="00007086">
        <w:t>,</w:t>
      </w:r>
      <w:r>
        <w:rPr>
          <w:rFonts w:eastAsia="Calibri"/>
        </w:rPr>
        <w:t xml:space="preserve"> </w:t>
      </w:r>
      <w:r w:rsidRPr="70E2E263">
        <w:rPr>
          <w:rFonts w:eastAsia="Calibri"/>
        </w:rPr>
        <w:t>National Health and Nutrition Examination Survey (NHANES)</w:t>
      </w:r>
      <w:r>
        <w:rPr>
          <w:rFonts w:eastAsia="Calibri"/>
        </w:rPr>
        <w:t xml:space="preserve">, </w:t>
      </w:r>
      <w:r w:rsidRPr="00B5714D" w:rsidR="00007086">
        <w:t>National Intimate Partner and Sexual Violence Survey (NISVS)</w:t>
      </w:r>
      <w:r w:rsidR="00007086">
        <w:t xml:space="preserve">, </w:t>
      </w:r>
      <w:r w:rsidRPr="009A7D1A" w:rsidR="00007086">
        <w:rPr>
          <w:rStyle w:val="Strong1"/>
        </w:rPr>
        <w:t>National Survey on Drug Use and Health (NSDUH)</w:t>
      </w:r>
      <w:r w:rsidR="00007086">
        <w:rPr>
          <w:rStyle w:val="Strong1"/>
        </w:rPr>
        <w:t xml:space="preserve">, </w:t>
      </w:r>
      <w:r w:rsidRPr="00B5714D" w:rsidR="00007086">
        <w:t>National Survey of Family Growth (NSFG)</w:t>
      </w:r>
      <w:r w:rsidR="00007086">
        <w:t>,</w:t>
      </w:r>
      <w:r w:rsidR="00007086">
        <w:rPr>
          <w:rFonts w:eastAsia="Calibri"/>
        </w:rPr>
        <w:t xml:space="preserve"> </w:t>
      </w:r>
      <w:r>
        <w:rPr>
          <w:rStyle w:val="Strong1"/>
        </w:rPr>
        <w:t xml:space="preserve">Population Assessment of Tobacco and Health (PATH) survey, and </w:t>
      </w:r>
      <w:r w:rsidRPr="00B5714D" w:rsidR="00007086">
        <w:t>Youth Risk Behavior Surv</w:t>
      </w:r>
      <w:r w:rsidR="00007086">
        <w:t>ey</w:t>
      </w:r>
      <w:r w:rsidRPr="00B5714D" w:rsidR="00007086">
        <w:t xml:space="preserve"> (YRBS)</w:t>
      </w:r>
      <w:r>
        <w:rPr>
          <w:rStyle w:val="Strong1"/>
        </w:rPr>
        <w:t>.</w:t>
      </w:r>
    </w:p>
    <w:p w:rsidR="00B5714D" w:rsidRPr="00B5714D" w:rsidP="00B5714D" w14:paraId="45E5A2EF" w14:textId="77D7C46D">
      <w:pPr>
        <w:pStyle w:val="BodyText"/>
      </w:pPr>
      <w:r>
        <w:t xml:space="preserve">The current federal surveys that collect </w:t>
      </w:r>
      <w:r w:rsidR="007258BC">
        <w:t xml:space="preserve">data on </w:t>
      </w:r>
      <w:r>
        <w:t>sexual orientation</w:t>
      </w:r>
      <w:r w:rsidR="0035699F">
        <w:t xml:space="preserve"> and gender identity</w:t>
      </w:r>
      <w:r>
        <w:t xml:space="preserve"> are in </w:t>
      </w:r>
      <w:r w:rsidR="009A7D1A">
        <w:fldChar w:fldCharType="begin"/>
      </w:r>
      <w:r w:rsidR="009A7D1A">
        <w:instrText xml:space="preserve"> REF _Ref149224168 \h </w:instrText>
      </w:r>
      <w:r w:rsidR="009A7D1A">
        <w:fldChar w:fldCharType="separate"/>
      </w:r>
      <w:r w:rsidR="00F376F4">
        <w:t xml:space="preserve">Table </w:t>
      </w:r>
      <w:r w:rsidR="00F376F4">
        <w:rPr>
          <w:noProof/>
        </w:rPr>
        <w:t>1</w:t>
      </w:r>
      <w:r w:rsidR="009A7D1A">
        <w:fldChar w:fldCharType="end"/>
      </w:r>
      <w:r w:rsidR="0035699F">
        <w:t xml:space="preserve"> and </w:t>
      </w:r>
      <w:r w:rsidR="0035699F">
        <w:fldChar w:fldCharType="begin"/>
      </w:r>
      <w:r w:rsidR="0035699F">
        <w:instrText xml:space="preserve"> REF _Ref149224266 \h </w:instrText>
      </w:r>
      <w:r w:rsidR="0035699F">
        <w:fldChar w:fldCharType="separate"/>
      </w:r>
      <w:r w:rsidR="00F376F4">
        <w:t xml:space="preserve">Table </w:t>
      </w:r>
      <w:r w:rsidR="00F376F4">
        <w:rPr>
          <w:noProof/>
        </w:rPr>
        <w:t>2</w:t>
      </w:r>
      <w:r w:rsidR="0035699F">
        <w:fldChar w:fldCharType="end"/>
      </w:r>
      <w:r w:rsidR="0035699F">
        <w:t>, respectively. Federal surveys given to specific universes (e.g., inmates)</w:t>
      </w:r>
      <w:r w:rsidR="0027537F">
        <w:t xml:space="preserve"> or specific cohorts (e.g., the High School Longitudinal Study of 2009 given to 2009 ninth-graders or the Baccalaureate and Beyond Longitudinal Study: 2016/2020 given to </w:t>
      </w:r>
      <w:r w:rsidR="009C5B2F">
        <w:t>those who earned a bachelor’s degree in 2016)</w:t>
      </w:r>
      <w:r w:rsidR="0035699F">
        <w:t xml:space="preserve"> are</w:t>
      </w:r>
      <w:r w:rsidR="007258BC">
        <w:t> </w:t>
      </w:r>
      <w:r w:rsidR="0035699F">
        <w:t xml:space="preserve">omitted. </w:t>
      </w:r>
    </w:p>
    <w:p w:rsidR="009A7D1A" w:rsidP="009A7D1A" w14:paraId="42C37829" w14:textId="799741F3">
      <w:pPr>
        <w:pStyle w:val="Caption"/>
      </w:pPr>
      <w:bookmarkStart w:id="24" w:name="_Ref149224168"/>
      <w:r>
        <w:t xml:space="preserve">Table </w:t>
      </w:r>
      <w:r w:rsidR="00EE6355">
        <w:fldChar w:fldCharType="begin"/>
      </w:r>
      <w:r w:rsidR="00EE6355">
        <w:instrText xml:space="preserve"> SEQ Table \* ARABIC </w:instrText>
      </w:r>
      <w:r w:rsidR="00EE6355">
        <w:fldChar w:fldCharType="separate"/>
      </w:r>
      <w:r w:rsidR="00F376F4">
        <w:rPr>
          <w:noProof/>
        </w:rPr>
        <w:t>1</w:t>
      </w:r>
      <w:r w:rsidR="00EE6355">
        <w:rPr>
          <w:noProof/>
        </w:rPr>
        <w:fldChar w:fldCharType="end"/>
      </w:r>
      <w:bookmarkEnd w:id="24"/>
      <w:r>
        <w:t>. Federal Surveys that Collect Sexual Orientation Data</w:t>
      </w:r>
    </w:p>
    <w:tbl>
      <w:tblPr>
        <w:tblStyle w:val="DataTable"/>
        <w:tblW w:w="0" w:type="auto"/>
        <w:tblLook w:val="04A0"/>
      </w:tblPr>
      <w:tblGrid>
        <w:gridCol w:w="1765"/>
        <w:gridCol w:w="3058"/>
        <w:gridCol w:w="3097"/>
        <w:gridCol w:w="1440"/>
      </w:tblGrid>
      <w:tr w14:paraId="416CB805" w14:textId="3C11E119" w:rsidTr="009A7D1A">
        <w:tblPrEx>
          <w:tblW w:w="0" w:type="auto"/>
          <w:tblLook w:val="04A0"/>
        </w:tblPrEx>
        <w:tc>
          <w:tcPr>
            <w:tcW w:w="1765" w:type="dxa"/>
          </w:tcPr>
          <w:p w:rsidR="00664628" w:rsidP="00247E69" w14:paraId="2591CA79" w14:textId="1D94ACA1">
            <w:pPr>
              <w:pStyle w:val="BodyText"/>
              <w:spacing w:after="0"/>
            </w:pPr>
            <w:r>
              <w:t>Survey</w:t>
            </w:r>
          </w:p>
        </w:tc>
        <w:tc>
          <w:tcPr>
            <w:tcW w:w="3058" w:type="dxa"/>
          </w:tcPr>
          <w:p w:rsidR="00664628" w:rsidP="00247E69" w14:paraId="65114525" w14:textId="6E3DAD12">
            <w:pPr>
              <w:pStyle w:val="BodyText"/>
              <w:spacing w:after="0"/>
            </w:pPr>
            <w:r>
              <w:t>Year Began Collecting</w:t>
            </w:r>
          </w:p>
        </w:tc>
        <w:tc>
          <w:tcPr>
            <w:tcW w:w="3097" w:type="dxa"/>
          </w:tcPr>
          <w:p w:rsidR="00664628" w:rsidP="00247E69" w14:paraId="62967754" w14:textId="252528C6">
            <w:pPr>
              <w:pStyle w:val="BodyText"/>
              <w:spacing w:after="0"/>
            </w:pPr>
            <w:r>
              <w:t>Data Collection Mode</w:t>
            </w:r>
          </w:p>
        </w:tc>
        <w:tc>
          <w:tcPr>
            <w:tcW w:w="1440" w:type="dxa"/>
          </w:tcPr>
          <w:p w:rsidR="00664628" w:rsidP="00247E69" w14:paraId="14F54EBB" w14:textId="25946F87">
            <w:pPr>
              <w:pStyle w:val="BodyText"/>
              <w:spacing w:after="0"/>
            </w:pPr>
            <w:r>
              <w:t>Age Range</w:t>
            </w:r>
          </w:p>
        </w:tc>
      </w:tr>
      <w:tr w14:paraId="5CDFE926" w14:textId="77777777" w:rsidTr="009A7D1A">
        <w:tblPrEx>
          <w:tblW w:w="0" w:type="auto"/>
          <w:tblLook w:val="04A0"/>
        </w:tblPrEx>
        <w:tc>
          <w:tcPr>
            <w:tcW w:w="1765" w:type="dxa"/>
          </w:tcPr>
          <w:p w:rsidR="00B3110F" w:rsidP="00247E69" w14:paraId="42B340C9" w14:textId="1E021BC6">
            <w:pPr>
              <w:pStyle w:val="BodyText"/>
              <w:spacing w:after="0"/>
            </w:pPr>
            <w:r>
              <w:t>BRFSS</w:t>
            </w:r>
            <w:r w:rsidRPr="00B3110F">
              <w:rPr>
                <w:rFonts w:cstheme="minorHAnsi"/>
                <w:vertAlign w:val="superscript"/>
              </w:rPr>
              <w:t>†</w:t>
            </w:r>
          </w:p>
        </w:tc>
        <w:tc>
          <w:tcPr>
            <w:tcW w:w="3058" w:type="dxa"/>
          </w:tcPr>
          <w:p w:rsidR="00B3110F" w:rsidP="00247E69" w14:paraId="71C93BDB" w14:textId="21295C36">
            <w:pPr>
              <w:pStyle w:val="BodyText"/>
              <w:spacing w:after="0"/>
            </w:pPr>
            <w:r>
              <w:t>2014</w:t>
            </w:r>
          </w:p>
        </w:tc>
        <w:tc>
          <w:tcPr>
            <w:tcW w:w="3097" w:type="dxa"/>
          </w:tcPr>
          <w:p w:rsidR="00B3110F" w:rsidP="00247E69" w14:paraId="500A27E2" w14:textId="2096B07E">
            <w:pPr>
              <w:pStyle w:val="BodyText"/>
              <w:spacing w:after="0"/>
            </w:pPr>
            <w:r>
              <w:t>CATI</w:t>
            </w:r>
            <w:r w:rsidR="006971F4">
              <w:t xml:space="preserve"> (phone)</w:t>
            </w:r>
          </w:p>
        </w:tc>
        <w:tc>
          <w:tcPr>
            <w:tcW w:w="1440" w:type="dxa"/>
          </w:tcPr>
          <w:p w:rsidR="00B3110F" w:rsidP="00247E69" w14:paraId="30A8F586" w14:textId="30A86522">
            <w:pPr>
              <w:pStyle w:val="BodyText"/>
              <w:spacing w:after="0"/>
            </w:pPr>
            <w:r>
              <w:t>18+</w:t>
            </w:r>
          </w:p>
        </w:tc>
      </w:tr>
      <w:tr w14:paraId="39618117" w14:textId="77777777" w:rsidTr="009A7D1A">
        <w:tblPrEx>
          <w:tblW w:w="0" w:type="auto"/>
          <w:tblLook w:val="04A0"/>
        </w:tblPrEx>
        <w:tc>
          <w:tcPr>
            <w:tcW w:w="1765" w:type="dxa"/>
          </w:tcPr>
          <w:p w:rsidR="00AD7804" w:rsidP="00247E69" w14:paraId="27C5DA3A" w14:textId="4AA85DE2">
            <w:pPr>
              <w:pStyle w:val="BodyText"/>
              <w:spacing w:after="0"/>
            </w:pPr>
            <w:r>
              <w:t>HPS</w:t>
            </w:r>
          </w:p>
        </w:tc>
        <w:tc>
          <w:tcPr>
            <w:tcW w:w="3058" w:type="dxa"/>
          </w:tcPr>
          <w:p w:rsidR="00AD7804" w:rsidP="00247E69" w14:paraId="6C51B5DD" w14:textId="5BA0504F">
            <w:pPr>
              <w:pStyle w:val="BodyText"/>
              <w:spacing w:after="0"/>
            </w:pPr>
            <w:r>
              <w:t>July 2021</w:t>
            </w:r>
          </w:p>
        </w:tc>
        <w:tc>
          <w:tcPr>
            <w:tcW w:w="3097" w:type="dxa"/>
          </w:tcPr>
          <w:p w:rsidR="00AD7804" w:rsidP="00247E69" w14:paraId="15BAD47A" w14:textId="49A3C407">
            <w:pPr>
              <w:pStyle w:val="BodyText"/>
              <w:spacing w:after="0"/>
            </w:pPr>
            <w:r>
              <w:t>Internet</w:t>
            </w:r>
          </w:p>
        </w:tc>
        <w:tc>
          <w:tcPr>
            <w:tcW w:w="1440" w:type="dxa"/>
          </w:tcPr>
          <w:p w:rsidR="00AD7804" w:rsidP="00247E69" w14:paraId="3B760318" w14:textId="4E6B47B9">
            <w:pPr>
              <w:pStyle w:val="BodyText"/>
              <w:spacing w:after="0"/>
            </w:pPr>
            <w:r>
              <w:t>18+</w:t>
            </w:r>
          </w:p>
        </w:tc>
      </w:tr>
      <w:tr w14:paraId="440C155B" w14:textId="21DA284A" w:rsidTr="009A7D1A">
        <w:tblPrEx>
          <w:tblW w:w="0" w:type="auto"/>
          <w:tblLook w:val="04A0"/>
        </w:tblPrEx>
        <w:tc>
          <w:tcPr>
            <w:tcW w:w="1765" w:type="dxa"/>
          </w:tcPr>
          <w:p w:rsidR="00664628" w:rsidP="00247E69" w14:paraId="02DC5DE1" w14:textId="2418BBFA">
            <w:pPr>
              <w:pStyle w:val="BodyText"/>
              <w:spacing w:after="0"/>
            </w:pPr>
            <w:r>
              <w:t>NCVS</w:t>
            </w:r>
          </w:p>
        </w:tc>
        <w:tc>
          <w:tcPr>
            <w:tcW w:w="3058" w:type="dxa"/>
          </w:tcPr>
          <w:p w:rsidR="00664628" w:rsidP="00247E69" w14:paraId="5B0A2DD8" w14:textId="21DC15CE">
            <w:pPr>
              <w:pStyle w:val="BodyText"/>
              <w:spacing w:after="0"/>
            </w:pPr>
            <w:r>
              <w:t>July 2016</w:t>
            </w:r>
          </w:p>
        </w:tc>
        <w:tc>
          <w:tcPr>
            <w:tcW w:w="3097" w:type="dxa"/>
          </w:tcPr>
          <w:p w:rsidR="00664628" w:rsidP="00247E69" w14:paraId="308D9EA6" w14:textId="07BDF5FE">
            <w:pPr>
              <w:pStyle w:val="BodyText"/>
              <w:spacing w:after="0"/>
            </w:pPr>
            <w:r>
              <w:t>CAPI (in-person and phone)</w:t>
            </w:r>
          </w:p>
        </w:tc>
        <w:tc>
          <w:tcPr>
            <w:tcW w:w="1440" w:type="dxa"/>
          </w:tcPr>
          <w:p w:rsidR="00664628" w:rsidP="00247E69" w14:paraId="494855E1" w14:textId="712D7DA3">
            <w:pPr>
              <w:pStyle w:val="BodyText"/>
              <w:spacing w:after="0"/>
            </w:pPr>
            <w:r>
              <w:t>16+</w:t>
            </w:r>
          </w:p>
        </w:tc>
      </w:tr>
      <w:tr w14:paraId="3F379E74" w14:textId="77137F03" w:rsidTr="009A7D1A">
        <w:tblPrEx>
          <w:tblW w:w="0" w:type="auto"/>
          <w:tblLook w:val="04A0"/>
        </w:tblPrEx>
        <w:tc>
          <w:tcPr>
            <w:tcW w:w="1765" w:type="dxa"/>
          </w:tcPr>
          <w:p w:rsidR="00664628" w:rsidP="00247E69" w14:paraId="1E5828AF" w14:textId="39D1C444">
            <w:pPr>
              <w:pStyle w:val="BodyText"/>
              <w:spacing w:after="0"/>
            </w:pPr>
            <w:r>
              <w:t>NHANES</w:t>
            </w:r>
          </w:p>
        </w:tc>
        <w:tc>
          <w:tcPr>
            <w:tcW w:w="3058" w:type="dxa"/>
          </w:tcPr>
          <w:p w:rsidR="00664628" w:rsidP="00247E69" w14:paraId="371D8E27" w14:textId="19292808">
            <w:pPr>
              <w:pStyle w:val="BodyText"/>
              <w:spacing w:after="0"/>
            </w:pPr>
            <w:r>
              <w:t>2001 (question revised 2015)</w:t>
            </w:r>
          </w:p>
        </w:tc>
        <w:tc>
          <w:tcPr>
            <w:tcW w:w="3097" w:type="dxa"/>
          </w:tcPr>
          <w:p w:rsidR="00664628" w:rsidRPr="00D60D22" w:rsidP="00247E69" w14:paraId="03E33A13" w14:textId="4326A2A0">
            <w:pPr>
              <w:pStyle w:val="BodyText"/>
              <w:spacing w:after="0"/>
              <w:rPr>
                <w:vertAlign w:val="superscript"/>
              </w:rPr>
            </w:pPr>
            <w:r>
              <w:t>ACASI</w:t>
            </w:r>
            <w:r w:rsidR="00EA43CE">
              <w:rPr>
                <w:vertAlign w:val="superscript"/>
              </w:rPr>
              <w:t>^</w:t>
            </w:r>
          </w:p>
        </w:tc>
        <w:tc>
          <w:tcPr>
            <w:tcW w:w="1440" w:type="dxa"/>
          </w:tcPr>
          <w:p w:rsidR="00664628" w:rsidP="00247E69" w14:paraId="41FC93F8" w14:textId="0CC15F13">
            <w:pPr>
              <w:pStyle w:val="BodyText"/>
              <w:spacing w:after="0"/>
            </w:pPr>
            <w:r>
              <w:t>18-59</w:t>
            </w:r>
          </w:p>
        </w:tc>
      </w:tr>
      <w:tr w14:paraId="38B67A42" w14:textId="11C570EE" w:rsidTr="009A7D1A">
        <w:tblPrEx>
          <w:tblW w:w="0" w:type="auto"/>
          <w:tblLook w:val="04A0"/>
        </w:tblPrEx>
        <w:tc>
          <w:tcPr>
            <w:tcW w:w="1765" w:type="dxa"/>
          </w:tcPr>
          <w:p w:rsidR="00664628" w:rsidP="00247E69" w14:paraId="53C6A0C8" w14:textId="395C9591">
            <w:pPr>
              <w:pStyle w:val="BodyText"/>
              <w:spacing w:after="0"/>
            </w:pPr>
            <w:r>
              <w:t>NHIS</w:t>
            </w:r>
          </w:p>
        </w:tc>
        <w:tc>
          <w:tcPr>
            <w:tcW w:w="3058" w:type="dxa"/>
          </w:tcPr>
          <w:p w:rsidR="00664628" w:rsidP="00247E69" w14:paraId="0612EDEE" w14:textId="3C05084E">
            <w:pPr>
              <w:pStyle w:val="BodyText"/>
              <w:spacing w:after="0"/>
            </w:pPr>
            <w:r>
              <w:t>2013 (question revised 2015)</w:t>
            </w:r>
          </w:p>
        </w:tc>
        <w:tc>
          <w:tcPr>
            <w:tcW w:w="3097" w:type="dxa"/>
          </w:tcPr>
          <w:p w:rsidR="00664628" w:rsidP="00247E69" w14:paraId="1F3E6BB3" w14:textId="57DCCDB0">
            <w:pPr>
              <w:pStyle w:val="BodyText"/>
              <w:spacing w:after="0"/>
            </w:pPr>
            <w:r>
              <w:t>CAPI (in-person and phone)</w:t>
            </w:r>
          </w:p>
        </w:tc>
        <w:tc>
          <w:tcPr>
            <w:tcW w:w="1440" w:type="dxa"/>
          </w:tcPr>
          <w:p w:rsidR="00664628" w:rsidP="00247E69" w14:paraId="5E8A1A26" w14:textId="643B4F61">
            <w:pPr>
              <w:pStyle w:val="BodyText"/>
              <w:spacing w:after="0"/>
            </w:pPr>
            <w:r>
              <w:t>18+</w:t>
            </w:r>
          </w:p>
        </w:tc>
      </w:tr>
      <w:tr w14:paraId="64B7F6AC" w14:textId="77777777" w:rsidTr="009A7D1A">
        <w:tblPrEx>
          <w:tblW w:w="0" w:type="auto"/>
          <w:tblLook w:val="04A0"/>
        </w:tblPrEx>
        <w:tc>
          <w:tcPr>
            <w:tcW w:w="1765" w:type="dxa"/>
          </w:tcPr>
          <w:p w:rsidR="004C6F63" w:rsidP="00247E69" w14:paraId="3E832779" w14:textId="6A6D06BC">
            <w:pPr>
              <w:pStyle w:val="BodyText"/>
              <w:spacing w:after="0"/>
            </w:pPr>
            <w:r>
              <w:t>NISVS</w:t>
            </w:r>
          </w:p>
        </w:tc>
        <w:tc>
          <w:tcPr>
            <w:tcW w:w="3058" w:type="dxa"/>
          </w:tcPr>
          <w:p w:rsidR="004C6F63" w:rsidP="00247E69" w14:paraId="488E1E54" w14:textId="03B84BE7">
            <w:pPr>
              <w:pStyle w:val="BodyText"/>
              <w:spacing w:after="0"/>
            </w:pPr>
            <w:r>
              <w:t>2010</w:t>
            </w:r>
          </w:p>
        </w:tc>
        <w:tc>
          <w:tcPr>
            <w:tcW w:w="3097" w:type="dxa"/>
          </w:tcPr>
          <w:p w:rsidR="004C6F63" w:rsidP="00247E69" w14:paraId="0F2E6066" w14:textId="4D927620">
            <w:pPr>
              <w:pStyle w:val="BodyText"/>
              <w:spacing w:after="0"/>
            </w:pPr>
            <w:r>
              <w:t>CATI</w:t>
            </w:r>
            <w:r w:rsidR="006971F4">
              <w:t xml:space="preserve"> (phone)</w:t>
            </w:r>
          </w:p>
        </w:tc>
        <w:tc>
          <w:tcPr>
            <w:tcW w:w="1440" w:type="dxa"/>
          </w:tcPr>
          <w:p w:rsidR="004C6F63" w:rsidP="00247E69" w14:paraId="0134E168" w14:textId="5EDDFADF">
            <w:pPr>
              <w:pStyle w:val="BodyText"/>
              <w:spacing w:after="0"/>
            </w:pPr>
            <w:r>
              <w:t>18+</w:t>
            </w:r>
          </w:p>
        </w:tc>
      </w:tr>
      <w:tr w14:paraId="45267A82" w14:textId="731A0CC7" w:rsidTr="009A7D1A">
        <w:tblPrEx>
          <w:tblW w:w="0" w:type="auto"/>
          <w:tblLook w:val="04A0"/>
        </w:tblPrEx>
        <w:tc>
          <w:tcPr>
            <w:tcW w:w="1765" w:type="dxa"/>
          </w:tcPr>
          <w:p w:rsidR="00664628" w:rsidP="00247E69" w14:paraId="7A25C6EB" w14:textId="2C4D91C8">
            <w:pPr>
              <w:pStyle w:val="BodyText"/>
              <w:spacing w:after="0"/>
            </w:pPr>
            <w:r>
              <w:t>NSDUH</w:t>
            </w:r>
          </w:p>
        </w:tc>
        <w:tc>
          <w:tcPr>
            <w:tcW w:w="3058" w:type="dxa"/>
          </w:tcPr>
          <w:p w:rsidR="00664628" w:rsidP="00247E69" w14:paraId="164D0F53" w14:textId="6FA90AB7">
            <w:pPr>
              <w:pStyle w:val="BodyText"/>
              <w:spacing w:after="0"/>
            </w:pPr>
            <w:r>
              <w:t>2015</w:t>
            </w:r>
          </w:p>
        </w:tc>
        <w:tc>
          <w:tcPr>
            <w:tcW w:w="3097" w:type="dxa"/>
          </w:tcPr>
          <w:p w:rsidR="00664628" w:rsidRPr="00D60D22" w:rsidP="00247E69" w14:paraId="255190A3" w14:textId="2D6AE6D8">
            <w:pPr>
              <w:pStyle w:val="BodyText"/>
              <w:spacing w:after="0"/>
              <w:rPr>
                <w:vertAlign w:val="superscript"/>
              </w:rPr>
            </w:pPr>
            <w:r>
              <w:t>ACASI</w:t>
            </w:r>
            <w:r w:rsidR="00EA43CE">
              <w:rPr>
                <w:vertAlign w:val="superscript"/>
              </w:rPr>
              <w:t>^</w:t>
            </w:r>
          </w:p>
        </w:tc>
        <w:tc>
          <w:tcPr>
            <w:tcW w:w="1440" w:type="dxa"/>
          </w:tcPr>
          <w:p w:rsidR="00664628" w:rsidP="00247E69" w14:paraId="49691A7D" w14:textId="0518E242">
            <w:pPr>
              <w:pStyle w:val="BodyText"/>
              <w:spacing w:after="0"/>
            </w:pPr>
            <w:r>
              <w:t>18+</w:t>
            </w:r>
          </w:p>
        </w:tc>
      </w:tr>
      <w:tr w14:paraId="6C69D4B6" w14:textId="77777777" w:rsidTr="009A7D1A">
        <w:tblPrEx>
          <w:tblW w:w="0" w:type="auto"/>
          <w:tblLook w:val="04A0"/>
        </w:tblPrEx>
        <w:tc>
          <w:tcPr>
            <w:tcW w:w="1765" w:type="dxa"/>
          </w:tcPr>
          <w:p w:rsidR="00997229" w:rsidP="00247E69" w14:paraId="1A17440A" w14:textId="238D0BB4">
            <w:pPr>
              <w:pStyle w:val="BodyText"/>
              <w:spacing w:after="0"/>
            </w:pPr>
            <w:r>
              <w:t>NSFG</w:t>
            </w:r>
          </w:p>
        </w:tc>
        <w:tc>
          <w:tcPr>
            <w:tcW w:w="3058" w:type="dxa"/>
          </w:tcPr>
          <w:p w:rsidR="00997229" w:rsidP="00247E69" w14:paraId="0999EF0E" w14:textId="75AFD7FE">
            <w:pPr>
              <w:pStyle w:val="BodyText"/>
              <w:spacing w:after="0"/>
            </w:pPr>
            <w:r>
              <w:t>2008</w:t>
            </w:r>
          </w:p>
        </w:tc>
        <w:tc>
          <w:tcPr>
            <w:tcW w:w="3097" w:type="dxa"/>
          </w:tcPr>
          <w:p w:rsidR="00997229" w:rsidP="00247E69" w14:paraId="7174A122" w14:textId="2AF4B1D5">
            <w:pPr>
              <w:pStyle w:val="BodyText"/>
              <w:spacing w:after="0"/>
            </w:pPr>
            <w:r>
              <w:t>CAPI</w:t>
            </w:r>
            <w:r w:rsidR="006971F4">
              <w:t xml:space="preserve"> (in-person)</w:t>
            </w:r>
            <w:r>
              <w:t>, ACASI</w:t>
            </w:r>
            <w:r>
              <w:rPr>
                <w:vertAlign w:val="superscript"/>
              </w:rPr>
              <w:t>^</w:t>
            </w:r>
          </w:p>
        </w:tc>
        <w:tc>
          <w:tcPr>
            <w:tcW w:w="1440" w:type="dxa"/>
          </w:tcPr>
          <w:p w:rsidR="00997229" w:rsidP="00247E69" w14:paraId="22568645" w14:textId="05E09CCC">
            <w:pPr>
              <w:pStyle w:val="BodyText"/>
              <w:spacing w:after="0"/>
            </w:pPr>
            <w:r>
              <w:t>15-49</w:t>
            </w:r>
          </w:p>
        </w:tc>
      </w:tr>
      <w:tr w14:paraId="00B597CD" w14:textId="602A1256" w:rsidTr="009A7D1A">
        <w:tblPrEx>
          <w:tblW w:w="0" w:type="auto"/>
          <w:tblLook w:val="04A0"/>
        </w:tblPrEx>
        <w:tc>
          <w:tcPr>
            <w:tcW w:w="1765" w:type="dxa"/>
          </w:tcPr>
          <w:p w:rsidR="00664628" w:rsidP="00247E69" w14:paraId="76FBBB9D" w14:textId="72C9106E">
            <w:pPr>
              <w:pStyle w:val="BodyText"/>
              <w:spacing w:after="0"/>
            </w:pPr>
            <w:r>
              <w:t>PATH</w:t>
            </w:r>
          </w:p>
        </w:tc>
        <w:tc>
          <w:tcPr>
            <w:tcW w:w="3058" w:type="dxa"/>
          </w:tcPr>
          <w:p w:rsidR="00664628" w:rsidP="00247E69" w14:paraId="3259617C" w14:textId="088DECE6">
            <w:pPr>
              <w:pStyle w:val="BodyText"/>
              <w:spacing w:after="0"/>
            </w:pPr>
            <w:r>
              <w:t>2013 (question revised 2014)</w:t>
            </w:r>
          </w:p>
        </w:tc>
        <w:tc>
          <w:tcPr>
            <w:tcW w:w="3097" w:type="dxa"/>
          </w:tcPr>
          <w:p w:rsidR="00664628" w:rsidRPr="00D60D22" w:rsidP="00247E69" w14:paraId="29FD97CF" w14:textId="6C0AC3DD">
            <w:pPr>
              <w:pStyle w:val="BodyText"/>
              <w:spacing w:after="0"/>
              <w:rPr>
                <w:vertAlign w:val="superscript"/>
              </w:rPr>
            </w:pPr>
            <w:r>
              <w:t>ACASI</w:t>
            </w:r>
            <w:r w:rsidR="00EA43CE">
              <w:rPr>
                <w:vertAlign w:val="superscript"/>
              </w:rPr>
              <w:t>^</w:t>
            </w:r>
          </w:p>
        </w:tc>
        <w:tc>
          <w:tcPr>
            <w:tcW w:w="1440" w:type="dxa"/>
          </w:tcPr>
          <w:p w:rsidR="00664628" w:rsidP="00247E69" w14:paraId="490E60C8" w14:textId="209CA202">
            <w:pPr>
              <w:pStyle w:val="BodyText"/>
              <w:spacing w:after="0"/>
            </w:pPr>
            <w:r>
              <w:t>14+</w:t>
            </w:r>
          </w:p>
        </w:tc>
      </w:tr>
      <w:tr w14:paraId="6C1A014C" w14:textId="77777777" w:rsidTr="009A7D1A">
        <w:tblPrEx>
          <w:tblW w:w="0" w:type="auto"/>
          <w:tblLook w:val="04A0"/>
        </w:tblPrEx>
        <w:tc>
          <w:tcPr>
            <w:tcW w:w="1765" w:type="dxa"/>
          </w:tcPr>
          <w:p w:rsidR="0089098D" w:rsidP="00247E69" w14:paraId="13B9EB57" w14:textId="20006749">
            <w:pPr>
              <w:pStyle w:val="BodyText"/>
              <w:spacing w:after="0"/>
            </w:pPr>
            <w:r>
              <w:t>YRBS</w:t>
            </w:r>
          </w:p>
        </w:tc>
        <w:tc>
          <w:tcPr>
            <w:tcW w:w="3058" w:type="dxa"/>
          </w:tcPr>
          <w:p w:rsidR="0089098D" w:rsidP="00247E69" w14:paraId="5E861F7D" w14:textId="5B9D2598">
            <w:pPr>
              <w:pStyle w:val="BodyText"/>
              <w:spacing w:after="0"/>
            </w:pPr>
            <w:r>
              <w:t>2015</w:t>
            </w:r>
            <w:r w:rsidR="00D640EC">
              <w:t xml:space="preserve"> (question revised 2021)</w:t>
            </w:r>
          </w:p>
        </w:tc>
        <w:tc>
          <w:tcPr>
            <w:tcW w:w="3097" w:type="dxa"/>
          </w:tcPr>
          <w:p w:rsidR="0089098D" w:rsidP="00247E69" w14:paraId="5A72ED6A" w14:textId="4793FB19">
            <w:pPr>
              <w:pStyle w:val="BodyText"/>
              <w:spacing w:after="0"/>
            </w:pPr>
            <w:r>
              <w:t>Paper</w:t>
            </w:r>
          </w:p>
        </w:tc>
        <w:tc>
          <w:tcPr>
            <w:tcW w:w="1440" w:type="dxa"/>
          </w:tcPr>
          <w:p w:rsidR="0089098D" w:rsidP="00247E69" w14:paraId="060AEC5B" w14:textId="2700D14E">
            <w:pPr>
              <w:pStyle w:val="BodyText"/>
              <w:spacing w:after="0"/>
            </w:pPr>
            <w:r>
              <w:t>13-18</w:t>
            </w:r>
          </w:p>
        </w:tc>
      </w:tr>
    </w:tbl>
    <w:p w:rsidR="00B3110F" w:rsidRPr="00B3110F" w:rsidP="0057693F" w14:paraId="50E5FD8C" w14:textId="4EC1A7D2">
      <w:pPr>
        <w:pStyle w:val="NoSpacing"/>
      </w:pPr>
      <w:r w:rsidRPr="00B3110F">
        <w:rPr>
          <w:rFonts w:cstheme="minorHAnsi"/>
          <w:vertAlign w:val="superscript"/>
        </w:rPr>
        <w:t>†</w:t>
      </w:r>
      <w:r>
        <w:rPr>
          <w:rFonts w:cstheme="minorHAnsi"/>
          <w:vertAlign w:val="superscript"/>
        </w:rPr>
        <w:t xml:space="preserve"> </w:t>
      </w:r>
      <w:r>
        <w:rPr>
          <w:rFonts w:cstheme="minorHAnsi"/>
        </w:rPr>
        <w:t>As part of the optional SOGI Module.</w:t>
      </w:r>
    </w:p>
    <w:p w:rsidR="00C34013" w:rsidRPr="00EA43CE" w:rsidP="0057693F" w14:paraId="2AC5687D" w14:textId="39035BD0">
      <w:pPr>
        <w:pStyle w:val="NoSpacing"/>
      </w:pPr>
      <w:r>
        <w:rPr>
          <w:vertAlign w:val="superscript"/>
        </w:rPr>
        <w:t xml:space="preserve">^ </w:t>
      </w:r>
      <w:r>
        <w:t>Audio</w:t>
      </w:r>
      <w:r w:rsidR="006F59D5">
        <w:t xml:space="preserve"> </w:t>
      </w:r>
      <w:r>
        <w:t>Computer</w:t>
      </w:r>
      <w:r w:rsidR="006F59D5">
        <w:t>-</w:t>
      </w:r>
      <w:r>
        <w:t>Assisted Self</w:t>
      </w:r>
      <w:r w:rsidR="006F59D5">
        <w:t xml:space="preserve">-Interviewing </w:t>
      </w:r>
    </w:p>
    <w:p w:rsidR="00EA43CE" w:rsidP="0057693F" w14:paraId="0EA7A505" w14:textId="77777777">
      <w:pPr>
        <w:pStyle w:val="NoSpacing"/>
      </w:pPr>
    </w:p>
    <w:p w:rsidR="009A7D1A" w:rsidP="009A7D1A" w14:paraId="17441488" w14:textId="547F7A3F">
      <w:pPr>
        <w:pStyle w:val="Caption"/>
      </w:pPr>
      <w:bookmarkStart w:id="25" w:name="_Ref149224266"/>
      <w:r>
        <w:t xml:space="preserve">Table </w:t>
      </w:r>
      <w:r w:rsidR="00EE6355">
        <w:fldChar w:fldCharType="begin"/>
      </w:r>
      <w:r w:rsidR="00EE6355">
        <w:instrText xml:space="preserve"> SEQ Table \* ARABIC </w:instrText>
      </w:r>
      <w:r w:rsidR="00EE6355">
        <w:fldChar w:fldCharType="separate"/>
      </w:r>
      <w:r w:rsidR="00F376F4">
        <w:rPr>
          <w:noProof/>
        </w:rPr>
        <w:t>2</w:t>
      </w:r>
      <w:r w:rsidR="00EE6355">
        <w:rPr>
          <w:noProof/>
        </w:rPr>
        <w:fldChar w:fldCharType="end"/>
      </w:r>
      <w:bookmarkEnd w:id="25"/>
      <w:r>
        <w:t>. Federal Surveys that Collect Gender Identity Data</w:t>
      </w:r>
    </w:p>
    <w:tbl>
      <w:tblPr>
        <w:tblStyle w:val="DataTable"/>
        <w:tblW w:w="0" w:type="auto"/>
        <w:tblLook w:val="04A0"/>
      </w:tblPr>
      <w:tblGrid>
        <w:gridCol w:w="1718"/>
        <w:gridCol w:w="3076"/>
        <w:gridCol w:w="3036"/>
        <w:gridCol w:w="1530"/>
      </w:tblGrid>
      <w:tr w14:paraId="2CDD0526" w14:textId="22885F9C" w:rsidTr="009A7D1A">
        <w:tblPrEx>
          <w:tblW w:w="0" w:type="auto"/>
          <w:tblLook w:val="04A0"/>
        </w:tblPrEx>
        <w:tc>
          <w:tcPr>
            <w:tcW w:w="1718" w:type="dxa"/>
          </w:tcPr>
          <w:p w:rsidR="00664628" w:rsidP="008C329F" w14:paraId="48E4AFB6" w14:textId="77777777">
            <w:pPr>
              <w:pStyle w:val="BodyText"/>
              <w:spacing w:after="0"/>
            </w:pPr>
            <w:r>
              <w:t>Survey</w:t>
            </w:r>
          </w:p>
        </w:tc>
        <w:tc>
          <w:tcPr>
            <w:tcW w:w="3076" w:type="dxa"/>
          </w:tcPr>
          <w:p w:rsidR="00664628" w:rsidP="008C329F" w14:paraId="0835BD4D" w14:textId="0F033E13">
            <w:pPr>
              <w:pStyle w:val="BodyText"/>
              <w:spacing w:after="0"/>
            </w:pPr>
            <w:r>
              <w:t>Year Began Collecting</w:t>
            </w:r>
          </w:p>
        </w:tc>
        <w:tc>
          <w:tcPr>
            <w:tcW w:w="3036" w:type="dxa"/>
          </w:tcPr>
          <w:p w:rsidR="00664628" w:rsidP="008C329F" w14:paraId="10ABE0D5" w14:textId="77777777">
            <w:pPr>
              <w:pStyle w:val="BodyText"/>
              <w:spacing w:after="0"/>
            </w:pPr>
            <w:r>
              <w:t>Data Collection Mode</w:t>
            </w:r>
          </w:p>
        </w:tc>
        <w:tc>
          <w:tcPr>
            <w:tcW w:w="1530" w:type="dxa"/>
          </w:tcPr>
          <w:p w:rsidR="00664628" w:rsidP="008C329F" w14:paraId="64C8ABAD" w14:textId="7C1C2B0B">
            <w:pPr>
              <w:pStyle w:val="BodyText"/>
              <w:spacing w:after="0"/>
            </w:pPr>
            <w:r>
              <w:t>Age Range</w:t>
            </w:r>
          </w:p>
        </w:tc>
      </w:tr>
      <w:tr w14:paraId="3E17A0C8" w14:textId="77777777" w:rsidTr="009A7D1A">
        <w:tblPrEx>
          <w:tblW w:w="0" w:type="auto"/>
          <w:tblLook w:val="04A0"/>
        </w:tblPrEx>
        <w:tc>
          <w:tcPr>
            <w:tcW w:w="1718" w:type="dxa"/>
          </w:tcPr>
          <w:p w:rsidR="00B3110F" w:rsidP="008C329F" w14:paraId="591E11F1" w14:textId="507FFED3">
            <w:pPr>
              <w:pStyle w:val="BodyText"/>
              <w:spacing w:after="0"/>
            </w:pPr>
            <w:r>
              <w:t>BRFSS</w:t>
            </w:r>
            <w:r w:rsidRPr="00B3110F">
              <w:rPr>
                <w:rFonts w:cstheme="minorHAnsi"/>
                <w:vertAlign w:val="superscript"/>
              </w:rPr>
              <w:t>†</w:t>
            </w:r>
          </w:p>
        </w:tc>
        <w:tc>
          <w:tcPr>
            <w:tcW w:w="3076" w:type="dxa"/>
          </w:tcPr>
          <w:p w:rsidR="00B3110F" w:rsidP="008C329F" w14:paraId="71A341C2" w14:textId="04C1E886">
            <w:pPr>
              <w:pStyle w:val="BodyText"/>
              <w:spacing w:after="0"/>
            </w:pPr>
            <w:r>
              <w:t>2014</w:t>
            </w:r>
          </w:p>
        </w:tc>
        <w:tc>
          <w:tcPr>
            <w:tcW w:w="3036" w:type="dxa"/>
          </w:tcPr>
          <w:p w:rsidR="00B3110F" w:rsidP="008C329F" w14:paraId="1F1EAF4E" w14:textId="438824A0">
            <w:pPr>
              <w:pStyle w:val="BodyText"/>
              <w:spacing w:after="0"/>
            </w:pPr>
            <w:r>
              <w:t>CATI</w:t>
            </w:r>
            <w:r w:rsidR="006971F4">
              <w:t xml:space="preserve"> (phone)</w:t>
            </w:r>
          </w:p>
        </w:tc>
        <w:tc>
          <w:tcPr>
            <w:tcW w:w="1530" w:type="dxa"/>
          </w:tcPr>
          <w:p w:rsidR="00B3110F" w:rsidP="008C329F" w14:paraId="773818AD" w14:textId="2C37B87F">
            <w:pPr>
              <w:pStyle w:val="BodyText"/>
              <w:spacing w:after="0"/>
            </w:pPr>
            <w:r>
              <w:t>18+</w:t>
            </w:r>
          </w:p>
        </w:tc>
      </w:tr>
      <w:tr w14:paraId="261B1654" w14:textId="77777777" w:rsidTr="009A7D1A">
        <w:tblPrEx>
          <w:tblW w:w="0" w:type="auto"/>
          <w:tblLook w:val="04A0"/>
        </w:tblPrEx>
        <w:tc>
          <w:tcPr>
            <w:tcW w:w="1718" w:type="dxa"/>
          </w:tcPr>
          <w:p w:rsidR="00BA0251" w:rsidP="008C329F" w14:paraId="23A3A607" w14:textId="68AAE4FD">
            <w:pPr>
              <w:pStyle w:val="BodyText"/>
              <w:spacing w:after="0"/>
            </w:pPr>
            <w:r>
              <w:t>HPS</w:t>
            </w:r>
          </w:p>
        </w:tc>
        <w:tc>
          <w:tcPr>
            <w:tcW w:w="3076" w:type="dxa"/>
          </w:tcPr>
          <w:p w:rsidR="00BA0251" w:rsidP="008C329F" w14:paraId="5825246C" w14:textId="1C0CF1BE">
            <w:pPr>
              <w:pStyle w:val="BodyText"/>
              <w:spacing w:after="0"/>
            </w:pPr>
            <w:r>
              <w:t>July 2021</w:t>
            </w:r>
          </w:p>
        </w:tc>
        <w:tc>
          <w:tcPr>
            <w:tcW w:w="3036" w:type="dxa"/>
          </w:tcPr>
          <w:p w:rsidR="00BA0251" w:rsidP="008C329F" w14:paraId="23F320D2" w14:textId="2F45C4D6">
            <w:pPr>
              <w:pStyle w:val="BodyText"/>
              <w:spacing w:after="0"/>
            </w:pPr>
            <w:r>
              <w:t>Internet</w:t>
            </w:r>
          </w:p>
        </w:tc>
        <w:tc>
          <w:tcPr>
            <w:tcW w:w="1530" w:type="dxa"/>
          </w:tcPr>
          <w:p w:rsidR="00BA0251" w:rsidP="008C329F" w14:paraId="413EED1C" w14:textId="5F0EF6F1">
            <w:pPr>
              <w:pStyle w:val="BodyText"/>
              <w:spacing w:after="0"/>
            </w:pPr>
            <w:r>
              <w:t>18+</w:t>
            </w:r>
          </w:p>
        </w:tc>
      </w:tr>
      <w:tr w14:paraId="28F1277D" w14:textId="016EFB0C" w:rsidTr="009A7D1A">
        <w:tblPrEx>
          <w:tblW w:w="0" w:type="auto"/>
          <w:tblLook w:val="04A0"/>
        </w:tblPrEx>
        <w:tc>
          <w:tcPr>
            <w:tcW w:w="1718" w:type="dxa"/>
          </w:tcPr>
          <w:p w:rsidR="00664628" w:rsidP="008C329F" w14:paraId="361B5E5E" w14:textId="4BB06323">
            <w:pPr>
              <w:pStyle w:val="BodyText"/>
              <w:spacing w:after="0"/>
            </w:pPr>
            <w:r>
              <w:t>NCVS</w:t>
            </w:r>
          </w:p>
        </w:tc>
        <w:tc>
          <w:tcPr>
            <w:tcW w:w="3076" w:type="dxa"/>
          </w:tcPr>
          <w:p w:rsidR="00664628" w:rsidP="008C329F" w14:paraId="530014A3" w14:textId="07C31F50">
            <w:pPr>
              <w:pStyle w:val="BodyText"/>
              <w:spacing w:after="0"/>
            </w:pPr>
            <w:r>
              <w:t>July 2016</w:t>
            </w:r>
          </w:p>
        </w:tc>
        <w:tc>
          <w:tcPr>
            <w:tcW w:w="3036" w:type="dxa"/>
          </w:tcPr>
          <w:p w:rsidR="00664628" w:rsidP="008C329F" w14:paraId="45249EE9" w14:textId="3F6F2593">
            <w:pPr>
              <w:pStyle w:val="BodyText"/>
              <w:spacing w:after="0"/>
            </w:pPr>
            <w:r>
              <w:t>CAPI (in-person and phone)</w:t>
            </w:r>
          </w:p>
        </w:tc>
        <w:tc>
          <w:tcPr>
            <w:tcW w:w="1530" w:type="dxa"/>
          </w:tcPr>
          <w:p w:rsidR="00664628" w:rsidP="008C329F" w14:paraId="19A19DC1" w14:textId="70330953">
            <w:pPr>
              <w:pStyle w:val="BodyText"/>
              <w:spacing w:after="0"/>
            </w:pPr>
            <w:r>
              <w:t>16+</w:t>
            </w:r>
          </w:p>
        </w:tc>
      </w:tr>
      <w:tr w14:paraId="39AE3B2C" w14:textId="682DB6E6" w:rsidTr="009A7D1A">
        <w:tblPrEx>
          <w:tblW w:w="0" w:type="auto"/>
          <w:tblLook w:val="04A0"/>
        </w:tblPrEx>
        <w:tc>
          <w:tcPr>
            <w:tcW w:w="1718" w:type="dxa"/>
          </w:tcPr>
          <w:p w:rsidR="00664628" w:rsidP="008C329F" w14:paraId="4684ADE4" w14:textId="4A241EA4">
            <w:pPr>
              <w:pStyle w:val="BodyText"/>
              <w:spacing w:after="0"/>
            </w:pPr>
            <w:r>
              <w:t>NHIS</w:t>
            </w:r>
          </w:p>
        </w:tc>
        <w:tc>
          <w:tcPr>
            <w:tcW w:w="3076" w:type="dxa"/>
          </w:tcPr>
          <w:p w:rsidR="00664628" w:rsidP="008C329F" w14:paraId="6B0FE89B" w14:textId="73E399F6">
            <w:pPr>
              <w:pStyle w:val="BodyText"/>
              <w:spacing w:after="0"/>
            </w:pPr>
            <w:r>
              <w:t>2022</w:t>
            </w:r>
          </w:p>
        </w:tc>
        <w:tc>
          <w:tcPr>
            <w:tcW w:w="3036" w:type="dxa"/>
          </w:tcPr>
          <w:p w:rsidR="00664628" w:rsidP="008C329F" w14:paraId="5C5B67E9" w14:textId="523E0DD8">
            <w:pPr>
              <w:pStyle w:val="BodyText"/>
              <w:spacing w:after="0"/>
            </w:pPr>
            <w:r>
              <w:t>CAPI (in-person and phone)</w:t>
            </w:r>
          </w:p>
        </w:tc>
        <w:tc>
          <w:tcPr>
            <w:tcW w:w="1530" w:type="dxa"/>
          </w:tcPr>
          <w:p w:rsidR="00664628" w:rsidP="008C329F" w14:paraId="3CCE8D54" w14:textId="4C11B5E1">
            <w:pPr>
              <w:pStyle w:val="BodyText"/>
              <w:spacing w:after="0"/>
            </w:pPr>
            <w:r>
              <w:t>18+</w:t>
            </w:r>
          </w:p>
        </w:tc>
      </w:tr>
      <w:tr w14:paraId="242A145E" w14:textId="5B10A3BC" w:rsidTr="009A7D1A">
        <w:tblPrEx>
          <w:tblW w:w="0" w:type="auto"/>
          <w:tblLook w:val="04A0"/>
        </w:tblPrEx>
        <w:tc>
          <w:tcPr>
            <w:tcW w:w="1718" w:type="dxa"/>
          </w:tcPr>
          <w:p w:rsidR="00664628" w:rsidP="009251E8" w14:paraId="6C20E58B" w14:textId="2792AC75">
            <w:pPr>
              <w:pStyle w:val="BodyText"/>
              <w:spacing w:after="0"/>
            </w:pPr>
            <w:r>
              <w:t>PATH</w:t>
            </w:r>
          </w:p>
        </w:tc>
        <w:tc>
          <w:tcPr>
            <w:tcW w:w="3076" w:type="dxa"/>
          </w:tcPr>
          <w:p w:rsidR="00664628" w:rsidP="009251E8" w14:paraId="4512E82D" w14:textId="40EECA30">
            <w:pPr>
              <w:pStyle w:val="BodyText"/>
              <w:spacing w:after="0"/>
            </w:pPr>
            <w:r>
              <w:t>2013</w:t>
            </w:r>
          </w:p>
        </w:tc>
        <w:tc>
          <w:tcPr>
            <w:tcW w:w="3036" w:type="dxa"/>
          </w:tcPr>
          <w:p w:rsidR="00664628" w:rsidRPr="00D60D22" w:rsidP="009251E8" w14:paraId="0161E8BC" w14:textId="663ABDBC">
            <w:pPr>
              <w:pStyle w:val="BodyText"/>
              <w:spacing w:after="0"/>
              <w:rPr>
                <w:vertAlign w:val="superscript"/>
              </w:rPr>
            </w:pPr>
            <w:r>
              <w:t>ACASI</w:t>
            </w:r>
            <w:r w:rsidR="00EA43CE">
              <w:rPr>
                <w:vertAlign w:val="superscript"/>
              </w:rPr>
              <w:t>^</w:t>
            </w:r>
          </w:p>
        </w:tc>
        <w:tc>
          <w:tcPr>
            <w:tcW w:w="1530" w:type="dxa"/>
          </w:tcPr>
          <w:p w:rsidR="00664628" w:rsidP="009251E8" w14:paraId="2866436E" w14:textId="7514EE01">
            <w:pPr>
              <w:pStyle w:val="BodyText"/>
              <w:spacing w:after="0"/>
            </w:pPr>
            <w:r>
              <w:t>14+</w:t>
            </w:r>
          </w:p>
        </w:tc>
      </w:tr>
      <w:tr w14:paraId="2D61589B" w14:textId="77777777" w:rsidTr="009A7D1A">
        <w:tblPrEx>
          <w:tblW w:w="0" w:type="auto"/>
          <w:tblLook w:val="04A0"/>
        </w:tblPrEx>
        <w:tc>
          <w:tcPr>
            <w:tcW w:w="1718" w:type="dxa"/>
          </w:tcPr>
          <w:p w:rsidR="001265D5" w:rsidP="009251E8" w14:paraId="120D549F" w14:textId="29759C78">
            <w:pPr>
              <w:pStyle w:val="BodyText"/>
              <w:spacing w:after="0"/>
            </w:pPr>
            <w:r>
              <w:t>YRBS</w:t>
            </w:r>
          </w:p>
        </w:tc>
        <w:tc>
          <w:tcPr>
            <w:tcW w:w="3076" w:type="dxa"/>
          </w:tcPr>
          <w:p w:rsidR="001265D5" w:rsidRPr="000D7550" w:rsidP="009251E8" w14:paraId="24741BCC" w14:textId="5259D7C0">
            <w:pPr>
              <w:pStyle w:val="BodyText"/>
              <w:spacing w:after="0"/>
              <w:rPr>
                <w:vertAlign w:val="superscript"/>
              </w:rPr>
            </w:pPr>
            <w:r>
              <w:t>2023</w:t>
            </w:r>
            <w:r w:rsidR="000D7550">
              <w:rPr>
                <w:vertAlign w:val="superscript"/>
              </w:rPr>
              <w:t>*</w:t>
            </w:r>
          </w:p>
        </w:tc>
        <w:tc>
          <w:tcPr>
            <w:tcW w:w="3036" w:type="dxa"/>
          </w:tcPr>
          <w:p w:rsidR="001265D5" w:rsidP="009251E8" w14:paraId="155B3841" w14:textId="2A1E224A">
            <w:pPr>
              <w:pStyle w:val="BodyText"/>
              <w:spacing w:after="0"/>
            </w:pPr>
            <w:r>
              <w:t>Paper</w:t>
            </w:r>
          </w:p>
        </w:tc>
        <w:tc>
          <w:tcPr>
            <w:tcW w:w="1530" w:type="dxa"/>
          </w:tcPr>
          <w:p w:rsidR="001265D5" w:rsidP="009251E8" w14:paraId="6789D29A" w14:textId="1C5918D8">
            <w:pPr>
              <w:pStyle w:val="BodyText"/>
              <w:spacing w:after="0"/>
            </w:pPr>
            <w:r>
              <w:t>13-1</w:t>
            </w:r>
            <w:r w:rsidR="00D640EC">
              <w:t>8</w:t>
            </w:r>
          </w:p>
        </w:tc>
      </w:tr>
    </w:tbl>
    <w:p w:rsidR="00B3110F" w:rsidRPr="00B3110F" w:rsidP="009C5B2F" w14:paraId="44F48AFE" w14:textId="2F3A05B1">
      <w:pPr>
        <w:pStyle w:val="NoSpacing"/>
        <w:keepNext/>
      </w:pPr>
      <w:r w:rsidRPr="00B3110F">
        <w:rPr>
          <w:rFonts w:cstheme="minorHAnsi"/>
          <w:vertAlign w:val="superscript"/>
        </w:rPr>
        <w:t>†</w:t>
      </w:r>
      <w:r>
        <w:rPr>
          <w:rFonts w:cstheme="minorHAnsi"/>
          <w:vertAlign w:val="superscript"/>
        </w:rPr>
        <w:t xml:space="preserve"> </w:t>
      </w:r>
      <w:r>
        <w:rPr>
          <w:rFonts w:cstheme="minorHAnsi"/>
        </w:rPr>
        <w:t>As part of the optional SOGI Module.</w:t>
      </w:r>
    </w:p>
    <w:p w:rsidR="000D7550" w:rsidRPr="000D7550" w:rsidP="000D7550" w14:paraId="0CEFFB38" w14:textId="169F2E21">
      <w:pPr>
        <w:pStyle w:val="NoSpacing"/>
      </w:pPr>
      <w:r w:rsidRPr="000D7550">
        <w:rPr>
          <w:rFonts w:cstheme="minorHAnsi"/>
          <w:vertAlign w:val="superscript"/>
        </w:rPr>
        <w:t>*</w:t>
      </w:r>
      <w:r>
        <w:rPr>
          <w:vertAlign w:val="superscript"/>
        </w:rPr>
        <w:t xml:space="preserve"> </w:t>
      </w:r>
      <w:r>
        <w:t xml:space="preserve">A gender identity question was </w:t>
      </w:r>
      <w:r w:rsidR="005C7919">
        <w:t>on</w:t>
      </w:r>
      <w:r>
        <w:t xml:space="preserve"> the standard </w:t>
      </w:r>
      <w:r w:rsidR="005C7919">
        <w:t xml:space="preserve">high school </w:t>
      </w:r>
      <w:r>
        <w:t xml:space="preserve">questionnaire in </w:t>
      </w:r>
      <w:r>
        <w:t>2023, but</w:t>
      </w:r>
      <w:r>
        <w:t xml:space="preserve"> was available for addition by states to their questionnaires before then.  </w:t>
      </w:r>
    </w:p>
    <w:p w:rsidR="00BC6129" w:rsidRPr="00EA43CE" w:rsidP="00BC6129" w14:paraId="38843ACC" w14:textId="7C758ECF">
      <w:pPr>
        <w:pStyle w:val="NoSpacing"/>
      </w:pPr>
      <w:r>
        <w:rPr>
          <w:vertAlign w:val="superscript"/>
        </w:rPr>
        <w:t xml:space="preserve">^ </w:t>
      </w:r>
      <w:r>
        <w:t xml:space="preserve">Audio Computer-Assisted Self-Interviewing </w:t>
      </w:r>
    </w:p>
    <w:p w:rsidR="005B6541" w:rsidP="00531197" w14:paraId="34A40CCA" w14:textId="63A34AFD">
      <w:pPr>
        <w:pStyle w:val="NoSpacing"/>
      </w:pPr>
    </w:p>
    <w:p w:rsidR="00BC6129" w:rsidP="009837DB" w14:paraId="0D5489CB" w14:textId="0D2403C5">
      <w:pPr>
        <w:pStyle w:val="BodyText"/>
      </w:pPr>
      <w:r>
        <w:t>The NHANES, NSDUH</w:t>
      </w:r>
      <w:r w:rsidR="00007086">
        <w:t>, NSFG, and PATH</w:t>
      </w:r>
      <w:r>
        <w:t xml:space="preserve"> surveys use Audio Computer-Assisted Self-Interviewing (ACASI) for collecting information on SOGI. ACASI allows respondents to enter answers directly into a computer after reading a question directly from a laptop or hearing a question through headphones. It is used to administer questions that may be considered sensitive or personal. See </w:t>
      </w:r>
      <w:r w:rsidR="00622D9C">
        <w:t>“Current Measures of Sexual Orientation and Gender Identity in Federal Surveys” (IWG, 2016a)</w:t>
      </w:r>
      <w:r>
        <w:t xml:space="preserve"> for more information on ACASI compared to CAPI for administering SOGI questions.</w:t>
      </w:r>
    </w:p>
    <w:p w:rsidR="00B127F9" w:rsidP="00B127F9" w14:paraId="61EFA6D9" w14:textId="1FD1857C">
      <w:pPr>
        <w:pStyle w:val="Heading2"/>
      </w:pPr>
      <w:bookmarkStart w:id="26" w:name="_Ref155613796"/>
      <w:bookmarkStart w:id="27" w:name="_Toc164241839"/>
      <w:r>
        <w:t>Additional SOGI Testing</w:t>
      </w:r>
      <w:bookmarkEnd w:id="26"/>
      <w:bookmarkEnd w:id="27"/>
    </w:p>
    <w:p w:rsidR="0057693F" w:rsidRPr="000F0DF9" w:rsidP="001C2B83" w14:paraId="09DB4357" w14:textId="23E977D4">
      <w:pPr>
        <w:pStyle w:val="BodyText"/>
        <w:rPr>
          <w:i/>
          <w:iCs/>
        </w:rPr>
      </w:pPr>
      <w:r w:rsidRPr="000F0DF9">
        <w:rPr>
          <w:i/>
          <w:iCs/>
        </w:rPr>
        <w:t>Joint Program in Survey Methodology (JPSM) Survey Practicum</w:t>
      </w:r>
    </w:p>
    <w:p w:rsidR="00385888" w:rsidP="001C2B83" w14:paraId="3377B89C" w14:textId="14C04FC2">
      <w:pPr>
        <w:pStyle w:val="BodyText"/>
      </w:pPr>
      <w:r>
        <w:t xml:space="preserve">In 2016, the </w:t>
      </w:r>
      <w:r w:rsidRPr="00385888">
        <w:t>JPSM Survey Practicum</w:t>
      </w:r>
      <w:r>
        <w:t xml:space="preserve"> set out to id</w:t>
      </w:r>
      <w:r w:rsidRPr="00385888">
        <w:t>entify</w:t>
      </w:r>
      <w:r>
        <w:t xml:space="preserve"> ways</w:t>
      </w:r>
      <w:r w:rsidRPr="00385888">
        <w:t xml:space="preserve"> to optimize response and reduce measurement error to SOGI questions </w:t>
      </w:r>
      <w:r w:rsidR="0057693F">
        <w:t>for</w:t>
      </w:r>
      <w:r w:rsidRPr="00385888">
        <w:t xml:space="preserve"> an online survey</w:t>
      </w:r>
      <w:r>
        <w:t>.</w:t>
      </w:r>
    </w:p>
    <w:p w:rsidR="00AF45AB" w:rsidP="001C2B83" w14:paraId="28575815" w14:textId="56BA3374">
      <w:pPr>
        <w:pStyle w:val="BodyText"/>
      </w:pPr>
      <w:r>
        <w:t>Results from the analysis showed</w:t>
      </w:r>
      <w:r>
        <w:t xml:space="preserve"> there were significantly higher rates of item nonresponse in proxy responses</w:t>
      </w:r>
      <w:r w:rsidR="006414CD">
        <w:t xml:space="preserve"> compared to self-responses</w:t>
      </w:r>
      <w:r>
        <w:t xml:space="preserve"> to the question on sexual orientation</w:t>
      </w:r>
      <w:r w:rsidR="00853BD5">
        <w:t>,</w:t>
      </w:r>
      <w:r w:rsidR="00DE2425">
        <w:t xml:space="preserve"> </w:t>
      </w:r>
      <w:r>
        <w:t xml:space="preserve">but not </w:t>
      </w:r>
      <w:r>
        <w:t>for the</w:t>
      </w:r>
      <w:r>
        <w:t xml:space="preserve"> sex at birth and current gender </w:t>
      </w:r>
      <w:r>
        <w:t>questions</w:t>
      </w:r>
      <w:r w:rsidR="000E19B6">
        <w:t xml:space="preserve">. </w:t>
      </w:r>
      <w:r>
        <w:t xml:space="preserve">Despite </w:t>
      </w:r>
      <w:r>
        <w:t>this</w:t>
      </w:r>
      <w:r>
        <w:t xml:space="preserve">, the </w:t>
      </w:r>
      <w:r>
        <w:t xml:space="preserve">item nonresponse for all SOGI questions </w:t>
      </w:r>
      <w:r>
        <w:t>was low</w:t>
      </w:r>
      <w:r w:rsidR="00C74093">
        <w:t xml:space="preserve"> (under three percent)</w:t>
      </w:r>
      <w:r>
        <w:t xml:space="preserve">, and </w:t>
      </w:r>
      <w:r>
        <w:t xml:space="preserve">they found </w:t>
      </w:r>
      <w:r>
        <w:t>that proxy respondents were generally able and willing to answer SOGI questions</w:t>
      </w:r>
      <w:r>
        <w:t xml:space="preserve"> (</w:t>
      </w:r>
      <w:r>
        <w:t>Ortman</w:t>
      </w:r>
      <w:r>
        <w:t xml:space="preserve"> et al.</w:t>
      </w:r>
      <w:r w:rsidR="00622D9C">
        <w:t>,</w:t>
      </w:r>
      <w:r>
        <w:t xml:space="preserve"> 2017)</w:t>
      </w:r>
      <w:r>
        <w:t>.</w:t>
      </w:r>
    </w:p>
    <w:p w:rsidR="001C2B83" w:rsidRPr="0057693F" w:rsidP="006414CD" w14:paraId="7AD1D6C8" w14:textId="60A061A5">
      <w:pPr>
        <w:pStyle w:val="BodyText"/>
        <w:keepNext/>
        <w:rPr>
          <w:i/>
          <w:iCs/>
        </w:rPr>
      </w:pPr>
      <w:r w:rsidRPr="0057693F">
        <w:rPr>
          <w:i/>
          <w:iCs/>
        </w:rPr>
        <w:t xml:space="preserve">Cognitive Testing of SOGI for </w:t>
      </w:r>
      <w:r w:rsidRPr="0057693F" w:rsidR="0057693F">
        <w:rPr>
          <w:i/>
          <w:iCs/>
        </w:rPr>
        <w:t>Current Population Survey</w:t>
      </w:r>
      <w:r w:rsidR="006414CD">
        <w:rPr>
          <w:i/>
          <w:iCs/>
        </w:rPr>
        <w:t xml:space="preserve"> (CPS)</w:t>
      </w:r>
    </w:p>
    <w:p w:rsidR="0057693F" w:rsidP="001C2B83" w14:paraId="47544FF1" w14:textId="30CEB223">
      <w:pPr>
        <w:pStyle w:val="BodyText"/>
      </w:pPr>
      <w:r>
        <w:t xml:space="preserve">The Census Bureau conducted cognitive testing of </w:t>
      </w:r>
      <w:r w:rsidR="00D176E3">
        <w:t xml:space="preserve">SOGI </w:t>
      </w:r>
      <w:r>
        <w:t xml:space="preserve">for the </w:t>
      </w:r>
      <w:r>
        <w:t>CPS</w:t>
      </w:r>
      <w:r w:rsidR="006414CD">
        <w:t>, which</w:t>
      </w:r>
      <w:r>
        <w:t xml:space="preserve"> collects data regarding </w:t>
      </w:r>
      <w:r>
        <w:t xml:space="preserve">the U.S. labor force. </w:t>
      </w:r>
      <w:r>
        <w:t xml:space="preserve">The cognitive testing research </w:t>
      </w:r>
      <w:r>
        <w:t>assessed responding</w:t>
      </w:r>
      <w:r>
        <w:t xml:space="preserve"> difficulties</w:t>
      </w:r>
      <w:r>
        <w:t>, sensitivity issues, and</w:t>
      </w:r>
      <w:r>
        <w:t xml:space="preserve"> the </w:t>
      </w:r>
      <w:r w:rsidR="000F0DF9">
        <w:t>effect</w:t>
      </w:r>
      <w:r>
        <w:t xml:space="preserve"> of proxy</w:t>
      </w:r>
      <w:r>
        <w:t xml:space="preserve"> </w:t>
      </w:r>
      <w:r>
        <w:t>reporting on</w:t>
      </w:r>
      <w:r>
        <w:t xml:space="preserve"> data quality. </w:t>
      </w:r>
    </w:p>
    <w:p w:rsidR="000F0DF9" w:rsidRPr="00E8631A" w:rsidP="001C2B83" w14:paraId="32A2F197" w14:textId="482B2202">
      <w:pPr>
        <w:pStyle w:val="BodyText"/>
      </w:pPr>
      <w:r w:rsidRPr="00E8631A">
        <w:t>Generally,</w:t>
      </w:r>
      <w:r w:rsidRPr="00E8631A">
        <w:t xml:space="preserve"> the participants did not find </w:t>
      </w:r>
      <w:r w:rsidRPr="00E8631A" w:rsidR="00874984">
        <w:t xml:space="preserve">responding to the SOGI questions </w:t>
      </w:r>
      <w:r w:rsidR="006A3A93">
        <w:t xml:space="preserve">difficult </w:t>
      </w:r>
      <w:r w:rsidRPr="00E8631A" w:rsidR="00874984">
        <w:t>for both self-reporting and proxy-reporting</w:t>
      </w:r>
      <w:r w:rsidR="00853BD5">
        <w:t>,</w:t>
      </w:r>
      <w:r w:rsidRPr="00E8631A" w:rsidR="00874984">
        <w:t xml:space="preserve"> and many judged other CPS questions more difficult to answer (</w:t>
      </w:r>
      <w:r w:rsidRPr="00E8631A">
        <w:t>e.g.,</w:t>
      </w:r>
      <w:r w:rsidRPr="00E8631A" w:rsidR="00874984">
        <w:t xml:space="preserve"> income, employment, and disability). When there were difficulties indicated, it tended to be </w:t>
      </w:r>
      <w:r w:rsidR="006A3A93">
        <w:t xml:space="preserve">due to uncertainty about </w:t>
      </w:r>
      <w:r w:rsidRPr="00E8631A" w:rsidR="00874984">
        <w:t>their own identity or not knowing the sexual orientation or gender identity of another individual in the household (for proxy-reporting).</w:t>
      </w:r>
    </w:p>
    <w:p w:rsidR="000F0DF9" w:rsidRPr="00E8631A" w:rsidP="00622D9C" w14:paraId="366F57F6" w14:textId="17F5165D">
      <w:pPr>
        <w:pStyle w:val="BodyText"/>
      </w:pPr>
      <w:r w:rsidRPr="00E8631A">
        <w:t xml:space="preserve">Participants in this research deemed sexual orientation and disability to be the most sensitive items on the CPS, with LGBT respondents more often finding one or </w:t>
      </w:r>
      <w:r w:rsidRPr="00E8631A" w:rsidR="00E8631A">
        <w:t>both SOGI</w:t>
      </w:r>
      <w:r w:rsidRPr="00E8631A">
        <w:t xml:space="preserve"> questions to be sensitive. Some found </w:t>
      </w:r>
      <w:r w:rsidRPr="00E8631A">
        <w:t>their identity personal to talk about</w:t>
      </w:r>
      <w:r w:rsidR="00853BD5">
        <w:t>,</w:t>
      </w:r>
      <w:r w:rsidRPr="00E8631A">
        <w:t xml:space="preserve"> and others were not satisfied with the question wording and response options. While question wording was not a focus of the cognitive testing, respondents provided some valuable feedback on the wording tested</w:t>
      </w:r>
      <w:r w:rsidRPr="00E8631A" w:rsidR="00E8631A">
        <w:t>.</w:t>
      </w:r>
    </w:p>
    <w:p w:rsidR="00E8631A" w:rsidRPr="00E8631A" w:rsidP="00E8631A" w14:paraId="74A59A13" w14:textId="696FB462">
      <w:pPr>
        <w:pStyle w:val="BodyText"/>
      </w:pPr>
      <w:r w:rsidRPr="00E8631A">
        <w:t>Despite some indications of sensitivity, all respondents were willing to answer the SOGI questions for themselves and other people in their househ</w:t>
      </w:r>
      <w:r w:rsidRPr="00E8631A" w:rsidR="00874984">
        <w:t>old</w:t>
      </w:r>
      <w:r w:rsidRPr="00E8631A">
        <w:t xml:space="preserve"> (</w:t>
      </w:r>
      <w:r w:rsidRPr="00E8631A">
        <w:t>Holzberg</w:t>
      </w:r>
      <w:r w:rsidRPr="00E8631A">
        <w:t xml:space="preserve"> et al.</w:t>
      </w:r>
      <w:r w:rsidR="00622D9C">
        <w:t>,</w:t>
      </w:r>
      <w:r w:rsidRPr="00E8631A">
        <w:t xml:space="preserve"> 2019)</w:t>
      </w:r>
      <w:r w:rsidRPr="00E8631A" w:rsidR="00874984">
        <w:t>.</w:t>
      </w:r>
      <w:r w:rsidRPr="00E8631A">
        <w:t xml:space="preserve"> However, participants of this testing were paid volunteers who were willing to interact with </w:t>
      </w:r>
      <w:r w:rsidR="00853BD5">
        <w:t xml:space="preserve">the </w:t>
      </w:r>
      <w:r w:rsidR="007258BC">
        <w:t>f</w:t>
      </w:r>
      <w:r w:rsidRPr="00E8631A">
        <w:t>ederal government.</w:t>
      </w:r>
    </w:p>
    <w:p w:rsidR="006D73CC" w:rsidP="006D73CC" w14:paraId="09750F3A" w14:textId="44FD328F">
      <w:pPr>
        <w:pStyle w:val="Heading1"/>
      </w:pPr>
      <w:bookmarkStart w:id="28" w:name="_Ref150351257"/>
      <w:bookmarkStart w:id="29" w:name="_Toc164241840"/>
      <w:r>
        <w:t>R</w:t>
      </w:r>
      <w:r w:rsidR="005946AA">
        <w:t>ESEARCH QUESTIONS AND METHODOLOGY</w:t>
      </w:r>
      <w:bookmarkEnd w:id="28"/>
      <w:bookmarkEnd w:id="29"/>
    </w:p>
    <w:p w:rsidR="0066708F" w:rsidP="0066708F" w14:paraId="062652F7" w14:textId="3AB48AEB">
      <w:pPr>
        <w:pStyle w:val="Heading2"/>
      </w:pPr>
      <w:bookmarkStart w:id="30" w:name="_Ref150348820"/>
      <w:bookmarkStart w:id="31" w:name="_Toc164241841"/>
      <w:r>
        <w:t>Sample Design</w:t>
      </w:r>
      <w:bookmarkEnd w:id="30"/>
      <w:bookmarkEnd w:id="31"/>
    </w:p>
    <w:p w:rsidR="00BA3745" w:rsidP="00BA3745" w14:paraId="035C6F88" w14:textId="0D6A955C">
      <w:pPr>
        <w:spacing w:after="240"/>
      </w:pPr>
      <w:r w:rsidRPr="00A26A5B">
        <w:rPr>
          <w:rFonts w:cstheme="minorHAnsi"/>
        </w:rPr>
        <w:t xml:space="preserve">The </w:t>
      </w:r>
      <w:r>
        <w:rPr>
          <w:rFonts w:cstheme="minorHAnsi"/>
        </w:rPr>
        <w:t>2024 ACS SOGI</w:t>
      </w:r>
      <w:r w:rsidRPr="00A26A5B">
        <w:rPr>
          <w:rFonts w:cstheme="minorHAnsi"/>
        </w:rPr>
        <w:t xml:space="preserve"> </w:t>
      </w:r>
      <w:r>
        <w:rPr>
          <w:rFonts w:cstheme="minorHAnsi"/>
        </w:rPr>
        <w:t>T</w:t>
      </w:r>
      <w:r w:rsidRPr="00A26A5B">
        <w:rPr>
          <w:rFonts w:cstheme="minorHAnsi"/>
        </w:rPr>
        <w:t xml:space="preserve">est </w:t>
      </w:r>
      <w:r>
        <w:rPr>
          <w:rFonts w:cstheme="minorHAnsi"/>
        </w:rPr>
        <w:t>will consist</w:t>
      </w:r>
      <w:r w:rsidRPr="00A26A5B">
        <w:rPr>
          <w:rFonts w:cstheme="minorHAnsi"/>
        </w:rPr>
        <w:t xml:space="preserve"> </w:t>
      </w:r>
      <w:r>
        <w:rPr>
          <w:rFonts w:cstheme="minorHAnsi"/>
        </w:rPr>
        <w:t xml:space="preserve">of a </w:t>
      </w:r>
      <w:r w:rsidRPr="00A26A5B">
        <w:rPr>
          <w:rFonts w:cstheme="minorHAnsi"/>
        </w:rPr>
        <w:t xml:space="preserve">national sample of </w:t>
      </w:r>
      <w:r>
        <w:t xml:space="preserve">roughly 480,000 </w:t>
      </w:r>
      <w:r>
        <w:rPr>
          <w:rFonts w:cstheme="minorHAnsi"/>
        </w:rPr>
        <w:t xml:space="preserve">housing unit </w:t>
      </w:r>
      <w:r w:rsidRPr="00A26A5B">
        <w:rPr>
          <w:rFonts w:cstheme="minorHAnsi"/>
        </w:rPr>
        <w:t>addresses, excluding Puerto Rico</w:t>
      </w:r>
      <w:r>
        <w:rPr>
          <w:rFonts w:cstheme="minorHAnsi"/>
        </w:rPr>
        <w:t xml:space="preserve"> and remote </w:t>
      </w:r>
      <w:r w:rsidRPr="00A26A5B">
        <w:rPr>
          <w:rFonts w:cstheme="minorHAnsi"/>
        </w:rPr>
        <w:t>Alaska</w:t>
      </w:r>
      <w:r>
        <w:rPr>
          <w:rFonts w:cstheme="minorHAnsi"/>
        </w:rPr>
        <w:t>.</w:t>
      </w:r>
      <w:r w:rsidRPr="009661A7">
        <w:t xml:space="preserve"> </w:t>
      </w:r>
      <w:r w:rsidR="00852F31">
        <w:t xml:space="preserve">This sample will be independent of the ACS production sample. </w:t>
      </w:r>
      <w:r w:rsidRPr="009661A7">
        <w:t>The sample design will largely be based on the ACS production sample design with some modifications to meet the test objectives. The ACS production sample design is described in Chapter 4 of the ACS</w:t>
      </w:r>
      <w:r w:rsidR="00697DA0">
        <w:t xml:space="preserve"> and PRCS</w:t>
      </w:r>
      <w:r w:rsidRPr="009661A7">
        <w:t xml:space="preserve"> Design and Methodology report (U.S. Census Bureau, </w:t>
      </w:r>
      <w:r w:rsidRPr="00852F31">
        <w:t>20</w:t>
      </w:r>
      <w:r w:rsidRPr="00852F31" w:rsidR="00852F31">
        <w:t>22</w:t>
      </w:r>
      <w:r w:rsidR="009F4D9F">
        <w:t>b</w:t>
      </w:r>
      <w:r w:rsidRPr="00852F31">
        <w:t>).</w:t>
      </w:r>
      <w:r w:rsidRPr="009661A7">
        <w:t xml:space="preserve"> </w:t>
      </w:r>
    </w:p>
    <w:p w:rsidR="0020304F" w:rsidP="0020304F" w14:paraId="39FCE6D3" w14:textId="2CDC7E3A">
      <w:pPr>
        <w:pStyle w:val="BodyText"/>
      </w:pPr>
      <w:r>
        <w:t xml:space="preserve">There will be three sampling strata, </w:t>
      </w:r>
      <w:r w:rsidRPr="0020304F">
        <w:t xml:space="preserve">defined </w:t>
      </w:r>
      <w:r w:rsidR="001C5093">
        <w:t>by</w:t>
      </w:r>
      <w:r w:rsidR="00F013E3">
        <w:t xml:space="preserve"> </w:t>
      </w:r>
      <w:r w:rsidRPr="0020304F">
        <w:t xml:space="preserve">2020 Census </w:t>
      </w:r>
      <w:r w:rsidRPr="0020304F">
        <w:t>same-sex</w:t>
      </w:r>
      <w:r w:rsidRPr="0020304F">
        <w:t xml:space="preserve"> coupled household rates and 2020 Census urban and rural areas definitions at the tract</w:t>
      </w:r>
      <w:r w:rsidR="006A3A93">
        <w:t xml:space="preserve"> </w:t>
      </w:r>
      <w:r w:rsidRPr="0020304F">
        <w:t>level.</w:t>
      </w:r>
      <w:r>
        <w:rPr>
          <w:rStyle w:val="FootnoteReference"/>
        </w:rPr>
        <w:footnoteReference w:id="18"/>
      </w:r>
      <w:r w:rsidRPr="0020304F">
        <w:t xml:space="preserve"> Tracts will be sorted into the three strata according to the following rules:</w:t>
      </w:r>
    </w:p>
    <w:p w:rsidR="0020304F" w:rsidP="00DE5C09" w14:paraId="3630084A" w14:textId="7D8F7992">
      <w:pPr>
        <w:pStyle w:val="BodyText"/>
        <w:numPr>
          <w:ilvl w:val="0"/>
          <w:numId w:val="19"/>
        </w:numPr>
        <w:spacing w:after="0"/>
      </w:pPr>
      <w:r w:rsidRPr="006F3C46">
        <w:rPr>
          <w:b/>
          <w:bCs/>
        </w:rPr>
        <w:t>Stratum 1</w:t>
      </w:r>
      <w:r>
        <w:t xml:space="preserve">: </w:t>
      </w:r>
      <w:r w:rsidR="00624FF9">
        <w:t>The</w:t>
      </w:r>
      <w:r>
        <w:t xml:space="preserve"> percent</w:t>
      </w:r>
      <w:r w:rsidR="006A3A93">
        <w:t>age</w:t>
      </w:r>
      <w:r>
        <w:t xml:space="preserve"> of households featuring same-sex partners in a tract is greater than or equal to </w:t>
      </w:r>
      <w:r w:rsidR="00697DA0">
        <w:t>one</w:t>
      </w:r>
      <w:r>
        <w:t xml:space="preserve"> percent.</w:t>
      </w:r>
    </w:p>
    <w:p w:rsidR="0020304F" w:rsidP="00DE5C09" w14:paraId="6BBADE57" w14:textId="26B2872D">
      <w:pPr>
        <w:pStyle w:val="BodyText"/>
        <w:numPr>
          <w:ilvl w:val="0"/>
          <w:numId w:val="19"/>
        </w:numPr>
        <w:spacing w:after="0"/>
      </w:pPr>
      <w:r w:rsidRPr="006F3C46">
        <w:rPr>
          <w:b/>
          <w:bCs/>
        </w:rPr>
        <w:t xml:space="preserve">Stratum </w:t>
      </w:r>
      <w:r>
        <w:rPr>
          <w:b/>
          <w:bCs/>
        </w:rPr>
        <w:t>2</w:t>
      </w:r>
      <w:r>
        <w:t xml:space="preserve">: </w:t>
      </w:r>
      <w:r w:rsidR="00624FF9">
        <w:t>T</w:t>
      </w:r>
      <w:r w:rsidR="006A3A93">
        <w:t xml:space="preserve">he </w:t>
      </w:r>
      <w:r>
        <w:t>percent</w:t>
      </w:r>
      <w:r w:rsidR="006A3A93">
        <w:t>age</w:t>
      </w:r>
      <w:r>
        <w:t xml:space="preserve"> of households featuring same-sex partners in a tract is less than </w:t>
      </w:r>
      <w:r w:rsidR="00697DA0">
        <w:t>one</w:t>
      </w:r>
      <w:r>
        <w:t xml:space="preserve"> percent, but the percent</w:t>
      </w:r>
      <w:r w:rsidR="006A3A93">
        <w:t>age</w:t>
      </w:r>
      <w:r>
        <w:t xml:space="preserve"> of households in the tract considered rural is greater than or equal to 50 percent.</w:t>
      </w:r>
    </w:p>
    <w:p w:rsidR="0020304F" w:rsidP="00DE5C09" w14:paraId="7AF0992D" w14:textId="566024EE">
      <w:pPr>
        <w:pStyle w:val="BodyText"/>
        <w:numPr>
          <w:ilvl w:val="0"/>
          <w:numId w:val="19"/>
        </w:numPr>
      </w:pPr>
      <w:r w:rsidRPr="006F3C46">
        <w:rPr>
          <w:b/>
          <w:bCs/>
        </w:rPr>
        <w:t xml:space="preserve">Stratum </w:t>
      </w:r>
      <w:r>
        <w:rPr>
          <w:b/>
          <w:bCs/>
        </w:rPr>
        <w:t>3</w:t>
      </w:r>
      <w:r>
        <w:t xml:space="preserve">: </w:t>
      </w:r>
      <w:r w:rsidR="007B1B5E">
        <w:t xml:space="preserve">The </w:t>
      </w:r>
      <w:r>
        <w:t>percent</w:t>
      </w:r>
      <w:r w:rsidR="006A3A93">
        <w:t>age</w:t>
      </w:r>
      <w:r>
        <w:t xml:space="preserve"> of households featuring same-sex partners in a tract is lower than </w:t>
      </w:r>
      <w:r w:rsidR="00697DA0">
        <w:t>one</w:t>
      </w:r>
      <w:r>
        <w:t xml:space="preserve"> percent and the percent</w:t>
      </w:r>
      <w:r w:rsidR="006A3A93">
        <w:t>age</w:t>
      </w:r>
      <w:r>
        <w:t xml:space="preserve"> of households in the tract considered rural is less than 50 percent.</w:t>
      </w:r>
    </w:p>
    <w:p w:rsidR="00BA3745" w:rsidP="00BA3745" w14:paraId="0C2F5EAB" w14:textId="1CF4D5B3">
      <w:pPr>
        <w:spacing w:after="240"/>
      </w:pPr>
      <w:r w:rsidRPr="0020304F">
        <w:t>The strata were defined to increase the number of sampled households with gender and sexual minorities while ensuring adequate representation of rural households.</w:t>
      </w:r>
      <w:r>
        <w:rPr>
          <w:rStyle w:val="FootnoteReference"/>
        </w:rPr>
        <w:footnoteReference w:id="19"/>
      </w:r>
      <w:r w:rsidRPr="0020304F">
        <w:t xml:space="preserve"> </w:t>
      </w:r>
      <w:r w:rsidRPr="0020304F" w:rsidR="00272BAE">
        <w:t xml:space="preserve">Addresses within </w:t>
      </w:r>
      <w:r w:rsidRPr="0020304F" w:rsidR="00272BAE">
        <w:t xml:space="preserve">defined sampling strata will be geographically sorted and selected </w:t>
      </w:r>
      <w:r w:rsidR="003E0339">
        <w:t>for the sample</w:t>
      </w:r>
      <w:r w:rsidRPr="0020304F" w:rsidR="00272BAE">
        <w:t xml:space="preserve"> by systematic</w:t>
      </w:r>
      <w:r w:rsidR="007258BC">
        <w:t> </w:t>
      </w:r>
      <w:r w:rsidRPr="0020304F" w:rsidR="00272BAE">
        <w:t>sampling.</w:t>
      </w:r>
      <w:r w:rsidR="00272BAE">
        <w:t xml:space="preserve"> </w:t>
      </w:r>
    </w:p>
    <w:p w:rsidR="00BA3745" w:rsidP="00BA3745" w14:paraId="568816C4" w14:textId="2DF5EAB8">
      <w:pPr>
        <w:spacing w:after="240"/>
      </w:pPr>
      <w:r w:rsidRPr="00AE6A2F">
        <w:t xml:space="preserve">Addresses in sample for the </w:t>
      </w:r>
      <w:r w:rsidRPr="00AE6A2F" w:rsidR="00A42D06">
        <w:t>test</w:t>
      </w:r>
      <w:r w:rsidRPr="00AE6A2F">
        <w:t xml:space="preserve"> will be </w:t>
      </w:r>
      <w:r w:rsidR="003E0339">
        <w:t>systematically</w:t>
      </w:r>
      <w:r w:rsidRPr="00AE6A2F">
        <w:t xml:space="preserve"> split evenly across </w:t>
      </w:r>
      <w:r w:rsidR="00852F31">
        <w:t>four</w:t>
      </w:r>
      <w:r w:rsidRPr="00AE6A2F">
        <w:t xml:space="preserve"> treatments, Treatment</w:t>
      </w:r>
      <w:r w:rsidR="00852F31">
        <w:t xml:space="preserve"> 1A, Treatment 1B, Treatment 2A, and Treatment 2B</w:t>
      </w:r>
      <w:r w:rsidRPr="00AE6A2F">
        <w:t>.</w:t>
      </w:r>
      <w:r w:rsidRPr="00AE6A2F" w:rsidR="00A42D06">
        <w:t xml:space="preserve"> </w:t>
      </w:r>
      <w:r w:rsidR="008350BC">
        <w:t xml:space="preserve">For more information regarding the 2024 </w:t>
      </w:r>
      <w:r w:rsidR="00E865E7">
        <w:t xml:space="preserve">ACS </w:t>
      </w:r>
      <w:r w:rsidR="008350BC">
        <w:t>SOGI Test sample design</w:t>
      </w:r>
      <w:r w:rsidR="005A253C">
        <w:t>,</w:t>
      </w:r>
      <w:r w:rsidR="008350BC">
        <w:t xml:space="preserve"> see </w:t>
      </w:r>
      <w:r w:rsidR="005A253C">
        <w:t>Risley</w:t>
      </w:r>
      <w:r w:rsidR="005A253C">
        <w:t xml:space="preserve"> (2023).</w:t>
      </w:r>
      <w:r>
        <w:t xml:space="preserve"> </w:t>
      </w:r>
    </w:p>
    <w:p w:rsidR="0075775C" w:rsidP="0075775C" w14:paraId="789EEE20" w14:textId="13CDF9CE">
      <w:pPr>
        <w:pStyle w:val="Heading2"/>
      </w:pPr>
      <w:bookmarkStart w:id="32" w:name="_Ref158795864"/>
      <w:bookmarkStart w:id="33" w:name="_Toc164241842"/>
      <w:r>
        <w:t>Experimental Design</w:t>
      </w:r>
      <w:bookmarkEnd w:id="32"/>
      <w:bookmarkEnd w:id="33"/>
    </w:p>
    <w:p w:rsidR="008142AB" w:rsidP="0051090B" w14:paraId="674A49FE" w14:textId="39D339C1">
      <w:pPr>
        <w:pStyle w:val="BodyText"/>
      </w:pPr>
      <w:r>
        <w:t xml:space="preserve">There will be four treatments for the </w:t>
      </w:r>
      <w:r w:rsidR="00E865E7">
        <w:t>test</w:t>
      </w:r>
      <w:r>
        <w:t xml:space="preserve">: Treatment 1A, Treatment 1B, Treatment 2A, and Treatment 2B. The treatments are defined by their unique combination of question wording for the Current Gender question and write-in box display for the </w:t>
      </w:r>
      <w:r w:rsidR="00AA2AF0">
        <w:t xml:space="preserve">Current Gender and </w:t>
      </w:r>
      <w:r>
        <w:t>Sexual Orientation question</w:t>
      </w:r>
      <w:r w:rsidR="00AA2AF0">
        <w:t>s</w:t>
      </w:r>
      <w:r>
        <w:t xml:space="preserve">. As </w:t>
      </w:r>
      <w:r w:rsidR="006A3A93">
        <w:t xml:space="preserve">described in Section </w:t>
      </w:r>
      <w:r w:rsidR="006A3A93">
        <w:fldChar w:fldCharType="begin"/>
      </w:r>
      <w:r w:rsidR="006A3A93">
        <w:instrText xml:space="preserve"> REF _Ref150354336 \r \h </w:instrText>
      </w:r>
      <w:r w:rsidR="006A3A93">
        <w:fldChar w:fldCharType="separate"/>
      </w:r>
      <w:r w:rsidR="00F376F4">
        <w:t>2.4</w:t>
      </w:r>
      <w:r w:rsidR="006A3A93">
        <w:fldChar w:fldCharType="end"/>
      </w:r>
      <w:r w:rsidR="00461F08">
        <w:t>,</w:t>
      </w:r>
      <w:r>
        <w:t xml:space="preserve"> there are two versions of the Current Gender question instructions – Version 1 that specifies “Mark only one” and Version 2 that specifies “Mark one or more”. There are two versions of the write-in display box </w:t>
      </w:r>
      <w:r w:rsidR="00AA2AF0">
        <w:t>for both</w:t>
      </w:r>
      <w:r>
        <w:t xml:space="preserve"> the </w:t>
      </w:r>
      <w:r w:rsidR="00AA2AF0">
        <w:t xml:space="preserve">Current Gender and </w:t>
      </w:r>
      <w:r>
        <w:t>Sexual Orientation questions (for internet mode only). Version A will display the write-in box when the question is asked. Version B</w:t>
      </w:r>
      <w:r w:rsidR="00C07DCC">
        <w:t xml:space="preserve"> </w:t>
      </w:r>
      <w:r>
        <w:t>will only show the write-in box if a respondent selects “I use a different term”</w:t>
      </w:r>
      <w:r w:rsidR="007A0E35">
        <w:t xml:space="preserve"> and clicks the “next” button</w:t>
      </w:r>
      <w:r>
        <w:t>.</w:t>
      </w:r>
      <w:r w:rsidR="004A5738">
        <w:t xml:space="preserve"> The paper questionnaires for Treatments 1A and 1B will be identical, and the paper questionnaires for Treatments 2A and 2B will be identical.</w:t>
      </w:r>
      <w:r>
        <w:t xml:space="preserve"> Refer to </w:t>
      </w:r>
      <w:r w:rsidR="00AA2AF0">
        <w:fldChar w:fldCharType="begin"/>
      </w:r>
      <w:r w:rsidR="00AA2AF0">
        <w:instrText xml:space="preserve"> REF _Ref150350425 \h </w:instrText>
      </w:r>
      <w:r w:rsidR="00AA2AF0">
        <w:fldChar w:fldCharType="separate"/>
      </w:r>
      <w:r w:rsidR="00F376F4">
        <w:t xml:space="preserve">Figure </w:t>
      </w:r>
      <w:r w:rsidR="00F376F4">
        <w:rPr>
          <w:noProof/>
        </w:rPr>
        <w:t>1</w:t>
      </w:r>
      <w:r w:rsidR="00AA2AF0">
        <w:fldChar w:fldCharType="end"/>
      </w:r>
      <w:r w:rsidR="00C07DCC">
        <w:t xml:space="preserve"> </w:t>
      </w:r>
      <w:r>
        <w:t xml:space="preserve">through </w:t>
      </w:r>
      <w:r w:rsidR="00AA2AF0">
        <w:fldChar w:fldCharType="begin"/>
      </w:r>
      <w:r w:rsidR="00AA2AF0">
        <w:instrText xml:space="preserve"> REF _Ref150351032 \h </w:instrText>
      </w:r>
      <w:r w:rsidR="00AA2AF0">
        <w:fldChar w:fldCharType="separate"/>
      </w:r>
      <w:r w:rsidR="00F376F4">
        <w:t xml:space="preserve">Figure </w:t>
      </w:r>
      <w:r w:rsidR="00F376F4">
        <w:rPr>
          <w:noProof/>
        </w:rPr>
        <w:t>4</w:t>
      </w:r>
      <w:r w:rsidR="00AA2AF0">
        <w:fldChar w:fldCharType="end"/>
      </w:r>
      <w:r>
        <w:t xml:space="preserve"> in </w:t>
      </w:r>
      <w:r w:rsidR="00B645FE">
        <w:t>S</w:t>
      </w:r>
      <w:r>
        <w:t xml:space="preserve">ection </w:t>
      </w:r>
      <w:r w:rsidR="00AA2AF0">
        <w:fldChar w:fldCharType="begin"/>
      </w:r>
      <w:r w:rsidR="00AA2AF0">
        <w:instrText xml:space="preserve"> REF _Ref150354336 \r \h </w:instrText>
      </w:r>
      <w:r w:rsidR="00AA2AF0">
        <w:fldChar w:fldCharType="separate"/>
      </w:r>
      <w:r w:rsidR="00F376F4">
        <w:t>2.4</w:t>
      </w:r>
      <w:r w:rsidR="00AA2AF0">
        <w:fldChar w:fldCharType="end"/>
      </w:r>
      <w:r w:rsidR="004248D0">
        <w:t xml:space="preserve"> for the different versions.</w:t>
      </w:r>
    </w:p>
    <w:p w:rsidR="00C07DCC" w:rsidP="000C19F6" w14:paraId="565458BF" w14:textId="23ABD314">
      <w:pPr>
        <w:pStyle w:val="BodyText"/>
      </w:pPr>
      <w:r>
        <w:fldChar w:fldCharType="begin"/>
      </w:r>
      <w:r>
        <w:instrText xml:space="preserve"> REF _Ref150354406 \h </w:instrText>
      </w:r>
      <w:r>
        <w:fldChar w:fldCharType="separate"/>
      </w:r>
      <w:r w:rsidR="00F376F4">
        <w:t xml:space="preserve">Table </w:t>
      </w:r>
      <w:r w:rsidR="00F376F4">
        <w:rPr>
          <w:noProof/>
        </w:rPr>
        <w:t>3</w:t>
      </w:r>
      <w:r>
        <w:fldChar w:fldCharType="end"/>
      </w:r>
      <w:r w:rsidR="002355DE">
        <w:t xml:space="preserve"> provides the treatment breakdown in terms of question wording and write-in box display.</w:t>
      </w:r>
    </w:p>
    <w:p w:rsidR="004248D0" w:rsidP="00C07DCC" w14:paraId="6EC400C0" w14:textId="6F075394">
      <w:pPr>
        <w:pStyle w:val="Caption"/>
      </w:pPr>
      <w:bookmarkStart w:id="34" w:name="_Ref150354406"/>
      <w:r>
        <w:t xml:space="preserve">Table </w:t>
      </w:r>
      <w:r w:rsidR="00EE6355">
        <w:fldChar w:fldCharType="begin"/>
      </w:r>
      <w:r w:rsidR="00EE6355">
        <w:instrText xml:space="preserve"> SEQ Table \* ARABIC </w:instrText>
      </w:r>
      <w:r w:rsidR="00EE6355">
        <w:fldChar w:fldCharType="separate"/>
      </w:r>
      <w:r w:rsidR="00F376F4">
        <w:rPr>
          <w:noProof/>
        </w:rPr>
        <w:t>3</w:t>
      </w:r>
      <w:r w:rsidR="00EE6355">
        <w:rPr>
          <w:noProof/>
        </w:rPr>
        <w:fldChar w:fldCharType="end"/>
      </w:r>
      <w:bookmarkEnd w:id="34"/>
      <w:r>
        <w:t>. Breakdown of SOGI Test Treatments</w:t>
      </w:r>
    </w:p>
    <w:tbl>
      <w:tblPr>
        <w:tblStyle w:val="GridTable4Accent3"/>
        <w:tblW w:w="9439" w:type="dxa"/>
        <w:tblLook w:val="04A0"/>
      </w:tblPr>
      <w:tblGrid>
        <w:gridCol w:w="3955"/>
        <w:gridCol w:w="1368"/>
        <w:gridCol w:w="1372"/>
        <w:gridCol w:w="1372"/>
        <w:gridCol w:w="1372"/>
      </w:tblGrid>
      <w:tr w14:paraId="05B6CFD0" w14:textId="77777777" w:rsidTr="007562A6">
        <w:tblPrEx>
          <w:tblW w:w="9439" w:type="dxa"/>
          <w:tblLook w:val="04A0"/>
        </w:tblPrEx>
        <w:trPr>
          <w:trHeight w:val="350"/>
        </w:trPr>
        <w:tc>
          <w:tcPr>
            <w:tcW w:w="3955" w:type="dxa"/>
            <w:vAlign w:val="center"/>
          </w:tcPr>
          <w:p w:rsidR="004248D0" w:rsidRPr="00C07DCC" w:rsidP="007562A6" w14:paraId="2150185A" w14:textId="3D99E9EB">
            <w:pPr>
              <w:pStyle w:val="BodyText"/>
              <w:keepNext/>
              <w:spacing w:before="120" w:after="120"/>
              <w:rPr>
                <w:bCs w:val="0"/>
                <w:color w:val="auto"/>
                <w:sz w:val="22"/>
                <w:szCs w:val="22"/>
              </w:rPr>
            </w:pPr>
            <w:r w:rsidRPr="00C07DCC">
              <w:rPr>
                <w:bCs w:val="0"/>
                <w:color w:val="auto"/>
                <w:sz w:val="22"/>
                <w:szCs w:val="22"/>
              </w:rPr>
              <w:t>Topic</w:t>
            </w:r>
          </w:p>
        </w:tc>
        <w:tc>
          <w:tcPr>
            <w:tcW w:w="1368" w:type="dxa"/>
          </w:tcPr>
          <w:p w:rsidR="004248D0" w:rsidRPr="00C07DCC" w:rsidP="007562A6" w14:paraId="18C300C0" w14:textId="2359470F">
            <w:pPr>
              <w:pStyle w:val="BodyText"/>
              <w:keepNext/>
              <w:spacing w:before="120" w:after="120"/>
              <w:jc w:val="center"/>
              <w:rPr>
                <w:bCs w:val="0"/>
                <w:color w:val="auto"/>
                <w:sz w:val="22"/>
                <w:szCs w:val="22"/>
              </w:rPr>
            </w:pPr>
            <w:r w:rsidRPr="00C07DCC">
              <w:rPr>
                <w:bCs w:val="0"/>
                <w:color w:val="auto"/>
                <w:sz w:val="22"/>
                <w:szCs w:val="22"/>
              </w:rPr>
              <w:t>Treatment 1A</w:t>
            </w:r>
          </w:p>
        </w:tc>
        <w:tc>
          <w:tcPr>
            <w:tcW w:w="1372" w:type="dxa"/>
          </w:tcPr>
          <w:p w:rsidR="004248D0" w:rsidRPr="00C07DCC" w:rsidP="007562A6" w14:paraId="0C00873E" w14:textId="42100F1F">
            <w:pPr>
              <w:pStyle w:val="BodyText"/>
              <w:keepNext/>
              <w:spacing w:before="120" w:after="120"/>
              <w:jc w:val="center"/>
              <w:rPr>
                <w:bCs w:val="0"/>
                <w:color w:val="auto"/>
                <w:sz w:val="22"/>
                <w:szCs w:val="22"/>
              </w:rPr>
            </w:pPr>
            <w:r w:rsidRPr="00C07DCC">
              <w:rPr>
                <w:bCs w:val="0"/>
                <w:color w:val="auto"/>
                <w:sz w:val="22"/>
                <w:szCs w:val="22"/>
              </w:rPr>
              <w:t>Treatment 1B</w:t>
            </w:r>
          </w:p>
        </w:tc>
        <w:tc>
          <w:tcPr>
            <w:tcW w:w="1372" w:type="dxa"/>
          </w:tcPr>
          <w:p w:rsidR="004248D0" w:rsidRPr="00C07DCC" w:rsidP="007562A6" w14:paraId="0B50FF90" w14:textId="66153E0C">
            <w:pPr>
              <w:pStyle w:val="BodyText"/>
              <w:keepNext/>
              <w:spacing w:before="120" w:after="120"/>
              <w:jc w:val="center"/>
              <w:rPr>
                <w:bCs w:val="0"/>
                <w:color w:val="auto"/>
                <w:sz w:val="22"/>
                <w:szCs w:val="22"/>
              </w:rPr>
            </w:pPr>
            <w:r w:rsidRPr="00C07DCC">
              <w:rPr>
                <w:bCs w:val="0"/>
                <w:color w:val="auto"/>
                <w:sz w:val="22"/>
                <w:szCs w:val="22"/>
              </w:rPr>
              <w:t>Treatment 2A</w:t>
            </w:r>
          </w:p>
        </w:tc>
        <w:tc>
          <w:tcPr>
            <w:tcW w:w="1372" w:type="dxa"/>
          </w:tcPr>
          <w:p w:rsidR="004248D0" w:rsidRPr="00C07DCC" w:rsidP="007562A6" w14:paraId="3D68E6F8" w14:textId="1624D47A">
            <w:pPr>
              <w:pStyle w:val="BodyText"/>
              <w:keepNext/>
              <w:spacing w:before="120" w:after="120"/>
              <w:jc w:val="center"/>
              <w:rPr>
                <w:bCs w:val="0"/>
                <w:color w:val="auto"/>
                <w:sz w:val="22"/>
                <w:szCs w:val="22"/>
              </w:rPr>
            </w:pPr>
            <w:r w:rsidRPr="00C07DCC">
              <w:rPr>
                <w:bCs w:val="0"/>
                <w:color w:val="auto"/>
                <w:sz w:val="22"/>
                <w:szCs w:val="22"/>
              </w:rPr>
              <w:t>Treatment 2B</w:t>
            </w:r>
          </w:p>
        </w:tc>
      </w:tr>
      <w:tr w14:paraId="781AE979" w14:textId="77777777" w:rsidTr="007562A6">
        <w:tblPrEx>
          <w:tblW w:w="9439" w:type="dxa"/>
          <w:tblLook w:val="04A0"/>
        </w:tblPrEx>
        <w:tc>
          <w:tcPr>
            <w:tcW w:w="3955" w:type="dxa"/>
            <w:vAlign w:val="center"/>
          </w:tcPr>
          <w:p w:rsidR="004248D0" w:rsidRPr="00C07DCC" w:rsidP="007562A6" w14:paraId="293AEF0E" w14:textId="16372D3E">
            <w:pPr>
              <w:pStyle w:val="BodyText"/>
              <w:keepNext/>
              <w:spacing w:before="120" w:after="120"/>
              <w:rPr>
                <w:b w:val="0"/>
                <w:bCs w:val="0"/>
                <w:sz w:val="22"/>
                <w:szCs w:val="22"/>
              </w:rPr>
            </w:pPr>
            <w:r w:rsidRPr="00C07DCC">
              <w:rPr>
                <w:b w:val="0"/>
                <w:bCs w:val="0"/>
                <w:sz w:val="22"/>
                <w:szCs w:val="22"/>
              </w:rPr>
              <w:t>Sex at Birth Question Wording</w:t>
            </w:r>
          </w:p>
        </w:tc>
        <w:tc>
          <w:tcPr>
            <w:tcW w:w="1368" w:type="dxa"/>
          </w:tcPr>
          <w:p w:rsidR="004248D0" w:rsidRPr="00AA2AF0" w:rsidP="007562A6" w14:paraId="54F1A75A" w14:textId="4AE5F6FB">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55AE1B89" w14:textId="6D389919">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13632991" w14:textId="5C585FE1">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5E3E6E80" w14:textId="5AC8BB8E">
            <w:pPr>
              <w:pStyle w:val="BodyText"/>
              <w:keepNext/>
              <w:spacing w:before="120" w:after="120"/>
              <w:jc w:val="center"/>
              <w:rPr>
                <w:sz w:val="22"/>
                <w:szCs w:val="22"/>
              </w:rPr>
            </w:pPr>
            <w:r w:rsidRPr="00AA2AF0">
              <w:rPr>
                <w:sz w:val="22"/>
                <w:szCs w:val="22"/>
              </w:rPr>
              <w:t>Version 1</w:t>
            </w:r>
          </w:p>
        </w:tc>
      </w:tr>
      <w:tr w14:paraId="7B72F1C9" w14:textId="77777777" w:rsidTr="007562A6">
        <w:tblPrEx>
          <w:tblW w:w="9439" w:type="dxa"/>
          <w:tblLook w:val="04A0"/>
        </w:tblPrEx>
        <w:tc>
          <w:tcPr>
            <w:tcW w:w="3955" w:type="dxa"/>
            <w:vAlign w:val="center"/>
          </w:tcPr>
          <w:p w:rsidR="004248D0" w:rsidRPr="00C07DCC" w:rsidP="007562A6" w14:paraId="5FA59B96" w14:textId="12C341D6">
            <w:pPr>
              <w:pStyle w:val="BodyText"/>
              <w:keepNext/>
              <w:spacing w:before="120" w:after="120"/>
              <w:rPr>
                <w:b w:val="0"/>
                <w:bCs w:val="0"/>
                <w:sz w:val="22"/>
                <w:szCs w:val="22"/>
              </w:rPr>
            </w:pPr>
            <w:r w:rsidRPr="00C07DCC">
              <w:rPr>
                <w:b w:val="0"/>
                <w:bCs w:val="0"/>
                <w:sz w:val="22"/>
                <w:szCs w:val="22"/>
              </w:rPr>
              <w:t>Sex at Birth Write-in Display</w:t>
            </w:r>
          </w:p>
        </w:tc>
        <w:tc>
          <w:tcPr>
            <w:tcW w:w="1368" w:type="dxa"/>
          </w:tcPr>
          <w:p w:rsidR="004248D0" w:rsidRPr="00AA2AF0" w:rsidP="007562A6" w14:paraId="6F4EAD5E" w14:textId="4B473C0A">
            <w:pPr>
              <w:pStyle w:val="BodyText"/>
              <w:keepNext/>
              <w:spacing w:before="120" w:after="120"/>
              <w:jc w:val="center"/>
              <w:rPr>
                <w:sz w:val="22"/>
                <w:szCs w:val="22"/>
              </w:rPr>
            </w:pPr>
            <w:r w:rsidRPr="00AA2AF0">
              <w:rPr>
                <w:sz w:val="22"/>
                <w:szCs w:val="22"/>
              </w:rPr>
              <w:t>NA</w:t>
            </w:r>
          </w:p>
        </w:tc>
        <w:tc>
          <w:tcPr>
            <w:tcW w:w="1372" w:type="dxa"/>
          </w:tcPr>
          <w:p w:rsidR="004248D0" w:rsidRPr="00AA2AF0" w:rsidP="007562A6" w14:paraId="385DF439" w14:textId="76188597">
            <w:pPr>
              <w:pStyle w:val="BodyText"/>
              <w:keepNext/>
              <w:spacing w:before="120" w:after="120"/>
              <w:jc w:val="center"/>
              <w:rPr>
                <w:sz w:val="22"/>
                <w:szCs w:val="22"/>
              </w:rPr>
            </w:pPr>
            <w:r w:rsidRPr="00AA2AF0">
              <w:rPr>
                <w:sz w:val="22"/>
                <w:szCs w:val="22"/>
              </w:rPr>
              <w:t>NA</w:t>
            </w:r>
          </w:p>
        </w:tc>
        <w:tc>
          <w:tcPr>
            <w:tcW w:w="1372" w:type="dxa"/>
          </w:tcPr>
          <w:p w:rsidR="004248D0" w:rsidRPr="00AA2AF0" w:rsidP="007562A6" w14:paraId="076EF8F7" w14:textId="3D3A24D8">
            <w:pPr>
              <w:pStyle w:val="BodyText"/>
              <w:keepNext/>
              <w:spacing w:before="120" w:after="120"/>
              <w:jc w:val="center"/>
              <w:rPr>
                <w:sz w:val="22"/>
                <w:szCs w:val="22"/>
              </w:rPr>
            </w:pPr>
            <w:r w:rsidRPr="00AA2AF0">
              <w:rPr>
                <w:sz w:val="22"/>
                <w:szCs w:val="22"/>
              </w:rPr>
              <w:t>NA</w:t>
            </w:r>
          </w:p>
        </w:tc>
        <w:tc>
          <w:tcPr>
            <w:tcW w:w="1372" w:type="dxa"/>
          </w:tcPr>
          <w:p w:rsidR="004248D0" w:rsidRPr="00AA2AF0" w:rsidP="007562A6" w14:paraId="4751CF6E" w14:textId="0A4DFD7A">
            <w:pPr>
              <w:pStyle w:val="BodyText"/>
              <w:keepNext/>
              <w:spacing w:before="120" w:after="120"/>
              <w:jc w:val="center"/>
              <w:rPr>
                <w:sz w:val="22"/>
                <w:szCs w:val="22"/>
              </w:rPr>
            </w:pPr>
            <w:r w:rsidRPr="00AA2AF0">
              <w:rPr>
                <w:sz w:val="22"/>
                <w:szCs w:val="22"/>
              </w:rPr>
              <w:t>NA</w:t>
            </w:r>
          </w:p>
        </w:tc>
      </w:tr>
      <w:tr w14:paraId="52B870EB" w14:textId="77777777" w:rsidTr="007562A6">
        <w:tblPrEx>
          <w:tblW w:w="9439" w:type="dxa"/>
          <w:tblLook w:val="04A0"/>
        </w:tblPrEx>
        <w:tc>
          <w:tcPr>
            <w:tcW w:w="3955" w:type="dxa"/>
            <w:vAlign w:val="center"/>
          </w:tcPr>
          <w:p w:rsidR="004248D0" w:rsidRPr="00C07DCC" w:rsidP="007562A6" w14:paraId="27689C29" w14:textId="03BF5BE6">
            <w:pPr>
              <w:pStyle w:val="BodyText"/>
              <w:keepNext/>
              <w:spacing w:before="120" w:after="120"/>
              <w:rPr>
                <w:b w:val="0"/>
                <w:bCs w:val="0"/>
                <w:sz w:val="22"/>
                <w:szCs w:val="22"/>
              </w:rPr>
            </w:pPr>
            <w:r w:rsidRPr="00C07DCC">
              <w:rPr>
                <w:b w:val="0"/>
                <w:bCs w:val="0"/>
                <w:sz w:val="22"/>
                <w:szCs w:val="22"/>
              </w:rPr>
              <w:t>Current Gender Question Wording</w:t>
            </w:r>
          </w:p>
        </w:tc>
        <w:tc>
          <w:tcPr>
            <w:tcW w:w="1368" w:type="dxa"/>
          </w:tcPr>
          <w:p w:rsidR="004248D0" w:rsidRPr="00AA2AF0" w:rsidP="007562A6" w14:paraId="733BA03E" w14:textId="61AEE822">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517F5213" w14:textId="228BAC49">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1C7C7DF1" w14:textId="78B79EAB">
            <w:pPr>
              <w:pStyle w:val="BodyText"/>
              <w:keepNext/>
              <w:spacing w:before="120" w:after="120"/>
              <w:jc w:val="center"/>
              <w:rPr>
                <w:sz w:val="22"/>
                <w:szCs w:val="22"/>
              </w:rPr>
            </w:pPr>
            <w:r w:rsidRPr="00AA2AF0">
              <w:rPr>
                <w:sz w:val="22"/>
                <w:szCs w:val="22"/>
              </w:rPr>
              <w:t>Version 2</w:t>
            </w:r>
          </w:p>
        </w:tc>
        <w:tc>
          <w:tcPr>
            <w:tcW w:w="1372" w:type="dxa"/>
          </w:tcPr>
          <w:p w:rsidR="004248D0" w:rsidRPr="00AA2AF0" w:rsidP="007562A6" w14:paraId="6EF854A0" w14:textId="6B70E4B7">
            <w:pPr>
              <w:pStyle w:val="BodyText"/>
              <w:keepNext/>
              <w:spacing w:before="120" w:after="120"/>
              <w:jc w:val="center"/>
              <w:rPr>
                <w:sz w:val="22"/>
                <w:szCs w:val="22"/>
              </w:rPr>
            </w:pPr>
            <w:r w:rsidRPr="00AA2AF0">
              <w:rPr>
                <w:sz w:val="22"/>
                <w:szCs w:val="22"/>
              </w:rPr>
              <w:t>Version 2</w:t>
            </w:r>
          </w:p>
        </w:tc>
      </w:tr>
      <w:tr w14:paraId="4236500D" w14:textId="77777777" w:rsidTr="007562A6">
        <w:tblPrEx>
          <w:tblW w:w="9439" w:type="dxa"/>
          <w:tblLook w:val="04A0"/>
        </w:tblPrEx>
        <w:tc>
          <w:tcPr>
            <w:tcW w:w="3955" w:type="dxa"/>
            <w:vAlign w:val="center"/>
          </w:tcPr>
          <w:p w:rsidR="004248D0" w:rsidRPr="00C07DCC" w:rsidP="007562A6" w14:paraId="61A77477" w14:textId="28437FA6">
            <w:pPr>
              <w:pStyle w:val="BodyText"/>
              <w:keepNext/>
              <w:spacing w:before="120" w:after="120"/>
              <w:rPr>
                <w:b w:val="0"/>
                <w:bCs w:val="0"/>
                <w:sz w:val="22"/>
                <w:szCs w:val="22"/>
              </w:rPr>
            </w:pPr>
            <w:r w:rsidRPr="00C07DCC">
              <w:rPr>
                <w:b w:val="0"/>
                <w:bCs w:val="0"/>
                <w:sz w:val="22"/>
                <w:szCs w:val="22"/>
              </w:rPr>
              <w:t>Current Gender Write-in Display</w:t>
            </w:r>
          </w:p>
        </w:tc>
        <w:tc>
          <w:tcPr>
            <w:tcW w:w="1368" w:type="dxa"/>
          </w:tcPr>
          <w:p w:rsidR="004248D0" w:rsidRPr="00AA2AF0" w:rsidP="007562A6" w14:paraId="702BE773" w14:textId="0C3911F0">
            <w:pPr>
              <w:pStyle w:val="BodyText"/>
              <w:keepNext/>
              <w:spacing w:before="120" w:after="120"/>
              <w:jc w:val="center"/>
              <w:rPr>
                <w:sz w:val="22"/>
                <w:szCs w:val="22"/>
              </w:rPr>
            </w:pPr>
            <w:r w:rsidRPr="00AA2AF0">
              <w:rPr>
                <w:sz w:val="22"/>
                <w:szCs w:val="22"/>
              </w:rPr>
              <w:t>Version A</w:t>
            </w:r>
          </w:p>
        </w:tc>
        <w:tc>
          <w:tcPr>
            <w:tcW w:w="1372" w:type="dxa"/>
          </w:tcPr>
          <w:p w:rsidR="004248D0" w:rsidRPr="00AA2AF0" w:rsidP="007562A6" w14:paraId="5F5B0808" w14:textId="528969F9">
            <w:pPr>
              <w:pStyle w:val="BodyText"/>
              <w:keepNext/>
              <w:spacing w:before="120" w:after="120"/>
              <w:jc w:val="center"/>
              <w:rPr>
                <w:sz w:val="22"/>
                <w:szCs w:val="22"/>
              </w:rPr>
            </w:pPr>
            <w:r w:rsidRPr="00AA2AF0">
              <w:rPr>
                <w:sz w:val="22"/>
                <w:szCs w:val="22"/>
              </w:rPr>
              <w:t>Version B</w:t>
            </w:r>
          </w:p>
        </w:tc>
        <w:tc>
          <w:tcPr>
            <w:tcW w:w="1372" w:type="dxa"/>
          </w:tcPr>
          <w:p w:rsidR="004248D0" w:rsidRPr="00AA2AF0" w:rsidP="007562A6" w14:paraId="4250126B" w14:textId="4840D40E">
            <w:pPr>
              <w:pStyle w:val="BodyText"/>
              <w:keepNext/>
              <w:spacing w:before="120" w:after="120"/>
              <w:jc w:val="center"/>
              <w:rPr>
                <w:sz w:val="22"/>
                <w:szCs w:val="22"/>
              </w:rPr>
            </w:pPr>
            <w:r w:rsidRPr="00AA2AF0">
              <w:rPr>
                <w:sz w:val="22"/>
                <w:szCs w:val="22"/>
              </w:rPr>
              <w:t>Version A</w:t>
            </w:r>
          </w:p>
        </w:tc>
        <w:tc>
          <w:tcPr>
            <w:tcW w:w="1372" w:type="dxa"/>
          </w:tcPr>
          <w:p w:rsidR="004248D0" w:rsidRPr="00AA2AF0" w:rsidP="007562A6" w14:paraId="14DF61D9" w14:textId="482003BC">
            <w:pPr>
              <w:pStyle w:val="BodyText"/>
              <w:keepNext/>
              <w:spacing w:before="120" w:after="120"/>
              <w:jc w:val="center"/>
              <w:rPr>
                <w:sz w:val="22"/>
                <w:szCs w:val="22"/>
              </w:rPr>
            </w:pPr>
            <w:r w:rsidRPr="00AA2AF0">
              <w:rPr>
                <w:sz w:val="22"/>
                <w:szCs w:val="22"/>
              </w:rPr>
              <w:t>Version B</w:t>
            </w:r>
          </w:p>
        </w:tc>
      </w:tr>
      <w:tr w14:paraId="058A7CFD" w14:textId="77777777" w:rsidTr="007562A6">
        <w:tblPrEx>
          <w:tblW w:w="9439" w:type="dxa"/>
          <w:tblLook w:val="04A0"/>
        </w:tblPrEx>
        <w:tc>
          <w:tcPr>
            <w:tcW w:w="3955" w:type="dxa"/>
            <w:vAlign w:val="center"/>
          </w:tcPr>
          <w:p w:rsidR="004248D0" w:rsidRPr="00C07DCC" w:rsidP="007562A6" w14:paraId="606B4BA0" w14:textId="3A74727A">
            <w:pPr>
              <w:pStyle w:val="BodyText"/>
              <w:keepNext/>
              <w:spacing w:before="120" w:after="120"/>
              <w:rPr>
                <w:b w:val="0"/>
                <w:bCs w:val="0"/>
                <w:sz w:val="22"/>
                <w:szCs w:val="22"/>
              </w:rPr>
            </w:pPr>
            <w:r w:rsidRPr="00C07DCC">
              <w:rPr>
                <w:b w:val="0"/>
                <w:bCs w:val="0"/>
                <w:sz w:val="22"/>
                <w:szCs w:val="22"/>
              </w:rPr>
              <w:t>Sexual Orientation Question Wording</w:t>
            </w:r>
          </w:p>
        </w:tc>
        <w:tc>
          <w:tcPr>
            <w:tcW w:w="1368" w:type="dxa"/>
          </w:tcPr>
          <w:p w:rsidR="004248D0" w:rsidRPr="00AA2AF0" w:rsidP="007562A6" w14:paraId="0F411DC2" w14:textId="7676349B">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501F4CC7" w14:textId="2FCD0603">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5BD15C10" w14:textId="676C638D">
            <w:pPr>
              <w:pStyle w:val="BodyText"/>
              <w:keepNext/>
              <w:spacing w:before="120" w:after="120"/>
              <w:jc w:val="center"/>
              <w:rPr>
                <w:sz w:val="22"/>
                <w:szCs w:val="22"/>
              </w:rPr>
            </w:pPr>
            <w:r w:rsidRPr="00AA2AF0">
              <w:rPr>
                <w:sz w:val="22"/>
                <w:szCs w:val="22"/>
              </w:rPr>
              <w:t>Version 1</w:t>
            </w:r>
          </w:p>
        </w:tc>
        <w:tc>
          <w:tcPr>
            <w:tcW w:w="1372" w:type="dxa"/>
          </w:tcPr>
          <w:p w:rsidR="004248D0" w:rsidRPr="00AA2AF0" w:rsidP="007562A6" w14:paraId="09C5AFA0" w14:textId="4433F67C">
            <w:pPr>
              <w:pStyle w:val="BodyText"/>
              <w:keepNext/>
              <w:spacing w:before="120" w:after="120"/>
              <w:jc w:val="center"/>
              <w:rPr>
                <w:sz w:val="22"/>
                <w:szCs w:val="22"/>
              </w:rPr>
            </w:pPr>
            <w:r w:rsidRPr="00AA2AF0">
              <w:rPr>
                <w:sz w:val="22"/>
                <w:szCs w:val="22"/>
              </w:rPr>
              <w:t>Version 1</w:t>
            </w:r>
          </w:p>
        </w:tc>
      </w:tr>
      <w:tr w14:paraId="2FDF5651" w14:textId="77777777" w:rsidTr="007562A6">
        <w:tblPrEx>
          <w:tblW w:w="9439" w:type="dxa"/>
          <w:tblLook w:val="04A0"/>
        </w:tblPrEx>
        <w:tc>
          <w:tcPr>
            <w:tcW w:w="3955" w:type="dxa"/>
            <w:vAlign w:val="center"/>
          </w:tcPr>
          <w:p w:rsidR="004248D0" w:rsidRPr="00C07DCC" w:rsidP="007562A6" w14:paraId="5E28FF58" w14:textId="3989368C">
            <w:pPr>
              <w:pStyle w:val="BodyText"/>
              <w:keepNext/>
              <w:spacing w:before="120" w:after="120"/>
              <w:rPr>
                <w:b w:val="0"/>
                <w:bCs w:val="0"/>
                <w:sz w:val="22"/>
                <w:szCs w:val="22"/>
              </w:rPr>
            </w:pPr>
            <w:r w:rsidRPr="00C07DCC">
              <w:rPr>
                <w:b w:val="0"/>
                <w:bCs w:val="0"/>
                <w:sz w:val="22"/>
                <w:szCs w:val="22"/>
              </w:rPr>
              <w:t>Sexual Orientation Write-in Display</w:t>
            </w:r>
          </w:p>
        </w:tc>
        <w:tc>
          <w:tcPr>
            <w:tcW w:w="1368" w:type="dxa"/>
          </w:tcPr>
          <w:p w:rsidR="004248D0" w:rsidRPr="00AA2AF0" w:rsidP="007562A6" w14:paraId="65D8CB27" w14:textId="640DFBDB">
            <w:pPr>
              <w:pStyle w:val="BodyText"/>
              <w:keepNext/>
              <w:spacing w:before="120" w:after="120"/>
              <w:jc w:val="center"/>
              <w:rPr>
                <w:sz w:val="22"/>
                <w:szCs w:val="22"/>
              </w:rPr>
            </w:pPr>
            <w:r w:rsidRPr="00AA2AF0">
              <w:rPr>
                <w:sz w:val="22"/>
                <w:szCs w:val="22"/>
              </w:rPr>
              <w:t>Version A</w:t>
            </w:r>
          </w:p>
        </w:tc>
        <w:tc>
          <w:tcPr>
            <w:tcW w:w="1372" w:type="dxa"/>
          </w:tcPr>
          <w:p w:rsidR="004248D0" w:rsidRPr="00AA2AF0" w:rsidP="007562A6" w14:paraId="48F67E7E" w14:textId="0783E4E4">
            <w:pPr>
              <w:pStyle w:val="BodyText"/>
              <w:keepNext/>
              <w:spacing w:before="120" w:after="120"/>
              <w:jc w:val="center"/>
              <w:rPr>
                <w:sz w:val="22"/>
                <w:szCs w:val="22"/>
              </w:rPr>
            </w:pPr>
            <w:r w:rsidRPr="00AA2AF0">
              <w:rPr>
                <w:sz w:val="22"/>
                <w:szCs w:val="22"/>
              </w:rPr>
              <w:t>Version B</w:t>
            </w:r>
          </w:p>
        </w:tc>
        <w:tc>
          <w:tcPr>
            <w:tcW w:w="1372" w:type="dxa"/>
          </w:tcPr>
          <w:p w:rsidR="004248D0" w:rsidRPr="00AA2AF0" w:rsidP="007562A6" w14:paraId="335F941F" w14:textId="69F0BA9E">
            <w:pPr>
              <w:pStyle w:val="BodyText"/>
              <w:keepNext/>
              <w:spacing w:before="120" w:after="120"/>
              <w:jc w:val="center"/>
              <w:rPr>
                <w:sz w:val="22"/>
                <w:szCs w:val="22"/>
              </w:rPr>
            </w:pPr>
            <w:r w:rsidRPr="00AA2AF0">
              <w:rPr>
                <w:sz w:val="22"/>
                <w:szCs w:val="22"/>
              </w:rPr>
              <w:t>Version A</w:t>
            </w:r>
          </w:p>
        </w:tc>
        <w:tc>
          <w:tcPr>
            <w:tcW w:w="1372" w:type="dxa"/>
          </w:tcPr>
          <w:p w:rsidR="004248D0" w:rsidRPr="00AA2AF0" w:rsidP="007562A6" w14:paraId="74C235C3" w14:textId="53343DA7">
            <w:pPr>
              <w:pStyle w:val="BodyText"/>
              <w:keepNext/>
              <w:spacing w:before="120" w:after="120"/>
              <w:jc w:val="center"/>
              <w:rPr>
                <w:sz w:val="22"/>
                <w:szCs w:val="22"/>
              </w:rPr>
            </w:pPr>
            <w:r w:rsidRPr="00AA2AF0">
              <w:rPr>
                <w:sz w:val="22"/>
                <w:szCs w:val="22"/>
              </w:rPr>
              <w:t>Version B</w:t>
            </w:r>
          </w:p>
        </w:tc>
      </w:tr>
    </w:tbl>
    <w:p w:rsidR="003D76CF" w:rsidP="003D76CF" w14:paraId="4FE147C4" w14:textId="77777777">
      <w:pPr>
        <w:pStyle w:val="BodyText"/>
        <w:spacing w:after="0"/>
      </w:pPr>
    </w:p>
    <w:p w:rsidR="00785400" w:rsidP="000C19F6" w14:paraId="22ECE170" w14:textId="05B02B29">
      <w:pPr>
        <w:pStyle w:val="BodyText"/>
      </w:pPr>
      <w:r>
        <w:t>W</w:t>
      </w:r>
      <w:r>
        <w:t xml:space="preserve">hen evaluating differences between the two versions of the </w:t>
      </w:r>
      <w:r w:rsidR="00B645FE">
        <w:t>C</w:t>
      </w:r>
      <w:r>
        <w:t xml:space="preserve">urrent </w:t>
      </w:r>
      <w:r w:rsidR="00B645FE">
        <w:t>G</w:t>
      </w:r>
      <w:r>
        <w:t>ender question, Treatments 1A and 1B will</w:t>
      </w:r>
      <w:r w:rsidR="00F31CEB">
        <w:t xml:space="preserve"> be</w:t>
      </w:r>
      <w:r>
        <w:t xml:space="preserve"> analyzed together as Treatment 1, and Treatments 2A and 2B will be analyzed together as Treatment 2. Likewise, when evaluating differences between the two </w:t>
      </w:r>
      <w:r>
        <w:t xml:space="preserve">write-in box styles in the internet mode, </w:t>
      </w:r>
      <w:r w:rsidR="003D76CF">
        <w:t>Treatments 1A and 2A will be analyzed together</w:t>
      </w:r>
      <w:r w:rsidR="006A71D9">
        <w:t xml:space="preserve"> as Treatment A,</w:t>
      </w:r>
      <w:r w:rsidR="003D76CF">
        <w:t xml:space="preserve"> and Treatments 1B and 2B will be analyzed together</w:t>
      </w:r>
      <w:r w:rsidR="006A71D9">
        <w:t xml:space="preserve"> as Treatment B</w:t>
      </w:r>
      <w:r w:rsidR="003D76CF">
        <w:t>.</w:t>
      </w:r>
    </w:p>
    <w:p w:rsidR="0075775C" w:rsidP="0075775C" w14:paraId="0DCB0E19" w14:textId="439F6ABE">
      <w:pPr>
        <w:pStyle w:val="Heading2"/>
      </w:pPr>
      <w:bookmarkStart w:id="35" w:name="_Toc164241843"/>
      <w:r>
        <w:t>Research Questions</w:t>
      </w:r>
      <w:bookmarkEnd w:id="35"/>
    </w:p>
    <w:p w:rsidR="00AD082D" w:rsidRPr="00AD082D" w:rsidP="00BA6DA3" w14:paraId="2E57C26C" w14:textId="04CA7243">
      <w:pPr>
        <w:pStyle w:val="BodyText"/>
        <w:keepNext/>
        <w:rPr>
          <w:b/>
          <w:bCs/>
        </w:rPr>
      </w:pPr>
      <w:r w:rsidRPr="00AD082D">
        <w:rPr>
          <w:b/>
          <w:bCs/>
        </w:rPr>
        <w:t>Gender Identity Questions</w:t>
      </w:r>
    </w:p>
    <w:p w:rsidR="00AD082D" w:rsidRPr="00AD082D" w:rsidP="007258BC" w14:paraId="77CA6254" w14:textId="5EA13EBD">
      <w:pPr>
        <w:keepNext/>
        <w:spacing w:after="160"/>
        <w:rPr>
          <w:rFonts w:ascii="Calibri" w:eastAsia="Calibri" w:hAnsi="Calibri" w:cs="Calibri"/>
          <w:i/>
          <w:iCs/>
          <w:szCs w:val="20"/>
        </w:rPr>
      </w:pPr>
      <w:r w:rsidRPr="00AD082D">
        <w:rPr>
          <w:rFonts w:ascii="Calibri" w:eastAsia="Calibri" w:hAnsi="Calibri" w:cs="Calibri"/>
          <w:i/>
          <w:iCs/>
          <w:szCs w:val="20"/>
        </w:rPr>
        <w:t>Benchmarks</w:t>
      </w:r>
      <w:r>
        <w:rPr>
          <w:rStyle w:val="FootnoteReference"/>
          <w:rFonts w:ascii="Calibri" w:eastAsia="Calibri" w:hAnsi="Calibri" w:cs="Calibri"/>
          <w:i/>
          <w:iCs/>
          <w:szCs w:val="20"/>
        </w:rPr>
        <w:footnoteReference w:id="20"/>
      </w:r>
    </w:p>
    <w:p w:rsidR="00AD082D" w:rsidRPr="00AD082D" w:rsidP="007258BC" w14:paraId="2A2B1A17" w14:textId="0954043F">
      <w:pPr>
        <w:keepNext/>
        <w:numPr>
          <w:ilvl w:val="0"/>
          <w:numId w:val="11"/>
        </w:numPr>
        <w:spacing w:after="240"/>
        <w:rPr>
          <w:rFonts w:ascii="Calibri" w:eastAsia="Calibri" w:hAnsi="Calibri" w:cs="Times New Roman"/>
        </w:rPr>
      </w:pPr>
      <w:r w:rsidRPr="00AD082D">
        <w:rPr>
          <w:rFonts w:ascii="Calibri" w:eastAsia="Calibri" w:hAnsi="Calibri" w:cs="Times New Roman"/>
        </w:rPr>
        <w:t xml:space="preserve">How do the gender identity </w:t>
      </w:r>
      <w:r w:rsidRPr="00AD082D">
        <w:rPr>
          <w:rFonts w:ascii="Calibri" w:eastAsia="Calibri" w:hAnsi="Calibri" w:cs="Times New Roman"/>
        </w:rPr>
        <w:t>estimates</w:t>
      </w:r>
      <w:r w:rsidRPr="00AD082D">
        <w:rPr>
          <w:rFonts w:ascii="Calibri" w:eastAsia="Calibri" w:hAnsi="Calibri" w:cs="Times New Roman"/>
        </w:rPr>
        <w:t xml:space="preserve"> from each treatment compare to those from: </w:t>
      </w:r>
    </w:p>
    <w:p w:rsidR="00AD082D" w:rsidP="007258BC" w14:paraId="5294BBA5" w14:textId="003AEF9D">
      <w:pPr>
        <w:pStyle w:val="ListParagraph"/>
        <w:keepNext/>
        <w:numPr>
          <w:ilvl w:val="0"/>
          <w:numId w:val="26"/>
        </w:numPr>
        <w:spacing w:after="240"/>
        <w:rPr>
          <w:rFonts w:ascii="Calibri" w:eastAsia="Calibri" w:hAnsi="Calibri" w:cs="Times New Roman"/>
        </w:rPr>
      </w:pPr>
      <w:r w:rsidRPr="00AD082D">
        <w:rPr>
          <w:rFonts w:ascii="Calibri" w:eastAsia="Calibri" w:hAnsi="Calibri" w:cs="Times New Roman"/>
        </w:rPr>
        <w:t xml:space="preserve">National Health Interview Survey </w:t>
      </w:r>
      <w:r w:rsidR="00A03432">
        <w:rPr>
          <w:rFonts w:ascii="Calibri" w:eastAsia="Calibri" w:hAnsi="Calibri" w:cs="Times New Roman"/>
        </w:rPr>
        <w:t xml:space="preserve">(most recent </w:t>
      </w:r>
      <w:r w:rsidR="004F797A">
        <w:rPr>
          <w:rFonts w:ascii="Calibri" w:eastAsia="Calibri" w:hAnsi="Calibri" w:cs="Times New Roman"/>
        </w:rPr>
        <w:t xml:space="preserve">estimates </w:t>
      </w:r>
      <w:r w:rsidR="00A03432">
        <w:rPr>
          <w:rFonts w:ascii="Calibri" w:eastAsia="Calibri" w:hAnsi="Calibri" w:cs="Times New Roman"/>
        </w:rPr>
        <w:t>available)</w:t>
      </w:r>
    </w:p>
    <w:p w:rsidR="004F797A" w:rsidRPr="00AD082D" w:rsidP="00AD082D" w14:paraId="1674E84D" w14:textId="20F2B102">
      <w:pPr>
        <w:pStyle w:val="ListParagraph"/>
        <w:numPr>
          <w:ilvl w:val="0"/>
          <w:numId w:val="26"/>
        </w:numPr>
        <w:spacing w:after="240"/>
        <w:rPr>
          <w:rFonts w:ascii="Calibri" w:eastAsia="Calibri" w:hAnsi="Calibri" w:cs="Times New Roman"/>
        </w:rPr>
      </w:pPr>
      <w:r>
        <w:rPr>
          <w:rFonts w:ascii="Calibri" w:eastAsia="Calibri" w:hAnsi="Calibri" w:cs="Times New Roman"/>
        </w:rPr>
        <w:t>National Crime Victimization Survey (most recent estimates available)</w:t>
      </w:r>
    </w:p>
    <w:p w:rsidR="00AD082D" w:rsidRPr="00AD082D" w:rsidP="00AD082D" w14:paraId="2EEF9A3C" w14:textId="45B3E85E">
      <w:pPr>
        <w:pStyle w:val="ListParagraph"/>
        <w:numPr>
          <w:ilvl w:val="0"/>
          <w:numId w:val="26"/>
        </w:numPr>
        <w:spacing w:after="240"/>
        <w:rPr>
          <w:rFonts w:ascii="Calibri" w:eastAsia="Calibri" w:hAnsi="Calibri" w:cs="Times New Roman"/>
        </w:rPr>
      </w:pPr>
      <w:r w:rsidRPr="00AD082D">
        <w:rPr>
          <w:rFonts w:ascii="Calibri" w:eastAsia="Calibri" w:hAnsi="Calibri" w:cs="Times New Roman"/>
        </w:rPr>
        <w:t>Household Pulse Survey</w:t>
      </w:r>
      <w:r w:rsidR="00A03432">
        <w:rPr>
          <w:rFonts w:ascii="Calibri" w:eastAsia="Calibri" w:hAnsi="Calibri" w:cs="Times New Roman"/>
        </w:rPr>
        <w:t xml:space="preserve"> (most recent phase available)</w:t>
      </w:r>
    </w:p>
    <w:p w:rsidR="00567279" w:rsidRPr="00AD082D" w:rsidP="00AD082D" w14:paraId="08A8A3B4" w14:textId="31F42613">
      <w:pPr>
        <w:pStyle w:val="ListParagraph"/>
        <w:numPr>
          <w:ilvl w:val="0"/>
          <w:numId w:val="26"/>
        </w:numPr>
        <w:spacing w:after="240"/>
        <w:rPr>
          <w:rFonts w:ascii="Calibri" w:eastAsia="Calibri" w:hAnsi="Calibri" w:cs="Times New Roman"/>
        </w:rPr>
      </w:pPr>
      <w:r>
        <w:rPr>
          <w:rFonts w:ascii="Calibri" w:eastAsia="Calibri" w:hAnsi="Calibri" w:cs="Times New Roman"/>
        </w:rPr>
        <w:t xml:space="preserve">Estimates from </w:t>
      </w:r>
      <w:r w:rsidR="00971643">
        <w:rPr>
          <w:rFonts w:ascii="Calibri" w:eastAsia="Calibri" w:hAnsi="Calibri" w:cs="Times New Roman"/>
        </w:rPr>
        <w:t>the Williams Institute (</w:t>
      </w:r>
      <w:r>
        <w:rPr>
          <w:rFonts w:ascii="Calibri" w:eastAsia="Calibri" w:hAnsi="Calibri" w:cs="Times New Roman"/>
        </w:rPr>
        <w:t>Herman et al.</w:t>
      </w:r>
      <w:r w:rsidR="00971643">
        <w:rPr>
          <w:rFonts w:ascii="Calibri" w:eastAsia="Calibri" w:hAnsi="Calibri" w:cs="Times New Roman"/>
        </w:rPr>
        <w:t xml:space="preserve">, </w:t>
      </w:r>
      <w:r>
        <w:rPr>
          <w:rFonts w:ascii="Calibri" w:eastAsia="Calibri" w:hAnsi="Calibri" w:cs="Times New Roman"/>
        </w:rPr>
        <w:t>2022)</w:t>
      </w:r>
      <w:r>
        <w:rPr>
          <w:rStyle w:val="FootnoteReference"/>
          <w:rFonts w:ascii="Calibri" w:eastAsia="Calibri" w:hAnsi="Calibri" w:cs="Times New Roman"/>
        </w:rPr>
        <w:footnoteReference w:id="21"/>
      </w:r>
    </w:p>
    <w:p w:rsidR="00AD082D" w:rsidRPr="00AD082D" w:rsidP="00AD082D" w14:paraId="52BF5BAF" w14:textId="06BCF787">
      <w:pPr>
        <w:pStyle w:val="ListParagraph"/>
        <w:numPr>
          <w:ilvl w:val="0"/>
          <w:numId w:val="26"/>
        </w:numPr>
        <w:spacing w:after="240"/>
        <w:rPr>
          <w:rFonts w:ascii="Calibri" w:eastAsia="Calibri" w:hAnsi="Calibri" w:cs="Times New Roman"/>
        </w:rPr>
      </w:pPr>
      <w:r>
        <w:rPr>
          <w:rFonts w:ascii="Calibri" w:eastAsia="Calibri" w:hAnsi="Calibri" w:cs="Times New Roman"/>
        </w:rPr>
        <w:t xml:space="preserve">2022 </w:t>
      </w:r>
      <w:r w:rsidRPr="00AD082D">
        <w:rPr>
          <w:rFonts w:ascii="Calibri" w:eastAsia="Calibri" w:hAnsi="Calibri" w:cs="Times New Roman"/>
        </w:rPr>
        <w:t xml:space="preserve">Gallup </w:t>
      </w:r>
      <w:r>
        <w:rPr>
          <w:rFonts w:ascii="Calibri" w:eastAsia="Calibri" w:hAnsi="Calibri" w:cs="Times New Roman"/>
        </w:rPr>
        <w:t>telephone surveys</w:t>
      </w:r>
    </w:p>
    <w:p w:rsidR="00AD082D" w:rsidRPr="00AD082D" w:rsidP="00AD082D" w14:paraId="122D18FA" w14:textId="61D899D2">
      <w:pPr>
        <w:pStyle w:val="ListParagraph"/>
        <w:numPr>
          <w:ilvl w:val="0"/>
          <w:numId w:val="26"/>
        </w:numPr>
        <w:spacing w:after="240"/>
        <w:rPr>
          <w:rFonts w:ascii="Calibri" w:eastAsia="Calibri" w:hAnsi="Calibri" w:cs="Times New Roman"/>
        </w:rPr>
      </w:pPr>
      <w:r>
        <w:rPr>
          <w:rFonts w:ascii="Calibri" w:eastAsia="Calibri" w:hAnsi="Calibri" w:cs="Times New Roman"/>
        </w:rPr>
        <w:t>Statistics Canada 2021 Census of Population</w:t>
      </w:r>
    </w:p>
    <w:p w:rsidR="00AD082D" w:rsidP="00AD082D" w14:paraId="6723DE79" w14:textId="0CF10AC9">
      <w:pPr>
        <w:pStyle w:val="ListParagraph"/>
        <w:numPr>
          <w:ilvl w:val="0"/>
          <w:numId w:val="26"/>
        </w:numPr>
        <w:spacing w:after="240"/>
        <w:rPr>
          <w:rFonts w:ascii="Calibri" w:eastAsia="Calibri" w:hAnsi="Calibri" w:cs="Times New Roman"/>
        </w:rPr>
      </w:pPr>
      <w:r w:rsidRPr="00AD082D">
        <w:rPr>
          <w:rFonts w:ascii="Calibri" w:eastAsia="Calibri" w:hAnsi="Calibri" w:cs="Times New Roman"/>
        </w:rPr>
        <w:t xml:space="preserve">The United Kingdom’s Census </w:t>
      </w:r>
      <w:r w:rsidR="00DA2960">
        <w:rPr>
          <w:rFonts w:ascii="Calibri" w:eastAsia="Calibri" w:hAnsi="Calibri" w:cs="Times New Roman"/>
        </w:rPr>
        <w:t>2021</w:t>
      </w:r>
      <w:r w:rsidR="004807A4">
        <w:rPr>
          <w:rFonts w:ascii="Calibri" w:eastAsia="Calibri" w:hAnsi="Calibri" w:cs="Times New Roman"/>
        </w:rPr>
        <w:t xml:space="preserve"> (England and Wales)</w:t>
      </w:r>
    </w:p>
    <w:p w:rsidR="00A03432" w:rsidRPr="0055415B" w:rsidP="0055415B" w14:paraId="16377E50" w14:textId="220AC2F2">
      <w:pPr>
        <w:pStyle w:val="ListParagraph"/>
        <w:numPr>
          <w:ilvl w:val="0"/>
          <w:numId w:val="26"/>
        </w:numPr>
        <w:spacing w:after="240"/>
        <w:rPr>
          <w:rFonts w:ascii="Calibri" w:eastAsia="Calibri" w:hAnsi="Calibri" w:cs="Times New Roman"/>
        </w:rPr>
      </w:pPr>
      <w:r>
        <w:rPr>
          <w:rFonts w:ascii="Calibri" w:eastAsia="Calibri" w:hAnsi="Calibri" w:cs="Times New Roman"/>
        </w:rPr>
        <w:t>New Zealand 2023 Census</w:t>
      </w:r>
    </w:p>
    <w:p w:rsidR="005E6449" w:rsidP="00AD082D" w14:paraId="4D169871" w14:textId="02138F1F">
      <w:pPr>
        <w:pStyle w:val="ListParagraph"/>
        <w:numPr>
          <w:ilvl w:val="0"/>
          <w:numId w:val="26"/>
        </w:numPr>
        <w:spacing w:after="240"/>
        <w:rPr>
          <w:rFonts w:ascii="Calibri" w:eastAsia="Calibri" w:hAnsi="Calibri" w:cs="Times New Roman"/>
        </w:rPr>
      </w:pPr>
      <w:r>
        <w:rPr>
          <w:rFonts w:ascii="Calibri" w:eastAsia="Calibri" w:hAnsi="Calibri" w:cs="Times New Roman"/>
        </w:rPr>
        <w:t xml:space="preserve">ACS </w:t>
      </w:r>
      <w:r>
        <w:rPr>
          <w:rFonts w:ascii="Calibri" w:eastAsia="Calibri" w:hAnsi="Calibri" w:cs="Times New Roman"/>
        </w:rPr>
        <w:t>Production (comparing Sex and Sex at Birth)</w:t>
      </w:r>
    </w:p>
    <w:p w:rsidR="00334509" w:rsidRPr="00334509" w:rsidP="00334509" w14:paraId="075A52C1" w14:textId="66E50BE6">
      <w:pPr>
        <w:spacing w:after="240"/>
        <w:ind w:left="1080"/>
        <w:rPr>
          <w:rFonts w:ascii="Calibri" w:eastAsia="Calibri" w:hAnsi="Calibri" w:cs="Times New Roman"/>
        </w:rPr>
      </w:pPr>
      <w:r>
        <w:rPr>
          <w:rFonts w:ascii="Calibri" w:eastAsia="Calibri" w:hAnsi="Calibri" w:cs="Times New Roman"/>
        </w:rPr>
        <w:t>Estimates will be compared for the population as a whole and broken down by age, for benchmark sources where gender identity by age is available.</w:t>
      </w:r>
    </w:p>
    <w:p w:rsidR="00AD082D" w:rsidRPr="00AD082D" w:rsidP="00AD082D" w14:paraId="661AB5E0" w14:textId="45EC9C31">
      <w:pPr>
        <w:numPr>
          <w:ilvl w:val="0"/>
          <w:numId w:val="11"/>
        </w:numPr>
        <w:spacing w:after="240"/>
        <w:rPr>
          <w:rFonts w:ascii="Calibri" w:eastAsia="Calibri" w:hAnsi="Calibri" w:cs="Times New Roman"/>
        </w:rPr>
      </w:pPr>
      <w:r w:rsidRPr="00AD082D">
        <w:rPr>
          <w:rFonts w:ascii="Calibri" w:eastAsia="Calibri" w:hAnsi="Calibri" w:cs="Times New Roman"/>
        </w:rPr>
        <w:t xml:space="preserve">How does the item missing data rate for </w:t>
      </w:r>
      <w:r w:rsidR="00361D6F">
        <w:rPr>
          <w:rFonts w:ascii="Calibri" w:eastAsia="Calibri" w:hAnsi="Calibri" w:cs="Times New Roman"/>
        </w:rPr>
        <w:t>S</w:t>
      </w:r>
      <w:r w:rsidRPr="00AD082D">
        <w:rPr>
          <w:rFonts w:ascii="Calibri" w:eastAsia="Calibri" w:hAnsi="Calibri" w:cs="Times New Roman"/>
        </w:rPr>
        <w:t xml:space="preserve">ex at </w:t>
      </w:r>
      <w:r w:rsidR="00361D6F">
        <w:rPr>
          <w:rFonts w:ascii="Calibri" w:eastAsia="Calibri" w:hAnsi="Calibri" w:cs="Times New Roman"/>
        </w:rPr>
        <w:t>B</w:t>
      </w:r>
      <w:r w:rsidRPr="00AD082D">
        <w:rPr>
          <w:rFonts w:ascii="Calibri" w:eastAsia="Calibri" w:hAnsi="Calibri" w:cs="Times New Roman"/>
        </w:rPr>
        <w:t xml:space="preserve">irth </w:t>
      </w:r>
      <w:r w:rsidR="004807A4">
        <w:rPr>
          <w:rFonts w:ascii="Calibri" w:eastAsia="Calibri" w:hAnsi="Calibri" w:cs="Times New Roman"/>
        </w:rPr>
        <w:t xml:space="preserve">nominally </w:t>
      </w:r>
      <w:r w:rsidRPr="00AD082D">
        <w:rPr>
          <w:rFonts w:ascii="Calibri" w:eastAsia="Calibri" w:hAnsi="Calibri" w:cs="Times New Roman"/>
        </w:rPr>
        <w:t>compare</w:t>
      </w:r>
      <w:r w:rsidRPr="00AD082D">
        <w:rPr>
          <w:rFonts w:ascii="Calibri" w:eastAsia="Calibri" w:hAnsi="Calibri" w:cs="Times New Roman"/>
        </w:rPr>
        <w:t xml:space="preserve"> to the </w:t>
      </w:r>
      <w:r w:rsidR="00361D6F">
        <w:rPr>
          <w:rFonts w:ascii="Calibri" w:eastAsia="Calibri" w:hAnsi="Calibri" w:cs="Times New Roman"/>
        </w:rPr>
        <w:t>S</w:t>
      </w:r>
      <w:r w:rsidRPr="00AD082D">
        <w:rPr>
          <w:rFonts w:ascii="Calibri" w:eastAsia="Calibri" w:hAnsi="Calibri" w:cs="Times New Roman"/>
        </w:rPr>
        <w:t xml:space="preserve">ex question from </w:t>
      </w:r>
      <w:r w:rsidR="00763AE4">
        <w:rPr>
          <w:rFonts w:ascii="Calibri" w:eastAsia="Calibri" w:hAnsi="Calibri" w:cs="Times New Roman"/>
        </w:rPr>
        <w:t xml:space="preserve">ACS </w:t>
      </w:r>
      <w:r w:rsidRPr="00AD082D">
        <w:rPr>
          <w:rFonts w:ascii="Calibri" w:eastAsia="Calibri" w:hAnsi="Calibri" w:cs="Times New Roman"/>
        </w:rPr>
        <w:t xml:space="preserve">production? How does the item missing data rate for the entire </w:t>
      </w:r>
      <w:r w:rsidR="00361D6F">
        <w:rPr>
          <w:rFonts w:ascii="Calibri" w:eastAsia="Calibri" w:hAnsi="Calibri" w:cs="Times New Roman"/>
        </w:rPr>
        <w:t>G</w:t>
      </w:r>
      <w:r w:rsidRPr="00AD082D">
        <w:rPr>
          <w:rFonts w:ascii="Calibri" w:eastAsia="Calibri" w:hAnsi="Calibri" w:cs="Times New Roman"/>
        </w:rPr>
        <w:t xml:space="preserve">ender </w:t>
      </w:r>
      <w:r w:rsidR="00361D6F">
        <w:rPr>
          <w:rFonts w:ascii="Calibri" w:eastAsia="Calibri" w:hAnsi="Calibri" w:cs="Times New Roman"/>
        </w:rPr>
        <w:t>I</w:t>
      </w:r>
      <w:r w:rsidRPr="00AD082D">
        <w:rPr>
          <w:rFonts w:ascii="Calibri" w:eastAsia="Calibri" w:hAnsi="Calibri" w:cs="Times New Roman"/>
        </w:rPr>
        <w:t>dentity series</w:t>
      </w:r>
      <w:r w:rsidR="004807A4">
        <w:rPr>
          <w:rFonts w:ascii="Calibri" w:eastAsia="Calibri" w:hAnsi="Calibri" w:cs="Times New Roman"/>
        </w:rPr>
        <w:t xml:space="preserve"> nominally</w:t>
      </w:r>
      <w:r w:rsidRPr="00AD082D">
        <w:rPr>
          <w:rFonts w:ascii="Calibri" w:eastAsia="Calibri" w:hAnsi="Calibri" w:cs="Times New Roman"/>
        </w:rPr>
        <w:t xml:space="preserve"> compare to the </w:t>
      </w:r>
      <w:r w:rsidR="00361D6F">
        <w:rPr>
          <w:rFonts w:ascii="Calibri" w:eastAsia="Calibri" w:hAnsi="Calibri" w:cs="Times New Roman"/>
        </w:rPr>
        <w:t>S</w:t>
      </w:r>
      <w:r w:rsidRPr="00AD082D">
        <w:rPr>
          <w:rFonts w:ascii="Calibri" w:eastAsia="Calibri" w:hAnsi="Calibri" w:cs="Times New Roman"/>
        </w:rPr>
        <w:t xml:space="preserve">ex question from </w:t>
      </w:r>
      <w:r w:rsidR="00763AE4">
        <w:rPr>
          <w:rFonts w:ascii="Calibri" w:eastAsia="Calibri" w:hAnsi="Calibri" w:cs="Times New Roman"/>
        </w:rPr>
        <w:t xml:space="preserve">ACS </w:t>
      </w:r>
      <w:r w:rsidRPr="00AD082D">
        <w:rPr>
          <w:rFonts w:ascii="Calibri" w:eastAsia="Calibri" w:hAnsi="Calibri" w:cs="Times New Roman"/>
        </w:rPr>
        <w:t>production?</w:t>
      </w:r>
    </w:p>
    <w:p w:rsidR="00AD082D" w:rsidP="00AD082D" w14:paraId="29C03E20" w14:textId="05D2096C">
      <w:pPr>
        <w:keepNext/>
        <w:spacing w:after="240"/>
        <w:rPr>
          <w:rFonts w:ascii="Calibri" w:eastAsia="Calibri" w:hAnsi="Calibri" w:cs="Times New Roman"/>
          <w:i/>
          <w:iCs/>
        </w:rPr>
      </w:pPr>
      <w:r w:rsidRPr="00AD082D">
        <w:rPr>
          <w:rFonts w:ascii="Calibri" w:eastAsia="Calibri" w:hAnsi="Calibri" w:cs="Times New Roman"/>
          <w:i/>
          <w:iCs/>
        </w:rPr>
        <w:t>Item Missing Data Rates</w:t>
      </w:r>
    </w:p>
    <w:p w:rsidR="0086702C" w:rsidRPr="0086702C" w:rsidP="00AD082D" w14:paraId="65C03545" w14:textId="278BE5D6">
      <w:pPr>
        <w:keepNext/>
        <w:spacing w:after="240"/>
        <w:rPr>
          <w:rFonts w:ascii="Calibri" w:eastAsia="Calibri" w:hAnsi="Calibri" w:cs="Times New Roman"/>
        </w:rPr>
      </w:pPr>
      <w:r>
        <w:rPr>
          <w:rFonts w:ascii="Calibri" w:eastAsia="Calibri" w:hAnsi="Calibri" w:cs="Times New Roman"/>
        </w:rPr>
        <w:t>For Research Questions 3</w:t>
      </w:r>
      <w:r w:rsidR="00254F80">
        <w:rPr>
          <w:rFonts w:ascii="Calibri" w:eastAsia="Calibri" w:hAnsi="Calibri" w:cs="Times New Roman"/>
        </w:rPr>
        <w:t>-5</w:t>
      </w:r>
      <w:r>
        <w:rPr>
          <w:rFonts w:ascii="Calibri" w:eastAsia="Calibri" w:hAnsi="Calibri" w:cs="Times New Roman"/>
        </w:rPr>
        <w:t>, item missing data rates will be calculated f</w:t>
      </w:r>
      <w:r w:rsidRPr="00AD082D">
        <w:rPr>
          <w:rFonts w:ascii="Calibri" w:eastAsia="Calibri" w:hAnsi="Calibri" w:cs="Times New Roman"/>
        </w:rPr>
        <w:t xml:space="preserve">or both missing responses alone and missing responses combined with “protest” and </w:t>
      </w:r>
      <w:r w:rsidRPr="00AD082D">
        <w:rPr>
          <w:rFonts w:ascii="Calibri" w:eastAsia="Calibri" w:hAnsi="Calibri" w:cs="Times New Roman"/>
        </w:rPr>
        <w:t>uncodable</w:t>
      </w:r>
      <w:r w:rsidRPr="00AD082D">
        <w:rPr>
          <w:rFonts w:ascii="Calibri" w:eastAsia="Calibri" w:hAnsi="Calibri" w:cs="Times New Roman"/>
        </w:rPr>
        <w:t xml:space="preserve"> write-ins</w:t>
      </w:r>
      <w:r w:rsidR="007346D1">
        <w:rPr>
          <w:rFonts w:ascii="Calibri" w:eastAsia="Calibri" w:hAnsi="Calibri" w:cs="Times New Roman"/>
        </w:rPr>
        <w:t>.</w:t>
      </w:r>
    </w:p>
    <w:p w:rsidR="00AD082D" w:rsidRPr="00AD082D" w:rsidP="00AD082D" w14:paraId="4F1C0CBE" w14:textId="3C1CA74C">
      <w:pPr>
        <w:numPr>
          <w:ilvl w:val="0"/>
          <w:numId w:val="11"/>
        </w:numPr>
        <w:spacing w:after="240"/>
        <w:rPr>
          <w:rFonts w:ascii="Calibri" w:eastAsia="Calibri" w:hAnsi="Calibri" w:cs="Times New Roman"/>
        </w:rPr>
      </w:pPr>
      <w:r>
        <w:rPr>
          <w:rFonts w:ascii="Calibri" w:eastAsia="Calibri" w:hAnsi="Calibri" w:cs="Times New Roman"/>
        </w:rPr>
        <w:t>A</w:t>
      </w:r>
      <w:r w:rsidRPr="00AD082D">
        <w:rPr>
          <w:rFonts w:ascii="Calibri" w:eastAsia="Calibri" w:hAnsi="Calibri" w:cs="Times New Roman"/>
        </w:rPr>
        <w:t xml:space="preserve">re the item missing data rates for the </w:t>
      </w:r>
      <w:r w:rsidR="00361D6F">
        <w:rPr>
          <w:rFonts w:ascii="Calibri" w:eastAsia="Calibri" w:hAnsi="Calibri" w:cs="Times New Roman"/>
        </w:rPr>
        <w:t>G</w:t>
      </w:r>
      <w:r w:rsidRPr="00AD082D">
        <w:rPr>
          <w:rFonts w:ascii="Calibri" w:eastAsia="Calibri" w:hAnsi="Calibri" w:cs="Times New Roman"/>
        </w:rPr>
        <w:t xml:space="preserve">ender </w:t>
      </w:r>
      <w:r w:rsidR="00361D6F">
        <w:rPr>
          <w:rFonts w:ascii="Calibri" w:eastAsia="Calibri" w:hAnsi="Calibri" w:cs="Times New Roman"/>
        </w:rPr>
        <w:t>I</w:t>
      </w:r>
      <w:r w:rsidRPr="00AD082D">
        <w:rPr>
          <w:rFonts w:ascii="Calibri" w:eastAsia="Calibri" w:hAnsi="Calibri" w:cs="Times New Roman"/>
        </w:rPr>
        <w:t>dentity series different between Treatment 1 and Treatment 2 (for each question and the series as a whole)?</w:t>
      </w:r>
      <w:r w:rsidR="00361D6F">
        <w:rPr>
          <w:rFonts w:ascii="Calibri" w:eastAsia="Calibri" w:hAnsi="Calibri" w:cs="Times New Roman"/>
        </w:rPr>
        <w:t xml:space="preserve"> </w:t>
      </w:r>
    </w:p>
    <w:p w:rsidR="00AD082D" w:rsidRPr="00AD082D" w:rsidP="00AD082D" w14:paraId="0221BAEE" w14:textId="1400920E">
      <w:pPr>
        <w:numPr>
          <w:ilvl w:val="0"/>
          <w:numId w:val="11"/>
        </w:numPr>
        <w:spacing w:after="240"/>
        <w:rPr>
          <w:rFonts w:ascii="Calibri" w:eastAsia="Calibri" w:hAnsi="Calibri" w:cs="Times New Roman"/>
        </w:rPr>
      </w:pPr>
      <w:r>
        <w:rPr>
          <w:rFonts w:ascii="Calibri" w:eastAsia="Calibri" w:hAnsi="Calibri" w:cs="Times New Roman"/>
        </w:rPr>
        <w:t>A</w:t>
      </w:r>
      <w:r w:rsidRPr="00AD082D">
        <w:rPr>
          <w:rFonts w:ascii="Calibri" w:eastAsia="Calibri" w:hAnsi="Calibri" w:cs="Times New Roman"/>
        </w:rPr>
        <w:t xml:space="preserve">re the item missing data rates for the </w:t>
      </w:r>
      <w:r w:rsidR="007346D1">
        <w:rPr>
          <w:rFonts w:ascii="Calibri" w:eastAsia="Calibri" w:hAnsi="Calibri" w:cs="Times New Roman"/>
        </w:rPr>
        <w:t>G</w:t>
      </w:r>
      <w:r w:rsidRPr="00AD082D">
        <w:rPr>
          <w:rFonts w:ascii="Calibri" w:eastAsia="Calibri" w:hAnsi="Calibri" w:cs="Times New Roman"/>
        </w:rPr>
        <w:t xml:space="preserve">ender </w:t>
      </w:r>
      <w:r w:rsidR="007346D1">
        <w:rPr>
          <w:rFonts w:ascii="Calibri" w:eastAsia="Calibri" w:hAnsi="Calibri" w:cs="Times New Roman"/>
        </w:rPr>
        <w:t>I</w:t>
      </w:r>
      <w:r w:rsidRPr="00AD082D">
        <w:rPr>
          <w:rFonts w:ascii="Calibri" w:eastAsia="Calibri" w:hAnsi="Calibri" w:cs="Times New Roman"/>
        </w:rPr>
        <w:t>dentity series different between Treatment 1 and Treatment 2 within mode (mail and internet)?</w:t>
      </w:r>
    </w:p>
    <w:p w:rsidR="00C0738C" w:rsidP="00C0738C" w14:paraId="49FD32F4" w14:textId="6B2095EA">
      <w:pPr>
        <w:numPr>
          <w:ilvl w:val="0"/>
          <w:numId w:val="11"/>
        </w:numPr>
        <w:spacing w:after="240"/>
        <w:rPr>
          <w:rFonts w:ascii="Calibri" w:eastAsia="Calibri" w:hAnsi="Calibri" w:cs="Times New Roman"/>
        </w:rPr>
      </w:pPr>
      <w:r w:rsidRPr="00AD082D">
        <w:rPr>
          <w:rFonts w:ascii="Calibri" w:eastAsia="Calibri" w:hAnsi="Calibri" w:cs="Times New Roman"/>
        </w:rPr>
        <w:t xml:space="preserve">For internet responses, are the item missing data rates for </w:t>
      </w:r>
      <w:r>
        <w:rPr>
          <w:rFonts w:ascii="Calibri" w:eastAsia="Calibri" w:hAnsi="Calibri" w:cs="Times New Roman"/>
        </w:rPr>
        <w:t>C</w:t>
      </w:r>
      <w:r w:rsidRPr="00AD082D">
        <w:rPr>
          <w:rFonts w:ascii="Calibri" w:eastAsia="Calibri" w:hAnsi="Calibri" w:cs="Times New Roman"/>
        </w:rPr>
        <w:t xml:space="preserve">urrent </w:t>
      </w:r>
      <w:r>
        <w:rPr>
          <w:rFonts w:ascii="Calibri" w:eastAsia="Calibri" w:hAnsi="Calibri" w:cs="Times New Roman"/>
        </w:rPr>
        <w:t>G</w:t>
      </w:r>
      <w:r w:rsidRPr="00AD082D">
        <w:rPr>
          <w:rFonts w:ascii="Calibri" w:eastAsia="Calibri" w:hAnsi="Calibri" w:cs="Times New Roman"/>
        </w:rPr>
        <w:t>ender different between the two internet write-in box styles</w:t>
      </w:r>
      <w:r w:rsidR="00A5206F">
        <w:rPr>
          <w:rFonts w:ascii="Calibri" w:eastAsia="Calibri" w:hAnsi="Calibri" w:cs="Times New Roman"/>
        </w:rPr>
        <w:t xml:space="preserve"> (Treatment A vs Treatment B)</w:t>
      </w:r>
      <w:r w:rsidRPr="00AD082D">
        <w:rPr>
          <w:rFonts w:ascii="Calibri" w:eastAsia="Calibri" w:hAnsi="Calibri" w:cs="Times New Roman"/>
        </w:rPr>
        <w:t>? Is there a difference in the rate of responses where the</w:t>
      </w:r>
      <w:r>
        <w:rPr>
          <w:rFonts w:ascii="Calibri" w:eastAsia="Calibri" w:hAnsi="Calibri" w:cs="Times New Roman"/>
        </w:rPr>
        <w:t xml:space="preserve"> “use a different term” option</w:t>
      </w:r>
      <w:r w:rsidRPr="00AD082D">
        <w:rPr>
          <w:rFonts w:ascii="Calibri" w:eastAsia="Calibri" w:hAnsi="Calibri" w:cs="Times New Roman"/>
        </w:rPr>
        <w:t xml:space="preserve"> is selected but a write-in is not provided?</w:t>
      </w:r>
    </w:p>
    <w:p w:rsidR="00254F80" w:rsidP="00254F80" w14:paraId="64B6901B" w14:textId="77777777">
      <w:pPr>
        <w:numPr>
          <w:ilvl w:val="0"/>
          <w:numId w:val="11"/>
        </w:numPr>
        <w:spacing w:after="240"/>
        <w:rPr>
          <w:rFonts w:ascii="Calibri" w:eastAsia="Calibri" w:hAnsi="Calibri" w:cs="Times New Roman"/>
        </w:rPr>
      </w:pPr>
      <w:r>
        <w:rPr>
          <w:rFonts w:ascii="Calibri" w:eastAsia="Calibri" w:hAnsi="Calibri" w:cs="Times New Roman"/>
        </w:rPr>
        <w:t>Are the item missing data rates for the Gender Identity series different between Treatment 1 and Treatment 2 by demographic characteristics (household respondent status, relationship type, age category, race, Hispanic origin, urban/rural status, and English proficiency)?</w:t>
      </w:r>
    </w:p>
    <w:p w:rsidR="00AD082D" w:rsidRPr="00AD082D" w:rsidP="00AD082D" w14:paraId="028B99CC" w14:textId="53BA8F73">
      <w:pPr>
        <w:numPr>
          <w:ilvl w:val="0"/>
          <w:numId w:val="11"/>
        </w:numPr>
        <w:spacing w:after="240"/>
        <w:rPr>
          <w:rFonts w:ascii="Calibri" w:eastAsia="Calibri" w:hAnsi="Calibri" w:cs="Times New Roman"/>
        </w:rPr>
      </w:pPr>
      <w:r w:rsidRPr="00AD082D">
        <w:rPr>
          <w:rFonts w:ascii="Calibri" w:eastAsia="Calibri" w:hAnsi="Calibri" w:cs="Times New Roman"/>
        </w:rPr>
        <w:t xml:space="preserve">For each treatment, how do the item missing data rates for the </w:t>
      </w:r>
      <w:r w:rsidR="007346D1">
        <w:rPr>
          <w:rFonts w:ascii="Calibri" w:eastAsia="Calibri" w:hAnsi="Calibri" w:cs="Times New Roman"/>
        </w:rPr>
        <w:t>G</w:t>
      </w:r>
      <w:r w:rsidRPr="00AD082D">
        <w:rPr>
          <w:rFonts w:ascii="Calibri" w:eastAsia="Calibri" w:hAnsi="Calibri" w:cs="Times New Roman"/>
        </w:rPr>
        <w:t xml:space="preserve">ender </w:t>
      </w:r>
      <w:r w:rsidR="007346D1">
        <w:rPr>
          <w:rFonts w:ascii="Calibri" w:eastAsia="Calibri" w:hAnsi="Calibri" w:cs="Times New Roman"/>
        </w:rPr>
        <w:t>I</w:t>
      </w:r>
      <w:r w:rsidRPr="00AD082D">
        <w:rPr>
          <w:rFonts w:ascii="Calibri" w:eastAsia="Calibri" w:hAnsi="Calibri" w:cs="Times New Roman"/>
        </w:rPr>
        <w:t>dentity series compare to those for</w:t>
      </w:r>
      <w:r w:rsidR="00B17DD5">
        <w:rPr>
          <w:rFonts w:ascii="Calibri" w:eastAsia="Calibri" w:hAnsi="Calibri" w:cs="Times New Roman"/>
        </w:rPr>
        <w:t xml:space="preserve"> other items in the Basic Person section,</w:t>
      </w:r>
      <w:r w:rsidRPr="00AD082D">
        <w:rPr>
          <w:rFonts w:ascii="Calibri" w:eastAsia="Calibri" w:hAnsi="Calibri" w:cs="Times New Roman"/>
        </w:rPr>
        <w:t xml:space="preserve"> sensitive items</w:t>
      </w:r>
      <w:r w:rsidR="00B17DD5">
        <w:rPr>
          <w:rFonts w:ascii="Calibri" w:eastAsia="Calibri" w:hAnsi="Calibri" w:cs="Times New Roman"/>
        </w:rPr>
        <w:t>,</w:t>
      </w:r>
      <w:r w:rsidRPr="00AD082D">
        <w:rPr>
          <w:rFonts w:ascii="Calibri" w:eastAsia="Calibri" w:hAnsi="Calibri" w:cs="Times New Roman"/>
        </w:rPr>
        <w:t xml:space="preserve"> or items with proxy-reporting differences</w:t>
      </w:r>
      <w:r w:rsidR="00066241">
        <w:rPr>
          <w:rFonts w:ascii="Calibri" w:eastAsia="Calibri" w:hAnsi="Calibri" w:cs="Times New Roman"/>
        </w:rPr>
        <w:t>, overall and by household respondent status</w:t>
      </w:r>
      <w:r w:rsidRPr="00AD082D">
        <w:rPr>
          <w:rFonts w:ascii="Calibri" w:eastAsia="Calibri" w:hAnsi="Calibri" w:cs="Times New Roman"/>
        </w:rPr>
        <w:t>?</w:t>
      </w:r>
    </w:p>
    <w:p w:rsidR="00B17DD5" w:rsidRPr="00B17DD5" w:rsidP="00015CCA" w14:paraId="223ECE5C" w14:textId="2C411DC3">
      <w:pPr>
        <w:pStyle w:val="ListParagraph"/>
        <w:numPr>
          <w:ilvl w:val="0"/>
          <w:numId w:val="28"/>
        </w:numPr>
        <w:rPr>
          <w:rFonts w:ascii="Calibri" w:eastAsia="Calibri" w:hAnsi="Calibri" w:cs="Times New Roman"/>
        </w:rPr>
      </w:pPr>
      <w:r w:rsidRPr="00B17DD5">
        <w:rPr>
          <w:rFonts w:ascii="Calibri" w:eastAsia="Calibri" w:hAnsi="Calibri" w:cs="Times New Roman"/>
        </w:rPr>
        <w:t>Basic Person items: Relationship, Age, Hispanic Origin, Race</w:t>
      </w:r>
    </w:p>
    <w:p w:rsidR="00AD082D" w:rsidRPr="00AD082D" w:rsidP="00AD082D" w14:paraId="4097D591" w14:textId="5DF52FFC">
      <w:pPr>
        <w:pStyle w:val="ListParagraph"/>
        <w:numPr>
          <w:ilvl w:val="0"/>
          <w:numId w:val="28"/>
        </w:numPr>
        <w:spacing w:after="240"/>
        <w:rPr>
          <w:rFonts w:ascii="Calibri" w:eastAsia="Calibri" w:hAnsi="Calibri" w:cs="Times New Roman"/>
        </w:rPr>
      </w:pPr>
      <w:r w:rsidRPr="00AD082D">
        <w:rPr>
          <w:rFonts w:ascii="Calibri" w:eastAsia="Calibri" w:hAnsi="Calibri" w:cs="Times New Roman"/>
        </w:rPr>
        <w:t>Sensitive items: Place of Birth, Citizenship, Disability, Total Income</w:t>
      </w:r>
    </w:p>
    <w:p w:rsidR="00AD082D" w:rsidRPr="00AD082D" w:rsidP="00AD082D" w14:paraId="1BE8E6D5" w14:textId="0AE1FC81">
      <w:pPr>
        <w:pStyle w:val="ListParagraph"/>
        <w:numPr>
          <w:ilvl w:val="0"/>
          <w:numId w:val="28"/>
        </w:numPr>
        <w:spacing w:after="240"/>
        <w:rPr>
          <w:rFonts w:ascii="Calibri" w:eastAsia="Calibri" w:hAnsi="Calibri" w:cs="Times New Roman"/>
        </w:rPr>
      </w:pPr>
      <w:r w:rsidRPr="00AD082D">
        <w:rPr>
          <w:rFonts w:ascii="Calibri" w:eastAsia="Calibri" w:hAnsi="Calibri" w:cs="Times New Roman"/>
        </w:rPr>
        <w:t xml:space="preserve">Items with proxy-reporting differences: Educational Attainment, Health Insurance Coverage, Time to Work </w:t>
      </w:r>
    </w:p>
    <w:p w:rsidR="00AD082D" w:rsidRPr="00AD082D" w:rsidP="00BD0C72" w14:paraId="14052B3F" w14:textId="77777777">
      <w:pPr>
        <w:keepNext/>
        <w:spacing w:after="240"/>
        <w:rPr>
          <w:rFonts w:ascii="Calibri" w:eastAsia="Calibri" w:hAnsi="Calibri" w:cs="Times New Roman"/>
          <w:i/>
          <w:iCs/>
        </w:rPr>
      </w:pPr>
      <w:r w:rsidRPr="00AD082D">
        <w:rPr>
          <w:rFonts w:ascii="Calibri" w:eastAsia="Calibri" w:hAnsi="Calibri" w:cs="Times New Roman"/>
          <w:i/>
          <w:iCs/>
        </w:rPr>
        <w:t>Response Distributions</w:t>
      </w:r>
    </w:p>
    <w:p w:rsidR="00AD082D" w:rsidRPr="00AD082D" w:rsidP="00AD082D" w14:paraId="2558BBDF" w14:textId="5AD1C4C0">
      <w:pPr>
        <w:numPr>
          <w:ilvl w:val="0"/>
          <w:numId w:val="11"/>
        </w:numPr>
        <w:spacing w:after="240"/>
        <w:rPr>
          <w:rFonts w:ascii="Calibri" w:eastAsia="Calibri" w:hAnsi="Calibri" w:cs="Times New Roman"/>
        </w:rPr>
      </w:pPr>
      <w:r w:rsidRPr="00AD082D">
        <w:rPr>
          <w:rFonts w:ascii="Calibri" w:eastAsia="Calibri" w:hAnsi="Calibri" w:cs="Times New Roman"/>
        </w:rPr>
        <w:t xml:space="preserve">Are the </w:t>
      </w:r>
      <w:r w:rsidR="00CC5D99">
        <w:rPr>
          <w:rFonts w:ascii="Calibri" w:eastAsia="Calibri" w:hAnsi="Calibri" w:cs="Times New Roman"/>
        </w:rPr>
        <w:t>G</w:t>
      </w:r>
      <w:r w:rsidRPr="00AD082D">
        <w:rPr>
          <w:rFonts w:ascii="Calibri" w:eastAsia="Calibri" w:hAnsi="Calibri" w:cs="Times New Roman"/>
        </w:rPr>
        <w:t xml:space="preserve">ender </w:t>
      </w:r>
      <w:r w:rsidR="00CC5D99">
        <w:rPr>
          <w:rFonts w:ascii="Calibri" w:eastAsia="Calibri" w:hAnsi="Calibri" w:cs="Times New Roman"/>
        </w:rPr>
        <w:t>I</w:t>
      </w:r>
      <w:r w:rsidRPr="00AD082D">
        <w:rPr>
          <w:rFonts w:ascii="Calibri" w:eastAsia="Calibri" w:hAnsi="Calibri" w:cs="Times New Roman"/>
        </w:rPr>
        <w:t>dentity distributions different between Treatment 1 and Treatment 2</w:t>
      </w:r>
      <w:r w:rsidR="00A5206F">
        <w:rPr>
          <w:rFonts w:ascii="Calibri" w:eastAsia="Calibri" w:hAnsi="Calibri" w:cs="Times New Roman"/>
        </w:rPr>
        <w:t xml:space="preserve"> (f</w:t>
      </w:r>
      <w:r w:rsidRPr="00AD082D" w:rsidR="00A5206F">
        <w:rPr>
          <w:rFonts w:ascii="Calibri" w:eastAsia="Calibri" w:hAnsi="Calibri" w:cs="Times New Roman"/>
        </w:rPr>
        <w:t>or each question and the series as a whole)</w:t>
      </w:r>
      <w:r w:rsidRPr="00AD082D">
        <w:rPr>
          <w:rFonts w:ascii="Calibri" w:eastAsia="Calibri" w:hAnsi="Calibri" w:cs="Times New Roman"/>
        </w:rPr>
        <w:t xml:space="preserve">? </w:t>
      </w:r>
    </w:p>
    <w:p w:rsidR="00AD082D" w:rsidRPr="00AD082D" w:rsidP="00AD082D" w14:paraId="582C2563" w14:textId="0E560132">
      <w:pPr>
        <w:pStyle w:val="ListParagraph"/>
        <w:numPr>
          <w:ilvl w:val="0"/>
          <w:numId w:val="29"/>
        </w:numPr>
        <w:spacing w:after="240"/>
        <w:rPr>
          <w:rFonts w:ascii="Calibri" w:eastAsia="Calibri" w:hAnsi="Calibri" w:cs="Times New Roman"/>
        </w:rPr>
      </w:pPr>
      <w:r>
        <w:rPr>
          <w:rFonts w:ascii="Calibri" w:eastAsia="Calibri" w:hAnsi="Calibri" w:cs="Times New Roman"/>
        </w:rPr>
        <w:t>We will l</w:t>
      </w:r>
      <w:r w:rsidRPr="00AD082D">
        <w:rPr>
          <w:rFonts w:ascii="Calibri" w:eastAsia="Calibri" w:hAnsi="Calibri" w:cs="Times New Roman"/>
        </w:rPr>
        <w:t xml:space="preserve">ook at distributions from each part of </w:t>
      </w:r>
      <w:r>
        <w:rPr>
          <w:rFonts w:ascii="Calibri" w:eastAsia="Calibri" w:hAnsi="Calibri" w:cs="Times New Roman"/>
        </w:rPr>
        <w:t xml:space="preserve">the </w:t>
      </w:r>
      <w:r w:rsidRPr="00AD082D">
        <w:rPr>
          <w:rFonts w:ascii="Calibri" w:eastAsia="Calibri" w:hAnsi="Calibri" w:cs="Times New Roman"/>
        </w:rPr>
        <w:t>two-step question (</w:t>
      </w:r>
      <w:r>
        <w:rPr>
          <w:rFonts w:ascii="Calibri" w:eastAsia="Calibri" w:hAnsi="Calibri" w:cs="Times New Roman"/>
        </w:rPr>
        <w:t>S</w:t>
      </w:r>
      <w:r w:rsidRPr="00AD082D">
        <w:rPr>
          <w:rFonts w:ascii="Calibri" w:eastAsia="Calibri" w:hAnsi="Calibri" w:cs="Times New Roman"/>
        </w:rPr>
        <w:t xml:space="preserve">ex at </w:t>
      </w:r>
      <w:r>
        <w:rPr>
          <w:rFonts w:ascii="Calibri" w:eastAsia="Calibri" w:hAnsi="Calibri" w:cs="Times New Roman"/>
        </w:rPr>
        <w:t>B</w:t>
      </w:r>
      <w:r w:rsidRPr="00AD082D">
        <w:rPr>
          <w:rFonts w:ascii="Calibri" w:eastAsia="Calibri" w:hAnsi="Calibri" w:cs="Times New Roman"/>
        </w:rPr>
        <w:t xml:space="preserve">irth and </w:t>
      </w:r>
      <w:r>
        <w:rPr>
          <w:rFonts w:ascii="Calibri" w:eastAsia="Calibri" w:hAnsi="Calibri" w:cs="Times New Roman"/>
        </w:rPr>
        <w:t>C</w:t>
      </w:r>
      <w:r w:rsidRPr="00AD082D">
        <w:rPr>
          <w:rFonts w:ascii="Calibri" w:eastAsia="Calibri" w:hAnsi="Calibri" w:cs="Times New Roman"/>
        </w:rPr>
        <w:t xml:space="preserve">urrent </w:t>
      </w:r>
      <w:r>
        <w:rPr>
          <w:rFonts w:ascii="Calibri" w:eastAsia="Calibri" w:hAnsi="Calibri" w:cs="Times New Roman"/>
        </w:rPr>
        <w:t>G</w:t>
      </w:r>
      <w:r w:rsidRPr="00AD082D">
        <w:rPr>
          <w:rFonts w:ascii="Calibri" w:eastAsia="Calibri" w:hAnsi="Calibri" w:cs="Times New Roman"/>
        </w:rPr>
        <w:t>ender) as well as both steps taken together (</w:t>
      </w:r>
      <w:r w:rsidR="00996C31">
        <w:rPr>
          <w:rFonts w:ascii="Calibri" w:eastAsia="Calibri" w:hAnsi="Calibri" w:cs="Times New Roman"/>
        </w:rPr>
        <w:t>G</w:t>
      </w:r>
      <w:r w:rsidRPr="00AD082D">
        <w:rPr>
          <w:rFonts w:ascii="Calibri" w:eastAsia="Calibri" w:hAnsi="Calibri" w:cs="Times New Roman"/>
        </w:rPr>
        <w:t xml:space="preserve">ender </w:t>
      </w:r>
      <w:r w:rsidR="00996C31">
        <w:rPr>
          <w:rFonts w:ascii="Calibri" w:eastAsia="Calibri" w:hAnsi="Calibri" w:cs="Times New Roman"/>
        </w:rPr>
        <w:t>I</w:t>
      </w:r>
      <w:r w:rsidRPr="00AD082D">
        <w:rPr>
          <w:rFonts w:ascii="Calibri" w:eastAsia="Calibri" w:hAnsi="Calibri" w:cs="Times New Roman"/>
        </w:rPr>
        <w:t>dentity).</w:t>
      </w:r>
    </w:p>
    <w:p w:rsidR="00AD082D" w:rsidRPr="00AD082D" w:rsidP="00AD082D" w14:paraId="30A33CD4" w14:textId="4A4AAB32">
      <w:pPr>
        <w:pStyle w:val="ListParagraph"/>
        <w:numPr>
          <w:ilvl w:val="0"/>
          <w:numId w:val="29"/>
        </w:numPr>
        <w:spacing w:after="240"/>
        <w:rPr>
          <w:rFonts w:ascii="Calibri" w:eastAsia="Calibri" w:hAnsi="Calibri" w:cs="Times New Roman"/>
        </w:rPr>
      </w:pPr>
      <w:r>
        <w:rPr>
          <w:rFonts w:ascii="Calibri" w:eastAsia="Calibri" w:hAnsi="Calibri" w:cs="Times New Roman"/>
        </w:rPr>
        <w:t>We will</w:t>
      </w:r>
      <w:r w:rsidRPr="00AD082D">
        <w:rPr>
          <w:rFonts w:ascii="Calibri" w:eastAsia="Calibri" w:hAnsi="Calibri" w:cs="Times New Roman"/>
        </w:rPr>
        <w:t xml:space="preserve"> compare distributions not accounting for and accounting for write-in response</w:t>
      </w:r>
      <w:r>
        <w:rPr>
          <w:rFonts w:ascii="Calibri" w:eastAsia="Calibri" w:hAnsi="Calibri" w:cs="Times New Roman"/>
        </w:rPr>
        <w:t>s</w:t>
      </w:r>
      <w:r w:rsidRPr="00AD082D">
        <w:rPr>
          <w:rFonts w:ascii="Calibri" w:eastAsia="Calibri" w:hAnsi="Calibri" w:cs="Times New Roman"/>
        </w:rPr>
        <w:t>.</w:t>
      </w:r>
    </w:p>
    <w:p w:rsidR="00AD082D" w:rsidP="00AD082D" w14:paraId="01616025" w14:textId="27EEFE54">
      <w:pPr>
        <w:numPr>
          <w:ilvl w:val="0"/>
          <w:numId w:val="11"/>
        </w:numPr>
        <w:spacing w:after="240"/>
        <w:rPr>
          <w:rFonts w:ascii="Calibri" w:eastAsia="Calibri" w:hAnsi="Calibri" w:cs="Times New Roman"/>
        </w:rPr>
      </w:pPr>
      <w:r w:rsidRPr="00AD082D">
        <w:rPr>
          <w:rFonts w:ascii="Calibri" w:eastAsia="Calibri" w:hAnsi="Calibri" w:cs="Times New Roman"/>
        </w:rPr>
        <w:t xml:space="preserve">Are </w:t>
      </w:r>
      <w:r w:rsidRPr="00AD082D" w:rsidR="00D709C5">
        <w:rPr>
          <w:rFonts w:ascii="Calibri" w:eastAsia="Calibri" w:hAnsi="Calibri" w:cs="Times New Roman"/>
        </w:rPr>
        <w:t xml:space="preserve">the </w:t>
      </w:r>
      <w:r w:rsidR="00D709C5">
        <w:rPr>
          <w:rFonts w:ascii="Calibri" w:eastAsia="Calibri" w:hAnsi="Calibri" w:cs="Times New Roman"/>
        </w:rPr>
        <w:t>G</w:t>
      </w:r>
      <w:r w:rsidRPr="00AD082D" w:rsidR="00D709C5">
        <w:rPr>
          <w:rFonts w:ascii="Calibri" w:eastAsia="Calibri" w:hAnsi="Calibri" w:cs="Times New Roman"/>
        </w:rPr>
        <w:t xml:space="preserve">ender </w:t>
      </w:r>
      <w:r w:rsidR="00D709C5">
        <w:rPr>
          <w:rFonts w:ascii="Calibri" w:eastAsia="Calibri" w:hAnsi="Calibri" w:cs="Times New Roman"/>
        </w:rPr>
        <w:t>I</w:t>
      </w:r>
      <w:r w:rsidRPr="00AD082D" w:rsidR="00D709C5">
        <w:rPr>
          <w:rFonts w:ascii="Calibri" w:eastAsia="Calibri" w:hAnsi="Calibri" w:cs="Times New Roman"/>
        </w:rPr>
        <w:t xml:space="preserve">dentity </w:t>
      </w:r>
      <w:r w:rsidRPr="00AD082D">
        <w:rPr>
          <w:rFonts w:ascii="Calibri" w:eastAsia="Calibri" w:hAnsi="Calibri" w:cs="Times New Roman"/>
        </w:rPr>
        <w:t>distributions different between Treatment 1 and Treatment 2 within mode (mail and internet)?</w:t>
      </w:r>
    </w:p>
    <w:p w:rsidR="00BC5CDF" w:rsidP="00AD082D" w14:paraId="05E98A6B" w14:textId="000AE61B">
      <w:pPr>
        <w:numPr>
          <w:ilvl w:val="0"/>
          <w:numId w:val="11"/>
        </w:numPr>
        <w:spacing w:after="240"/>
        <w:rPr>
          <w:rFonts w:ascii="Calibri" w:eastAsia="Calibri" w:hAnsi="Calibri" w:cs="Times New Roman"/>
        </w:rPr>
      </w:pPr>
      <w:r>
        <w:rPr>
          <w:rFonts w:ascii="Calibri" w:eastAsia="Calibri" w:hAnsi="Calibri" w:cs="Times New Roman"/>
        </w:rPr>
        <w:t xml:space="preserve">Are the Gender Identity </w:t>
      </w:r>
      <w:r w:rsidRPr="00AD082D">
        <w:rPr>
          <w:rFonts w:ascii="Calibri" w:eastAsia="Calibri" w:hAnsi="Calibri" w:cs="Times New Roman"/>
        </w:rPr>
        <w:t>distributions different between Treatment 1 and Treatment 2</w:t>
      </w:r>
      <w:r>
        <w:rPr>
          <w:rFonts w:ascii="Calibri" w:eastAsia="Calibri" w:hAnsi="Calibri" w:cs="Times New Roman"/>
        </w:rPr>
        <w:t xml:space="preserve"> by demographic characteristics (household respondent status, relationship </w:t>
      </w:r>
      <w:r w:rsidR="00A51734">
        <w:rPr>
          <w:rFonts w:ascii="Calibri" w:eastAsia="Calibri" w:hAnsi="Calibri" w:cs="Times New Roman"/>
        </w:rPr>
        <w:t>type</w:t>
      </w:r>
      <w:r>
        <w:rPr>
          <w:rFonts w:ascii="Calibri" w:eastAsia="Calibri" w:hAnsi="Calibri" w:cs="Times New Roman"/>
        </w:rPr>
        <w:t>, age category, race, Hispanic origin, urban/rural status, and English proficiency)?</w:t>
      </w:r>
    </w:p>
    <w:p w:rsidR="00BC5CDF" w:rsidRPr="00AD082D" w:rsidP="00AD082D" w14:paraId="67D1FD0B" w14:textId="13F7D6B4">
      <w:pPr>
        <w:numPr>
          <w:ilvl w:val="0"/>
          <w:numId w:val="11"/>
        </w:numPr>
        <w:spacing w:after="240"/>
        <w:rPr>
          <w:rFonts w:ascii="Calibri" w:eastAsia="Calibri" w:hAnsi="Calibri" w:cs="Times New Roman"/>
        </w:rPr>
      </w:pPr>
      <w:r>
        <w:rPr>
          <w:rFonts w:ascii="Calibri" w:eastAsia="Calibri" w:hAnsi="Calibri" w:cs="Times New Roman"/>
        </w:rPr>
        <w:t xml:space="preserve">Within each treatment, are the Gender Identity distributions different </w:t>
      </w:r>
      <w:r w:rsidR="000066F4">
        <w:rPr>
          <w:rFonts w:ascii="Calibri" w:eastAsia="Calibri" w:hAnsi="Calibri" w:cs="Times New Roman"/>
        </w:rPr>
        <w:t>among</w:t>
      </w:r>
      <w:r>
        <w:rPr>
          <w:rFonts w:ascii="Calibri" w:eastAsia="Calibri" w:hAnsi="Calibri" w:cs="Times New Roman"/>
        </w:rPr>
        <w:t xml:space="preserve"> demographic characteristic categories (e.g., different </w:t>
      </w:r>
      <w:r w:rsidR="000066F4">
        <w:rPr>
          <w:rFonts w:ascii="Calibri" w:eastAsia="Calibri" w:hAnsi="Calibri" w:cs="Times New Roman"/>
        </w:rPr>
        <w:t>among</w:t>
      </w:r>
      <w:r>
        <w:rPr>
          <w:rFonts w:ascii="Calibri" w:eastAsia="Calibri" w:hAnsi="Calibri" w:cs="Times New Roman"/>
        </w:rPr>
        <w:t xml:space="preserve"> race groups)?</w:t>
      </w:r>
    </w:p>
    <w:p w:rsidR="00AD082D" w:rsidRPr="00AD082D" w:rsidP="00AD082D" w14:paraId="069029F0" w14:textId="4120F8BB">
      <w:pPr>
        <w:numPr>
          <w:ilvl w:val="0"/>
          <w:numId w:val="11"/>
        </w:numPr>
        <w:spacing w:after="240"/>
        <w:rPr>
          <w:rFonts w:ascii="Calibri" w:eastAsia="Calibri" w:hAnsi="Calibri" w:cs="Times New Roman"/>
        </w:rPr>
      </w:pPr>
      <w:r w:rsidRPr="00AD082D">
        <w:rPr>
          <w:rFonts w:ascii="Calibri" w:eastAsia="Calibri" w:hAnsi="Calibri" w:cs="Times New Roman"/>
        </w:rPr>
        <w:t xml:space="preserve">How do the proportions of write-ins for </w:t>
      </w:r>
      <w:r w:rsidR="00CC5D99">
        <w:rPr>
          <w:rFonts w:ascii="Calibri" w:eastAsia="Calibri" w:hAnsi="Calibri" w:cs="Times New Roman"/>
        </w:rPr>
        <w:t>G</w:t>
      </w:r>
      <w:r w:rsidRPr="00AD082D">
        <w:rPr>
          <w:rFonts w:ascii="Calibri" w:eastAsia="Calibri" w:hAnsi="Calibri" w:cs="Times New Roman"/>
        </w:rPr>
        <w:t xml:space="preserve">ender </w:t>
      </w:r>
      <w:r w:rsidR="00CC5D99">
        <w:rPr>
          <w:rFonts w:ascii="Calibri" w:eastAsia="Calibri" w:hAnsi="Calibri" w:cs="Times New Roman"/>
        </w:rPr>
        <w:t>I</w:t>
      </w:r>
      <w:r w:rsidRPr="00AD082D">
        <w:rPr>
          <w:rFonts w:ascii="Calibri" w:eastAsia="Calibri" w:hAnsi="Calibri" w:cs="Times New Roman"/>
        </w:rPr>
        <w:t>dentity compare between Treatment 1 and Treatment 2, overall and by mode?</w:t>
      </w:r>
    </w:p>
    <w:p w:rsidR="00AD082D" w:rsidRPr="00AD082D" w:rsidP="00AD082D" w14:paraId="63A585C5" w14:textId="45219653">
      <w:pPr>
        <w:numPr>
          <w:ilvl w:val="0"/>
          <w:numId w:val="11"/>
        </w:numPr>
        <w:spacing w:after="240"/>
        <w:rPr>
          <w:rFonts w:ascii="Calibri" w:eastAsia="Calibri" w:hAnsi="Calibri" w:cs="Times New Roman"/>
        </w:rPr>
      </w:pPr>
      <w:r w:rsidRPr="00AD082D">
        <w:rPr>
          <w:rFonts w:ascii="Calibri" w:eastAsia="Calibri" w:hAnsi="Calibri" w:cs="Times New Roman"/>
        </w:rPr>
        <w:t xml:space="preserve">Within each treatment, what are the proportions of write-ins for </w:t>
      </w:r>
      <w:r w:rsidR="0041382F">
        <w:rPr>
          <w:rFonts w:ascii="Calibri" w:eastAsia="Calibri" w:hAnsi="Calibri" w:cs="Times New Roman"/>
        </w:rPr>
        <w:t>G</w:t>
      </w:r>
      <w:r w:rsidRPr="00AD082D">
        <w:rPr>
          <w:rFonts w:ascii="Calibri" w:eastAsia="Calibri" w:hAnsi="Calibri" w:cs="Times New Roman"/>
        </w:rPr>
        <w:t xml:space="preserve">ender </w:t>
      </w:r>
      <w:r w:rsidR="0041382F">
        <w:rPr>
          <w:rFonts w:ascii="Calibri" w:eastAsia="Calibri" w:hAnsi="Calibri" w:cs="Times New Roman"/>
        </w:rPr>
        <w:t>I</w:t>
      </w:r>
      <w:r w:rsidRPr="00AD082D">
        <w:rPr>
          <w:rFonts w:ascii="Calibri" w:eastAsia="Calibri" w:hAnsi="Calibri" w:cs="Times New Roman"/>
        </w:rPr>
        <w:t>dentity by demographic characteristics (age category, race, Hispanic origin, urban/rural status)?</w:t>
      </w:r>
    </w:p>
    <w:p w:rsidR="00AD082D" w:rsidP="00AD082D" w14:paraId="6009CF80" w14:textId="46A49DF4">
      <w:pPr>
        <w:numPr>
          <w:ilvl w:val="0"/>
          <w:numId w:val="11"/>
        </w:numPr>
        <w:spacing w:after="240"/>
        <w:rPr>
          <w:rFonts w:ascii="Calibri" w:eastAsia="Calibri" w:hAnsi="Calibri" w:cs="Times New Roman"/>
        </w:rPr>
      </w:pPr>
      <w:r w:rsidRPr="00AD082D">
        <w:rPr>
          <w:rFonts w:ascii="Calibri" w:eastAsia="Calibri" w:hAnsi="Calibri" w:cs="Times New Roman"/>
        </w:rPr>
        <w:t>How do the proportions of “protest</w:t>
      </w:r>
      <w:r w:rsidR="003D76CF">
        <w:rPr>
          <w:rFonts w:ascii="Calibri" w:eastAsia="Calibri" w:hAnsi="Calibri" w:cs="Times New Roman"/>
        </w:rPr>
        <w:t>”</w:t>
      </w:r>
      <w:r w:rsidRPr="00AD082D">
        <w:rPr>
          <w:rFonts w:ascii="Calibri" w:eastAsia="Calibri" w:hAnsi="Calibri" w:cs="Times New Roman"/>
        </w:rPr>
        <w:t xml:space="preserve"> write-ins for </w:t>
      </w:r>
      <w:r w:rsidR="00B4510A">
        <w:rPr>
          <w:rFonts w:ascii="Calibri" w:eastAsia="Calibri" w:hAnsi="Calibri" w:cs="Times New Roman"/>
        </w:rPr>
        <w:t>G</w:t>
      </w:r>
      <w:r w:rsidRPr="00AD082D">
        <w:rPr>
          <w:rFonts w:ascii="Calibri" w:eastAsia="Calibri" w:hAnsi="Calibri" w:cs="Times New Roman"/>
        </w:rPr>
        <w:t xml:space="preserve">ender </w:t>
      </w:r>
      <w:r w:rsidR="00B4510A">
        <w:rPr>
          <w:rFonts w:ascii="Calibri" w:eastAsia="Calibri" w:hAnsi="Calibri" w:cs="Times New Roman"/>
        </w:rPr>
        <w:t>I</w:t>
      </w:r>
      <w:r w:rsidRPr="00AD082D">
        <w:rPr>
          <w:rFonts w:ascii="Calibri" w:eastAsia="Calibri" w:hAnsi="Calibri" w:cs="Times New Roman"/>
        </w:rPr>
        <w:t>dentity compare between Treatment 1 and Treatment 2, overall and by mode?</w:t>
      </w:r>
    </w:p>
    <w:p w:rsidR="00AD082D" w:rsidRPr="00AD082D" w:rsidP="00AD082D" w14:paraId="736A41C8" w14:textId="4367F1C1">
      <w:pPr>
        <w:numPr>
          <w:ilvl w:val="0"/>
          <w:numId w:val="11"/>
        </w:numPr>
        <w:spacing w:after="240"/>
        <w:rPr>
          <w:rFonts w:ascii="Calibri" w:eastAsia="Calibri" w:hAnsi="Calibri" w:cs="Times New Roman"/>
        </w:rPr>
      </w:pPr>
      <w:r w:rsidRPr="00AD082D">
        <w:rPr>
          <w:rFonts w:ascii="Calibri" w:eastAsia="Calibri" w:hAnsi="Calibri" w:cs="Times New Roman"/>
        </w:rPr>
        <w:t>How do the distributions of coded categories of write-ins compare between Treatment</w:t>
      </w:r>
      <w:r w:rsidR="00B4510A">
        <w:rPr>
          <w:rFonts w:ascii="Calibri" w:eastAsia="Calibri" w:hAnsi="Calibri" w:cs="Times New Roman"/>
        </w:rPr>
        <w:t> </w:t>
      </w:r>
      <w:r w:rsidRPr="00AD082D">
        <w:rPr>
          <w:rFonts w:ascii="Calibri" w:eastAsia="Calibri" w:hAnsi="Calibri" w:cs="Times New Roman"/>
        </w:rPr>
        <w:t>1 and Treatment 2? How do they compare to those from previous studies (e.g., Stats Canada list and cognitive testing)?</w:t>
      </w:r>
    </w:p>
    <w:p w:rsidR="00AD082D" w:rsidRPr="00AD082D" w:rsidP="00AD082D" w14:paraId="4E6A7F28" w14:textId="0E72A385">
      <w:pPr>
        <w:numPr>
          <w:ilvl w:val="0"/>
          <w:numId w:val="11"/>
        </w:numPr>
        <w:spacing w:after="240"/>
        <w:rPr>
          <w:rFonts w:ascii="Calibri" w:eastAsia="Calibri" w:hAnsi="Calibri" w:cs="Times New Roman"/>
        </w:rPr>
      </w:pPr>
      <w:r>
        <w:rPr>
          <w:rFonts w:ascii="Calibri" w:eastAsia="Calibri" w:hAnsi="Calibri" w:cs="Times New Roman"/>
        </w:rPr>
        <w:t>F</w:t>
      </w:r>
      <w:r w:rsidRPr="00AD082D">
        <w:rPr>
          <w:rFonts w:ascii="Calibri" w:eastAsia="Calibri" w:hAnsi="Calibri" w:cs="Times New Roman"/>
        </w:rPr>
        <w:t xml:space="preserve">or internet responses, how do the proportions of write-ins for </w:t>
      </w:r>
      <w:r>
        <w:rPr>
          <w:rFonts w:ascii="Calibri" w:eastAsia="Calibri" w:hAnsi="Calibri" w:cs="Times New Roman"/>
        </w:rPr>
        <w:t>Current Gender</w:t>
      </w:r>
      <w:r w:rsidRPr="00AD082D">
        <w:rPr>
          <w:rFonts w:ascii="Calibri" w:eastAsia="Calibri" w:hAnsi="Calibri" w:cs="Times New Roman"/>
        </w:rPr>
        <w:t xml:space="preserve"> compare between the two internet write-in box styles</w:t>
      </w:r>
      <w:r w:rsidR="00A43488">
        <w:rPr>
          <w:rFonts w:ascii="Calibri" w:eastAsia="Calibri" w:hAnsi="Calibri" w:cs="Times New Roman"/>
        </w:rPr>
        <w:t xml:space="preserve"> (Treatment A vs Treatment B)</w:t>
      </w:r>
      <w:r w:rsidRPr="00AD082D">
        <w:rPr>
          <w:rFonts w:ascii="Calibri" w:eastAsia="Calibri" w:hAnsi="Calibri" w:cs="Times New Roman"/>
        </w:rPr>
        <w:t xml:space="preserve">? How do the proportions of “protest” write-ins </w:t>
      </w:r>
      <w:r w:rsidR="00C77455">
        <w:rPr>
          <w:rFonts w:ascii="Calibri" w:eastAsia="Calibri" w:hAnsi="Calibri" w:cs="Times New Roman"/>
        </w:rPr>
        <w:t xml:space="preserve">or </w:t>
      </w:r>
      <w:r w:rsidR="00C77455">
        <w:rPr>
          <w:rFonts w:ascii="Calibri" w:eastAsia="Calibri" w:hAnsi="Calibri" w:cs="Times New Roman"/>
        </w:rPr>
        <w:t>uncodable</w:t>
      </w:r>
      <w:r w:rsidR="00C77455">
        <w:rPr>
          <w:rFonts w:ascii="Calibri" w:eastAsia="Calibri" w:hAnsi="Calibri" w:cs="Times New Roman"/>
        </w:rPr>
        <w:t xml:space="preserve"> write-ins </w:t>
      </w:r>
      <w:r w:rsidRPr="00AD082D">
        <w:rPr>
          <w:rFonts w:ascii="Calibri" w:eastAsia="Calibri" w:hAnsi="Calibri" w:cs="Times New Roman"/>
        </w:rPr>
        <w:t>compare? How does the content of write-ins qualitatively compare?</w:t>
      </w:r>
    </w:p>
    <w:p w:rsidR="00AD082D" w:rsidRPr="00AD082D" w:rsidP="00AD082D" w14:paraId="669CF1C7" w14:textId="77777777">
      <w:pPr>
        <w:numPr>
          <w:ilvl w:val="0"/>
          <w:numId w:val="11"/>
        </w:numPr>
        <w:spacing w:after="240"/>
        <w:rPr>
          <w:rFonts w:ascii="Calibri" w:eastAsia="Calibri" w:hAnsi="Calibri" w:cs="Times New Roman"/>
        </w:rPr>
      </w:pPr>
      <w:r w:rsidRPr="00AD082D">
        <w:rPr>
          <w:rFonts w:ascii="Calibri" w:eastAsia="Calibri" w:hAnsi="Calibri" w:cs="Times New Roman"/>
        </w:rPr>
        <w:t xml:space="preserve">For Treatment 2, in all modes, what are the proportions of multiple marks, overall and by mode? What combinations of multiple marks were selected? For Treatment 1 in the mail mode, what are the proportions of multiple marks? What combinations of multiple marks were selected?  </w:t>
      </w:r>
    </w:p>
    <w:p w:rsidR="00AD082D" w:rsidP="00AD082D" w14:paraId="2DF44DBD" w14:textId="434C296F">
      <w:pPr>
        <w:numPr>
          <w:ilvl w:val="0"/>
          <w:numId w:val="11"/>
        </w:numPr>
        <w:spacing w:after="240"/>
        <w:rPr>
          <w:rFonts w:ascii="Calibri" w:eastAsia="Calibri" w:hAnsi="Calibri" w:cs="Times New Roman"/>
        </w:rPr>
      </w:pPr>
      <w:bookmarkStart w:id="36" w:name="_Hlk155866374"/>
      <w:r w:rsidRPr="00AD082D">
        <w:rPr>
          <w:rFonts w:ascii="Calibri" w:eastAsia="Calibri" w:hAnsi="Calibri" w:cs="Times New Roman"/>
        </w:rPr>
        <w:t xml:space="preserve">For mail responses and by treatment, how often is the </w:t>
      </w:r>
      <w:r w:rsidR="00B4510A">
        <w:rPr>
          <w:rFonts w:ascii="Calibri" w:eastAsia="Calibri" w:hAnsi="Calibri" w:cs="Times New Roman"/>
        </w:rPr>
        <w:t>C</w:t>
      </w:r>
      <w:r w:rsidRPr="00AD082D">
        <w:rPr>
          <w:rFonts w:ascii="Calibri" w:eastAsia="Calibri" w:hAnsi="Calibri" w:cs="Times New Roman"/>
        </w:rPr>
        <w:t xml:space="preserve">urrent </w:t>
      </w:r>
      <w:r w:rsidR="00B4510A">
        <w:rPr>
          <w:rFonts w:ascii="Calibri" w:eastAsia="Calibri" w:hAnsi="Calibri" w:cs="Times New Roman"/>
        </w:rPr>
        <w:t>G</w:t>
      </w:r>
      <w:r w:rsidRPr="00AD082D">
        <w:rPr>
          <w:rFonts w:ascii="Calibri" w:eastAsia="Calibri" w:hAnsi="Calibri" w:cs="Times New Roman"/>
        </w:rPr>
        <w:t>ender question answered for people under age 1</w:t>
      </w:r>
      <w:r w:rsidR="009E6AB9">
        <w:rPr>
          <w:rFonts w:ascii="Calibri" w:eastAsia="Calibri" w:hAnsi="Calibri" w:cs="Times New Roman"/>
        </w:rPr>
        <w:t>5</w:t>
      </w:r>
      <w:r w:rsidRPr="00AD082D">
        <w:rPr>
          <w:rFonts w:ascii="Calibri" w:eastAsia="Calibri" w:hAnsi="Calibri" w:cs="Times New Roman"/>
        </w:rPr>
        <w:t xml:space="preserve">? How does this </w:t>
      </w:r>
      <w:r w:rsidR="001B44A3">
        <w:rPr>
          <w:rFonts w:ascii="Calibri" w:eastAsia="Calibri" w:hAnsi="Calibri" w:cs="Times New Roman"/>
        </w:rPr>
        <w:t xml:space="preserve">nominally </w:t>
      </w:r>
      <w:r w:rsidRPr="00AD082D">
        <w:rPr>
          <w:rFonts w:ascii="Calibri" w:eastAsia="Calibri" w:hAnsi="Calibri" w:cs="Times New Roman"/>
        </w:rPr>
        <w:t>compare to the rate at which question 2</w:t>
      </w:r>
      <w:r w:rsidR="003D76CF">
        <w:rPr>
          <w:rFonts w:ascii="Calibri" w:eastAsia="Calibri" w:hAnsi="Calibri" w:cs="Times New Roman"/>
        </w:rPr>
        <w:t>1</w:t>
      </w:r>
      <w:r w:rsidRPr="00AD082D">
        <w:rPr>
          <w:rFonts w:ascii="Calibri" w:eastAsia="Calibri" w:hAnsi="Calibri" w:cs="Times New Roman"/>
        </w:rPr>
        <w:t xml:space="preserve"> w</w:t>
      </w:r>
      <w:r w:rsidR="00025FAC">
        <w:rPr>
          <w:rFonts w:ascii="Calibri" w:eastAsia="Calibri" w:hAnsi="Calibri" w:cs="Times New Roman"/>
        </w:rPr>
        <w:t>as</w:t>
      </w:r>
      <w:r w:rsidRPr="00AD082D">
        <w:rPr>
          <w:rFonts w:ascii="Calibri" w:eastAsia="Calibri" w:hAnsi="Calibri" w:cs="Times New Roman"/>
        </w:rPr>
        <w:t xml:space="preserve"> answered for people under age 15?</w:t>
      </w:r>
      <w:bookmarkStart w:id="37" w:name="_Ref154670275"/>
      <w:r>
        <w:rPr>
          <w:rStyle w:val="FootnoteReference"/>
          <w:rFonts w:ascii="Calibri" w:eastAsia="Calibri" w:hAnsi="Calibri" w:cs="Times New Roman"/>
        </w:rPr>
        <w:footnoteReference w:id="22"/>
      </w:r>
      <w:bookmarkEnd w:id="37"/>
    </w:p>
    <w:bookmarkEnd w:id="36"/>
    <w:p w:rsidR="00AD082D" w:rsidP="00BD0C72" w14:paraId="10571B76" w14:textId="1A500961">
      <w:pPr>
        <w:keepNext/>
        <w:spacing w:after="240"/>
        <w:rPr>
          <w:rFonts w:ascii="Calibri" w:eastAsia="Calibri" w:hAnsi="Calibri" w:cs="Times New Roman"/>
          <w:i/>
          <w:iCs/>
        </w:rPr>
      </w:pPr>
      <w:r w:rsidRPr="00AD082D">
        <w:rPr>
          <w:rFonts w:ascii="Calibri" w:eastAsia="Calibri" w:hAnsi="Calibri" w:cs="Times New Roman"/>
          <w:i/>
          <w:iCs/>
        </w:rPr>
        <w:t>Response Reliability</w:t>
      </w:r>
      <w:r>
        <w:rPr>
          <w:rStyle w:val="FootnoteReference"/>
          <w:rFonts w:ascii="Calibri" w:eastAsia="Calibri" w:hAnsi="Calibri" w:cs="Times New Roman"/>
          <w:i/>
          <w:iCs/>
        </w:rPr>
        <w:footnoteReference w:id="23"/>
      </w:r>
    </w:p>
    <w:p w:rsidR="00AD082D" w:rsidRPr="00AD082D" w:rsidP="00AD082D" w14:paraId="78C54280" w14:textId="7ED7DDF4">
      <w:pPr>
        <w:numPr>
          <w:ilvl w:val="0"/>
          <w:numId w:val="11"/>
        </w:numPr>
        <w:spacing w:after="240"/>
        <w:rPr>
          <w:rFonts w:ascii="Calibri" w:eastAsia="Calibri" w:hAnsi="Calibri" w:cs="Times New Roman"/>
        </w:rPr>
      </w:pPr>
      <w:r w:rsidRPr="00AD082D">
        <w:rPr>
          <w:rFonts w:ascii="Calibri" w:eastAsia="Calibri" w:hAnsi="Calibri" w:cs="Times New Roman"/>
        </w:rPr>
        <w:t xml:space="preserve">Are the measures of response reliability for </w:t>
      </w:r>
      <w:r w:rsidR="00B4510A">
        <w:rPr>
          <w:rFonts w:ascii="Calibri" w:eastAsia="Calibri" w:hAnsi="Calibri" w:cs="Times New Roman"/>
        </w:rPr>
        <w:t>the G</w:t>
      </w:r>
      <w:r w:rsidRPr="00AD082D">
        <w:rPr>
          <w:rFonts w:ascii="Calibri" w:eastAsia="Calibri" w:hAnsi="Calibri" w:cs="Times New Roman"/>
        </w:rPr>
        <w:t xml:space="preserve">ender </w:t>
      </w:r>
      <w:r w:rsidR="00B4510A">
        <w:rPr>
          <w:rFonts w:ascii="Calibri" w:eastAsia="Calibri" w:hAnsi="Calibri" w:cs="Times New Roman"/>
        </w:rPr>
        <w:t>I</w:t>
      </w:r>
      <w:r w:rsidRPr="00AD082D">
        <w:rPr>
          <w:rFonts w:ascii="Calibri" w:eastAsia="Calibri" w:hAnsi="Calibri" w:cs="Times New Roman"/>
        </w:rPr>
        <w:t xml:space="preserve">dentity </w:t>
      </w:r>
      <w:r w:rsidR="00B4510A">
        <w:rPr>
          <w:rFonts w:ascii="Calibri" w:eastAsia="Calibri" w:hAnsi="Calibri" w:cs="Times New Roman"/>
        </w:rPr>
        <w:t xml:space="preserve">series </w:t>
      </w:r>
      <w:r w:rsidRPr="00AD082D">
        <w:rPr>
          <w:rFonts w:ascii="Calibri" w:eastAsia="Calibri" w:hAnsi="Calibri" w:cs="Times New Roman"/>
        </w:rPr>
        <w:t>different between Treatment 1 and Treatment 2, overall and by mode of original interview (mail and internet)?</w:t>
      </w:r>
    </w:p>
    <w:p w:rsidR="00AD082D" w:rsidRPr="00AD082D" w:rsidP="00AD082D" w14:paraId="42951106" w14:textId="638FCDA3">
      <w:pPr>
        <w:numPr>
          <w:ilvl w:val="0"/>
          <w:numId w:val="11"/>
        </w:numPr>
        <w:spacing w:after="240"/>
        <w:rPr>
          <w:rFonts w:ascii="Calibri" w:eastAsia="Calibri" w:hAnsi="Calibri" w:cs="Times New Roman"/>
        </w:rPr>
      </w:pPr>
      <w:r w:rsidRPr="00AD082D">
        <w:rPr>
          <w:rFonts w:ascii="Calibri" w:eastAsia="Calibri" w:hAnsi="Calibri" w:cs="Times New Roman"/>
        </w:rPr>
        <w:t xml:space="preserve">What </w:t>
      </w:r>
      <w:r w:rsidRPr="00AD082D">
        <w:rPr>
          <w:rFonts w:ascii="Calibri" w:eastAsia="Calibri" w:hAnsi="Calibri" w:cs="Times New Roman"/>
        </w:rPr>
        <w:t>are</w:t>
      </w:r>
      <w:r w:rsidRPr="00AD082D">
        <w:rPr>
          <w:rFonts w:ascii="Calibri" w:eastAsia="Calibri" w:hAnsi="Calibri" w:cs="Times New Roman"/>
        </w:rPr>
        <w:t xml:space="preserve"> the response reliability measures for </w:t>
      </w:r>
      <w:r w:rsidR="00B4510A">
        <w:rPr>
          <w:rFonts w:ascii="Calibri" w:eastAsia="Calibri" w:hAnsi="Calibri" w:cs="Times New Roman"/>
        </w:rPr>
        <w:t>the G</w:t>
      </w:r>
      <w:r w:rsidRPr="00AD082D">
        <w:rPr>
          <w:rFonts w:ascii="Calibri" w:eastAsia="Calibri" w:hAnsi="Calibri" w:cs="Times New Roman"/>
        </w:rPr>
        <w:t xml:space="preserve">ender </w:t>
      </w:r>
      <w:r w:rsidR="00B4510A">
        <w:rPr>
          <w:rFonts w:ascii="Calibri" w:eastAsia="Calibri" w:hAnsi="Calibri" w:cs="Times New Roman"/>
        </w:rPr>
        <w:t>I</w:t>
      </w:r>
      <w:r w:rsidRPr="00AD082D">
        <w:rPr>
          <w:rFonts w:ascii="Calibri" w:eastAsia="Calibri" w:hAnsi="Calibri" w:cs="Times New Roman"/>
        </w:rPr>
        <w:t>dentity</w:t>
      </w:r>
      <w:r w:rsidR="00B4510A">
        <w:rPr>
          <w:rFonts w:ascii="Calibri" w:eastAsia="Calibri" w:hAnsi="Calibri" w:cs="Times New Roman"/>
        </w:rPr>
        <w:t xml:space="preserve"> series</w:t>
      </w:r>
      <w:r w:rsidRPr="00AD082D">
        <w:rPr>
          <w:rFonts w:ascii="Calibri" w:eastAsia="Calibri" w:hAnsi="Calibri" w:cs="Times New Roman"/>
        </w:rPr>
        <w:t xml:space="preserve"> when the same household respondent responds to both interviews? How do those measures compare to those when a different respondent responds in the CFU reinterview? If sample allows, how do the response reliability measures compare by household composition (i.e., simple vs. complex households)?</w:t>
      </w:r>
    </w:p>
    <w:p w:rsidR="00AD082D" w:rsidRPr="00AD082D" w:rsidP="00AD082D" w14:paraId="6BBAFC01" w14:textId="15A89EB3">
      <w:pPr>
        <w:numPr>
          <w:ilvl w:val="0"/>
          <w:numId w:val="11"/>
        </w:numPr>
        <w:spacing w:after="240"/>
        <w:rPr>
          <w:rFonts w:ascii="Calibri" w:eastAsia="Calibri" w:hAnsi="Calibri" w:cs="Times New Roman"/>
        </w:rPr>
      </w:pPr>
      <w:r w:rsidRPr="00AD082D">
        <w:rPr>
          <w:rFonts w:ascii="Calibri" w:eastAsia="Calibri" w:hAnsi="Calibri" w:cs="Times New Roman"/>
        </w:rPr>
        <w:t>For households in which the same household member completed both interviews, how do the response reliability measures compare between self-responses and proxy responses?</w:t>
      </w:r>
    </w:p>
    <w:p w:rsidR="00AD082D" w:rsidRPr="00AD082D" w:rsidP="00AD082D" w14:paraId="7F62909F" w14:textId="4D09FC4C">
      <w:pPr>
        <w:numPr>
          <w:ilvl w:val="0"/>
          <w:numId w:val="11"/>
        </w:numPr>
        <w:spacing w:after="240"/>
        <w:rPr>
          <w:rFonts w:ascii="Calibri" w:eastAsia="Calibri" w:hAnsi="Calibri" w:cs="Times New Roman"/>
        </w:rPr>
      </w:pPr>
      <w:r w:rsidRPr="00AD082D">
        <w:rPr>
          <w:rFonts w:ascii="Calibri" w:eastAsia="Calibri" w:hAnsi="Calibri" w:cs="Times New Roman"/>
        </w:rPr>
        <w:t xml:space="preserve">For each treatment, how do the measures of response reliability for </w:t>
      </w:r>
      <w:r w:rsidR="00A84621">
        <w:rPr>
          <w:rFonts w:ascii="Calibri" w:eastAsia="Calibri" w:hAnsi="Calibri" w:cs="Times New Roman"/>
        </w:rPr>
        <w:t>G</w:t>
      </w:r>
      <w:r w:rsidRPr="00AD082D">
        <w:rPr>
          <w:rFonts w:ascii="Calibri" w:eastAsia="Calibri" w:hAnsi="Calibri" w:cs="Times New Roman"/>
        </w:rPr>
        <w:t xml:space="preserve">ender </w:t>
      </w:r>
      <w:r w:rsidR="00A84621">
        <w:rPr>
          <w:rFonts w:ascii="Calibri" w:eastAsia="Calibri" w:hAnsi="Calibri" w:cs="Times New Roman"/>
        </w:rPr>
        <w:t>I</w:t>
      </w:r>
      <w:r w:rsidRPr="00AD082D">
        <w:rPr>
          <w:rFonts w:ascii="Calibri" w:eastAsia="Calibri" w:hAnsi="Calibri" w:cs="Times New Roman"/>
        </w:rPr>
        <w:t xml:space="preserve">dentity </w:t>
      </w:r>
      <w:r w:rsidR="009E004E">
        <w:rPr>
          <w:rFonts w:ascii="Calibri" w:eastAsia="Calibri" w:hAnsi="Calibri" w:cs="Times New Roman"/>
        </w:rPr>
        <w:t xml:space="preserve">nominally </w:t>
      </w:r>
      <w:r w:rsidRPr="00AD082D">
        <w:rPr>
          <w:rFonts w:ascii="Calibri" w:eastAsia="Calibri" w:hAnsi="Calibri" w:cs="Times New Roman"/>
        </w:rPr>
        <w:t>compare</w:t>
      </w:r>
      <w:r w:rsidRPr="00AD082D">
        <w:rPr>
          <w:rFonts w:ascii="Calibri" w:eastAsia="Calibri" w:hAnsi="Calibri" w:cs="Times New Roman"/>
        </w:rPr>
        <w:t xml:space="preserve"> to those for other </w:t>
      </w:r>
      <w:r w:rsidR="00B17DD5">
        <w:rPr>
          <w:rFonts w:ascii="Calibri" w:eastAsia="Calibri" w:hAnsi="Calibri" w:cs="Times New Roman"/>
        </w:rPr>
        <w:t xml:space="preserve">items in the Basic Person section, </w:t>
      </w:r>
      <w:r w:rsidRPr="00AD082D">
        <w:rPr>
          <w:rFonts w:ascii="Calibri" w:eastAsia="Calibri" w:hAnsi="Calibri" w:cs="Times New Roman"/>
        </w:rPr>
        <w:t>sensitive items</w:t>
      </w:r>
      <w:r w:rsidR="00B17DD5">
        <w:rPr>
          <w:rFonts w:ascii="Calibri" w:eastAsia="Calibri" w:hAnsi="Calibri" w:cs="Times New Roman"/>
        </w:rPr>
        <w:t>,</w:t>
      </w:r>
      <w:r w:rsidRPr="00AD082D">
        <w:rPr>
          <w:rFonts w:ascii="Calibri" w:eastAsia="Calibri" w:hAnsi="Calibri" w:cs="Times New Roman"/>
        </w:rPr>
        <w:t xml:space="preserve"> or items with proxy-reporting differences?</w:t>
      </w:r>
      <w:r w:rsidR="00A84621">
        <w:rPr>
          <w:rFonts w:ascii="Calibri" w:eastAsia="Calibri" w:hAnsi="Calibri" w:cs="Times New Roman"/>
        </w:rPr>
        <w:t xml:space="preserve"> </w:t>
      </w:r>
      <w:r w:rsidR="002128FD">
        <w:rPr>
          <w:rFonts w:ascii="Calibri" w:eastAsia="Calibri" w:hAnsi="Calibri" w:cs="Times New Roman"/>
        </w:rPr>
        <w:t>How do</w:t>
      </w:r>
      <w:r w:rsidR="00A84621">
        <w:rPr>
          <w:rFonts w:ascii="Calibri" w:eastAsia="Calibri" w:hAnsi="Calibri" w:cs="Times New Roman"/>
        </w:rPr>
        <w:t xml:space="preserve"> the measures </w:t>
      </w:r>
      <w:r w:rsidR="002128FD">
        <w:rPr>
          <w:rFonts w:ascii="Calibri" w:eastAsia="Calibri" w:hAnsi="Calibri" w:cs="Times New Roman"/>
        </w:rPr>
        <w:t xml:space="preserve">compare </w:t>
      </w:r>
      <w:r w:rsidR="00A84621">
        <w:rPr>
          <w:rFonts w:ascii="Calibri" w:eastAsia="Calibri" w:hAnsi="Calibri" w:cs="Times New Roman"/>
        </w:rPr>
        <w:t>by proxy-reporting status (i.e., compare across items for self-responses and compare for proxy responses)</w:t>
      </w:r>
      <w:r w:rsidR="002128FD">
        <w:rPr>
          <w:rFonts w:ascii="Calibri" w:eastAsia="Calibri" w:hAnsi="Calibri" w:cs="Times New Roman"/>
        </w:rPr>
        <w:t>?</w:t>
      </w:r>
    </w:p>
    <w:p w:rsidR="00AD082D" w:rsidRPr="00AD082D" w:rsidP="00AD082D" w14:paraId="03531116" w14:textId="77777777">
      <w:pPr>
        <w:pStyle w:val="ListParagraph"/>
        <w:numPr>
          <w:ilvl w:val="0"/>
          <w:numId w:val="30"/>
        </w:numPr>
        <w:spacing w:after="240"/>
        <w:rPr>
          <w:rFonts w:ascii="Calibri" w:eastAsia="Calibri" w:hAnsi="Calibri" w:cs="Times New Roman"/>
        </w:rPr>
      </w:pPr>
      <w:bookmarkStart w:id="38" w:name="_Hlk159923633"/>
      <w:r w:rsidRPr="00AD082D">
        <w:rPr>
          <w:rFonts w:ascii="Calibri" w:eastAsia="Calibri" w:hAnsi="Calibri" w:cs="Times New Roman"/>
        </w:rPr>
        <w:t>Basic Person items on CFU reinterview: Relationship, Age, Hispanic Origin, Race</w:t>
      </w:r>
    </w:p>
    <w:bookmarkEnd w:id="38"/>
    <w:p w:rsidR="00AD082D" w:rsidRPr="00AD082D" w:rsidP="00AD082D" w14:paraId="24C32D12" w14:textId="67C19C70">
      <w:pPr>
        <w:pStyle w:val="ListParagraph"/>
        <w:numPr>
          <w:ilvl w:val="0"/>
          <w:numId w:val="30"/>
        </w:numPr>
        <w:spacing w:after="240"/>
        <w:rPr>
          <w:rFonts w:ascii="Calibri" w:eastAsia="Calibri" w:hAnsi="Calibri" w:cs="Times New Roman"/>
        </w:rPr>
      </w:pPr>
      <w:r w:rsidRPr="00AD082D">
        <w:rPr>
          <w:rFonts w:ascii="Calibri" w:eastAsia="Calibri" w:hAnsi="Calibri" w:cs="Times New Roman"/>
        </w:rPr>
        <w:t xml:space="preserve">Detailed Person items on CFU reinterview: Place of Birth, Educational Attainment, Health Insurance Coverage, Disability, Marital Status/History, Fertility, </w:t>
      </w:r>
      <w:r w:rsidR="00F908D6">
        <w:rPr>
          <w:rFonts w:ascii="Calibri" w:eastAsia="Calibri" w:hAnsi="Calibri" w:cs="Times New Roman"/>
        </w:rPr>
        <w:t>Wages</w:t>
      </w:r>
      <w:r w:rsidRPr="00AD082D">
        <w:rPr>
          <w:rFonts w:ascii="Calibri" w:eastAsia="Calibri" w:hAnsi="Calibri" w:cs="Times New Roman"/>
        </w:rPr>
        <w:t xml:space="preserve"> </w:t>
      </w:r>
    </w:p>
    <w:p w:rsidR="00AD082D" w:rsidRPr="00AD082D" w:rsidP="00AD082D" w14:paraId="42A27539" w14:textId="3CA3E859">
      <w:pPr>
        <w:numPr>
          <w:ilvl w:val="0"/>
          <w:numId w:val="11"/>
        </w:numPr>
        <w:spacing w:after="240"/>
        <w:rPr>
          <w:rFonts w:ascii="Calibri" w:eastAsia="Calibri" w:hAnsi="Calibri" w:cs="Times New Roman"/>
        </w:rPr>
      </w:pPr>
      <w:r w:rsidRPr="001B44A3">
        <w:rPr>
          <w:rFonts w:ascii="Calibri" w:eastAsia="Calibri" w:hAnsi="Calibri" w:cs="Times New Roman"/>
          <w:i/>
          <w:iCs/>
        </w:rPr>
        <w:t>For households in which a different household member responded in CFU</w:t>
      </w:r>
      <w:r w:rsidRPr="00AD082D">
        <w:rPr>
          <w:rFonts w:ascii="Calibri" w:eastAsia="Calibri" w:hAnsi="Calibri" w:cs="Times New Roman"/>
        </w:rPr>
        <w:t xml:space="preserve">: How do the measures of response reliability compare between persons who had a self-response in one interview and proxy response in the other, and those who had two different proxy responses? For persons who had a self-response and a proxy response, what proportion of proxy responses did not match the </w:t>
      </w:r>
      <w:r w:rsidRPr="00AD082D" w:rsidR="00A84621">
        <w:rPr>
          <w:rFonts w:ascii="Calibri" w:eastAsia="Calibri" w:hAnsi="Calibri" w:cs="Times New Roman"/>
        </w:rPr>
        <w:t>self-response</w:t>
      </w:r>
      <w:r w:rsidRPr="00AD082D">
        <w:rPr>
          <w:rFonts w:ascii="Calibri" w:eastAsia="Calibri" w:hAnsi="Calibri" w:cs="Times New Roman"/>
        </w:rPr>
        <w:t>?</w:t>
      </w:r>
    </w:p>
    <w:p w:rsidR="00AD082D" w:rsidRPr="00AD082D" w:rsidP="00BD0C72" w14:paraId="23FA85C0" w14:textId="0A37AB54">
      <w:pPr>
        <w:keepNext/>
        <w:spacing w:after="240"/>
        <w:rPr>
          <w:rFonts w:ascii="Calibri" w:eastAsia="Calibri" w:hAnsi="Calibri" w:cs="Times New Roman"/>
          <w:i/>
          <w:iCs/>
        </w:rPr>
      </w:pPr>
      <w:r>
        <w:rPr>
          <w:rFonts w:ascii="Calibri" w:eastAsia="Calibri" w:hAnsi="Calibri" w:cs="Times New Roman"/>
          <w:i/>
          <w:iCs/>
        </w:rPr>
        <w:t>Additional</w:t>
      </w:r>
      <w:r w:rsidRPr="00AD082D">
        <w:rPr>
          <w:rFonts w:ascii="Calibri" w:eastAsia="Calibri" w:hAnsi="Calibri" w:cs="Times New Roman"/>
          <w:i/>
          <w:iCs/>
        </w:rPr>
        <w:t xml:space="preserve"> Metrics</w:t>
      </w:r>
    </w:p>
    <w:p w:rsidR="00AD082D" w:rsidRPr="00AD082D" w:rsidP="00AD082D" w14:paraId="5CE9E739" w14:textId="008A6808">
      <w:pPr>
        <w:numPr>
          <w:ilvl w:val="0"/>
          <w:numId w:val="11"/>
        </w:numPr>
        <w:spacing w:after="240"/>
        <w:rPr>
          <w:rFonts w:ascii="Calibri" w:eastAsia="Calibri" w:hAnsi="Calibri" w:cs="Times New Roman"/>
        </w:rPr>
      </w:pPr>
      <w:r w:rsidRPr="00AD082D">
        <w:rPr>
          <w:rFonts w:ascii="Calibri" w:eastAsia="Calibri" w:hAnsi="Calibri" w:cs="Times New Roman"/>
        </w:rPr>
        <w:t xml:space="preserve">Using internet </w:t>
      </w:r>
      <w:r w:rsidRPr="00AD082D">
        <w:rPr>
          <w:rFonts w:ascii="Calibri" w:eastAsia="Calibri" w:hAnsi="Calibri" w:cs="Times New Roman"/>
        </w:rPr>
        <w:t>paradata</w:t>
      </w:r>
      <w:r w:rsidRPr="00AD082D">
        <w:rPr>
          <w:rFonts w:ascii="Calibri" w:eastAsia="Calibri" w:hAnsi="Calibri" w:cs="Times New Roman"/>
        </w:rPr>
        <w:t xml:space="preserve">, how do the following behaviors for the </w:t>
      </w:r>
      <w:r w:rsidR="00B84BEA">
        <w:rPr>
          <w:rFonts w:ascii="Calibri" w:eastAsia="Calibri" w:hAnsi="Calibri" w:cs="Times New Roman"/>
        </w:rPr>
        <w:t>G</w:t>
      </w:r>
      <w:r w:rsidRPr="00AD082D">
        <w:rPr>
          <w:rFonts w:ascii="Calibri" w:eastAsia="Calibri" w:hAnsi="Calibri" w:cs="Times New Roman"/>
        </w:rPr>
        <w:t xml:space="preserve">ender </w:t>
      </w:r>
      <w:r w:rsidR="00B84BEA">
        <w:rPr>
          <w:rFonts w:ascii="Calibri" w:eastAsia="Calibri" w:hAnsi="Calibri" w:cs="Times New Roman"/>
        </w:rPr>
        <w:t>I</w:t>
      </w:r>
      <w:r w:rsidRPr="00AD082D">
        <w:rPr>
          <w:rFonts w:ascii="Calibri" w:eastAsia="Calibri" w:hAnsi="Calibri" w:cs="Times New Roman"/>
        </w:rPr>
        <w:t>dentity series compare between treatments? How do the rates of these behaviors compare to those for other sensitive or complex questions</w:t>
      </w:r>
      <w:r w:rsidR="00565F6E">
        <w:rPr>
          <w:rFonts w:ascii="Calibri" w:eastAsia="Calibri" w:hAnsi="Calibri" w:cs="Times New Roman"/>
        </w:rPr>
        <w:t xml:space="preserve"> from Research Question </w:t>
      </w:r>
      <w:r w:rsidR="007F2BDA">
        <w:rPr>
          <w:rFonts w:ascii="Calibri" w:eastAsia="Calibri" w:hAnsi="Calibri" w:cs="Times New Roman"/>
        </w:rPr>
        <w:t>9</w:t>
      </w:r>
      <w:r w:rsidRPr="00AD082D">
        <w:rPr>
          <w:rFonts w:ascii="Calibri" w:eastAsia="Calibri" w:hAnsi="Calibri" w:cs="Times New Roman"/>
        </w:rPr>
        <w:t>?</w:t>
      </w:r>
    </w:p>
    <w:p w:rsidR="00AD082D" w:rsidRPr="00AD082D" w:rsidP="00AD082D" w14:paraId="145852B2" w14:textId="77777777">
      <w:pPr>
        <w:pStyle w:val="ListParagraph"/>
        <w:numPr>
          <w:ilvl w:val="0"/>
          <w:numId w:val="31"/>
        </w:numPr>
        <w:spacing w:after="240"/>
        <w:rPr>
          <w:rFonts w:ascii="Calibri" w:eastAsia="Calibri" w:hAnsi="Calibri" w:cs="Times New Roman"/>
        </w:rPr>
      </w:pPr>
      <w:r w:rsidRPr="00AD082D">
        <w:rPr>
          <w:rFonts w:ascii="Calibri" w:eastAsia="Calibri" w:hAnsi="Calibri" w:cs="Times New Roman"/>
        </w:rPr>
        <w:t>Breakoff rates?</w:t>
      </w:r>
    </w:p>
    <w:p w:rsidR="00AD082D" w:rsidRPr="00AD082D" w:rsidP="00AD082D" w14:paraId="1B693A1A" w14:textId="77777777">
      <w:pPr>
        <w:pStyle w:val="ListParagraph"/>
        <w:numPr>
          <w:ilvl w:val="0"/>
          <w:numId w:val="31"/>
        </w:numPr>
        <w:spacing w:after="240"/>
        <w:rPr>
          <w:rFonts w:ascii="Calibri" w:eastAsia="Calibri" w:hAnsi="Calibri" w:cs="Times New Roman"/>
        </w:rPr>
      </w:pPr>
      <w:r w:rsidRPr="00AD082D">
        <w:rPr>
          <w:rFonts w:ascii="Calibri" w:eastAsia="Calibri" w:hAnsi="Calibri" w:cs="Times New Roman"/>
        </w:rPr>
        <w:t>Help screen access rates?</w:t>
      </w:r>
    </w:p>
    <w:p w:rsidR="00AD082D" w:rsidRPr="00AD082D" w:rsidP="00AD082D" w14:paraId="2EE6BD34" w14:textId="77777777">
      <w:pPr>
        <w:pStyle w:val="ListParagraph"/>
        <w:numPr>
          <w:ilvl w:val="0"/>
          <w:numId w:val="31"/>
        </w:numPr>
        <w:spacing w:after="240"/>
        <w:rPr>
          <w:rFonts w:ascii="Calibri" w:eastAsia="Calibri" w:hAnsi="Calibri" w:cs="Times New Roman"/>
        </w:rPr>
      </w:pPr>
      <w:r w:rsidRPr="00AD082D">
        <w:rPr>
          <w:rFonts w:ascii="Calibri" w:eastAsia="Calibri" w:hAnsi="Calibri" w:cs="Times New Roman"/>
        </w:rPr>
        <w:t>Backing (going back to different screens)?</w:t>
      </w:r>
    </w:p>
    <w:p w:rsidR="00AD082D" w:rsidP="00AD082D" w14:paraId="4FBA9585" w14:textId="77777777">
      <w:pPr>
        <w:pStyle w:val="ListParagraph"/>
        <w:numPr>
          <w:ilvl w:val="0"/>
          <w:numId w:val="31"/>
        </w:numPr>
        <w:spacing w:after="240"/>
        <w:rPr>
          <w:rFonts w:ascii="Calibri" w:eastAsia="Calibri" w:hAnsi="Calibri" w:cs="Times New Roman"/>
        </w:rPr>
      </w:pPr>
      <w:r w:rsidRPr="00AD082D">
        <w:rPr>
          <w:rFonts w:ascii="Calibri" w:eastAsia="Calibri" w:hAnsi="Calibri" w:cs="Times New Roman"/>
        </w:rPr>
        <w:t>Answer changes?</w:t>
      </w:r>
    </w:p>
    <w:p w:rsidR="00AD082D" w:rsidRPr="00AD082D" w:rsidP="00AD082D" w14:paraId="3251E97E" w14:textId="14A9C36B">
      <w:pPr>
        <w:pStyle w:val="ListParagraph"/>
        <w:numPr>
          <w:ilvl w:val="0"/>
          <w:numId w:val="31"/>
        </w:numPr>
        <w:spacing w:after="240"/>
        <w:rPr>
          <w:rFonts w:ascii="Calibri" w:eastAsia="Calibri" w:hAnsi="Calibri" w:cs="Times New Roman"/>
        </w:rPr>
      </w:pPr>
      <w:r w:rsidRPr="00AD082D">
        <w:rPr>
          <w:rFonts w:ascii="Calibri" w:eastAsia="Calibri" w:hAnsi="Calibri" w:cs="Times New Roman"/>
        </w:rPr>
        <w:t>Time on screen?</w:t>
      </w:r>
    </w:p>
    <w:p w:rsidR="00AD082D" w:rsidRPr="00AD082D" w:rsidP="00AD082D" w14:paraId="0B7763B0" w14:textId="08A0778A">
      <w:pPr>
        <w:numPr>
          <w:ilvl w:val="0"/>
          <w:numId w:val="11"/>
        </w:numPr>
        <w:spacing w:after="240"/>
        <w:rPr>
          <w:rFonts w:ascii="Calibri" w:eastAsia="Calibri" w:hAnsi="Calibri" w:cs="Times New Roman"/>
        </w:rPr>
      </w:pPr>
      <w:r w:rsidRPr="00AD082D">
        <w:rPr>
          <w:rFonts w:ascii="Calibri" w:eastAsia="Calibri" w:hAnsi="Calibri" w:cs="Times New Roman"/>
        </w:rPr>
        <w:t xml:space="preserve">What proportion of respondents would have received the </w:t>
      </w:r>
      <w:r w:rsidR="00B84BEA">
        <w:rPr>
          <w:rFonts w:ascii="Calibri" w:eastAsia="Calibri" w:hAnsi="Calibri" w:cs="Times New Roman"/>
        </w:rPr>
        <w:t>G</w:t>
      </w:r>
      <w:r w:rsidRPr="00AD082D">
        <w:rPr>
          <w:rFonts w:ascii="Calibri" w:eastAsia="Calibri" w:hAnsi="Calibri" w:cs="Times New Roman"/>
        </w:rPr>
        <w:t xml:space="preserve">ender </w:t>
      </w:r>
      <w:r w:rsidR="00B84BEA">
        <w:rPr>
          <w:rFonts w:ascii="Calibri" w:eastAsia="Calibri" w:hAnsi="Calibri" w:cs="Times New Roman"/>
        </w:rPr>
        <w:t>I</w:t>
      </w:r>
      <w:r w:rsidRPr="00AD082D">
        <w:rPr>
          <w:rFonts w:ascii="Calibri" w:eastAsia="Calibri" w:hAnsi="Calibri" w:cs="Times New Roman"/>
        </w:rPr>
        <w:t xml:space="preserve">dentity confirmation question </w:t>
      </w:r>
      <w:r w:rsidR="00CF69BB">
        <w:rPr>
          <w:rFonts w:ascii="Calibri" w:eastAsia="Calibri" w:hAnsi="Calibri" w:cs="Times New Roman"/>
        </w:rPr>
        <w:t xml:space="preserve">if only asked for respondents who provided different answers to </w:t>
      </w:r>
      <w:r w:rsidR="00B17DD5">
        <w:rPr>
          <w:rFonts w:ascii="Calibri" w:eastAsia="Calibri" w:hAnsi="Calibri" w:cs="Times New Roman"/>
        </w:rPr>
        <w:t>S</w:t>
      </w:r>
      <w:r w:rsidR="00CF69BB">
        <w:rPr>
          <w:rFonts w:ascii="Calibri" w:eastAsia="Calibri" w:hAnsi="Calibri" w:cs="Times New Roman"/>
        </w:rPr>
        <w:t xml:space="preserve">ex at </w:t>
      </w:r>
      <w:r w:rsidR="00B17DD5">
        <w:rPr>
          <w:rFonts w:ascii="Calibri" w:eastAsia="Calibri" w:hAnsi="Calibri" w:cs="Times New Roman"/>
        </w:rPr>
        <w:t>B</w:t>
      </w:r>
      <w:r w:rsidR="00CF69BB">
        <w:rPr>
          <w:rFonts w:ascii="Calibri" w:eastAsia="Calibri" w:hAnsi="Calibri" w:cs="Times New Roman"/>
        </w:rPr>
        <w:t xml:space="preserve">irth and </w:t>
      </w:r>
      <w:r w:rsidR="00B17DD5">
        <w:rPr>
          <w:rFonts w:ascii="Calibri" w:eastAsia="Calibri" w:hAnsi="Calibri" w:cs="Times New Roman"/>
        </w:rPr>
        <w:t>C</w:t>
      </w:r>
      <w:r w:rsidR="00CF69BB">
        <w:rPr>
          <w:rFonts w:ascii="Calibri" w:eastAsia="Calibri" w:hAnsi="Calibri" w:cs="Times New Roman"/>
        </w:rPr>
        <w:t xml:space="preserve">urrent </w:t>
      </w:r>
      <w:r w:rsidR="00B17DD5">
        <w:rPr>
          <w:rFonts w:ascii="Calibri" w:eastAsia="Calibri" w:hAnsi="Calibri" w:cs="Times New Roman"/>
        </w:rPr>
        <w:t>G</w:t>
      </w:r>
      <w:r w:rsidR="00CF69BB">
        <w:rPr>
          <w:rFonts w:ascii="Calibri" w:eastAsia="Calibri" w:hAnsi="Calibri" w:cs="Times New Roman"/>
        </w:rPr>
        <w:t>ender?</w:t>
      </w:r>
      <w:r w:rsidR="4C15B68E">
        <w:rPr>
          <w:rFonts w:ascii="Calibri" w:eastAsia="Calibri" w:hAnsi="Calibri" w:cs="Times New Roman"/>
        </w:rPr>
        <w:t xml:space="preserve"> </w:t>
      </w:r>
      <w:r w:rsidRPr="00AD082D">
        <w:rPr>
          <w:rFonts w:ascii="Calibri" w:eastAsia="Calibri" w:hAnsi="Calibri" w:cs="Times New Roman"/>
        </w:rPr>
        <w:t>How does this rate compare between treatments?</w:t>
      </w:r>
    </w:p>
    <w:p w:rsidR="00AD082D" w:rsidRPr="00AD082D" w:rsidP="00AD082D" w14:paraId="7E381367" w14:textId="56A0AC0D">
      <w:pPr>
        <w:numPr>
          <w:ilvl w:val="0"/>
          <w:numId w:val="11"/>
        </w:numPr>
        <w:spacing w:after="240"/>
        <w:rPr>
          <w:rFonts w:ascii="Calibri" w:eastAsia="Calibri" w:hAnsi="Calibri" w:cs="Times New Roman"/>
        </w:rPr>
      </w:pPr>
      <w:r w:rsidRPr="00AD082D">
        <w:rPr>
          <w:rFonts w:ascii="Calibri" w:eastAsia="Calibri" w:hAnsi="Calibri" w:cs="Times New Roman"/>
        </w:rPr>
        <w:t xml:space="preserve">For respondents whose responses to the two </w:t>
      </w:r>
      <w:r w:rsidR="009A14CA">
        <w:rPr>
          <w:rFonts w:ascii="Calibri" w:eastAsia="Calibri" w:hAnsi="Calibri" w:cs="Times New Roman"/>
        </w:rPr>
        <w:t>G</w:t>
      </w:r>
      <w:r w:rsidRPr="00AD082D">
        <w:rPr>
          <w:rFonts w:ascii="Calibri" w:eastAsia="Calibri" w:hAnsi="Calibri" w:cs="Times New Roman"/>
        </w:rPr>
        <w:t xml:space="preserve">ender Identity questions matched, what proportion of them changed their response in reaction to the confirmation question (i.e., the “false negative” rate)? How does this compare to the proportion for those </w:t>
      </w:r>
      <w:r w:rsidRPr="00AD082D">
        <w:rPr>
          <w:rFonts w:ascii="Calibri" w:eastAsia="Calibri" w:hAnsi="Calibri" w:cs="Times New Roman"/>
        </w:rPr>
        <w:t xml:space="preserve">whose initial answers to the two </w:t>
      </w:r>
      <w:r w:rsidR="00565F6E">
        <w:rPr>
          <w:rFonts w:ascii="Calibri" w:eastAsia="Calibri" w:hAnsi="Calibri" w:cs="Times New Roman"/>
        </w:rPr>
        <w:t>G</w:t>
      </w:r>
      <w:r w:rsidR="001E11A6">
        <w:rPr>
          <w:rFonts w:ascii="Calibri" w:eastAsia="Calibri" w:hAnsi="Calibri" w:cs="Times New Roman"/>
        </w:rPr>
        <w:t xml:space="preserve">ender </w:t>
      </w:r>
      <w:r w:rsidR="00565F6E">
        <w:rPr>
          <w:rFonts w:ascii="Calibri" w:eastAsia="Calibri" w:hAnsi="Calibri" w:cs="Times New Roman"/>
        </w:rPr>
        <w:t>I</w:t>
      </w:r>
      <w:r w:rsidR="001E11A6">
        <w:rPr>
          <w:rFonts w:ascii="Calibri" w:eastAsia="Calibri" w:hAnsi="Calibri" w:cs="Times New Roman"/>
        </w:rPr>
        <w:t>dentity</w:t>
      </w:r>
      <w:r w:rsidRPr="00AD082D">
        <w:rPr>
          <w:rFonts w:ascii="Calibri" w:eastAsia="Calibri" w:hAnsi="Calibri" w:cs="Times New Roman"/>
        </w:rPr>
        <w:t xml:space="preserve"> questions did not match (i.e., the “false positive” rate)?</w:t>
      </w:r>
    </w:p>
    <w:p w:rsidR="00AD082D" w:rsidP="00AD082D" w14:paraId="484D46A9" w14:textId="6CF562EF">
      <w:pPr>
        <w:numPr>
          <w:ilvl w:val="0"/>
          <w:numId w:val="11"/>
        </w:numPr>
        <w:spacing w:after="240"/>
        <w:rPr>
          <w:rFonts w:ascii="Calibri" w:eastAsia="Calibri" w:hAnsi="Calibri" w:cs="Times New Roman"/>
        </w:rPr>
      </w:pPr>
      <w:r w:rsidRPr="00AD082D">
        <w:rPr>
          <w:rFonts w:ascii="Calibri" w:eastAsia="Calibri" w:hAnsi="Calibri" w:cs="Times New Roman"/>
          <w:i/>
          <w:iCs/>
        </w:rPr>
        <w:t xml:space="preserve">When coded data from the qualitative questions </w:t>
      </w:r>
      <w:r w:rsidR="001E11A6">
        <w:rPr>
          <w:rFonts w:ascii="Calibri" w:eastAsia="Calibri" w:hAnsi="Calibri" w:cs="Times New Roman"/>
          <w:i/>
          <w:iCs/>
        </w:rPr>
        <w:t>are</w:t>
      </w:r>
      <w:r w:rsidRPr="00AD082D">
        <w:rPr>
          <w:rFonts w:ascii="Calibri" w:eastAsia="Calibri" w:hAnsi="Calibri" w:cs="Times New Roman"/>
          <w:i/>
          <w:iCs/>
        </w:rPr>
        <w:t xml:space="preserve"> available:</w:t>
      </w:r>
      <w:r w:rsidRPr="00AD082D">
        <w:rPr>
          <w:rFonts w:ascii="Calibri" w:eastAsia="Calibri" w:hAnsi="Calibri" w:cs="Times New Roman"/>
        </w:rPr>
        <w:t xml:space="preserve"> For households in Treatment 1 (mark only one), what proportion said their answer would have changed for someone in their household if they could have selected more than one option? Which response options did they select, and which other options would they have selected if possible?</w:t>
      </w:r>
    </w:p>
    <w:p w:rsidR="00B17DD5" w:rsidRPr="00B17DD5" w:rsidP="00B17DD5" w14:paraId="75BE5630" w14:textId="66BEBD93">
      <w:pPr>
        <w:numPr>
          <w:ilvl w:val="0"/>
          <w:numId w:val="11"/>
        </w:numPr>
        <w:spacing w:after="240"/>
        <w:rPr>
          <w:rFonts w:ascii="Calibri" w:eastAsia="Calibri" w:hAnsi="Calibri" w:cs="Times New Roman"/>
        </w:rPr>
      </w:pPr>
      <w:r w:rsidRPr="00AD082D">
        <w:rPr>
          <w:rFonts w:ascii="Calibri" w:eastAsia="Calibri" w:hAnsi="Calibri" w:cs="Times New Roman"/>
          <w:i/>
          <w:iCs/>
        </w:rPr>
        <w:t xml:space="preserve">When coded data from the qualitative questions </w:t>
      </w:r>
      <w:r>
        <w:rPr>
          <w:rFonts w:ascii="Calibri" w:eastAsia="Calibri" w:hAnsi="Calibri" w:cs="Times New Roman"/>
          <w:i/>
          <w:iCs/>
        </w:rPr>
        <w:t>are</w:t>
      </w:r>
      <w:r w:rsidRPr="00AD082D">
        <w:rPr>
          <w:rFonts w:ascii="Calibri" w:eastAsia="Calibri" w:hAnsi="Calibri" w:cs="Times New Roman"/>
          <w:i/>
          <w:iCs/>
        </w:rPr>
        <w:t xml:space="preserve"> available:</w:t>
      </w:r>
      <w:r w:rsidRPr="00AD082D">
        <w:rPr>
          <w:rFonts w:ascii="Calibri" w:eastAsia="Calibri" w:hAnsi="Calibri" w:cs="Times New Roman"/>
        </w:rPr>
        <w:t xml:space="preserve"> For households in Treatment </w:t>
      </w:r>
      <w:r>
        <w:rPr>
          <w:rFonts w:ascii="Calibri" w:eastAsia="Calibri" w:hAnsi="Calibri" w:cs="Times New Roman"/>
        </w:rPr>
        <w:t>2</w:t>
      </w:r>
      <w:r w:rsidRPr="00AD082D">
        <w:rPr>
          <w:rFonts w:ascii="Calibri" w:eastAsia="Calibri" w:hAnsi="Calibri" w:cs="Times New Roman"/>
        </w:rPr>
        <w:t xml:space="preserve"> (mark </w:t>
      </w:r>
      <w:r>
        <w:rPr>
          <w:rFonts w:ascii="Calibri" w:eastAsia="Calibri" w:hAnsi="Calibri" w:cs="Times New Roman"/>
        </w:rPr>
        <w:t>all that apply</w:t>
      </w:r>
      <w:r w:rsidRPr="00AD082D">
        <w:rPr>
          <w:rFonts w:ascii="Calibri" w:eastAsia="Calibri" w:hAnsi="Calibri" w:cs="Times New Roman"/>
        </w:rPr>
        <w:t>)</w:t>
      </w:r>
      <w:r w:rsidR="00C62D37">
        <w:rPr>
          <w:rFonts w:ascii="Calibri" w:eastAsia="Calibri" w:hAnsi="Calibri" w:cs="Times New Roman"/>
        </w:rPr>
        <w:t xml:space="preserve"> who selected more than one response option for Current Gender, which </w:t>
      </w:r>
      <w:r w:rsidR="000A41EC">
        <w:rPr>
          <w:rFonts w:ascii="Calibri" w:eastAsia="Calibri" w:hAnsi="Calibri" w:cs="Times New Roman"/>
        </w:rPr>
        <w:t>response option</w:t>
      </w:r>
      <w:r w:rsidR="00AE7D88">
        <w:rPr>
          <w:rFonts w:ascii="Calibri" w:eastAsia="Calibri" w:hAnsi="Calibri" w:cs="Times New Roman"/>
        </w:rPr>
        <w:t xml:space="preserve"> would respondents </w:t>
      </w:r>
      <w:r w:rsidR="00C62D37">
        <w:rPr>
          <w:rFonts w:ascii="Calibri" w:eastAsia="Calibri" w:hAnsi="Calibri" w:cs="Times New Roman"/>
        </w:rPr>
        <w:t xml:space="preserve">have selected if they could only select one? </w:t>
      </w:r>
    </w:p>
    <w:p w:rsidR="00AD082D" w:rsidP="00AD082D" w14:paraId="579C9F21" w14:textId="54DEB0A5">
      <w:pPr>
        <w:numPr>
          <w:ilvl w:val="0"/>
          <w:numId w:val="11"/>
        </w:numPr>
        <w:spacing w:after="240"/>
        <w:rPr>
          <w:rFonts w:ascii="Calibri" w:eastAsia="Calibri" w:hAnsi="Calibri" w:cs="Times New Roman"/>
        </w:rPr>
      </w:pPr>
      <w:bookmarkStart w:id="39" w:name="_Hlk155866448"/>
      <w:r w:rsidRPr="201F90FC">
        <w:rPr>
          <w:rFonts w:ascii="Calibri" w:eastAsia="Calibri" w:hAnsi="Calibri" w:cs="Times New Roman"/>
          <w:i/>
          <w:iCs/>
        </w:rPr>
        <w:t xml:space="preserve">When coded data from the qualitative questions </w:t>
      </w:r>
      <w:r w:rsidRPr="201F90FC" w:rsidR="001E11A6">
        <w:rPr>
          <w:rFonts w:ascii="Calibri" w:eastAsia="Calibri" w:hAnsi="Calibri" w:cs="Times New Roman"/>
          <w:i/>
          <w:iCs/>
        </w:rPr>
        <w:t>are</w:t>
      </w:r>
      <w:r w:rsidRPr="201F90FC">
        <w:rPr>
          <w:rFonts w:ascii="Calibri" w:eastAsia="Calibri" w:hAnsi="Calibri" w:cs="Times New Roman"/>
          <w:i/>
          <w:iCs/>
        </w:rPr>
        <w:t xml:space="preserve"> available: </w:t>
      </w:r>
      <w:r w:rsidRPr="00AD082D">
        <w:rPr>
          <w:rFonts w:ascii="Calibri" w:eastAsia="Calibri" w:hAnsi="Calibri" w:cs="Times New Roman"/>
        </w:rPr>
        <w:t>In responses to the qualitative follow-up question, what factors did respondents tend to mention when describing how they selected “nonbinary” or “use a different term” as their response? Which of the other response options did they mention considering most often? How did these answers differ between self- and proxy responses?</w:t>
      </w:r>
      <w:r w:rsidR="00375C52">
        <w:rPr>
          <w:rFonts w:ascii="Calibri" w:eastAsia="Calibri" w:hAnsi="Calibri" w:cs="Times New Roman"/>
        </w:rPr>
        <w:t xml:space="preserve"> What factors were mentioned for youth ages 1</w:t>
      </w:r>
      <w:r w:rsidR="009E6AB9">
        <w:rPr>
          <w:rFonts w:ascii="Calibri" w:eastAsia="Calibri" w:hAnsi="Calibri" w:cs="Times New Roman"/>
        </w:rPr>
        <w:t>5</w:t>
      </w:r>
      <w:r w:rsidR="00375C52">
        <w:rPr>
          <w:rFonts w:ascii="Calibri" w:eastAsia="Calibri" w:hAnsi="Calibri" w:cs="Times New Roman"/>
        </w:rPr>
        <w:t xml:space="preserve"> to 17?</w:t>
      </w:r>
    </w:p>
    <w:p w:rsidR="00375C52" w:rsidP="00AD082D" w14:paraId="14CD831B" w14:textId="79377D0C">
      <w:pPr>
        <w:numPr>
          <w:ilvl w:val="0"/>
          <w:numId w:val="11"/>
        </w:numPr>
        <w:spacing w:after="240"/>
        <w:rPr>
          <w:rFonts w:ascii="Calibri" w:eastAsia="Calibri" w:hAnsi="Calibri" w:cs="Times New Roman"/>
        </w:rPr>
      </w:pPr>
      <w:r>
        <w:rPr>
          <w:rFonts w:ascii="Calibri" w:eastAsia="Calibri" w:hAnsi="Calibri" w:cs="Times New Roman"/>
          <w:i/>
          <w:iCs/>
        </w:rPr>
        <w:t>When coded data from the qualitative questions are available:</w:t>
      </w:r>
      <w:r>
        <w:rPr>
          <w:rFonts w:ascii="Calibri" w:eastAsia="Calibri" w:hAnsi="Calibri" w:cs="Times New Roman"/>
        </w:rPr>
        <w:t xml:space="preserve"> In responses to the qualitative follow-up question on how old a person was when they started to feel/express that their sex assigned at birth and current gender were different, what was the distribution of ages given by respondents?</w:t>
      </w:r>
    </w:p>
    <w:p w:rsidR="00663CD5" w:rsidRPr="00663CD5" w:rsidP="00663CD5" w14:paraId="27C235F3" w14:textId="3E7BABCF">
      <w:pPr>
        <w:numPr>
          <w:ilvl w:val="0"/>
          <w:numId w:val="11"/>
        </w:numPr>
        <w:spacing w:after="240"/>
        <w:rPr>
          <w:rFonts w:ascii="Calibri" w:eastAsia="Calibri" w:hAnsi="Calibri" w:cs="Times New Roman"/>
        </w:rPr>
      </w:pPr>
      <w:r w:rsidRPr="001C5093">
        <w:rPr>
          <w:rFonts w:ascii="Calibri" w:eastAsia="Calibri" w:hAnsi="Calibri" w:cs="Times New Roman"/>
          <w:i/>
          <w:iCs/>
        </w:rPr>
        <w:t>Potential analysis using modeling</w:t>
      </w:r>
      <w:r w:rsidRPr="00AD082D">
        <w:rPr>
          <w:rFonts w:ascii="Calibri" w:eastAsia="Calibri" w:hAnsi="Calibri" w:cs="Times New Roman"/>
        </w:rPr>
        <w:t xml:space="preserve">: </w:t>
      </w:r>
      <w:r>
        <w:rPr>
          <w:rFonts w:ascii="Calibri" w:eastAsia="Calibri" w:hAnsi="Calibri" w:cs="Times New Roman"/>
        </w:rPr>
        <w:t>H</w:t>
      </w:r>
      <w:r w:rsidRPr="00AD082D">
        <w:rPr>
          <w:rFonts w:ascii="Calibri" w:eastAsia="Calibri" w:hAnsi="Calibri" w:cs="Times New Roman"/>
        </w:rPr>
        <w:t>ow does the type of household relationship (e.g.</w:t>
      </w:r>
      <w:r>
        <w:rPr>
          <w:rFonts w:ascii="Calibri" w:eastAsia="Calibri" w:hAnsi="Calibri" w:cs="Times New Roman"/>
        </w:rPr>
        <w:t>,</w:t>
      </w:r>
      <w:r w:rsidRPr="00AD082D">
        <w:rPr>
          <w:rFonts w:ascii="Calibri" w:eastAsia="Calibri" w:hAnsi="Calibri" w:cs="Times New Roman"/>
        </w:rPr>
        <w:t xml:space="preserve"> close relative vs. extended relative vs. roommate) affect the quality of proxy reporting?</w:t>
      </w:r>
      <w:r>
        <w:rPr>
          <w:rFonts w:ascii="Calibri" w:eastAsia="Calibri" w:hAnsi="Calibri" w:cs="Times New Roman"/>
        </w:rPr>
        <w:t xml:space="preserve"> How does it affect item missingness?</w:t>
      </w:r>
    </w:p>
    <w:bookmarkEnd w:id="39"/>
    <w:p w:rsidR="00AD082D" w:rsidRPr="007C01B6" w:rsidP="00BD0C72" w14:paraId="2E9197BF" w14:textId="77777777">
      <w:pPr>
        <w:pStyle w:val="BodyText"/>
        <w:keepNext/>
        <w:rPr>
          <w:rFonts w:cstheme="minorHAnsi"/>
          <w:b/>
          <w:bCs/>
        </w:rPr>
      </w:pPr>
      <w:r w:rsidRPr="007C01B6">
        <w:rPr>
          <w:rFonts w:cstheme="minorHAnsi"/>
          <w:b/>
          <w:bCs/>
        </w:rPr>
        <w:t>Sexual Orientation Question</w:t>
      </w:r>
    </w:p>
    <w:p w:rsidR="00AD082D" w:rsidRPr="00AD082D" w:rsidP="00AD082D" w14:paraId="53776E51" w14:textId="4C0FF7CD">
      <w:pPr>
        <w:spacing w:after="160"/>
        <w:rPr>
          <w:rFonts w:ascii="Calibri" w:eastAsia="Calibri" w:hAnsi="Calibri" w:cs="Calibri"/>
          <w:i/>
          <w:iCs/>
          <w:szCs w:val="20"/>
        </w:rPr>
      </w:pPr>
      <w:r w:rsidRPr="00AD082D">
        <w:rPr>
          <w:rFonts w:ascii="Calibri" w:eastAsia="Calibri" w:hAnsi="Calibri" w:cs="Calibri"/>
          <w:i/>
          <w:iCs/>
          <w:szCs w:val="20"/>
        </w:rPr>
        <w:t>Benchmarks</w:t>
      </w:r>
      <w:r>
        <w:rPr>
          <w:rStyle w:val="FootnoteReference"/>
          <w:rFonts w:ascii="Calibri" w:eastAsia="Calibri" w:hAnsi="Calibri" w:cs="Calibri"/>
          <w:i/>
          <w:iCs/>
          <w:szCs w:val="20"/>
        </w:rPr>
        <w:footnoteReference w:id="24"/>
      </w:r>
    </w:p>
    <w:p w:rsidR="00AD082D" w:rsidP="00AD082D" w14:paraId="27CFEDDF" w14:textId="1A9E21BD">
      <w:pPr>
        <w:numPr>
          <w:ilvl w:val="0"/>
          <w:numId w:val="12"/>
        </w:numPr>
        <w:spacing w:after="240"/>
        <w:rPr>
          <w:rFonts w:ascii="Calibri" w:eastAsia="Calibri" w:hAnsi="Calibri" w:cs="Times New Roman"/>
        </w:rPr>
      </w:pPr>
      <w:r w:rsidRPr="00AD082D">
        <w:rPr>
          <w:rFonts w:ascii="Calibri" w:eastAsia="Calibri" w:hAnsi="Calibri" w:cs="Times New Roman"/>
        </w:rPr>
        <w:t xml:space="preserve">How do the </w:t>
      </w:r>
      <w:r w:rsidR="00471CFD">
        <w:rPr>
          <w:rFonts w:ascii="Calibri" w:eastAsia="Calibri" w:hAnsi="Calibri" w:cs="Times New Roman"/>
        </w:rPr>
        <w:t>s</w:t>
      </w:r>
      <w:r w:rsidRPr="00AD082D">
        <w:rPr>
          <w:rFonts w:ascii="Calibri" w:eastAsia="Calibri" w:hAnsi="Calibri" w:cs="Times New Roman"/>
        </w:rPr>
        <w:t xml:space="preserve">exual </w:t>
      </w:r>
      <w:r w:rsidR="00471CFD">
        <w:rPr>
          <w:rFonts w:ascii="Calibri" w:eastAsia="Calibri" w:hAnsi="Calibri" w:cs="Times New Roman"/>
        </w:rPr>
        <w:t>o</w:t>
      </w:r>
      <w:r w:rsidRPr="00AD082D">
        <w:rPr>
          <w:rFonts w:ascii="Calibri" w:eastAsia="Calibri" w:hAnsi="Calibri" w:cs="Times New Roman"/>
        </w:rPr>
        <w:t>rientation estimates compare to those from</w:t>
      </w:r>
      <w:r w:rsidR="009A14CA">
        <w:rPr>
          <w:rFonts w:ascii="Calibri" w:eastAsia="Calibri" w:hAnsi="Calibri" w:cs="Times New Roman"/>
        </w:rPr>
        <w:t>:</w:t>
      </w:r>
      <w:r w:rsidRPr="00AD082D">
        <w:rPr>
          <w:rFonts w:ascii="Calibri" w:eastAsia="Calibri" w:hAnsi="Calibri" w:cs="Times New Roman"/>
        </w:rPr>
        <w:t xml:space="preserve"> </w:t>
      </w:r>
    </w:p>
    <w:p w:rsidR="006057A6" w:rsidP="006057A6" w14:paraId="52C3322D" w14:textId="6D372F0E">
      <w:pPr>
        <w:pStyle w:val="ListParagraph"/>
        <w:numPr>
          <w:ilvl w:val="0"/>
          <w:numId w:val="39"/>
        </w:numPr>
        <w:spacing w:after="240"/>
        <w:rPr>
          <w:rFonts w:ascii="Calibri" w:eastAsia="Calibri" w:hAnsi="Calibri" w:cs="Times New Roman"/>
        </w:rPr>
      </w:pPr>
      <w:r w:rsidRPr="00AD082D">
        <w:rPr>
          <w:rFonts w:ascii="Calibri" w:eastAsia="Calibri" w:hAnsi="Calibri" w:cs="Times New Roman"/>
        </w:rPr>
        <w:t xml:space="preserve">National Health Interview Survey </w:t>
      </w:r>
      <w:r>
        <w:rPr>
          <w:rFonts w:ascii="Calibri" w:eastAsia="Calibri" w:hAnsi="Calibri" w:cs="Times New Roman"/>
        </w:rPr>
        <w:t xml:space="preserve">(most recent </w:t>
      </w:r>
      <w:r w:rsidR="004F797A">
        <w:rPr>
          <w:rFonts w:ascii="Calibri" w:eastAsia="Calibri" w:hAnsi="Calibri" w:cs="Times New Roman"/>
        </w:rPr>
        <w:t>estimates</w:t>
      </w:r>
      <w:r>
        <w:rPr>
          <w:rFonts w:ascii="Calibri" w:eastAsia="Calibri" w:hAnsi="Calibri" w:cs="Times New Roman"/>
        </w:rPr>
        <w:t xml:space="preserve"> available)</w:t>
      </w:r>
    </w:p>
    <w:p w:rsidR="004F797A" w:rsidRPr="00AD082D" w:rsidP="004F797A" w14:paraId="1130E46F" w14:textId="77777777">
      <w:pPr>
        <w:pStyle w:val="ListParagraph"/>
        <w:numPr>
          <w:ilvl w:val="0"/>
          <w:numId w:val="39"/>
        </w:numPr>
        <w:spacing w:after="240"/>
        <w:rPr>
          <w:rFonts w:ascii="Calibri" w:eastAsia="Calibri" w:hAnsi="Calibri" w:cs="Times New Roman"/>
        </w:rPr>
      </w:pPr>
      <w:r>
        <w:rPr>
          <w:rFonts w:ascii="Calibri" w:eastAsia="Calibri" w:hAnsi="Calibri" w:cs="Times New Roman"/>
        </w:rPr>
        <w:t>National Crime Victimization Survey (most recent estimates available)</w:t>
      </w:r>
    </w:p>
    <w:p w:rsidR="006057A6" w:rsidRPr="00AD082D" w:rsidP="006057A6" w14:paraId="2568D598" w14:textId="02CF5328">
      <w:pPr>
        <w:pStyle w:val="ListParagraph"/>
        <w:numPr>
          <w:ilvl w:val="0"/>
          <w:numId w:val="39"/>
        </w:numPr>
        <w:spacing w:after="240"/>
        <w:rPr>
          <w:rFonts w:ascii="Calibri" w:eastAsia="Calibri" w:hAnsi="Calibri" w:cs="Times New Roman"/>
        </w:rPr>
      </w:pPr>
      <w:r w:rsidRPr="00AD082D">
        <w:rPr>
          <w:rFonts w:ascii="Calibri" w:eastAsia="Calibri" w:hAnsi="Calibri" w:cs="Times New Roman"/>
        </w:rPr>
        <w:t>Household Pulse Survey</w:t>
      </w:r>
      <w:r>
        <w:rPr>
          <w:rFonts w:ascii="Calibri" w:eastAsia="Calibri" w:hAnsi="Calibri" w:cs="Times New Roman"/>
        </w:rPr>
        <w:t xml:space="preserve"> (most recent phase available)</w:t>
      </w:r>
    </w:p>
    <w:p w:rsidR="006057A6" w:rsidRPr="00AD082D" w:rsidP="006057A6" w14:paraId="6F7F963E" w14:textId="766EBFF7">
      <w:pPr>
        <w:pStyle w:val="ListParagraph"/>
        <w:numPr>
          <w:ilvl w:val="0"/>
          <w:numId w:val="39"/>
        </w:numPr>
        <w:spacing w:after="240"/>
        <w:rPr>
          <w:rFonts w:ascii="Calibri" w:eastAsia="Calibri" w:hAnsi="Calibri" w:cs="Times New Roman"/>
        </w:rPr>
      </w:pPr>
      <w:r>
        <w:rPr>
          <w:rFonts w:ascii="Calibri" w:eastAsia="Calibri" w:hAnsi="Calibri" w:cs="Times New Roman"/>
        </w:rPr>
        <w:t xml:space="preserve">2022 </w:t>
      </w:r>
      <w:r w:rsidRPr="00AD082D">
        <w:rPr>
          <w:rFonts w:ascii="Calibri" w:eastAsia="Calibri" w:hAnsi="Calibri" w:cs="Times New Roman"/>
        </w:rPr>
        <w:t xml:space="preserve">Gallup </w:t>
      </w:r>
      <w:r>
        <w:rPr>
          <w:rFonts w:ascii="Calibri" w:eastAsia="Calibri" w:hAnsi="Calibri" w:cs="Times New Roman"/>
        </w:rPr>
        <w:t>telephone surveys</w:t>
      </w:r>
    </w:p>
    <w:p w:rsidR="006057A6" w:rsidP="006057A6" w14:paraId="22FFE29B" w14:textId="4CF897A0">
      <w:pPr>
        <w:pStyle w:val="ListParagraph"/>
        <w:numPr>
          <w:ilvl w:val="0"/>
          <w:numId w:val="39"/>
        </w:numPr>
        <w:spacing w:after="240"/>
        <w:rPr>
          <w:rFonts w:ascii="Calibri" w:eastAsia="Calibri" w:hAnsi="Calibri" w:cs="Times New Roman"/>
        </w:rPr>
      </w:pPr>
      <w:r w:rsidRPr="00AD082D">
        <w:rPr>
          <w:rFonts w:ascii="Calibri" w:eastAsia="Calibri" w:hAnsi="Calibri" w:cs="Times New Roman"/>
        </w:rPr>
        <w:t xml:space="preserve">The United Kingdom’s Census </w:t>
      </w:r>
      <w:r>
        <w:rPr>
          <w:rFonts w:ascii="Calibri" w:eastAsia="Calibri" w:hAnsi="Calibri" w:cs="Times New Roman"/>
        </w:rPr>
        <w:t>2021 (England and Wales)</w:t>
      </w:r>
    </w:p>
    <w:p w:rsidR="008D2C80" w:rsidRPr="006057A6" w:rsidP="006057A6" w14:paraId="0CAEDC5E" w14:textId="746482B2">
      <w:pPr>
        <w:pStyle w:val="ListParagraph"/>
        <w:numPr>
          <w:ilvl w:val="0"/>
          <w:numId w:val="39"/>
        </w:numPr>
        <w:spacing w:after="240"/>
        <w:rPr>
          <w:rFonts w:ascii="Calibri" w:eastAsia="Calibri" w:hAnsi="Calibri" w:cs="Times New Roman"/>
        </w:rPr>
      </w:pPr>
      <w:r>
        <w:rPr>
          <w:rFonts w:ascii="Calibri" w:eastAsia="Calibri" w:hAnsi="Calibri" w:cs="Times New Roman"/>
        </w:rPr>
        <w:t>New Zealand 2023 Census</w:t>
      </w:r>
    </w:p>
    <w:p w:rsidR="00334509" w:rsidP="00CB4AEC" w14:paraId="59FACD66" w14:textId="19178EC0">
      <w:pPr>
        <w:spacing w:after="240"/>
        <w:rPr>
          <w:rFonts w:ascii="Calibri" w:eastAsia="Calibri" w:hAnsi="Calibri" w:cs="Times New Roman"/>
          <w:i/>
          <w:iCs/>
        </w:rPr>
      </w:pPr>
      <w:r>
        <w:rPr>
          <w:rFonts w:ascii="Calibri" w:eastAsia="Calibri" w:hAnsi="Calibri" w:cs="Times New Roman"/>
        </w:rPr>
        <w:t xml:space="preserve">Estimates will be compared for the population as a whole and broken down by age, for benchmark sources where </w:t>
      </w:r>
      <w:r w:rsidR="007F2BDA">
        <w:rPr>
          <w:rFonts w:ascii="Calibri" w:eastAsia="Calibri" w:hAnsi="Calibri" w:cs="Times New Roman"/>
        </w:rPr>
        <w:t>sexual orientation</w:t>
      </w:r>
      <w:r>
        <w:rPr>
          <w:rFonts w:ascii="Calibri" w:eastAsia="Calibri" w:hAnsi="Calibri" w:cs="Times New Roman"/>
        </w:rPr>
        <w:t xml:space="preserve"> by age is available.</w:t>
      </w:r>
    </w:p>
    <w:p w:rsidR="00AD082D" w:rsidP="007C01B6" w14:paraId="6EE552AF" w14:textId="65787A5A">
      <w:pPr>
        <w:keepNext/>
        <w:spacing w:after="240"/>
        <w:rPr>
          <w:rFonts w:ascii="Calibri" w:eastAsia="Calibri" w:hAnsi="Calibri" w:cs="Times New Roman"/>
          <w:i/>
          <w:iCs/>
        </w:rPr>
      </w:pPr>
      <w:r w:rsidRPr="00AD082D">
        <w:rPr>
          <w:rFonts w:ascii="Calibri" w:eastAsia="Calibri" w:hAnsi="Calibri" w:cs="Times New Roman"/>
          <w:i/>
          <w:iCs/>
        </w:rPr>
        <w:t>Item Missing Data Rates</w:t>
      </w:r>
    </w:p>
    <w:p w:rsidR="006057A6" w:rsidRPr="006057A6" w:rsidP="007C01B6" w14:paraId="283620B3" w14:textId="3159A0E3">
      <w:pPr>
        <w:keepNext/>
        <w:spacing w:after="240"/>
        <w:rPr>
          <w:rFonts w:ascii="Calibri" w:eastAsia="Calibri" w:hAnsi="Calibri" w:cs="Times New Roman"/>
        </w:rPr>
      </w:pPr>
      <w:r>
        <w:rPr>
          <w:rFonts w:ascii="Calibri" w:eastAsia="Calibri" w:hAnsi="Calibri" w:cs="Times New Roman"/>
        </w:rPr>
        <w:t>For Research Questions 2-</w:t>
      </w:r>
      <w:r w:rsidR="002327A9">
        <w:rPr>
          <w:rFonts w:ascii="Calibri" w:eastAsia="Calibri" w:hAnsi="Calibri" w:cs="Times New Roman"/>
        </w:rPr>
        <w:t>3</w:t>
      </w:r>
      <w:r>
        <w:rPr>
          <w:rFonts w:ascii="Calibri" w:eastAsia="Calibri" w:hAnsi="Calibri" w:cs="Times New Roman"/>
        </w:rPr>
        <w:t>, item missing data rates will be calculated f</w:t>
      </w:r>
      <w:r w:rsidRPr="00AD082D">
        <w:rPr>
          <w:rFonts w:ascii="Calibri" w:eastAsia="Calibri" w:hAnsi="Calibri" w:cs="Times New Roman"/>
        </w:rPr>
        <w:t xml:space="preserve">or both missing responses alone and missing responses combined with “protest” and </w:t>
      </w:r>
      <w:r w:rsidRPr="00AD082D">
        <w:rPr>
          <w:rFonts w:ascii="Calibri" w:eastAsia="Calibri" w:hAnsi="Calibri" w:cs="Times New Roman"/>
        </w:rPr>
        <w:t>uncodable</w:t>
      </w:r>
      <w:r w:rsidRPr="00AD082D">
        <w:rPr>
          <w:rFonts w:ascii="Calibri" w:eastAsia="Calibri" w:hAnsi="Calibri" w:cs="Times New Roman"/>
        </w:rPr>
        <w:t xml:space="preserve"> write-ins</w:t>
      </w:r>
      <w:r>
        <w:rPr>
          <w:rFonts w:ascii="Calibri" w:eastAsia="Calibri" w:hAnsi="Calibri" w:cs="Times New Roman"/>
        </w:rPr>
        <w:t>.</w:t>
      </w:r>
    </w:p>
    <w:p w:rsidR="00AD082D" w:rsidRPr="00AD082D" w:rsidP="00AD082D" w14:paraId="6EA1F922" w14:textId="0D0137F7">
      <w:pPr>
        <w:numPr>
          <w:ilvl w:val="0"/>
          <w:numId w:val="12"/>
        </w:numPr>
        <w:spacing w:after="240"/>
        <w:rPr>
          <w:rFonts w:ascii="Calibri" w:eastAsia="Calibri" w:hAnsi="Calibri" w:cs="Times New Roman"/>
        </w:rPr>
      </w:pPr>
      <w:r>
        <w:rPr>
          <w:rFonts w:ascii="Calibri" w:eastAsia="Calibri" w:hAnsi="Calibri" w:cs="Times New Roman"/>
        </w:rPr>
        <w:t>W</w:t>
      </w:r>
      <w:r w:rsidRPr="00AD082D">
        <w:rPr>
          <w:rFonts w:ascii="Calibri" w:eastAsia="Calibri" w:hAnsi="Calibri" w:cs="Times New Roman"/>
        </w:rPr>
        <w:t xml:space="preserve">hat </w:t>
      </w:r>
      <w:r w:rsidRPr="00AD082D">
        <w:rPr>
          <w:rFonts w:ascii="Calibri" w:eastAsia="Calibri" w:hAnsi="Calibri" w:cs="Times New Roman"/>
        </w:rPr>
        <w:t>are</w:t>
      </w:r>
      <w:r w:rsidRPr="00AD082D">
        <w:rPr>
          <w:rFonts w:ascii="Calibri" w:eastAsia="Calibri" w:hAnsi="Calibri" w:cs="Times New Roman"/>
        </w:rPr>
        <w:t xml:space="preserve"> the item missing data rates for </w:t>
      </w:r>
      <w:r>
        <w:rPr>
          <w:rFonts w:ascii="Calibri" w:eastAsia="Calibri" w:hAnsi="Calibri" w:cs="Times New Roman"/>
        </w:rPr>
        <w:t>S</w:t>
      </w:r>
      <w:r w:rsidRPr="00AD082D">
        <w:rPr>
          <w:rFonts w:ascii="Calibri" w:eastAsia="Calibri" w:hAnsi="Calibri" w:cs="Times New Roman"/>
        </w:rPr>
        <w:t xml:space="preserve">exual </w:t>
      </w:r>
      <w:r>
        <w:rPr>
          <w:rFonts w:ascii="Calibri" w:eastAsia="Calibri" w:hAnsi="Calibri" w:cs="Times New Roman"/>
        </w:rPr>
        <w:t>O</w:t>
      </w:r>
      <w:r w:rsidRPr="00AD082D">
        <w:rPr>
          <w:rFonts w:ascii="Calibri" w:eastAsia="Calibri" w:hAnsi="Calibri" w:cs="Times New Roman"/>
        </w:rPr>
        <w:t>rientation, overall and by mode?</w:t>
      </w:r>
    </w:p>
    <w:p w:rsidR="00A97FFB" w:rsidP="00A97FFB" w14:paraId="2F0BC444" w14:textId="77777777">
      <w:pPr>
        <w:numPr>
          <w:ilvl w:val="1"/>
          <w:numId w:val="12"/>
        </w:numPr>
        <w:spacing w:after="240"/>
        <w:rPr>
          <w:rFonts w:ascii="Calibri" w:eastAsia="Calibri" w:hAnsi="Calibri" w:cs="Times New Roman"/>
        </w:rPr>
      </w:pPr>
      <w:r>
        <w:rPr>
          <w:rFonts w:ascii="Calibri" w:eastAsia="Calibri" w:hAnsi="Calibri" w:cs="Times New Roman"/>
        </w:rPr>
        <w:t>Are</w:t>
      </w:r>
      <w:r w:rsidRPr="00AD082D" w:rsidR="00AD082D">
        <w:rPr>
          <w:rFonts w:ascii="Calibri" w:eastAsia="Calibri" w:hAnsi="Calibri" w:cs="Times New Roman"/>
        </w:rPr>
        <w:t xml:space="preserve"> the rates significantly different between </w:t>
      </w:r>
      <w:r w:rsidR="007F2BDA">
        <w:rPr>
          <w:rFonts w:ascii="Calibri" w:eastAsia="Calibri" w:hAnsi="Calibri" w:cs="Times New Roman"/>
        </w:rPr>
        <w:t>Treatment 1 and Treatment 2</w:t>
      </w:r>
      <w:r>
        <w:rPr>
          <w:rFonts w:ascii="Calibri" w:eastAsia="Calibri" w:hAnsi="Calibri" w:cs="Times New Roman"/>
        </w:rPr>
        <w:t>?</w:t>
      </w:r>
      <w:r w:rsidRPr="00AD082D" w:rsidR="00AD082D">
        <w:rPr>
          <w:rFonts w:ascii="Calibri" w:eastAsia="Calibri" w:hAnsi="Calibri" w:cs="Times New Roman"/>
        </w:rPr>
        <w:t xml:space="preserve"> If so, the remaining metrics will account for treatment differences. </w:t>
      </w:r>
    </w:p>
    <w:p w:rsidR="00C77455" w:rsidP="00AD082D" w14:paraId="43CAAD7C" w14:textId="59CD6B81">
      <w:pPr>
        <w:numPr>
          <w:ilvl w:val="0"/>
          <w:numId w:val="12"/>
        </w:numPr>
        <w:spacing w:after="240"/>
        <w:rPr>
          <w:rFonts w:ascii="Calibri" w:eastAsia="Calibri" w:hAnsi="Calibri" w:cs="Times New Roman"/>
        </w:rPr>
      </w:pPr>
      <w:r w:rsidRPr="00AD082D">
        <w:rPr>
          <w:rFonts w:ascii="Calibri" w:eastAsia="Calibri" w:hAnsi="Calibri" w:cs="Times New Roman"/>
        </w:rPr>
        <w:t xml:space="preserve">For internet responses, are the item missing data rates for </w:t>
      </w:r>
      <w:r>
        <w:rPr>
          <w:rFonts w:ascii="Calibri" w:eastAsia="Calibri" w:hAnsi="Calibri" w:cs="Times New Roman"/>
        </w:rPr>
        <w:t>Sexual Orientation</w:t>
      </w:r>
      <w:r w:rsidRPr="00AD082D">
        <w:rPr>
          <w:rFonts w:ascii="Calibri" w:eastAsia="Calibri" w:hAnsi="Calibri" w:cs="Times New Roman"/>
        </w:rPr>
        <w:t xml:space="preserve"> different between the two internet write-in box styles</w:t>
      </w:r>
      <w:r w:rsidR="00A43488">
        <w:rPr>
          <w:rFonts w:ascii="Calibri" w:eastAsia="Calibri" w:hAnsi="Calibri" w:cs="Times New Roman"/>
        </w:rPr>
        <w:t xml:space="preserve"> (Treatment A vs Treatment B)</w:t>
      </w:r>
      <w:r w:rsidRPr="00AD082D">
        <w:rPr>
          <w:rFonts w:ascii="Calibri" w:eastAsia="Calibri" w:hAnsi="Calibri" w:cs="Times New Roman"/>
        </w:rPr>
        <w:t>? Is there a difference in the rate of responses where the</w:t>
      </w:r>
      <w:r>
        <w:rPr>
          <w:rFonts w:ascii="Calibri" w:eastAsia="Calibri" w:hAnsi="Calibri" w:cs="Times New Roman"/>
        </w:rPr>
        <w:t xml:space="preserve"> “different term” option</w:t>
      </w:r>
      <w:r w:rsidRPr="00AD082D">
        <w:rPr>
          <w:rFonts w:ascii="Calibri" w:eastAsia="Calibri" w:hAnsi="Calibri" w:cs="Times New Roman"/>
        </w:rPr>
        <w:t xml:space="preserve"> is selected but a write-in is not provided?</w:t>
      </w:r>
    </w:p>
    <w:p w:rsidR="002327A9" w:rsidRPr="00A97FFB" w:rsidP="002327A9" w14:paraId="0FC404EC" w14:textId="77777777">
      <w:pPr>
        <w:numPr>
          <w:ilvl w:val="0"/>
          <w:numId w:val="12"/>
        </w:numPr>
        <w:spacing w:after="240"/>
        <w:rPr>
          <w:rFonts w:ascii="Calibri" w:eastAsia="Calibri" w:hAnsi="Calibri" w:cs="Times New Roman"/>
        </w:rPr>
      </w:pPr>
      <w:r w:rsidRPr="00A97FFB">
        <w:rPr>
          <w:rFonts w:ascii="Calibri" w:eastAsia="Calibri" w:hAnsi="Calibri" w:cs="Times New Roman"/>
        </w:rPr>
        <w:t xml:space="preserve">What </w:t>
      </w:r>
      <w:r w:rsidRPr="00A97FFB">
        <w:rPr>
          <w:rFonts w:ascii="Calibri" w:eastAsia="Calibri" w:hAnsi="Calibri" w:cs="Times New Roman"/>
        </w:rPr>
        <w:t>are</w:t>
      </w:r>
      <w:r w:rsidRPr="00A97FFB">
        <w:rPr>
          <w:rFonts w:ascii="Calibri" w:eastAsia="Calibri" w:hAnsi="Calibri" w:cs="Times New Roman"/>
        </w:rPr>
        <w:t xml:space="preserve"> the item missing data rates for Sexual Orientation by demographic characteristics (household respondent status, relationship type, age category, race, Hispanic origin, urban/rural status, and English proficiency)?</w:t>
      </w:r>
    </w:p>
    <w:p w:rsidR="00AD082D" w:rsidRPr="00AD082D" w:rsidP="00AD082D" w14:paraId="1D449375" w14:textId="57B45B9E">
      <w:pPr>
        <w:numPr>
          <w:ilvl w:val="0"/>
          <w:numId w:val="12"/>
        </w:numPr>
        <w:spacing w:after="240"/>
        <w:rPr>
          <w:rFonts w:ascii="Calibri" w:eastAsia="Calibri" w:hAnsi="Calibri" w:cs="Times New Roman"/>
        </w:rPr>
      </w:pPr>
      <w:r w:rsidRPr="00AD082D">
        <w:rPr>
          <w:rFonts w:ascii="Calibri" w:eastAsia="Calibri" w:hAnsi="Calibri" w:cs="Times New Roman"/>
        </w:rPr>
        <w:t xml:space="preserve">How do the item missing data rates for </w:t>
      </w:r>
      <w:r w:rsidR="00565F6E">
        <w:rPr>
          <w:rFonts w:ascii="Calibri" w:eastAsia="Calibri" w:hAnsi="Calibri" w:cs="Times New Roman"/>
        </w:rPr>
        <w:t>S</w:t>
      </w:r>
      <w:r w:rsidRPr="00AD082D">
        <w:rPr>
          <w:rFonts w:ascii="Calibri" w:eastAsia="Calibri" w:hAnsi="Calibri" w:cs="Times New Roman"/>
        </w:rPr>
        <w:t xml:space="preserve">exual </w:t>
      </w:r>
      <w:r w:rsidR="00565F6E">
        <w:rPr>
          <w:rFonts w:ascii="Calibri" w:eastAsia="Calibri" w:hAnsi="Calibri" w:cs="Times New Roman"/>
        </w:rPr>
        <w:t>O</w:t>
      </w:r>
      <w:r w:rsidRPr="00AD082D">
        <w:rPr>
          <w:rFonts w:ascii="Calibri" w:eastAsia="Calibri" w:hAnsi="Calibri" w:cs="Times New Roman"/>
        </w:rPr>
        <w:t>rientation compare to those for sensitive items or items with proxy-reporting differences?</w:t>
      </w:r>
    </w:p>
    <w:p w:rsidR="00AD082D" w:rsidRPr="007C01B6" w:rsidP="007C01B6" w14:paraId="6AD9B8DB" w14:textId="6C8932CB">
      <w:pPr>
        <w:pStyle w:val="ListParagraph"/>
        <w:numPr>
          <w:ilvl w:val="0"/>
          <w:numId w:val="32"/>
        </w:numPr>
        <w:spacing w:after="240"/>
        <w:rPr>
          <w:rFonts w:ascii="Calibri" w:eastAsia="Calibri" w:hAnsi="Calibri" w:cs="Times New Roman"/>
        </w:rPr>
      </w:pPr>
      <w:r w:rsidRPr="007C01B6">
        <w:rPr>
          <w:rFonts w:ascii="Calibri" w:eastAsia="Calibri" w:hAnsi="Calibri" w:cs="Times New Roman"/>
        </w:rPr>
        <w:t>Sensitive items: Place of Birth, Citizenship, Disability, Total Income</w:t>
      </w:r>
    </w:p>
    <w:p w:rsidR="00AD082D" w:rsidRPr="007C01B6" w:rsidP="007C01B6" w14:paraId="3D95A318" w14:textId="77777777">
      <w:pPr>
        <w:pStyle w:val="ListParagraph"/>
        <w:numPr>
          <w:ilvl w:val="0"/>
          <w:numId w:val="32"/>
        </w:numPr>
        <w:spacing w:after="240"/>
        <w:rPr>
          <w:rFonts w:ascii="Calibri" w:eastAsia="Calibri" w:hAnsi="Calibri" w:cs="Times New Roman"/>
        </w:rPr>
      </w:pPr>
      <w:r w:rsidRPr="007C01B6">
        <w:rPr>
          <w:rFonts w:ascii="Calibri" w:eastAsia="Calibri" w:hAnsi="Calibri" w:cs="Times New Roman"/>
        </w:rPr>
        <w:t>Items with proxy reporting differences: Educational Attainment, Health Insurance Coverage, Time to Work</w:t>
      </w:r>
    </w:p>
    <w:p w:rsidR="00AD082D" w:rsidRPr="007C01B6" w:rsidP="007C01B6" w14:paraId="309E9B2C" w14:textId="25A529A3">
      <w:pPr>
        <w:pStyle w:val="ListParagraph"/>
        <w:numPr>
          <w:ilvl w:val="0"/>
          <w:numId w:val="32"/>
        </w:numPr>
        <w:spacing w:after="240"/>
        <w:rPr>
          <w:rFonts w:ascii="Calibri" w:eastAsia="Calibri" w:hAnsi="Calibri" w:cs="Times New Roman"/>
        </w:rPr>
      </w:pPr>
      <w:r>
        <w:rPr>
          <w:rFonts w:ascii="Calibri" w:eastAsia="Calibri" w:hAnsi="Calibri" w:cs="Times New Roman"/>
        </w:rPr>
        <w:t>Gender Identity</w:t>
      </w:r>
      <w:r w:rsidRPr="007C01B6">
        <w:rPr>
          <w:rFonts w:ascii="Calibri" w:eastAsia="Calibri" w:hAnsi="Calibri" w:cs="Times New Roman"/>
        </w:rPr>
        <w:t xml:space="preserve"> items: Sex at Birth, Current Gender, Gender Identity series</w:t>
      </w:r>
    </w:p>
    <w:p w:rsidR="00AD082D" w:rsidRPr="00AD082D" w:rsidP="007C01B6" w14:paraId="3D77D625" w14:textId="77777777">
      <w:pPr>
        <w:spacing w:after="240"/>
        <w:rPr>
          <w:rFonts w:ascii="Calibri" w:eastAsia="Calibri" w:hAnsi="Calibri" w:cs="Times New Roman"/>
          <w:i/>
          <w:iCs/>
        </w:rPr>
      </w:pPr>
      <w:r w:rsidRPr="00AD082D">
        <w:rPr>
          <w:rFonts w:ascii="Calibri" w:eastAsia="Calibri" w:hAnsi="Calibri" w:cs="Times New Roman"/>
          <w:i/>
          <w:iCs/>
        </w:rPr>
        <w:t>Response Distributions</w:t>
      </w:r>
    </w:p>
    <w:p w:rsidR="00AD082D" w:rsidRPr="00AD082D" w:rsidP="00AD082D" w14:paraId="395F1C76" w14:textId="1717B2EC">
      <w:pPr>
        <w:numPr>
          <w:ilvl w:val="0"/>
          <w:numId w:val="12"/>
        </w:numPr>
        <w:spacing w:after="240"/>
        <w:rPr>
          <w:rFonts w:ascii="Calibri" w:eastAsia="Calibri" w:hAnsi="Calibri" w:cs="Times New Roman"/>
        </w:rPr>
      </w:pPr>
      <w:r w:rsidRPr="00AD082D">
        <w:rPr>
          <w:rFonts w:ascii="Calibri" w:eastAsia="Calibri" w:hAnsi="Calibri" w:cs="Times New Roman"/>
        </w:rPr>
        <w:t xml:space="preserve">What are the response distributions for </w:t>
      </w:r>
      <w:r w:rsidR="006057A6">
        <w:rPr>
          <w:rFonts w:ascii="Calibri" w:eastAsia="Calibri" w:hAnsi="Calibri" w:cs="Times New Roman"/>
        </w:rPr>
        <w:t>S</w:t>
      </w:r>
      <w:r w:rsidRPr="00AD082D">
        <w:rPr>
          <w:rFonts w:ascii="Calibri" w:eastAsia="Calibri" w:hAnsi="Calibri" w:cs="Times New Roman"/>
        </w:rPr>
        <w:t xml:space="preserve">exual </w:t>
      </w:r>
      <w:r w:rsidR="006057A6">
        <w:rPr>
          <w:rFonts w:ascii="Calibri" w:eastAsia="Calibri" w:hAnsi="Calibri" w:cs="Times New Roman"/>
        </w:rPr>
        <w:t>O</w:t>
      </w:r>
      <w:r w:rsidRPr="00AD082D">
        <w:rPr>
          <w:rFonts w:ascii="Calibri" w:eastAsia="Calibri" w:hAnsi="Calibri" w:cs="Times New Roman"/>
        </w:rPr>
        <w:t>rientation, overall and by mode?</w:t>
      </w:r>
    </w:p>
    <w:p w:rsidR="00AD082D" w:rsidRPr="00AD082D" w:rsidP="00AD082D" w14:paraId="10D3BE9A" w14:textId="3B3431B9">
      <w:pPr>
        <w:numPr>
          <w:ilvl w:val="1"/>
          <w:numId w:val="12"/>
        </w:numPr>
        <w:spacing w:after="240"/>
        <w:rPr>
          <w:rFonts w:ascii="Calibri" w:eastAsia="Calibri" w:hAnsi="Calibri" w:cs="Times New Roman"/>
        </w:rPr>
      </w:pPr>
      <w:r w:rsidRPr="00AD082D">
        <w:rPr>
          <w:rFonts w:ascii="Calibri" w:eastAsia="Calibri" w:hAnsi="Calibri" w:cs="Times New Roman"/>
        </w:rPr>
        <w:t xml:space="preserve">We will check if the </w:t>
      </w:r>
      <w:r w:rsidR="009C4691">
        <w:rPr>
          <w:rFonts w:ascii="Calibri" w:eastAsia="Calibri" w:hAnsi="Calibri" w:cs="Times New Roman"/>
        </w:rPr>
        <w:t>distributions</w:t>
      </w:r>
      <w:r w:rsidRPr="00AD082D">
        <w:rPr>
          <w:rFonts w:ascii="Calibri" w:eastAsia="Calibri" w:hAnsi="Calibri" w:cs="Times New Roman"/>
        </w:rPr>
        <w:t xml:space="preserve"> are significantly different between</w:t>
      </w:r>
      <w:r w:rsidR="007F2BDA">
        <w:rPr>
          <w:rFonts w:ascii="Calibri" w:eastAsia="Calibri" w:hAnsi="Calibri" w:cs="Times New Roman"/>
        </w:rPr>
        <w:t xml:space="preserve"> Treatment 1 and Treatment 2</w:t>
      </w:r>
      <w:r w:rsidRPr="00AD082D">
        <w:rPr>
          <w:rFonts w:ascii="Calibri" w:eastAsia="Calibri" w:hAnsi="Calibri" w:cs="Times New Roman"/>
        </w:rPr>
        <w:t xml:space="preserve">. If so, the remaining metrics will account for treatment differences. </w:t>
      </w:r>
    </w:p>
    <w:p w:rsidR="00A51734" w:rsidRPr="00AD082D" w:rsidP="00AD082D" w14:paraId="583525AB" w14:textId="0242A59B">
      <w:pPr>
        <w:numPr>
          <w:ilvl w:val="0"/>
          <w:numId w:val="12"/>
        </w:numPr>
        <w:spacing w:after="240"/>
        <w:rPr>
          <w:rFonts w:ascii="Calibri" w:eastAsia="Calibri" w:hAnsi="Calibri" w:cs="Times New Roman"/>
        </w:rPr>
      </w:pPr>
      <w:r>
        <w:rPr>
          <w:rFonts w:ascii="Calibri" w:eastAsia="Calibri" w:hAnsi="Calibri" w:cs="Times New Roman"/>
        </w:rPr>
        <w:t>What are the response distributions for Sexual Orientation by demographic characteristics (household respondent status, relationship type, age category, race, Hispanic origin, urban/rural status, and English proficiency)? Are t</w:t>
      </w:r>
      <w:r w:rsidR="00497D60">
        <w:rPr>
          <w:rFonts w:ascii="Calibri" w:eastAsia="Calibri" w:hAnsi="Calibri" w:cs="Times New Roman"/>
        </w:rPr>
        <w:t>he distributions different within characteristic categories (e.g., different between race groups)?</w:t>
      </w:r>
    </w:p>
    <w:p w:rsidR="00AD082D" w:rsidRPr="00AD082D" w:rsidP="00AD082D" w14:paraId="680ED24F" w14:textId="5FEE6F3B">
      <w:pPr>
        <w:numPr>
          <w:ilvl w:val="0"/>
          <w:numId w:val="12"/>
        </w:numPr>
        <w:spacing w:after="240"/>
        <w:rPr>
          <w:rFonts w:ascii="Calibri" w:eastAsia="Calibri" w:hAnsi="Calibri" w:cs="Times New Roman"/>
        </w:rPr>
      </w:pPr>
      <w:r w:rsidRPr="00AD082D">
        <w:rPr>
          <w:rFonts w:ascii="Calibri" w:eastAsia="Calibri" w:hAnsi="Calibri" w:cs="Times New Roman"/>
        </w:rPr>
        <w:t xml:space="preserve">For internet responses, are the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distributions different between the two internet write-in box styles</w:t>
      </w:r>
      <w:r w:rsidR="00A43488">
        <w:rPr>
          <w:rFonts w:ascii="Calibri" w:eastAsia="Calibri" w:hAnsi="Calibri" w:cs="Times New Roman"/>
        </w:rPr>
        <w:t xml:space="preserve"> (Treatment A vs Treatment B)</w:t>
      </w:r>
      <w:r w:rsidRPr="00AD082D">
        <w:rPr>
          <w:rFonts w:ascii="Calibri" w:eastAsia="Calibri" w:hAnsi="Calibri" w:cs="Times New Roman"/>
        </w:rPr>
        <w:t>, overall and by demographic characteristics (household respondent status, age category, race, Hispanic origin, urban/rural status, and English proficiency)?</w:t>
      </w:r>
    </w:p>
    <w:p w:rsidR="00AD082D" w:rsidRPr="00AD082D" w:rsidP="00AD082D" w14:paraId="1BA7051B" w14:textId="502D6935">
      <w:pPr>
        <w:numPr>
          <w:ilvl w:val="0"/>
          <w:numId w:val="12"/>
        </w:numPr>
        <w:spacing w:after="240"/>
        <w:rPr>
          <w:rFonts w:ascii="Calibri" w:eastAsia="Calibri" w:hAnsi="Calibri" w:cs="Times New Roman"/>
        </w:rPr>
      </w:pPr>
      <w:r w:rsidRPr="00AD082D">
        <w:rPr>
          <w:rFonts w:ascii="Calibri" w:eastAsia="Calibri" w:hAnsi="Calibri" w:cs="Times New Roman"/>
        </w:rPr>
        <w:t xml:space="preserve">What are the proportions of write-ins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overall and by mode?</w:t>
      </w:r>
    </w:p>
    <w:p w:rsidR="00AD082D" w:rsidRPr="00AD082D" w:rsidP="00AD082D" w14:paraId="717B9F91" w14:textId="57051DBB">
      <w:pPr>
        <w:numPr>
          <w:ilvl w:val="0"/>
          <w:numId w:val="12"/>
        </w:numPr>
        <w:spacing w:after="240"/>
        <w:rPr>
          <w:rFonts w:ascii="Calibri" w:eastAsia="Calibri" w:hAnsi="Calibri" w:cs="Times New Roman"/>
        </w:rPr>
      </w:pPr>
      <w:r w:rsidRPr="00AD082D">
        <w:rPr>
          <w:rFonts w:ascii="Calibri" w:eastAsia="Calibri" w:hAnsi="Calibri" w:cs="Times New Roman"/>
        </w:rPr>
        <w:t xml:space="preserve">What are the proportions of write-ins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by demographic characteristics (age category, race, Hispanic origin, urban/rural status)?</w:t>
      </w:r>
    </w:p>
    <w:p w:rsidR="00AD082D" w:rsidRPr="00AD082D" w:rsidP="00AD082D" w14:paraId="2EA577CF" w14:textId="63BB8672">
      <w:pPr>
        <w:numPr>
          <w:ilvl w:val="0"/>
          <w:numId w:val="12"/>
        </w:numPr>
        <w:spacing w:after="240"/>
        <w:rPr>
          <w:rFonts w:ascii="Calibri" w:eastAsia="Calibri" w:hAnsi="Calibri" w:cs="Times New Roman"/>
        </w:rPr>
      </w:pPr>
      <w:r w:rsidRPr="00AD082D">
        <w:rPr>
          <w:rFonts w:ascii="Calibri" w:eastAsia="Calibri" w:hAnsi="Calibri" w:cs="Times New Roman"/>
        </w:rPr>
        <w:t>What are the proportions of “protest</w:t>
      </w:r>
      <w:r w:rsidR="00095282">
        <w:rPr>
          <w:rFonts w:ascii="Calibri" w:eastAsia="Calibri" w:hAnsi="Calibri" w:cs="Times New Roman"/>
        </w:rPr>
        <w:t>”</w:t>
      </w:r>
      <w:r w:rsidRPr="00AD082D">
        <w:rPr>
          <w:rFonts w:ascii="Calibri" w:eastAsia="Calibri" w:hAnsi="Calibri" w:cs="Times New Roman"/>
        </w:rPr>
        <w:t xml:space="preserve"> write-ins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overall and by mode?</w:t>
      </w:r>
    </w:p>
    <w:p w:rsidR="00AD082D" w:rsidRPr="00AD082D" w:rsidP="00AD082D" w14:paraId="1CF21D0A" w14:textId="63E88758">
      <w:pPr>
        <w:numPr>
          <w:ilvl w:val="0"/>
          <w:numId w:val="12"/>
        </w:numPr>
        <w:spacing w:after="240"/>
        <w:rPr>
          <w:rFonts w:ascii="Calibri" w:eastAsia="Calibri" w:hAnsi="Calibri" w:cs="Times New Roman"/>
        </w:rPr>
      </w:pPr>
      <w:r w:rsidRPr="00AD082D">
        <w:rPr>
          <w:rFonts w:ascii="Calibri" w:eastAsia="Calibri" w:hAnsi="Calibri" w:cs="Times New Roman"/>
        </w:rPr>
        <w:t xml:space="preserve">How does the content of the write-ins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 xml:space="preserve">rientation qualitatively </w:t>
      </w:r>
      <w:r w:rsidRPr="00AD082D">
        <w:rPr>
          <w:rFonts w:ascii="Calibri" w:eastAsia="Calibri" w:hAnsi="Calibri" w:cs="Times New Roman"/>
        </w:rPr>
        <w:t>compare</w:t>
      </w:r>
      <w:r w:rsidRPr="00AD082D">
        <w:rPr>
          <w:rFonts w:ascii="Calibri" w:eastAsia="Calibri" w:hAnsi="Calibri" w:cs="Times New Roman"/>
        </w:rPr>
        <w:t xml:space="preserve"> to those from previous studies (e.g., cognitive testing)?</w:t>
      </w:r>
    </w:p>
    <w:p w:rsidR="00AD082D" w:rsidRPr="00AD082D" w:rsidP="00AD082D" w14:paraId="0F50BE23" w14:textId="0FAE607F">
      <w:pPr>
        <w:numPr>
          <w:ilvl w:val="0"/>
          <w:numId w:val="12"/>
        </w:numPr>
        <w:spacing w:after="240"/>
        <w:rPr>
          <w:rFonts w:ascii="Calibri" w:eastAsia="Calibri" w:hAnsi="Calibri" w:cs="Times New Roman"/>
        </w:rPr>
      </w:pPr>
      <w:r w:rsidRPr="00AD082D">
        <w:rPr>
          <w:rFonts w:ascii="Calibri" w:eastAsia="Calibri" w:hAnsi="Calibri" w:cs="Times New Roman"/>
        </w:rPr>
        <w:t xml:space="preserve">For internet responses, how do the proportions of write-ins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compare between the two internet write-in box styles</w:t>
      </w:r>
      <w:r w:rsidR="00A43488">
        <w:rPr>
          <w:rFonts w:ascii="Calibri" w:eastAsia="Calibri" w:hAnsi="Calibri" w:cs="Times New Roman"/>
        </w:rPr>
        <w:t xml:space="preserve"> (Treatment A vs Treatment B)</w:t>
      </w:r>
      <w:r w:rsidRPr="00AD082D">
        <w:rPr>
          <w:rFonts w:ascii="Calibri" w:eastAsia="Calibri" w:hAnsi="Calibri" w:cs="Times New Roman"/>
        </w:rPr>
        <w:t xml:space="preserve">? How do the proportions of “protest” write-ins </w:t>
      </w:r>
      <w:r w:rsidR="00C77455">
        <w:rPr>
          <w:rFonts w:ascii="Calibri" w:eastAsia="Calibri" w:hAnsi="Calibri" w:cs="Times New Roman"/>
        </w:rPr>
        <w:t xml:space="preserve">or </w:t>
      </w:r>
      <w:r w:rsidR="00C77455">
        <w:rPr>
          <w:rFonts w:ascii="Calibri" w:eastAsia="Calibri" w:hAnsi="Calibri" w:cs="Times New Roman"/>
        </w:rPr>
        <w:t>uncodable</w:t>
      </w:r>
      <w:r w:rsidR="00C77455">
        <w:rPr>
          <w:rFonts w:ascii="Calibri" w:eastAsia="Calibri" w:hAnsi="Calibri" w:cs="Times New Roman"/>
        </w:rPr>
        <w:t xml:space="preserve"> write-ins </w:t>
      </w:r>
      <w:r w:rsidRPr="00AD082D">
        <w:rPr>
          <w:rFonts w:ascii="Calibri" w:eastAsia="Calibri" w:hAnsi="Calibri" w:cs="Times New Roman"/>
        </w:rPr>
        <w:t xml:space="preserve">compare? How does the content of write-ins qualitatively compare? </w:t>
      </w:r>
    </w:p>
    <w:p w:rsidR="00AD082D" w:rsidRPr="00AD082D" w:rsidP="00AD082D" w14:paraId="279AEC5B" w14:textId="04016C67">
      <w:pPr>
        <w:numPr>
          <w:ilvl w:val="0"/>
          <w:numId w:val="12"/>
        </w:numPr>
        <w:spacing w:after="240"/>
        <w:rPr>
          <w:rFonts w:ascii="Calibri" w:eastAsia="Calibri" w:hAnsi="Calibri" w:cs="Times New Roman"/>
        </w:rPr>
      </w:pPr>
      <w:r w:rsidRPr="00AD082D">
        <w:rPr>
          <w:rFonts w:ascii="Calibri" w:eastAsia="Calibri" w:hAnsi="Calibri" w:cs="Times New Roman"/>
        </w:rPr>
        <w:t xml:space="preserve">For mail responses, how often is the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question answered for people under age 15? How does this compare to the rate at which question 2</w:t>
      </w:r>
      <w:r w:rsidR="00095282">
        <w:rPr>
          <w:rFonts w:ascii="Calibri" w:eastAsia="Calibri" w:hAnsi="Calibri" w:cs="Times New Roman"/>
        </w:rPr>
        <w:t>1</w:t>
      </w:r>
      <w:r w:rsidRPr="00AD082D">
        <w:rPr>
          <w:rFonts w:ascii="Calibri" w:eastAsia="Calibri" w:hAnsi="Calibri" w:cs="Times New Roman"/>
        </w:rPr>
        <w:t xml:space="preserve"> w</w:t>
      </w:r>
      <w:r w:rsidR="00025FAC">
        <w:rPr>
          <w:rFonts w:ascii="Calibri" w:eastAsia="Calibri" w:hAnsi="Calibri" w:cs="Times New Roman"/>
        </w:rPr>
        <w:t>as</w:t>
      </w:r>
      <w:r w:rsidRPr="00AD082D">
        <w:rPr>
          <w:rFonts w:ascii="Calibri" w:eastAsia="Calibri" w:hAnsi="Calibri" w:cs="Times New Roman"/>
        </w:rPr>
        <w:t xml:space="preserve"> answered for people under age 15?</w:t>
      </w:r>
      <w:r>
        <w:rPr>
          <w:rStyle w:val="FootnoteReference"/>
          <w:rFonts w:ascii="Calibri" w:eastAsia="Calibri" w:hAnsi="Calibri" w:cs="Times New Roman"/>
        </w:rPr>
        <w:footnoteReference w:id="25"/>
      </w:r>
      <w:r w:rsidRPr="00AD082D">
        <w:rPr>
          <w:rFonts w:ascii="Calibri" w:eastAsia="Calibri" w:hAnsi="Calibri" w:cs="Times New Roman"/>
        </w:rPr>
        <w:t xml:space="preserve"> </w:t>
      </w:r>
    </w:p>
    <w:p w:rsidR="00AD082D" w:rsidRPr="00AD082D" w:rsidP="007C01B6" w14:paraId="7D6A15E7" w14:textId="40F4D71E">
      <w:pPr>
        <w:spacing w:after="240"/>
        <w:rPr>
          <w:rFonts w:ascii="Calibri" w:eastAsia="Calibri" w:hAnsi="Calibri" w:cs="Times New Roman"/>
          <w:i/>
          <w:iCs/>
        </w:rPr>
      </w:pPr>
      <w:r w:rsidRPr="00AD082D">
        <w:rPr>
          <w:rFonts w:ascii="Calibri" w:eastAsia="Calibri" w:hAnsi="Calibri" w:cs="Times New Roman"/>
          <w:i/>
          <w:iCs/>
        </w:rPr>
        <w:t>Response Reliability</w:t>
      </w:r>
      <w:r>
        <w:rPr>
          <w:rStyle w:val="FootnoteReference"/>
          <w:rFonts w:ascii="Calibri" w:eastAsia="Calibri" w:hAnsi="Calibri" w:cs="Times New Roman"/>
          <w:i/>
          <w:iCs/>
        </w:rPr>
        <w:footnoteReference w:id="26"/>
      </w:r>
    </w:p>
    <w:p w:rsidR="00AD082D" w:rsidRPr="00AD082D" w:rsidP="00AD082D" w14:paraId="69D73D9F" w14:textId="43B0A9F9">
      <w:pPr>
        <w:numPr>
          <w:ilvl w:val="0"/>
          <w:numId w:val="12"/>
        </w:numPr>
        <w:spacing w:after="240"/>
        <w:rPr>
          <w:rFonts w:ascii="Calibri" w:eastAsia="Calibri" w:hAnsi="Calibri" w:cs="Times New Roman"/>
        </w:rPr>
      </w:pPr>
      <w:r w:rsidRPr="00AD082D">
        <w:rPr>
          <w:rFonts w:ascii="Calibri" w:eastAsia="Calibri" w:hAnsi="Calibri" w:cs="Times New Roman"/>
        </w:rPr>
        <w:t xml:space="preserve">What are the measures of response reliability for </w:t>
      </w:r>
      <w:r w:rsidR="0080190F">
        <w:rPr>
          <w:rFonts w:ascii="Calibri" w:eastAsia="Calibri" w:hAnsi="Calibri" w:cs="Times New Roman"/>
        </w:rPr>
        <w:t>S</w:t>
      </w:r>
      <w:r w:rsidR="009E004E">
        <w:rPr>
          <w:rFonts w:ascii="Calibri" w:eastAsia="Calibri" w:hAnsi="Calibri" w:cs="Times New Roman"/>
        </w:rPr>
        <w:t xml:space="preserve">exual </w:t>
      </w:r>
      <w:r w:rsidR="0080190F">
        <w:rPr>
          <w:rFonts w:ascii="Calibri" w:eastAsia="Calibri" w:hAnsi="Calibri" w:cs="Times New Roman"/>
        </w:rPr>
        <w:t>O</w:t>
      </w:r>
      <w:r w:rsidR="009E004E">
        <w:rPr>
          <w:rFonts w:ascii="Calibri" w:eastAsia="Calibri" w:hAnsi="Calibri" w:cs="Times New Roman"/>
        </w:rPr>
        <w:t>rientation</w:t>
      </w:r>
      <w:r w:rsidRPr="00AD082D">
        <w:rPr>
          <w:rFonts w:ascii="Calibri" w:eastAsia="Calibri" w:hAnsi="Calibri" w:cs="Times New Roman"/>
        </w:rPr>
        <w:t>, overall and by mode of original interview (mail and internet)?</w:t>
      </w:r>
    </w:p>
    <w:p w:rsidR="00AD082D" w:rsidRPr="00AD082D" w:rsidP="00AD082D" w14:paraId="0163DC99" w14:textId="3C7BC539">
      <w:pPr>
        <w:numPr>
          <w:ilvl w:val="0"/>
          <w:numId w:val="12"/>
        </w:numPr>
        <w:spacing w:after="240"/>
        <w:rPr>
          <w:rFonts w:ascii="Calibri" w:eastAsia="Calibri" w:hAnsi="Calibri" w:cs="Times New Roman"/>
        </w:rPr>
      </w:pPr>
      <w:r w:rsidRPr="00AD082D">
        <w:rPr>
          <w:rFonts w:ascii="Calibri" w:eastAsia="Calibri" w:hAnsi="Calibri" w:cs="Times New Roman"/>
        </w:rPr>
        <w:t xml:space="preserve">What </w:t>
      </w:r>
      <w:r w:rsidRPr="00AD082D">
        <w:rPr>
          <w:rFonts w:ascii="Calibri" w:eastAsia="Calibri" w:hAnsi="Calibri" w:cs="Times New Roman"/>
        </w:rPr>
        <w:t>are</w:t>
      </w:r>
      <w:r w:rsidRPr="00AD082D">
        <w:rPr>
          <w:rFonts w:ascii="Calibri" w:eastAsia="Calibri" w:hAnsi="Calibri" w:cs="Times New Roman"/>
        </w:rPr>
        <w:t xml:space="preserve"> the response reliability measures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when the same household respondent responds to both interviews? How do those measures compare to those when a different respondent responds in the CFU reinterview?</w:t>
      </w:r>
    </w:p>
    <w:p w:rsidR="00AD082D" w:rsidRPr="00AD082D" w:rsidP="00AD082D" w14:paraId="6F129945" w14:textId="0486D100">
      <w:pPr>
        <w:numPr>
          <w:ilvl w:val="0"/>
          <w:numId w:val="12"/>
        </w:numPr>
        <w:spacing w:after="240"/>
        <w:rPr>
          <w:rFonts w:ascii="Calibri" w:eastAsia="Calibri" w:hAnsi="Calibri" w:cs="Times New Roman"/>
        </w:rPr>
      </w:pPr>
      <w:r w:rsidRPr="00AD082D">
        <w:rPr>
          <w:rFonts w:ascii="Calibri" w:eastAsia="Calibri" w:hAnsi="Calibri" w:cs="Times New Roman"/>
        </w:rPr>
        <w:t>For households in which the same household member completed both interviews, how do the response reliability measures compare between self-responses and proxy responses?</w:t>
      </w:r>
    </w:p>
    <w:p w:rsidR="00AD082D" w:rsidRPr="00AD082D" w:rsidP="00AD082D" w14:paraId="378ED50B" w14:textId="0BFA6BAD">
      <w:pPr>
        <w:numPr>
          <w:ilvl w:val="0"/>
          <w:numId w:val="12"/>
        </w:numPr>
        <w:spacing w:after="240"/>
        <w:rPr>
          <w:rFonts w:ascii="Calibri" w:eastAsia="Calibri" w:hAnsi="Calibri" w:cs="Times New Roman"/>
        </w:rPr>
      </w:pPr>
      <w:r>
        <w:rPr>
          <w:rFonts w:ascii="Calibri" w:eastAsia="Calibri" w:hAnsi="Calibri" w:cs="Times New Roman"/>
        </w:rPr>
        <w:t>H</w:t>
      </w:r>
      <w:r w:rsidRPr="00AD082D">
        <w:rPr>
          <w:rFonts w:ascii="Calibri" w:eastAsia="Calibri" w:hAnsi="Calibri" w:cs="Times New Roman"/>
        </w:rPr>
        <w:t xml:space="preserve">ow do the measures of response reliability for </w:t>
      </w:r>
      <w:r w:rsidR="0080190F">
        <w:rPr>
          <w:rFonts w:ascii="Calibri" w:eastAsia="Calibri" w:hAnsi="Calibri" w:cs="Times New Roman"/>
        </w:rPr>
        <w:t>S</w:t>
      </w:r>
      <w:r w:rsidRPr="00AD082D">
        <w:rPr>
          <w:rFonts w:ascii="Calibri" w:eastAsia="Calibri" w:hAnsi="Calibri" w:cs="Times New Roman"/>
        </w:rPr>
        <w:t xml:space="preserve">exual </w:t>
      </w:r>
      <w:r w:rsidR="0080190F">
        <w:rPr>
          <w:rFonts w:ascii="Calibri" w:eastAsia="Calibri" w:hAnsi="Calibri" w:cs="Times New Roman"/>
        </w:rPr>
        <w:t>O</w:t>
      </w:r>
      <w:r w:rsidRPr="00AD082D">
        <w:rPr>
          <w:rFonts w:ascii="Calibri" w:eastAsia="Calibri" w:hAnsi="Calibri" w:cs="Times New Roman"/>
        </w:rPr>
        <w:t>rientation compare to those for sensitive items or items with proxy-reporting differences?</w:t>
      </w:r>
      <w:r w:rsidR="0080190F">
        <w:rPr>
          <w:rFonts w:ascii="Calibri" w:eastAsia="Calibri" w:hAnsi="Calibri" w:cs="Times New Roman"/>
        </w:rPr>
        <w:t xml:space="preserve"> </w:t>
      </w:r>
      <w:r w:rsidR="00316AEA">
        <w:rPr>
          <w:rFonts w:ascii="Calibri" w:eastAsia="Calibri" w:hAnsi="Calibri" w:cs="Times New Roman"/>
        </w:rPr>
        <w:t>How do the measures</w:t>
      </w:r>
      <w:r w:rsidR="0080190F">
        <w:rPr>
          <w:rFonts w:ascii="Calibri" w:eastAsia="Calibri" w:hAnsi="Calibri" w:cs="Times New Roman"/>
        </w:rPr>
        <w:t xml:space="preserve"> compare by proxy-reporting status (i.e., compare across items for self-responses and compare for proxy responses)</w:t>
      </w:r>
      <w:r w:rsidR="00316AEA">
        <w:rPr>
          <w:rFonts w:ascii="Calibri" w:eastAsia="Calibri" w:hAnsi="Calibri" w:cs="Times New Roman"/>
        </w:rPr>
        <w:t>?</w:t>
      </w:r>
    </w:p>
    <w:p w:rsidR="00AD082D" w:rsidRPr="00AD082D" w:rsidP="00AD082D" w14:paraId="126F51E7" w14:textId="52CA21F1">
      <w:pPr>
        <w:numPr>
          <w:ilvl w:val="1"/>
          <w:numId w:val="12"/>
        </w:numPr>
        <w:spacing w:after="240"/>
        <w:rPr>
          <w:rFonts w:ascii="Calibri" w:eastAsia="Calibri" w:hAnsi="Calibri" w:cs="Times New Roman"/>
        </w:rPr>
      </w:pPr>
      <w:r w:rsidRPr="00AD082D">
        <w:rPr>
          <w:rFonts w:ascii="Calibri" w:eastAsia="Calibri" w:hAnsi="Calibri" w:cs="Times New Roman"/>
        </w:rPr>
        <w:t xml:space="preserve">Detailed Person items on CFU reinterview: Place of Birth, Educational Attainment, Health Insurance Coverage, Disability, Marital Status/History, Fertility, </w:t>
      </w:r>
      <w:r w:rsidR="00F908D6">
        <w:rPr>
          <w:rFonts w:ascii="Calibri" w:eastAsia="Calibri" w:hAnsi="Calibri" w:cs="Times New Roman"/>
        </w:rPr>
        <w:t>Wages</w:t>
      </w:r>
    </w:p>
    <w:p w:rsidR="00AD082D" w:rsidRPr="00AD082D" w:rsidP="00AD082D" w14:paraId="18A878D0" w14:textId="1DEB2A0F">
      <w:pPr>
        <w:numPr>
          <w:ilvl w:val="0"/>
          <w:numId w:val="12"/>
        </w:numPr>
        <w:spacing w:after="240"/>
        <w:rPr>
          <w:rFonts w:ascii="Calibri" w:eastAsia="Calibri" w:hAnsi="Calibri" w:cs="Times New Roman"/>
        </w:rPr>
      </w:pPr>
      <w:r w:rsidRPr="007F2BDA">
        <w:rPr>
          <w:rFonts w:ascii="Calibri" w:eastAsia="Calibri" w:hAnsi="Calibri" w:cs="Times New Roman"/>
          <w:i/>
          <w:iCs/>
        </w:rPr>
        <w:t>For households in which a different household member responded in CFU:</w:t>
      </w:r>
      <w:r w:rsidRPr="00AD082D">
        <w:rPr>
          <w:rFonts w:ascii="Calibri" w:eastAsia="Calibri" w:hAnsi="Calibri" w:cs="Times New Roman"/>
        </w:rPr>
        <w:t xml:space="preserve"> How do the measures of response reliability compare between persons who had a self-response in one interview and proxy response in the other, and those who had two different proxy responses? For persons who had a self-response and a proxy response, what proportion of proxy responses did not match the </w:t>
      </w:r>
      <w:r w:rsidRPr="00AD082D" w:rsidR="00A05C0C">
        <w:rPr>
          <w:rFonts w:ascii="Calibri" w:eastAsia="Calibri" w:hAnsi="Calibri" w:cs="Times New Roman"/>
        </w:rPr>
        <w:t>self-response</w:t>
      </w:r>
      <w:r w:rsidRPr="00AD082D">
        <w:rPr>
          <w:rFonts w:ascii="Calibri" w:eastAsia="Calibri" w:hAnsi="Calibri" w:cs="Times New Roman"/>
        </w:rPr>
        <w:t>?</w:t>
      </w:r>
    </w:p>
    <w:p w:rsidR="00AD082D" w:rsidRPr="007C01B6" w:rsidP="0080190F" w14:paraId="60E97A95" w14:textId="6AB0B6F3">
      <w:pPr>
        <w:keepNext/>
        <w:spacing w:after="240"/>
        <w:rPr>
          <w:rFonts w:ascii="Calibri" w:eastAsia="Calibri" w:hAnsi="Calibri" w:cs="Times New Roman"/>
        </w:rPr>
      </w:pPr>
      <w:r>
        <w:rPr>
          <w:rFonts w:ascii="Calibri" w:eastAsia="Calibri" w:hAnsi="Calibri" w:cs="Times New Roman"/>
          <w:i/>
          <w:iCs/>
        </w:rPr>
        <w:t>Additional</w:t>
      </w:r>
      <w:r w:rsidRPr="007C01B6">
        <w:rPr>
          <w:rFonts w:ascii="Calibri" w:eastAsia="Calibri" w:hAnsi="Calibri" w:cs="Times New Roman"/>
          <w:i/>
          <w:iCs/>
        </w:rPr>
        <w:t xml:space="preserve"> Metrics</w:t>
      </w:r>
    </w:p>
    <w:p w:rsidR="00AD082D" w:rsidRPr="00AD082D" w:rsidP="00AD082D" w14:paraId="78108762" w14:textId="2EAFBFEF">
      <w:pPr>
        <w:numPr>
          <w:ilvl w:val="0"/>
          <w:numId w:val="12"/>
        </w:numPr>
        <w:spacing w:after="240"/>
        <w:rPr>
          <w:rFonts w:ascii="Calibri" w:eastAsia="Calibri" w:hAnsi="Calibri" w:cs="Times New Roman"/>
        </w:rPr>
      </w:pPr>
      <w:r w:rsidRPr="00AD082D">
        <w:rPr>
          <w:rFonts w:ascii="Calibri" w:eastAsia="Calibri" w:hAnsi="Calibri" w:cs="Times New Roman"/>
        </w:rPr>
        <w:t xml:space="preserve">Using internet </w:t>
      </w:r>
      <w:r w:rsidRPr="00AD082D">
        <w:rPr>
          <w:rFonts w:ascii="Calibri" w:eastAsia="Calibri" w:hAnsi="Calibri" w:cs="Times New Roman"/>
        </w:rPr>
        <w:t>paradata</w:t>
      </w:r>
      <w:r w:rsidRPr="00AD082D">
        <w:rPr>
          <w:rFonts w:ascii="Calibri" w:eastAsia="Calibri" w:hAnsi="Calibri" w:cs="Times New Roman"/>
        </w:rPr>
        <w:t xml:space="preserve">, how do the following behaviors for the </w:t>
      </w:r>
      <w:r w:rsidR="007C2C19">
        <w:rPr>
          <w:rFonts w:ascii="Calibri" w:eastAsia="Calibri" w:hAnsi="Calibri" w:cs="Times New Roman"/>
        </w:rPr>
        <w:t>S</w:t>
      </w:r>
      <w:r w:rsidRPr="00AD082D">
        <w:rPr>
          <w:rFonts w:ascii="Calibri" w:eastAsia="Calibri" w:hAnsi="Calibri" w:cs="Times New Roman"/>
        </w:rPr>
        <w:t xml:space="preserve">exual </w:t>
      </w:r>
      <w:r w:rsidR="007C2C19">
        <w:rPr>
          <w:rFonts w:ascii="Calibri" w:eastAsia="Calibri" w:hAnsi="Calibri" w:cs="Times New Roman"/>
        </w:rPr>
        <w:t>O</w:t>
      </w:r>
      <w:r w:rsidRPr="00AD082D">
        <w:rPr>
          <w:rFonts w:ascii="Calibri" w:eastAsia="Calibri" w:hAnsi="Calibri" w:cs="Times New Roman"/>
        </w:rPr>
        <w:t>rientation question compare between the two internet write-in box styles? How do these rates compare to those for other complex or sensitive questions</w:t>
      </w:r>
      <w:r w:rsidR="00A05C0C">
        <w:rPr>
          <w:rFonts w:ascii="Calibri" w:eastAsia="Calibri" w:hAnsi="Calibri" w:cs="Times New Roman"/>
        </w:rPr>
        <w:t xml:space="preserve"> in Research Question </w:t>
      </w:r>
      <w:r w:rsidR="007F2BDA">
        <w:rPr>
          <w:rFonts w:ascii="Calibri" w:eastAsia="Calibri" w:hAnsi="Calibri" w:cs="Times New Roman"/>
        </w:rPr>
        <w:t>5</w:t>
      </w:r>
      <w:r w:rsidRPr="00AD082D">
        <w:rPr>
          <w:rFonts w:ascii="Calibri" w:eastAsia="Calibri" w:hAnsi="Calibri" w:cs="Times New Roman"/>
        </w:rPr>
        <w:t>?</w:t>
      </w:r>
    </w:p>
    <w:p w:rsidR="00AD082D" w:rsidRPr="007C01B6" w:rsidP="007C01B6" w14:paraId="2D26B1F7" w14:textId="77777777">
      <w:pPr>
        <w:pStyle w:val="ListParagraph"/>
        <w:numPr>
          <w:ilvl w:val="0"/>
          <w:numId w:val="33"/>
        </w:numPr>
        <w:spacing w:after="240"/>
        <w:rPr>
          <w:rFonts w:ascii="Calibri" w:eastAsia="Calibri" w:hAnsi="Calibri" w:cs="Times New Roman"/>
        </w:rPr>
      </w:pPr>
      <w:r w:rsidRPr="007C01B6">
        <w:rPr>
          <w:rFonts w:ascii="Calibri" w:eastAsia="Calibri" w:hAnsi="Calibri" w:cs="Times New Roman"/>
        </w:rPr>
        <w:t>Breakoff rates?</w:t>
      </w:r>
    </w:p>
    <w:p w:rsidR="00AD082D" w:rsidRPr="007C01B6" w:rsidP="007C01B6" w14:paraId="408611D8" w14:textId="77777777">
      <w:pPr>
        <w:pStyle w:val="ListParagraph"/>
        <w:numPr>
          <w:ilvl w:val="0"/>
          <w:numId w:val="33"/>
        </w:numPr>
        <w:spacing w:after="240"/>
        <w:rPr>
          <w:rFonts w:ascii="Calibri" w:eastAsia="Calibri" w:hAnsi="Calibri" w:cs="Times New Roman"/>
        </w:rPr>
      </w:pPr>
      <w:r w:rsidRPr="007C01B6">
        <w:rPr>
          <w:rFonts w:ascii="Calibri" w:eastAsia="Calibri" w:hAnsi="Calibri" w:cs="Times New Roman"/>
        </w:rPr>
        <w:t>Help screen access rates?</w:t>
      </w:r>
    </w:p>
    <w:p w:rsidR="00AD082D" w:rsidRPr="007C01B6" w:rsidP="007C01B6" w14:paraId="72675F63" w14:textId="77777777">
      <w:pPr>
        <w:pStyle w:val="ListParagraph"/>
        <w:numPr>
          <w:ilvl w:val="0"/>
          <w:numId w:val="33"/>
        </w:numPr>
        <w:spacing w:after="240"/>
        <w:rPr>
          <w:rFonts w:ascii="Calibri" w:eastAsia="Calibri" w:hAnsi="Calibri" w:cs="Times New Roman"/>
        </w:rPr>
      </w:pPr>
      <w:r w:rsidRPr="007C01B6">
        <w:rPr>
          <w:rFonts w:ascii="Calibri" w:eastAsia="Calibri" w:hAnsi="Calibri" w:cs="Times New Roman"/>
        </w:rPr>
        <w:t>Backing (going back to different screens)?</w:t>
      </w:r>
    </w:p>
    <w:p w:rsidR="007C01B6" w:rsidP="007C01B6" w14:paraId="1072974C" w14:textId="77777777">
      <w:pPr>
        <w:pStyle w:val="ListParagraph"/>
        <w:numPr>
          <w:ilvl w:val="0"/>
          <w:numId w:val="33"/>
        </w:numPr>
        <w:spacing w:after="240"/>
        <w:rPr>
          <w:rFonts w:ascii="Calibri" w:eastAsia="Calibri" w:hAnsi="Calibri" w:cs="Times New Roman"/>
        </w:rPr>
      </w:pPr>
      <w:r w:rsidRPr="007C01B6">
        <w:rPr>
          <w:rFonts w:ascii="Calibri" w:eastAsia="Calibri" w:hAnsi="Calibri" w:cs="Times New Roman"/>
        </w:rPr>
        <w:t>Answer changes?</w:t>
      </w:r>
    </w:p>
    <w:p w:rsidR="00AD082D" w:rsidRPr="007C01B6" w:rsidP="007C01B6" w14:paraId="1804BD9E" w14:textId="21D8AD07">
      <w:pPr>
        <w:pStyle w:val="ListParagraph"/>
        <w:numPr>
          <w:ilvl w:val="0"/>
          <w:numId w:val="33"/>
        </w:numPr>
        <w:spacing w:after="240"/>
        <w:rPr>
          <w:rFonts w:ascii="Calibri" w:eastAsia="Calibri" w:hAnsi="Calibri" w:cs="Times New Roman"/>
        </w:rPr>
      </w:pPr>
      <w:r w:rsidRPr="007C01B6">
        <w:rPr>
          <w:rFonts w:ascii="Calibri" w:eastAsia="Calibri" w:hAnsi="Calibri" w:cs="Times New Roman"/>
        </w:rPr>
        <w:t>Time on screen?</w:t>
      </w:r>
    </w:p>
    <w:p w:rsidR="00AD082D" w:rsidP="00AD082D" w14:paraId="08EB0E00" w14:textId="3C3AD9B8">
      <w:pPr>
        <w:numPr>
          <w:ilvl w:val="0"/>
          <w:numId w:val="12"/>
        </w:numPr>
        <w:spacing w:after="240"/>
        <w:rPr>
          <w:rFonts w:ascii="Calibri" w:eastAsia="Calibri" w:hAnsi="Calibri" w:cs="Times New Roman"/>
        </w:rPr>
      </w:pPr>
      <w:r w:rsidRPr="00AD082D">
        <w:rPr>
          <w:rFonts w:ascii="Calibri" w:eastAsia="Calibri" w:hAnsi="Calibri" w:cs="Times New Roman"/>
          <w:i/>
          <w:iCs/>
        </w:rPr>
        <w:t xml:space="preserve">When coded data from the qualitative question </w:t>
      </w:r>
      <w:r w:rsidR="0024565D">
        <w:rPr>
          <w:rFonts w:ascii="Calibri" w:eastAsia="Calibri" w:hAnsi="Calibri" w:cs="Times New Roman"/>
          <w:i/>
          <w:iCs/>
        </w:rPr>
        <w:t>are</w:t>
      </w:r>
      <w:r w:rsidRPr="00AD082D">
        <w:rPr>
          <w:rFonts w:ascii="Calibri" w:eastAsia="Calibri" w:hAnsi="Calibri" w:cs="Times New Roman"/>
          <w:i/>
          <w:iCs/>
        </w:rPr>
        <w:t xml:space="preserve"> available:</w:t>
      </w:r>
      <w:r w:rsidRPr="00AD082D">
        <w:rPr>
          <w:rFonts w:ascii="Calibri" w:eastAsia="Calibri" w:hAnsi="Calibri" w:cs="Times New Roman"/>
        </w:rPr>
        <w:t xml:space="preserve"> In responses to the qualitative follow-up question, what factors did respondents tend to mention when describing how they selected “use a different term” as their response? Which of the other response options did they mention considering most often? How did these answers differ between self- and proxy responses?</w:t>
      </w:r>
    </w:p>
    <w:p w:rsidR="00497D60" w:rsidRPr="00497D60" w:rsidP="00497D60" w14:paraId="403009FE" w14:textId="547E5B7C">
      <w:pPr>
        <w:numPr>
          <w:ilvl w:val="0"/>
          <w:numId w:val="12"/>
        </w:numPr>
        <w:spacing w:after="240"/>
        <w:rPr>
          <w:rFonts w:ascii="Calibri" w:eastAsia="Calibri" w:hAnsi="Calibri" w:cs="Times New Roman"/>
        </w:rPr>
      </w:pPr>
      <w:r w:rsidRPr="0080190F">
        <w:rPr>
          <w:rFonts w:ascii="Calibri" w:eastAsia="Calibri" w:hAnsi="Calibri" w:cs="Times New Roman"/>
          <w:i/>
          <w:iCs/>
        </w:rPr>
        <w:t>Potential analysis using modeling</w:t>
      </w:r>
      <w:r w:rsidRPr="00AD082D">
        <w:rPr>
          <w:rFonts w:ascii="Calibri" w:eastAsia="Calibri" w:hAnsi="Calibri" w:cs="Times New Roman"/>
        </w:rPr>
        <w:t xml:space="preserve">: </w:t>
      </w:r>
      <w:r>
        <w:rPr>
          <w:rFonts w:ascii="Calibri" w:eastAsia="Calibri" w:hAnsi="Calibri" w:cs="Times New Roman"/>
        </w:rPr>
        <w:t>H</w:t>
      </w:r>
      <w:r w:rsidRPr="00AD082D">
        <w:rPr>
          <w:rFonts w:ascii="Calibri" w:eastAsia="Calibri" w:hAnsi="Calibri" w:cs="Times New Roman"/>
        </w:rPr>
        <w:t>ow does the type of household relationship (e.g.</w:t>
      </w:r>
      <w:r>
        <w:rPr>
          <w:rFonts w:ascii="Calibri" w:eastAsia="Calibri" w:hAnsi="Calibri" w:cs="Times New Roman"/>
        </w:rPr>
        <w:t>,</w:t>
      </w:r>
      <w:r w:rsidRPr="00AD082D">
        <w:rPr>
          <w:rFonts w:ascii="Calibri" w:eastAsia="Calibri" w:hAnsi="Calibri" w:cs="Times New Roman"/>
        </w:rPr>
        <w:t xml:space="preserve"> close relative vs. extended relative vs. roommate) affect the quality of proxy reporting?</w:t>
      </w:r>
      <w:r>
        <w:rPr>
          <w:rFonts w:ascii="Calibri" w:eastAsia="Calibri" w:hAnsi="Calibri" w:cs="Times New Roman"/>
        </w:rPr>
        <w:t xml:space="preserve"> How does it affect item missingness? </w:t>
      </w:r>
    </w:p>
    <w:p w:rsidR="00AD082D" w:rsidRPr="007C01B6" w:rsidP="007C01B6" w14:paraId="3C84D7F0" w14:textId="77777777">
      <w:pPr>
        <w:pStyle w:val="BodyText"/>
        <w:rPr>
          <w:rFonts w:cstheme="minorHAnsi"/>
          <w:b/>
          <w:bCs/>
        </w:rPr>
      </w:pPr>
      <w:r w:rsidRPr="007C01B6">
        <w:rPr>
          <w:rFonts w:cstheme="minorHAnsi"/>
          <w:b/>
          <w:bCs/>
        </w:rPr>
        <w:t>Other ACS Questions</w:t>
      </w:r>
    </w:p>
    <w:p w:rsidR="00AD082D" w:rsidRPr="00AD082D" w:rsidP="00AD082D" w14:paraId="4F5CE608" w14:textId="77777777">
      <w:pPr>
        <w:spacing w:after="160"/>
        <w:rPr>
          <w:rFonts w:ascii="Calibri" w:eastAsia="Calibri" w:hAnsi="Calibri" w:cs="Times New Roman"/>
          <w:i/>
          <w:iCs/>
          <w:szCs w:val="20"/>
        </w:rPr>
      </w:pPr>
      <w:r w:rsidRPr="00AD082D">
        <w:rPr>
          <w:rFonts w:ascii="Calibri" w:eastAsia="Calibri" w:hAnsi="Calibri" w:cs="Times New Roman"/>
          <w:i/>
          <w:iCs/>
          <w:szCs w:val="20"/>
        </w:rPr>
        <w:t>Item Missing Data Rates</w:t>
      </w:r>
    </w:p>
    <w:p w:rsidR="00AD082D" w:rsidRPr="00AD082D" w:rsidP="00AD082D" w14:paraId="39F1A490" w14:textId="77777777">
      <w:pPr>
        <w:numPr>
          <w:ilvl w:val="0"/>
          <w:numId w:val="23"/>
        </w:numPr>
        <w:spacing w:after="160"/>
        <w:rPr>
          <w:rFonts w:ascii="Calibri" w:eastAsia="Calibri" w:hAnsi="Calibri" w:cs="Times New Roman"/>
          <w:szCs w:val="20"/>
        </w:rPr>
      </w:pPr>
      <w:r w:rsidRPr="00AD082D">
        <w:rPr>
          <w:rFonts w:ascii="Calibri" w:eastAsia="Calibri" w:hAnsi="Calibri" w:cs="Times New Roman"/>
          <w:szCs w:val="20"/>
        </w:rPr>
        <w:t xml:space="preserve">What </w:t>
      </w:r>
      <w:r w:rsidRPr="00AD082D">
        <w:rPr>
          <w:rFonts w:ascii="Calibri" w:eastAsia="Calibri" w:hAnsi="Calibri" w:cs="Times New Roman"/>
          <w:szCs w:val="20"/>
        </w:rPr>
        <w:t>are</w:t>
      </w:r>
      <w:r w:rsidRPr="00AD082D">
        <w:rPr>
          <w:rFonts w:ascii="Calibri" w:eastAsia="Calibri" w:hAnsi="Calibri" w:cs="Times New Roman"/>
          <w:szCs w:val="20"/>
        </w:rPr>
        <w:t xml:space="preserve"> the item missing data rates for the Relationship question, overall and by mode (internet and mail)? How do they compare to historical ACS missingness rates?</w:t>
      </w:r>
    </w:p>
    <w:p w:rsidR="00AD082D" w:rsidRPr="00AD082D" w:rsidP="00AD082D" w14:paraId="0642F21F" w14:textId="77777777">
      <w:pPr>
        <w:numPr>
          <w:ilvl w:val="0"/>
          <w:numId w:val="23"/>
        </w:numPr>
        <w:spacing w:after="160"/>
        <w:rPr>
          <w:rFonts w:ascii="Calibri" w:eastAsia="Calibri" w:hAnsi="Calibri" w:cs="Times New Roman"/>
          <w:szCs w:val="20"/>
        </w:rPr>
      </w:pPr>
      <w:r w:rsidRPr="00AD082D">
        <w:rPr>
          <w:rFonts w:ascii="Calibri" w:eastAsia="Calibri" w:hAnsi="Calibri" w:cs="Times New Roman"/>
          <w:szCs w:val="20"/>
        </w:rPr>
        <w:t>For mail responses, what are the item missing data rates for the Fertility and Grandparents as Caregivers questions? How do these compare to historical ACS missingness rates?</w:t>
      </w:r>
    </w:p>
    <w:p w:rsidR="00AD082D" w:rsidRPr="00AD082D" w:rsidP="00AD082D" w14:paraId="514F3F84" w14:textId="77777777">
      <w:pPr>
        <w:numPr>
          <w:ilvl w:val="0"/>
          <w:numId w:val="23"/>
        </w:numPr>
        <w:spacing w:after="160"/>
        <w:rPr>
          <w:rFonts w:ascii="Calibri" w:eastAsia="Calibri" w:hAnsi="Calibri" w:cs="Times New Roman"/>
          <w:szCs w:val="20"/>
        </w:rPr>
      </w:pPr>
      <w:r w:rsidRPr="00AD082D">
        <w:rPr>
          <w:rFonts w:ascii="Calibri" w:eastAsia="Calibri" w:hAnsi="Calibri" w:cs="Times New Roman"/>
          <w:szCs w:val="20"/>
        </w:rPr>
        <w:t xml:space="preserve">What </w:t>
      </w:r>
      <w:r w:rsidRPr="00AD082D">
        <w:rPr>
          <w:rFonts w:ascii="Calibri" w:eastAsia="Calibri" w:hAnsi="Calibri" w:cs="Times New Roman"/>
          <w:szCs w:val="20"/>
        </w:rPr>
        <w:t>are</w:t>
      </w:r>
      <w:r w:rsidRPr="00AD082D">
        <w:rPr>
          <w:rFonts w:ascii="Calibri" w:eastAsia="Calibri" w:hAnsi="Calibri" w:cs="Times New Roman"/>
          <w:szCs w:val="20"/>
        </w:rPr>
        <w:t xml:space="preserve"> the item missing data rates for the Fertility question, overall and within treatment? What are the rates by mode (internet and mail)? How do they compare to historical ACS missingness?</w:t>
      </w:r>
    </w:p>
    <w:p w:rsidR="00AD082D" w:rsidRPr="00AD082D" w:rsidP="00AD082D" w14:paraId="684483E4" w14:textId="77777777">
      <w:pPr>
        <w:numPr>
          <w:ilvl w:val="0"/>
          <w:numId w:val="23"/>
        </w:numPr>
        <w:spacing w:after="160"/>
        <w:rPr>
          <w:rFonts w:ascii="Calibri" w:eastAsia="Calibri" w:hAnsi="Calibri" w:cs="Times New Roman"/>
          <w:szCs w:val="20"/>
        </w:rPr>
      </w:pPr>
      <w:r w:rsidRPr="00AD082D">
        <w:rPr>
          <w:rFonts w:ascii="Calibri" w:eastAsia="Calibri" w:hAnsi="Calibri" w:cs="Times New Roman"/>
          <w:szCs w:val="20"/>
        </w:rPr>
        <w:t>In the mail mode, what proportion of people ages 15 to 50 whose sex assigned at birth was female did not answer the Fertility question? What proportion of people who answered the Fertility question are not age 15 to 50 and assigned female at birth?</w:t>
      </w:r>
    </w:p>
    <w:p w:rsidR="00AD082D" w:rsidRPr="00AD082D" w:rsidP="00AD082D" w14:paraId="2784B2F9" w14:textId="77777777">
      <w:pPr>
        <w:keepNext/>
        <w:spacing w:after="160"/>
        <w:rPr>
          <w:rFonts w:ascii="Calibri" w:eastAsia="Calibri" w:hAnsi="Calibri" w:cs="Times New Roman"/>
          <w:i/>
          <w:iCs/>
          <w:szCs w:val="20"/>
        </w:rPr>
      </w:pPr>
      <w:r w:rsidRPr="00AD082D">
        <w:rPr>
          <w:rFonts w:ascii="Calibri" w:eastAsia="Calibri" w:hAnsi="Calibri" w:cs="Times New Roman"/>
          <w:i/>
          <w:iCs/>
          <w:szCs w:val="20"/>
        </w:rPr>
        <w:t>Response Distributions</w:t>
      </w:r>
    </w:p>
    <w:p w:rsidR="00AD082D" w:rsidP="00AD082D" w14:paraId="28D2B893" w14:textId="79C52CC5">
      <w:pPr>
        <w:numPr>
          <w:ilvl w:val="0"/>
          <w:numId w:val="23"/>
        </w:numPr>
        <w:spacing w:after="160"/>
        <w:rPr>
          <w:rFonts w:ascii="Calibri" w:eastAsia="Calibri" w:hAnsi="Calibri" w:cs="Times New Roman"/>
          <w:szCs w:val="20"/>
        </w:rPr>
      </w:pPr>
      <w:r w:rsidRPr="00AD082D">
        <w:rPr>
          <w:rFonts w:ascii="Calibri" w:eastAsia="Calibri" w:hAnsi="Calibri" w:cs="Times New Roman"/>
          <w:szCs w:val="20"/>
        </w:rPr>
        <w:t>What are the response distributions for spouse and unmarried partners, overall and by mode (internet and mail)? What is the overall response distribution for Relationship? How do they compare to historical ACS estimates?</w:t>
      </w:r>
      <w:r w:rsidR="007469FF">
        <w:rPr>
          <w:rFonts w:ascii="Calibri" w:eastAsia="Calibri" w:hAnsi="Calibri" w:cs="Times New Roman"/>
          <w:szCs w:val="20"/>
        </w:rPr>
        <w:t xml:space="preserve"> How do they compare between treatments?</w:t>
      </w:r>
    </w:p>
    <w:p w:rsidR="007469FF" w:rsidRPr="00AD082D" w:rsidP="00AD082D" w14:paraId="48E5C87D" w14:textId="077555FC">
      <w:pPr>
        <w:numPr>
          <w:ilvl w:val="0"/>
          <w:numId w:val="23"/>
        </w:numPr>
        <w:spacing w:after="160"/>
        <w:rPr>
          <w:rFonts w:ascii="Calibri" w:eastAsia="Calibri" w:hAnsi="Calibri" w:cs="Times New Roman"/>
          <w:szCs w:val="20"/>
        </w:rPr>
      </w:pPr>
      <w:r>
        <w:rPr>
          <w:rFonts w:ascii="Calibri" w:eastAsia="Calibri" w:hAnsi="Calibri" w:cs="Times New Roman"/>
          <w:szCs w:val="20"/>
        </w:rPr>
        <w:t>What are the response distributions of different-gender couple, same-gender couple, transgender couple, and nonbinary couple? How do those distributions compare between treatments?</w:t>
      </w:r>
    </w:p>
    <w:p w:rsidR="00AD082D" w:rsidRPr="00AD082D" w:rsidP="00AD082D" w14:paraId="09084D01" w14:textId="77777777">
      <w:pPr>
        <w:numPr>
          <w:ilvl w:val="0"/>
          <w:numId w:val="23"/>
        </w:numPr>
        <w:spacing w:after="160"/>
        <w:rPr>
          <w:rFonts w:ascii="Calibri" w:eastAsia="Calibri" w:hAnsi="Calibri" w:cs="Times New Roman"/>
          <w:szCs w:val="20"/>
        </w:rPr>
      </w:pPr>
      <w:r w:rsidRPr="00AD082D">
        <w:rPr>
          <w:rFonts w:ascii="Calibri" w:eastAsia="Calibri" w:hAnsi="Calibri" w:cs="Times New Roman"/>
          <w:szCs w:val="20"/>
        </w:rPr>
        <w:t xml:space="preserve">What are the response distributions for the Fertility question, overall and within treatment? What are the distributions by mode (internet and mail)? How do they compare to historical ACS estimates? </w:t>
      </w:r>
    </w:p>
    <w:p w:rsidR="00AD082D" w:rsidRPr="00AD082D" w:rsidP="007C01B6" w14:paraId="1E7ED610" w14:textId="43F06260">
      <w:pPr>
        <w:spacing w:after="160"/>
        <w:rPr>
          <w:rFonts w:ascii="Calibri" w:eastAsia="Calibri" w:hAnsi="Calibri" w:cs="Times New Roman"/>
          <w:szCs w:val="20"/>
        </w:rPr>
      </w:pPr>
      <w:r>
        <w:rPr>
          <w:rFonts w:ascii="Calibri" w:eastAsia="Calibri" w:hAnsi="Calibri" w:cs="Times New Roman"/>
          <w:i/>
          <w:iCs/>
          <w:szCs w:val="20"/>
        </w:rPr>
        <w:t>Additional</w:t>
      </w:r>
      <w:r w:rsidRPr="00AD082D">
        <w:rPr>
          <w:rFonts w:ascii="Calibri" w:eastAsia="Calibri" w:hAnsi="Calibri" w:cs="Times New Roman"/>
          <w:i/>
          <w:iCs/>
          <w:szCs w:val="20"/>
        </w:rPr>
        <w:t xml:space="preserve"> </w:t>
      </w:r>
      <w:r w:rsidRPr="00AD082D">
        <w:rPr>
          <w:rFonts w:ascii="Calibri" w:eastAsia="Calibri" w:hAnsi="Calibri" w:cs="Times New Roman"/>
          <w:i/>
          <w:iCs/>
          <w:szCs w:val="20"/>
        </w:rPr>
        <w:t>Metrics</w:t>
      </w:r>
    </w:p>
    <w:p w:rsidR="00AD082D" w:rsidRPr="002E328F" w:rsidP="002E328F" w14:paraId="02E6EE38" w14:textId="16C5764C">
      <w:pPr>
        <w:numPr>
          <w:ilvl w:val="0"/>
          <w:numId w:val="23"/>
        </w:numPr>
        <w:spacing w:after="160"/>
        <w:contextualSpacing/>
        <w:rPr>
          <w:rFonts w:ascii="Calibri" w:eastAsia="Calibri" w:hAnsi="Calibri" w:cs="Times New Roman"/>
        </w:rPr>
      </w:pPr>
      <w:r w:rsidRPr="00E87C63">
        <w:rPr>
          <w:rFonts w:ascii="Calibri" w:eastAsia="Calibri" w:hAnsi="Calibri" w:cs="Times New Roman"/>
        </w:rPr>
        <w:t xml:space="preserve">For the internet responses, </w:t>
      </w:r>
      <w:r w:rsidRPr="00E87C63" w:rsidR="00316AEA">
        <w:rPr>
          <w:rFonts w:ascii="Calibri" w:eastAsia="Calibri" w:hAnsi="Calibri" w:cs="Times New Roman"/>
        </w:rPr>
        <w:t>w</w:t>
      </w:r>
      <w:r w:rsidRPr="00E87C63">
        <w:rPr>
          <w:rFonts w:ascii="Calibri" w:eastAsia="Calibri" w:hAnsi="Calibri" w:cs="Times New Roman"/>
        </w:rPr>
        <w:t xml:space="preserve">hat is the average total time spent in the instrument? How does this compare between treatments? How does this compare to </w:t>
      </w:r>
      <w:r w:rsidR="00763AE4">
        <w:rPr>
          <w:rFonts w:ascii="Calibri" w:eastAsia="Calibri" w:hAnsi="Calibri" w:cs="Times New Roman"/>
        </w:rPr>
        <w:t xml:space="preserve">ACS </w:t>
      </w:r>
      <w:r w:rsidRPr="00E87C63">
        <w:rPr>
          <w:rFonts w:ascii="Calibri" w:eastAsia="Calibri" w:hAnsi="Calibri" w:cs="Times New Roman"/>
        </w:rPr>
        <w:t xml:space="preserve">production? </w:t>
      </w:r>
    </w:p>
    <w:p w:rsidR="0075775C" w:rsidP="0075775C" w14:paraId="6453A53D" w14:textId="739263A8">
      <w:pPr>
        <w:pStyle w:val="Heading2"/>
      </w:pPr>
      <w:bookmarkStart w:id="40" w:name="_Toc164241844"/>
      <w:r>
        <w:t>Analysis Metrics</w:t>
      </w:r>
      <w:bookmarkEnd w:id="40"/>
    </w:p>
    <w:p w:rsidR="003F1D7E" w:rsidP="003F1D7E" w14:paraId="52061A58" w14:textId="5E70FD3F">
      <w:pPr>
        <w:pStyle w:val="BodyText"/>
      </w:pPr>
      <w:r>
        <w:t xml:space="preserve">For the 2024 ACS SOGI Test, we will not make typical </w:t>
      </w:r>
      <w:r w:rsidR="00763AE4">
        <w:t xml:space="preserve">ACS </w:t>
      </w:r>
      <w:r>
        <w:t xml:space="preserve">production edits because the primary concern of the test is examining the unaltered responses to the SOGI questions provided directly by respondents. For this reason, responses will not be imputed either. A few edits may be made to non-SOGI data, such as calculating a person’s age based on their date of birth, but such edits will be minimal. </w:t>
      </w:r>
    </w:p>
    <w:p w:rsidR="003E7842" w:rsidRPr="003F1D7E" w:rsidP="003F1D7E" w14:paraId="48B848FA" w14:textId="55030351">
      <w:pPr>
        <w:pStyle w:val="BodyText"/>
      </w:pPr>
      <w:r>
        <w:t xml:space="preserve">Comparisons between treatments will be conducted using first-order adjustment Rao-Scott chi-square tests (Rao &amp; Scott, 1987) or two-tailed t-tests at the </w:t>
      </w:r>
      <w:r>
        <w:rPr>
          <w:rFonts w:cstheme="minorHAnsi"/>
        </w:rPr>
        <w:t>α</w:t>
      </w:r>
      <w:r>
        <w:t>=0.1 level of significance, as specified in the following sections. In statistical tests involving multiple comparisons, we will control for the overall Type I error rate by adjusting the resulting p-values using the Hochberg method</w:t>
      </w:r>
      <w:r w:rsidRPr="00D857A2">
        <w:t xml:space="preserve"> (Hochberg, 1988)</w:t>
      </w:r>
      <w:r>
        <w:t>.</w:t>
      </w:r>
    </w:p>
    <w:p w:rsidR="00907BD7" w:rsidP="00907BD7" w14:paraId="7963E1A7" w14:textId="79B5A6A4">
      <w:pPr>
        <w:pStyle w:val="Heading3"/>
      </w:pPr>
      <w:bookmarkStart w:id="41" w:name="_Toc164241845"/>
      <w:r>
        <w:t>Unit-Level Analysis</w:t>
      </w:r>
      <w:bookmarkEnd w:id="41"/>
    </w:p>
    <w:p w:rsidR="000C0DF3" w:rsidP="00907BD7" w14:paraId="502726BC" w14:textId="77777777">
      <w:pPr>
        <w:pStyle w:val="BodyText"/>
      </w:pPr>
      <w:r>
        <w:t>As part of our analysis for the 2024 ACS SOGI Test, we will test for unit-level differences between treatments</w:t>
      </w:r>
      <w:r>
        <w:t xml:space="preserve"> for the original interview and the CFU reinterview</w:t>
      </w:r>
      <w:r>
        <w:t xml:space="preserve">. </w:t>
      </w:r>
    </w:p>
    <w:p w:rsidR="00907BD7" w:rsidRPr="00907BD7" w:rsidP="00907BD7" w14:paraId="7EF4062C" w14:textId="7EFFB70F">
      <w:pPr>
        <w:pStyle w:val="BodyText"/>
      </w:pPr>
      <w:r>
        <w:t>We will calculate and compare the unit response rate overall and by mode for each treatment. The unit response rate is generally defined as the weighted proportion of sample addresses eligible to respond that provided a complete or sufficient partial response.</w:t>
      </w:r>
      <w:r>
        <w:rPr>
          <w:rStyle w:val="FootnoteReference"/>
        </w:rPr>
        <w:footnoteReference w:id="27"/>
      </w:r>
      <w:r>
        <w:t xml:space="preserve"> </w:t>
      </w:r>
    </w:p>
    <w:p w:rsidR="00F52555" w:rsidP="00907BD7" w14:paraId="3E505D1E" w14:textId="2CC2B832">
      <w:pPr>
        <w:pStyle w:val="BodyText"/>
      </w:pPr>
      <w:r>
        <w:t>We will calculate how the unit response rates were distributed by mode</w:t>
      </w:r>
      <w:r w:rsidR="00907BD7">
        <w:t xml:space="preserve"> as follows for each treatment:</w:t>
      </w:r>
    </w:p>
    <w:p w:rsidR="009915CE" w:rsidP="00907BD7" w14:paraId="65D7B65A" w14:textId="3BE63EB4">
      <w:pPr>
        <w:pStyle w:val="BodyText"/>
      </w:pPr>
      <w:r>
        <w:rPr>
          <w:noProof/>
        </w:rPr>
        <w:drawing>
          <wp:inline distT="0" distB="0" distL="0" distR="0">
            <wp:extent cx="5943600" cy="887095"/>
            <wp:effectExtent l="0" t="0" r="0" b="8255"/>
            <wp:docPr id="9" name="Picture 9" descr="The self-response portion of the final response rate is equal to the number of sample addresses that either provided a response by mail or by internet divided by the total number of sample addresses that were eligible to respond to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The self-response portion of the final response rate is equal to the number of sample addresses that either provided a response by mail or by internet divided by the total number of sample addresses that were eligible to respond to the survey."/>
                    <pic:cNvPicPr/>
                  </pic:nvPicPr>
                  <pic:blipFill>
                    <a:blip xmlns:r="http://schemas.openxmlformats.org/officeDocument/2006/relationships" r:embed="rId25"/>
                    <a:stretch>
                      <a:fillRect/>
                    </a:stretch>
                  </pic:blipFill>
                  <pic:spPr>
                    <a:xfrm>
                      <a:off x="0" y="0"/>
                      <a:ext cx="5943600" cy="887095"/>
                    </a:xfrm>
                    <a:prstGeom prst="rect">
                      <a:avLst/>
                    </a:prstGeom>
                  </pic:spPr>
                </pic:pic>
              </a:graphicData>
            </a:graphic>
          </wp:inline>
        </w:drawing>
      </w:r>
    </w:p>
    <w:p w:rsidR="009915CE" w:rsidP="00907BD7" w14:paraId="6BA890CB" w14:textId="4055F2BC">
      <w:pPr>
        <w:pStyle w:val="BodyText"/>
      </w:pPr>
      <w:r>
        <w:rPr>
          <w:noProof/>
        </w:rPr>
        <w:drawing>
          <wp:inline distT="0" distB="0" distL="0" distR="0">
            <wp:extent cx="5943600" cy="708025"/>
            <wp:effectExtent l="0" t="0" r="0" b="0"/>
            <wp:docPr id="24" name="Picture 24" descr="The mail portion of the final response rate is equal to the number of sample addresses that provided a response by mail divided by the total number of sample addresses that were eligible to respond to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The mail portion of the final response rate is equal to the number of sample addresses that provided a response by mail divided by the total number of sample addresses that were eligible to respond to the survey."/>
                    <pic:cNvPicPr/>
                  </pic:nvPicPr>
                  <pic:blipFill>
                    <a:blip xmlns:r="http://schemas.openxmlformats.org/officeDocument/2006/relationships" r:embed="rId26"/>
                    <a:stretch>
                      <a:fillRect/>
                    </a:stretch>
                  </pic:blipFill>
                  <pic:spPr>
                    <a:xfrm>
                      <a:off x="0" y="0"/>
                      <a:ext cx="5943600" cy="708025"/>
                    </a:xfrm>
                    <a:prstGeom prst="rect">
                      <a:avLst/>
                    </a:prstGeom>
                  </pic:spPr>
                </pic:pic>
              </a:graphicData>
            </a:graphic>
          </wp:inline>
        </w:drawing>
      </w:r>
    </w:p>
    <w:p w:rsidR="009915CE" w:rsidP="00907BD7" w14:paraId="3C4DF95A" w14:textId="3262861D">
      <w:pPr>
        <w:pStyle w:val="BodyText"/>
      </w:pPr>
      <w:r>
        <w:rPr>
          <w:noProof/>
        </w:rPr>
        <w:drawing>
          <wp:inline distT="0" distB="0" distL="0" distR="0">
            <wp:extent cx="5943600" cy="822325"/>
            <wp:effectExtent l="0" t="0" r="0" b="0"/>
            <wp:docPr id="25" name="Picture 25" descr="The internet portion of the final response rate is equal to the number of sample addresses that provided a response by internet divided by the total number of sample addresses that were eligible to respond to th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The internet portion of the final response rate is equal to the number of sample addresses that provided a response by internet divided by the total number of sample addresses that were eligible to respond to the survey."/>
                    <pic:cNvPicPr/>
                  </pic:nvPicPr>
                  <pic:blipFill>
                    <a:blip xmlns:r="http://schemas.openxmlformats.org/officeDocument/2006/relationships" r:embed="rId27"/>
                    <a:stretch>
                      <a:fillRect/>
                    </a:stretch>
                  </pic:blipFill>
                  <pic:spPr>
                    <a:xfrm>
                      <a:off x="0" y="0"/>
                      <a:ext cx="5943600" cy="822325"/>
                    </a:xfrm>
                    <a:prstGeom prst="rect">
                      <a:avLst/>
                    </a:prstGeom>
                  </pic:spPr>
                </pic:pic>
              </a:graphicData>
            </a:graphic>
          </wp:inline>
        </w:drawing>
      </w:r>
    </w:p>
    <w:p w:rsidR="009915CE" w:rsidRPr="00494E3C" w:rsidP="009915CE" w14:paraId="52508D9E" w14:textId="4D7884A3">
      <w:pPr>
        <w:pStyle w:val="BodyText"/>
      </w:pPr>
      <w:r w:rsidRPr="00475C1C">
        <w:t>The universe for</w:t>
      </w:r>
      <w:r>
        <w:t xml:space="preserve"> </w:t>
      </w:r>
      <w:r w:rsidRPr="00475C1C">
        <w:t xml:space="preserve">the unit response rates consists of all addresses in the initial sample that </w:t>
      </w:r>
      <w:r>
        <w:t>are</w:t>
      </w:r>
      <w:r w:rsidRPr="00475C1C">
        <w:t xml:space="preserve"> eligible to respond to the survey. Any nonresponding addresses that were sampled out of CAPI </w:t>
      </w:r>
      <w:r>
        <w:t xml:space="preserve">will not be </w:t>
      </w:r>
      <w:r w:rsidRPr="00475C1C">
        <w:t>included in any of the response rate calculations.</w:t>
      </w:r>
      <w:r>
        <w:t xml:space="preserve"> Later</w:t>
      </w:r>
      <w:r w:rsidR="00BA3698">
        <w:t>,</w:t>
      </w:r>
      <w:r>
        <w:t xml:space="preserve"> when the CAPI operation is completed, we will calculate the CAPI portion of the final response rate as well as the final response rate with CAPI response included. </w:t>
      </w:r>
    </w:p>
    <w:p w:rsidR="00907BD7" w:rsidP="00907BD7" w14:paraId="3453D1D1" w14:textId="3370E336">
      <w:pPr>
        <w:pStyle w:val="BodyText"/>
      </w:pPr>
      <w:r>
        <w:t xml:space="preserve">We will also calculate response rates for the CFU reinterview as the weighted proportion of sample addresses eligible to respond to the CFU reinterview that provided a response. </w:t>
      </w:r>
      <w:r w:rsidR="003835ED">
        <w:t xml:space="preserve">We will calculate CFU response rates overall and by mode of original interview for each treatment. </w:t>
      </w:r>
      <w:r w:rsidR="00A94ADB">
        <w:t xml:space="preserve">Additionally, we will calculate CFU response rates by CFU strata and CFU treatment. </w:t>
      </w:r>
    </w:p>
    <w:p w:rsidR="00907BD7" w:rsidP="00907BD7" w14:paraId="079686A3" w14:textId="7486B376">
      <w:pPr>
        <w:pStyle w:val="BodyText"/>
      </w:pPr>
      <w:r>
        <w:t>We will test</w:t>
      </w:r>
      <w:r>
        <w:t xml:space="preserve"> </w:t>
      </w:r>
      <w:r>
        <w:t xml:space="preserve">for differences </w:t>
      </w:r>
      <w:r w:rsidR="004C56A7">
        <w:t>in</w:t>
      </w:r>
      <w:r>
        <w:t xml:space="preserve"> response rates using two-tailed t-tests. </w:t>
      </w:r>
      <w:r w:rsidR="004C56A7">
        <w:t>Response rate comparisons will correspond to what comparisons are being made in the research questions</w:t>
      </w:r>
      <w:r w:rsidR="006A71D9">
        <w:t xml:space="preserve"> (e.g., Treatment 1 vs. Treatment 2 and Treatment A vs. Treatment B)</w:t>
      </w:r>
      <w:r w:rsidR="004C56A7">
        <w:t xml:space="preserve">. </w:t>
      </w:r>
    </w:p>
    <w:p w:rsidR="003835ED" w:rsidP="00907BD7" w14:paraId="6B03BA13" w14:textId="10DFE9E9">
      <w:pPr>
        <w:pStyle w:val="BodyText"/>
      </w:pPr>
      <w:r>
        <w:t xml:space="preserve">Additionally, we will calculate </w:t>
      </w:r>
      <w:r w:rsidR="00A809F7">
        <w:t xml:space="preserve">distributions of respondents’ socioeconomic and demographic characteristics. We will calculate distributions by treatment as the proportion of valid responses in a category to all valid responses. </w:t>
      </w:r>
      <w:r w:rsidR="004E0D4E">
        <w:t xml:space="preserve">We will compare the distributions </w:t>
      </w:r>
      <w:r w:rsidR="00A94ADB">
        <w:t>between</w:t>
      </w:r>
      <w:r w:rsidR="004E0D4E">
        <w:t xml:space="preserve"> treatments o</w:t>
      </w:r>
      <w:r w:rsidR="002167C1">
        <w:t>f</w:t>
      </w:r>
      <w:r w:rsidR="004E0D4E">
        <w:t xml:space="preserve"> the following demographic and household-level characteristics:</w:t>
      </w:r>
    </w:p>
    <w:p w:rsidR="004E0D4E" w:rsidP="00BA1EB7" w14:paraId="11234AD8" w14:textId="754DBA0E">
      <w:pPr>
        <w:pStyle w:val="BodyText"/>
        <w:numPr>
          <w:ilvl w:val="0"/>
          <w:numId w:val="40"/>
        </w:numPr>
        <w:spacing w:after="0"/>
      </w:pPr>
      <w:r>
        <w:t>Hispanic origin</w:t>
      </w:r>
    </w:p>
    <w:p w:rsidR="004E0D4E" w:rsidP="00BA1EB7" w14:paraId="41E79F4D" w14:textId="414C6B42">
      <w:pPr>
        <w:pStyle w:val="BodyText"/>
        <w:numPr>
          <w:ilvl w:val="0"/>
          <w:numId w:val="40"/>
        </w:numPr>
        <w:spacing w:after="0"/>
      </w:pPr>
      <w:r>
        <w:t>Race</w:t>
      </w:r>
    </w:p>
    <w:p w:rsidR="004E0D4E" w:rsidP="004E0D4E" w14:paraId="2BBB9852" w14:textId="07150A5D">
      <w:pPr>
        <w:pStyle w:val="BodyText"/>
        <w:numPr>
          <w:ilvl w:val="0"/>
          <w:numId w:val="40"/>
        </w:numPr>
        <w:spacing w:after="0"/>
      </w:pPr>
      <w:r>
        <w:t>Age</w:t>
      </w:r>
    </w:p>
    <w:p w:rsidR="004E0D4E" w:rsidP="004E0D4E" w14:paraId="4D3B4A81" w14:textId="35F81AC6">
      <w:pPr>
        <w:pStyle w:val="BodyText"/>
        <w:numPr>
          <w:ilvl w:val="0"/>
          <w:numId w:val="40"/>
        </w:numPr>
        <w:spacing w:after="0"/>
      </w:pPr>
      <w:r>
        <w:t>Household respondent status</w:t>
      </w:r>
    </w:p>
    <w:p w:rsidR="00767CD3" w:rsidP="00767CD3" w14:paraId="17652AB8" w14:textId="77777777">
      <w:pPr>
        <w:pStyle w:val="BodyText"/>
        <w:numPr>
          <w:ilvl w:val="0"/>
          <w:numId w:val="40"/>
        </w:numPr>
        <w:spacing w:after="0"/>
      </w:pPr>
      <w:r>
        <w:t xml:space="preserve">Limited English proficiency status </w:t>
      </w:r>
    </w:p>
    <w:p w:rsidR="004E0D4E" w:rsidP="004E0D4E" w14:paraId="22944E46" w14:textId="2CB1027A">
      <w:pPr>
        <w:pStyle w:val="BodyText"/>
        <w:numPr>
          <w:ilvl w:val="0"/>
          <w:numId w:val="40"/>
        </w:numPr>
        <w:spacing w:after="0"/>
      </w:pPr>
      <w:r>
        <w:t>Urban and rural status</w:t>
      </w:r>
    </w:p>
    <w:p w:rsidR="00767CD3" w:rsidP="00BA1EB7" w14:paraId="1DB8BD5E" w14:textId="60E8570F">
      <w:pPr>
        <w:pStyle w:val="BodyText"/>
        <w:numPr>
          <w:ilvl w:val="0"/>
          <w:numId w:val="40"/>
        </w:numPr>
      </w:pPr>
      <w:r>
        <w:t>Household size</w:t>
      </w:r>
    </w:p>
    <w:p w:rsidR="00A809F7" w:rsidP="00907BD7" w14:paraId="278CE709" w14:textId="1DAC9FF1">
      <w:pPr>
        <w:pStyle w:val="BodyText"/>
      </w:pPr>
      <w:r>
        <w:t xml:space="preserve">We will calculate distributions for the original interview by mode and for the CFU reinterview by mode of original interview. </w:t>
      </w:r>
      <w:bookmarkStart w:id="42" w:name="_Hlk144822496"/>
      <w:r>
        <w:t>We will use Rao-Scott chi-square tests of independence (Rao &amp; Scott, 1987) to test</w:t>
      </w:r>
      <w:r>
        <w:t xml:space="preserve"> </w:t>
      </w:r>
      <w:r>
        <w:t xml:space="preserve">for differences in the distributions of each demographic characteristic. </w:t>
      </w:r>
      <w:bookmarkEnd w:id="42"/>
    </w:p>
    <w:p w:rsidR="00765E77" w:rsidP="002C22F1" w14:paraId="5E2CDFFB" w14:textId="77ABB62B">
      <w:pPr>
        <w:pStyle w:val="Heading3"/>
      </w:pPr>
      <w:bookmarkStart w:id="43" w:name="_Ref159921558"/>
      <w:bookmarkStart w:id="44" w:name="_Toc164241846"/>
      <w:r>
        <w:t>Benchmarks</w:t>
      </w:r>
      <w:bookmarkEnd w:id="43"/>
      <w:bookmarkEnd w:id="44"/>
    </w:p>
    <w:p w:rsidR="00474F43" w:rsidP="002C22F1" w14:paraId="2DC805B1" w14:textId="537FA37B">
      <w:pPr>
        <w:pStyle w:val="BodyText"/>
      </w:pPr>
      <w:r>
        <w:t xml:space="preserve">To roughly gauge the accuracy of the responses to the SOGI questions, we will nominally compare select estimates from the test to similar estimates from external reliable sources (i.e., a benchmark). </w:t>
      </w:r>
    </w:p>
    <w:p w:rsidR="008C01C9" w:rsidP="002C22F1" w14:paraId="5D72F0CF" w14:textId="368473C5">
      <w:pPr>
        <w:pStyle w:val="BodyText"/>
      </w:pPr>
      <w:r w:rsidRPr="00651A88">
        <w:t xml:space="preserve">Differences between the benchmark data sources and the </w:t>
      </w:r>
      <w:r w:rsidRPr="00651A88" w:rsidR="00651A88">
        <w:t xml:space="preserve">2024 </w:t>
      </w:r>
      <w:r w:rsidRPr="00651A88">
        <w:t xml:space="preserve">ACS </w:t>
      </w:r>
      <w:r w:rsidRPr="00651A88" w:rsidR="00651A88">
        <w:t xml:space="preserve">SOGI </w:t>
      </w:r>
      <w:r w:rsidRPr="00651A88">
        <w:t>Test data</w:t>
      </w:r>
      <w:r w:rsidR="00651A88">
        <w:t>,</w:t>
      </w:r>
      <w:r w:rsidRPr="00651A88">
        <w:t xml:space="preserve"> such as </w:t>
      </w:r>
      <w:r w:rsidRPr="00651A88" w:rsidR="00651A88">
        <w:t>the</w:t>
      </w:r>
      <w:r w:rsidR="0044010A">
        <w:t xml:space="preserve"> sample design (sampling technique </w:t>
      </w:r>
      <w:r w:rsidR="00A87F53">
        <w:t>and</w:t>
      </w:r>
      <w:r w:rsidRPr="00651A88" w:rsidR="00A87F53">
        <w:t xml:space="preserve"> universe</w:t>
      </w:r>
      <w:r w:rsidR="0044010A">
        <w:t>)</w:t>
      </w:r>
      <w:r w:rsidRPr="00651A88">
        <w:t xml:space="preserve">, question wording, and type of </w:t>
      </w:r>
      <w:r w:rsidR="005C06BC">
        <w:t>survey</w:t>
      </w:r>
      <w:r w:rsidR="00651A88">
        <w:t>,</w:t>
      </w:r>
      <w:r w:rsidRPr="00651A88">
        <w:t xml:space="preserve"> will be noted in each analysis.</w:t>
      </w:r>
      <w:r>
        <w:t xml:space="preserve"> We will compare the latest available NCHS</w:t>
      </w:r>
      <w:r w:rsidR="004F797A">
        <w:t>, NCVS,</w:t>
      </w:r>
      <w:r>
        <w:t xml:space="preserve"> and HPS estimates to the SOGI Test data as</w:t>
      </w:r>
      <w:r w:rsidR="004B28AF">
        <w:t xml:space="preserve"> a comparison of this test to other federal surveys.</w:t>
      </w:r>
      <w:r>
        <w:rPr>
          <w:rStyle w:val="FootnoteReference"/>
        </w:rPr>
        <w:footnoteReference w:id="28"/>
      </w:r>
      <w:r w:rsidR="004B28AF">
        <w:t xml:space="preserve"> We will also look at benchmarks from other U.S. sources as well as censuses from other countries. Those benchmark sources are briefly described below. </w:t>
      </w:r>
    </w:p>
    <w:p w:rsidR="00236151" w:rsidP="002C22F1" w14:paraId="3A7E49BF" w14:textId="3C8CF185">
      <w:pPr>
        <w:pStyle w:val="BodyText"/>
        <w:rPr>
          <w:i/>
          <w:iCs/>
        </w:rPr>
      </w:pPr>
      <w:r>
        <w:rPr>
          <w:i/>
          <w:iCs/>
        </w:rPr>
        <w:t>Gallup telephone surveys</w:t>
      </w:r>
    </w:p>
    <w:p w:rsidR="00236151" w:rsidP="00E35109" w14:paraId="34C01D3F" w14:textId="4E564366">
      <w:pPr>
        <w:pStyle w:val="BodyText"/>
      </w:pPr>
      <w:r w:rsidRPr="00236151">
        <w:t>Gallup produces an annual national estimate of sexual and gender minority status in adults based on aggregated polling data from their telephone surveys. Respondents are asked</w:t>
      </w:r>
      <w:r>
        <w:t xml:space="preserve"> the following</w:t>
      </w:r>
      <w:r w:rsidRPr="00236151">
        <w:t xml:space="preserve">: </w:t>
      </w:r>
    </w:p>
    <w:p w:rsidR="00236151" w:rsidRPr="00A433D6" w:rsidP="00236151" w14:paraId="492EDB5E" w14:textId="70CCDBA2">
      <w:pPr>
        <w:pStyle w:val="BodyText"/>
      </w:pPr>
      <w:r>
        <w:t>“Which of the following do</w:t>
      </w:r>
      <w:r w:rsidRPr="00A433D6">
        <w:t xml:space="preserve"> you </w:t>
      </w:r>
      <w:r>
        <w:t>consider</w:t>
      </w:r>
      <w:r w:rsidRPr="00A433D6">
        <w:t xml:space="preserve"> yourself </w:t>
      </w:r>
      <w:r>
        <w:t>to be? You can select as many as apply.”</w:t>
      </w:r>
      <w:r w:rsidRPr="00A433D6">
        <w:t xml:space="preserve"> </w:t>
      </w:r>
    </w:p>
    <w:p w:rsidR="00236151" w:rsidRPr="00A433D6" w:rsidP="00236151" w14:paraId="25A28B0E" w14:textId="4D47041B">
      <w:pPr>
        <w:pStyle w:val="NoSpacing"/>
        <w:ind w:left="432"/>
        <w:rPr>
          <w:sz w:val="24"/>
          <w:szCs w:val="24"/>
        </w:rPr>
      </w:pPr>
      <w:r w:rsidRPr="00A433D6">
        <w:rPr>
          <w:sz w:val="24"/>
          <w:szCs w:val="24"/>
        </w:rPr>
        <w:t xml:space="preserve">• </w:t>
      </w:r>
      <w:r>
        <w:rPr>
          <w:sz w:val="24"/>
          <w:szCs w:val="24"/>
        </w:rPr>
        <w:t>Straight o</w:t>
      </w:r>
      <w:r w:rsidR="00E35109">
        <w:rPr>
          <w:sz w:val="24"/>
          <w:szCs w:val="24"/>
        </w:rPr>
        <w:t>r</w:t>
      </w:r>
      <w:r>
        <w:rPr>
          <w:sz w:val="24"/>
          <w:szCs w:val="24"/>
        </w:rPr>
        <w:t xml:space="preserve"> heterosexual </w:t>
      </w:r>
    </w:p>
    <w:p w:rsidR="00236151" w:rsidP="00E35109" w14:paraId="67BD4CC2" w14:textId="5A19D990">
      <w:pPr>
        <w:pStyle w:val="NoSpacing"/>
        <w:ind w:left="432"/>
        <w:rPr>
          <w:sz w:val="24"/>
          <w:szCs w:val="24"/>
        </w:rPr>
      </w:pPr>
      <w:r w:rsidRPr="00A433D6">
        <w:rPr>
          <w:sz w:val="24"/>
          <w:szCs w:val="24"/>
        </w:rPr>
        <w:t xml:space="preserve">• </w:t>
      </w:r>
      <w:r>
        <w:rPr>
          <w:sz w:val="24"/>
          <w:szCs w:val="24"/>
        </w:rPr>
        <w:t>Lesbian</w:t>
      </w:r>
    </w:p>
    <w:p w:rsidR="00E35109" w:rsidP="00E35109" w14:paraId="6DE8BBAF" w14:textId="71044B23">
      <w:pPr>
        <w:pStyle w:val="NoSpacing"/>
        <w:ind w:left="432"/>
        <w:rPr>
          <w:sz w:val="24"/>
          <w:szCs w:val="24"/>
        </w:rPr>
      </w:pPr>
      <w:r w:rsidRPr="00A433D6">
        <w:rPr>
          <w:sz w:val="24"/>
          <w:szCs w:val="24"/>
        </w:rPr>
        <w:t>•</w:t>
      </w:r>
      <w:r>
        <w:rPr>
          <w:sz w:val="24"/>
          <w:szCs w:val="24"/>
        </w:rPr>
        <w:t xml:space="preserve"> Gay</w:t>
      </w:r>
    </w:p>
    <w:p w:rsidR="00E35109" w:rsidRPr="00A433D6" w:rsidP="00E35109" w14:paraId="7B95B232" w14:textId="75D8EB60">
      <w:pPr>
        <w:pStyle w:val="NoSpacing"/>
        <w:ind w:left="432"/>
        <w:rPr>
          <w:sz w:val="24"/>
          <w:szCs w:val="24"/>
        </w:rPr>
      </w:pPr>
      <w:r w:rsidRPr="00A433D6">
        <w:rPr>
          <w:sz w:val="24"/>
          <w:szCs w:val="24"/>
        </w:rPr>
        <w:t>•</w:t>
      </w:r>
      <w:r>
        <w:rPr>
          <w:sz w:val="24"/>
          <w:szCs w:val="24"/>
        </w:rPr>
        <w:t xml:space="preserve"> Bisexual</w:t>
      </w:r>
    </w:p>
    <w:p w:rsidR="00236151" w:rsidRPr="00A433D6" w:rsidP="00E35109" w14:paraId="1F14CF30" w14:textId="71102169">
      <w:pPr>
        <w:pStyle w:val="NoSpacing"/>
        <w:ind w:left="432"/>
        <w:rPr>
          <w:sz w:val="24"/>
          <w:szCs w:val="24"/>
        </w:rPr>
      </w:pPr>
      <w:r w:rsidRPr="00A433D6">
        <w:rPr>
          <w:sz w:val="24"/>
          <w:szCs w:val="24"/>
        </w:rPr>
        <w:t>• Transgender</w:t>
      </w:r>
    </w:p>
    <w:p w:rsidR="00236151" w:rsidRPr="00A433D6" w:rsidP="00236151" w14:paraId="7C5D38A7" w14:textId="7439A4DA">
      <w:pPr>
        <w:pStyle w:val="NoSpacing"/>
        <w:ind w:left="432"/>
      </w:pPr>
      <w:r w:rsidRPr="00A433D6">
        <w:rPr>
          <w:sz w:val="24"/>
          <w:szCs w:val="24"/>
        </w:rPr>
        <w:t xml:space="preserve">• </w:t>
      </w:r>
      <w:r w:rsidR="00E35109">
        <w:rPr>
          <w:sz w:val="24"/>
          <w:szCs w:val="24"/>
        </w:rPr>
        <w:t>Something else</w:t>
      </w:r>
    </w:p>
    <w:p w:rsidR="00236151" w:rsidP="00236151" w14:paraId="1F53652B" w14:textId="77777777">
      <w:pPr>
        <w:pStyle w:val="NoSpacing"/>
      </w:pPr>
    </w:p>
    <w:p w:rsidR="00236151" w:rsidP="00236151" w14:paraId="5D5CD7E5" w14:textId="3E59B393">
      <w:pPr>
        <w:pStyle w:val="BodyText"/>
      </w:pPr>
      <w:r w:rsidRPr="00236151">
        <w:t>In 2022, respondents who selected “something else” were asked to give their preferred identity</w:t>
      </w:r>
      <w:r>
        <w:t>; m</w:t>
      </w:r>
      <w:r w:rsidRPr="00236151">
        <w:t>ost said either pansexual, asexual, or queer</w:t>
      </w:r>
      <w:r>
        <w:t xml:space="preserve"> (Jones, 2023)</w:t>
      </w:r>
      <w:r w:rsidRPr="00236151">
        <w:t>.</w:t>
      </w:r>
    </w:p>
    <w:p w:rsidR="00236151" w:rsidP="002C22F1" w14:paraId="6F68871F" w14:textId="6E09A383">
      <w:pPr>
        <w:pStyle w:val="BodyText"/>
        <w:rPr>
          <w:i/>
          <w:iCs/>
        </w:rPr>
      </w:pPr>
      <w:r>
        <w:rPr>
          <w:i/>
          <w:iCs/>
        </w:rPr>
        <w:t>Williams Institute report</w:t>
      </w:r>
    </w:p>
    <w:p w:rsidR="00EF0006" w:rsidP="002C22F1" w14:paraId="68B7E1AB" w14:textId="3C12896A">
      <w:pPr>
        <w:pStyle w:val="BodyText"/>
      </w:pPr>
      <w:r>
        <w:t>The Williams Institute</w:t>
      </w:r>
      <w:r w:rsidR="00662C28">
        <w:t>, as part of the University of California Los Angeles School of Law,</w:t>
      </w:r>
      <w:r>
        <w:t xml:space="preserve"> </w:t>
      </w:r>
      <w:r w:rsidR="00662C28">
        <w:t xml:space="preserve">conducts independent research on SOGI law and public policy. </w:t>
      </w:r>
      <w:r>
        <w:t>Herman et al. (2022)</w:t>
      </w:r>
      <w:r w:rsidR="00347D1E">
        <w:t xml:space="preserve"> estimated the </w:t>
      </w:r>
      <w:r w:rsidR="00347D1E">
        <w:rPr>
          <w:rFonts w:ascii="Calibri" w:eastAsia="Calibri" w:hAnsi="Calibri" w:cs="Times New Roman"/>
        </w:rPr>
        <w:t>number of adults (ages 18 and older) and youth (ages 13 to 17) who identify as transgender</w:t>
      </w:r>
      <w:r>
        <w:t xml:space="preserve"> us</w:t>
      </w:r>
      <w:r w:rsidR="00347D1E">
        <w:t>ing</w:t>
      </w:r>
      <w:r>
        <w:t xml:space="preserve"> state-level data from the </w:t>
      </w:r>
      <w:r>
        <w:rPr>
          <w:rFonts w:ascii="Calibri" w:eastAsia="Calibri" w:hAnsi="Calibri" w:cs="Times New Roman"/>
        </w:rPr>
        <w:t>Centers for Disease Control and Prevention (CDC)’s Behavior Risk Factor Surveillance System (</w:t>
      </w:r>
      <w:r w:rsidR="002F29AC">
        <w:rPr>
          <w:rFonts w:ascii="Calibri" w:eastAsia="Calibri" w:hAnsi="Calibri" w:cs="Times New Roman"/>
        </w:rPr>
        <w:t xml:space="preserve">BRFSS) </w:t>
      </w:r>
      <w:r>
        <w:rPr>
          <w:rFonts w:ascii="Calibri" w:eastAsia="Calibri" w:hAnsi="Calibri" w:cs="Times New Roman"/>
        </w:rPr>
        <w:t>(2017-2020) and Youth Risk Behavior Survey (</w:t>
      </w:r>
      <w:r w:rsidR="002F29AC">
        <w:rPr>
          <w:rFonts w:ascii="Calibri" w:eastAsia="Calibri" w:hAnsi="Calibri" w:cs="Times New Roman"/>
        </w:rPr>
        <w:t>YRBS)</w:t>
      </w:r>
      <w:r>
        <w:rPr>
          <w:rFonts w:ascii="Calibri" w:eastAsia="Calibri" w:hAnsi="Calibri" w:cs="Times New Roman"/>
        </w:rPr>
        <w:t xml:space="preserve"> (2017 and 2019).</w:t>
      </w:r>
      <w:r w:rsidR="00347D1E">
        <w:rPr>
          <w:rFonts w:ascii="Calibri" w:eastAsia="Calibri" w:hAnsi="Calibri" w:cs="Times New Roman"/>
        </w:rPr>
        <w:t xml:space="preserve"> Both surveys have optional gender identity questions that can be included on the state</w:t>
      </w:r>
      <w:r w:rsidR="00E510FC">
        <w:rPr>
          <w:rFonts w:ascii="Calibri" w:eastAsia="Calibri" w:hAnsi="Calibri" w:cs="Times New Roman"/>
        </w:rPr>
        <w:t>-specific questionnaires. The report was able to use BRFSS information from 41 states and YRBS information from 15 states</w:t>
      </w:r>
      <w:r w:rsidR="00662C28">
        <w:rPr>
          <w:rFonts w:ascii="Calibri" w:eastAsia="Calibri" w:hAnsi="Calibri" w:cs="Times New Roman"/>
        </w:rPr>
        <w:t xml:space="preserve">, calculating estimates for the remaining states through multilevel models. </w:t>
      </w:r>
    </w:p>
    <w:p w:rsidR="00EF0006" w:rsidRPr="00347D1E" w:rsidP="00347D1E" w14:paraId="1962321C" w14:textId="50AFA5DB">
      <w:pPr>
        <w:spacing w:after="240"/>
        <w:rPr>
          <w:rFonts w:ascii="Calibri" w:eastAsia="Calibri" w:hAnsi="Calibri" w:cs="Times New Roman"/>
        </w:rPr>
      </w:pPr>
      <w:r>
        <w:rPr>
          <w:rFonts w:ascii="Calibri" w:eastAsia="Calibri" w:hAnsi="Calibri" w:cs="Times New Roman"/>
        </w:rPr>
        <w:t xml:space="preserve">The </w:t>
      </w:r>
      <w:r w:rsidR="00662C28">
        <w:t xml:space="preserve">Herman et al. (2022) </w:t>
      </w:r>
      <w:r>
        <w:rPr>
          <w:rFonts w:ascii="Calibri" w:eastAsia="Calibri" w:hAnsi="Calibri" w:cs="Times New Roman"/>
        </w:rPr>
        <w:t>report provides national e</w:t>
      </w:r>
      <w:r w:rsidRPr="00347D1E">
        <w:rPr>
          <w:rFonts w:ascii="Calibri" w:eastAsia="Calibri" w:hAnsi="Calibri" w:cs="Times New Roman"/>
        </w:rPr>
        <w:t>stimates of transgender women</w:t>
      </w:r>
      <w:r w:rsidR="00754E0F">
        <w:rPr>
          <w:rFonts w:ascii="Calibri" w:eastAsia="Calibri" w:hAnsi="Calibri" w:cs="Times New Roman"/>
        </w:rPr>
        <w:t xml:space="preserve"> adults</w:t>
      </w:r>
      <w:r w:rsidRPr="00347D1E">
        <w:rPr>
          <w:rFonts w:ascii="Calibri" w:eastAsia="Calibri" w:hAnsi="Calibri" w:cs="Times New Roman"/>
        </w:rPr>
        <w:t>, transgender men</w:t>
      </w:r>
      <w:r w:rsidR="00754E0F">
        <w:rPr>
          <w:rFonts w:ascii="Calibri" w:eastAsia="Calibri" w:hAnsi="Calibri" w:cs="Times New Roman"/>
        </w:rPr>
        <w:t xml:space="preserve"> adults</w:t>
      </w:r>
      <w:r w:rsidRPr="00347D1E">
        <w:rPr>
          <w:rFonts w:ascii="Calibri" w:eastAsia="Calibri" w:hAnsi="Calibri" w:cs="Times New Roman"/>
        </w:rPr>
        <w:t>, transgender gender</w:t>
      </w:r>
      <w:r w:rsidR="00754E0F">
        <w:rPr>
          <w:rFonts w:ascii="Calibri" w:eastAsia="Calibri" w:hAnsi="Calibri" w:cs="Times New Roman"/>
        </w:rPr>
        <w:t>-</w:t>
      </w:r>
      <w:r w:rsidRPr="00347D1E">
        <w:rPr>
          <w:rFonts w:ascii="Calibri" w:eastAsia="Calibri" w:hAnsi="Calibri" w:cs="Times New Roman"/>
        </w:rPr>
        <w:t>nonconforming adults</w:t>
      </w:r>
      <w:r w:rsidR="002F29AC">
        <w:rPr>
          <w:rFonts w:ascii="Calibri" w:eastAsia="Calibri" w:hAnsi="Calibri" w:cs="Times New Roman"/>
        </w:rPr>
        <w:t>,</w:t>
      </w:r>
      <w:r>
        <w:rPr>
          <w:rFonts w:ascii="Calibri" w:eastAsia="Calibri" w:hAnsi="Calibri" w:cs="Times New Roman"/>
        </w:rPr>
        <w:t xml:space="preserve"> and transgender youth (ages 13 to 17). These estimates are also </w:t>
      </w:r>
      <w:r w:rsidR="00662C28">
        <w:rPr>
          <w:rFonts w:ascii="Calibri" w:eastAsia="Calibri" w:hAnsi="Calibri" w:cs="Times New Roman"/>
        </w:rPr>
        <w:t>given</w:t>
      </w:r>
      <w:r>
        <w:rPr>
          <w:rFonts w:ascii="Calibri" w:eastAsia="Calibri" w:hAnsi="Calibri" w:cs="Times New Roman"/>
        </w:rPr>
        <w:t xml:space="preserve"> by age category, race/ethnicity, and state. </w:t>
      </w:r>
    </w:p>
    <w:p w:rsidR="00236151" w:rsidP="002C22F1" w14:paraId="0829DD67" w14:textId="63A116CD">
      <w:pPr>
        <w:pStyle w:val="BodyText"/>
        <w:rPr>
          <w:i/>
          <w:iCs/>
        </w:rPr>
      </w:pPr>
      <w:bookmarkStart w:id="45" w:name="_Hlk160197491"/>
      <w:r>
        <w:rPr>
          <w:i/>
          <w:iCs/>
        </w:rPr>
        <w:t>Statistics Canada 2021 Census of Population</w:t>
      </w:r>
    </w:p>
    <w:bookmarkEnd w:id="45"/>
    <w:p w:rsidR="00CC5131" w:rsidP="002C22F1" w14:paraId="6D1DABDF" w14:textId="2D7CD7C2">
      <w:pPr>
        <w:pStyle w:val="BodyText"/>
      </w:pPr>
      <w:r>
        <w:t xml:space="preserve">Canada’s 2021 Census of Population included a question on gender and distinguished it from sex, for the first time compared to previous censuses. </w:t>
      </w:r>
      <w:r w:rsidR="005D178E">
        <w:t>Sex at birth, followed by gender, were asked about for all household members, including children. The questions were the following:</w:t>
      </w:r>
    </w:p>
    <w:p w:rsidR="006E462B" w:rsidP="002C22F1" w14:paraId="23D3A633" w14:textId="60E00197">
      <w:pPr>
        <w:pStyle w:val="BodyText"/>
      </w:pPr>
      <w:r>
        <w:t>“What was this person’s sex at birth? Sex refers to sex assigned at birth.”</w:t>
      </w:r>
    </w:p>
    <w:p w:rsidR="006E462B" w:rsidP="006E462B" w14:paraId="13D2CC17" w14:textId="0281C676">
      <w:pPr>
        <w:pStyle w:val="BodyText"/>
        <w:spacing w:after="0"/>
        <w:ind w:left="432"/>
      </w:pPr>
      <w:r w:rsidRPr="00A433D6">
        <w:t xml:space="preserve">• </w:t>
      </w:r>
      <w:r>
        <w:t>Male</w:t>
      </w:r>
    </w:p>
    <w:p w:rsidR="006E462B" w:rsidP="006E462B" w14:paraId="560A0B87" w14:textId="7040D178">
      <w:pPr>
        <w:pStyle w:val="BodyText"/>
        <w:ind w:left="432"/>
      </w:pPr>
      <w:r w:rsidRPr="00A433D6">
        <w:t xml:space="preserve">• </w:t>
      </w:r>
      <w:r>
        <w:t>Female</w:t>
      </w:r>
    </w:p>
    <w:p w:rsidR="006E462B" w:rsidP="002C22F1" w14:paraId="7762FA12" w14:textId="00750F51">
      <w:pPr>
        <w:pStyle w:val="BodyText"/>
      </w:pPr>
      <w:r>
        <w:t>“What is this person’s gender? Refers to current gender, which may be different from sex assigned at birth and may be different from what is indicated on legal documents.”</w:t>
      </w:r>
    </w:p>
    <w:p w:rsidR="006E462B" w:rsidP="006E462B" w14:paraId="78DAD109" w14:textId="5046E4EB">
      <w:pPr>
        <w:pStyle w:val="BodyText"/>
        <w:spacing w:after="0"/>
        <w:ind w:left="432"/>
      </w:pPr>
      <w:r w:rsidRPr="00A433D6">
        <w:t xml:space="preserve">• </w:t>
      </w:r>
      <w:r>
        <w:t>Male</w:t>
      </w:r>
    </w:p>
    <w:p w:rsidR="006E462B" w:rsidP="006E462B" w14:paraId="465429ED" w14:textId="709D3A7E">
      <w:pPr>
        <w:pStyle w:val="BodyText"/>
        <w:spacing w:after="0"/>
        <w:ind w:left="432"/>
      </w:pPr>
      <w:r w:rsidRPr="00A433D6">
        <w:t xml:space="preserve">• </w:t>
      </w:r>
      <w:r>
        <w:t>Female</w:t>
      </w:r>
    </w:p>
    <w:p w:rsidR="006E462B" w:rsidP="006E462B" w14:paraId="3C38924D" w14:textId="4962E0FF">
      <w:pPr>
        <w:pStyle w:val="BodyText"/>
        <w:ind w:left="432"/>
      </w:pPr>
      <w:r w:rsidRPr="00A433D6">
        <w:t xml:space="preserve">• </w:t>
      </w:r>
      <w:r>
        <w:t>Or please specify this person’s gender (with write-in box)</w:t>
      </w:r>
    </w:p>
    <w:p w:rsidR="00CC5131" w:rsidRPr="00CC5131" w:rsidP="002C22F1" w14:paraId="40C2234F" w14:textId="65B67CFD">
      <w:pPr>
        <w:pStyle w:val="BodyText"/>
      </w:pPr>
      <w:r>
        <w:t>2021 Census data releases include e</w:t>
      </w:r>
      <w:r w:rsidRPr="005D178E">
        <w:rPr>
          <w:rFonts w:ascii="Calibri" w:eastAsia="Calibri" w:hAnsi="Calibri" w:cs="Times New Roman"/>
        </w:rPr>
        <w:t>stimates of cisgender men and women, transgender men and women, and nonbinary persons</w:t>
      </w:r>
      <w:r w:rsidR="00D8060D">
        <w:rPr>
          <w:rFonts w:ascii="Calibri" w:eastAsia="Calibri" w:hAnsi="Calibri" w:cs="Times New Roman"/>
        </w:rPr>
        <w:t>. The data releases also include a two-category gender variable, men+ and women+, which distributes nonbinary persons to the other two categories.</w:t>
      </w:r>
      <w:r>
        <w:rPr>
          <w:rStyle w:val="FootnoteReference"/>
          <w:rFonts w:ascii="Calibri" w:eastAsia="Calibri" w:hAnsi="Calibri" w:cs="Times New Roman"/>
        </w:rPr>
        <w:footnoteReference w:id="29"/>
      </w:r>
      <w:r w:rsidR="00D8060D">
        <w:rPr>
          <w:rFonts w:ascii="Calibri" w:eastAsia="Calibri" w:hAnsi="Calibri" w:cs="Times New Roman"/>
        </w:rPr>
        <w:t xml:space="preserve"> </w:t>
      </w:r>
    </w:p>
    <w:p w:rsidR="00236151" w:rsidP="002C22F1" w14:paraId="160220F8" w14:textId="20F0C473">
      <w:pPr>
        <w:pStyle w:val="BodyText"/>
        <w:rPr>
          <w:i/>
          <w:iCs/>
        </w:rPr>
      </w:pPr>
      <w:r>
        <w:rPr>
          <w:i/>
          <w:iCs/>
        </w:rPr>
        <w:t>United Kingdom’s Census 2021 (England and Wales)</w:t>
      </w:r>
    </w:p>
    <w:p w:rsidR="007F2BEA" w:rsidP="002C22F1" w14:paraId="1689527E" w14:textId="74AD6510">
      <w:pPr>
        <w:pStyle w:val="BodyText"/>
      </w:pPr>
      <w:r>
        <w:t>The census</w:t>
      </w:r>
      <w:r>
        <w:t xml:space="preserve"> of </w:t>
      </w:r>
      <w:r>
        <w:t xml:space="preserve">England and Wales included for the first time, in 2021, questions about gender identity and sexual orientation. The questions were voluntary and asked of people </w:t>
      </w:r>
      <w:r>
        <w:t>age</w:t>
      </w:r>
      <w:r>
        <w:t xml:space="preserve"> 16 years and older. The gender identity question was the following:</w:t>
      </w:r>
    </w:p>
    <w:p w:rsidR="00903074" w:rsidP="00903074" w14:paraId="19EDCA6A" w14:textId="77777777">
      <w:pPr>
        <w:spacing w:after="240"/>
        <w:rPr>
          <w:rFonts w:ascii="Calibri" w:eastAsia="Calibri" w:hAnsi="Calibri" w:cs="Times New Roman"/>
        </w:rPr>
      </w:pPr>
      <w:r w:rsidRPr="00903074">
        <w:rPr>
          <w:rFonts w:ascii="Calibri" w:eastAsia="Calibri" w:hAnsi="Calibri" w:cs="Times New Roman"/>
        </w:rPr>
        <w:t xml:space="preserve">“Is the gender you identify with the same as your sex registered at birth?” </w:t>
      </w:r>
    </w:p>
    <w:p w:rsidR="00903074" w:rsidP="00903074" w14:paraId="2E540FDF" w14:textId="4C714A51">
      <w:pPr>
        <w:ind w:firstLine="432"/>
        <w:rPr>
          <w:rFonts w:ascii="Calibri" w:eastAsia="Calibri" w:hAnsi="Calibri" w:cs="Times New Roman"/>
        </w:rPr>
      </w:pPr>
      <w:r w:rsidRPr="00A433D6">
        <w:t xml:space="preserve">• </w:t>
      </w:r>
      <w:r>
        <w:t>Y</w:t>
      </w:r>
      <w:r w:rsidRPr="00903074" w:rsidR="00B65C18">
        <w:rPr>
          <w:rFonts w:ascii="Calibri" w:eastAsia="Calibri" w:hAnsi="Calibri" w:cs="Times New Roman"/>
        </w:rPr>
        <w:t xml:space="preserve">es </w:t>
      </w:r>
    </w:p>
    <w:p w:rsidR="00B65C18" w:rsidRPr="00903074" w:rsidP="00903074" w14:paraId="467275D4" w14:textId="4854053B">
      <w:pPr>
        <w:spacing w:after="240"/>
        <w:ind w:firstLine="432"/>
        <w:rPr>
          <w:rFonts w:ascii="Calibri" w:eastAsia="Calibri" w:hAnsi="Calibri" w:cs="Times New Roman"/>
        </w:rPr>
      </w:pPr>
      <w:r w:rsidRPr="00A433D6">
        <w:t xml:space="preserve">• </w:t>
      </w:r>
      <w:r>
        <w:rPr>
          <w:rFonts w:ascii="Calibri" w:eastAsia="Calibri" w:hAnsi="Calibri" w:cs="Times New Roman"/>
        </w:rPr>
        <w:t>N</w:t>
      </w:r>
      <w:r w:rsidRPr="00903074">
        <w:rPr>
          <w:rFonts w:ascii="Calibri" w:eastAsia="Calibri" w:hAnsi="Calibri" w:cs="Times New Roman"/>
        </w:rPr>
        <w:t>o (with write-in</w:t>
      </w:r>
      <w:r>
        <w:rPr>
          <w:rFonts w:ascii="Calibri" w:eastAsia="Calibri" w:hAnsi="Calibri" w:cs="Times New Roman"/>
        </w:rPr>
        <w:t xml:space="preserve"> box</w:t>
      </w:r>
      <w:r w:rsidRPr="00903074">
        <w:rPr>
          <w:rFonts w:ascii="Calibri" w:eastAsia="Calibri" w:hAnsi="Calibri" w:cs="Times New Roman"/>
        </w:rPr>
        <w:t>)</w:t>
      </w:r>
    </w:p>
    <w:p w:rsidR="00B65C18" w:rsidRPr="00903074" w:rsidP="00CC5131" w14:paraId="301F1A9C" w14:textId="39502826">
      <w:pPr>
        <w:pStyle w:val="BodyText"/>
      </w:pPr>
      <w:r>
        <w:t>Using responses from a sex question, e</w:t>
      </w:r>
      <w:r w:rsidRPr="00903074">
        <w:t>stimates of trans</w:t>
      </w:r>
      <w:r>
        <w:t>gender</w:t>
      </w:r>
      <w:r w:rsidRPr="00903074">
        <w:t xml:space="preserve"> man, trans</w:t>
      </w:r>
      <w:r>
        <w:t>gender</w:t>
      </w:r>
      <w:r w:rsidRPr="00903074">
        <w:t xml:space="preserve"> woman, nonbinary, </w:t>
      </w:r>
      <w:r>
        <w:t xml:space="preserve">and </w:t>
      </w:r>
      <w:r w:rsidRPr="00903074">
        <w:t>other gender identity</w:t>
      </w:r>
      <w:r>
        <w:t xml:space="preserve"> are available from Census 2021. The sexual orientation </w:t>
      </w:r>
      <w:r w:rsidR="002F29AC">
        <w:t xml:space="preserve">question </w:t>
      </w:r>
      <w:r>
        <w:t xml:space="preserve">was the following: </w:t>
      </w:r>
    </w:p>
    <w:p w:rsidR="00903074" w:rsidP="00903074" w14:paraId="5BE920A7" w14:textId="77777777">
      <w:pPr>
        <w:spacing w:after="240"/>
        <w:rPr>
          <w:rFonts w:ascii="Calibri" w:eastAsia="Calibri" w:hAnsi="Calibri" w:cs="Times New Roman"/>
        </w:rPr>
      </w:pPr>
      <w:r w:rsidRPr="00903074">
        <w:rPr>
          <w:rFonts w:ascii="Calibri" w:eastAsia="Calibri" w:hAnsi="Calibri" w:cs="Times New Roman"/>
        </w:rPr>
        <w:t xml:space="preserve">“Which of the following best describes your sexual orientation?” </w:t>
      </w:r>
    </w:p>
    <w:p w:rsidR="00903074" w:rsidP="00903074" w14:paraId="20404450" w14:textId="1AD606F4">
      <w:pPr>
        <w:ind w:firstLine="432"/>
        <w:rPr>
          <w:rFonts w:ascii="Calibri" w:eastAsia="Calibri" w:hAnsi="Calibri" w:cs="Times New Roman"/>
        </w:rPr>
      </w:pPr>
      <w:r w:rsidRPr="00A433D6">
        <w:t xml:space="preserve">• </w:t>
      </w:r>
      <w:r w:rsidRPr="00903074" w:rsidR="00B65C18">
        <w:rPr>
          <w:rFonts w:ascii="Calibri" w:eastAsia="Calibri" w:hAnsi="Calibri" w:cs="Times New Roman"/>
        </w:rPr>
        <w:t>Straight/</w:t>
      </w:r>
      <w:r>
        <w:rPr>
          <w:rFonts w:ascii="Calibri" w:eastAsia="Calibri" w:hAnsi="Calibri" w:cs="Times New Roman"/>
        </w:rPr>
        <w:t>h</w:t>
      </w:r>
      <w:r w:rsidRPr="00903074" w:rsidR="00B65C18">
        <w:rPr>
          <w:rFonts w:ascii="Calibri" w:eastAsia="Calibri" w:hAnsi="Calibri" w:cs="Times New Roman"/>
        </w:rPr>
        <w:t xml:space="preserve">eterosexual </w:t>
      </w:r>
    </w:p>
    <w:p w:rsidR="00903074" w:rsidP="00903074" w14:paraId="0A05E39B" w14:textId="322A053E">
      <w:pPr>
        <w:ind w:firstLine="432"/>
        <w:rPr>
          <w:rFonts w:ascii="Calibri" w:eastAsia="Calibri" w:hAnsi="Calibri" w:cs="Times New Roman"/>
        </w:rPr>
      </w:pPr>
      <w:r w:rsidRPr="00A433D6">
        <w:t xml:space="preserve">• </w:t>
      </w:r>
      <w:r w:rsidRPr="00903074" w:rsidR="00B65C18">
        <w:rPr>
          <w:rFonts w:ascii="Calibri" w:eastAsia="Calibri" w:hAnsi="Calibri" w:cs="Times New Roman"/>
        </w:rPr>
        <w:t xml:space="preserve">Gay or </w:t>
      </w:r>
      <w:r>
        <w:rPr>
          <w:rFonts w:ascii="Calibri" w:eastAsia="Calibri" w:hAnsi="Calibri" w:cs="Times New Roman"/>
        </w:rPr>
        <w:t>l</w:t>
      </w:r>
      <w:r w:rsidRPr="00903074" w:rsidR="00B65C18">
        <w:rPr>
          <w:rFonts w:ascii="Calibri" w:eastAsia="Calibri" w:hAnsi="Calibri" w:cs="Times New Roman"/>
        </w:rPr>
        <w:t xml:space="preserve">esbian </w:t>
      </w:r>
    </w:p>
    <w:p w:rsidR="00903074" w:rsidP="00903074" w14:paraId="0CB2F2D0" w14:textId="77777777">
      <w:pPr>
        <w:ind w:firstLine="432"/>
        <w:rPr>
          <w:rFonts w:ascii="Calibri" w:eastAsia="Calibri" w:hAnsi="Calibri" w:cs="Times New Roman"/>
        </w:rPr>
      </w:pPr>
      <w:r w:rsidRPr="00A433D6">
        <w:t xml:space="preserve">• </w:t>
      </w:r>
      <w:r w:rsidRPr="00903074" w:rsidR="00B65C18">
        <w:rPr>
          <w:rFonts w:ascii="Calibri" w:eastAsia="Calibri" w:hAnsi="Calibri" w:cs="Times New Roman"/>
        </w:rPr>
        <w:t xml:space="preserve">Bisexual </w:t>
      </w:r>
    </w:p>
    <w:p w:rsidR="00B65C18" w:rsidRPr="00903074" w:rsidP="00903074" w14:paraId="344CAF49" w14:textId="4EADF13A">
      <w:pPr>
        <w:spacing w:after="240"/>
        <w:ind w:firstLine="432"/>
        <w:rPr>
          <w:rFonts w:ascii="Calibri" w:eastAsia="Calibri" w:hAnsi="Calibri" w:cs="Times New Roman"/>
        </w:rPr>
      </w:pPr>
      <w:r w:rsidRPr="00A433D6">
        <w:t xml:space="preserve">• </w:t>
      </w:r>
      <w:r w:rsidRPr="00903074">
        <w:rPr>
          <w:rFonts w:ascii="Calibri" w:eastAsia="Calibri" w:hAnsi="Calibri" w:cs="Times New Roman"/>
        </w:rPr>
        <w:t>Other sexual orientation (with write-in)</w:t>
      </w:r>
    </w:p>
    <w:p w:rsidR="00B65C18" w:rsidRPr="00CC5131" w:rsidP="00CC5131" w14:paraId="1B65CD91" w14:textId="36F12F67">
      <w:pPr>
        <w:pStyle w:val="BodyText"/>
      </w:pPr>
      <w:r w:rsidRPr="00903074">
        <w:t xml:space="preserve">Estimates </w:t>
      </w:r>
      <w:r w:rsidR="00903074">
        <w:t>are available from Census 2021 for the first three cate</w:t>
      </w:r>
      <w:r w:rsidR="00CC5131">
        <w:t xml:space="preserve">gories along with </w:t>
      </w:r>
      <w:r w:rsidRPr="00903074">
        <w:t xml:space="preserve">pansexual, asexual, queer, </w:t>
      </w:r>
      <w:r w:rsidR="00CC5131">
        <w:t xml:space="preserve">and </w:t>
      </w:r>
      <w:r w:rsidRPr="00903074">
        <w:t>all other sexual orientations</w:t>
      </w:r>
      <w:r w:rsidR="00CC5131">
        <w:t xml:space="preserve"> using the write-in responses.</w:t>
      </w:r>
      <w:r>
        <w:rPr>
          <w:rStyle w:val="FootnoteReference"/>
        </w:rPr>
        <w:footnoteReference w:id="30"/>
      </w:r>
      <w:r w:rsidR="00CC5131">
        <w:t xml:space="preserve"> </w:t>
      </w:r>
    </w:p>
    <w:p w:rsidR="00236151" w:rsidP="002C22F1" w14:paraId="7BFB77F3" w14:textId="69CD0E0D">
      <w:pPr>
        <w:pStyle w:val="BodyText"/>
        <w:rPr>
          <w:i/>
          <w:iCs/>
        </w:rPr>
      </w:pPr>
      <w:r>
        <w:rPr>
          <w:i/>
          <w:iCs/>
        </w:rPr>
        <w:t>New Zealand 2023 Census</w:t>
      </w:r>
    </w:p>
    <w:p w:rsidR="00031292" w:rsidRPr="00031292" w:rsidP="00031292" w14:paraId="51A26E0D" w14:textId="1359E8BF">
      <w:pPr>
        <w:pStyle w:val="BodyText"/>
      </w:pPr>
      <w:r w:rsidRPr="00031292">
        <w:t>The New Zealand Census of Populations and Dwellings included for the first time, in 2023, questions about gender, sexual identity, and variation of sex characteristics (i.e., intersex).</w:t>
      </w:r>
      <w:r>
        <w:t xml:space="preserve"> The gender question series was the following:</w:t>
      </w:r>
      <w:r w:rsidRPr="00031292">
        <w:t xml:space="preserve"> </w:t>
      </w:r>
    </w:p>
    <w:p w:rsidR="00031292" w:rsidP="007469FF" w14:paraId="31CA16C2" w14:textId="77777777">
      <w:pPr>
        <w:keepNext/>
        <w:spacing w:after="240"/>
        <w:rPr>
          <w:rFonts w:ascii="Calibri" w:eastAsia="Calibri" w:hAnsi="Calibri" w:cs="Times New Roman"/>
        </w:rPr>
      </w:pPr>
      <w:r w:rsidRPr="00031292">
        <w:rPr>
          <w:rFonts w:ascii="Calibri" w:eastAsia="Calibri" w:hAnsi="Calibri" w:cs="Times New Roman"/>
        </w:rPr>
        <w:t xml:space="preserve">“What is your gender?” </w:t>
      </w:r>
    </w:p>
    <w:p w:rsidR="00031292" w:rsidP="00031292" w14:paraId="1FEC7A9A" w14:textId="77777777">
      <w:pPr>
        <w:ind w:firstLine="432"/>
        <w:rPr>
          <w:rFonts w:ascii="Calibri" w:eastAsia="Calibri" w:hAnsi="Calibri" w:cs="Times New Roman"/>
        </w:rPr>
      </w:pPr>
      <w:r w:rsidRPr="00A433D6">
        <w:t xml:space="preserve">• </w:t>
      </w:r>
      <w:r w:rsidRPr="00031292">
        <w:rPr>
          <w:rFonts w:ascii="Calibri" w:eastAsia="Calibri" w:hAnsi="Calibri" w:cs="Times New Roman"/>
        </w:rPr>
        <w:t xml:space="preserve">Male </w:t>
      </w:r>
    </w:p>
    <w:p w:rsidR="00031292" w:rsidP="00031292" w14:paraId="0BB5210A" w14:textId="77777777">
      <w:pPr>
        <w:ind w:firstLine="432"/>
        <w:rPr>
          <w:rFonts w:ascii="Calibri" w:eastAsia="Calibri" w:hAnsi="Calibri" w:cs="Times New Roman"/>
        </w:rPr>
      </w:pPr>
      <w:r w:rsidRPr="00A433D6">
        <w:t xml:space="preserve">• </w:t>
      </w:r>
      <w:r w:rsidRPr="00031292">
        <w:rPr>
          <w:rFonts w:ascii="Calibri" w:eastAsia="Calibri" w:hAnsi="Calibri" w:cs="Times New Roman"/>
        </w:rPr>
        <w:t xml:space="preserve">Female </w:t>
      </w:r>
    </w:p>
    <w:p w:rsidR="00031292" w:rsidRPr="00031292" w:rsidP="00031292" w14:paraId="5F64C6FB" w14:textId="049FF287">
      <w:pPr>
        <w:spacing w:after="240"/>
        <w:ind w:firstLine="432"/>
        <w:rPr>
          <w:rFonts w:ascii="Calibri" w:eastAsia="Calibri" w:hAnsi="Calibri" w:cs="Times New Roman"/>
        </w:rPr>
      </w:pPr>
      <w:r w:rsidRPr="00A433D6">
        <w:t xml:space="preserve">• </w:t>
      </w:r>
      <w:r w:rsidRPr="00031292">
        <w:rPr>
          <w:rFonts w:ascii="Calibri" w:eastAsia="Calibri" w:hAnsi="Calibri" w:cs="Times New Roman"/>
        </w:rPr>
        <w:t>Another gender (with write-in box)</w:t>
      </w:r>
    </w:p>
    <w:p w:rsidR="00031292" w:rsidP="00031292" w14:paraId="0F2905B8" w14:textId="77777777">
      <w:pPr>
        <w:spacing w:after="240"/>
        <w:rPr>
          <w:rFonts w:ascii="Calibri" w:eastAsia="Calibri" w:hAnsi="Calibri" w:cs="Times New Roman"/>
        </w:rPr>
      </w:pPr>
      <w:r w:rsidRPr="00031292">
        <w:rPr>
          <w:rFonts w:ascii="Calibri" w:eastAsia="Calibri" w:hAnsi="Calibri" w:cs="Times New Roman"/>
        </w:rPr>
        <w:t xml:space="preserve">“What was your sex at birth?” </w:t>
      </w:r>
    </w:p>
    <w:p w:rsidR="00031292" w:rsidP="00031292" w14:paraId="593A45DE" w14:textId="77777777">
      <w:pPr>
        <w:ind w:firstLine="432"/>
        <w:rPr>
          <w:rFonts w:ascii="Calibri" w:eastAsia="Calibri" w:hAnsi="Calibri" w:cs="Times New Roman"/>
        </w:rPr>
      </w:pPr>
      <w:r w:rsidRPr="00A433D6">
        <w:t xml:space="preserve">• </w:t>
      </w:r>
      <w:r w:rsidRPr="00031292">
        <w:rPr>
          <w:rFonts w:ascii="Calibri" w:eastAsia="Calibri" w:hAnsi="Calibri" w:cs="Times New Roman"/>
        </w:rPr>
        <w:t xml:space="preserve">Male </w:t>
      </w:r>
    </w:p>
    <w:p w:rsidR="00031292" w:rsidRPr="00031292" w:rsidP="00031292" w14:paraId="3832785B" w14:textId="578F4609">
      <w:pPr>
        <w:spacing w:after="240"/>
        <w:ind w:firstLine="432"/>
        <w:rPr>
          <w:rFonts w:ascii="Calibri" w:eastAsia="Calibri" w:hAnsi="Calibri" w:cs="Times New Roman"/>
        </w:rPr>
      </w:pPr>
      <w:r w:rsidRPr="00A433D6">
        <w:t xml:space="preserve">• </w:t>
      </w:r>
      <w:r w:rsidRPr="00031292">
        <w:rPr>
          <w:rFonts w:ascii="Calibri" w:eastAsia="Calibri" w:hAnsi="Calibri" w:cs="Times New Roman"/>
        </w:rPr>
        <w:t>Female</w:t>
      </w:r>
    </w:p>
    <w:p w:rsidR="00031292" w:rsidP="00CC5131" w14:paraId="373A4000" w14:textId="77777777">
      <w:pPr>
        <w:pStyle w:val="BodyText"/>
      </w:pPr>
      <w:r>
        <w:t xml:space="preserve">The sexual orientation question was, </w:t>
      </w:r>
      <w:r w:rsidRPr="00031292">
        <w:t xml:space="preserve">“Which of the following best describes how you think of yourself?” </w:t>
      </w:r>
      <w:r>
        <w:t>It had the following response options:</w:t>
      </w:r>
    </w:p>
    <w:p w:rsidR="007F2BEA" w:rsidP="007F2BEA" w14:paraId="2F893C0D" w14:textId="35096D05">
      <w:pPr>
        <w:ind w:firstLine="432"/>
        <w:rPr>
          <w:rFonts w:ascii="Calibri" w:eastAsia="Calibri" w:hAnsi="Calibri" w:cs="Times New Roman"/>
        </w:rPr>
      </w:pPr>
      <w:r w:rsidRPr="00A433D6">
        <w:t xml:space="preserve">• </w:t>
      </w:r>
      <w:r>
        <w:t>H</w:t>
      </w:r>
      <w:r w:rsidRPr="00031292" w:rsidR="00031292">
        <w:rPr>
          <w:rFonts w:ascii="Calibri" w:eastAsia="Calibri" w:hAnsi="Calibri" w:cs="Times New Roman"/>
        </w:rPr>
        <w:t>eterosexual/straight</w:t>
      </w:r>
    </w:p>
    <w:p w:rsidR="007F2BEA" w:rsidP="007F2BEA" w14:paraId="4A55EA67" w14:textId="6FC2688D">
      <w:pPr>
        <w:ind w:firstLine="432"/>
        <w:rPr>
          <w:rFonts w:ascii="Calibri" w:eastAsia="Calibri" w:hAnsi="Calibri" w:cs="Times New Roman"/>
        </w:rPr>
      </w:pPr>
      <w:r w:rsidRPr="00A433D6">
        <w:t xml:space="preserve">• </w:t>
      </w:r>
      <w:r>
        <w:t>G</w:t>
      </w:r>
      <w:r w:rsidRPr="00031292" w:rsidR="00031292">
        <w:rPr>
          <w:rFonts w:ascii="Calibri" w:eastAsia="Calibri" w:hAnsi="Calibri" w:cs="Times New Roman"/>
        </w:rPr>
        <w:t xml:space="preserve">ay or lesbian </w:t>
      </w:r>
    </w:p>
    <w:p w:rsidR="007F2BEA" w:rsidP="007F2BEA" w14:paraId="7E80CFD0" w14:textId="495B1C9F">
      <w:pPr>
        <w:ind w:firstLine="432"/>
        <w:rPr>
          <w:rFonts w:ascii="Calibri" w:eastAsia="Calibri" w:hAnsi="Calibri" w:cs="Times New Roman"/>
        </w:rPr>
      </w:pPr>
      <w:r w:rsidRPr="00A433D6">
        <w:t xml:space="preserve">• </w:t>
      </w:r>
      <w:r>
        <w:t>B</w:t>
      </w:r>
      <w:r w:rsidRPr="00031292" w:rsidR="00031292">
        <w:rPr>
          <w:rFonts w:ascii="Calibri" w:eastAsia="Calibri" w:hAnsi="Calibri" w:cs="Times New Roman"/>
        </w:rPr>
        <w:t xml:space="preserve">isexual </w:t>
      </w:r>
    </w:p>
    <w:p w:rsidR="007F2BEA" w:rsidP="007F2BEA" w14:paraId="50B08789" w14:textId="4C3B9DE4">
      <w:pPr>
        <w:ind w:firstLine="432"/>
        <w:rPr>
          <w:rFonts w:ascii="Calibri" w:eastAsia="Calibri" w:hAnsi="Calibri" w:cs="Times New Roman"/>
        </w:rPr>
      </w:pPr>
      <w:r w:rsidRPr="00A433D6">
        <w:t xml:space="preserve">• </w:t>
      </w:r>
      <w:r>
        <w:t>A</w:t>
      </w:r>
      <w:r w:rsidRPr="00031292" w:rsidR="00031292">
        <w:rPr>
          <w:rFonts w:ascii="Calibri" w:eastAsia="Calibri" w:hAnsi="Calibri" w:cs="Times New Roman"/>
        </w:rPr>
        <w:t>nother identity (with write-in box)</w:t>
      </w:r>
    </w:p>
    <w:p w:rsidR="00031292" w:rsidRPr="00031292" w:rsidP="007F2BEA" w14:paraId="0340077D" w14:textId="4F95EBBD">
      <w:pPr>
        <w:spacing w:after="240"/>
        <w:ind w:firstLine="432"/>
        <w:rPr>
          <w:rFonts w:ascii="Calibri" w:eastAsia="Calibri" w:hAnsi="Calibri" w:cs="Times New Roman"/>
        </w:rPr>
      </w:pPr>
      <w:r w:rsidRPr="00A433D6">
        <w:t xml:space="preserve">• </w:t>
      </w:r>
      <w:r>
        <w:t>P</w:t>
      </w:r>
      <w:r w:rsidRPr="00031292">
        <w:rPr>
          <w:rFonts w:ascii="Calibri" w:eastAsia="Calibri" w:hAnsi="Calibri" w:cs="Times New Roman"/>
        </w:rPr>
        <w:t>refer not to say</w:t>
      </w:r>
    </w:p>
    <w:p w:rsidR="005D5831" w:rsidRPr="002C22F1" w:rsidP="002C22F1" w14:paraId="58DDB245" w14:textId="637B4C39">
      <w:pPr>
        <w:pStyle w:val="BodyText"/>
      </w:pPr>
      <w:r w:rsidRPr="00031292">
        <w:t xml:space="preserve">Results from the 2023 Census will be available </w:t>
      </w:r>
      <w:r>
        <w:t>starting late</w:t>
      </w:r>
      <w:r w:rsidRPr="00031292">
        <w:t xml:space="preserve"> May 2024.</w:t>
      </w:r>
      <w:r>
        <w:rPr>
          <w:rStyle w:val="FootnoteReference"/>
        </w:rPr>
        <w:footnoteReference w:id="31"/>
      </w:r>
      <w:r w:rsidRPr="00031292">
        <w:t xml:space="preserve"> </w:t>
      </w:r>
    </w:p>
    <w:p w:rsidR="002C22F1" w:rsidP="002C22F1" w14:paraId="6B906C55" w14:textId="548C8C19">
      <w:pPr>
        <w:pStyle w:val="Heading3"/>
      </w:pPr>
      <w:bookmarkStart w:id="46" w:name="_Toc164241847"/>
      <w:r>
        <w:t>Item Missing Data Rates</w:t>
      </w:r>
      <w:bookmarkEnd w:id="46"/>
    </w:p>
    <w:p w:rsidR="002C22F1" w:rsidP="002C22F1" w14:paraId="016908CE" w14:textId="7C190214">
      <w:pPr>
        <w:pStyle w:val="BodyText"/>
      </w:pPr>
      <w:r>
        <w:t xml:space="preserve">Respondents leave items blank for a variety of reasons including not understanding the question (clarity), unwillingness to answer a question as presented (sensitivity), and lack of knowledge of the data needed to answer the question. The item missing data rate (for a given item) is the proportion of eligible </w:t>
      </w:r>
      <w:r w:rsidR="00775421">
        <w:t>persons</w:t>
      </w:r>
      <w:r>
        <w:t xml:space="preserve"> for which a required response is missing.</w:t>
      </w:r>
    </w:p>
    <w:p w:rsidR="002C22F1" w:rsidP="002C22F1" w14:paraId="35838135" w14:textId="7664FA90">
      <w:pPr>
        <w:pStyle w:val="BodyText"/>
      </w:pPr>
      <w:r w:rsidRPr="00651A88">
        <w:t>For each item, it is important to carefully define both the universe of eligible units and the criteria that determine whether a response to that item is missing or not missing. Usually the definition of “missing” will include paper and internet questionnaires where no answer was provided.</w:t>
      </w:r>
      <w:r w:rsidR="00E21A29">
        <w:t xml:space="preserve"> For items with write-in boxes, we will calculate two versions of the item missing data rates: one version </w:t>
      </w:r>
      <w:r w:rsidR="00C07CCB">
        <w:t xml:space="preserve">counts </w:t>
      </w:r>
      <w:r w:rsidR="00E21A29">
        <w:t xml:space="preserve">“protest” and </w:t>
      </w:r>
      <w:r w:rsidR="00E21A29">
        <w:t>uncodable</w:t>
      </w:r>
      <w:r w:rsidR="00E21A29">
        <w:t xml:space="preserve"> write-in responses as missing</w:t>
      </w:r>
      <w:r w:rsidR="00C07CCB">
        <w:t>, and the other version counts them not as missing</w:t>
      </w:r>
      <w:r w:rsidR="00E21A29">
        <w:t xml:space="preserve">. </w:t>
      </w:r>
    </w:p>
    <w:p w:rsidR="002C22F1" w:rsidRPr="002C22F1" w:rsidP="002C22F1" w14:paraId="2EE77B11" w14:textId="6671B69E">
      <w:pPr>
        <w:pStyle w:val="BodyText"/>
      </w:pPr>
      <w:r>
        <w:t>We will compare the item missing data rates via two-tailed t-tests.</w:t>
      </w:r>
    </w:p>
    <w:p w:rsidR="002C22F1" w:rsidP="002C22F1" w14:paraId="64C4AD5B" w14:textId="2F295990">
      <w:pPr>
        <w:pStyle w:val="Heading3"/>
      </w:pPr>
      <w:bookmarkStart w:id="47" w:name="_Toc164241848"/>
      <w:r>
        <w:t>Response Distributions</w:t>
      </w:r>
      <w:bookmarkEnd w:id="47"/>
    </w:p>
    <w:p w:rsidR="002C22F1" w:rsidP="00775421" w14:paraId="4616595D" w14:textId="5626A500">
      <w:pPr>
        <w:pStyle w:val="BodyText"/>
      </w:pPr>
      <w:r>
        <w:t xml:space="preserve">Comparing the response distributions between </w:t>
      </w:r>
      <w:r w:rsidR="00775421">
        <w:t>question versions</w:t>
      </w:r>
      <w:r>
        <w:t xml:space="preserve"> will allow us to assess whether the question change affects the resulting estimates.</w:t>
      </w:r>
      <w:r w:rsidR="00775421">
        <w:t xml:space="preserve"> We will calculate response </w:t>
      </w:r>
      <w:r w:rsidR="00775421">
        <w:t>distributions as the proportion of valid responses in a category to all valid responses.</w:t>
      </w:r>
      <w:r w:rsidR="000066F4">
        <w:t xml:space="preserve"> </w:t>
      </w:r>
      <w:r w:rsidR="003C49F7">
        <w:t xml:space="preserve">Most of the response distributions will account for the write-in responses. </w:t>
      </w:r>
      <w:r w:rsidR="000066F4">
        <w:t>When comparing response distributions bet</w:t>
      </w:r>
      <w:r w:rsidR="00775355">
        <w:t>ween treatments or demographic categories, we may combine certain categories of responses that very few respondents select.</w:t>
      </w:r>
    </w:p>
    <w:p w:rsidR="002C22F1" w:rsidRPr="002C22F1" w:rsidP="002C22F1" w14:paraId="605DBF7A" w14:textId="3A2B2A37">
      <w:pPr>
        <w:pStyle w:val="BodyText"/>
      </w:pPr>
      <w:r>
        <w:t>We will make</w:t>
      </w:r>
      <w:r>
        <w:t xml:space="preserve"> comparisons using a Rao-Scott chi-square test (first-order adjustment) that checks for a significant difference between two sample distributions (Rao &amp; Scott, 1987). </w:t>
      </w:r>
    </w:p>
    <w:p w:rsidR="002C22F1" w:rsidP="002C22F1" w14:paraId="5C7FF9F7" w14:textId="688D34E7">
      <w:pPr>
        <w:pStyle w:val="Heading3"/>
      </w:pPr>
      <w:bookmarkStart w:id="48" w:name="_Ref160437049"/>
      <w:bookmarkStart w:id="49" w:name="_Toc164241849"/>
      <w:r>
        <w:t>Response Reliability</w:t>
      </w:r>
      <w:bookmarkEnd w:id="48"/>
      <w:bookmarkEnd w:id="49"/>
    </w:p>
    <w:p w:rsidR="00370BBC" w:rsidP="00370BBC" w14:paraId="02E49FDB" w14:textId="78AA4905">
      <w:pPr>
        <w:pStyle w:val="BodyText"/>
      </w:pPr>
      <w:r>
        <w:t xml:space="preserve">Survey responses are subject to error. Response error occurs for a variety of reasons, such as flaws in the survey design, misunderstanding of the questions, misreporting by respondents, and interviewer effects. For the </w:t>
      </w:r>
      <w:r w:rsidR="00865239">
        <w:t xml:space="preserve">2024 ACS </w:t>
      </w:r>
      <w:r>
        <w:t>SOGI Test, we will measure response error using response reliability.</w:t>
      </w:r>
    </w:p>
    <w:p w:rsidR="00370BBC" w:rsidP="00370BBC" w14:paraId="17D5384D" w14:textId="6F4D78C6">
      <w:pPr>
        <w:pStyle w:val="BodyText"/>
      </w:pPr>
      <w:r>
        <w:t xml:space="preserve">A survey question has good </w:t>
      </w:r>
      <w:r w:rsidRPr="00CE1362">
        <w:t>response reliability</w:t>
      </w:r>
      <w:r>
        <w:t xml:space="preserve"> if respondents tend to answer the question consistently. We will measure response reliability for a given question by comparing the responses to this question in the original interview to the responses to this same question in the CFU reinterview. </w:t>
      </w:r>
    </w:p>
    <w:p w:rsidR="00370BBC" w:rsidP="00370BBC" w14:paraId="69DDAE1A" w14:textId="4562A507">
      <w:pPr>
        <w:pStyle w:val="BodyText"/>
      </w:pPr>
      <w:r w:rsidRPr="005A253C">
        <w:t>Re-asking the same question of the same respondent</w:t>
      </w:r>
      <w:r>
        <w:t xml:space="preserve"> allows us to measure simple response variance</w:t>
      </w:r>
      <w:r w:rsidR="006F1774">
        <w:t xml:space="preserve">. In the SOGI </w:t>
      </w:r>
      <w:r w:rsidR="00DD7832">
        <w:t>T</w:t>
      </w:r>
      <w:r w:rsidR="006F1774">
        <w:t>est, we are also interested in assessing the reliability of proxy responses. We will do this by calculating simple response variance when the questions are re-asked of a different household member. In both cases, we will</w:t>
      </w:r>
      <w:r>
        <w:t xml:space="preserve"> </w:t>
      </w:r>
      <w:r w:rsidR="006F1774">
        <w:t>use</w:t>
      </w:r>
      <w:r>
        <w:t xml:space="preserve"> the following measures:</w:t>
      </w:r>
    </w:p>
    <w:p w:rsidR="00370BBC" w:rsidRPr="007B2CB5" w:rsidP="00DE5C09" w14:paraId="786CFAE7" w14:textId="77777777">
      <w:pPr>
        <w:pStyle w:val="BodyText"/>
        <w:numPr>
          <w:ilvl w:val="0"/>
          <w:numId w:val="14"/>
        </w:numPr>
        <w:spacing w:after="0"/>
      </w:pPr>
      <w:r w:rsidRPr="007B2CB5">
        <w:t>Gross difference rate (GDR)</w:t>
      </w:r>
    </w:p>
    <w:p w:rsidR="00370BBC" w:rsidRPr="007B2CB5" w:rsidP="00DE5C09" w14:paraId="07E2597F" w14:textId="77777777">
      <w:pPr>
        <w:pStyle w:val="BodyText"/>
        <w:numPr>
          <w:ilvl w:val="0"/>
          <w:numId w:val="14"/>
        </w:numPr>
        <w:spacing w:after="0"/>
      </w:pPr>
      <w:r w:rsidRPr="007B2CB5">
        <w:t>Index of inconsistency (IOI)</w:t>
      </w:r>
    </w:p>
    <w:p w:rsidR="00370BBC" w:rsidRPr="007B2CB5" w:rsidP="00DE5C09" w14:paraId="11900E11" w14:textId="77777777">
      <w:pPr>
        <w:pStyle w:val="BodyText"/>
        <w:numPr>
          <w:ilvl w:val="0"/>
          <w:numId w:val="14"/>
        </w:numPr>
      </w:pPr>
      <w:r w:rsidRPr="007B2CB5">
        <w:t>L-fold index of inconsistency (IOI</w:t>
      </w:r>
      <w:r w:rsidRPr="00064587">
        <w:rPr>
          <w:vertAlign w:val="subscript"/>
        </w:rPr>
        <w:t>L</w:t>
      </w:r>
      <w:r w:rsidRPr="007B2CB5">
        <w:t>)</w:t>
      </w:r>
    </w:p>
    <w:p w:rsidR="00370BBC" w:rsidP="00370BBC" w14:paraId="0C3370F7" w14:textId="4CE162F7">
      <w:pPr>
        <w:pStyle w:val="BodyText"/>
      </w:pPr>
      <w:r w:rsidRPr="00E724D1">
        <w:t xml:space="preserve">The first two measures, </w:t>
      </w:r>
      <w:r w:rsidRPr="00E724D1">
        <w:t>GDR</w:t>
      </w:r>
      <w:r w:rsidRPr="00E724D1">
        <w:t xml:space="preserve"> and IOI</w:t>
      </w:r>
      <w:r>
        <w:t>,</w:t>
      </w:r>
      <w:r w:rsidRPr="00E724D1">
        <w:t xml:space="preserve"> </w:t>
      </w:r>
      <w:r>
        <w:t>will be</w:t>
      </w:r>
      <w:r w:rsidRPr="00E724D1">
        <w:t xml:space="preserve"> calculated for individual response categories. The L</w:t>
      </w:r>
      <w:r>
        <w:noBreakHyphen/>
      </w:r>
      <w:r w:rsidRPr="00E724D1">
        <w:t xml:space="preserve">fold index of inconsistency </w:t>
      </w:r>
      <w:r>
        <w:t>will be</w:t>
      </w:r>
      <w:r w:rsidRPr="00E724D1">
        <w:t xml:space="preserve"> calculated for questions that ha</w:t>
      </w:r>
      <w:r>
        <w:t>ve</w:t>
      </w:r>
      <w:r w:rsidRPr="00E724D1">
        <w:t xml:space="preserve"> three or more mutually exclusive response categories, as a measure of overall reliability for the question.</w:t>
      </w:r>
    </w:p>
    <w:p w:rsidR="008B16AD" w:rsidP="008B16AD" w14:paraId="44CDDD28" w14:textId="7A130A51">
      <w:pPr>
        <w:pStyle w:val="BodyText"/>
      </w:pPr>
      <w:r w:rsidRPr="00E724D1">
        <w:t>In</w:t>
      </w:r>
      <w:r>
        <w:t xml:space="preserve"> </w:t>
      </w:r>
      <w:r>
        <w:fldChar w:fldCharType="begin"/>
      </w:r>
      <w:r>
        <w:instrText xml:space="preserve"> REF _Ref144464629 \h </w:instrText>
      </w:r>
      <w:r>
        <w:fldChar w:fldCharType="separate"/>
      </w:r>
      <w:r w:rsidR="00F376F4">
        <w:t xml:space="preserve">Table </w:t>
      </w:r>
      <w:r w:rsidR="00F376F4">
        <w:rPr>
          <w:noProof/>
        </w:rPr>
        <w:t>4</w:t>
      </w:r>
      <w:r>
        <w:fldChar w:fldCharType="end"/>
      </w:r>
      <w:r w:rsidRPr="00E724D1">
        <w:t>, “Yes” indicate</w:t>
      </w:r>
      <w:r>
        <w:t>s</w:t>
      </w:r>
      <w:r w:rsidRPr="00E724D1">
        <w:t xml:space="preserve"> </w:t>
      </w:r>
      <w:r>
        <w:t xml:space="preserve">that </w:t>
      </w:r>
      <w:r w:rsidRPr="00E724D1">
        <w:t>the unit is in the category of interest, according to the response from either the original interview or the CFU reinterview</w:t>
      </w:r>
      <w:r>
        <w:t>.</w:t>
      </w:r>
      <w:r w:rsidRPr="00E724D1">
        <w:t xml:space="preserve"> “No” indicates </w:t>
      </w:r>
      <w:r>
        <w:t xml:space="preserve">that </w:t>
      </w:r>
      <w:r w:rsidRPr="00E724D1">
        <w:t>the unit is not reported to be in the category.</w:t>
      </w:r>
    </w:p>
    <w:p w:rsidR="008B16AD" w:rsidRPr="00D70677" w:rsidP="008B16AD" w14:paraId="28AA2AAA" w14:textId="4BB77FDA">
      <w:pPr>
        <w:pStyle w:val="Caption"/>
      </w:pPr>
      <w:bookmarkStart w:id="50" w:name="_Ref144464629"/>
      <w:bookmarkStart w:id="51" w:name="_Hlk100062013"/>
      <w:r>
        <w:t xml:space="preserve">Table </w:t>
      </w:r>
      <w:r w:rsidR="00EE6355">
        <w:fldChar w:fldCharType="begin"/>
      </w:r>
      <w:r w:rsidR="00EE6355">
        <w:instrText xml:space="preserve"> SEQ Table \* ARABIC </w:instrText>
      </w:r>
      <w:r w:rsidR="00EE6355">
        <w:fldChar w:fldCharType="separate"/>
      </w:r>
      <w:r w:rsidR="00F376F4">
        <w:rPr>
          <w:noProof/>
        </w:rPr>
        <w:t>4</w:t>
      </w:r>
      <w:r w:rsidR="00EE6355">
        <w:rPr>
          <w:noProof/>
        </w:rPr>
        <w:fldChar w:fldCharType="end"/>
      </w:r>
      <w:bookmarkEnd w:id="50"/>
      <w:r>
        <w:t xml:space="preserve">. </w:t>
      </w:r>
      <w:r w:rsidRPr="004A1C4B">
        <w:t>Original Interview and CFU Reinterview Counts for Calculating GDR, IOI, and NDR</w:t>
      </w:r>
    </w:p>
    <w:bookmarkEnd w:id="51"/>
    <w:p w:rsidR="008B16AD" w:rsidP="008B16AD" w14:paraId="37AB931D" w14:textId="5D54C119">
      <w:pPr>
        <w:rPr>
          <w:lang w:bidi="en-US"/>
        </w:rPr>
      </w:pPr>
      <w:r>
        <w:rPr>
          <w:noProof/>
        </w:rPr>
        <w:drawing>
          <wp:inline distT="0" distB="0" distL="0" distR="0">
            <wp:extent cx="5943600" cy="1304290"/>
            <wp:effectExtent l="0" t="0" r="0" b="0"/>
            <wp:docPr id="2" name="Picture 2" descr="Four by four table showing the definitions for original interview and CFU reinterview counts. Count a is yes to both interview and reinterview. Count b is no to interview and yes to reinterview. Count c is yes to interview and no to reinterview. Count d is no to both interview and reinterview. The reinterview total a plus b is yes to reinterview. The reinterview total c plus d is no to reinterview. The interview total a plus c is yes to interview. The interview total b plus d is no to interview. All counts combined equals n, as well as interview totals combined equals n and reinterview totals combined equals 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our by four table showing the definitions for original interview and CFU reinterview counts. Count a is yes to both interview and reinterview. Count b is no to interview and yes to reinterview. Count c is yes to interview and no to reinterview. Count d is no to both interview and reinterview. The reinterview total a plus b is yes to reinterview. The reinterview total c plus d is no to reinterview. The interview total a plus c is yes to interview. The interview total b plus d is no to interview. All counts combined equals n, as well as interview totals combined equals n and reinterview totals combined equals n. "/>
                    <pic:cNvPicPr/>
                  </pic:nvPicPr>
                  <pic:blipFill>
                    <a:blip xmlns:r="http://schemas.openxmlformats.org/officeDocument/2006/relationships" r:embed="rId28"/>
                    <a:stretch>
                      <a:fillRect/>
                    </a:stretch>
                  </pic:blipFill>
                  <pic:spPr>
                    <a:xfrm>
                      <a:off x="0" y="0"/>
                      <a:ext cx="5943600" cy="1304290"/>
                    </a:xfrm>
                    <a:prstGeom prst="rect">
                      <a:avLst/>
                    </a:prstGeom>
                  </pic:spPr>
                </pic:pic>
              </a:graphicData>
            </a:graphic>
          </wp:inline>
        </w:drawing>
      </w:r>
    </w:p>
    <w:p w:rsidR="008B16AD" w:rsidRPr="00FC26BD" w:rsidP="008B16AD" w14:paraId="75E116F3" w14:textId="77777777">
      <w:pPr>
        <w:rPr>
          <w:lang w:bidi="en-US"/>
        </w:rPr>
      </w:pPr>
    </w:p>
    <w:p w:rsidR="008B16AD" w:rsidRPr="00CF0BA1" w:rsidP="008B16AD" w14:paraId="4C379C39" w14:textId="77777777">
      <w:pPr>
        <w:rPr>
          <w:lang w:bidi="en-US"/>
        </w:rPr>
      </w:pPr>
      <w:r w:rsidRPr="00CF0BA1">
        <w:rPr>
          <w:lang w:bidi="en-US"/>
        </w:rPr>
        <w:t>Here, a, b, c, d, and n are counts, defined as follows:</w:t>
      </w:r>
    </w:p>
    <w:p w:rsidR="008B16AD" w:rsidRPr="00CF0BA1" w:rsidP="008B16AD" w14:paraId="0C7104A3" w14:textId="77777777">
      <w:pPr>
        <w:ind w:left="1440"/>
        <w:rPr>
          <w:lang w:bidi="en-US"/>
        </w:rPr>
      </w:pPr>
      <w:r w:rsidRPr="00CF0BA1">
        <w:rPr>
          <w:lang w:bidi="en-US"/>
        </w:rPr>
        <w:t>a = units in category for both interview and reinterview</w:t>
      </w:r>
    </w:p>
    <w:p w:rsidR="008B16AD" w:rsidRPr="00CF0BA1" w:rsidP="008B16AD" w14:paraId="66CB9118" w14:textId="2137A585">
      <w:pPr>
        <w:ind w:left="1440"/>
        <w:rPr>
          <w:lang w:bidi="en-US"/>
        </w:rPr>
      </w:pPr>
      <w:r w:rsidRPr="00CF0BA1">
        <w:rPr>
          <w:lang w:bidi="en-US"/>
        </w:rPr>
        <w:t>b = units not in category for original interview but in category for reinterview</w:t>
      </w:r>
    </w:p>
    <w:p w:rsidR="008B16AD" w:rsidRPr="00CF0BA1" w:rsidP="008B16AD" w14:paraId="2A8A222F" w14:textId="35633F00">
      <w:pPr>
        <w:ind w:left="1440"/>
        <w:rPr>
          <w:lang w:bidi="en-US"/>
        </w:rPr>
      </w:pPr>
      <w:r w:rsidRPr="00CF0BA1">
        <w:rPr>
          <w:lang w:bidi="en-US"/>
        </w:rPr>
        <w:t>c = units in category for original interview but not in category for reinterview</w:t>
      </w:r>
    </w:p>
    <w:p w:rsidR="008B16AD" w:rsidRPr="00CF0BA1" w:rsidP="008B16AD" w14:paraId="104E1E19" w14:textId="77777777">
      <w:pPr>
        <w:ind w:left="1440"/>
        <w:rPr>
          <w:lang w:bidi="en-US"/>
        </w:rPr>
      </w:pPr>
      <w:r w:rsidRPr="00CF0BA1">
        <w:rPr>
          <w:lang w:bidi="en-US"/>
        </w:rPr>
        <w:t>d = units in category for neither interview nor reinterview</w:t>
      </w:r>
    </w:p>
    <w:p w:rsidR="008B16AD" w:rsidP="008B16AD" w14:paraId="1FE56154" w14:textId="77777777">
      <w:pPr>
        <w:ind w:left="1440"/>
        <w:rPr>
          <w:lang w:bidi="en-US"/>
        </w:rPr>
      </w:pPr>
      <w:r w:rsidRPr="00CF0BA1">
        <w:rPr>
          <w:lang w:bidi="en-US"/>
        </w:rPr>
        <w:t>n = total units in the universe = a + b + c + d</w:t>
      </w:r>
    </w:p>
    <w:p w:rsidR="008B16AD" w:rsidRPr="00CF0BA1" w:rsidP="008B16AD" w14:paraId="3DD3887E" w14:textId="77777777">
      <w:pPr>
        <w:ind w:left="1440"/>
        <w:rPr>
          <w:lang w:bidi="en-US"/>
        </w:rPr>
      </w:pPr>
    </w:p>
    <w:p w:rsidR="008B16AD" w:rsidRPr="00CF0BA1" w:rsidP="008B16AD" w14:paraId="77280D5B" w14:textId="677D7B50">
      <w:pPr>
        <w:pStyle w:val="BodyText"/>
        <w:rPr>
          <w:lang w:bidi="en-US"/>
        </w:rPr>
      </w:pPr>
      <w:r w:rsidRPr="00CF0BA1">
        <w:rPr>
          <w:lang w:bidi="en-US"/>
        </w:rPr>
        <w:t xml:space="preserve">These counts </w:t>
      </w:r>
      <w:r>
        <w:rPr>
          <w:lang w:bidi="en-US"/>
        </w:rPr>
        <w:t>will be</w:t>
      </w:r>
      <w:r w:rsidRPr="00CF0BA1">
        <w:rPr>
          <w:lang w:bidi="en-US"/>
        </w:rPr>
        <w:t xml:space="preserve"> weighted to make them more representative of the population.</w:t>
      </w:r>
    </w:p>
    <w:p w:rsidR="008B16AD" w:rsidP="008B16AD" w14:paraId="5695561E" w14:textId="0680243F">
      <w:pPr>
        <w:pStyle w:val="BodyText"/>
        <w:rPr>
          <w:lang w:bidi="en-US"/>
        </w:rPr>
      </w:pPr>
      <w:r w:rsidRPr="00CF0BA1">
        <w:rPr>
          <w:lang w:bidi="en-US"/>
        </w:rPr>
        <w:t xml:space="preserve">We </w:t>
      </w:r>
      <w:r>
        <w:rPr>
          <w:lang w:bidi="en-US"/>
        </w:rPr>
        <w:t xml:space="preserve">will </w:t>
      </w:r>
      <w:r w:rsidRPr="00CF0BA1">
        <w:rPr>
          <w:lang w:bidi="en-US"/>
        </w:rPr>
        <w:t xml:space="preserve">calculate the </w:t>
      </w:r>
      <w:r>
        <w:t>GDR</w:t>
      </w:r>
      <w:r w:rsidRPr="00CF0BA1">
        <w:rPr>
          <w:lang w:bidi="en-US"/>
        </w:rPr>
        <w:t xml:space="preserve"> </w:t>
      </w:r>
      <w:r w:rsidRPr="00CF0BA1">
        <w:t xml:space="preserve">for this </w:t>
      </w:r>
      <w:r w:rsidRPr="00CF0BA1">
        <w:rPr>
          <w:lang w:bidi="en-US"/>
        </w:rPr>
        <w:t>response category as:</w:t>
      </w:r>
    </w:p>
    <w:p w:rsidR="008B16AD" w:rsidP="008B16AD" w14:paraId="10744606" w14:textId="4743050F">
      <w:pPr>
        <w:pStyle w:val="BodyText"/>
        <w:rPr>
          <w:lang w:bidi="en-US"/>
        </w:rPr>
      </w:pPr>
      <w:r>
        <w:rPr>
          <w:noProof/>
        </w:rPr>
        <w:drawing>
          <wp:inline distT="0" distB="0" distL="0" distR="0">
            <wp:extent cx="5943600" cy="556895"/>
            <wp:effectExtent l="0" t="0" r="0" b="0"/>
            <wp:docPr id="5" name="Picture 5" descr="The Gross Difference Rate (GDR) equals the sum of count b and count c divided by total n, all times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Gross Difference Rate (GDR) equals the sum of count b and count c divided by total n, all times 100. "/>
                    <pic:cNvPicPr/>
                  </pic:nvPicPr>
                  <pic:blipFill>
                    <a:blip xmlns:r="http://schemas.openxmlformats.org/officeDocument/2006/relationships" r:embed="rId29"/>
                    <a:stretch>
                      <a:fillRect/>
                    </a:stretch>
                  </pic:blipFill>
                  <pic:spPr>
                    <a:xfrm>
                      <a:off x="0" y="0"/>
                      <a:ext cx="5943600" cy="556895"/>
                    </a:xfrm>
                    <a:prstGeom prst="rect">
                      <a:avLst/>
                    </a:prstGeom>
                  </pic:spPr>
                </pic:pic>
              </a:graphicData>
            </a:graphic>
          </wp:inline>
        </w:drawing>
      </w:r>
    </w:p>
    <w:p w:rsidR="008B16AD" w:rsidP="008B16AD" w14:paraId="463A1A2C" w14:textId="77777777">
      <w:pPr>
        <w:pStyle w:val="BodyText"/>
        <w:rPr>
          <w:lang w:bidi="en-US"/>
        </w:rPr>
      </w:pPr>
      <w:r w:rsidRPr="00CF0BA1">
        <w:rPr>
          <w:lang w:bidi="en-US"/>
        </w:rPr>
        <w:t xml:space="preserve">To define the IOI, we must first discuss the variance of a category proportion estimate. If we are interested in the true proportion of a total population that is in a certain category, we can use the proportion of a survey </w:t>
      </w:r>
      <w:r w:rsidRPr="008B16AD">
        <w:t>sample</w:t>
      </w:r>
      <w:r w:rsidRPr="00CF0BA1">
        <w:rPr>
          <w:lang w:bidi="en-US"/>
        </w:rPr>
        <w:t xml:space="preserve"> in that category as an estimate. Under certain reasonable assumptions, it can be shown that the total variance of this proportion estimate is the sum of two components, sampling variance (SV) and simple response variance (SRV). It can also be shown that an unbiased estimate of SRV is half of the GDR for the category.</w:t>
      </w:r>
    </w:p>
    <w:p w:rsidR="008B16AD" w:rsidRPr="00FC26BD" w:rsidP="008B16AD" w14:paraId="3E0AEA58" w14:textId="77777777">
      <w:pPr>
        <w:pStyle w:val="BodyText"/>
        <w:rPr>
          <w:lang w:bidi="en-US"/>
        </w:rPr>
      </w:pPr>
      <w:r w:rsidRPr="00CF0BA1">
        <w:rPr>
          <w:lang w:bidi="en-US"/>
        </w:rPr>
        <w:t>The SV is the part of total variance resulting from the differences between all the possible samples of size n one might have selected. SRV is the part of total variance resulting from the aggregation of response error across all sample units. If the responses for all sample units were perfectly consistent, then SRV would be zero, and the total variance would be due entirely to SV. As the name suggests, the IOI is a measure of how much of total variance is due to inconsistency in responses, as measured by SRV. A preliminary definition of the IOI is:</w:t>
      </w:r>
    </w:p>
    <w:p w:rsidR="008B16AD" w:rsidRPr="00B9449B" w:rsidP="008B16AD" w14:paraId="43CCFC13" w14:textId="61A98C26">
      <w:pPr>
        <w:rPr>
          <w:rFonts w:eastAsiaTheme="minorEastAsia"/>
        </w:rPr>
      </w:pPr>
      <w:r>
        <w:rPr>
          <w:noProof/>
        </w:rPr>
        <w:drawing>
          <wp:inline distT="0" distB="0" distL="0" distR="0">
            <wp:extent cx="5943600" cy="563880"/>
            <wp:effectExtent l="0" t="0" r="0" b="7620"/>
            <wp:docPr id="6" name="Picture 6" descr="The Index of Inconsistency (IOI) equals the simple response variance (SRV) divided by the sum of SRV plus the sampling variance (SV), all times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Index of Inconsistency (IOI) equals the simple response variance (SRV) divided by the sum of SRV plus the sampling variance (SV), all times 100. "/>
                    <pic:cNvPicPr/>
                  </pic:nvPicPr>
                  <pic:blipFill>
                    <a:blip xmlns:r="http://schemas.openxmlformats.org/officeDocument/2006/relationships" r:embed="rId30"/>
                    <a:stretch>
                      <a:fillRect/>
                    </a:stretch>
                  </pic:blipFill>
                  <pic:spPr>
                    <a:xfrm>
                      <a:off x="0" y="0"/>
                      <a:ext cx="5943600" cy="563880"/>
                    </a:xfrm>
                    <a:prstGeom prst="rect">
                      <a:avLst/>
                    </a:prstGeom>
                  </pic:spPr>
                </pic:pic>
              </a:graphicData>
            </a:graphic>
          </wp:inline>
        </w:drawing>
      </w:r>
    </w:p>
    <w:p w:rsidR="008B16AD" w:rsidP="008B16AD" w14:paraId="5838C85C" w14:textId="46B63F60">
      <w:pPr>
        <w:pStyle w:val="BodyText"/>
      </w:pPr>
      <w:r w:rsidRPr="00E2094F">
        <w:t xml:space="preserve">We can estimate SRV </w:t>
      </w:r>
      <w:r w:rsidRPr="008B16AD">
        <w:t>using</w:t>
      </w:r>
      <w:r w:rsidRPr="00E2094F">
        <w:t xml:space="preserve"> the GDR, but also need to estimate the denominator (i.e., total variance) in this expression. Based on previous studies, the estimate we use for total variance is:</w:t>
      </w:r>
    </w:p>
    <w:p w:rsidR="00BD73E0" w:rsidRPr="00E2094F" w:rsidP="008B16AD" w14:paraId="58AA19CB" w14:textId="10AC6B5F">
      <w:pPr>
        <w:pStyle w:val="BodyText"/>
      </w:pPr>
      <w:r>
        <w:rPr>
          <w:noProof/>
        </w:rPr>
        <w:drawing>
          <wp:inline distT="0" distB="0" distL="0" distR="0">
            <wp:extent cx="5943600" cy="506095"/>
            <wp:effectExtent l="0" t="0" r="0" b="8255"/>
            <wp:docPr id="8" name="Picture 8" descr="The estimated total variance is simple response variance (SRV) plus sampling variance (SV). This also equals the sum of original interview proportion in category (p1) times CFU proportion not in category (q2) and CFU proportion in category (p2) times original interview proportion not in category (q1), all divided by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estimated total variance is simple response variance (SRV) plus sampling variance (SV). This also equals the sum of original interview proportion in category (p1) times CFU proportion not in category (q2) and CFU proportion in category (p2) times original interview proportion not in category (q1), all divided by two. "/>
                    <pic:cNvPicPr/>
                  </pic:nvPicPr>
                  <pic:blipFill>
                    <a:blip xmlns:r="http://schemas.openxmlformats.org/officeDocument/2006/relationships" r:embed="rId31"/>
                    <a:stretch>
                      <a:fillRect/>
                    </a:stretch>
                  </pic:blipFill>
                  <pic:spPr>
                    <a:xfrm>
                      <a:off x="0" y="0"/>
                      <a:ext cx="5943600" cy="506095"/>
                    </a:xfrm>
                    <a:prstGeom prst="rect">
                      <a:avLst/>
                    </a:prstGeom>
                  </pic:spPr>
                </pic:pic>
              </a:graphicData>
            </a:graphic>
          </wp:inline>
        </w:drawing>
      </w:r>
    </w:p>
    <w:p w:rsidR="008B16AD" w:rsidP="00CC2DB9" w14:paraId="53EA9034" w14:textId="57504694">
      <w:pPr>
        <w:keepNext/>
      </w:pPr>
      <w:r>
        <w:t>w</w:t>
      </w:r>
      <w:r w:rsidRPr="00F21A65">
        <w:t>here</w:t>
      </w:r>
      <w:r>
        <w:t>:</w:t>
      </w:r>
    </w:p>
    <w:p w:rsidR="00BD73E0" w:rsidP="008B16AD" w14:paraId="3DB06E90" w14:textId="7DD86DD6">
      <w:r>
        <w:rPr>
          <w:noProof/>
        </w:rPr>
        <w:drawing>
          <wp:inline distT="0" distB="0" distL="0" distR="0">
            <wp:extent cx="5943600" cy="2091055"/>
            <wp:effectExtent l="0" t="0" r="0" b="4445"/>
            <wp:docPr id="11" name="Picture 11" descr="The original interview proportion in category is p1, which is the sum of count a and count c divided by total n. The original interview proportion not in category is q1, which is the sum of count b and count d divided by total n. It also equals one minus p1. The CFU proportion in category is p2, which is the sum of count a and count b divided by total n. The CFU proportion not in category is q2, which is the sum of count c and count d divided by total n. It also equals one minus p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original interview proportion in category is p1, which is the sum of count a and count c divided by total n. The original interview proportion not in category is q1, which is the sum of count b and count d divided by total n. It also equals one minus p1. The CFU proportion in category is p2, which is the sum of count a and count b divided by total n. The CFU proportion not in category is q2, which is the sum of count c and count d divided by total n. It also equals one minus p2. "/>
                    <pic:cNvPicPr/>
                  </pic:nvPicPr>
                  <pic:blipFill>
                    <a:blip xmlns:r="http://schemas.openxmlformats.org/officeDocument/2006/relationships" r:embed="rId32"/>
                    <a:stretch>
                      <a:fillRect/>
                    </a:stretch>
                  </pic:blipFill>
                  <pic:spPr>
                    <a:xfrm>
                      <a:off x="0" y="0"/>
                      <a:ext cx="5943600" cy="2091055"/>
                    </a:xfrm>
                    <a:prstGeom prst="rect">
                      <a:avLst/>
                    </a:prstGeom>
                  </pic:spPr>
                </pic:pic>
              </a:graphicData>
            </a:graphic>
          </wp:inline>
        </w:drawing>
      </w:r>
    </w:p>
    <w:p w:rsidR="00BD73E0" w:rsidRPr="00F21A65" w:rsidP="008B16AD" w14:paraId="72FAAA58" w14:textId="77777777"/>
    <w:p w:rsidR="008B16AD" w:rsidRPr="001F4DD7" w:rsidP="008B16AD" w14:paraId="121744EB" w14:textId="1D7C274C">
      <w:pPr>
        <w:pStyle w:val="BodyText"/>
        <w:rPr>
          <w:lang w:bidi="en-US"/>
        </w:rPr>
      </w:pPr>
      <w:r w:rsidRPr="001F4DD7">
        <w:rPr>
          <w:lang w:bidi="en-US"/>
        </w:rPr>
        <w:t xml:space="preserve">In comparing relative reliability (or response error) between treatments, if the response categories are essentially the same, then we </w:t>
      </w:r>
      <w:r w:rsidR="00BD73E0">
        <w:rPr>
          <w:lang w:bidi="en-US"/>
        </w:rPr>
        <w:t>will look</w:t>
      </w:r>
      <w:r w:rsidRPr="001F4DD7">
        <w:rPr>
          <w:lang w:bidi="en-US"/>
        </w:rPr>
        <w:t xml:space="preserve"> at the differences in the GDR and IOI for each response category. We </w:t>
      </w:r>
      <w:r w:rsidR="00BD73E0">
        <w:rPr>
          <w:lang w:bidi="en-US"/>
        </w:rPr>
        <w:t xml:space="preserve">will test </w:t>
      </w:r>
      <w:r w:rsidRPr="001F4DD7">
        <w:rPr>
          <w:lang w:bidi="en-US"/>
        </w:rPr>
        <w:t>the significance of these differences, using two-tailed</w:t>
      </w:r>
      <w:r>
        <w:rPr>
          <w:lang w:bidi="en-US"/>
        </w:rPr>
        <w:t xml:space="preserve"> </w:t>
      </w:r>
      <w:r w:rsidRPr="001F4DD7">
        <w:rPr>
          <w:lang w:bidi="en-US"/>
        </w:rPr>
        <w:t>t</w:t>
      </w:r>
      <w:r>
        <w:rPr>
          <w:lang w:bidi="en-US"/>
        </w:rPr>
        <w:noBreakHyphen/>
      </w:r>
      <w:r w:rsidRPr="001F4DD7">
        <w:rPr>
          <w:lang w:bidi="en-US"/>
        </w:rPr>
        <w:t>tests.</w:t>
      </w:r>
    </w:p>
    <w:p w:rsidR="008B16AD" w:rsidRPr="00DA780D" w:rsidP="008B16AD" w14:paraId="356DC0A5" w14:textId="72FDEA8F">
      <w:pPr>
        <w:pStyle w:val="BodyText"/>
        <w:rPr>
          <w:lang w:bidi="en-US"/>
        </w:rPr>
      </w:pPr>
      <w:r w:rsidRPr="001F4DD7">
        <w:rPr>
          <w:lang w:bidi="en-US"/>
        </w:rPr>
        <w:t xml:space="preserve">So far, we have only discussed response </w:t>
      </w:r>
      <w:r>
        <w:rPr>
          <w:lang w:bidi="en-US"/>
        </w:rPr>
        <w:t>reliability</w:t>
      </w:r>
      <w:r w:rsidRPr="001F4DD7">
        <w:rPr>
          <w:lang w:bidi="en-US"/>
        </w:rPr>
        <w:t xml:space="preserve"> with respect to single response categories. If a question has three or more response categories (or “comparison categories” in cases where it is necessary to collapse some response categories for comparison), we </w:t>
      </w:r>
      <w:r w:rsidR="00BD73E0">
        <w:rPr>
          <w:lang w:bidi="en-US"/>
        </w:rPr>
        <w:t>can</w:t>
      </w:r>
      <w:r>
        <w:rPr>
          <w:lang w:bidi="en-US"/>
        </w:rPr>
        <w:t xml:space="preserve"> </w:t>
      </w:r>
      <w:r w:rsidRPr="001F4DD7">
        <w:rPr>
          <w:lang w:bidi="en-US"/>
        </w:rPr>
        <w:t xml:space="preserve">also </w:t>
      </w:r>
      <w:r w:rsidR="00BD73E0">
        <w:rPr>
          <w:lang w:bidi="en-US"/>
        </w:rPr>
        <w:t>measure</w:t>
      </w:r>
      <w:r w:rsidRPr="001F4DD7">
        <w:rPr>
          <w:lang w:bidi="en-US"/>
        </w:rPr>
        <w:t xml:space="preserve"> the overall response reliability of a question using the L-fold index of inconsistency, IOI</w:t>
      </w:r>
      <w:r w:rsidRPr="001F4DD7">
        <w:rPr>
          <w:vertAlign w:val="subscript"/>
          <w:lang w:bidi="en-US"/>
        </w:rPr>
        <w:t>L.</w:t>
      </w:r>
      <w:r w:rsidRPr="001F4DD7">
        <w:rPr>
          <w:lang w:bidi="en-US"/>
        </w:rPr>
        <w:t xml:space="preserve"> </w:t>
      </w:r>
      <w:r>
        <w:rPr>
          <w:lang w:bidi="en-US"/>
        </w:rPr>
        <w:t>It is possible to</w:t>
      </w:r>
      <w:r w:rsidRPr="001F4DD7">
        <w:rPr>
          <w:lang w:bidi="en-US"/>
        </w:rPr>
        <w:t xml:space="preserve"> </w:t>
      </w:r>
      <w:r>
        <w:rPr>
          <w:lang w:bidi="en-US"/>
        </w:rPr>
        <w:t xml:space="preserve">look </w:t>
      </w:r>
      <w:r w:rsidRPr="001F4DD7">
        <w:rPr>
          <w:lang w:bidi="en-US"/>
        </w:rPr>
        <w:t>at the difference in IOI</w:t>
      </w:r>
      <w:r w:rsidRPr="001F4DD7">
        <w:rPr>
          <w:vertAlign w:val="subscript"/>
          <w:lang w:bidi="en-US"/>
        </w:rPr>
        <w:t>L</w:t>
      </w:r>
      <w:r w:rsidRPr="001F4DD7">
        <w:rPr>
          <w:lang w:bidi="en-US"/>
        </w:rPr>
        <w:t xml:space="preserve"> between treatments and test for significance as with the single category measures.</w:t>
      </w:r>
      <w:r>
        <w:rPr>
          <w:lang w:bidi="en-US"/>
        </w:rPr>
        <w:t xml:space="preserve"> </w:t>
      </w:r>
    </w:p>
    <w:p w:rsidR="008B16AD" w:rsidP="00BD73E0" w14:paraId="4241D75A" w14:textId="409F9AD7">
      <w:pPr>
        <w:pStyle w:val="BodyText"/>
        <w:rPr>
          <w:lang w:bidi="en-US"/>
        </w:rPr>
      </w:pPr>
      <w:r w:rsidRPr="001F4DD7">
        <w:rPr>
          <w:lang w:bidi="en-US"/>
        </w:rPr>
        <w:t xml:space="preserve">Suppose a question has L response categories. Let </w:t>
      </w:r>
      <w:r w:rsidRPr="001F4DD7">
        <w:rPr>
          <w:lang w:bidi="en-US"/>
        </w:rPr>
        <w:t>X</w:t>
      </w:r>
      <w:r w:rsidRPr="001F4DD7">
        <w:rPr>
          <w:vertAlign w:val="subscript"/>
          <w:lang w:bidi="en-US"/>
        </w:rPr>
        <w:t>ij</w:t>
      </w:r>
      <w:r w:rsidRPr="001F4DD7">
        <w:rPr>
          <w:lang w:bidi="en-US"/>
        </w:rPr>
        <w:t xml:space="preserve"> be the weighted count of sample units (households or persons) for which we have CFU responses in category </w:t>
      </w:r>
      <w:r w:rsidRPr="001F4DD7">
        <w:rPr>
          <w:i/>
          <w:lang w:bidi="en-US"/>
        </w:rPr>
        <w:t>i</w:t>
      </w:r>
      <w:r w:rsidRPr="001F4DD7">
        <w:rPr>
          <w:lang w:bidi="en-US"/>
        </w:rPr>
        <w:t xml:space="preserve"> and original interview responses in category </w:t>
      </w:r>
      <w:r w:rsidRPr="001F4DD7">
        <w:rPr>
          <w:i/>
          <w:lang w:bidi="en-US"/>
        </w:rPr>
        <w:t>j</w:t>
      </w:r>
      <w:r w:rsidRPr="001F4DD7">
        <w:rPr>
          <w:lang w:bidi="en-US"/>
        </w:rPr>
        <w:t xml:space="preserve">. Here, both </w:t>
      </w:r>
      <w:r w:rsidRPr="001F4DD7">
        <w:rPr>
          <w:i/>
          <w:lang w:bidi="en-US"/>
        </w:rPr>
        <w:t>i</w:t>
      </w:r>
      <w:r w:rsidRPr="001F4DD7">
        <w:rPr>
          <w:lang w:bidi="en-US"/>
        </w:rPr>
        <w:t xml:space="preserve"> and </w:t>
      </w:r>
      <w:r w:rsidRPr="001F4DD7">
        <w:rPr>
          <w:i/>
          <w:lang w:bidi="en-US"/>
        </w:rPr>
        <w:t>j</w:t>
      </w:r>
      <w:r w:rsidRPr="001F4DD7">
        <w:rPr>
          <w:lang w:bidi="en-US"/>
        </w:rPr>
        <w:t xml:space="preserve"> range from 1 to L. </w:t>
      </w:r>
      <w:r w:rsidR="00FA2405">
        <w:rPr>
          <w:lang w:bidi="en-US"/>
        </w:rPr>
        <w:fldChar w:fldCharType="begin"/>
      </w:r>
      <w:r w:rsidR="00FA2405">
        <w:rPr>
          <w:lang w:bidi="en-US"/>
        </w:rPr>
        <w:instrText xml:space="preserve"> REF _Ref144465028 \h </w:instrText>
      </w:r>
      <w:r w:rsidR="00FA2405">
        <w:rPr>
          <w:lang w:bidi="en-US"/>
        </w:rPr>
        <w:fldChar w:fldCharType="separate"/>
      </w:r>
      <w:r w:rsidR="00F376F4">
        <w:t xml:space="preserve">Table </w:t>
      </w:r>
      <w:r w:rsidR="00F376F4">
        <w:rPr>
          <w:noProof/>
        </w:rPr>
        <w:t>5</w:t>
      </w:r>
      <w:r w:rsidR="00FA2405">
        <w:rPr>
          <w:lang w:bidi="en-US"/>
        </w:rPr>
        <w:fldChar w:fldCharType="end"/>
      </w:r>
      <w:r w:rsidR="00FA2405">
        <w:rPr>
          <w:lang w:bidi="en-US"/>
        </w:rPr>
        <w:t xml:space="preserve"> </w:t>
      </w:r>
      <w:r w:rsidRPr="001F4DD7">
        <w:rPr>
          <w:lang w:bidi="en-US"/>
        </w:rPr>
        <w:t>shows a cross-tabulation of the original interview and CFU results for a generic analysis topic. Note that if L = 2</w:t>
      </w:r>
      <w:r>
        <w:rPr>
          <w:lang w:bidi="en-US"/>
        </w:rPr>
        <w:t>,</w:t>
      </w:r>
      <w:r w:rsidRPr="001F4DD7">
        <w:rPr>
          <w:lang w:bidi="en-US"/>
        </w:rPr>
        <w:t xml:space="preserve"> then </w:t>
      </w:r>
      <w:r w:rsidR="00BD73E0">
        <w:rPr>
          <w:lang w:bidi="en-US"/>
        </w:rPr>
        <w:fldChar w:fldCharType="begin"/>
      </w:r>
      <w:r w:rsidR="00BD73E0">
        <w:rPr>
          <w:lang w:bidi="en-US"/>
        </w:rPr>
        <w:instrText xml:space="preserve"> REF _Ref144465028 \h </w:instrText>
      </w:r>
      <w:r w:rsidR="00BD73E0">
        <w:rPr>
          <w:lang w:bidi="en-US"/>
        </w:rPr>
        <w:fldChar w:fldCharType="separate"/>
      </w:r>
      <w:r w:rsidR="00F376F4">
        <w:t xml:space="preserve">Table </w:t>
      </w:r>
      <w:r w:rsidR="00F376F4">
        <w:rPr>
          <w:noProof/>
        </w:rPr>
        <w:t>5</w:t>
      </w:r>
      <w:r w:rsidR="00BD73E0">
        <w:rPr>
          <w:lang w:bidi="en-US"/>
        </w:rPr>
        <w:fldChar w:fldCharType="end"/>
      </w:r>
      <w:r w:rsidR="00BD73E0">
        <w:rPr>
          <w:lang w:bidi="en-US"/>
        </w:rPr>
        <w:t xml:space="preserve"> </w:t>
      </w:r>
      <w:r w:rsidRPr="001F4DD7">
        <w:rPr>
          <w:lang w:bidi="en-US"/>
        </w:rPr>
        <w:t>is equivalent to</w:t>
      </w:r>
      <w:r w:rsidR="00BD73E0">
        <w:rPr>
          <w:lang w:bidi="en-US"/>
        </w:rPr>
        <w:t xml:space="preserve"> </w:t>
      </w:r>
      <w:r w:rsidR="00BD73E0">
        <w:rPr>
          <w:lang w:bidi="en-US"/>
        </w:rPr>
        <w:fldChar w:fldCharType="begin"/>
      </w:r>
      <w:r w:rsidR="00BD73E0">
        <w:rPr>
          <w:lang w:bidi="en-US"/>
        </w:rPr>
        <w:instrText xml:space="preserve"> REF _Ref144464629 \h </w:instrText>
      </w:r>
      <w:r w:rsidR="00BD73E0">
        <w:rPr>
          <w:lang w:bidi="en-US"/>
        </w:rPr>
        <w:fldChar w:fldCharType="separate"/>
      </w:r>
      <w:r w:rsidR="00F376F4">
        <w:t xml:space="preserve">Table </w:t>
      </w:r>
      <w:r w:rsidR="00F376F4">
        <w:rPr>
          <w:noProof/>
        </w:rPr>
        <w:t>4</w:t>
      </w:r>
      <w:r w:rsidR="00BD73E0">
        <w:rPr>
          <w:lang w:bidi="en-US"/>
        </w:rPr>
        <w:fldChar w:fldCharType="end"/>
      </w:r>
      <w:r>
        <w:rPr>
          <w:lang w:bidi="en-US"/>
        </w:rPr>
        <w:t>.</w:t>
      </w:r>
    </w:p>
    <w:p w:rsidR="00BD73E0" w:rsidP="00BD73E0" w14:paraId="79838BF4" w14:textId="19227553">
      <w:pPr>
        <w:pStyle w:val="Caption"/>
      </w:pPr>
      <w:bookmarkStart w:id="52" w:name="_Ref144465028"/>
      <w:r>
        <w:t xml:space="preserve">Table </w:t>
      </w:r>
      <w:r w:rsidR="00EE6355">
        <w:fldChar w:fldCharType="begin"/>
      </w:r>
      <w:r w:rsidR="00EE6355">
        <w:instrText xml:space="preserve"> SEQ Table \* ARABIC </w:instrText>
      </w:r>
      <w:r w:rsidR="00EE6355">
        <w:fldChar w:fldCharType="separate"/>
      </w:r>
      <w:r w:rsidR="00F376F4">
        <w:rPr>
          <w:noProof/>
        </w:rPr>
        <w:t>5</w:t>
      </w:r>
      <w:r w:rsidR="00EE6355">
        <w:rPr>
          <w:noProof/>
        </w:rPr>
        <w:fldChar w:fldCharType="end"/>
      </w:r>
      <w:bookmarkEnd w:id="52"/>
      <w:r>
        <w:t xml:space="preserve">. </w:t>
      </w:r>
      <w:r w:rsidRPr="00F52AEC">
        <w:t>Cross-Tab</w:t>
      </w:r>
      <w:r w:rsidRPr="00F52AEC">
        <w:t xml:space="preserve"> of Original Interview and CFU Results: Questions with Response Categories</w:t>
      </w:r>
    </w:p>
    <w:p w:rsidR="005A253C" w:rsidRPr="005A253C" w:rsidP="005A253C" w14:paraId="39D6B1C7" w14:textId="2779B2E9">
      <w:r>
        <w:rPr>
          <w:noProof/>
        </w:rPr>
        <w:drawing>
          <wp:inline distT="0" distB="0" distL="0" distR="0">
            <wp:extent cx="5943600" cy="2155825"/>
            <wp:effectExtent l="0" t="0" r="0" b="0"/>
            <wp:docPr id="20" name="Picture 20" descr="Cross-tabulation table of original interview and CFU reinterview counts. Both original interview categories and CFU categories range from one to L. The counts are in the form Xij, where CFU responses are in category i and original interview responses in category j. The counts range from X11 to XLL. The CFU totals ranges from X1+ to XL+. The original interview totals range from X+1 to X+L. The total T is the summation of the counts Xij from i equals one to L and from j equals one to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Cross-tabulation table of original interview and CFU reinterview counts. Both original interview categories and CFU categories range from one to L. The counts are in the form Xij, where CFU responses are in category i and original interview responses in category j. The counts range from X11 to XLL. The CFU totals ranges from X1+ to XL+. The original interview totals range from X+1 to X+L. The total T is the summation of the counts Xij from i equals one to L and from j equals one to L.  "/>
                    <pic:cNvPicPr/>
                  </pic:nvPicPr>
                  <pic:blipFill>
                    <a:blip xmlns:r="http://schemas.openxmlformats.org/officeDocument/2006/relationships" r:embed="rId33"/>
                    <a:stretch>
                      <a:fillRect/>
                    </a:stretch>
                  </pic:blipFill>
                  <pic:spPr>
                    <a:xfrm>
                      <a:off x="0" y="0"/>
                      <a:ext cx="5943600" cy="2155825"/>
                    </a:xfrm>
                    <a:prstGeom prst="rect">
                      <a:avLst/>
                    </a:prstGeom>
                  </pic:spPr>
                </pic:pic>
              </a:graphicData>
            </a:graphic>
          </wp:inline>
        </w:drawing>
      </w:r>
    </w:p>
    <w:p w:rsidR="008B16AD" w:rsidRPr="008D0CF7" w:rsidP="008B16AD" w14:paraId="72EF610C" w14:textId="77CBE6C8">
      <w:pPr>
        <w:pStyle w:val="BodyText"/>
        <w:keepNext/>
        <w:rPr>
          <w:b/>
          <w:iCs/>
          <w:sz w:val="22"/>
          <w:szCs w:val="22"/>
        </w:rPr>
      </w:pPr>
    </w:p>
    <w:p w:rsidR="008B16AD" w:rsidP="008B16AD" w14:paraId="78937ABB" w14:textId="11B7C103">
      <w:r w:rsidRPr="00C968ED">
        <w:t>Now define the following proportions:</w:t>
      </w:r>
    </w:p>
    <w:p w:rsidR="00BD73E0" w:rsidRPr="00C968ED" w:rsidP="008B16AD" w14:paraId="5174571F" w14:textId="773F2197">
      <w:r>
        <w:rPr>
          <w:noProof/>
        </w:rPr>
        <w:drawing>
          <wp:inline distT="0" distB="0" distL="0" distR="0">
            <wp:extent cx="5943600" cy="1426845"/>
            <wp:effectExtent l="0" t="0" r="0" b="1905"/>
            <wp:docPr id="13" name="Picture 13" descr="The proportion pij equals the count Xij divided by total T. The proportion p+j equals the count X+j divided by total T. The proportion pi+ equals the count Xi+ divided by total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proportion pij equals the count Xij divided by total T. The proportion p+j equals the count X+j divided by total T. The proportion pi+ equals the count Xi+ divided by total T. "/>
                    <pic:cNvPicPr/>
                  </pic:nvPicPr>
                  <pic:blipFill>
                    <a:blip xmlns:r="http://schemas.openxmlformats.org/officeDocument/2006/relationships" r:embed="rId34"/>
                    <a:stretch>
                      <a:fillRect/>
                    </a:stretch>
                  </pic:blipFill>
                  <pic:spPr>
                    <a:xfrm>
                      <a:off x="0" y="0"/>
                      <a:ext cx="5943600" cy="1426845"/>
                    </a:xfrm>
                    <a:prstGeom prst="rect">
                      <a:avLst/>
                    </a:prstGeom>
                  </pic:spPr>
                </pic:pic>
              </a:graphicData>
            </a:graphic>
          </wp:inline>
        </w:drawing>
      </w:r>
    </w:p>
    <w:p w:rsidR="008B16AD" w:rsidRPr="00C968ED" w:rsidP="008B16AD" w14:paraId="002EB61B" w14:textId="77777777">
      <w:pPr>
        <w:pStyle w:val="BodyText"/>
      </w:pPr>
      <w:r w:rsidRPr="00C968ED">
        <w:t>The IOI</w:t>
      </w:r>
      <w:r w:rsidRPr="00C968ED">
        <w:rPr>
          <w:vertAlign w:val="subscript"/>
        </w:rPr>
        <w:t>L</w:t>
      </w:r>
      <w:r w:rsidRPr="00C968ED">
        <w:t xml:space="preserve"> is calculated as</w:t>
      </w:r>
    </w:p>
    <w:p w:rsidR="00CC2DB9" w:rsidP="008B16AD" w14:paraId="236ACDA4" w14:textId="535FCA18">
      <w:pPr>
        <w:pStyle w:val="BodyText"/>
        <w:rPr>
          <w:lang w:bidi="en-US"/>
        </w:rPr>
      </w:pPr>
      <w:r>
        <w:rPr>
          <w:noProof/>
        </w:rPr>
        <w:drawing>
          <wp:inline distT="0" distB="0" distL="0" distR="0">
            <wp:extent cx="5943600" cy="499745"/>
            <wp:effectExtent l="0" t="0" r="0" b="0"/>
            <wp:docPr id="14" name="Picture 14" descr="The IOIL equals one minus the summation of proportion pii from i equals one to L divided by one minus the summation of proportion pi+ times proportion p+i from i equals one to L, all times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IOIL equals one minus the summation of proportion pii from i equals one to L divided by one minus the summation of proportion pi+ times proportion p+i from i equals one to L, all times 100. "/>
                    <pic:cNvPicPr/>
                  </pic:nvPicPr>
                  <pic:blipFill>
                    <a:blip xmlns:r="http://schemas.openxmlformats.org/officeDocument/2006/relationships" r:embed="rId35"/>
                    <a:stretch>
                      <a:fillRect/>
                    </a:stretch>
                  </pic:blipFill>
                  <pic:spPr>
                    <a:xfrm>
                      <a:off x="0" y="0"/>
                      <a:ext cx="5943600" cy="499745"/>
                    </a:xfrm>
                    <a:prstGeom prst="rect">
                      <a:avLst/>
                    </a:prstGeom>
                  </pic:spPr>
                </pic:pic>
              </a:graphicData>
            </a:graphic>
          </wp:inline>
        </w:drawing>
      </w:r>
    </w:p>
    <w:p w:rsidR="008B16AD" w:rsidRPr="00C907DA" w:rsidP="008B16AD" w14:paraId="558F8257" w14:textId="3893CBDB">
      <w:pPr>
        <w:pStyle w:val="BodyText"/>
      </w:pPr>
      <w:r w:rsidRPr="00C907DA">
        <w:rPr>
          <w:lang w:bidi="en-US"/>
        </w:rPr>
        <w:t xml:space="preserve">It can be shown that the </w:t>
      </w:r>
      <w:r w:rsidRPr="00C907DA">
        <w:t>IOI</w:t>
      </w:r>
      <w:r w:rsidRPr="00C907DA">
        <w:rPr>
          <w:vertAlign w:val="subscript"/>
        </w:rPr>
        <w:t>L</w:t>
      </w:r>
      <w:r w:rsidRPr="00C907DA">
        <w:t xml:space="preserve"> is a weighted sum of the L category IOI values </w:t>
      </w:r>
      <w:sdt>
        <w:sdtPr>
          <w:id w:val="-1969578332"/>
          <w:citation/>
        </w:sdtPr>
        <w:sdtContent>
          <w:r w:rsidRPr="00C907DA">
            <w:fldChar w:fldCharType="begin"/>
          </w:r>
          <w:r>
            <w:instrText xml:space="preserve">CITATION Bie11 \l 1033 </w:instrText>
          </w:r>
          <w:r w:rsidRPr="00C907DA">
            <w:fldChar w:fldCharType="separate"/>
          </w:r>
          <w:r w:rsidR="00F376F4">
            <w:rPr>
              <w:noProof/>
            </w:rPr>
            <w:t>(Biemer 2011)</w:t>
          </w:r>
          <w:r w:rsidRPr="00C907DA">
            <w:fldChar w:fldCharType="end"/>
          </w:r>
        </w:sdtContent>
      </w:sdt>
      <w:r w:rsidRPr="00C907DA">
        <w:t>, but this formula is easier for calculation.</w:t>
      </w:r>
    </w:p>
    <w:p w:rsidR="00CC2DB9" w:rsidP="00CC2DB9" w14:paraId="58C83A96" w14:textId="77CB9EDF">
      <w:pPr>
        <w:pStyle w:val="BodyText"/>
      </w:pPr>
      <w:bookmarkStart w:id="53" w:name="_Hlk117244153"/>
      <w:r>
        <w:rPr>
          <w:lang w:bidi="en-US"/>
        </w:rPr>
        <w:t>The IOI metrics can be biased if the parallel measures assumption is violated, i.e., if the errors in the original interview and CFU reinterview are positively or negatively correlated (</w:t>
      </w:r>
      <w:r>
        <w:rPr>
          <w:lang w:bidi="en-US"/>
        </w:rPr>
        <w:t>Biemer</w:t>
      </w:r>
      <w:r>
        <w:rPr>
          <w:lang w:bidi="en-US"/>
        </w:rPr>
        <w:t xml:space="preserve">, 2011). We </w:t>
      </w:r>
      <w:r>
        <w:rPr>
          <w:lang w:bidi="en-US"/>
        </w:rPr>
        <w:t xml:space="preserve">will </w:t>
      </w:r>
      <w:r>
        <w:rPr>
          <w:lang w:bidi="en-US"/>
        </w:rPr>
        <w:t xml:space="preserve">check this assumption by testing if the net difference rate (NDR) is significantly different from zero. </w:t>
      </w:r>
      <w:bookmarkEnd w:id="53"/>
      <w:r w:rsidRPr="002B7D55">
        <w:t>The NDR is the difference between the original interview proportion of positive responses (“Yes” or in the category of interest) and the CFU proportion of positive responses. The NDR is calculated as follows:</w:t>
      </w:r>
    </w:p>
    <w:p w:rsidR="00CC2DB9" w:rsidRPr="002B7D55" w:rsidP="00CC2DB9" w14:paraId="599ACC6B" w14:textId="22A10502">
      <w:pPr>
        <w:pStyle w:val="BodyText"/>
      </w:pPr>
      <w:r>
        <w:rPr>
          <w:noProof/>
        </w:rPr>
        <w:drawing>
          <wp:inline distT="0" distB="0" distL="0" distR="0">
            <wp:extent cx="5943600" cy="462280"/>
            <wp:effectExtent l="0" t="0" r="0" b="0"/>
            <wp:docPr id="15" name="Picture 15" descr="The Net Difference Rate (NDR) equals the original interview proportion in category (p1) minus the CFU proportion in category (p2), all times 100. It also equals count c minus count b divided by total n, all times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Net Difference Rate (NDR) equals the original interview proportion in category (p1) minus the CFU proportion in category (p2), all times 100. It also equals count c minus count b divided by total n, all times 100. "/>
                    <pic:cNvPicPr/>
                  </pic:nvPicPr>
                  <pic:blipFill>
                    <a:blip xmlns:r="http://schemas.openxmlformats.org/officeDocument/2006/relationships" r:embed="rId36"/>
                    <a:stretch>
                      <a:fillRect/>
                    </a:stretch>
                  </pic:blipFill>
                  <pic:spPr>
                    <a:xfrm>
                      <a:off x="0" y="0"/>
                      <a:ext cx="5943600" cy="462280"/>
                    </a:xfrm>
                    <a:prstGeom prst="rect">
                      <a:avLst/>
                    </a:prstGeom>
                  </pic:spPr>
                </pic:pic>
              </a:graphicData>
            </a:graphic>
          </wp:inline>
        </w:drawing>
      </w:r>
    </w:p>
    <w:p w:rsidR="008B16AD" w:rsidP="00370BBC" w14:paraId="7D9E8128" w14:textId="2AE35E66">
      <w:pPr>
        <w:pStyle w:val="BodyText"/>
      </w:pPr>
      <w:r w:rsidRPr="002B7D55">
        <w:t>If the NDR is significantly positive or negative, the assumption of “parallel measures” necessary for the SRV and IOI to be valid is not satisfied (</w:t>
      </w:r>
      <w:r w:rsidRPr="002B7D55">
        <w:rPr>
          <w:noProof/>
        </w:rPr>
        <w:t>Biemer</w:t>
      </w:r>
      <w:r w:rsidRPr="002B7D55">
        <w:rPr>
          <w:noProof/>
        </w:rPr>
        <w:t>, 2011)</w:t>
      </w:r>
      <w:r w:rsidRPr="002B7D55">
        <w:t xml:space="preserve">. In these situations, we </w:t>
      </w:r>
      <w:r w:rsidR="00CC2DB9">
        <w:t xml:space="preserve">will </w:t>
      </w:r>
      <w:r w:rsidRPr="002B7D55">
        <w:t>use the following adjustment of the IOI, developed by Flanagan (2001):</w:t>
      </w:r>
    </w:p>
    <w:p w:rsidR="00CC2DB9" w:rsidP="00370BBC" w14:paraId="6FA93902" w14:textId="0AEC447B">
      <w:pPr>
        <w:pStyle w:val="BodyText"/>
      </w:pPr>
      <w:r>
        <w:rPr>
          <w:noProof/>
        </w:rPr>
        <w:drawing>
          <wp:inline distT="0" distB="0" distL="0" distR="0">
            <wp:extent cx="5943600" cy="698500"/>
            <wp:effectExtent l="0" t="0" r="0" b="6350"/>
            <wp:docPr id="16" name="Picture 16" descr="The adjusted index of inconsistency (IOIadj) numerator equals total n squared times the sum of counts b and c minus total n times the squared difference of counts c and d, all divided by total n minus 1. The IOIadj denominator equals the sum of counts a and c times the sum of counts c and d, plus the sum of counts a and b times the sum of counts b and d. The IOI adj is the numerator divided by the denominator, all times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adjusted index of inconsistency (IOIadj) numerator equals total n squared times the sum of counts b and c minus total n times the squared difference of counts c and d, all divided by total n minus 1. The IOIadj denominator equals the sum of counts a and c times the sum of counts c and d, plus the sum of counts a and b times the sum of counts b and d. The IOI adj is the numerator divided by the denominator, all times 100. "/>
                    <pic:cNvPicPr/>
                  </pic:nvPicPr>
                  <pic:blipFill>
                    <a:blip xmlns:r="http://schemas.openxmlformats.org/officeDocument/2006/relationships" r:embed="rId37"/>
                    <a:stretch>
                      <a:fillRect/>
                    </a:stretch>
                  </pic:blipFill>
                  <pic:spPr>
                    <a:xfrm>
                      <a:off x="0" y="0"/>
                      <a:ext cx="5943600" cy="698500"/>
                    </a:xfrm>
                    <a:prstGeom prst="rect">
                      <a:avLst/>
                    </a:prstGeom>
                  </pic:spPr>
                </pic:pic>
              </a:graphicData>
            </a:graphic>
          </wp:inline>
        </w:drawing>
      </w:r>
    </w:p>
    <w:p w:rsidR="003F556F" w:rsidP="003F556F" w14:paraId="487B4505" w14:textId="0C7B7984">
      <w:pPr>
        <w:pStyle w:val="Heading2"/>
      </w:pPr>
      <w:bookmarkStart w:id="54" w:name="_Toc164241850"/>
      <w:r>
        <w:t>Weighting</w:t>
      </w:r>
      <w:bookmarkEnd w:id="54"/>
    </w:p>
    <w:p w:rsidR="003F556F" w:rsidRPr="00654960" w:rsidP="003F556F" w14:paraId="4B206C54" w14:textId="4428500B">
      <w:pPr>
        <w:pStyle w:val="BodyText"/>
      </w:pPr>
      <w:r w:rsidRPr="00654960">
        <w:t>All estimates from the 2024 ACS SOGI Test will be weighted. The weights will be a function of the initial probability of selection (base weight). A CFU nonresponse adjustment will be used to create weights for the CFU analysis.</w:t>
      </w:r>
      <w:r>
        <w:rPr>
          <w:rStyle w:val="FootnoteReference"/>
        </w:rPr>
        <w:footnoteReference w:id="32"/>
      </w:r>
    </w:p>
    <w:p w:rsidR="000B023B" w:rsidRPr="00654960" w:rsidP="000B023B" w14:paraId="613C4C5C" w14:textId="41782391">
      <w:pPr>
        <w:pStyle w:val="BodyText"/>
      </w:pPr>
      <w:r w:rsidRPr="00654960">
        <w:t>We will estimate the variances of the point estimates and differences using the Successive Differences Replication (SDR) method with replicate weights – the standard method used in the ACS (see U.S. Census Bureau, 20</w:t>
      </w:r>
      <w:r w:rsidR="009F4D9F">
        <w:t>22b</w:t>
      </w:r>
      <w:r w:rsidRPr="00654960">
        <w:t>). We will calculate the variance for each rate and for the difference between rates using the formula below:</w:t>
      </w:r>
    </w:p>
    <w:p w:rsidR="000B023B" w:rsidRPr="00654960" w:rsidP="000B023B" w14:paraId="614A3F7C" w14:textId="77777777">
      <w:pPr>
        <w:pStyle w:val="BodyText"/>
      </w:pPr>
      <w:r w:rsidRPr="00654960">
        <w:rPr>
          <w:noProof/>
        </w:rPr>
        <w:drawing>
          <wp:inline distT="0" distB="0" distL="0" distR="0">
            <wp:extent cx="5838825" cy="505283"/>
            <wp:effectExtent l="0" t="0" r="0" b="9525"/>
            <wp:docPr id="19" name="Picture 19" descr="The variance of an estimate (x sub 0) is equal to open parenthesis four divided by 80 close parenthesis multiplied by the sum from r equals 1 to r equals 80 of the squared difference between the estimate calculated for replicate r (x sub r) minus the estimate (x sub 0)" title="Varianc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51895" cy="506414"/>
                    </a:xfrm>
                    <a:prstGeom prst="rect">
                      <a:avLst/>
                    </a:prstGeom>
                    <a:noFill/>
                    <a:ln>
                      <a:noFill/>
                    </a:ln>
                  </pic:spPr>
                </pic:pic>
              </a:graphicData>
            </a:graphic>
          </wp:inline>
        </w:drawing>
      </w:r>
    </w:p>
    <w:p w:rsidR="000B023B" w:rsidRPr="00654960" w:rsidP="000B023B" w14:paraId="78725E9F" w14:textId="3A5E6D24">
      <w:pPr>
        <w:pStyle w:val="Instructions"/>
        <w:rPr>
          <w:rFonts w:cs="Times New Roman"/>
          <w:i w:val="0"/>
          <w:sz w:val="24"/>
          <w:szCs w:val="24"/>
        </w:rPr>
      </w:pPr>
      <w:r>
        <w:rPr>
          <w:rFonts w:cs="Times New Roman"/>
          <w:i w:val="0"/>
          <w:sz w:val="24"/>
          <w:szCs w:val="24"/>
        </w:rPr>
        <w:t>w</w:t>
      </w:r>
      <w:r w:rsidRPr="00654960">
        <w:rPr>
          <w:rFonts w:cs="Times New Roman"/>
          <w:i w:val="0"/>
          <w:sz w:val="24"/>
          <w:szCs w:val="24"/>
        </w:rPr>
        <w:t xml:space="preserve">here: </w:t>
      </w:r>
    </w:p>
    <w:p w:rsidR="000B023B" w:rsidRPr="00654960" w:rsidP="001C5093" w14:paraId="56A4ED26" w14:textId="77777777">
      <w:pPr>
        <w:pStyle w:val="Instructions"/>
        <w:ind w:left="720"/>
        <w:rPr>
          <w:rFonts w:cs="Times New Roman"/>
          <w:i w:val="0"/>
          <w:sz w:val="24"/>
          <w:szCs w:val="24"/>
        </w:rPr>
      </w:pPr>
      <m:oMath>
        <m:sSub>
          <m:sSubPr>
            <m:ctrlPr>
              <w:rPr>
                <w:rFonts w:ascii="Cambria Math" w:hAnsi="Cambria Math" w:cs="Times New Roman"/>
                <w:sz w:val="24"/>
                <w:szCs w:val="24"/>
              </w:rPr>
            </m:ctrlPr>
          </m:sSubPr>
          <m:e>
            <m:r>
              <m:rPr>
                <m:nor/>
              </m:rPr>
              <w:rPr>
                <w:rFonts w:cs="Times New Roman"/>
                <w:i w:val="0"/>
                <w:sz w:val="24"/>
                <w:szCs w:val="24"/>
              </w:rPr>
              <m:t>X</m:t>
            </m:r>
          </m:e>
          <m:sub>
            <m:r>
              <m:rPr>
                <m:nor/>
              </m:rPr>
              <w:rPr>
                <w:rFonts w:cs="Times New Roman"/>
                <w:i w:val="0"/>
                <w:sz w:val="24"/>
                <w:szCs w:val="24"/>
              </w:rPr>
              <m:t>r</m:t>
            </m:r>
          </m:sub>
        </m:sSub>
        <m:r>
          <w:rPr>
            <w:rFonts w:ascii="Cambria Math" w:hAnsi="Cambria Math" w:cs="Times New Roman"/>
            <w:sz w:val="24"/>
            <w:szCs w:val="24"/>
          </w:rPr>
          <m:t>=</m:t>
        </m:r>
      </m:oMath>
      <w:r w:rsidRPr="00654960">
        <w:rPr>
          <w:rFonts w:cs="Times New Roman"/>
          <w:i w:val="0"/>
          <w:sz w:val="24"/>
          <w:szCs w:val="24"/>
        </w:rPr>
        <w:t xml:space="preserve"> the estimate calculated using the </w:t>
      </w:r>
      <w:r w:rsidRPr="00654960">
        <w:rPr>
          <w:rFonts w:cs="Times New Roman"/>
          <w:sz w:val="24"/>
          <w:szCs w:val="24"/>
        </w:rPr>
        <w:t>r</w:t>
      </w:r>
      <w:r w:rsidRPr="00654960">
        <w:rPr>
          <w:rFonts w:cs="Times New Roman"/>
          <w:i w:val="0"/>
          <w:sz w:val="24"/>
          <w:szCs w:val="24"/>
          <w:vertAlign w:val="superscript"/>
        </w:rPr>
        <w:t>th</w:t>
      </w:r>
      <w:r w:rsidRPr="00654960">
        <w:rPr>
          <w:rFonts w:cs="Times New Roman"/>
          <w:i w:val="0"/>
          <w:sz w:val="24"/>
          <w:szCs w:val="24"/>
        </w:rPr>
        <w:t xml:space="preserve"> </w:t>
      </w:r>
      <w:r w:rsidRPr="00654960">
        <w:rPr>
          <w:rFonts w:cs="Times New Roman"/>
          <w:i w:val="0"/>
          <w:sz w:val="24"/>
          <w:szCs w:val="24"/>
        </w:rPr>
        <w:t>replicate</w:t>
      </w:r>
    </w:p>
    <w:p w:rsidR="000B023B" w:rsidRPr="00654960" w:rsidP="001C5093" w14:paraId="102AC085" w14:textId="77777777">
      <w:pPr>
        <w:pStyle w:val="Instructions"/>
        <w:ind w:left="720"/>
        <w:rPr>
          <w:rFonts w:cs="Times New Roman"/>
          <w:i w:val="0"/>
          <w:sz w:val="24"/>
          <w:szCs w:val="24"/>
        </w:rPr>
      </w:pPr>
      <m:oMath>
        <m:sSub>
          <m:sSubPr>
            <m:ctrlPr>
              <w:rPr>
                <w:rFonts w:ascii="Cambria Math" w:hAnsi="Cambria Math" w:cs="Times New Roman"/>
                <w:sz w:val="24"/>
                <w:szCs w:val="24"/>
              </w:rPr>
            </m:ctrlPr>
          </m:sSubPr>
          <m:e>
            <m:r>
              <m:rPr>
                <m:nor/>
              </m:rPr>
              <w:rPr>
                <w:rFonts w:cs="Times New Roman"/>
                <w:i w:val="0"/>
                <w:sz w:val="24"/>
                <w:szCs w:val="24"/>
              </w:rPr>
              <m:t>X</m:t>
            </m:r>
          </m:e>
          <m:sub>
            <m:r>
              <m:rPr>
                <m:nor/>
              </m:rPr>
              <w:rPr>
                <w:rFonts w:cs="Times New Roman"/>
                <w:i w:val="0"/>
                <w:sz w:val="24"/>
                <w:szCs w:val="24"/>
              </w:rPr>
              <m:t>0</m:t>
            </m:r>
          </m:sub>
        </m:sSub>
        <m:r>
          <w:rPr>
            <w:rFonts w:ascii="Cambria Math" w:hAnsi="Cambria Math" w:cs="Times New Roman"/>
            <w:sz w:val="24"/>
            <w:szCs w:val="24"/>
          </w:rPr>
          <m:t>=</m:t>
        </m:r>
      </m:oMath>
      <w:r w:rsidRPr="00654960">
        <w:rPr>
          <w:rFonts w:cs="Times New Roman"/>
          <w:i w:val="0"/>
          <w:sz w:val="24"/>
          <w:szCs w:val="24"/>
        </w:rPr>
        <w:t xml:space="preserve"> the estimate calculated using the full </w:t>
      </w:r>
      <w:r w:rsidRPr="00654960">
        <w:rPr>
          <w:rFonts w:cs="Times New Roman"/>
          <w:i w:val="0"/>
          <w:sz w:val="24"/>
          <w:szCs w:val="24"/>
        </w:rPr>
        <w:t>sample</w:t>
      </w:r>
    </w:p>
    <w:p w:rsidR="000B023B" w:rsidRPr="00594033" w:rsidP="000B023B" w14:paraId="53286F81" w14:textId="77777777">
      <w:pPr>
        <w:pStyle w:val="BodyText"/>
        <w:spacing w:before="240"/>
      </w:pPr>
      <w:r w:rsidRPr="00654960">
        <w:t>The standard error of the estimate (X</w:t>
      </w:r>
      <w:r w:rsidRPr="00654960">
        <w:rPr>
          <w:vertAlign w:val="subscript"/>
        </w:rPr>
        <w:t>0</w:t>
      </w:r>
      <w:r w:rsidRPr="00654960">
        <w:t>) is the square root of the variance.</w:t>
      </w:r>
    </w:p>
    <w:p w:rsidR="00733F5F" w:rsidP="006D73CC" w14:paraId="4905E9F8" w14:textId="430F4346">
      <w:pPr>
        <w:pStyle w:val="Heading1"/>
      </w:pPr>
      <w:bookmarkStart w:id="55" w:name="_Ref159313778"/>
      <w:bookmarkStart w:id="56" w:name="_Toc164241851"/>
      <w:bookmarkStart w:id="57" w:name="_Hlk156378435"/>
      <w:r>
        <w:t>DECISION CRITERIA</w:t>
      </w:r>
      <w:bookmarkEnd w:id="55"/>
      <w:bookmarkEnd w:id="56"/>
    </w:p>
    <w:p w:rsidR="00733F5F" w:rsidP="00733F5F" w14:paraId="7C3A351E" w14:textId="479AEE27">
      <w:pPr>
        <w:pStyle w:val="BodyText"/>
      </w:pPr>
      <w:r>
        <w:t>W</w:t>
      </w:r>
      <w:r>
        <w:t xml:space="preserve">hen </w:t>
      </w:r>
      <w:r w:rsidR="007F69A6">
        <w:t xml:space="preserve">evaluating general data quality from the Gender Identity series, including the quality of proxy responses, </w:t>
      </w:r>
      <w:r>
        <w:t xml:space="preserve">the most important results of this analysis </w:t>
      </w:r>
      <w:r>
        <w:t>are, in order of priority:</w:t>
      </w:r>
    </w:p>
    <w:p w:rsidR="000B1A19" w:rsidP="000A4BB2" w14:paraId="4EE6AB97" w14:textId="673A74FE">
      <w:pPr>
        <w:pStyle w:val="Caption"/>
      </w:pPr>
      <w:r>
        <w:t xml:space="preserve">Table </w:t>
      </w:r>
      <w:r w:rsidR="00EE6355">
        <w:fldChar w:fldCharType="begin"/>
      </w:r>
      <w:r w:rsidR="00EE6355">
        <w:instrText xml:space="preserve"> SEQ Table \* ARABIC </w:instrText>
      </w:r>
      <w:r w:rsidR="00EE6355">
        <w:fldChar w:fldCharType="separate"/>
      </w:r>
      <w:r w:rsidR="00F376F4">
        <w:rPr>
          <w:noProof/>
        </w:rPr>
        <w:t>6</w:t>
      </w:r>
      <w:r w:rsidR="00EE6355">
        <w:rPr>
          <w:noProof/>
        </w:rPr>
        <w:fldChar w:fldCharType="end"/>
      </w:r>
      <w:r>
        <w:t xml:space="preserve">. Decision Criteria for </w:t>
      </w:r>
      <w:r w:rsidR="00675786">
        <w:t xml:space="preserve">Evaluating </w:t>
      </w:r>
      <w:r>
        <w:t>Gender Identity</w:t>
      </w:r>
    </w:p>
    <w:tbl>
      <w:tblPr>
        <w:tblStyle w:val="TableGrid4"/>
        <w:tblW w:w="0" w:type="auto"/>
        <w:tblLook w:val="04A0"/>
      </w:tblPr>
      <w:tblGrid>
        <w:gridCol w:w="1231"/>
        <w:gridCol w:w="2094"/>
        <w:gridCol w:w="6025"/>
      </w:tblGrid>
      <w:tr w14:paraId="2C0CEE1E" w14:textId="77777777" w:rsidTr="007E6322">
        <w:tblPrEx>
          <w:tblW w:w="0" w:type="auto"/>
          <w:tblLook w:val="04A0"/>
        </w:tblPrEx>
        <w:tc>
          <w:tcPr>
            <w:tcW w:w="1231" w:type="dxa"/>
            <w:tcBorders>
              <w:bottom w:val="single" w:sz="4" w:space="0" w:color="auto"/>
            </w:tcBorders>
            <w:shd w:val="clear" w:color="auto" w:fill="E7E6E6" w:themeFill="background2"/>
          </w:tcPr>
          <w:p w:rsidR="00534BCB" w:rsidRPr="00F70565" w:rsidP="009E2A7D" w14:paraId="5FB5962F"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Priority</w:t>
            </w:r>
          </w:p>
        </w:tc>
        <w:tc>
          <w:tcPr>
            <w:tcW w:w="2094" w:type="dxa"/>
            <w:shd w:val="clear" w:color="auto" w:fill="E7E6E6" w:themeFill="background2"/>
          </w:tcPr>
          <w:p w:rsidR="00534BCB" w:rsidRPr="00F70565" w:rsidP="009E2A7D" w14:paraId="544F65FC"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Research Question</w:t>
            </w:r>
          </w:p>
        </w:tc>
        <w:tc>
          <w:tcPr>
            <w:tcW w:w="6025" w:type="dxa"/>
            <w:shd w:val="clear" w:color="auto" w:fill="E7E6E6" w:themeFill="background2"/>
          </w:tcPr>
          <w:p w:rsidR="00534BCB" w:rsidRPr="00F70565" w:rsidP="009E2A7D" w14:paraId="05085762"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Decision Criteria</w:t>
            </w:r>
          </w:p>
        </w:tc>
      </w:tr>
      <w:tr w14:paraId="534CF51E" w14:textId="77777777" w:rsidTr="007E6322">
        <w:tblPrEx>
          <w:tblW w:w="0" w:type="auto"/>
          <w:tblLook w:val="04A0"/>
        </w:tblPrEx>
        <w:tc>
          <w:tcPr>
            <w:tcW w:w="1231" w:type="dxa"/>
            <w:tcBorders>
              <w:bottom w:val="nil"/>
            </w:tcBorders>
          </w:tcPr>
          <w:p w:rsidR="007E6322" w:rsidRPr="000B7006" w:rsidP="005D4A95" w14:paraId="27BE8763" w14:textId="053B4BB3">
            <w:pPr>
              <w:keepNext/>
              <w:numPr>
                <w:ilvl w:val="0"/>
                <w:numId w:val="3"/>
              </w:numPr>
              <w:rPr>
                <w:rFonts w:ascii="Calibri" w:eastAsia="Calibri" w:hAnsi="Calibri" w:cs="Times New Roman"/>
              </w:rPr>
            </w:pPr>
            <w:r>
              <w:rPr>
                <w:rFonts w:ascii="Calibri" w:eastAsia="Calibri" w:hAnsi="Calibri" w:cs="Times New Roman"/>
              </w:rPr>
              <w:t>1</w:t>
            </w:r>
          </w:p>
        </w:tc>
        <w:tc>
          <w:tcPr>
            <w:tcW w:w="2094" w:type="dxa"/>
          </w:tcPr>
          <w:p w:rsidR="007E6322" w:rsidRPr="000B7006" w:rsidP="005D4A95" w14:paraId="535C9C4F" w14:textId="4A644F19">
            <w:pPr>
              <w:keepNext/>
              <w:numPr>
                <w:ilvl w:val="0"/>
                <w:numId w:val="3"/>
              </w:numPr>
              <w:rPr>
                <w:rFonts w:ascii="Calibri" w:eastAsia="Calibri" w:hAnsi="Calibri" w:cs="Times New Roman"/>
              </w:rPr>
            </w:pPr>
            <w:r>
              <w:rPr>
                <w:rFonts w:ascii="Calibri" w:eastAsia="Calibri" w:hAnsi="Calibri" w:cs="Times New Roman"/>
              </w:rPr>
              <w:t>1</w:t>
            </w:r>
          </w:p>
        </w:tc>
        <w:tc>
          <w:tcPr>
            <w:tcW w:w="6025" w:type="dxa"/>
          </w:tcPr>
          <w:p w:rsidR="007E6322" w:rsidRPr="000B7006" w:rsidP="005D4A95" w14:paraId="22E55725" w14:textId="2C7EF31D">
            <w:pPr>
              <w:keepNext/>
              <w:numPr>
                <w:ilvl w:val="0"/>
                <w:numId w:val="3"/>
              </w:numPr>
              <w:rPr>
                <w:rFonts w:ascii="Calibri" w:eastAsia="Calibri" w:hAnsi="Calibri" w:cs="Times New Roman"/>
              </w:rPr>
            </w:pPr>
            <w:r w:rsidRPr="007E6322">
              <w:rPr>
                <w:rFonts w:ascii="Calibri" w:eastAsia="Calibri" w:hAnsi="Calibri" w:cs="Times New Roman"/>
                <w:sz w:val="24"/>
                <w:szCs w:val="24"/>
              </w:rPr>
              <w:t>The percent male and percent female for Sex at Birth being nominally close to the percent</w:t>
            </w:r>
            <w:r>
              <w:rPr>
                <w:rFonts w:ascii="Calibri" w:eastAsia="Calibri" w:hAnsi="Calibri" w:cs="Times New Roman"/>
                <w:sz w:val="24"/>
                <w:szCs w:val="24"/>
              </w:rPr>
              <w:t>age</w:t>
            </w:r>
            <w:r w:rsidRPr="007E6322">
              <w:rPr>
                <w:rFonts w:ascii="Calibri" w:eastAsia="Calibri" w:hAnsi="Calibri" w:cs="Times New Roman"/>
                <w:sz w:val="24"/>
                <w:szCs w:val="24"/>
              </w:rPr>
              <w:t>s from</w:t>
            </w:r>
            <w:r>
              <w:rPr>
                <w:rFonts w:ascii="Calibri" w:eastAsia="Calibri" w:hAnsi="Calibri" w:cs="Times New Roman"/>
                <w:sz w:val="24"/>
                <w:szCs w:val="24"/>
              </w:rPr>
              <w:t xml:space="preserve"> non-edited</w:t>
            </w:r>
            <w:r w:rsidRPr="007E6322">
              <w:rPr>
                <w:rFonts w:ascii="Calibri" w:eastAsia="Calibri" w:hAnsi="Calibri" w:cs="Times New Roman"/>
                <w:sz w:val="24"/>
                <w:szCs w:val="24"/>
              </w:rPr>
              <w:t xml:space="preserve"> ACS production is preferable. </w:t>
            </w:r>
          </w:p>
        </w:tc>
      </w:tr>
      <w:tr w14:paraId="7C8A8718" w14:textId="77777777" w:rsidTr="007E6322">
        <w:tblPrEx>
          <w:tblW w:w="0" w:type="auto"/>
          <w:tblLook w:val="04A0"/>
        </w:tblPrEx>
        <w:tc>
          <w:tcPr>
            <w:tcW w:w="1231" w:type="dxa"/>
            <w:tcBorders>
              <w:top w:val="nil"/>
            </w:tcBorders>
          </w:tcPr>
          <w:p w:rsidR="005D4A95" w:rsidRPr="000B7006" w:rsidP="005D4A95" w14:paraId="68065154" w14:textId="68818036">
            <w:pPr>
              <w:keepNext/>
              <w:numPr>
                <w:ilvl w:val="0"/>
                <w:numId w:val="3"/>
              </w:numPr>
              <w:rPr>
                <w:rFonts w:ascii="Calibri" w:eastAsia="Calibri" w:hAnsi="Calibri" w:cs="Times New Roman"/>
                <w:sz w:val="24"/>
                <w:szCs w:val="24"/>
              </w:rPr>
            </w:pPr>
            <w:r w:rsidRPr="007E6322">
              <w:rPr>
                <w:rFonts w:ascii="Calibri" w:eastAsia="Calibri" w:hAnsi="Calibri" w:cs="Times New Roman"/>
                <w:color w:val="FFFFFF" w:themeColor="background1"/>
                <w:sz w:val="24"/>
                <w:szCs w:val="24"/>
              </w:rPr>
              <w:t>1</w:t>
            </w:r>
          </w:p>
        </w:tc>
        <w:tc>
          <w:tcPr>
            <w:tcW w:w="2094" w:type="dxa"/>
          </w:tcPr>
          <w:p w:rsidR="005D4A95" w:rsidRPr="000B7006" w:rsidP="005D4A95" w14:paraId="556AF003" w14:textId="1F9DFAFE">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2</w:t>
            </w:r>
          </w:p>
        </w:tc>
        <w:tc>
          <w:tcPr>
            <w:tcW w:w="6025" w:type="dxa"/>
          </w:tcPr>
          <w:p w:rsidR="005D4A95" w:rsidRPr="000B7006" w:rsidP="005D4A95" w14:paraId="02867D88" w14:textId="686170D0">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 xml:space="preserve">The item missing data rate for Sex at Birth being </w:t>
            </w:r>
            <w:r w:rsidR="009456DF">
              <w:rPr>
                <w:rFonts w:ascii="Calibri" w:eastAsia="Calibri" w:hAnsi="Calibri" w:cs="Times New Roman"/>
                <w:sz w:val="24"/>
                <w:szCs w:val="24"/>
              </w:rPr>
              <w:t>lower or comparable to</w:t>
            </w:r>
            <w:r w:rsidRPr="000B7006">
              <w:rPr>
                <w:rFonts w:ascii="Calibri" w:eastAsia="Calibri" w:hAnsi="Calibri" w:cs="Times New Roman"/>
                <w:sz w:val="24"/>
                <w:szCs w:val="24"/>
              </w:rPr>
              <w:t xml:space="preserve"> the Sex question from </w:t>
            </w:r>
            <w:r w:rsidR="00E7588E">
              <w:rPr>
                <w:rFonts w:ascii="Calibri" w:eastAsia="Calibri" w:hAnsi="Calibri" w:cs="Times New Roman"/>
                <w:sz w:val="24"/>
                <w:szCs w:val="24"/>
              </w:rPr>
              <w:t xml:space="preserve">ACS </w:t>
            </w:r>
            <w:r w:rsidRPr="000B7006">
              <w:rPr>
                <w:rFonts w:ascii="Calibri" w:eastAsia="Calibri" w:hAnsi="Calibri" w:cs="Times New Roman"/>
                <w:sz w:val="24"/>
                <w:szCs w:val="24"/>
              </w:rPr>
              <w:t xml:space="preserve">production is preferable. </w:t>
            </w:r>
          </w:p>
        </w:tc>
      </w:tr>
      <w:tr w14:paraId="79D6976D" w14:textId="77777777" w:rsidTr="201F90FC">
        <w:tblPrEx>
          <w:tblW w:w="0" w:type="auto"/>
          <w:tblLook w:val="04A0"/>
        </w:tblPrEx>
        <w:tc>
          <w:tcPr>
            <w:tcW w:w="1231" w:type="dxa"/>
          </w:tcPr>
          <w:p w:rsidR="00534BCB" w:rsidRPr="000B7006" w:rsidP="009E2A7D" w14:paraId="0717D27D" w14:textId="2039A940">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2</w:t>
            </w:r>
          </w:p>
        </w:tc>
        <w:tc>
          <w:tcPr>
            <w:tcW w:w="2094" w:type="dxa"/>
          </w:tcPr>
          <w:p w:rsidR="00534BCB" w:rsidRPr="000B7006" w:rsidP="009E2A7D" w14:paraId="37F2B3DE" w14:textId="5896C1C8">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3</w:t>
            </w:r>
            <w:r w:rsidR="00BE7884">
              <w:rPr>
                <w:rFonts w:ascii="Calibri" w:eastAsia="Calibri" w:hAnsi="Calibri" w:cs="Times New Roman"/>
                <w:sz w:val="24"/>
                <w:szCs w:val="24"/>
              </w:rPr>
              <w:t>, 4, 6</w:t>
            </w:r>
            <w:r w:rsidRPr="000B7006" w:rsidR="00E35CD2">
              <w:rPr>
                <w:rFonts w:ascii="Calibri" w:eastAsia="Calibri" w:hAnsi="Calibri" w:cs="Times New Roman"/>
                <w:sz w:val="24"/>
                <w:szCs w:val="24"/>
              </w:rPr>
              <w:t xml:space="preserve">, </w:t>
            </w:r>
            <w:r w:rsidR="00BE7884">
              <w:rPr>
                <w:rFonts w:ascii="Calibri" w:eastAsia="Calibri" w:hAnsi="Calibri" w:cs="Times New Roman"/>
                <w:sz w:val="24"/>
                <w:szCs w:val="24"/>
              </w:rPr>
              <w:t>7</w:t>
            </w:r>
          </w:p>
        </w:tc>
        <w:tc>
          <w:tcPr>
            <w:tcW w:w="6025" w:type="dxa"/>
          </w:tcPr>
          <w:p w:rsidR="00534BCB" w:rsidRPr="000B7006" w:rsidP="009E2A7D" w14:paraId="74EB16CC" w14:textId="49E4197B">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 xml:space="preserve">Low item missingness </w:t>
            </w:r>
            <w:r w:rsidR="007E6322">
              <w:rPr>
                <w:rFonts w:ascii="Calibri" w:eastAsia="Calibri" w:hAnsi="Calibri" w:cs="Times New Roman"/>
                <w:sz w:val="24"/>
                <w:szCs w:val="24"/>
              </w:rPr>
              <w:t xml:space="preserve">for the entire Gender Identity series </w:t>
            </w:r>
            <w:r w:rsidRPr="000B7006">
              <w:rPr>
                <w:rFonts w:ascii="Calibri" w:eastAsia="Calibri" w:hAnsi="Calibri" w:cs="Times New Roman"/>
                <w:sz w:val="24"/>
                <w:szCs w:val="24"/>
              </w:rPr>
              <w:t xml:space="preserve">is preferable. </w:t>
            </w:r>
            <w:r w:rsidRPr="000B7006" w:rsidR="006D2D54">
              <w:rPr>
                <w:rFonts w:ascii="Calibri" w:eastAsia="Calibri" w:hAnsi="Calibri" w:cs="Times New Roman"/>
                <w:sz w:val="24"/>
                <w:szCs w:val="24"/>
              </w:rPr>
              <w:t>Specifically,</w:t>
            </w:r>
            <w:r w:rsidRPr="000B7006">
              <w:rPr>
                <w:rFonts w:ascii="Calibri" w:eastAsia="Calibri" w:hAnsi="Calibri" w:cs="Times New Roman"/>
                <w:sz w:val="24"/>
                <w:szCs w:val="24"/>
              </w:rPr>
              <w:t xml:space="preserve"> the item missingness being lower or comparable </w:t>
            </w:r>
            <w:r w:rsidRPr="000B7006" w:rsidR="00092660">
              <w:rPr>
                <w:rFonts w:ascii="Calibri" w:eastAsia="Calibri" w:hAnsi="Calibri" w:cs="Times New Roman"/>
                <w:sz w:val="24"/>
                <w:szCs w:val="24"/>
              </w:rPr>
              <w:t xml:space="preserve">to ACS questions that are sensitive or have proxy-reporting </w:t>
            </w:r>
            <w:r w:rsidRPr="000B7006" w:rsidR="00B4510A">
              <w:rPr>
                <w:rFonts w:ascii="Calibri" w:eastAsia="Calibri" w:hAnsi="Calibri" w:cs="Times New Roman"/>
                <w:sz w:val="24"/>
                <w:szCs w:val="24"/>
              </w:rPr>
              <w:t>difference</w:t>
            </w:r>
            <w:r w:rsidRPr="000B7006" w:rsidR="00092660">
              <w:rPr>
                <w:rFonts w:ascii="Calibri" w:eastAsia="Calibri" w:hAnsi="Calibri" w:cs="Times New Roman"/>
                <w:sz w:val="24"/>
                <w:szCs w:val="24"/>
              </w:rPr>
              <w:t>s</w:t>
            </w:r>
            <w:r w:rsidRPr="000B7006" w:rsidR="001C5B5A">
              <w:rPr>
                <w:rFonts w:ascii="Calibri" w:eastAsia="Calibri" w:hAnsi="Calibri" w:cs="Times New Roman"/>
                <w:sz w:val="24"/>
                <w:szCs w:val="24"/>
              </w:rPr>
              <w:t xml:space="preserve"> is preferable</w:t>
            </w:r>
            <w:r w:rsidRPr="000B7006" w:rsidR="00092660">
              <w:rPr>
                <w:rFonts w:ascii="Calibri" w:eastAsia="Calibri" w:hAnsi="Calibri" w:cs="Times New Roman"/>
                <w:sz w:val="24"/>
                <w:szCs w:val="24"/>
              </w:rPr>
              <w:t xml:space="preserve">. </w:t>
            </w:r>
          </w:p>
        </w:tc>
      </w:tr>
      <w:tr w14:paraId="091F465D" w14:textId="77777777" w:rsidTr="201F90FC">
        <w:tblPrEx>
          <w:tblW w:w="0" w:type="auto"/>
          <w:tblLook w:val="04A0"/>
        </w:tblPrEx>
        <w:tc>
          <w:tcPr>
            <w:tcW w:w="1231" w:type="dxa"/>
          </w:tcPr>
          <w:p w:rsidR="00534BCB" w:rsidRPr="000B7006" w:rsidP="009E2A7D" w14:paraId="387C3299" w14:textId="617B51BF">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3</w:t>
            </w:r>
          </w:p>
        </w:tc>
        <w:tc>
          <w:tcPr>
            <w:tcW w:w="2094" w:type="dxa"/>
          </w:tcPr>
          <w:p w:rsidR="00534BCB" w:rsidRPr="000B7006" w:rsidP="009E2A7D" w14:paraId="0FADF71E" w14:textId="2973CACC">
            <w:pPr>
              <w:keepNext/>
              <w:numPr>
                <w:ilvl w:val="0"/>
                <w:numId w:val="3"/>
              </w:numPr>
              <w:rPr>
                <w:rFonts w:ascii="Calibri" w:eastAsia="Calibri" w:hAnsi="Calibri" w:cs="Times New Roman"/>
                <w:sz w:val="24"/>
                <w:szCs w:val="24"/>
              </w:rPr>
            </w:pPr>
            <w:r>
              <w:rPr>
                <w:rFonts w:ascii="Calibri" w:eastAsia="Calibri" w:hAnsi="Calibri" w:cs="Times New Roman"/>
                <w:sz w:val="24"/>
                <w:szCs w:val="24"/>
              </w:rPr>
              <w:t>19, 22</w:t>
            </w:r>
          </w:p>
        </w:tc>
        <w:tc>
          <w:tcPr>
            <w:tcW w:w="6025" w:type="dxa"/>
          </w:tcPr>
          <w:p w:rsidR="00534BCB" w:rsidRPr="00446B34" w:rsidP="009E2A7D" w14:paraId="1FEE0414" w14:textId="49D3DE4D">
            <w:pPr>
              <w:keepNext/>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High response reliability is preferable. Specifically, the response reliability </w:t>
            </w:r>
            <w:r w:rsidRPr="00446B34" w:rsidR="001327F0">
              <w:rPr>
                <w:rFonts w:ascii="Calibri" w:eastAsia="Calibri" w:hAnsi="Calibri" w:cs="Times New Roman"/>
                <w:sz w:val="24"/>
                <w:szCs w:val="24"/>
              </w:rPr>
              <w:t xml:space="preserve">nominally </w:t>
            </w:r>
            <w:r w:rsidRPr="00446B34">
              <w:rPr>
                <w:rFonts w:ascii="Calibri" w:eastAsia="Calibri" w:hAnsi="Calibri" w:cs="Times New Roman"/>
                <w:sz w:val="24"/>
                <w:szCs w:val="24"/>
              </w:rPr>
              <w:t xml:space="preserve">being higher or comparable to ACS questions that are sensitive or have proxy-reporting differences is preferable. </w:t>
            </w:r>
          </w:p>
        </w:tc>
      </w:tr>
      <w:tr w14:paraId="3D42C316" w14:textId="77777777" w:rsidTr="201F90FC">
        <w:tblPrEx>
          <w:tblW w:w="0" w:type="auto"/>
          <w:tblLook w:val="04A0"/>
        </w:tblPrEx>
        <w:tc>
          <w:tcPr>
            <w:tcW w:w="1231" w:type="dxa"/>
          </w:tcPr>
          <w:p w:rsidR="005D4A95" w:rsidRPr="000B7006" w:rsidP="005D4A95" w14:paraId="33F10E22" w14:textId="3260C550">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4</w:t>
            </w:r>
          </w:p>
        </w:tc>
        <w:tc>
          <w:tcPr>
            <w:tcW w:w="2094" w:type="dxa"/>
          </w:tcPr>
          <w:p w:rsidR="005D4A95" w:rsidRPr="000B7006" w:rsidP="005D4A95" w14:paraId="41B80FE9" w14:textId="5B41D8B7">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1</w:t>
            </w:r>
          </w:p>
        </w:tc>
        <w:tc>
          <w:tcPr>
            <w:tcW w:w="6025" w:type="dxa"/>
          </w:tcPr>
          <w:p w:rsidR="005D4A95" w:rsidRPr="00446B34" w:rsidP="005D4A95" w14:paraId="4D472427" w14:textId="1C810184">
            <w:pPr>
              <w:keepNext/>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The estimates (sex at birth and gender) being nominally close to benchmarks is preferable. </w:t>
            </w:r>
          </w:p>
        </w:tc>
      </w:tr>
      <w:tr w14:paraId="5AD50C87" w14:textId="77777777" w:rsidTr="201F90FC">
        <w:tblPrEx>
          <w:tblW w:w="0" w:type="auto"/>
          <w:tblLook w:val="04A0"/>
        </w:tblPrEx>
        <w:tc>
          <w:tcPr>
            <w:tcW w:w="1231" w:type="dxa"/>
          </w:tcPr>
          <w:p w:rsidR="000A4BB2" w:rsidRPr="000B7006" w:rsidP="009E2A7D" w14:paraId="025AAAE5" w14:textId="33468AB8">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5</w:t>
            </w:r>
          </w:p>
        </w:tc>
        <w:tc>
          <w:tcPr>
            <w:tcW w:w="2094" w:type="dxa"/>
          </w:tcPr>
          <w:p w:rsidR="00D8289C" w:rsidRPr="000B7006" w:rsidP="009E2A7D" w14:paraId="6B5AC458" w14:textId="515B8405">
            <w:pPr>
              <w:keepNext/>
              <w:numPr>
                <w:ilvl w:val="0"/>
                <w:numId w:val="3"/>
              </w:numPr>
              <w:rPr>
                <w:rFonts w:ascii="Calibri" w:eastAsia="Calibri" w:hAnsi="Calibri" w:cs="Times New Roman"/>
                <w:sz w:val="24"/>
                <w:szCs w:val="24"/>
              </w:rPr>
            </w:pPr>
            <w:r>
              <w:rPr>
                <w:rFonts w:ascii="Calibri" w:eastAsia="Calibri" w:hAnsi="Calibri" w:cs="Times New Roman"/>
                <w:sz w:val="24"/>
                <w:szCs w:val="24"/>
              </w:rPr>
              <w:t>20-23</w:t>
            </w:r>
          </w:p>
        </w:tc>
        <w:tc>
          <w:tcPr>
            <w:tcW w:w="6025" w:type="dxa"/>
          </w:tcPr>
          <w:p w:rsidR="003D402E" w:rsidRPr="00446B34" w:rsidP="003D402E" w14:paraId="142B43CF" w14:textId="31AD5EFF">
            <w:pPr>
              <w:keepNext/>
              <w:rPr>
                <w:rFonts w:ascii="Calibri" w:eastAsia="Calibri" w:hAnsi="Calibri" w:cs="Times New Roman"/>
                <w:sz w:val="24"/>
                <w:szCs w:val="24"/>
              </w:rPr>
            </w:pPr>
            <w:r w:rsidRPr="00446B34">
              <w:rPr>
                <w:rFonts w:ascii="Calibri" w:eastAsia="Calibri" w:hAnsi="Calibri" w:cs="Times New Roman"/>
                <w:sz w:val="24"/>
                <w:szCs w:val="24"/>
              </w:rPr>
              <w:t>The difference in response reliability between proxy responses and self-responses being nominally smaller or comparable to ACS questions that are sensitive or have proxy-reporting differences is preferable.</w:t>
            </w:r>
          </w:p>
        </w:tc>
      </w:tr>
      <w:tr w14:paraId="2DE193B6" w14:textId="77777777" w:rsidTr="201F90FC">
        <w:tblPrEx>
          <w:tblW w:w="0" w:type="auto"/>
          <w:tblLook w:val="04A0"/>
        </w:tblPrEx>
        <w:tc>
          <w:tcPr>
            <w:tcW w:w="1231" w:type="dxa"/>
          </w:tcPr>
          <w:p w:rsidR="005E23DD" w:rsidRPr="000B7006" w:rsidP="009E2A7D" w14:paraId="6A890F75" w14:textId="41EC8529">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6</w:t>
            </w:r>
          </w:p>
        </w:tc>
        <w:tc>
          <w:tcPr>
            <w:tcW w:w="2094" w:type="dxa"/>
          </w:tcPr>
          <w:p w:rsidR="005E23DD" w:rsidRPr="000B7006" w:rsidP="009E2A7D" w14:paraId="2722E6A7" w14:textId="6D12FAFE">
            <w:pPr>
              <w:keepNext/>
              <w:numPr>
                <w:ilvl w:val="0"/>
                <w:numId w:val="3"/>
              </w:numPr>
              <w:rPr>
                <w:rFonts w:ascii="Calibri" w:eastAsia="Calibri" w:hAnsi="Calibri" w:cs="Times New Roman"/>
                <w:sz w:val="24"/>
                <w:szCs w:val="24"/>
              </w:rPr>
            </w:pPr>
            <w:r>
              <w:rPr>
                <w:rFonts w:ascii="Calibri" w:eastAsia="Calibri" w:hAnsi="Calibri" w:cs="Times New Roman"/>
                <w:sz w:val="24"/>
                <w:szCs w:val="24"/>
              </w:rPr>
              <w:t>24</w:t>
            </w:r>
          </w:p>
        </w:tc>
        <w:tc>
          <w:tcPr>
            <w:tcW w:w="6025" w:type="dxa"/>
          </w:tcPr>
          <w:p w:rsidR="005E23DD" w:rsidRPr="000B7006" w:rsidP="009E2A7D" w14:paraId="00F764C5" w14:textId="6C00153C">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 xml:space="preserve">The behavior of respondents on the internet instrument answering the Gender Identity questions </w:t>
            </w:r>
            <w:r w:rsidRPr="000B7006" w:rsidR="00E35CD2">
              <w:rPr>
                <w:rFonts w:ascii="Calibri" w:eastAsia="Calibri" w:hAnsi="Calibri" w:cs="Times New Roman"/>
                <w:sz w:val="24"/>
                <w:szCs w:val="24"/>
              </w:rPr>
              <w:t xml:space="preserve">(e.g., breakoff rates and help screen access rates) </w:t>
            </w:r>
            <w:r w:rsidRPr="000B7006">
              <w:rPr>
                <w:rFonts w:ascii="Calibri" w:eastAsia="Calibri" w:hAnsi="Calibri" w:cs="Times New Roman"/>
                <w:sz w:val="24"/>
                <w:szCs w:val="24"/>
              </w:rPr>
              <w:t xml:space="preserve">being comparable to how they answer other sensitive or complex questions is preferable. </w:t>
            </w:r>
            <w:r w:rsidR="004471EB">
              <w:rPr>
                <w:rFonts w:ascii="Calibri" w:eastAsia="Calibri" w:hAnsi="Calibri" w:cs="Times New Roman"/>
                <w:sz w:val="24"/>
                <w:szCs w:val="24"/>
              </w:rPr>
              <w:t xml:space="preserve">Specifically, the metrics for Gender Identity being smaller or comparable to those for other questions is preferable. </w:t>
            </w:r>
          </w:p>
        </w:tc>
      </w:tr>
    </w:tbl>
    <w:p w:rsidR="00534BCB" w:rsidP="008736F6" w14:paraId="204F73E7" w14:textId="2A743947">
      <w:pPr>
        <w:pStyle w:val="NoSpacing"/>
      </w:pPr>
    </w:p>
    <w:p w:rsidR="009B53C8" w:rsidP="00733F5F" w14:paraId="47C617BC" w14:textId="408C13F2">
      <w:pPr>
        <w:pStyle w:val="BodyText"/>
      </w:pPr>
      <w:r>
        <w:t>W</w:t>
      </w:r>
      <w:r>
        <w:t xml:space="preserve">hen evaluating general data quality from the Sexual Orientation question, including the quality of proxy responses, </w:t>
      </w:r>
      <w:r>
        <w:t xml:space="preserve">the most important results of this analysis </w:t>
      </w:r>
      <w:r>
        <w:t>are, in order of priority:</w:t>
      </w:r>
    </w:p>
    <w:p w:rsidR="0021103D" w:rsidP="0021103D" w14:paraId="58C59842" w14:textId="541C2AFF">
      <w:pPr>
        <w:pStyle w:val="Caption"/>
      </w:pPr>
      <w:r>
        <w:t xml:space="preserve">Table </w:t>
      </w:r>
      <w:r w:rsidR="00EE6355">
        <w:fldChar w:fldCharType="begin"/>
      </w:r>
      <w:r w:rsidR="00EE6355">
        <w:instrText xml:space="preserve"> SEQ Table \* ARABIC </w:instrText>
      </w:r>
      <w:r w:rsidR="00EE6355">
        <w:fldChar w:fldCharType="separate"/>
      </w:r>
      <w:r w:rsidR="00F376F4">
        <w:rPr>
          <w:noProof/>
        </w:rPr>
        <w:t>7</w:t>
      </w:r>
      <w:r w:rsidR="00EE6355">
        <w:rPr>
          <w:noProof/>
        </w:rPr>
        <w:fldChar w:fldCharType="end"/>
      </w:r>
      <w:r>
        <w:t>. Decision Criteria for</w:t>
      </w:r>
      <w:r w:rsidR="00675786">
        <w:t xml:space="preserve"> Evaluating</w:t>
      </w:r>
      <w:r>
        <w:t xml:space="preserve"> Sexual Orientation</w:t>
      </w:r>
    </w:p>
    <w:tbl>
      <w:tblPr>
        <w:tblStyle w:val="TableGrid4"/>
        <w:tblW w:w="0" w:type="auto"/>
        <w:tblLook w:val="04A0"/>
      </w:tblPr>
      <w:tblGrid>
        <w:gridCol w:w="1231"/>
        <w:gridCol w:w="2094"/>
        <w:gridCol w:w="6025"/>
      </w:tblGrid>
      <w:tr w14:paraId="03569467" w14:textId="77777777" w:rsidTr="005C63D4">
        <w:tblPrEx>
          <w:tblW w:w="0" w:type="auto"/>
          <w:tblLook w:val="04A0"/>
        </w:tblPrEx>
        <w:tc>
          <w:tcPr>
            <w:tcW w:w="1231" w:type="dxa"/>
            <w:shd w:val="clear" w:color="auto" w:fill="E7E6E6" w:themeFill="background2"/>
          </w:tcPr>
          <w:p w:rsidR="0021103D" w:rsidRPr="00F70565" w:rsidP="005C63D4" w14:paraId="5D98FF1F"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Priority</w:t>
            </w:r>
          </w:p>
        </w:tc>
        <w:tc>
          <w:tcPr>
            <w:tcW w:w="2094" w:type="dxa"/>
            <w:shd w:val="clear" w:color="auto" w:fill="E7E6E6" w:themeFill="background2"/>
          </w:tcPr>
          <w:p w:rsidR="0021103D" w:rsidRPr="00F70565" w:rsidP="005C63D4" w14:paraId="518026D2"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Research Question</w:t>
            </w:r>
          </w:p>
        </w:tc>
        <w:tc>
          <w:tcPr>
            <w:tcW w:w="6025" w:type="dxa"/>
            <w:shd w:val="clear" w:color="auto" w:fill="E7E6E6" w:themeFill="background2"/>
          </w:tcPr>
          <w:p w:rsidR="0021103D" w:rsidRPr="00F70565" w:rsidP="005C63D4" w14:paraId="3C5E28F8"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Decision Criteria</w:t>
            </w:r>
          </w:p>
        </w:tc>
      </w:tr>
      <w:tr w14:paraId="76A8C683" w14:textId="77777777" w:rsidTr="005C63D4">
        <w:tblPrEx>
          <w:tblW w:w="0" w:type="auto"/>
          <w:tblLook w:val="04A0"/>
        </w:tblPrEx>
        <w:tc>
          <w:tcPr>
            <w:tcW w:w="1231" w:type="dxa"/>
          </w:tcPr>
          <w:p w:rsidR="0021103D" w:rsidRPr="0021103D" w:rsidP="005C63D4" w14:paraId="2B87F2E2" w14:textId="77777777">
            <w:pPr>
              <w:numPr>
                <w:ilvl w:val="0"/>
                <w:numId w:val="3"/>
              </w:numPr>
              <w:rPr>
                <w:rFonts w:ascii="Calibri" w:eastAsia="Calibri" w:hAnsi="Calibri" w:cs="Times New Roman"/>
                <w:sz w:val="24"/>
                <w:szCs w:val="24"/>
              </w:rPr>
            </w:pPr>
            <w:r w:rsidRPr="0021103D">
              <w:rPr>
                <w:rFonts w:ascii="Calibri" w:eastAsia="Calibri" w:hAnsi="Calibri" w:cs="Times New Roman"/>
                <w:sz w:val="24"/>
                <w:szCs w:val="24"/>
              </w:rPr>
              <w:t>1</w:t>
            </w:r>
          </w:p>
        </w:tc>
        <w:tc>
          <w:tcPr>
            <w:tcW w:w="2094" w:type="dxa"/>
          </w:tcPr>
          <w:p w:rsidR="0021103D" w:rsidRPr="0021103D" w:rsidP="005C63D4" w14:paraId="197D9C2C" w14:textId="7107314F">
            <w:pPr>
              <w:numPr>
                <w:ilvl w:val="0"/>
                <w:numId w:val="3"/>
              </w:numPr>
              <w:rPr>
                <w:rFonts w:ascii="Calibri" w:eastAsia="Calibri" w:hAnsi="Calibri" w:cs="Times New Roman"/>
                <w:sz w:val="24"/>
                <w:szCs w:val="24"/>
              </w:rPr>
            </w:pPr>
            <w:r>
              <w:rPr>
                <w:rFonts w:ascii="Calibri" w:eastAsia="Calibri" w:hAnsi="Calibri" w:cs="Times New Roman"/>
                <w:sz w:val="24"/>
                <w:szCs w:val="24"/>
              </w:rPr>
              <w:t>2</w:t>
            </w:r>
            <w:r w:rsidR="005D4A95">
              <w:rPr>
                <w:rFonts w:ascii="Calibri" w:eastAsia="Calibri" w:hAnsi="Calibri" w:cs="Times New Roman"/>
                <w:sz w:val="24"/>
                <w:szCs w:val="24"/>
              </w:rPr>
              <w:t>,</w:t>
            </w:r>
            <w:r w:rsidR="00BE7884">
              <w:rPr>
                <w:rFonts w:ascii="Calibri" w:eastAsia="Calibri" w:hAnsi="Calibri" w:cs="Times New Roman"/>
                <w:sz w:val="24"/>
                <w:szCs w:val="24"/>
              </w:rPr>
              <w:t xml:space="preserve"> 4,</w:t>
            </w:r>
            <w:r w:rsidR="005D4A95">
              <w:rPr>
                <w:rFonts w:ascii="Calibri" w:eastAsia="Calibri" w:hAnsi="Calibri" w:cs="Times New Roman"/>
                <w:sz w:val="24"/>
                <w:szCs w:val="24"/>
              </w:rPr>
              <w:t xml:space="preserve"> 5</w:t>
            </w:r>
          </w:p>
        </w:tc>
        <w:tc>
          <w:tcPr>
            <w:tcW w:w="6025" w:type="dxa"/>
          </w:tcPr>
          <w:p w:rsidR="0021103D" w:rsidRPr="0021103D" w:rsidP="005C63D4" w14:paraId="02DD162F" w14:textId="77777777">
            <w:pPr>
              <w:numPr>
                <w:ilvl w:val="0"/>
                <w:numId w:val="3"/>
              </w:numPr>
              <w:rPr>
                <w:rFonts w:ascii="Calibri" w:eastAsia="Calibri" w:hAnsi="Calibri" w:cs="Times New Roman"/>
                <w:sz w:val="24"/>
                <w:szCs w:val="24"/>
              </w:rPr>
            </w:pPr>
            <w:r w:rsidRPr="0021103D">
              <w:rPr>
                <w:rFonts w:ascii="Calibri" w:eastAsia="Calibri" w:hAnsi="Calibri" w:cs="Times New Roman"/>
                <w:sz w:val="24"/>
                <w:szCs w:val="24"/>
              </w:rPr>
              <w:t xml:space="preserve">Low item missingness is preferable. Specifically, the item missingness being lower or comparable to ACS questions that are sensitive or have proxy-reporting differences is preferable. </w:t>
            </w:r>
          </w:p>
        </w:tc>
      </w:tr>
      <w:tr w14:paraId="2413D953" w14:textId="77777777" w:rsidTr="005C63D4">
        <w:tblPrEx>
          <w:tblW w:w="0" w:type="auto"/>
          <w:tblLook w:val="04A0"/>
        </w:tblPrEx>
        <w:tc>
          <w:tcPr>
            <w:tcW w:w="1231" w:type="dxa"/>
          </w:tcPr>
          <w:p w:rsidR="0021103D" w:rsidRPr="0021103D" w:rsidP="005C63D4" w14:paraId="43D48DB2" w14:textId="77777777">
            <w:pPr>
              <w:numPr>
                <w:ilvl w:val="0"/>
                <w:numId w:val="3"/>
              </w:numPr>
              <w:rPr>
                <w:rFonts w:ascii="Calibri" w:eastAsia="Calibri" w:hAnsi="Calibri" w:cs="Times New Roman"/>
                <w:sz w:val="24"/>
                <w:szCs w:val="24"/>
              </w:rPr>
            </w:pPr>
            <w:r w:rsidRPr="0021103D">
              <w:rPr>
                <w:rFonts w:ascii="Calibri" w:eastAsia="Calibri" w:hAnsi="Calibri" w:cs="Times New Roman"/>
                <w:sz w:val="24"/>
                <w:szCs w:val="24"/>
              </w:rPr>
              <w:t>2</w:t>
            </w:r>
          </w:p>
        </w:tc>
        <w:tc>
          <w:tcPr>
            <w:tcW w:w="2094" w:type="dxa"/>
          </w:tcPr>
          <w:p w:rsidR="0021103D" w:rsidRPr="0021103D" w:rsidP="005C63D4" w14:paraId="4C4CCB0B" w14:textId="40ECD8A1">
            <w:pPr>
              <w:numPr>
                <w:ilvl w:val="0"/>
                <w:numId w:val="3"/>
              </w:numPr>
              <w:rPr>
                <w:rFonts w:ascii="Calibri" w:eastAsia="Calibri" w:hAnsi="Calibri" w:cs="Times New Roman"/>
                <w:sz w:val="24"/>
                <w:szCs w:val="24"/>
              </w:rPr>
            </w:pPr>
            <w:r>
              <w:rPr>
                <w:rFonts w:ascii="Calibri" w:eastAsia="Calibri" w:hAnsi="Calibri" w:cs="Times New Roman"/>
                <w:sz w:val="24"/>
                <w:szCs w:val="24"/>
              </w:rPr>
              <w:t>1</w:t>
            </w:r>
            <w:r w:rsidR="00BE7884">
              <w:rPr>
                <w:rFonts w:ascii="Calibri" w:eastAsia="Calibri" w:hAnsi="Calibri" w:cs="Times New Roman"/>
                <w:sz w:val="24"/>
                <w:szCs w:val="24"/>
              </w:rPr>
              <w:t>5, 18</w:t>
            </w:r>
          </w:p>
        </w:tc>
        <w:tc>
          <w:tcPr>
            <w:tcW w:w="6025" w:type="dxa"/>
          </w:tcPr>
          <w:p w:rsidR="0021103D" w:rsidRPr="00446B34" w:rsidP="005C63D4" w14:paraId="3916359F" w14:textId="53DBF288">
            <w:pPr>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High response reliability is preferable. Specifically, the response reliability being </w:t>
            </w:r>
            <w:r w:rsidRPr="00446B34" w:rsidR="00126781">
              <w:rPr>
                <w:rFonts w:ascii="Calibri" w:eastAsia="Calibri" w:hAnsi="Calibri" w:cs="Times New Roman"/>
                <w:sz w:val="24"/>
                <w:szCs w:val="24"/>
              </w:rPr>
              <w:t xml:space="preserve">nominally </w:t>
            </w:r>
            <w:r w:rsidRPr="00446B34">
              <w:rPr>
                <w:rFonts w:ascii="Calibri" w:eastAsia="Calibri" w:hAnsi="Calibri" w:cs="Times New Roman"/>
                <w:sz w:val="24"/>
                <w:szCs w:val="24"/>
              </w:rPr>
              <w:t xml:space="preserve">higher or comparable to ACS questions that are sensitive or have proxy-reporting differences is preferable. </w:t>
            </w:r>
          </w:p>
        </w:tc>
      </w:tr>
      <w:tr w14:paraId="4F6B23A1" w14:textId="77777777" w:rsidTr="005C63D4">
        <w:tblPrEx>
          <w:tblW w:w="0" w:type="auto"/>
          <w:tblLook w:val="04A0"/>
        </w:tblPrEx>
        <w:tc>
          <w:tcPr>
            <w:tcW w:w="1231" w:type="dxa"/>
          </w:tcPr>
          <w:p w:rsidR="0021103D" w:rsidRPr="0021103D" w:rsidP="005C63D4" w14:paraId="28850059" w14:textId="77777777">
            <w:pPr>
              <w:numPr>
                <w:ilvl w:val="0"/>
                <w:numId w:val="3"/>
              </w:numPr>
              <w:rPr>
                <w:rFonts w:ascii="Calibri" w:eastAsia="Calibri" w:hAnsi="Calibri" w:cs="Times New Roman"/>
                <w:sz w:val="24"/>
                <w:szCs w:val="24"/>
              </w:rPr>
            </w:pPr>
            <w:r w:rsidRPr="0021103D">
              <w:rPr>
                <w:rFonts w:ascii="Calibri" w:eastAsia="Calibri" w:hAnsi="Calibri" w:cs="Times New Roman"/>
                <w:sz w:val="24"/>
                <w:szCs w:val="24"/>
              </w:rPr>
              <w:t>3</w:t>
            </w:r>
          </w:p>
        </w:tc>
        <w:tc>
          <w:tcPr>
            <w:tcW w:w="2094" w:type="dxa"/>
          </w:tcPr>
          <w:p w:rsidR="0021103D" w:rsidRPr="0021103D" w:rsidP="005C63D4" w14:paraId="116B1CD8" w14:textId="49110774">
            <w:pPr>
              <w:numPr>
                <w:ilvl w:val="0"/>
                <w:numId w:val="3"/>
              </w:numPr>
              <w:rPr>
                <w:rFonts w:ascii="Calibri" w:eastAsia="Calibri" w:hAnsi="Calibri" w:cs="Times New Roman"/>
                <w:sz w:val="24"/>
                <w:szCs w:val="24"/>
              </w:rPr>
            </w:pPr>
            <w:r>
              <w:rPr>
                <w:rFonts w:ascii="Calibri" w:eastAsia="Calibri" w:hAnsi="Calibri" w:cs="Times New Roman"/>
                <w:sz w:val="24"/>
                <w:szCs w:val="24"/>
              </w:rPr>
              <w:t>16-19</w:t>
            </w:r>
          </w:p>
        </w:tc>
        <w:tc>
          <w:tcPr>
            <w:tcW w:w="6025" w:type="dxa"/>
          </w:tcPr>
          <w:p w:rsidR="00FA759E" w:rsidRPr="00446B34" w:rsidP="005C63D4" w14:paraId="553E3B05" w14:textId="6D576FA4">
            <w:pPr>
              <w:numPr>
                <w:ilvl w:val="0"/>
                <w:numId w:val="3"/>
              </w:numPr>
              <w:rPr>
                <w:rFonts w:ascii="Calibri" w:eastAsia="Calibri" w:hAnsi="Calibri" w:cs="Times New Roman"/>
                <w:sz w:val="24"/>
                <w:szCs w:val="24"/>
              </w:rPr>
            </w:pPr>
            <w:r w:rsidRPr="00446B34">
              <w:rPr>
                <w:rFonts w:ascii="Calibri" w:eastAsia="Calibri" w:hAnsi="Calibri" w:cs="Times New Roman"/>
                <w:sz w:val="24"/>
                <w:szCs w:val="24"/>
              </w:rPr>
              <w:t>The difference in response reliability between proxy responses and self-responses being nominally smaller or comparable to ACS questions that are sensitive or have proxy-reporting differences is preferable.</w:t>
            </w:r>
          </w:p>
        </w:tc>
      </w:tr>
      <w:tr w14:paraId="0260D4B2" w14:textId="77777777" w:rsidTr="005C63D4">
        <w:tblPrEx>
          <w:tblW w:w="0" w:type="auto"/>
          <w:tblLook w:val="04A0"/>
        </w:tblPrEx>
        <w:tc>
          <w:tcPr>
            <w:tcW w:w="1231" w:type="dxa"/>
          </w:tcPr>
          <w:p w:rsidR="0021103D" w:rsidRPr="0021103D" w:rsidP="005C63D4" w14:paraId="5C42B825" w14:textId="77777777">
            <w:pPr>
              <w:numPr>
                <w:ilvl w:val="0"/>
                <w:numId w:val="3"/>
              </w:numPr>
              <w:rPr>
                <w:rFonts w:ascii="Calibri" w:eastAsia="Calibri" w:hAnsi="Calibri" w:cs="Times New Roman"/>
                <w:sz w:val="24"/>
                <w:szCs w:val="24"/>
              </w:rPr>
            </w:pPr>
            <w:r w:rsidRPr="0021103D">
              <w:rPr>
                <w:rFonts w:ascii="Calibri" w:eastAsia="Calibri" w:hAnsi="Calibri" w:cs="Times New Roman"/>
                <w:sz w:val="24"/>
                <w:szCs w:val="24"/>
              </w:rPr>
              <w:t>4</w:t>
            </w:r>
          </w:p>
        </w:tc>
        <w:tc>
          <w:tcPr>
            <w:tcW w:w="2094" w:type="dxa"/>
          </w:tcPr>
          <w:p w:rsidR="0021103D" w:rsidRPr="0021103D" w:rsidP="005C63D4" w14:paraId="069F496C" w14:textId="2883EE53">
            <w:pPr>
              <w:numPr>
                <w:ilvl w:val="0"/>
                <w:numId w:val="3"/>
              </w:numPr>
              <w:rPr>
                <w:rFonts w:ascii="Calibri" w:eastAsia="Calibri" w:hAnsi="Calibri" w:cs="Times New Roman"/>
                <w:sz w:val="24"/>
                <w:szCs w:val="24"/>
              </w:rPr>
            </w:pPr>
            <w:r>
              <w:rPr>
                <w:rFonts w:ascii="Calibri" w:eastAsia="Calibri" w:hAnsi="Calibri" w:cs="Times New Roman"/>
                <w:sz w:val="24"/>
                <w:szCs w:val="24"/>
              </w:rPr>
              <w:t>1</w:t>
            </w:r>
          </w:p>
        </w:tc>
        <w:tc>
          <w:tcPr>
            <w:tcW w:w="6025" w:type="dxa"/>
          </w:tcPr>
          <w:p w:rsidR="0021103D" w:rsidRPr="0021103D" w:rsidP="005C63D4" w14:paraId="27D06FE1" w14:textId="77777777">
            <w:pPr>
              <w:numPr>
                <w:ilvl w:val="0"/>
                <w:numId w:val="3"/>
              </w:numPr>
              <w:rPr>
                <w:rFonts w:ascii="Calibri" w:eastAsia="Calibri" w:hAnsi="Calibri" w:cs="Times New Roman"/>
                <w:sz w:val="24"/>
                <w:szCs w:val="24"/>
              </w:rPr>
            </w:pPr>
            <w:r w:rsidRPr="0021103D">
              <w:rPr>
                <w:rFonts w:ascii="Calibri" w:eastAsia="Calibri" w:hAnsi="Calibri" w:cs="Times New Roman"/>
                <w:sz w:val="24"/>
                <w:szCs w:val="24"/>
              </w:rPr>
              <w:t xml:space="preserve">The estimates being nominally close to benchmarks is preferable. </w:t>
            </w:r>
          </w:p>
        </w:tc>
      </w:tr>
      <w:tr w14:paraId="2FBB162A" w14:textId="77777777" w:rsidTr="005C63D4">
        <w:tblPrEx>
          <w:tblW w:w="0" w:type="auto"/>
          <w:tblLook w:val="04A0"/>
        </w:tblPrEx>
        <w:tc>
          <w:tcPr>
            <w:tcW w:w="1231" w:type="dxa"/>
          </w:tcPr>
          <w:p w:rsidR="003E528D" w:rsidRPr="003E528D" w:rsidP="003E528D" w14:paraId="11E81218" w14:textId="7DF142DF">
            <w:pPr>
              <w:numPr>
                <w:ilvl w:val="0"/>
                <w:numId w:val="3"/>
              </w:numPr>
              <w:rPr>
                <w:rFonts w:ascii="Calibri" w:eastAsia="Calibri" w:hAnsi="Calibri" w:cs="Times New Roman"/>
                <w:sz w:val="24"/>
                <w:szCs w:val="24"/>
              </w:rPr>
            </w:pPr>
            <w:r w:rsidRPr="003E528D">
              <w:rPr>
                <w:rFonts w:ascii="Calibri" w:eastAsia="Calibri" w:hAnsi="Calibri" w:cs="Times New Roman"/>
                <w:sz w:val="24"/>
                <w:szCs w:val="24"/>
              </w:rPr>
              <w:t>5</w:t>
            </w:r>
          </w:p>
        </w:tc>
        <w:tc>
          <w:tcPr>
            <w:tcW w:w="2094" w:type="dxa"/>
          </w:tcPr>
          <w:p w:rsidR="003E528D" w:rsidRPr="003E528D" w:rsidP="003E528D" w14:paraId="0F0AD78C" w14:textId="1D482809">
            <w:pPr>
              <w:numPr>
                <w:ilvl w:val="0"/>
                <w:numId w:val="3"/>
              </w:numPr>
              <w:rPr>
                <w:rFonts w:ascii="Calibri" w:eastAsia="Calibri" w:hAnsi="Calibri" w:cs="Times New Roman"/>
                <w:sz w:val="24"/>
                <w:szCs w:val="24"/>
              </w:rPr>
            </w:pPr>
            <w:r w:rsidRPr="003E528D">
              <w:rPr>
                <w:rFonts w:ascii="Calibri" w:eastAsia="Calibri" w:hAnsi="Calibri" w:cs="Times New Roman"/>
                <w:sz w:val="24"/>
                <w:szCs w:val="24"/>
              </w:rPr>
              <w:t>2</w:t>
            </w:r>
            <w:r w:rsidR="00BE7884">
              <w:rPr>
                <w:rFonts w:ascii="Calibri" w:eastAsia="Calibri" w:hAnsi="Calibri" w:cs="Times New Roman"/>
                <w:sz w:val="24"/>
                <w:szCs w:val="24"/>
              </w:rPr>
              <w:t>0</w:t>
            </w:r>
          </w:p>
        </w:tc>
        <w:tc>
          <w:tcPr>
            <w:tcW w:w="6025" w:type="dxa"/>
          </w:tcPr>
          <w:p w:rsidR="003E528D" w:rsidRPr="0021103D" w:rsidP="003E528D" w14:paraId="2DFBCB82" w14:textId="1F08C266">
            <w:pPr>
              <w:numPr>
                <w:ilvl w:val="0"/>
                <w:numId w:val="3"/>
              </w:numPr>
              <w:rPr>
                <w:rFonts w:ascii="Calibri" w:eastAsia="Calibri" w:hAnsi="Calibri" w:cs="Times New Roman"/>
              </w:rPr>
            </w:pPr>
            <w:r w:rsidRPr="005E23DD">
              <w:rPr>
                <w:rFonts w:ascii="Calibri" w:eastAsia="Calibri" w:hAnsi="Calibri" w:cs="Times New Roman"/>
                <w:sz w:val="24"/>
                <w:szCs w:val="24"/>
              </w:rPr>
              <w:t xml:space="preserve">The behavior of respondents on the internet instrument answering the </w:t>
            </w:r>
            <w:r>
              <w:rPr>
                <w:rFonts w:ascii="Calibri" w:eastAsia="Calibri" w:hAnsi="Calibri" w:cs="Times New Roman"/>
                <w:sz w:val="24"/>
                <w:szCs w:val="24"/>
              </w:rPr>
              <w:t>Sexual Orientation</w:t>
            </w:r>
            <w:r w:rsidRPr="005E23DD">
              <w:rPr>
                <w:rFonts w:ascii="Calibri" w:eastAsia="Calibri" w:hAnsi="Calibri" w:cs="Times New Roman"/>
                <w:sz w:val="24"/>
                <w:szCs w:val="24"/>
              </w:rPr>
              <w:t xml:space="preserve"> question</w:t>
            </w:r>
            <w:r w:rsidR="005D4A95">
              <w:rPr>
                <w:rFonts w:ascii="Calibri" w:eastAsia="Calibri" w:hAnsi="Calibri" w:cs="Times New Roman"/>
                <w:sz w:val="24"/>
                <w:szCs w:val="24"/>
              </w:rPr>
              <w:t xml:space="preserve"> (e.g., breakoff rates and help screen access rates) </w:t>
            </w:r>
            <w:r w:rsidRPr="005E23DD">
              <w:rPr>
                <w:rFonts w:ascii="Calibri" w:eastAsia="Calibri" w:hAnsi="Calibri" w:cs="Times New Roman"/>
                <w:sz w:val="24"/>
                <w:szCs w:val="24"/>
              </w:rPr>
              <w:t>being comparable to how they answer other sensitive or complex questions is preferable.</w:t>
            </w:r>
            <w:r w:rsidR="004471EB">
              <w:rPr>
                <w:rFonts w:ascii="Calibri" w:eastAsia="Calibri" w:hAnsi="Calibri" w:cs="Times New Roman"/>
                <w:sz w:val="24"/>
                <w:szCs w:val="24"/>
              </w:rPr>
              <w:t xml:space="preserve"> Specifically, the metrics for Sexual Orientation</w:t>
            </w:r>
            <w:r w:rsidRPr="005E23DD" w:rsidR="004471EB">
              <w:rPr>
                <w:rFonts w:ascii="Calibri" w:eastAsia="Calibri" w:hAnsi="Calibri" w:cs="Times New Roman"/>
                <w:sz w:val="24"/>
                <w:szCs w:val="24"/>
              </w:rPr>
              <w:t xml:space="preserve"> </w:t>
            </w:r>
            <w:r w:rsidR="004471EB">
              <w:rPr>
                <w:rFonts w:ascii="Calibri" w:eastAsia="Calibri" w:hAnsi="Calibri" w:cs="Times New Roman"/>
                <w:sz w:val="24"/>
                <w:szCs w:val="24"/>
              </w:rPr>
              <w:t xml:space="preserve">being smaller or comparable to those for other questions is preferable. </w:t>
            </w:r>
            <w:r w:rsidRPr="005E23DD">
              <w:rPr>
                <w:rFonts w:ascii="Calibri" w:eastAsia="Calibri" w:hAnsi="Calibri" w:cs="Times New Roman"/>
                <w:sz w:val="24"/>
                <w:szCs w:val="24"/>
              </w:rPr>
              <w:t xml:space="preserve">  </w:t>
            </w:r>
          </w:p>
        </w:tc>
      </w:tr>
    </w:tbl>
    <w:p w:rsidR="0021103D" w:rsidP="008736F6" w14:paraId="68C4B678" w14:textId="2992DEB2">
      <w:pPr>
        <w:pStyle w:val="NoSpacing"/>
      </w:pPr>
    </w:p>
    <w:p w:rsidR="009B53C8" w:rsidP="009B53C8" w14:paraId="0942F1CD" w14:textId="697A0826">
      <w:pPr>
        <w:pStyle w:val="BodyText"/>
      </w:pPr>
      <w:r>
        <w:t>W</w:t>
      </w:r>
      <w:r>
        <w:t>hen evaluating mark all vs. mark one in the Current Gender question</w:t>
      </w:r>
      <w:r>
        <w:t xml:space="preserve">, the most important results of this analysis </w:t>
      </w:r>
      <w:r>
        <w:t>are, in order of priority:</w:t>
      </w:r>
    </w:p>
    <w:p w:rsidR="008736F6" w:rsidP="008736F6" w14:paraId="5068ACFE" w14:textId="66945966">
      <w:pPr>
        <w:pStyle w:val="Caption"/>
      </w:pPr>
      <w:r>
        <w:t xml:space="preserve">Table </w:t>
      </w:r>
      <w:r w:rsidR="00EE6355">
        <w:fldChar w:fldCharType="begin"/>
      </w:r>
      <w:r w:rsidR="00EE6355">
        <w:instrText xml:space="preserve"> SEQ Table \* ARABIC </w:instrText>
      </w:r>
      <w:r w:rsidR="00EE6355">
        <w:fldChar w:fldCharType="separate"/>
      </w:r>
      <w:r w:rsidR="00F376F4">
        <w:rPr>
          <w:noProof/>
        </w:rPr>
        <w:t>8</w:t>
      </w:r>
      <w:r w:rsidR="00EE6355">
        <w:rPr>
          <w:noProof/>
        </w:rPr>
        <w:fldChar w:fldCharType="end"/>
      </w:r>
      <w:r>
        <w:t>. Decision Criteria for Mark All vs Mark One for Gender Identity</w:t>
      </w:r>
    </w:p>
    <w:tbl>
      <w:tblPr>
        <w:tblStyle w:val="TableGrid4"/>
        <w:tblW w:w="0" w:type="auto"/>
        <w:tblLook w:val="04A0"/>
      </w:tblPr>
      <w:tblGrid>
        <w:gridCol w:w="1231"/>
        <w:gridCol w:w="2094"/>
        <w:gridCol w:w="6025"/>
      </w:tblGrid>
      <w:tr w14:paraId="2F7F5593" w14:textId="77777777" w:rsidTr="005C63D4">
        <w:tblPrEx>
          <w:tblW w:w="0" w:type="auto"/>
          <w:tblLook w:val="04A0"/>
        </w:tblPrEx>
        <w:tc>
          <w:tcPr>
            <w:tcW w:w="1231" w:type="dxa"/>
            <w:shd w:val="clear" w:color="auto" w:fill="E7E6E6" w:themeFill="background2"/>
          </w:tcPr>
          <w:p w:rsidR="009B53C8" w:rsidRPr="00F70565" w:rsidP="005C63D4" w14:paraId="1CDDDAEB"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Priority</w:t>
            </w:r>
          </w:p>
        </w:tc>
        <w:tc>
          <w:tcPr>
            <w:tcW w:w="2094" w:type="dxa"/>
            <w:shd w:val="clear" w:color="auto" w:fill="E7E6E6" w:themeFill="background2"/>
          </w:tcPr>
          <w:p w:rsidR="009B53C8" w:rsidRPr="00F70565" w:rsidP="005C63D4" w14:paraId="06242F22"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Research Question</w:t>
            </w:r>
          </w:p>
        </w:tc>
        <w:tc>
          <w:tcPr>
            <w:tcW w:w="6025" w:type="dxa"/>
            <w:shd w:val="clear" w:color="auto" w:fill="E7E6E6" w:themeFill="background2"/>
          </w:tcPr>
          <w:p w:rsidR="009B53C8" w:rsidRPr="00F70565" w:rsidP="005C63D4" w14:paraId="3530E2F3"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Decision Criteria</w:t>
            </w:r>
          </w:p>
        </w:tc>
      </w:tr>
      <w:tr w14:paraId="554E4F20" w14:textId="77777777" w:rsidTr="005C63D4">
        <w:tblPrEx>
          <w:tblW w:w="0" w:type="auto"/>
          <w:tblLook w:val="04A0"/>
        </w:tblPrEx>
        <w:tc>
          <w:tcPr>
            <w:tcW w:w="1231" w:type="dxa"/>
          </w:tcPr>
          <w:p w:rsidR="009B53C8" w:rsidRPr="000B7006" w:rsidP="005C63D4" w14:paraId="4302C550" w14:textId="77777777">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1</w:t>
            </w:r>
          </w:p>
        </w:tc>
        <w:tc>
          <w:tcPr>
            <w:tcW w:w="2094" w:type="dxa"/>
          </w:tcPr>
          <w:p w:rsidR="009B53C8" w:rsidRPr="000B7006" w:rsidP="005C63D4" w14:paraId="5C5870E4" w14:textId="71CA60AE">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3</w:t>
            </w:r>
            <w:r w:rsidR="00BE7884">
              <w:rPr>
                <w:rFonts w:ascii="Calibri" w:eastAsia="Calibri" w:hAnsi="Calibri" w:cs="Times New Roman"/>
                <w:sz w:val="24"/>
                <w:szCs w:val="24"/>
              </w:rPr>
              <w:t>, 4, 6</w:t>
            </w:r>
          </w:p>
        </w:tc>
        <w:tc>
          <w:tcPr>
            <w:tcW w:w="6025" w:type="dxa"/>
          </w:tcPr>
          <w:p w:rsidR="009B53C8" w:rsidRPr="000B7006" w:rsidP="005C63D4" w14:paraId="47EFCB12" w14:textId="4A15EC19">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 xml:space="preserve">The treatment with the lowest item missingness is preferable. </w:t>
            </w:r>
          </w:p>
        </w:tc>
      </w:tr>
      <w:tr w14:paraId="459DF057" w14:textId="77777777" w:rsidTr="005C63D4">
        <w:tblPrEx>
          <w:tblW w:w="0" w:type="auto"/>
          <w:tblLook w:val="04A0"/>
        </w:tblPrEx>
        <w:tc>
          <w:tcPr>
            <w:tcW w:w="1231" w:type="dxa"/>
          </w:tcPr>
          <w:p w:rsidR="009B53C8" w:rsidRPr="000B7006" w:rsidP="005C63D4" w14:paraId="383E5372" w14:textId="77777777">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2</w:t>
            </w:r>
          </w:p>
        </w:tc>
        <w:tc>
          <w:tcPr>
            <w:tcW w:w="2094" w:type="dxa"/>
          </w:tcPr>
          <w:p w:rsidR="009B53C8" w:rsidRPr="000B7006" w:rsidP="005C63D4" w14:paraId="4A140791" w14:textId="4D79CBEE">
            <w:pPr>
              <w:numPr>
                <w:ilvl w:val="0"/>
                <w:numId w:val="3"/>
              </w:numPr>
              <w:rPr>
                <w:rFonts w:ascii="Calibri" w:eastAsia="Calibri" w:hAnsi="Calibri" w:cs="Times New Roman"/>
                <w:sz w:val="24"/>
                <w:szCs w:val="24"/>
              </w:rPr>
            </w:pPr>
            <w:r>
              <w:rPr>
                <w:rFonts w:ascii="Calibri" w:eastAsia="Calibri" w:hAnsi="Calibri" w:cs="Times New Roman"/>
                <w:sz w:val="24"/>
                <w:szCs w:val="24"/>
              </w:rPr>
              <w:t>14-15</w:t>
            </w:r>
          </w:p>
        </w:tc>
        <w:tc>
          <w:tcPr>
            <w:tcW w:w="6025" w:type="dxa"/>
          </w:tcPr>
          <w:p w:rsidR="009B53C8" w:rsidRPr="00446B34" w:rsidP="005C63D4" w14:paraId="7D7326A1" w14:textId="38A8C6B8">
            <w:pPr>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The treatment with the lowest rate of “protest” or </w:t>
            </w:r>
            <w:r w:rsidRPr="00446B34">
              <w:rPr>
                <w:rFonts w:ascii="Calibri" w:eastAsia="Calibri" w:hAnsi="Calibri" w:cs="Times New Roman"/>
                <w:sz w:val="24"/>
                <w:szCs w:val="24"/>
              </w:rPr>
              <w:t>uncodable</w:t>
            </w:r>
            <w:r w:rsidRPr="00446B34">
              <w:rPr>
                <w:rFonts w:ascii="Calibri" w:eastAsia="Calibri" w:hAnsi="Calibri" w:cs="Times New Roman"/>
                <w:sz w:val="24"/>
                <w:szCs w:val="24"/>
              </w:rPr>
              <w:t xml:space="preserve"> write-ins is preferable.  </w:t>
            </w:r>
          </w:p>
        </w:tc>
      </w:tr>
      <w:tr w14:paraId="5D0C3685" w14:textId="77777777" w:rsidTr="005C63D4">
        <w:tblPrEx>
          <w:tblW w:w="0" w:type="auto"/>
          <w:tblLook w:val="04A0"/>
        </w:tblPrEx>
        <w:tc>
          <w:tcPr>
            <w:tcW w:w="1231" w:type="dxa"/>
          </w:tcPr>
          <w:p w:rsidR="009B53C8" w:rsidRPr="000B7006" w:rsidP="005C63D4" w14:paraId="571A0B34" w14:textId="7B72F143">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3</w:t>
            </w:r>
          </w:p>
        </w:tc>
        <w:tc>
          <w:tcPr>
            <w:tcW w:w="2094" w:type="dxa"/>
          </w:tcPr>
          <w:p w:rsidR="009B53C8" w:rsidRPr="000B7006" w:rsidP="005C63D4" w14:paraId="1D2C9C50" w14:textId="6C4CB0A9">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1</w:t>
            </w:r>
          </w:p>
        </w:tc>
        <w:tc>
          <w:tcPr>
            <w:tcW w:w="6025" w:type="dxa"/>
          </w:tcPr>
          <w:p w:rsidR="009B53C8" w:rsidRPr="00446B34" w:rsidP="005C63D4" w14:paraId="53757B68" w14:textId="51A52A84">
            <w:pPr>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The treatment with </w:t>
            </w:r>
            <w:r w:rsidRPr="00446B34" w:rsidR="006150CA">
              <w:rPr>
                <w:rFonts w:ascii="Calibri" w:eastAsia="Calibri" w:hAnsi="Calibri" w:cs="Times New Roman"/>
                <w:sz w:val="24"/>
                <w:szCs w:val="24"/>
              </w:rPr>
              <w:t>estimates nominally closest to benchmarks</w:t>
            </w:r>
            <w:r w:rsidRPr="00446B34">
              <w:rPr>
                <w:rFonts w:ascii="Calibri" w:eastAsia="Calibri" w:hAnsi="Calibri" w:cs="Times New Roman"/>
                <w:sz w:val="24"/>
                <w:szCs w:val="24"/>
              </w:rPr>
              <w:t xml:space="preserve"> is preferable. </w:t>
            </w:r>
          </w:p>
        </w:tc>
      </w:tr>
      <w:tr w14:paraId="35BA8EE3" w14:textId="77777777" w:rsidTr="005C63D4">
        <w:tblPrEx>
          <w:tblW w:w="0" w:type="auto"/>
          <w:tblLook w:val="04A0"/>
        </w:tblPrEx>
        <w:tc>
          <w:tcPr>
            <w:tcW w:w="1231" w:type="dxa"/>
          </w:tcPr>
          <w:p w:rsidR="006150CA" w:rsidRPr="000B7006" w:rsidP="005C63D4" w14:paraId="1C2384B0" w14:textId="77287E40">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4</w:t>
            </w:r>
          </w:p>
        </w:tc>
        <w:tc>
          <w:tcPr>
            <w:tcW w:w="2094" w:type="dxa"/>
          </w:tcPr>
          <w:p w:rsidR="006150CA" w:rsidRPr="000B7006" w:rsidP="005C63D4" w14:paraId="19A612BB" w14:textId="60B3FE47">
            <w:pPr>
              <w:numPr>
                <w:ilvl w:val="0"/>
                <w:numId w:val="3"/>
              </w:numPr>
              <w:rPr>
                <w:rFonts w:ascii="Calibri" w:eastAsia="Calibri" w:hAnsi="Calibri" w:cs="Times New Roman"/>
                <w:sz w:val="24"/>
                <w:szCs w:val="24"/>
              </w:rPr>
            </w:pPr>
            <w:r>
              <w:rPr>
                <w:rFonts w:ascii="Calibri" w:eastAsia="Calibri" w:hAnsi="Calibri" w:cs="Times New Roman"/>
                <w:sz w:val="24"/>
                <w:szCs w:val="24"/>
              </w:rPr>
              <w:t>17</w:t>
            </w:r>
          </w:p>
        </w:tc>
        <w:tc>
          <w:tcPr>
            <w:tcW w:w="6025" w:type="dxa"/>
          </w:tcPr>
          <w:p w:rsidR="006150CA" w:rsidRPr="00446B34" w:rsidP="005C63D4" w14:paraId="132962A8" w14:textId="461BA660">
            <w:pPr>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A high rate of multiple marks, relative to the rate of gender minorities, may indicate a need for a mark all format. </w:t>
            </w:r>
          </w:p>
        </w:tc>
      </w:tr>
      <w:tr w14:paraId="4557A637" w14:textId="77777777" w:rsidTr="005C63D4">
        <w:tblPrEx>
          <w:tblW w:w="0" w:type="auto"/>
          <w:tblLook w:val="04A0"/>
        </w:tblPrEx>
        <w:tc>
          <w:tcPr>
            <w:tcW w:w="1231" w:type="dxa"/>
          </w:tcPr>
          <w:p w:rsidR="009B53C8" w:rsidRPr="000B7006" w:rsidP="005C63D4" w14:paraId="3894822E" w14:textId="3A7CF65A">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5</w:t>
            </w:r>
          </w:p>
        </w:tc>
        <w:tc>
          <w:tcPr>
            <w:tcW w:w="2094" w:type="dxa"/>
          </w:tcPr>
          <w:p w:rsidR="009B53C8" w:rsidRPr="000B7006" w:rsidP="005C63D4" w14:paraId="3452EDD6" w14:textId="73B5846F">
            <w:pPr>
              <w:numPr>
                <w:ilvl w:val="0"/>
                <w:numId w:val="3"/>
              </w:numPr>
              <w:rPr>
                <w:rFonts w:ascii="Calibri" w:eastAsia="Calibri" w:hAnsi="Calibri" w:cs="Times New Roman"/>
                <w:sz w:val="24"/>
                <w:szCs w:val="24"/>
              </w:rPr>
            </w:pPr>
            <w:r>
              <w:rPr>
                <w:rFonts w:ascii="Calibri" w:eastAsia="Calibri" w:hAnsi="Calibri" w:cs="Times New Roman"/>
                <w:sz w:val="24"/>
                <w:szCs w:val="24"/>
              </w:rPr>
              <w:t>19</w:t>
            </w:r>
          </w:p>
        </w:tc>
        <w:tc>
          <w:tcPr>
            <w:tcW w:w="6025" w:type="dxa"/>
          </w:tcPr>
          <w:p w:rsidR="009B53C8" w:rsidRPr="00446B34" w:rsidP="005C63D4" w14:paraId="6C7AFD63" w14:textId="6514EB3A">
            <w:pPr>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The treatment with the </w:t>
            </w:r>
            <w:r w:rsidRPr="00446B34" w:rsidR="00684BAB">
              <w:rPr>
                <w:rFonts w:ascii="Calibri" w:eastAsia="Calibri" w:hAnsi="Calibri" w:cs="Times New Roman"/>
                <w:sz w:val="24"/>
                <w:szCs w:val="24"/>
              </w:rPr>
              <w:t>highest</w:t>
            </w:r>
            <w:r w:rsidRPr="00446B34">
              <w:rPr>
                <w:rFonts w:ascii="Calibri" w:eastAsia="Calibri" w:hAnsi="Calibri" w:cs="Times New Roman"/>
                <w:sz w:val="24"/>
                <w:szCs w:val="24"/>
              </w:rPr>
              <w:t xml:space="preserve"> response reliability is preferable. </w:t>
            </w:r>
            <w:r w:rsidRPr="00446B34" w:rsidR="006150CA">
              <w:rPr>
                <w:rFonts w:ascii="Calibri" w:eastAsia="Calibri" w:hAnsi="Calibri" w:cs="Times New Roman"/>
                <w:sz w:val="24"/>
                <w:szCs w:val="24"/>
              </w:rPr>
              <w:t xml:space="preserve">However, we expect Treatment 2 to have lower response reliability due to the more complex mark all format. </w:t>
            </w:r>
          </w:p>
        </w:tc>
      </w:tr>
      <w:tr w14:paraId="75222855" w14:textId="77777777" w:rsidTr="005C63D4">
        <w:tblPrEx>
          <w:tblW w:w="0" w:type="auto"/>
          <w:tblLook w:val="04A0"/>
        </w:tblPrEx>
        <w:tc>
          <w:tcPr>
            <w:tcW w:w="1231" w:type="dxa"/>
          </w:tcPr>
          <w:p w:rsidR="009B53C8" w:rsidRPr="000B7006" w:rsidP="005C63D4" w14:paraId="4E907182" w14:textId="1754C325">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6</w:t>
            </w:r>
          </w:p>
        </w:tc>
        <w:tc>
          <w:tcPr>
            <w:tcW w:w="2094" w:type="dxa"/>
          </w:tcPr>
          <w:p w:rsidR="009B53C8" w:rsidRPr="000B7006" w:rsidP="005C63D4" w14:paraId="165F66CA" w14:textId="5DF9D8A2">
            <w:pPr>
              <w:numPr>
                <w:ilvl w:val="0"/>
                <w:numId w:val="3"/>
              </w:numPr>
              <w:rPr>
                <w:rFonts w:ascii="Calibri" w:eastAsia="Calibri" w:hAnsi="Calibri" w:cs="Times New Roman"/>
                <w:sz w:val="24"/>
                <w:szCs w:val="24"/>
              </w:rPr>
            </w:pPr>
            <w:r>
              <w:rPr>
                <w:rFonts w:ascii="Calibri" w:eastAsia="Calibri" w:hAnsi="Calibri" w:cs="Times New Roman"/>
                <w:sz w:val="24"/>
                <w:szCs w:val="24"/>
              </w:rPr>
              <w:t>24</w:t>
            </w:r>
          </w:p>
        </w:tc>
        <w:tc>
          <w:tcPr>
            <w:tcW w:w="6025" w:type="dxa"/>
          </w:tcPr>
          <w:p w:rsidR="009B53C8" w:rsidRPr="000B7006" w:rsidP="005C63D4" w14:paraId="64F70FB3" w14:textId="674F0625">
            <w:pPr>
              <w:numPr>
                <w:ilvl w:val="0"/>
                <w:numId w:val="3"/>
              </w:numPr>
              <w:rPr>
                <w:rFonts w:ascii="Calibri" w:eastAsia="Calibri" w:hAnsi="Calibri" w:cs="Times New Roman"/>
                <w:sz w:val="24"/>
                <w:szCs w:val="24"/>
              </w:rPr>
            </w:pPr>
            <w:r w:rsidRPr="000B7006">
              <w:rPr>
                <w:rFonts w:ascii="Calibri" w:eastAsia="Calibri" w:hAnsi="Calibri" w:cs="Times New Roman"/>
                <w:sz w:val="24"/>
                <w:szCs w:val="24"/>
              </w:rPr>
              <w:t>The treatment with the lowest respon</w:t>
            </w:r>
            <w:r w:rsidRPr="000B7006" w:rsidR="005D4A95">
              <w:rPr>
                <w:rFonts w:ascii="Calibri" w:eastAsia="Calibri" w:hAnsi="Calibri" w:cs="Times New Roman"/>
                <w:sz w:val="24"/>
                <w:szCs w:val="24"/>
              </w:rPr>
              <w:t>dent</w:t>
            </w:r>
            <w:r w:rsidRPr="000B7006">
              <w:rPr>
                <w:rFonts w:ascii="Calibri" w:eastAsia="Calibri" w:hAnsi="Calibri" w:cs="Times New Roman"/>
                <w:sz w:val="24"/>
                <w:szCs w:val="24"/>
              </w:rPr>
              <w:t xml:space="preserve"> burden in the internet instrument </w:t>
            </w:r>
            <w:r w:rsidRPr="000B7006" w:rsidR="005D4A95">
              <w:rPr>
                <w:rFonts w:ascii="Calibri" w:eastAsia="Calibri" w:hAnsi="Calibri" w:cs="Times New Roman"/>
                <w:sz w:val="24"/>
                <w:szCs w:val="24"/>
              </w:rPr>
              <w:t xml:space="preserve">(e.g., breakoff rates and help screen access rates) </w:t>
            </w:r>
            <w:r w:rsidRPr="000B7006">
              <w:rPr>
                <w:rFonts w:ascii="Calibri" w:eastAsia="Calibri" w:hAnsi="Calibri" w:cs="Times New Roman"/>
                <w:sz w:val="24"/>
                <w:szCs w:val="24"/>
              </w:rPr>
              <w:t xml:space="preserve">is preferable. </w:t>
            </w:r>
          </w:p>
        </w:tc>
      </w:tr>
    </w:tbl>
    <w:p w:rsidR="009B53C8" w:rsidP="009A655D" w14:paraId="0A90511E" w14:textId="3042D689">
      <w:pPr>
        <w:pStyle w:val="NoSpacing"/>
      </w:pPr>
    </w:p>
    <w:p w:rsidR="008736F6" w:rsidP="00571858" w14:paraId="456436D7" w14:textId="2BFF6CB1">
      <w:pPr>
        <w:pStyle w:val="BodyText"/>
        <w:keepNext/>
      </w:pPr>
      <w:r>
        <w:t>W</w:t>
      </w:r>
      <w:r>
        <w:t>hen evaluating the confirmation question in the Gender Identity series</w:t>
      </w:r>
      <w:r w:rsidR="002302BE">
        <w:t>,</w:t>
      </w:r>
      <w:r>
        <w:t xml:space="preserve"> </w:t>
      </w:r>
      <w:r>
        <w:t xml:space="preserve">the most important results of this analysis </w:t>
      </w:r>
      <w:r>
        <w:t>are, in order of priority:</w:t>
      </w:r>
    </w:p>
    <w:p w:rsidR="004A1749" w:rsidP="008736F6" w14:paraId="0F2D1186" w14:textId="6ECA51DF">
      <w:pPr>
        <w:pStyle w:val="Caption"/>
      </w:pPr>
      <w:r>
        <w:t xml:space="preserve">Table </w:t>
      </w:r>
      <w:r w:rsidR="00EE6355">
        <w:fldChar w:fldCharType="begin"/>
      </w:r>
      <w:r w:rsidR="00EE6355">
        <w:instrText xml:space="preserve"> SEQ Table \* ARABIC </w:instrText>
      </w:r>
      <w:r w:rsidR="00EE6355">
        <w:fldChar w:fldCharType="separate"/>
      </w:r>
      <w:r w:rsidR="00F376F4">
        <w:rPr>
          <w:noProof/>
        </w:rPr>
        <w:t>9</w:t>
      </w:r>
      <w:r w:rsidR="00EE6355">
        <w:rPr>
          <w:noProof/>
        </w:rPr>
        <w:fldChar w:fldCharType="end"/>
      </w:r>
      <w:r>
        <w:t>. Decision Criteria for Confirmation Question for Gender Identity</w:t>
      </w:r>
    </w:p>
    <w:tbl>
      <w:tblPr>
        <w:tblStyle w:val="TableGrid4"/>
        <w:tblW w:w="0" w:type="auto"/>
        <w:tblLook w:val="04A0"/>
      </w:tblPr>
      <w:tblGrid>
        <w:gridCol w:w="1231"/>
        <w:gridCol w:w="2094"/>
        <w:gridCol w:w="6025"/>
      </w:tblGrid>
      <w:tr w14:paraId="51CDC739" w14:textId="77777777" w:rsidTr="00571858">
        <w:tblPrEx>
          <w:tblW w:w="0" w:type="auto"/>
          <w:tblLook w:val="04A0"/>
        </w:tblPrEx>
        <w:trPr>
          <w:cantSplit/>
        </w:trPr>
        <w:tc>
          <w:tcPr>
            <w:tcW w:w="1231" w:type="dxa"/>
            <w:shd w:val="clear" w:color="auto" w:fill="E7E6E6" w:themeFill="background2"/>
          </w:tcPr>
          <w:p w:rsidR="004A1749" w:rsidRPr="00F70565" w:rsidP="00571858" w14:paraId="6C4A7673"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Priority</w:t>
            </w:r>
          </w:p>
        </w:tc>
        <w:tc>
          <w:tcPr>
            <w:tcW w:w="2094" w:type="dxa"/>
            <w:shd w:val="clear" w:color="auto" w:fill="E7E6E6" w:themeFill="background2"/>
          </w:tcPr>
          <w:p w:rsidR="004A1749" w:rsidRPr="00F70565" w:rsidP="00571858" w14:paraId="7FAEFDA7"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Research Question</w:t>
            </w:r>
          </w:p>
        </w:tc>
        <w:tc>
          <w:tcPr>
            <w:tcW w:w="6025" w:type="dxa"/>
            <w:shd w:val="clear" w:color="auto" w:fill="E7E6E6" w:themeFill="background2"/>
          </w:tcPr>
          <w:p w:rsidR="004A1749" w:rsidRPr="00F70565" w:rsidP="00571858" w14:paraId="7745F4D0"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Decision Criteria</w:t>
            </w:r>
          </w:p>
        </w:tc>
      </w:tr>
      <w:tr w14:paraId="53540C5D" w14:textId="77777777" w:rsidTr="00571858">
        <w:tblPrEx>
          <w:tblW w:w="0" w:type="auto"/>
          <w:tblLook w:val="04A0"/>
        </w:tblPrEx>
        <w:trPr>
          <w:cantSplit/>
        </w:trPr>
        <w:tc>
          <w:tcPr>
            <w:tcW w:w="1231" w:type="dxa"/>
          </w:tcPr>
          <w:p w:rsidR="004A1749" w:rsidRPr="0021103D" w:rsidP="005C63D4" w14:paraId="0F72CA90" w14:textId="62947CDD">
            <w:pPr>
              <w:numPr>
                <w:ilvl w:val="0"/>
                <w:numId w:val="3"/>
              </w:numPr>
              <w:rPr>
                <w:rFonts w:ascii="Calibri" w:eastAsia="Calibri" w:hAnsi="Calibri" w:cs="Times New Roman"/>
                <w:sz w:val="24"/>
                <w:szCs w:val="24"/>
              </w:rPr>
            </w:pPr>
            <w:r>
              <w:rPr>
                <w:rFonts w:ascii="Calibri" w:eastAsia="Calibri" w:hAnsi="Calibri" w:cs="Times New Roman"/>
                <w:sz w:val="24"/>
                <w:szCs w:val="24"/>
              </w:rPr>
              <w:t>1</w:t>
            </w:r>
          </w:p>
        </w:tc>
        <w:tc>
          <w:tcPr>
            <w:tcW w:w="2094" w:type="dxa"/>
          </w:tcPr>
          <w:p w:rsidR="004A1749" w:rsidRPr="0021103D" w:rsidP="005C63D4" w14:paraId="41D1C12B" w14:textId="3BA8371C">
            <w:pPr>
              <w:numPr>
                <w:ilvl w:val="0"/>
                <w:numId w:val="3"/>
              </w:numPr>
              <w:rPr>
                <w:rFonts w:ascii="Calibri" w:eastAsia="Calibri" w:hAnsi="Calibri" w:cs="Times New Roman"/>
                <w:sz w:val="24"/>
                <w:szCs w:val="24"/>
              </w:rPr>
            </w:pPr>
            <w:r>
              <w:rPr>
                <w:rFonts w:ascii="Calibri" w:eastAsia="Calibri" w:hAnsi="Calibri" w:cs="Times New Roman"/>
                <w:sz w:val="24"/>
                <w:szCs w:val="24"/>
              </w:rPr>
              <w:t>26</w:t>
            </w:r>
          </w:p>
        </w:tc>
        <w:tc>
          <w:tcPr>
            <w:tcW w:w="6025" w:type="dxa"/>
          </w:tcPr>
          <w:p w:rsidR="004A1749" w:rsidRPr="0021103D" w:rsidP="005C63D4" w14:paraId="26EC53B5" w14:textId="5063EC85">
            <w:pPr>
              <w:numPr>
                <w:ilvl w:val="0"/>
                <w:numId w:val="3"/>
              </w:numPr>
              <w:rPr>
                <w:rFonts w:ascii="Calibri" w:eastAsia="Calibri" w:hAnsi="Calibri" w:cs="Times New Roman"/>
                <w:sz w:val="24"/>
                <w:szCs w:val="24"/>
              </w:rPr>
            </w:pPr>
            <w:r w:rsidRPr="00B23CD3">
              <w:rPr>
                <w:rFonts w:ascii="Calibri" w:eastAsia="Calibri" w:hAnsi="Calibri" w:cs="Times New Roman"/>
                <w:sz w:val="24"/>
                <w:szCs w:val="24"/>
              </w:rPr>
              <w:t>Respondents changing their responses to the Gender Identity questions would indicate a need for a confirmation question. Specifically, a substantial false negative rate</w:t>
            </w:r>
            <w:r w:rsidR="001327F0">
              <w:rPr>
                <w:rFonts w:ascii="Calibri" w:eastAsia="Calibri" w:hAnsi="Calibri" w:cs="Times New Roman"/>
                <w:sz w:val="24"/>
                <w:szCs w:val="24"/>
              </w:rPr>
              <w:t xml:space="preserve"> (the proportion of respondents whose initial answers do not identify them as a gender minority, but whose answers after the confirmation question do)</w:t>
            </w:r>
            <w:r w:rsidRPr="00B23CD3">
              <w:rPr>
                <w:rFonts w:ascii="Calibri" w:eastAsia="Calibri" w:hAnsi="Calibri" w:cs="Times New Roman"/>
                <w:sz w:val="24"/>
                <w:szCs w:val="24"/>
              </w:rPr>
              <w:t xml:space="preserve"> would indicate a need for a confirmation question for everyone, regardless of initial answer choice.</w:t>
            </w:r>
          </w:p>
        </w:tc>
      </w:tr>
      <w:tr w14:paraId="227CED2A" w14:textId="77777777" w:rsidTr="00571858">
        <w:tblPrEx>
          <w:tblW w:w="0" w:type="auto"/>
          <w:tblLook w:val="04A0"/>
        </w:tblPrEx>
        <w:trPr>
          <w:cantSplit/>
        </w:trPr>
        <w:tc>
          <w:tcPr>
            <w:tcW w:w="1231" w:type="dxa"/>
          </w:tcPr>
          <w:p w:rsidR="004A1749" w:rsidRPr="0021103D" w:rsidP="005C63D4" w14:paraId="5A6B1BCF" w14:textId="68A75205">
            <w:pPr>
              <w:numPr>
                <w:ilvl w:val="0"/>
                <w:numId w:val="3"/>
              </w:numPr>
              <w:rPr>
                <w:rFonts w:ascii="Calibri" w:eastAsia="Calibri" w:hAnsi="Calibri" w:cs="Times New Roman"/>
                <w:sz w:val="24"/>
                <w:szCs w:val="24"/>
              </w:rPr>
            </w:pPr>
            <w:r>
              <w:rPr>
                <w:rFonts w:ascii="Calibri" w:eastAsia="Calibri" w:hAnsi="Calibri" w:cs="Times New Roman"/>
                <w:sz w:val="24"/>
                <w:szCs w:val="24"/>
              </w:rPr>
              <w:t>2</w:t>
            </w:r>
          </w:p>
        </w:tc>
        <w:tc>
          <w:tcPr>
            <w:tcW w:w="2094" w:type="dxa"/>
          </w:tcPr>
          <w:p w:rsidR="004A1749" w:rsidRPr="0021103D" w:rsidP="005C63D4" w14:paraId="5A16ADBD" w14:textId="522555C9">
            <w:pPr>
              <w:numPr>
                <w:ilvl w:val="0"/>
                <w:numId w:val="3"/>
              </w:numPr>
              <w:rPr>
                <w:rFonts w:ascii="Calibri" w:eastAsia="Calibri" w:hAnsi="Calibri" w:cs="Times New Roman"/>
                <w:sz w:val="24"/>
                <w:szCs w:val="24"/>
              </w:rPr>
            </w:pPr>
            <w:r>
              <w:rPr>
                <w:rFonts w:ascii="Calibri" w:eastAsia="Calibri" w:hAnsi="Calibri" w:cs="Times New Roman"/>
                <w:sz w:val="24"/>
                <w:szCs w:val="24"/>
              </w:rPr>
              <w:t>25</w:t>
            </w:r>
          </w:p>
        </w:tc>
        <w:tc>
          <w:tcPr>
            <w:tcW w:w="6025" w:type="dxa"/>
          </w:tcPr>
          <w:p w:rsidR="004A1749" w:rsidRPr="0021103D" w:rsidP="005C63D4" w14:paraId="331407D3" w14:textId="040341D1">
            <w:pPr>
              <w:numPr>
                <w:ilvl w:val="0"/>
                <w:numId w:val="3"/>
              </w:numPr>
              <w:rPr>
                <w:rFonts w:ascii="Calibri" w:eastAsia="Calibri" w:hAnsi="Calibri" w:cs="Times New Roman"/>
                <w:sz w:val="24"/>
                <w:szCs w:val="24"/>
              </w:rPr>
            </w:pPr>
            <w:r>
              <w:rPr>
                <w:rFonts w:ascii="Calibri" w:eastAsia="Calibri" w:hAnsi="Calibri" w:cs="Times New Roman"/>
                <w:sz w:val="24"/>
                <w:szCs w:val="24"/>
              </w:rPr>
              <w:t xml:space="preserve">Potential improvements in data quality from priority 1 will be weighed against potential increases in burden for all respondents receiving a confirmation question compared to only household members whose Sex at Birth and Current Gender do not match. </w:t>
            </w:r>
          </w:p>
        </w:tc>
      </w:tr>
    </w:tbl>
    <w:p w:rsidR="009B53C8" w:rsidP="009A655D" w14:paraId="027623AA" w14:textId="46CE3234">
      <w:pPr>
        <w:pStyle w:val="NoSpacing"/>
      </w:pPr>
    </w:p>
    <w:p w:rsidR="008736F6" w:rsidP="00733F5F" w14:paraId="5C8892D8" w14:textId="7B40AB1E">
      <w:pPr>
        <w:pStyle w:val="BodyText"/>
      </w:pPr>
      <w:r>
        <w:t>W</w:t>
      </w:r>
      <w:r>
        <w:t>hen evaluating the internet write-in box styles in the SOGI questions</w:t>
      </w:r>
      <w:r>
        <w:t>,</w:t>
      </w:r>
      <w:r>
        <w:t xml:space="preserve"> </w:t>
      </w:r>
      <w:r>
        <w:t xml:space="preserve">the most important results of this analysis </w:t>
      </w:r>
      <w:r>
        <w:t>are, in order of priority:</w:t>
      </w:r>
    </w:p>
    <w:p w:rsidR="004A1749" w:rsidP="008736F6" w14:paraId="4AAB5A04" w14:textId="057FF9FD">
      <w:pPr>
        <w:pStyle w:val="Caption"/>
      </w:pPr>
      <w:r>
        <w:t xml:space="preserve">Table </w:t>
      </w:r>
      <w:r w:rsidR="00EE6355">
        <w:fldChar w:fldCharType="begin"/>
      </w:r>
      <w:r w:rsidR="00EE6355">
        <w:instrText xml:space="preserve"> SEQ Table \* ARABIC </w:instrText>
      </w:r>
      <w:r w:rsidR="00EE6355">
        <w:fldChar w:fldCharType="separate"/>
      </w:r>
      <w:r w:rsidR="00F376F4">
        <w:rPr>
          <w:noProof/>
        </w:rPr>
        <w:t>10</w:t>
      </w:r>
      <w:r w:rsidR="00EE6355">
        <w:rPr>
          <w:noProof/>
        </w:rPr>
        <w:fldChar w:fldCharType="end"/>
      </w:r>
      <w:r>
        <w:t>. Decision Criteria for Internet Write-in Box Style</w:t>
      </w:r>
    </w:p>
    <w:tbl>
      <w:tblPr>
        <w:tblStyle w:val="TableGrid4"/>
        <w:tblW w:w="0" w:type="auto"/>
        <w:tblLook w:val="04A0"/>
      </w:tblPr>
      <w:tblGrid>
        <w:gridCol w:w="1231"/>
        <w:gridCol w:w="2094"/>
        <w:gridCol w:w="6025"/>
      </w:tblGrid>
      <w:tr w14:paraId="696AD47A" w14:textId="77777777" w:rsidTr="52B94BA2">
        <w:tblPrEx>
          <w:tblW w:w="0" w:type="auto"/>
          <w:tblLook w:val="04A0"/>
        </w:tblPrEx>
        <w:tc>
          <w:tcPr>
            <w:tcW w:w="1231" w:type="dxa"/>
            <w:shd w:val="clear" w:color="auto" w:fill="E7E6E6" w:themeFill="background2"/>
          </w:tcPr>
          <w:p w:rsidR="004A1749" w:rsidRPr="00F70565" w:rsidP="000B7006" w14:paraId="3BE59D7B"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Priority</w:t>
            </w:r>
          </w:p>
        </w:tc>
        <w:tc>
          <w:tcPr>
            <w:tcW w:w="2094" w:type="dxa"/>
            <w:shd w:val="clear" w:color="auto" w:fill="E7E6E6" w:themeFill="background2"/>
          </w:tcPr>
          <w:p w:rsidR="004A1749" w:rsidRPr="00F70565" w:rsidP="000B7006" w14:paraId="72D742E9"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Research Question</w:t>
            </w:r>
          </w:p>
        </w:tc>
        <w:tc>
          <w:tcPr>
            <w:tcW w:w="6025" w:type="dxa"/>
            <w:shd w:val="clear" w:color="auto" w:fill="E7E6E6" w:themeFill="background2"/>
          </w:tcPr>
          <w:p w:rsidR="004A1749" w:rsidRPr="00F70565" w:rsidP="000B7006" w14:paraId="472ECC92" w14:textId="77777777">
            <w:pPr>
              <w:keepNext/>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Decision Criteria</w:t>
            </w:r>
          </w:p>
        </w:tc>
      </w:tr>
      <w:tr w14:paraId="1E71FC0F" w14:textId="77777777" w:rsidTr="52B94BA2">
        <w:tblPrEx>
          <w:tblW w:w="0" w:type="auto"/>
          <w:tblLook w:val="04A0"/>
        </w:tblPrEx>
        <w:tc>
          <w:tcPr>
            <w:tcW w:w="1231" w:type="dxa"/>
          </w:tcPr>
          <w:p w:rsidR="006150CA" w:rsidRPr="000B7006" w:rsidP="000B7006" w14:paraId="3A561ED0" w14:textId="492D8BBC">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1</w:t>
            </w:r>
          </w:p>
        </w:tc>
        <w:tc>
          <w:tcPr>
            <w:tcW w:w="2094" w:type="dxa"/>
          </w:tcPr>
          <w:p w:rsidR="006150CA" w:rsidRPr="000B7006" w:rsidP="000B7006" w14:paraId="14E8E5B6" w14:textId="7C777976">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GI</w:t>
            </w:r>
            <w:r w:rsidR="00571858">
              <w:rPr>
                <w:rFonts w:ascii="Calibri" w:eastAsia="Calibri" w:hAnsi="Calibri" w:cs="Times New Roman"/>
                <w:sz w:val="24"/>
                <w:szCs w:val="24"/>
              </w:rPr>
              <w:t xml:space="preserve"> 5</w:t>
            </w:r>
            <w:r w:rsidRPr="000B7006">
              <w:rPr>
                <w:rFonts w:ascii="Calibri" w:eastAsia="Calibri" w:hAnsi="Calibri" w:cs="Times New Roman"/>
                <w:sz w:val="24"/>
                <w:szCs w:val="24"/>
              </w:rPr>
              <w:t>, SO</w:t>
            </w:r>
            <w:r w:rsidR="00571858">
              <w:rPr>
                <w:rFonts w:ascii="Calibri" w:eastAsia="Calibri" w:hAnsi="Calibri" w:cs="Times New Roman"/>
                <w:sz w:val="24"/>
                <w:szCs w:val="24"/>
              </w:rPr>
              <w:t xml:space="preserve"> 3</w:t>
            </w:r>
          </w:p>
        </w:tc>
        <w:tc>
          <w:tcPr>
            <w:tcW w:w="6025" w:type="dxa"/>
          </w:tcPr>
          <w:p w:rsidR="006150CA" w:rsidRPr="00446B34" w:rsidP="000B7006" w14:paraId="45C129EB" w14:textId="147AFDA1">
            <w:pPr>
              <w:keepNext/>
              <w:numPr>
                <w:ilvl w:val="0"/>
                <w:numId w:val="3"/>
              </w:numPr>
              <w:rPr>
                <w:rFonts w:ascii="Calibri" w:eastAsia="Calibri" w:hAnsi="Calibri" w:cs="Times New Roman"/>
                <w:sz w:val="24"/>
                <w:szCs w:val="24"/>
              </w:rPr>
            </w:pPr>
            <w:r w:rsidRPr="00446B34">
              <w:rPr>
                <w:rFonts w:ascii="Calibri" w:eastAsia="Calibri" w:hAnsi="Calibri" w:cs="Times New Roman"/>
                <w:sz w:val="24"/>
                <w:szCs w:val="24"/>
              </w:rPr>
              <w:t>The write-in box style with the lowest item missingness is preferable.</w:t>
            </w:r>
          </w:p>
        </w:tc>
      </w:tr>
      <w:tr w14:paraId="47260666" w14:textId="77777777" w:rsidTr="52B94BA2">
        <w:tblPrEx>
          <w:tblW w:w="0" w:type="auto"/>
          <w:tblLook w:val="04A0"/>
        </w:tblPrEx>
        <w:tc>
          <w:tcPr>
            <w:tcW w:w="1231" w:type="dxa"/>
          </w:tcPr>
          <w:p w:rsidR="004A1749" w:rsidRPr="000B7006" w:rsidP="000B7006" w14:paraId="0C37C24E" w14:textId="0D06D160">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2</w:t>
            </w:r>
          </w:p>
        </w:tc>
        <w:tc>
          <w:tcPr>
            <w:tcW w:w="2094" w:type="dxa"/>
          </w:tcPr>
          <w:p w:rsidR="004A1749" w:rsidRPr="000B7006" w:rsidP="000B7006" w14:paraId="5225CF46" w14:textId="36A2EBB0">
            <w:pPr>
              <w:keepNext/>
              <w:numPr>
                <w:ilvl w:val="0"/>
                <w:numId w:val="3"/>
              </w:numPr>
              <w:rPr>
                <w:rFonts w:ascii="Calibri" w:eastAsia="Calibri" w:hAnsi="Calibri" w:cs="Times New Roman"/>
                <w:sz w:val="24"/>
                <w:szCs w:val="24"/>
              </w:rPr>
            </w:pPr>
            <w:r w:rsidRPr="000B7006">
              <w:rPr>
                <w:rFonts w:ascii="Calibri" w:eastAsia="Calibri" w:hAnsi="Calibri" w:cs="Times New Roman"/>
                <w:sz w:val="24"/>
                <w:szCs w:val="24"/>
              </w:rPr>
              <w:t>GI</w:t>
            </w:r>
            <w:r w:rsidR="00571858">
              <w:rPr>
                <w:rFonts w:ascii="Calibri" w:eastAsia="Calibri" w:hAnsi="Calibri" w:cs="Times New Roman"/>
                <w:sz w:val="24"/>
                <w:szCs w:val="24"/>
              </w:rPr>
              <w:t xml:space="preserve"> 16</w:t>
            </w:r>
            <w:r w:rsidRPr="000B7006">
              <w:rPr>
                <w:rFonts w:ascii="Calibri" w:eastAsia="Calibri" w:hAnsi="Calibri" w:cs="Times New Roman"/>
                <w:sz w:val="24"/>
                <w:szCs w:val="24"/>
              </w:rPr>
              <w:t>, SO</w:t>
            </w:r>
            <w:r w:rsidR="00571858">
              <w:rPr>
                <w:rFonts w:ascii="Calibri" w:eastAsia="Calibri" w:hAnsi="Calibri" w:cs="Times New Roman"/>
                <w:sz w:val="24"/>
                <w:szCs w:val="24"/>
              </w:rPr>
              <w:t xml:space="preserve"> </w:t>
            </w:r>
            <w:r w:rsidRPr="000B7006">
              <w:rPr>
                <w:rFonts w:ascii="Calibri" w:eastAsia="Calibri" w:hAnsi="Calibri" w:cs="Times New Roman"/>
                <w:sz w:val="24"/>
                <w:szCs w:val="24"/>
              </w:rPr>
              <w:t>1</w:t>
            </w:r>
            <w:r w:rsidR="00571858">
              <w:rPr>
                <w:rFonts w:ascii="Calibri" w:eastAsia="Calibri" w:hAnsi="Calibri" w:cs="Times New Roman"/>
                <w:sz w:val="24"/>
                <w:szCs w:val="24"/>
              </w:rPr>
              <w:t>3</w:t>
            </w:r>
          </w:p>
        </w:tc>
        <w:tc>
          <w:tcPr>
            <w:tcW w:w="6025" w:type="dxa"/>
          </w:tcPr>
          <w:p w:rsidR="004A1749" w:rsidRPr="00446B34" w:rsidP="000B7006" w14:paraId="0F8D9F54" w14:textId="28B8B81E">
            <w:pPr>
              <w:keepNext/>
              <w:numPr>
                <w:ilvl w:val="0"/>
                <w:numId w:val="3"/>
              </w:numPr>
              <w:rPr>
                <w:rFonts w:ascii="Calibri" w:eastAsia="Calibri" w:hAnsi="Calibri" w:cs="Times New Roman"/>
                <w:sz w:val="24"/>
                <w:szCs w:val="24"/>
              </w:rPr>
            </w:pPr>
            <w:r w:rsidRPr="00446B34">
              <w:rPr>
                <w:rFonts w:ascii="Calibri" w:eastAsia="Calibri" w:hAnsi="Calibri" w:cs="Times New Roman"/>
                <w:sz w:val="24"/>
                <w:szCs w:val="24"/>
              </w:rPr>
              <w:t xml:space="preserve">The </w:t>
            </w:r>
            <w:r w:rsidRPr="00446B34" w:rsidR="000C5958">
              <w:rPr>
                <w:rFonts w:ascii="Calibri" w:eastAsia="Calibri" w:hAnsi="Calibri" w:cs="Times New Roman"/>
                <w:sz w:val="24"/>
                <w:szCs w:val="24"/>
              </w:rPr>
              <w:t>write-in box style</w:t>
            </w:r>
            <w:r w:rsidRPr="00446B34">
              <w:rPr>
                <w:rFonts w:ascii="Calibri" w:eastAsia="Calibri" w:hAnsi="Calibri" w:cs="Times New Roman"/>
                <w:sz w:val="24"/>
                <w:szCs w:val="24"/>
              </w:rPr>
              <w:t xml:space="preserve"> with the lowest rate of “protest” or </w:t>
            </w:r>
            <w:r w:rsidRPr="00446B34">
              <w:rPr>
                <w:rFonts w:ascii="Calibri" w:eastAsia="Calibri" w:hAnsi="Calibri" w:cs="Times New Roman"/>
                <w:sz w:val="24"/>
                <w:szCs w:val="24"/>
              </w:rPr>
              <w:t>uncodable</w:t>
            </w:r>
            <w:r w:rsidRPr="00446B34">
              <w:rPr>
                <w:rFonts w:ascii="Calibri" w:eastAsia="Calibri" w:hAnsi="Calibri" w:cs="Times New Roman"/>
                <w:sz w:val="24"/>
                <w:szCs w:val="24"/>
              </w:rPr>
              <w:t xml:space="preserve"> write-ins is preferable.  </w:t>
            </w:r>
          </w:p>
        </w:tc>
      </w:tr>
    </w:tbl>
    <w:p w:rsidR="004A1749" w:rsidP="009A655D" w14:paraId="5F64DFAB" w14:textId="64B5E78F">
      <w:pPr>
        <w:pStyle w:val="NoSpacing"/>
      </w:pPr>
    </w:p>
    <w:p w:rsidR="009A655D" w:rsidP="009A655D" w14:paraId="5ADCD4A0" w14:textId="76F4585E">
      <w:pPr>
        <w:pStyle w:val="BodyText"/>
      </w:pPr>
      <w:r>
        <w:t>W</w:t>
      </w:r>
      <w:r>
        <w:t>hen evaluating changes to existing ACS questions (e.g., Relationship)</w:t>
      </w:r>
      <w:r>
        <w:t>,</w:t>
      </w:r>
      <w:r>
        <w:t xml:space="preserve"> </w:t>
      </w:r>
      <w:r>
        <w:t xml:space="preserve">the most important results of this analysis </w:t>
      </w:r>
      <w:r>
        <w:t>are, in order of priority:</w:t>
      </w:r>
    </w:p>
    <w:p w:rsidR="004A1749" w:rsidP="009A655D" w14:paraId="3181552E" w14:textId="1AF4229D">
      <w:pPr>
        <w:pStyle w:val="Caption"/>
      </w:pPr>
      <w:r>
        <w:t xml:space="preserve">Table </w:t>
      </w:r>
      <w:r w:rsidR="00EE6355">
        <w:fldChar w:fldCharType="begin"/>
      </w:r>
      <w:r w:rsidR="00EE6355">
        <w:instrText xml:space="preserve"> SEQ Table \* ARABIC </w:instrText>
      </w:r>
      <w:r w:rsidR="00EE6355">
        <w:fldChar w:fldCharType="separate"/>
      </w:r>
      <w:r w:rsidR="00F376F4">
        <w:rPr>
          <w:noProof/>
        </w:rPr>
        <w:t>11</w:t>
      </w:r>
      <w:r w:rsidR="00EE6355">
        <w:rPr>
          <w:noProof/>
        </w:rPr>
        <w:fldChar w:fldCharType="end"/>
      </w:r>
      <w:r>
        <w:t>. Decision Criteria for Changes to Existing ACS Questions</w:t>
      </w:r>
    </w:p>
    <w:tbl>
      <w:tblPr>
        <w:tblStyle w:val="TableGrid4"/>
        <w:tblW w:w="0" w:type="auto"/>
        <w:tblLook w:val="04A0"/>
      </w:tblPr>
      <w:tblGrid>
        <w:gridCol w:w="1231"/>
        <w:gridCol w:w="2094"/>
        <w:gridCol w:w="6025"/>
      </w:tblGrid>
      <w:tr w14:paraId="00AD3B5F" w14:textId="77777777" w:rsidTr="005C63D4">
        <w:tblPrEx>
          <w:tblW w:w="0" w:type="auto"/>
          <w:tblLook w:val="04A0"/>
        </w:tblPrEx>
        <w:tc>
          <w:tcPr>
            <w:tcW w:w="1231" w:type="dxa"/>
            <w:shd w:val="clear" w:color="auto" w:fill="E7E6E6" w:themeFill="background2"/>
          </w:tcPr>
          <w:p w:rsidR="004A1749" w:rsidRPr="00F70565" w:rsidP="005C63D4" w14:paraId="547CD0E6"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Priority</w:t>
            </w:r>
          </w:p>
        </w:tc>
        <w:tc>
          <w:tcPr>
            <w:tcW w:w="2094" w:type="dxa"/>
            <w:shd w:val="clear" w:color="auto" w:fill="E7E6E6" w:themeFill="background2"/>
          </w:tcPr>
          <w:p w:rsidR="004A1749" w:rsidRPr="00F70565" w:rsidP="005C63D4" w14:paraId="5366EE48"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Research Question</w:t>
            </w:r>
          </w:p>
        </w:tc>
        <w:tc>
          <w:tcPr>
            <w:tcW w:w="6025" w:type="dxa"/>
            <w:shd w:val="clear" w:color="auto" w:fill="E7E6E6" w:themeFill="background2"/>
          </w:tcPr>
          <w:p w:rsidR="004A1749" w:rsidRPr="00F70565" w:rsidP="005C63D4" w14:paraId="2ED01B1F" w14:textId="77777777">
            <w:pPr>
              <w:numPr>
                <w:ilvl w:val="0"/>
                <w:numId w:val="3"/>
              </w:numPr>
              <w:rPr>
                <w:rFonts w:ascii="Calibri" w:eastAsia="Calibri" w:hAnsi="Calibri" w:cs="Times New Roman"/>
                <w:b/>
                <w:bCs/>
                <w:sz w:val="24"/>
                <w:szCs w:val="24"/>
              </w:rPr>
            </w:pPr>
            <w:r w:rsidRPr="00F70565">
              <w:rPr>
                <w:rFonts w:ascii="Calibri" w:eastAsia="Calibri" w:hAnsi="Calibri" w:cs="Times New Roman"/>
                <w:b/>
                <w:bCs/>
                <w:sz w:val="24"/>
                <w:szCs w:val="24"/>
              </w:rPr>
              <w:t>Decision Criteria</w:t>
            </w:r>
          </w:p>
        </w:tc>
      </w:tr>
      <w:tr w14:paraId="312471CA" w14:textId="77777777" w:rsidTr="005C63D4">
        <w:tblPrEx>
          <w:tblW w:w="0" w:type="auto"/>
          <w:tblLook w:val="04A0"/>
        </w:tblPrEx>
        <w:tc>
          <w:tcPr>
            <w:tcW w:w="1231" w:type="dxa"/>
          </w:tcPr>
          <w:p w:rsidR="004A1749" w:rsidRPr="0021103D" w:rsidP="005C63D4" w14:paraId="10CB6D74" w14:textId="1CE9FBE7">
            <w:pPr>
              <w:numPr>
                <w:ilvl w:val="0"/>
                <w:numId w:val="3"/>
              </w:numPr>
              <w:rPr>
                <w:rFonts w:ascii="Calibri" w:eastAsia="Calibri" w:hAnsi="Calibri" w:cs="Times New Roman"/>
                <w:sz w:val="24"/>
                <w:szCs w:val="24"/>
              </w:rPr>
            </w:pPr>
            <w:r>
              <w:rPr>
                <w:rFonts w:ascii="Calibri" w:eastAsia="Calibri" w:hAnsi="Calibri" w:cs="Times New Roman"/>
                <w:sz w:val="24"/>
                <w:szCs w:val="24"/>
              </w:rPr>
              <w:t>1</w:t>
            </w:r>
          </w:p>
        </w:tc>
        <w:tc>
          <w:tcPr>
            <w:tcW w:w="2094" w:type="dxa"/>
          </w:tcPr>
          <w:p w:rsidR="004A1749" w:rsidRPr="0021103D" w:rsidP="005C63D4" w14:paraId="6732A89F" w14:textId="21DFC2C6">
            <w:pPr>
              <w:numPr>
                <w:ilvl w:val="0"/>
                <w:numId w:val="3"/>
              </w:numPr>
              <w:rPr>
                <w:rFonts w:ascii="Calibri" w:eastAsia="Calibri" w:hAnsi="Calibri" w:cs="Times New Roman"/>
                <w:sz w:val="24"/>
                <w:szCs w:val="24"/>
              </w:rPr>
            </w:pPr>
            <w:r>
              <w:rPr>
                <w:rFonts w:ascii="Calibri" w:eastAsia="Calibri" w:hAnsi="Calibri" w:cs="Times New Roman"/>
                <w:sz w:val="24"/>
                <w:szCs w:val="24"/>
              </w:rPr>
              <w:t>1-4</w:t>
            </w:r>
          </w:p>
        </w:tc>
        <w:tc>
          <w:tcPr>
            <w:tcW w:w="6025" w:type="dxa"/>
          </w:tcPr>
          <w:p w:rsidR="004A1749" w:rsidRPr="0021103D" w:rsidP="005C63D4" w14:paraId="1D7BCAEC" w14:textId="267694C4">
            <w:pPr>
              <w:numPr>
                <w:ilvl w:val="0"/>
                <w:numId w:val="3"/>
              </w:numPr>
              <w:rPr>
                <w:rFonts w:ascii="Calibri" w:eastAsia="Calibri" w:hAnsi="Calibri" w:cs="Times New Roman"/>
                <w:sz w:val="24"/>
                <w:szCs w:val="24"/>
              </w:rPr>
            </w:pPr>
            <w:r>
              <w:rPr>
                <w:rFonts w:ascii="Calibri" w:eastAsia="Calibri" w:hAnsi="Calibri" w:cs="Times New Roman"/>
                <w:sz w:val="24"/>
                <w:szCs w:val="24"/>
              </w:rPr>
              <w:t xml:space="preserve">The item missing data rates being comparable to historical ACS missingness rates is preferable. </w:t>
            </w:r>
          </w:p>
        </w:tc>
      </w:tr>
      <w:tr w14:paraId="7D411BC5" w14:textId="77777777" w:rsidTr="005C63D4">
        <w:tblPrEx>
          <w:tblW w:w="0" w:type="auto"/>
          <w:tblLook w:val="04A0"/>
        </w:tblPrEx>
        <w:tc>
          <w:tcPr>
            <w:tcW w:w="1231" w:type="dxa"/>
          </w:tcPr>
          <w:p w:rsidR="004A1749" w:rsidRPr="0021103D" w:rsidP="005C63D4" w14:paraId="5E2E12BF" w14:textId="57718B2F">
            <w:pPr>
              <w:numPr>
                <w:ilvl w:val="0"/>
                <w:numId w:val="3"/>
              </w:numPr>
              <w:rPr>
                <w:rFonts w:ascii="Calibri" w:eastAsia="Calibri" w:hAnsi="Calibri" w:cs="Times New Roman"/>
                <w:sz w:val="24"/>
                <w:szCs w:val="24"/>
              </w:rPr>
            </w:pPr>
            <w:r>
              <w:rPr>
                <w:rFonts w:ascii="Calibri" w:eastAsia="Calibri" w:hAnsi="Calibri" w:cs="Times New Roman"/>
                <w:sz w:val="24"/>
                <w:szCs w:val="24"/>
              </w:rPr>
              <w:t>2</w:t>
            </w:r>
          </w:p>
        </w:tc>
        <w:tc>
          <w:tcPr>
            <w:tcW w:w="2094" w:type="dxa"/>
          </w:tcPr>
          <w:p w:rsidR="004A1749" w:rsidRPr="0021103D" w:rsidP="005C63D4" w14:paraId="2892045A" w14:textId="2F82B326">
            <w:pPr>
              <w:numPr>
                <w:ilvl w:val="0"/>
                <w:numId w:val="3"/>
              </w:numPr>
              <w:rPr>
                <w:rFonts w:ascii="Calibri" w:eastAsia="Calibri" w:hAnsi="Calibri" w:cs="Times New Roman"/>
                <w:sz w:val="24"/>
                <w:szCs w:val="24"/>
              </w:rPr>
            </w:pPr>
            <w:r>
              <w:rPr>
                <w:rFonts w:ascii="Calibri" w:eastAsia="Calibri" w:hAnsi="Calibri" w:cs="Times New Roman"/>
                <w:sz w:val="24"/>
                <w:szCs w:val="24"/>
              </w:rPr>
              <w:t>5-</w:t>
            </w:r>
            <w:r w:rsidR="007469FF">
              <w:rPr>
                <w:rFonts w:ascii="Calibri" w:eastAsia="Calibri" w:hAnsi="Calibri" w:cs="Times New Roman"/>
                <w:sz w:val="24"/>
                <w:szCs w:val="24"/>
              </w:rPr>
              <w:t>7</w:t>
            </w:r>
          </w:p>
        </w:tc>
        <w:tc>
          <w:tcPr>
            <w:tcW w:w="6025" w:type="dxa"/>
          </w:tcPr>
          <w:p w:rsidR="004A1749" w:rsidRPr="0021103D" w:rsidP="005C63D4" w14:paraId="04BDB7CE" w14:textId="11E2D118">
            <w:pPr>
              <w:numPr>
                <w:ilvl w:val="0"/>
                <w:numId w:val="3"/>
              </w:numPr>
              <w:rPr>
                <w:rFonts w:ascii="Calibri" w:eastAsia="Calibri" w:hAnsi="Calibri" w:cs="Times New Roman"/>
                <w:sz w:val="24"/>
                <w:szCs w:val="24"/>
              </w:rPr>
            </w:pPr>
            <w:r>
              <w:rPr>
                <w:rFonts w:ascii="Calibri" w:eastAsia="Calibri" w:hAnsi="Calibri" w:cs="Times New Roman"/>
                <w:sz w:val="24"/>
                <w:szCs w:val="24"/>
              </w:rPr>
              <w:t xml:space="preserve">The response distributions being comparable to historical ACS estimates is preferable. However, some differences are expected due to sample differences between the SOGI Test and </w:t>
            </w:r>
            <w:r w:rsidR="00901624">
              <w:rPr>
                <w:rFonts w:ascii="Calibri" w:eastAsia="Calibri" w:hAnsi="Calibri" w:cs="Times New Roman"/>
                <w:sz w:val="24"/>
                <w:szCs w:val="24"/>
              </w:rPr>
              <w:t xml:space="preserve">ACS </w:t>
            </w:r>
            <w:r>
              <w:rPr>
                <w:rFonts w:ascii="Calibri" w:eastAsia="Calibri" w:hAnsi="Calibri" w:cs="Times New Roman"/>
                <w:sz w:val="24"/>
                <w:szCs w:val="24"/>
              </w:rPr>
              <w:t xml:space="preserve">production. </w:t>
            </w:r>
          </w:p>
        </w:tc>
      </w:tr>
    </w:tbl>
    <w:p w:rsidR="004A1749" w:rsidP="009A655D" w14:paraId="3AA7DAAC" w14:textId="77777777">
      <w:pPr>
        <w:pStyle w:val="NoSpacing"/>
      </w:pPr>
    </w:p>
    <w:p w:rsidR="007E2DA7" w:rsidRPr="00733F5F" w:rsidP="00B634D9" w14:paraId="16989654" w14:textId="3364C2C0">
      <w:pPr>
        <w:pStyle w:val="BodyText"/>
      </w:pPr>
      <w:r>
        <w:t>Research questions not included in the decision criteria are for informational purposes only.</w:t>
      </w:r>
    </w:p>
    <w:p w:rsidR="006D73CC" w:rsidP="006D73CC" w14:paraId="09750F3C" w14:textId="5AF6CC3B">
      <w:pPr>
        <w:pStyle w:val="Heading1"/>
      </w:pPr>
      <w:bookmarkStart w:id="58" w:name="_Toc164241852"/>
      <w:bookmarkEnd w:id="57"/>
      <w:r>
        <w:t>A</w:t>
      </w:r>
      <w:r w:rsidR="005946AA">
        <w:t>SSUMPTIONS AND LIMITATIONS</w:t>
      </w:r>
      <w:bookmarkEnd w:id="58"/>
    </w:p>
    <w:p w:rsidR="006D73CC" w:rsidP="00CC204F" w14:paraId="09750F3D" w14:textId="714FB0E4">
      <w:pPr>
        <w:pStyle w:val="Heading2"/>
      </w:pPr>
      <w:bookmarkStart w:id="59" w:name="_Toc164241853"/>
      <w:r>
        <w:t>Assumptions</w:t>
      </w:r>
      <w:bookmarkEnd w:id="59"/>
    </w:p>
    <w:p w:rsidR="00CC204F" w:rsidP="00DE5C09" w14:paraId="6BD77D37" w14:textId="3281A0E4">
      <w:pPr>
        <w:pStyle w:val="BodyText"/>
        <w:numPr>
          <w:ilvl w:val="0"/>
          <w:numId w:val="21"/>
        </w:numPr>
      </w:pPr>
      <w:r>
        <w:t xml:space="preserve">The 2024 ACS SOGI Test sample is representative of the entire ACS sample frame, with respect to response rates. </w:t>
      </w:r>
    </w:p>
    <w:p w:rsidR="00CC204F" w:rsidP="00DE5C09" w14:paraId="44EB9D38" w14:textId="32062797">
      <w:pPr>
        <w:pStyle w:val="BodyText"/>
        <w:numPr>
          <w:ilvl w:val="0"/>
          <w:numId w:val="21"/>
        </w:numPr>
      </w:pPr>
      <w:r>
        <w:t>Each treatment sample (1/4 of the full SOGI Test sample) is representative of the entire ACS sample frame.</w:t>
      </w:r>
    </w:p>
    <w:p w:rsidR="001B65F5" w:rsidRPr="001B65F5" w:rsidP="00DE5C09" w14:paraId="2F177868" w14:textId="36B3D72C">
      <w:pPr>
        <w:pStyle w:val="BodyText"/>
        <w:numPr>
          <w:ilvl w:val="0"/>
          <w:numId w:val="21"/>
        </w:numPr>
      </w:pPr>
      <w:r>
        <w:t xml:space="preserve">The </w:t>
      </w:r>
      <w:r w:rsidR="00461F87">
        <w:t>one-week</w:t>
      </w:r>
      <w:r>
        <w:t xml:space="preserve"> delay in sending the first mailing for the August and September SOGI panels</w:t>
      </w:r>
      <w:r w:rsidR="00257EF6">
        <w:t>,</w:t>
      </w:r>
      <w:r>
        <w:t xml:space="preserve"> compared to the first mailings for the August and September ACS production data collection panels</w:t>
      </w:r>
      <w:r w:rsidR="00257EF6">
        <w:t>,</w:t>
      </w:r>
      <w:r>
        <w:t xml:space="preserve"> will not affect </w:t>
      </w:r>
      <w:r w:rsidR="00461F87">
        <w:t>response</w:t>
      </w:r>
      <w:r w:rsidR="000015C6">
        <w:t xml:space="preserve"> rates</w:t>
      </w:r>
      <w:r w:rsidR="00A03494">
        <w:t>, overall and between treatments</w:t>
      </w:r>
      <w:r w:rsidR="00461F87">
        <w:t xml:space="preserve">. </w:t>
      </w:r>
      <w:r w:rsidR="00D572AD">
        <w:t>Additionally, the delay w</w:t>
      </w:r>
      <w:r w:rsidR="00A03494">
        <w:t xml:space="preserve">ill not result in a change in respondent characteristics by mode. </w:t>
      </w:r>
      <w:r>
        <w:t xml:space="preserve"> </w:t>
      </w:r>
    </w:p>
    <w:p w:rsidR="00CC204F" w:rsidRPr="00DE5C09" w:rsidP="00DE5C09" w14:paraId="4BEC677D" w14:textId="2508B7E0">
      <w:pPr>
        <w:pStyle w:val="BodyText"/>
        <w:numPr>
          <w:ilvl w:val="0"/>
          <w:numId w:val="21"/>
        </w:numPr>
        <w:rPr>
          <w:rStyle w:val="BodyTextChar"/>
        </w:rPr>
      </w:pPr>
      <w:r w:rsidRPr="00DE5C09">
        <w:rPr>
          <w:rStyle w:val="BodyTextChar"/>
        </w:rPr>
        <w:t>We assume that the frequency of real changes in answers due to a change in life circumstances between the original interview and CFU will be similar between treatments.</w:t>
      </w:r>
    </w:p>
    <w:p w:rsidR="00CC204F" w:rsidRPr="00CC204F" w:rsidP="00DE5C09" w14:paraId="5404C966" w14:textId="45855A66">
      <w:pPr>
        <w:pStyle w:val="Heading2"/>
      </w:pPr>
      <w:bookmarkStart w:id="60" w:name="_Toc164241854"/>
      <w:r>
        <w:t>Limitations</w:t>
      </w:r>
      <w:bookmarkEnd w:id="60"/>
    </w:p>
    <w:p w:rsidR="00CC204F" w:rsidRPr="00DE5C09" w:rsidP="00DE5C09" w14:paraId="6E8BE9C1" w14:textId="54570EC8">
      <w:pPr>
        <w:pStyle w:val="BodyText"/>
        <w:numPr>
          <w:ilvl w:val="0"/>
          <w:numId w:val="20"/>
        </w:numPr>
      </w:pPr>
      <w:r w:rsidRPr="00DE5C09">
        <w:t>G</w:t>
      </w:r>
      <w:r w:rsidR="005D2BE4">
        <w:t xml:space="preserve">roup </w:t>
      </w:r>
      <w:r w:rsidRPr="00DE5C09">
        <w:t>Q</w:t>
      </w:r>
      <w:r w:rsidR="005D2BE4">
        <w:t>uarter</w:t>
      </w:r>
      <w:r w:rsidRPr="00DE5C09">
        <w:t>s are not included in the sample for the test.</w:t>
      </w:r>
    </w:p>
    <w:p w:rsidR="00CC204F" w:rsidRPr="00DE5C09" w:rsidP="00DE5C09" w14:paraId="089386C1" w14:textId="6579DAB1">
      <w:pPr>
        <w:pStyle w:val="BodyText"/>
        <w:numPr>
          <w:ilvl w:val="0"/>
          <w:numId w:val="20"/>
        </w:numPr>
      </w:pPr>
      <w:r w:rsidRPr="00DE5C09">
        <w:t>Sample housing unit addresses from remote Alaska and Puerto Rico are not included in the sample for the test.</w:t>
      </w:r>
    </w:p>
    <w:p w:rsidR="00DE5C09" w:rsidRPr="00DE5C09" w:rsidP="00DE5C09" w14:paraId="6250E860" w14:textId="69460238">
      <w:pPr>
        <w:pStyle w:val="BodyText"/>
        <w:numPr>
          <w:ilvl w:val="0"/>
          <w:numId w:val="20"/>
        </w:numPr>
      </w:pPr>
      <w:r w:rsidRPr="00DE5C09">
        <w:t xml:space="preserve">Interviews will be conducted in English and Spanish only. Respondents who need language assistance in another language will not be able to participate in the 2024 </w:t>
      </w:r>
      <w:r w:rsidR="00684BAB">
        <w:t xml:space="preserve">ACS </w:t>
      </w:r>
      <w:r w:rsidRPr="00DE5C09">
        <w:t>SOGI Test. TQA responses are not included in the analysis</w:t>
      </w:r>
      <w:r w:rsidRPr="00311BDF" w:rsidR="00311BDF">
        <w:t xml:space="preserve"> </w:t>
      </w:r>
      <w:r w:rsidRPr="0052026F" w:rsidR="00311BDF">
        <w:t>because survey responses completed via the TQA operation were only conducted using the ACS production data collection instrument</w:t>
      </w:r>
      <w:r w:rsidRPr="00DE5C09" w:rsidR="00311BDF">
        <w:t>.</w:t>
      </w:r>
    </w:p>
    <w:p w:rsidR="00CC204F" w:rsidP="26A4FBFF" w14:paraId="1EDF9A0F" w14:textId="2F642C71">
      <w:pPr>
        <w:pStyle w:val="BodyText"/>
        <w:numPr>
          <w:ilvl w:val="0"/>
          <w:numId w:val="20"/>
        </w:numPr>
        <w:rPr>
          <w:rStyle w:val="BodyTextChar"/>
        </w:rPr>
      </w:pPr>
      <w:r w:rsidRPr="26A4FBFF">
        <w:rPr>
          <w:rStyle w:val="BodyTextChar"/>
        </w:rPr>
        <w:t>The CFU reinterview will be conducted by phone for cases that responded by mail in the original interview (different data collection modes). As a result, the data quality measures derived from the reinterview may include some bias for the mail mode due to the differences in mode of data collection. Cases that responded by internet in the original interview will respond via internet again in the CFU reinterview, and so there will not be a potential bias due to differences in mode of data collection. However, there will be mode differences between CFU respondents (with some having internet and some having phone CFU reinterviews) that could impact analysis</w:t>
      </w:r>
      <w:r w:rsidR="0009276C">
        <w:rPr>
          <w:rStyle w:val="BodyTextChar"/>
        </w:rPr>
        <w:t xml:space="preserve"> of the CFU metrics</w:t>
      </w:r>
      <w:r w:rsidRPr="26A4FBFF">
        <w:rPr>
          <w:rStyle w:val="BodyTextChar"/>
        </w:rPr>
        <w:t xml:space="preserve">. </w:t>
      </w:r>
    </w:p>
    <w:p w:rsidR="00AD3ED4" w:rsidP="26A4FBFF" w14:paraId="00D0DAF3" w14:textId="42D58D34">
      <w:pPr>
        <w:pStyle w:val="BodyText"/>
        <w:numPr>
          <w:ilvl w:val="0"/>
          <w:numId w:val="20"/>
        </w:numPr>
        <w:rPr>
          <w:rStyle w:val="BodyTextChar"/>
        </w:rPr>
      </w:pPr>
      <w:r w:rsidRPr="26A4FBFF">
        <w:rPr>
          <w:rStyle w:val="BodyTextChar"/>
        </w:rPr>
        <w:t>Due to variations on the internet and phone operations, there will be some differences in the length of time between the original interviews and CFU reinterviews between the internet and CATI CFU modes</w:t>
      </w:r>
      <w:r w:rsidR="00401E34">
        <w:rPr>
          <w:rStyle w:val="BodyTextChar"/>
        </w:rPr>
        <w:t xml:space="preserve">. These differences could affect respondent’s answers to </w:t>
      </w:r>
      <w:r w:rsidR="00401E34">
        <w:rPr>
          <w:rStyle w:val="BodyTextChar"/>
        </w:rPr>
        <w:t>survey questions due to changes in life circumstances</w:t>
      </w:r>
      <w:r w:rsidR="00814FFD">
        <w:rPr>
          <w:rStyle w:val="BodyTextChar"/>
        </w:rPr>
        <w:t xml:space="preserve"> or recollection of the original interview answers</w:t>
      </w:r>
      <w:r w:rsidR="00401E34">
        <w:rPr>
          <w:rStyle w:val="BodyTextChar"/>
        </w:rPr>
        <w:t xml:space="preserve">. However, the </w:t>
      </w:r>
      <w:r w:rsidR="00814FFD">
        <w:rPr>
          <w:rStyle w:val="BodyTextChar"/>
        </w:rPr>
        <w:t xml:space="preserve">timing differences between modes is so minor that we expect any impacts to be minimal. </w:t>
      </w:r>
    </w:p>
    <w:p w:rsidR="00401E34" w:rsidP="26A4FBFF" w14:paraId="390036D8" w14:textId="5844C479">
      <w:pPr>
        <w:pStyle w:val="BodyText"/>
        <w:numPr>
          <w:ilvl w:val="0"/>
          <w:numId w:val="20"/>
        </w:numPr>
        <w:rPr>
          <w:rStyle w:val="BodyTextChar"/>
        </w:rPr>
      </w:pPr>
      <w:r w:rsidRPr="00A168A2">
        <w:rPr>
          <w:rFonts w:eastAsia="Calibri"/>
        </w:rPr>
        <w:t>This timing attempts to balance two competing needs: to minimize the possibility of real changes in answers due to a change in life circumstances between the two interviews and to minimize the possibility that the respondent repeats their previous answer based on their recollection of the original interview response rather than considering the most appropriate answer.</w:t>
      </w:r>
    </w:p>
    <w:p w:rsidR="00673538" w:rsidP="00DE5C09" w14:paraId="7A479B72" w14:textId="5055C03B">
      <w:pPr>
        <w:pStyle w:val="BodyText"/>
        <w:numPr>
          <w:ilvl w:val="0"/>
          <w:numId w:val="20"/>
        </w:numPr>
        <w:rPr>
          <w:rStyle w:val="BodyTextChar"/>
        </w:rPr>
      </w:pPr>
      <w:r>
        <w:rPr>
          <w:rStyle w:val="BodyTextChar"/>
        </w:rPr>
        <w:t>We have not had an internet CFU operation before. Historically, the CFU operation has only been conducted by phone. Though we think the internet mode will gain more response than having only phone, there is a risk of our assumption not being true. Therefore</w:t>
      </w:r>
      <w:r w:rsidR="008C3E50">
        <w:rPr>
          <w:rStyle w:val="BodyTextChar"/>
        </w:rPr>
        <w:t>,</w:t>
      </w:r>
      <w:r w:rsidR="00F33D91">
        <w:rPr>
          <w:rStyle w:val="BodyTextChar"/>
        </w:rPr>
        <w:t xml:space="preserve"> </w:t>
      </w:r>
      <w:r w:rsidR="007B1C74">
        <w:rPr>
          <w:rStyle w:val="BodyTextChar"/>
        </w:rPr>
        <w:t xml:space="preserve">the quality of data available to answer </w:t>
      </w:r>
      <w:r w:rsidR="008C3E50">
        <w:rPr>
          <w:rStyle w:val="BodyTextChar"/>
        </w:rPr>
        <w:t>research questions related to the CFU reinterview</w:t>
      </w:r>
      <w:r w:rsidR="007B1C74">
        <w:rPr>
          <w:rStyle w:val="BodyTextChar"/>
        </w:rPr>
        <w:t xml:space="preserve"> may be lower</w:t>
      </w:r>
      <w:r w:rsidR="008C3E50">
        <w:rPr>
          <w:rStyle w:val="BodyTextChar"/>
        </w:rPr>
        <w:t xml:space="preserve"> </w:t>
      </w:r>
      <w:r w:rsidR="00F33D91">
        <w:rPr>
          <w:rStyle w:val="BodyTextChar"/>
        </w:rPr>
        <w:t xml:space="preserve">if there is not sufficient response to that operation. </w:t>
      </w:r>
      <w:r w:rsidR="008C3E50">
        <w:rPr>
          <w:rStyle w:val="BodyTextChar"/>
        </w:rPr>
        <w:t xml:space="preserve"> </w:t>
      </w:r>
      <w:r>
        <w:rPr>
          <w:rStyle w:val="BodyTextChar"/>
        </w:rPr>
        <w:t xml:space="preserve"> </w:t>
      </w:r>
    </w:p>
    <w:p w:rsidR="00EF49B0" w:rsidRPr="00DE5C09" w:rsidP="00DE5C09" w14:paraId="3736D512" w14:textId="1EF752B4">
      <w:pPr>
        <w:pStyle w:val="BodyText"/>
        <w:numPr>
          <w:ilvl w:val="0"/>
          <w:numId w:val="20"/>
        </w:numPr>
        <w:rPr>
          <w:rStyle w:val="BodyTextChar"/>
        </w:rPr>
      </w:pPr>
      <w:r w:rsidRPr="00EF49B0">
        <w:rPr>
          <w:rStyle w:val="BodyTextChar"/>
        </w:rPr>
        <w:t>Some research questions relate to which household member was the household respondent in the original and CFU interviews. We assume that the first person listed on the household roster was the respondent; however, in self-response modes</w:t>
      </w:r>
      <w:r>
        <w:rPr>
          <w:rStyle w:val="BodyTextChar"/>
        </w:rPr>
        <w:t>,</w:t>
      </w:r>
      <w:r w:rsidRPr="00EF49B0">
        <w:rPr>
          <w:rStyle w:val="BodyTextChar"/>
        </w:rPr>
        <w:t xml:space="preserve"> this </w:t>
      </w:r>
      <w:r>
        <w:rPr>
          <w:rStyle w:val="BodyTextChar"/>
        </w:rPr>
        <w:t xml:space="preserve">assumption </w:t>
      </w:r>
      <w:r w:rsidRPr="00EF49B0">
        <w:rPr>
          <w:rStyle w:val="BodyTextChar"/>
        </w:rPr>
        <w:t>may not always be true. Therefore, there is a limitation in the accuracy of our analysis based on household respondent status.</w:t>
      </w:r>
    </w:p>
    <w:p w:rsidR="006D73CC" w:rsidP="006D73CC" w14:paraId="09750F40" w14:textId="6BA7170E">
      <w:pPr>
        <w:pStyle w:val="Heading1"/>
      </w:pPr>
      <w:bookmarkStart w:id="61" w:name="_Toc164241855"/>
      <w:r>
        <w:t>P</w:t>
      </w:r>
      <w:r w:rsidR="005946AA">
        <w:t>OTENTIAL CHANGES TO ACS</w:t>
      </w:r>
      <w:bookmarkEnd w:id="61"/>
    </w:p>
    <w:p w:rsidR="00EE6355" w:rsidP="009C34D3" w14:paraId="09750F41" w14:textId="3A07085D">
      <w:pPr>
        <w:pStyle w:val="BodyText"/>
      </w:pPr>
      <w:r>
        <w:t xml:space="preserve">This test could result in the addition of SOGI questions to the ACS. </w:t>
      </w:r>
      <w:r w:rsidR="00D5021A">
        <w:t xml:space="preserve">We expect adding the SOGI questions to the ACS would help us capture populations we previously missed and </w:t>
      </w:r>
      <w:r w:rsidR="00A46D21">
        <w:t>allow us</w:t>
      </w:r>
      <w:r w:rsidR="00D5021A">
        <w:t xml:space="preserve"> to calculate estimates for these populations. Incorporating new questions into the ACS requires </w:t>
      </w:r>
      <w:r w:rsidRPr="00D618CD" w:rsidR="00D5021A">
        <w:t>redesign</w:t>
      </w:r>
      <w:r w:rsidR="00D5021A">
        <w:t>ing</w:t>
      </w:r>
      <w:r w:rsidRPr="00D618CD" w:rsidR="00D5021A">
        <w:t xml:space="preserve"> survey instruments, revis</w:t>
      </w:r>
      <w:r w:rsidR="00D5021A">
        <w:t>ing our</w:t>
      </w:r>
      <w:r w:rsidRPr="00D618CD" w:rsidR="00D5021A">
        <w:t xml:space="preserve"> data processing specifications, </w:t>
      </w:r>
      <w:r w:rsidR="00D5021A">
        <w:t>and</w:t>
      </w:r>
      <w:r w:rsidRPr="00D618CD" w:rsidR="00D5021A">
        <w:t xml:space="preserve"> updat</w:t>
      </w:r>
      <w:r w:rsidR="00D5021A">
        <w:t>ing</w:t>
      </w:r>
      <w:r w:rsidRPr="00D618CD" w:rsidR="00D5021A">
        <w:t xml:space="preserve"> interviewer training materials</w:t>
      </w:r>
      <w:r w:rsidR="00D5021A">
        <w:t>.</w:t>
      </w:r>
    </w:p>
    <w:p w:rsidR="00EE6355" w14:paraId="3AD8B107" w14:textId="77777777">
      <w:r>
        <w:br w:type="page"/>
      </w:r>
    </w:p>
    <w:p w:rsidR="006D73CC" w:rsidP="006D73CC" w14:paraId="09750F42" w14:textId="5F8A0851">
      <w:pPr>
        <w:pStyle w:val="Heading1"/>
      </w:pPr>
      <w:bookmarkStart w:id="62" w:name="_Toc164241856"/>
      <w:r>
        <w:t>R</w:t>
      </w:r>
      <w:r w:rsidR="005946AA">
        <w:t>EFERENCES</w:t>
      </w:r>
      <w:bookmarkEnd w:id="62"/>
    </w:p>
    <w:p w:rsidR="00166947" w:rsidP="00321D19" w14:paraId="0B47F1A7" w14:textId="203091B4">
      <w:pPr>
        <w:pStyle w:val="BodyText"/>
        <w:ind w:left="360" w:hanging="360"/>
      </w:pPr>
      <w:r>
        <w:t xml:space="preserve">Anderson, L., File, T., Marshall, J., </w:t>
      </w:r>
      <w:r w:rsidR="004317BF">
        <w:t>McElrath, K., &amp; Scherer, Z. (2021). “</w:t>
      </w:r>
      <w:r w:rsidRPr="004317BF" w:rsidR="004317BF">
        <w:t>New Household Pulse Survey Data Reveals Differences between LGBT and Non-LGBT Respondents During COVID-19 Pandemic</w:t>
      </w:r>
      <w:r w:rsidR="004317BF">
        <w:t xml:space="preserve">.” U.S. Census Bureau. </w:t>
      </w:r>
      <w:hyperlink r:id="rId39" w:history="1">
        <w:r w:rsidRPr="00530E3D" w:rsidR="004317BF">
          <w:rPr>
            <w:rStyle w:val="Hyperlink"/>
          </w:rPr>
          <w:t>https://www.census.gov/library/stories/2021/11/census-bureau-survey-explores-sexual-orientation-and-gender-identity.html</w:t>
        </w:r>
      </w:hyperlink>
      <w:r w:rsidR="004317BF">
        <w:t xml:space="preserve"> </w:t>
      </w:r>
    </w:p>
    <w:p w:rsidR="00FB2194" w:rsidRPr="00FB2194" w:rsidP="00321D19" w14:paraId="43507DCC" w14:textId="2DB89B07">
      <w:pPr>
        <w:pStyle w:val="BodyText"/>
        <w:ind w:left="360" w:hanging="360"/>
      </w:pPr>
      <w:r>
        <w:t xml:space="preserve">Bureau of Justice Statistics (2017). </w:t>
      </w:r>
      <w:r>
        <w:rPr>
          <w:i/>
          <w:iCs/>
        </w:rPr>
        <w:t xml:space="preserve">National Crime Victimization Survey, 2016: Technical documentation. </w:t>
      </w:r>
      <w:r w:rsidR="000277CF">
        <w:t xml:space="preserve">NCJ 251442. Retrieved December 21, 2023, from </w:t>
      </w:r>
      <w:hyperlink r:id="rId40" w:history="1">
        <w:r w:rsidRPr="00530E3D" w:rsidR="000277CF">
          <w:rPr>
            <w:rStyle w:val="Hyperlink"/>
          </w:rPr>
          <w:t>https://bjs.ojp.gov/redirect-legacy/content/pub/pdf/ncvstd16.pdf</w:t>
        </w:r>
      </w:hyperlink>
      <w:r w:rsidR="000277CF">
        <w:t xml:space="preserve"> </w:t>
      </w:r>
    </w:p>
    <w:p w:rsidR="008F3A34" w:rsidP="002C31B8" w14:paraId="1EE8FDF5" w14:textId="6CEA8104">
      <w:pPr>
        <w:pStyle w:val="BodyText"/>
        <w:ind w:left="360" w:hanging="360"/>
        <w:rPr>
          <w:noProof/>
        </w:rPr>
      </w:pPr>
      <w:r w:rsidRPr="008F3A34">
        <w:rPr>
          <w:noProof/>
        </w:rPr>
        <w:t xml:space="preserve">Contard, L. (2023). </w:t>
      </w:r>
      <w:r w:rsidRPr="002C31B8">
        <w:rPr>
          <w:i/>
          <w:iCs/>
        </w:rPr>
        <w:t>Requirements for the Content Follow-Up Reinterview in the 2024</w:t>
      </w:r>
      <w:r w:rsidRPr="002C31B8" w:rsidR="00321D19">
        <w:rPr>
          <w:i/>
          <w:iCs/>
        </w:rPr>
        <w:t xml:space="preserve"> </w:t>
      </w:r>
      <w:r w:rsidRPr="002C31B8">
        <w:rPr>
          <w:i/>
          <w:iCs/>
        </w:rPr>
        <w:t>American</w:t>
      </w:r>
      <w:r w:rsidRPr="002C31B8">
        <w:rPr>
          <w:i/>
          <w:iCs/>
        </w:rPr>
        <w:t xml:space="preserve"> </w:t>
      </w:r>
      <w:r w:rsidRPr="002C31B8">
        <w:rPr>
          <w:i/>
          <w:iCs/>
        </w:rPr>
        <w:t>Community Survey Sexual Orientation and Gender Identity Test</w:t>
      </w:r>
      <w:r w:rsidRPr="008F3A34">
        <w:rPr>
          <w:noProof/>
        </w:rPr>
        <w:t>. Forthcoming.</w:t>
      </w:r>
    </w:p>
    <w:p w:rsidR="00E05E0E" w:rsidRPr="00E05E0E" w:rsidP="002C31B8" w14:paraId="18586D11" w14:textId="5187FD7D">
      <w:pPr>
        <w:pStyle w:val="BodyText"/>
        <w:ind w:left="360" w:hanging="360"/>
        <w:rPr>
          <w:noProof/>
        </w:rPr>
      </w:pPr>
      <w:r>
        <w:rPr>
          <w:noProof/>
        </w:rPr>
        <w:t xml:space="preserve">Dahlhamer, J.M., Galinsky, A.M., Joestl, S.S., &amp; Ward, B.W. (2014). Sexual orientation in the 2013 National Health Interview Survey: A quality assessment. </w:t>
      </w:r>
      <w:r>
        <w:rPr>
          <w:i/>
          <w:iCs/>
          <w:noProof/>
        </w:rPr>
        <w:t xml:space="preserve">Vital and Health Statistics, </w:t>
      </w:r>
      <w:r>
        <w:rPr>
          <w:noProof/>
        </w:rPr>
        <w:t xml:space="preserve">2(169), 1-24. </w:t>
      </w:r>
      <w:hyperlink r:id="rId41" w:history="1">
        <w:r w:rsidRPr="00660EB9">
          <w:rPr>
            <w:rStyle w:val="Hyperlink"/>
            <w:noProof/>
          </w:rPr>
          <w:t>https://www.cdc.gov/nchs/data/series/sr_02/sr02_169.pdf</w:t>
        </w:r>
      </w:hyperlink>
      <w:r>
        <w:rPr>
          <w:noProof/>
        </w:rPr>
        <w:t xml:space="preserve"> </w:t>
      </w:r>
    </w:p>
    <w:p w:rsidR="00A66544" w:rsidRPr="00214D4F" w:rsidP="002C31B8" w14:paraId="30C04113" w14:textId="51421A2C">
      <w:pPr>
        <w:pStyle w:val="BodyText"/>
        <w:ind w:left="360" w:hanging="360"/>
      </w:pPr>
      <w:r w:rsidRPr="00214D4F">
        <w:t>Federal Interagency Working Group on Improving Measurement of Sexual Orientation and</w:t>
      </w:r>
      <w:r w:rsidR="002C31B8">
        <w:t xml:space="preserve"> </w:t>
      </w:r>
      <w:r w:rsidRPr="00214D4F">
        <w:t xml:space="preserve">Gender Identity in Federal Surveys. (IWG, 2016a). </w:t>
      </w:r>
      <w:r w:rsidRPr="00214D4F">
        <w:rPr>
          <w:i/>
          <w:iCs/>
        </w:rPr>
        <w:t xml:space="preserve">Current Measures of Sexual Orientation and Gender Identity in Federal Surveys. </w:t>
      </w:r>
      <w:r w:rsidRPr="00214D4F">
        <w:t xml:space="preserve">Retrieved </w:t>
      </w:r>
      <w:r w:rsidRPr="00214D4F" w:rsidR="000D2484">
        <w:t>November 7</w:t>
      </w:r>
      <w:r w:rsidRPr="00214D4F">
        <w:t>, 202</w:t>
      </w:r>
      <w:r w:rsidRPr="00214D4F" w:rsidR="000D2484">
        <w:t>3</w:t>
      </w:r>
      <w:r w:rsidR="002C31B8">
        <w:t>,</w:t>
      </w:r>
      <w:r w:rsidRPr="00214D4F">
        <w:t xml:space="preserve"> </w:t>
      </w:r>
      <w:r w:rsidR="0008416F">
        <w:t>from</w:t>
      </w:r>
      <w:r w:rsidRPr="00214D4F">
        <w:t xml:space="preserve"> </w:t>
      </w:r>
      <w:hyperlink r:id="rId42">
        <w:r w:rsidRPr="00214D4F">
          <w:rPr>
            <w:rStyle w:val="Hyperlink"/>
          </w:rPr>
          <w:t>https://nces.ed.gov/FCSM/pdf/current_measures_20160812.pdf</w:t>
        </w:r>
      </w:hyperlink>
      <w:r w:rsidRPr="00214D4F">
        <w:t xml:space="preserve"> </w:t>
      </w:r>
    </w:p>
    <w:p w:rsidR="00A66544" w:rsidP="002C31B8" w14:paraId="5A8D5356" w14:textId="56067135">
      <w:pPr>
        <w:pStyle w:val="BodyText"/>
        <w:ind w:left="360" w:hanging="360"/>
      </w:pPr>
      <w:r w:rsidRPr="00214D4F">
        <w:t>Federal Interagency Working Group on Improving Measurement of Sexual Orientation</w:t>
      </w:r>
      <w:r w:rsidRPr="00214D4F" w:rsidR="00214D4F">
        <w:t xml:space="preserve"> </w:t>
      </w:r>
      <w:r w:rsidRPr="00214D4F">
        <w:t xml:space="preserve">and Gender Identity in Federal Surveys. (IWG, 2016b). </w:t>
      </w:r>
      <w:r w:rsidRPr="00214D4F">
        <w:rPr>
          <w:i/>
          <w:iCs/>
        </w:rPr>
        <w:t xml:space="preserve">Evaluations of Sexual Orientation and Gender Identity Survey Measures: What Have We Learned? </w:t>
      </w:r>
      <w:r w:rsidRPr="00214D4F">
        <w:t xml:space="preserve">Retrieved </w:t>
      </w:r>
      <w:r w:rsidRPr="00214D4F" w:rsidR="000D2484">
        <w:t>November 7, 2023</w:t>
      </w:r>
      <w:r w:rsidR="002C31B8">
        <w:t>,</w:t>
      </w:r>
      <w:r w:rsidRPr="00214D4F" w:rsidR="000D2484">
        <w:t xml:space="preserve"> </w:t>
      </w:r>
      <w:r w:rsidR="0008416F">
        <w:t>from</w:t>
      </w:r>
      <w:r w:rsidRPr="00214D4F">
        <w:t xml:space="preserve"> </w:t>
      </w:r>
      <w:hyperlink r:id="rId43">
        <w:r w:rsidRPr="00214D4F">
          <w:rPr>
            <w:rStyle w:val="Hyperlink"/>
          </w:rPr>
          <w:t>https://nces.ed.gov/FCSM/pdf/Evaluations_of_SOGI_Questions_20160923.pdf</w:t>
        </w:r>
      </w:hyperlink>
      <w:r w:rsidRPr="00214D4F">
        <w:t xml:space="preserve"> </w:t>
      </w:r>
    </w:p>
    <w:p w:rsidR="00A66544" w:rsidP="002C31B8" w14:paraId="7AC2F77C" w14:textId="26CDF944">
      <w:pPr>
        <w:pStyle w:val="BodyText"/>
        <w:ind w:left="360" w:hanging="360"/>
      </w:pPr>
      <w:r w:rsidRPr="00214D4F">
        <w:t xml:space="preserve">Federal Interagency Working Group on Improving Measurement of Sexual Orientation and </w:t>
      </w:r>
      <w:r w:rsidRPr="00214D4F" w:rsidR="00214D4F">
        <w:t>G</w:t>
      </w:r>
      <w:r w:rsidRPr="00214D4F">
        <w:t xml:space="preserve">ender Identity in Federal Surveys. (IWG, 2016c). </w:t>
      </w:r>
      <w:r w:rsidRPr="00214D4F">
        <w:rPr>
          <w:i/>
          <w:iCs/>
        </w:rPr>
        <w:t xml:space="preserve">Toward a Research Agenda for Measuring Sexual Orientation and Gender Identity in Federal Surveys: Findings, Recommendations, and Next Steps. </w:t>
      </w:r>
      <w:r w:rsidRPr="00214D4F">
        <w:t xml:space="preserve">Retrieved </w:t>
      </w:r>
      <w:r w:rsidRPr="00214D4F" w:rsidR="000D2484">
        <w:t>November 7, 2023</w:t>
      </w:r>
      <w:r w:rsidR="002C31B8">
        <w:t>,</w:t>
      </w:r>
      <w:r w:rsidRPr="00214D4F" w:rsidR="000D2484">
        <w:t xml:space="preserve"> </w:t>
      </w:r>
      <w:r w:rsidR="0008416F">
        <w:t>from</w:t>
      </w:r>
      <w:r w:rsidRPr="00214D4F">
        <w:t xml:space="preserve"> </w:t>
      </w:r>
      <w:hyperlink r:id="rId44">
        <w:r w:rsidRPr="00214D4F">
          <w:rPr>
            <w:rStyle w:val="Hyperlink"/>
          </w:rPr>
          <w:t>https://nces.ed.gov/FCSM/pdf/SOGI_Research_Agenda_Final_Report_20161020.pdf</w:t>
        </w:r>
      </w:hyperlink>
      <w:r w:rsidRPr="00214D4F">
        <w:t xml:space="preserve"> </w:t>
      </w:r>
    </w:p>
    <w:p w:rsidR="007A2029" w:rsidP="002C31B8" w14:paraId="30B4EF73" w14:textId="2C8CD48D">
      <w:pPr>
        <w:pStyle w:val="BodyText"/>
        <w:ind w:left="360" w:hanging="360"/>
      </w:pPr>
      <w:r>
        <w:t xml:space="preserve">Herman, J.L., Flores, A.R., O’Neill, K.K. (2022). </w:t>
      </w:r>
      <w:r w:rsidRPr="00BA1EB7">
        <w:rPr>
          <w:i/>
          <w:iCs/>
        </w:rPr>
        <w:t>How Many Adults and Youth Identify as Transgender in the United States?</w:t>
      </w:r>
      <w:r>
        <w:t xml:space="preserve"> The Williams Institute, UCLA School of Law. </w:t>
      </w:r>
      <w:hyperlink r:id="rId45" w:history="1">
        <w:r w:rsidRPr="004213BD" w:rsidR="00935201">
          <w:rPr>
            <w:rStyle w:val="Hyperlink"/>
          </w:rPr>
          <w:t>https://williamsinstitute.law.ucla.edu/wp-content/uploads/Trans-Pop-Update-Jun-2022.pdf</w:t>
        </w:r>
      </w:hyperlink>
    </w:p>
    <w:p w:rsidR="00935201" w:rsidP="00935201" w14:paraId="04CF4979" w14:textId="1D89BF79">
      <w:pPr>
        <w:pStyle w:val="BodyText"/>
        <w:ind w:left="720" w:hanging="720"/>
        <w:rPr>
          <w:rStyle w:val="Hyperlink"/>
          <w:rFonts w:cs="Calibri"/>
          <w:spacing w:val="-5"/>
          <w:shd w:val="clear" w:color="auto" w:fill="FFFFFF"/>
        </w:rPr>
      </w:pPr>
      <w:r w:rsidRPr="001464E5">
        <w:t xml:space="preserve">Hochberg, Y. (1988). A </w:t>
      </w:r>
      <w:r>
        <w:t>s</w:t>
      </w:r>
      <w:r w:rsidRPr="001464E5">
        <w:t xml:space="preserve">harper Bonferroni </w:t>
      </w:r>
      <w:r>
        <w:t>p</w:t>
      </w:r>
      <w:r w:rsidRPr="001464E5">
        <w:t xml:space="preserve">rocedure for </w:t>
      </w:r>
      <w:r>
        <w:t>m</w:t>
      </w:r>
      <w:r w:rsidRPr="001464E5">
        <w:t xml:space="preserve">ultiple </w:t>
      </w:r>
      <w:r>
        <w:t>t</w:t>
      </w:r>
      <w:r w:rsidRPr="001464E5">
        <w:t xml:space="preserve">ests of </w:t>
      </w:r>
      <w:r>
        <w:t>s</w:t>
      </w:r>
      <w:r w:rsidRPr="001464E5">
        <w:t xml:space="preserve">ignificance. </w:t>
      </w:r>
      <w:r w:rsidRPr="00E87C63">
        <w:rPr>
          <w:rFonts w:cs="Calibri"/>
          <w:i/>
          <w:iCs/>
        </w:rPr>
        <w:t>Biometrika</w:t>
      </w:r>
      <w:r w:rsidRPr="001464E5">
        <w:rPr>
          <w:rFonts w:cs="Calibri"/>
        </w:rPr>
        <w:t xml:space="preserve">, 75(4), 800-802. </w:t>
      </w:r>
      <w:hyperlink r:id="rId46" w:history="1">
        <w:r w:rsidRPr="00DB0745">
          <w:rPr>
            <w:rStyle w:val="Hyperlink"/>
            <w:rFonts w:cs="Calibri"/>
            <w:spacing w:val="-5"/>
            <w:shd w:val="clear" w:color="auto" w:fill="FFFFFF"/>
          </w:rPr>
          <w:t>https://doi.org/10.2307/2336325</w:t>
        </w:r>
      </w:hyperlink>
    </w:p>
    <w:p w:rsidR="00A66544" w:rsidRPr="00214D4F" w:rsidP="002C31B8" w14:paraId="010B4DEF" w14:textId="712F1CEB">
      <w:pPr>
        <w:pStyle w:val="BodyText"/>
        <w:ind w:left="360" w:hanging="360"/>
      </w:pPr>
      <w:r w:rsidRPr="00214D4F">
        <w:t>Holzberg</w:t>
      </w:r>
      <w:r w:rsidRPr="00214D4F">
        <w:t xml:space="preserve">, J., Ellis, R., Kaplan, R., </w:t>
      </w:r>
      <w:r w:rsidRPr="00214D4F">
        <w:t>Virgile</w:t>
      </w:r>
      <w:r w:rsidRPr="00214D4F">
        <w:t xml:space="preserve">, M., </w:t>
      </w:r>
      <w:r w:rsidR="002C31B8">
        <w:t>&amp;</w:t>
      </w:r>
      <w:r w:rsidRPr="00214D4F">
        <w:t xml:space="preserve"> Edgar, J. (2019). Can </w:t>
      </w:r>
      <w:r w:rsidR="002C31B8">
        <w:t>t</w:t>
      </w:r>
      <w:r w:rsidRPr="00214D4F">
        <w:t>hey</w:t>
      </w:r>
      <w:r w:rsidRPr="00214D4F">
        <w:t xml:space="preserve"> and </w:t>
      </w:r>
      <w:r w:rsidR="002C31B8">
        <w:t>w</w:t>
      </w:r>
      <w:r w:rsidRPr="00214D4F">
        <w:t xml:space="preserve">ill </w:t>
      </w:r>
      <w:r w:rsidR="002C31B8">
        <w:t>t</w:t>
      </w:r>
      <w:r w:rsidRPr="00214D4F">
        <w:t>hey?</w:t>
      </w:r>
      <w:r w:rsidR="002C31B8">
        <w:t xml:space="preserve"> </w:t>
      </w:r>
      <w:r w:rsidRPr="00214D4F">
        <w:t xml:space="preserve">Exploring </w:t>
      </w:r>
      <w:r w:rsidR="002C31B8">
        <w:t>p</w:t>
      </w:r>
      <w:r w:rsidRPr="00214D4F">
        <w:t xml:space="preserve">roxy </w:t>
      </w:r>
      <w:r w:rsidR="002C31B8">
        <w:t>r</w:t>
      </w:r>
      <w:r w:rsidRPr="00214D4F">
        <w:t xml:space="preserve">esponse of </w:t>
      </w:r>
      <w:r w:rsidR="002C31B8">
        <w:t>s</w:t>
      </w:r>
      <w:r w:rsidRPr="00214D4F">
        <w:t xml:space="preserve">exual </w:t>
      </w:r>
      <w:r w:rsidR="002C31B8">
        <w:t>o</w:t>
      </w:r>
      <w:r w:rsidRPr="00214D4F">
        <w:t xml:space="preserve">rientation and </w:t>
      </w:r>
      <w:r w:rsidR="002C31B8">
        <w:t>g</w:t>
      </w:r>
      <w:r w:rsidRPr="00214D4F">
        <w:t xml:space="preserve">ender </w:t>
      </w:r>
      <w:r w:rsidR="002C31B8">
        <w:t>i</w:t>
      </w:r>
      <w:r w:rsidRPr="00214D4F">
        <w:t xml:space="preserve">dentity in the Current Population Survey. </w:t>
      </w:r>
      <w:r w:rsidRPr="00214D4F">
        <w:rPr>
          <w:i/>
          <w:iCs/>
        </w:rPr>
        <w:t>Journal of Official Statistics</w:t>
      </w:r>
      <w:r w:rsidRPr="00214D4F">
        <w:t>, 35</w:t>
      </w:r>
      <w:r w:rsidR="00865081">
        <w:t xml:space="preserve"> (4)</w:t>
      </w:r>
      <w:r w:rsidRPr="00214D4F">
        <w:t xml:space="preserve">, 885-911. </w:t>
      </w:r>
      <w:hyperlink r:id="rId47" w:history="1">
        <w:r w:rsidRPr="00530E3D" w:rsidR="00865081">
          <w:rPr>
            <w:rStyle w:val="Hyperlink"/>
          </w:rPr>
          <w:t>https://doi.org/10.2478/jos-2019-0037</w:t>
        </w:r>
      </w:hyperlink>
      <w:r w:rsidR="00865081">
        <w:t xml:space="preserve"> </w:t>
      </w:r>
    </w:p>
    <w:p w:rsidR="006304C6" w:rsidRPr="00020B14" w:rsidP="00865081" w14:paraId="06060501" w14:textId="2CD317A7">
      <w:pPr>
        <w:pStyle w:val="BodyText"/>
        <w:ind w:left="360" w:hanging="360"/>
        <w:rPr>
          <w:rFonts w:ascii="Calibri" w:eastAsia="Times New Roman" w:hAnsi="Calibri" w:cs="Times New Roman"/>
        </w:rPr>
      </w:pPr>
      <w:r>
        <w:rPr>
          <w:rFonts w:ascii="Calibri" w:eastAsia="Times New Roman" w:hAnsi="Calibri" w:cs="Times New Roman"/>
        </w:rPr>
        <w:t xml:space="preserve">Hughes, T., </w:t>
      </w:r>
      <w:r>
        <w:rPr>
          <w:rFonts w:ascii="Calibri" w:eastAsia="Times New Roman" w:hAnsi="Calibri" w:cs="Times New Roman"/>
        </w:rPr>
        <w:t>Lordi</w:t>
      </w:r>
      <w:r>
        <w:rPr>
          <w:rFonts w:ascii="Calibri" w:eastAsia="Times New Roman" w:hAnsi="Calibri" w:cs="Times New Roman"/>
        </w:rPr>
        <w:t xml:space="preserve">, N., Park, R., Shrivastava, P., Fu, J., </w:t>
      </w:r>
      <w:r>
        <w:rPr>
          <w:rFonts w:ascii="Calibri" w:eastAsia="Times New Roman" w:hAnsi="Calibri" w:cs="Times New Roman"/>
        </w:rPr>
        <w:t>Steinmertz</w:t>
      </w:r>
      <w:r>
        <w:rPr>
          <w:rFonts w:ascii="Calibri" w:eastAsia="Times New Roman" w:hAnsi="Calibri" w:cs="Times New Roman"/>
        </w:rPr>
        <w:t xml:space="preserve">, V., Aguilar, D., &amp; Wan, W. (2023). </w:t>
      </w:r>
      <w:r w:rsidR="00020B14">
        <w:rPr>
          <w:rFonts w:ascii="Calibri" w:eastAsia="Times New Roman" w:hAnsi="Calibri" w:cs="Times New Roman"/>
          <w:i/>
          <w:iCs/>
        </w:rPr>
        <w:t xml:space="preserve">CHIS sexual orientation and gender identity 2022 cognitive pretest report: Findings from Waves I and II. </w:t>
      </w:r>
      <w:r w:rsidR="00020B14">
        <w:rPr>
          <w:rFonts w:ascii="Calibri" w:eastAsia="Times New Roman" w:hAnsi="Calibri" w:cs="Times New Roman"/>
        </w:rPr>
        <w:t xml:space="preserve">UCLA Center for Health Policy Research. Retrieved January 5, 2024, from </w:t>
      </w:r>
      <w:hyperlink r:id="rId48" w:history="1">
        <w:r w:rsidR="00020B14">
          <w:rPr>
            <w:rStyle w:val="Hyperlink"/>
          </w:rPr>
          <w:t>https://healthpolicy.ucla.edu/sites/default/files/2023-05/chis-2022-sogi-pretest-report-waves-i-and-ii.pdf</w:t>
        </w:r>
      </w:hyperlink>
      <w:r w:rsidR="00020B14">
        <w:t xml:space="preserve"> </w:t>
      </w:r>
    </w:p>
    <w:p w:rsidR="00EE7BAA" w:rsidP="00865081" w14:paraId="3D3D4C44" w14:textId="4A9E6487">
      <w:pPr>
        <w:pStyle w:val="BodyText"/>
        <w:ind w:left="360" w:hanging="360"/>
        <w:rPr>
          <w:rFonts w:ascii="Calibri" w:eastAsia="Times New Roman" w:hAnsi="Calibri" w:cs="Times New Roman"/>
        </w:rPr>
      </w:pPr>
      <w:r>
        <w:rPr>
          <w:rFonts w:ascii="Calibri" w:eastAsia="Times New Roman" w:hAnsi="Calibri" w:cs="Times New Roman"/>
        </w:rPr>
        <w:t xml:space="preserve">Interagency Technical Working Group on Sexual Orientation and Gender Identity Items in the Household Pulse Survey. (ITWG, 2021). </w:t>
      </w:r>
      <w:r>
        <w:rPr>
          <w:rFonts w:ascii="Calibri" w:eastAsia="Times New Roman" w:hAnsi="Calibri" w:cs="Times New Roman"/>
          <w:i/>
          <w:iCs/>
        </w:rPr>
        <w:t xml:space="preserve">Report and recommendations. </w:t>
      </w:r>
      <w:r w:rsidR="006D2D54">
        <w:rPr>
          <w:rFonts w:ascii="Calibri" w:eastAsia="Times New Roman" w:hAnsi="Calibri" w:cs="Times New Roman"/>
        </w:rPr>
        <w:t xml:space="preserve">Office of Management and Budget. </w:t>
      </w:r>
    </w:p>
    <w:p w:rsidR="004F1413" w:rsidP="00865081" w14:paraId="47B85683" w14:textId="4668439A">
      <w:pPr>
        <w:pStyle w:val="BodyText"/>
        <w:ind w:left="360" w:hanging="360"/>
        <w:rPr>
          <w:rStyle w:val="Hyperlink"/>
          <w:bdr w:val="none" w:sz="0" w:space="0" w:color="auto" w:frame="1"/>
          <w:shd w:val="clear" w:color="auto" w:fill="FFFFFF"/>
        </w:rPr>
      </w:pPr>
      <w:r w:rsidRPr="00E87C63">
        <w:rPr>
          <w:rFonts w:eastAsia="Times New Roman"/>
        </w:rPr>
        <w:t xml:space="preserve">Miller, </w:t>
      </w:r>
      <w:r w:rsidRPr="00E87C63">
        <w:rPr>
          <w:color w:val="000000"/>
          <w:shd w:val="clear" w:color="auto" w:fill="FFFFFF"/>
        </w:rPr>
        <w:t xml:space="preserve">K., Willson, S., </w:t>
      </w:r>
      <w:r w:rsidRPr="00E87C63" w:rsidR="00D63B91">
        <w:rPr>
          <w:color w:val="000000"/>
          <w:shd w:val="clear" w:color="auto" w:fill="FFFFFF"/>
        </w:rPr>
        <w:t xml:space="preserve">&amp; </w:t>
      </w:r>
      <w:r w:rsidRPr="00E87C63">
        <w:rPr>
          <w:color w:val="000000"/>
          <w:shd w:val="clear" w:color="auto" w:fill="FFFFFF"/>
        </w:rPr>
        <w:t xml:space="preserve">Ryan, V. (2021). </w:t>
      </w:r>
      <w:r w:rsidRPr="00E87C63">
        <w:rPr>
          <w:i/>
          <w:iCs/>
          <w:color w:val="000000"/>
          <w:shd w:val="clear" w:color="auto" w:fill="FFFFFF"/>
        </w:rPr>
        <w:t xml:space="preserve">An </w:t>
      </w:r>
      <w:r w:rsidRPr="00E87C63" w:rsidR="00D63B91">
        <w:rPr>
          <w:i/>
          <w:iCs/>
          <w:color w:val="000000"/>
          <w:shd w:val="clear" w:color="auto" w:fill="FFFFFF"/>
        </w:rPr>
        <w:t>i</w:t>
      </w:r>
      <w:r w:rsidRPr="00E87C63">
        <w:rPr>
          <w:i/>
          <w:iCs/>
          <w:color w:val="000000"/>
          <w:shd w:val="clear" w:color="auto" w:fill="FFFFFF"/>
        </w:rPr>
        <w:t xml:space="preserve">nitial </w:t>
      </w:r>
      <w:r w:rsidRPr="00E87C63" w:rsidR="00D63B91">
        <w:rPr>
          <w:i/>
          <w:iCs/>
          <w:color w:val="000000"/>
          <w:shd w:val="clear" w:color="auto" w:fill="FFFFFF"/>
        </w:rPr>
        <w:t>c</w:t>
      </w:r>
      <w:r w:rsidRPr="00E87C63">
        <w:rPr>
          <w:i/>
          <w:iCs/>
          <w:color w:val="000000"/>
          <w:shd w:val="clear" w:color="auto" w:fill="FFFFFF"/>
        </w:rPr>
        <w:t xml:space="preserve">ognitive </w:t>
      </w:r>
      <w:r w:rsidRPr="00E87C63" w:rsidR="00D63B91">
        <w:rPr>
          <w:i/>
          <w:iCs/>
          <w:color w:val="000000"/>
          <w:shd w:val="clear" w:color="auto" w:fill="FFFFFF"/>
        </w:rPr>
        <w:t>e</w:t>
      </w:r>
      <w:r w:rsidRPr="00E87C63">
        <w:rPr>
          <w:i/>
          <w:iCs/>
          <w:color w:val="000000"/>
          <w:shd w:val="clear" w:color="auto" w:fill="FFFFFF"/>
        </w:rPr>
        <w:t>valuation of a 2-</w:t>
      </w:r>
      <w:r w:rsidRPr="00E87C63" w:rsidR="00D63B91">
        <w:rPr>
          <w:i/>
          <w:iCs/>
          <w:color w:val="000000"/>
          <w:shd w:val="clear" w:color="auto" w:fill="FFFFFF"/>
        </w:rPr>
        <w:t>s</w:t>
      </w:r>
      <w:r w:rsidRPr="00E87C63">
        <w:rPr>
          <w:i/>
          <w:iCs/>
          <w:color w:val="000000"/>
          <w:shd w:val="clear" w:color="auto" w:fill="FFFFFF"/>
        </w:rPr>
        <w:t xml:space="preserve">tep </w:t>
      </w:r>
      <w:r w:rsidRPr="00E87C63" w:rsidR="00D63B91">
        <w:rPr>
          <w:i/>
          <w:iCs/>
          <w:color w:val="000000"/>
          <w:shd w:val="clear" w:color="auto" w:fill="FFFFFF"/>
        </w:rPr>
        <w:t>g</w:t>
      </w:r>
      <w:r w:rsidRPr="00E87C63">
        <w:rPr>
          <w:i/>
          <w:iCs/>
          <w:color w:val="000000"/>
          <w:shd w:val="clear" w:color="auto" w:fill="FFFFFF"/>
        </w:rPr>
        <w:t xml:space="preserve">ender </w:t>
      </w:r>
      <w:r w:rsidRPr="00E87C63" w:rsidR="00D63B91">
        <w:rPr>
          <w:i/>
          <w:iCs/>
          <w:color w:val="000000"/>
          <w:shd w:val="clear" w:color="auto" w:fill="FFFFFF"/>
        </w:rPr>
        <w:t>i</w:t>
      </w:r>
      <w:r w:rsidRPr="00E87C63">
        <w:rPr>
          <w:i/>
          <w:iCs/>
          <w:color w:val="000000"/>
          <w:shd w:val="clear" w:color="auto" w:fill="FFFFFF"/>
        </w:rPr>
        <w:t xml:space="preserve">dentity </w:t>
      </w:r>
      <w:r w:rsidRPr="00E87C63" w:rsidR="00D63B91">
        <w:rPr>
          <w:i/>
          <w:iCs/>
          <w:color w:val="000000"/>
          <w:shd w:val="clear" w:color="auto" w:fill="FFFFFF"/>
        </w:rPr>
        <w:t>m</w:t>
      </w:r>
      <w:r w:rsidRPr="00E87C63">
        <w:rPr>
          <w:i/>
          <w:iCs/>
          <w:color w:val="000000"/>
          <w:shd w:val="clear" w:color="auto" w:fill="FFFFFF"/>
        </w:rPr>
        <w:t>easure</w:t>
      </w:r>
      <w:r w:rsidRPr="00E87C63">
        <w:rPr>
          <w:color w:val="000000"/>
          <w:shd w:val="clear" w:color="auto" w:fill="FFFFFF"/>
        </w:rPr>
        <w:t>. National Center for Health Statistics - CCQDER.</w:t>
      </w:r>
      <w:r w:rsidRPr="00E87C63" w:rsidR="00D63B91">
        <w:rPr>
          <w:color w:val="000000"/>
          <w:shd w:val="clear" w:color="auto" w:fill="FFFFFF"/>
        </w:rPr>
        <w:t xml:space="preserve"> </w:t>
      </w:r>
      <w:hyperlink r:id="rId49" w:history="1">
        <w:r w:rsidRPr="00E87C63" w:rsidR="00D63B91">
          <w:rPr>
            <w:rStyle w:val="Hyperlink"/>
            <w:bdr w:val="none" w:sz="0" w:space="0" w:color="auto" w:frame="1"/>
            <w:shd w:val="clear" w:color="auto" w:fill="FFFFFF"/>
          </w:rPr>
          <w:t>https://wwwn.cdc.gov/QBank/Report.aspx?1219</w:t>
        </w:r>
      </w:hyperlink>
    </w:p>
    <w:p w:rsidR="001427AB" w:rsidRPr="002C67BF" w:rsidP="002C67BF" w14:paraId="03780444" w14:textId="0A88C6E5">
      <w:pPr>
        <w:pStyle w:val="BodyText"/>
        <w:ind w:left="360" w:hanging="360"/>
      </w:pPr>
      <w:r w:rsidRPr="002C67BF">
        <w:rPr>
          <w:rStyle w:val="Hyperlink"/>
          <w:color w:val="auto"/>
          <w:u w:val="none"/>
        </w:rPr>
        <w:t xml:space="preserve">Miller, K. (2022, August 2). </w:t>
      </w:r>
      <w:r w:rsidRPr="002C67BF">
        <w:rPr>
          <w:rStyle w:val="Hyperlink"/>
          <w:i/>
          <w:iCs/>
          <w:color w:val="auto"/>
          <w:u w:val="none"/>
        </w:rPr>
        <w:t>SOGI Question Design and Evaluation Collaborating Center for Question Design and Evaluation Research (CCQDER)</w:t>
      </w:r>
      <w:r w:rsidRPr="002C67BF">
        <w:rPr>
          <w:rStyle w:val="Hyperlink"/>
          <w:color w:val="auto"/>
          <w:u w:val="none"/>
        </w:rPr>
        <w:t xml:space="preserve"> [Webinar]. Centers for Disease Control and Prevention.</w:t>
      </w:r>
      <w:r w:rsidRPr="002C67BF" w:rsidR="002C67BF">
        <w:t xml:space="preserve"> </w:t>
      </w:r>
      <w:hyperlink r:id="rId50" w:history="1">
        <w:r w:rsidRPr="00073D2A" w:rsidR="002C67BF">
          <w:rPr>
            <w:rStyle w:val="Hyperlink"/>
          </w:rPr>
          <w:t>https://www.cdc.gov/nchs/video/dae-sexual-orientation-gender-identity/DAE-Sexual-Orientation-and-Gender-Identity-2022-Low-Res.mp4</w:t>
        </w:r>
      </w:hyperlink>
      <w:r w:rsidR="002C67BF">
        <w:rPr>
          <w:rStyle w:val="Hyperlink"/>
          <w:color w:val="auto"/>
          <w:u w:val="none"/>
        </w:rPr>
        <w:t xml:space="preserve">  </w:t>
      </w:r>
    </w:p>
    <w:p w:rsidR="008C4068" w:rsidRPr="008C4068" w:rsidP="00865081" w14:paraId="16946932" w14:textId="6E534814">
      <w:pPr>
        <w:pStyle w:val="BodyText"/>
        <w:ind w:left="360" w:hanging="360"/>
        <w:rPr>
          <w:rFonts w:ascii="Calibri" w:eastAsia="Times New Roman" w:hAnsi="Calibri" w:cs="Times New Roman"/>
        </w:rPr>
      </w:pPr>
      <w:r>
        <w:rPr>
          <w:rFonts w:ascii="Calibri" w:eastAsia="Times New Roman" w:hAnsi="Calibri" w:cs="Times New Roman"/>
        </w:rPr>
        <w:t xml:space="preserve">National Academies of Sciences, Engineering, and Medicine. (2022). </w:t>
      </w:r>
      <w:r>
        <w:rPr>
          <w:rFonts w:ascii="Calibri" w:eastAsia="Times New Roman" w:hAnsi="Calibri" w:cs="Times New Roman"/>
          <w:i/>
          <w:iCs/>
        </w:rPr>
        <w:t>Measuring sex, gender identity, and sexual orientation</w:t>
      </w:r>
      <w:r>
        <w:rPr>
          <w:rFonts w:ascii="Calibri" w:eastAsia="Times New Roman" w:hAnsi="Calibri" w:cs="Times New Roman"/>
        </w:rPr>
        <w:t xml:space="preserve">. Washington, DC: The National Academies Press. </w:t>
      </w:r>
      <w:hyperlink r:id="rId51" w:history="1">
        <w:r w:rsidRPr="00FE7DD5">
          <w:rPr>
            <w:rStyle w:val="Hyperlink"/>
            <w:rFonts w:ascii="Calibri" w:eastAsia="Times New Roman" w:hAnsi="Calibri" w:cs="Times New Roman"/>
          </w:rPr>
          <w:t>https://doi.org/10.17226/26424</w:t>
        </w:r>
      </w:hyperlink>
      <w:r>
        <w:rPr>
          <w:rFonts w:ascii="Calibri" w:eastAsia="Times New Roman" w:hAnsi="Calibri" w:cs="Times New Roman"/>
        </w:rPr>
        <w:t xml:space="preserve"> </w:t>
      </w:r>
    </w:p>
    <w:p w:rsidR="00214D4F" w:rsidP="00865081" w14:paraId="7101B39C" w14:textId="1EB0CDD4">
      <w:pPr>
        <w:pStyle w:val="BodyText"/>
        <w:ind w:left="360" w:hanging="360"/>
        <w:rPr>
          <w:rFonts w:ascii="Calibri" w:eastAsia="Times New Roman" w:hAnsi="Calibri" w:cs="Times New Roman"/>
        </w:rPr>
      </w:pPr>
      <w:r w:rsidRPr="001464E5">
        <w:rPr>
          <w:rFonts w:ascii="Calibri" w:eastAsia="Times New Roman" w:hAnsi="Calibri" w:cs="Times New Roman"/>
        </w:rPr>
        <w:t>Office of Management and Budget</w:t>
      </w:r>
      <w:r w:rsidR="008C4068">
        <w:rPr>
          <w:rFonts w:ascii="Calibri" w:eastAsia="Times New Roman" w:hAnsi="Calibri" w:cs="Times New Roman"/>
        </w:rPr>
        <w:t>.</w:t>
      </w:r>
      <w:r w:rsidRPr="001464E5">
        <w:rPr>
          <w:rFonts w:ascii="Calibri" w:eastAsia="Times New Roman" w:hAnsi="Calibri" w:cs="Times New Roman"/>
        </w:rPr>
        <w:t xml:space="preserve"> (2006). </w:t>
      </w:r>
      <w:r w:rsidRPr="34B440F5">
        <w:rPr>
          <w:rFonts w:ascii="Calibri" w:eastAsia="Times New Roman" w:hAnsi="Calibri" w:cs="Times New Roman"/>
          <w:i/>
          <w:iCs/>
        </w:rPr>
        <w:t>Standards and guidelines for statistical surveys</w:t>
      </w:r>
      <w:r w:rsidRPr="001464E5">
        <w:rPr>
          <w:rFonts w:ascii="Calibri" w:eastAsia="Times New Roman" w:hAnsi="Calibri" w:cs="Times New Roman"/>
        </w:rPr>
        <w:t>.</w:t>
      </w:r>
      <w:r w:rsidR="00321D19">
        <w:rPr>
          <w:rFonts w:ascii="Calibri" w:eastAsia="Times New Roman" w:hAnsi="Calibri" w:cs="Times New Roman"/>
        </w:rPr>
        <w:t xml:space="preserve"> </w:t>
      </w:r>
      <w:r w:rsidRPr="00496CDB">
        <w:rPr>
          <w:rFonts w:ascii="Calibri" w:eastAsia="Times New Roman" w:hAnsi="Calibri" w:cs="Times New Roman"/>
        </w:rPr>
        <w:t xml:space="preserve">Retrieved </w:t>
      </w:r>
      <w:r w:rsidR="00321D19">
        <w:rPr>
          <w:rFonts w:ascii="Calibri" w:eastAsia="Times New Roman" w:hAnsi="Calibri" w:cs="Times New Roman"/>
        </w:rPr>
        <w:t>December 21, 2023</w:t>
      </w:r>
      <w:r w:rsidRPr="00496CDB">
        <w:rPr>
          <w:rFonts w:ascii="Calibri" w:eastAsia="Times New Roman" w:hAnsi="Calibri" w:cs="Times New Roman"/>
        </w:rPr>
        <w:t>, from</w:t>
      </w:r>
      <w:r w:rsidRPr="001464E5">
        <w:rPr>
          <w:rFonts w:ascii="Calibri" w:eastAsia="Times New Roman" w:hAnsi="Calibri" w:cs="Times New Roman"/>
        </w:rPr>
        <w:t xml:space="preserve"> </w:t>
      </w:r>
      <w:hyperlink r:id="rId52" w:history="1">
        <w:r w:rsidR="00321D19">
          <w:rPr>
            <w:rStyle w:val="Hyperlink"/>
          </w:rPr>
          <w:t>https://obamawhitehouse.archives.gov/sites/default/files/omb/inforeg/statpolicy/standards_stat_surveys.pdf</w:t>
        </w:r>
      </w:hyperlink>
    </w:p>
    <w:p w:rsidR="00B15258" w:rsidP="00865081" w14:paraId="0399027C" w14:textId="2B6030FC">
      <w:pPr>
        <w:pStyle w:val="BodyText"/>
        <w:ind w:left="360" w:hanging="360"/>
      </w:pPr>
      <w:r>
        <w:t xml:space="preserve">Office of Management and Budget. (2023). </w:t>
      </w:r>
      <w:r w:rsidRPr="00B634D9" w:rsidR="00AB5F66">
        <w:rPr>
          <w:i/>
          <w:iCs/>
        </w:rPr>
        <w:t>Recommendations on the best practices for the collection of sexual orientation and gender identity data on federal statistical surveys</w:t>
      </w:r>
      <w:r>
        <w:t>.</w:t>
      </w:r>
      <w:r w:rsidR="00AB5F66">
        <w:t xml:space="preserve"> Retrieved January 4, 2024, from </w:t>
      </w:r>
      <w:hyperlink r:id="rId53" w:history="1">
        <w:r w:rsidRPr="00FE7DD5" w:rsidR="00AB5F66">
          <w:rPr>
            <w:rStyle w:val="Hyperlink"/>
          </w:rPr>
          <w:t>https://www.whitehouse.gov/wp-content/uploads/2023/01/SOGI-Best-Practices.pdf</w:t>
        </w:r>
      </w:hyperlink>
      <w:r w:rsidR="00AB5F66">
        <w:t xml:space="preserve"> </w:t>
      </w:r>
    </w:p>
    <w:p w:rsidR="00A66544" w:rsidP="00865081" w14:paraId="32F44FA5" w14:textId="5F443D58">
      <w:pPr>
        <w:pStyle w:val="BodyText"/>
        <w:ind w:left="360" w:hanging="360"/>
      </w:pPr>
      <w:r w:rsidRPr="00214D4F">
        <w:t>Ortman</w:t>
      </w:r>
      <w:r w:rsidRPr="00214D4F">
        <w:t xml:space="preserve">, J.M., Bates, N.A., Brown, A., </w:t>
      </w:r>
      <w:r w:rsidR="00865081">
        <w:t>&amp;</w:t>
      </w:r>
      <w:r w:rsidRPr="00214D4F">
        <w:t xml:space="preserve"> Sawyer, R.C. (2017). Optimizing Self and Proxy</w:t>
      </w:r>
      <w:r w:rsidR="00865081">
        <w:t xml:space="preserve"> </w:t>
      </w:r>
      <w:r w:rsidRPr="00214D4F">
        <w:t xml:space="preserve">Response to Survey Questions on Sexual Orientation and Gender Identity. Presented at the Annual Meeting of the Population Association of America. Retrieved </w:t>
      </w:r>
      <w:r w:rsidRPr="00214D4F" w:rsidR="000D2484">
        <w:t>November 7</w:t>
      </w:r>
      <w:r w:rsidRPr="00214D4F">
        <w:t>, 202</w:t>
      </w:r>
      <w:r w:rsidRPr="00214D4F" w:rsidR="000D2484">
        <w:t>3</w:t>
      </w:r>
      <w:r w:rsidRPr="00214D4F">
        <w:t xml:space="preserve"> </w:t>
      </w:r>
      <w:r w:rsidR="0008416F">
        <w:t>from</w:t>
      </w:r>
      <w:r w:rsidRPr="00214D4F">
        <w:t xml:space="preserve"> </w:t>
      </w:r>
      <w:hyperlink r:id="rId54">
        <w:r w:rsidRPr="00214D4F">
          <w:rPr>
            <w:rStyle w:val="Hyperlink"/>
          </w:rPr>
          <w:t>https://paa.confex.com/paa/2017/mediafile/ExtendedAbstract/Paper13962/Ortman%20Bates%20Brown%20Sawyer%20PAA%202017.pdf</w:t>
        </w:r>
      </w:hyperlink>
      <w:r w:rsidRPr="70E2E263">
        <w:t xml:space="preserve"> </w:t>
      </w:r>
    </w:p>
    <w:p w:rsidR="00AA3EB2" w:rsidP="00AA3EB2" w14:paraId="15A0D5E7" w14:textId="06624986">
      <w:pPr>
        <w:pStyle w:val="BodyText"/>
        <w:ind w:left="720" w:hanging="720"/>
        <w:rPr>
          <w:noProof/>
        </w:rPr>
      </w:pPr>
      <w:r w:rsidRPr="001464E5">
        <w:rPr>
          <w:noProof/>
        </w:rPr>
        <w:t>Rao, J., &amp; Scott</w:t>
      </w:r>
      <w:r>
        <w:rPr>
          <w:noProof/>
        </w:rPr>
        <w:t>,</w:t>
      </w:r>
      <w:r w:rsidRPr="001464E5">
        <w:rPr>
          <w:noProof/>
        </w:rPr>
        <w:t xml:space="preserve"> A. (1987). On simple adjustments to chi-square tests with sample survey data. </w:t>
      </w:r>
      <w:r w:rsidRPr="001464E5">
        <w:rPr>
          <w:i/>
          <w:iCs/>
          <w:noProof/>
        </w:rPr>
        <w:t>The Annals of Statistics</w:t>
      </w:r>
      <w:r w:rsidRPr="001464E5">
        <w:rPr>
          <w:noProof/>
        </w:rPr>
        <w:t xml:space="preserve">, 15(1), 385–397. </w:t>
      </w:r>
      <w:hyperlink r:id="rId55" w:history="1">
        <w:r w:rsidRPr="00DB0745">
          <w:rPr>
            <w:rStyle w:val="Hyperlink"/>
            <w:noProof/>
          </w:rPr>
          <w:t>https://doi.org/10.1214/aos/1176350273</w:t>
        </w:r>
      </w:hyperlink>
      <w:r>
        <w:rPr>
          <w:noProof/>
        </w:rPr>
        <w:t xml:space="preserve"> </w:t>
      </w:r>
      <w:r w:rsidRPr="001464E5">
        <w:rPr>
          <w:noProof/>
        </w:rPr>
        <w:t xml:space="preserve"> </w:t>
      </w:r>
    </w:p>
    <w:p w:rsidR="005A253C" w:rsidP="00865081" w14:paraId="7CCCCFAF" w14:textId="74A5B0CA">
      <w:pPr>
        <w:pStyle w:val="BodyText"/>
        <w:ind w:left="360" w:hanging="360"/>
        <w:rPr>
          <w:noProof/>
        </w:rPr>
      </w:pPr>
      <w:r w:rsidRPr="008F3A34">
        <w:rPr>
          <w:noProof/>
        </w:rPr>
        <w:t xml:space="preserve">Risley, M. (2023). </w:t>
      </w:r>
      <w:r w:rsidRPr="00865081">
        <w:rPr>
          <w:i/>
          <w:iCs/>
          <w:noProof/>
        </w:rPr>
        <w:t>High-</w:t>
      </w:r>
      <w:r w:rsidRPr="00865081" w:rsidR="00865081">
        <w:rPr>
          <w:i/>
          <w:iCs/>
          <w:noProof/>
        </w:rPr>
        <w:t>l</w:t>
      </w:r>
      <w:r w:rsidRPr="00865081">
        <w:rPr>
          <w:i/>
          <w:iCs/>
          <w:noProof/>
        </w:rPr>
        <w:t xml:space="preserve">evel </w:t>
      </w:r>
      <w:r w:rsidRPr="00865081" w:rsidR="00865081">
        <w:rPr>
          <w:i/>
          <w:iCs/>
          <w:noProof/>
        </w:rPr>
        <w:t>s</w:t>
      </w:r>
      <w:r w:rsidRPr="00865081">
        <w:rPr>
          <w:i/>
          <w:iCs/>
          <w:noProof/>
        </w:rPr>
        <w:t xml:space="preserve">ampling and </w:t>
      </w:r>
      <w:r w:rsidRPr="00865081" w:rsidR="00865081">
        <w:rPr>
          <w:i/>
          <w:iCs/>
          <w:noProof/>
        </w:rPr>
        <w:t>w</w:t>
      </w:r>
      <w:r w:rsidRPr="00865081">
        <w:rPr>
          <w:i/>
          <w:iCs/>
          <w:noProof/>
        </w:rPr>
        <w:t xml:space="preserve">eighting </w:t>
      </w:r>
      <w:r w:rsidRPr="00865081" w:rsidR="00865081">
        <w:rPr>
          <w:i/>
          <w:iCs/>
          <w:noProof/>
        </w:rPr>
        <w:t>r</w:t>
      </w:r>
      <w:r w:rsidRPr="00865081">
        <w:rPr>
          <w:i/>
          <w:iCs/>
          <w:noProof/>
        </w:rPr>
        <w:t>equirements for the 2024 American Community Survey Sexual Orientation and Gender Identity Test</w:t>
      </w:r>
      <w:r w:rsidRPr="008F3A34">
        <w:rPr>
          <w:i/>
          <w:iCs/>
          <w:noProof/>
        </w:rPr>
        <w:t xml:space="preserve">. </w:t>
      </w:r>
      <w:r w:rsidRPr="008F3A34">
        <w:rPr>
          <w:noProof/>
        </w:rPr>
        <w:t>Forthcoming.</w:t>
      </w:r>
    </w:p>
    <w:p w:rsidR="008A14AB" w:rsidRPr="008A14AB" w:rsidP="00865081" w14:paraId="4BD47A21" w14:textId="5DCD086D">
      <w:pPr>
        <w:pStyle w:val="BodyText"/>
        <w:ind w:left="360" w:hanging="360"/>
        <w:rPr>
          <w:noProof/>
        </w:rPr>
      </w:pPr>
      <w:r>
        <w:rPr>
          <w:noProof/>
        </w:rPr>
        <w:t xml:space="preserve">Truman, J.L., Morgan, R.E., Gilbert, T., &amp; Vaghela, P. (2019). Measuring sexual orientation and gender identity in the National Crime Victimization Survey. </w:t>
      </w:r>
      <w:r>
        <w:rPr>
          <w:i/>
          <w:iCs/>
          <w:noProof/>
        </w:rPr>
        <w:t xml:space="preserve">Journal of Official Statistics, </w:t>
      </w:r>
      <w:r>
        <w:rPr>
          <w:noProof/>
        </w:rPr>
        <w:t>35(4), 835-858.</w:t>
      </w:r>
      <w:r w:rsidRPr="008A14AB">
        <w:t xml:space="preserve"> </w:t>
      </w:r>
      <w:hyperlink r:id="rId56" w:history="1">
        <w:r w:rsidRPr="00CB22FD">
          <w:rPr>
            <w:rStyle w:val="Hyperlink"/>
            <w:noProof/>
          </w:rPr>
          <w:t>https://doi.org/10.2478/jos-2019-0035</w:t>
        </w:r>
      </w:hyperlink>
      <w:r>
        <w:rPr>
          <w:noProof/>
        </w:rPr>
        <w:t xml:space="preserve">  </w:t>
      </w:r>
    </w:p>
    <w:p w:rsidR="004A6017" w:rsidRPr="00B634D9" w:rsidP="00865081" w14:paraId="2AA71A66" w14:textId="488EDE99">
      <w:pPr>
        <w:pStyle w:val="BodyText"/>
        <w:ind w:left="360" w:hanging="360"/>
        <w:rPr>
          <w:noProof/>
        </w:rPr>
      </w:pPr>
      <w:r>
        <w:rPr>
          <w:noProof/>
        </w:rPr>
        <w:t xml:space="preserve">Truman, J.L., &amp; Morgan, R.E. (2022). </w:t>
      </w:r>
      <w:r>
        <w:rPr>
          <w:i/>
          <w:iCs/>
          <w:noProof/>
        </w:rPr>
        <w:t xml:space="preserve">Violent victimization by sexual orientation and gender identity, 2017-2020. </w:t>
      </w:r>
      <w:r w:rsidR="00FB2194">
        <w:rPr>
          <w:noProof/>
        </w:rPr>
        <w:t xml:space="preserve">Bureau of Justice Statics. NCJ 304277. Retrieved December 21, 2023, from </w:t>
      </w:r>
      <w:hyperlink r:id="rId57" w:history="1">
        <w:r w:rsidRPr="00530E3D" w:rsidR="00FB2194">
          <w:rPr>
            <w:rStyle w:val="Hyperlink"/>
            <w:noProof/>
          </w:rPr>
          <w:t>https://bjs.ojp.gov/library/publications/violent-victimization-sexual-orientation-and-gender-identity-2017-2020</w:t>
        </w:r>
      </w:hyperlink>
      <w:r w:rsidR="00FB2194">
        <w:rPr>
          <w:noProof/>
        </w:rPr>
        <w:t xml:space="preserve"> </w:t>
      </w:r>
    </w:p>
    <w:p w:rsidR="0014337B" w:rsidRPr="008F3A34" w:rsidP="00865081" w14:paraId="521EBEC7" w14:textId="5B315479">
      <w:pPr>
        <w:pStyle w:val="BodyText"/>
        <w:ind w:left="360" w:hanging="360"/>
        <w:rPr>
          <w:noProof/>
        </w:rPr>
      </w:pPr>
      <w:r w:rsidRPr="00754BC2">
        <w:rPr>
          <w:noProof/>
        </w:rPr>
        <w:t>U.S. Census Bureau. (2022</w:t>
      </w:r>
      <w:r w:rsidR="009F4D9F">
        <w:rPr>
          <w:noProof/>
        </w:rPr>
        <w:t>a</w:t>
      </w:r>
      <w:r w:rsidRPr="00754BC2">
        <w:rPr>
          <w:noProof/>
        </w:rPr>
        <w:t xml:space="preserve">). </w:t>
      </w:r>
      <w:r w:rsidRPr="00865081">
        <w:rPr>
          <w:i/>
          <w:iCs/>
        </w:rPr>
        <w:t>U.S. Census Bureau statistical quality standards</w:t>
      </w:r>
      <w:r w:rsidRPr="00754BC2">
        <w:rPr>
          <w:noProof/>
        </w:rPr>
        <w:t>. Retrieved</w:t>
      </w:r>
      <w:r w:rsidR="00865081">
        <w:rPr>
          <w:noProof/>
        </w:rPr>
        <w:t xml:space="preserve"> </w:t>
      </w:r>
      <w:r>
        <w:rPr>
          <w:rFonts w:ascii="Calibri" w:eastAsia="Calibri" w:hAnsi="Calibri" w:cs="Times New Roman"/>
          <w:noProof/>
        </w:rPr>
        <w:t>November 7</w:t>
      </w:r>
      <w:r w:rsidRPr="00754BC2">
        <w:rPr>
          <w:rFonts w:ascii="Calibri" w:eastAsia="Calibri" w:hAnsi="Calibri" w:cs="Times New Roman"/>
          <w:noProof/>
        </w:rPr>
        <w:t>, 202</w:t>
      </w:r>
      <w:r>
        <w:rPr>
          <w:rFonts w:ascii="Calibri" w:eastAsia="Calibri" w:hAnsi="Calibri" w:cs="Times New Roman"/>
          <w:noProof/>
        </w:rPr>
        <w:t>3</w:t>
      </w:r>
      <w:r w:rsidRPr="00754BC2">
        <w:rPr>
          <w:rFonts w:ascii="Calibri" w:eastAsia="Calibri" w:hAnsi="Calibri" w:cs="Times New Roman"/>
          <w:noProof/>
        </w:rPr>
        <w:t>, from</w:t>
      </w:r>
      <w:r w:rsidR="00865081">
        <w:rPr>
          <w:rFonts w:ascii="Calibri" w:eastAsia="Calibri" w:hAnsi="Calibri" w:cs="Times New Roman"/>
          <w:noProof/>
        </w:rPr>
        <w:t xml:space="preserve"> </w:t>
      </w:r>
      <w:hyperlink r:id="rId58" w:history="1">
        <w:r w:rsidRPr="008D2139">
          <w:rPr>
            <w:rStyle w:val="Hyperlink"/>
          </w:rPr>
          <w:t>https://www2.census.gov/about/policies/quality/qualitystandards.pdf</w:t>
        </w:r>
      </w:hyperlink>
    </w:p>
    <w:p w:rsidR="00CC3D59" w:rsidP="007F13FD" w14:paraId="74140103" w14:textId="422AE73A">
      <w:pPr>
        <w:pStyle w:val="BodyText"/>
        <w:ind w:left="360" w:hanging="360"/>
        <w:rPr>
          <w:rFonts w:eastAsia="Calibri"/>
          <w:noProof/>
          <w:color w:val="0563C1"/>
          <w:u w:val="single"/>
        </w:rPr>
      </w:pPr>
      <w:r w:rsidRPr="001464E5">
        <w:rPr>
          <w:noProof/>
        </w:rPr>
        <w:t>U.S. Census Bureau. (20</w:t>
      </w:r>
      <w:r>
        <w:rPr>
          <w:noProof/>
        </w:rPr>
        <w:t>22</w:t>
      </w:r>
      <w:r w:rsidR="009F4D9F">
        <w:rPr>
          <w:noProof/>
        </w:rPr>
        <w:t>b</w:t>
      </w:r>
      <w:r w:rsidRPr="001464E5">
        <w:rPr>
          <w:noProof/>
        </w:rPr>
        <w:t xml:space="preserve">). </w:t>
      </w:r>
      <w:r w:rsidRPr="007F13FD">
        <w:rPr>
          <w:i/>
          <w:iCs/>
          <w:noProof/>
        </w:rPr>
        <w:t>American Community Survey and Puerto Rico Community Survey</w:t>
      </w:r>
      <w:r w:rsidRPr="001464E5">
        <w:rPr>
          <w:noProof/>
        </w:rPr>
        <w:t xml:space="preserve"> </w:t>
      </w:r>
      <w:r w:rsidRPr="001464E5">
        <w:rPr>
          <w:rFonts w:eastAsia="Calibri"/>
          <w:i/>
          <w:iCs/>
          <w:noProof/>
        </w:rPr>
        <w:t>Design and Methodology</w:t>
      </w:r>
      <w:r>
        <w:rPr>
          <w:rFonts w:eastAsia="Calibri"/>
          <w:i/>
          <w:iCs/>
          <w:noProof/>
        </w:rPr>
        <w:t>, Version 3.0</w:t>
      </w:r>
      <w:r w:rsidRPr="001464E5">
        <w:rPr>
          <w:rFonts w:eastAsia="Calibri"/>
          <w:i/>
          <w:iCs/>
          <w:noProof/>
        </w:rPr>
        <w:t>.</w:t>
      </w:r>
      <w:r w:rsidRPr="001464E5">
        <w:rPr>
          <w:rFonts w:eastAsia="Calibri"/>
          <w:noProof/>
        </w:rPr>
        <w:t xml:space="preserve"> Retrieved </w:t>
      </w:r>
      <w:r>
        <w:rPr>
          <w:rFonts w:eastAsia="Calibri"/>
          <w:noProof/>
        </w:rPr>
        <w:t>November 7</w:t>
      </w:r>
      <w:r w:rsidRPr="001464E5">
        <w:rPr>
          <w:rFonts w:eastAsia="Calibri"/>
          <w:noProof/>
        </w:rPr>
        <w:t>,</w:t>
      </w:r>
      <w:r>
        <w:rPr>
          <w:rFonts w:eastAsia="Calibri"/>
          <w:noProof/>
        </w:rPr>
        <w:t xml:space="preserve"> 2023</w:t>
      </w:r>
      <w:r w:rsidR="007F13FD">
        <w:rPr>
          <w:rFonts w:eastAsia="Calibri"/>
          <w:noProof/>
        </w:rPr>
        <w:t>,</w:t>
      </w:r>
      <w:r w:rsidRPr="001464E5">
        <w:rPr>
          <w:rFonts w:eastAsia="Calibri"/>
          <w:noProof/>
        </w:rPr>
        <w:t xml:space="preserve"> from </w:t>
      </w:r>
      <w:hyperlink r:id="rId59" w:history="1">
        <w:r w:rsidRPr="00515D2B">
          <w:rPr>
            <w:rStyle w:val="Hyperlink"/>
            <w:rFonts w:eastAsia="Calibri"/>
            <w:noProof/>
          </w:rPr>
          <w:t>https://www.census.gov/programs-surveys/acs/methodology/design-and-methodology.html</w:t>
        </w:r>
      </w:hyperlink>
    </w:p>
    <w:p w:rsidR="005D44E6" w:rsidRPr="005D44E6" w:rsidP="00F33D91" w14:paraId="233A028A" w14:textId="1C718C10">
      <w:pPr>
        <w:pStyle w:val="BodyText"/>
        <w:ind w:left="360" w:hanging="360"/>
      </w:pPr>
      <w:r>
        <w:rPr>
          <w:noProof/>
        </w:rPr>
        <w:t xml:space="preserve">Wilson, B. D. M., &amp; Meyer, I. H. (2021). </w:t>
      </w:r>
      <w:r>
        <w:rPr>
          <w:i/>
          <w:iCs/>
          <w:noProof/>
        </w:rPr>
        <w:t xml:space="preserve">Nonbinary LGBTQ adults in the United States. </w:t>
      </w:r>
      <w:r>
        <w:rPr>
          <w:noProof/>
        </w:rPr>
        <w:t xml:space="preserve">Williams Institute UCLA School of Law. Retrieved January 5, 2024, from </w:t>
      </w:r>
      <w:hyperlink r:id="rId60" w:history="1">
        <w:r>
          <w:rPr>
            <w:rStyle w:val="Hyperlink"/>
          </w:rPr>
          <w:t>https://williamsinstitute.law.ucla.edu/publications/nonbinary-lgbtq-adults-us/</w:t>
        </w:r>
      </w:hyperlink>
      <w:r>
        <w:t xml:space="preserve"> </w:t>
      </w:r>
    </w:p>
    <w:sectPr w:rsidSect="00E87C6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D9F" w14:paraId="6909D1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F60" w14:paraId="09750F58" w14:textId="7F8FFEBA">
    <w:pPr>
      <w:pStyle w:val="Footer"/>
      <w:jc w:val="center"/>
    </w:pPr>
    <w:r>
      <w:tab/>
    </w:r>
    <w:sdt>
      <w:sdtPr>
        <w:id w:val="5071724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6015">
          <w:rPr>
            <w:noProof/>
          </w:rPr>
          <w:t>2</w:t>
        </w:r>
        <w:r>
          <w:rPr>
            <w:noProof/>
          </w:rPr>
          <w:fldChar w:fldCharType="end"/>
        </w:r>
        <w:r>
          <w:rPr>
            <w:noProof/>
          </w:rPr>
          <w:tab/>
        </w:r>
        <w:r w:rsidRPr="00ED2500">
          <w:rPr>
            <w:noProof/>
            <w:sz w:val="16"/>
          </w:rPr>
          <w:t>U.S. Census Bureau</w:t>
        </w:r>
      </w:sdtContent>
    </w:sdt>
  </w:p>
  <w:p w:rsidR="00026F60" w14:paraId="09750F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D9F" w14:paraId="5EF362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088E" w:rsidP="00DD0CAE" w14:paraId="67483BE5" w14:textId="77777777">
      <w:pPr>
        <w:spacing w:line="240" w:lineRule="auto"/>
      </w:pPr>
      <w:r>
        <w:separator/>
      </w:r>
    </w:p>
  </w:footnote>
  <w:footnote w:type="continuationSeparator" w:id="1">
    <w:p w:rsidR="0079088E" w:rsidP="00DD0CAE" w14:paraId="6C2E32B2" w14:textId="77777777">
      <w:pPr>
        <w:spacing w:line="240" w:lineRule="auto"/>
      </w:pPr>
      <w:r>
        <w:continuationSeparator/>
      </w:r>
    </w:p>
  </w:footnote>
  <w:footnote w:type="continuationNotice" w:id="2">
    <w:p w:rsidR="0079088E" w14:paraId="33F5E3EA" w14:textId="77777777">
      <w:pPr>
        <w:spacing w:line="240" w:lineRule="auto"/>
      </w:pPr>
    </w:p>
  </w:footnote>
  <w:footnote w:id="3">
    <w:p w:rsidR="002B0862" w14:paraId="6103FBD2" w14:textId="592C111A">
      <w:pPr>
        <w:pStyle w:val="FootnoteText"/>
      </w:pPr>
      <w:r>
        <w:rPr>
          <w:rStyle w:val="FootnoteReference"/>
        </w:rPr>
        <w:footnoteRef/>
      </w:r>
      <w:r>
        <w:t xml:space="preserve"> Sexual and gender minority populations include, but are not limited to, those who identify as lesbian, gay, bisexual, transgender, queer, intersex, Two-Spirit, nonbinary, and/or asexual. </w:t>
      </w:r>
    </w:p>
  </w:footnote>
  <w:footnote w:id="4">
    <w:p w:rsidR="00AB218E" w14:paraId="78D9C95A" w14:textId="7C340C15">
      <w:pPr>
        <w:pStyle w:val="FootnoteText"/>
      </w:pPr>
      <w:r>
        <w:rPr>
          <w:rStyle w:val="FootnoteReference"/>
        </w:rPr>
        <w:footnoteRef/>
      </w:r>
      <w:r>
        <w:t xml:space="preserve"> Due to the large sample size for this test and limits on processing capacity, mailout will be delayed to not interfere with </w:t>
      </w:r>
      <w:r w:rsidR="00901624">
        <w:t xml:space="preserve">ACS </w:t>
      </w:r>
      <w:r>
        <w:t xml:space="preserve">production mailout.  </w:t>
      </w:r>
    </w:p>
  </w:footnote>
  <w:footnote w:id="5">
    <w:p w:rsidR="00EA5CF2" w:rsidP="00EA5CF2" w14:paraId="06D49EB6" w14:textId="71CEF8A8">
      <w:pPr>
        <w:pStyle w:val="FootnoteText"/>
      </w:pPr>
      <w:r w:rsidRPr="00EB59A4">
        <w:rPr>
          <w:rStyle w:val="FootnoteReference"/>
        </w:rPr>
        <w:footnoteRef/>
      </w:r>
      <w:r w:rsidRPr="00EB59A4">
        <w:t xml:space="preserve"> In 20</w:t>
      </w:r>
      <w:r w:rsidRPr="00EB59A4" w:rsidR="00EB59A4">
        <w:t>22</w:t>
      </w:r>
      <w:r w:rsidRPr="00EB59A4">
        <w:t xml:space="preserve">, </w:t>
      </w:r>
      <w:r w:rsidRPr="00EB59A4" w:rsidR="00EB59A4">
        <w:t xml:space="preserve">537 </w:t>
      </w:r>
      <w:r w:rsidRPr="00EB59A4">
        <w:t>Spanish questionnaires were mailed back out of all mailable cases. Based upon this rate, we project</w:t>
      </w:r>
      <w:r w:rsidR="00EB59A4">
        <w:t xml:space="preserve"> that </w:t>
      </w:r>
      <w:r w:rsidRPr="00EB59A4" w:rsidR="00EB59A4">
        <w:t xml:space="preserve">74 </w:t>
      </w:r>
      <w:r w:rsidRPr="00EB59A4">
        <w:t xml:space="preserve">Spanish questionnaires would be mailed back in the </w:t>
      </w:r>
      <w:r w:rsidRPr="00EB59A4" w:rsidR="00EB59A4">
        <w:t>SOGI</w:t>
      </w:r>
      <w:r w:rsidRPr="00EB59A4">
        <w:t xml:space="preserve"> Test, which would </w:t>
      </w:r>
      <w:r w:rsidRPr="00EB59A4" w:rsidR="00EB59A4">
        <w:t xml:space="preserve">not </w:t>
      </w:r>
      <w:r w:rsidRPr="00EB59A4">
        <w:t>be cost-effective.</w:t>
      </w:r>
    </w:p>
  </w:footnote>
  <w:footnote w:id="6">
    <w:p w:rsidR="00EA5CF2" w:rsidP="00952B66" w14:paraId="3D393043" w14:textId="656332B0">
      <w:pPr>
        <w:pStyle w:val="FootnoteText"/>
      </w:pPr>
      <w:r>
        <w:rPr>
          <w:rStyle w:val="FootnoteReference"/>
        </w:rPr>
        <w:footnoteRef/>
      </w:r>
      <w:r>
        <w:t xml:space="preserve"> </w:t>
      </w:r>
      <w:r w:rsidRPr="00952B66">
        <w:t>The</w:t>
      </w:r>
      <w:r w:rsidR="00D762A4">
        <w:t>re is not a questionnaire separate from ACS production due to operational complexity and low TQA response.</w:t>
      </w:r>
    </w:p>
  </w:footnote>
  <w:footnote w:id="7">
    <w:p w:rsidR="00EA5CF2" w:rsidP="00BD7FC4" w14:paraId="5A4A377C" w14:textId="15B96701">
      <w:pPr>
        <w:pStyle w:val="FootnoteText"/>
      </w:pPr>
      <w:r>
        <w:rPr>
          <w:rStyle w:val="FootnoteReference"/>
        </w:rPr>
        <w:footnoteRef/>
      </w:r>
      <w:r>
        <w:t xml:space="preserve"> The information obtained from the FEFU</w:t>
      </w:r>
      <w:r w:rsidR="00BD7FC4">
        <w:t xml:space="preserve"> operation</w:t>
      </w:r>
      <w:r>
        <w:t xml:space="preserve"> improves accuracy in a production environment but confounds the evaluation of respondent behavior in the </w:t>
      </w:r>
      <w:r w:rsidR="00BD7FC4">
        <w:t>test</w:t>
      </w:r>
      <w:r>
        <w:t xml:space="preserve"> environment.</w:t>
      </w:r>
      <w:r w:rsidRPr="00D83F0E">
        <w:t xml:space="preserve"> For paper questionnaires, where the</w:t>
      </w:r>
      <w:r w:rsidR="00BD7FC4">
        <w:t xml:space="preserve"> </w:t>
      </w:r>
      <w:r w:rsidRPr="00D83F0E">
        <w:t>household size is six or more (up to 12)</w:t>
      </w:r>
      <w:r w:rsidR="00DA4BE5">
        <w:t>,</w:t>
      </w:r>
      <w:r w:rsidRPr="00D83F0E">
        <w:t xml:space="preserve"> we will only collect name, age, </w:t>
      </w:r>
      <w:r w:rsidR="00931BAF">
        <w:t xml:space="preserve">relationship to Person 1, </w:t>
      </w:r>
      <w:r w:rsidRPr="00D83F0E">
        <w:t xml:space="preserve">and </w:t>
      </w:r>
      <w:r w:rsidR="00CA5180">
        <w:t>date of birth</w:t>
      </w:r>
      <w:r w:rsidRPr="00D83F0E">
        <w:t xml:space="preserve"> of these additional persons</w:t>
      </w:r>
      <w:r>
        <w:t xml:space="preserve"> but</w:t>
      </w:r>
      <w:r w:rsidR="00BD7FC4">
        <w:t xml:space="preserve"> </w:t>
      </w:r>
      <w:r>
        <w:t>not detailed information as we do in the FEFU operation for ACS</w:t>
      </w:r>
      <w:r w:rsidR="00901624">
        <w:t> </w:t>
      </w:r>
      <w:r>
        <w:t xml:space="preserve">production.   </w:t>
      </w:r>
    </w:p>
  </w:footnote>
  <w:footnote w:id="8">
    <w:p w:rsidR="00615BAC" w:rsidP="201F90FC" w14:paraId="2FCA84A0" w14:textId="77777777">
      <w:pPr>
        <w:pStyle w:val="FootnoteText"/>
      </w:pPr>
      <w:r>
        <w:rPr>
          <w:rStyle w:val="FootnoteReference"/>
        </w:rPr>
        <w:footnoteRef/>
      </w:r>
      <w:r>
        <w:t xml:space="preserve"> This includes households that have one adult and persons younger than 18.</w:t>
      </w:r>
    </w:p>
  </w:footnote>
  <w:footnote w:id="9">
    <w:p w:rsidR="00B23B82" w14:paraId="5986C51C" w14:textId="044AD618">
      <w:pPr>
        <w:pStyle w:val="FootnoteText"/>
      </w:pPr>
      <w:r>
        <w:rPr>
          <w:rStyle w:val="FootnoteReference"/>
        </w:rPr>
        <w:footnoteRef/>
      </w:r>
      <w:r>
        <w:t xml:space="preserve"> Note that the age requirement of determining a household with a sexual or gender minority member is 15, however, this person cannot be the assigned CFU respondent unless they are at least 18.</w:t>
      </w:r>
    </w:p>
  </w:footnote>
  <w:footnote w:id="10">
    <w:p w:rsidR="00AF4200" w14:paraId="3C2F69C4" w14:textId="79883A16">
      <w:pPr>
        <w:pStyle w:val="FootnoteText"/>
      </w:pPr>
      <w:r>
        <w:rPr>
          <w:rStyle w:val="FootnoteReference"/>
        </w:rPr>
        <w:footnoteRef/>
      </w:r>
      <w:r>
        <w:t xml:space="preserve"> For a detailed discussion on the two-step approach to measuring gender identity compared to a one-step approach, see NASEM (2022), Chapter 6. </w:t>
      </w:r>
    </w:p>
  </w:footnote>
  <w:footnote w:id="11">
    <w:p w:rsidR="00F515BB" w:rsidP="00F515BB" w14:paraId="5F0C2C19" w14:textId="3F870202">
      <w:pPr>
        <w:pStyle w:val="FootnoteText"/>
      </w:pPr>
      <w:r>
        <w:rPr>
          <w:rStyle w:val="FootnoteReference"/>
        </w:rPr>
        <w:footnoteRef/>
      </w:r>
      <w:r>
        <w:t xml:space="preserve"> The Census Bureau cognitively tested wording without the birth certificate language for the Current Population Survey (</w:t>
      </w:r>
      <w:r>
        <w:t>Holzberg</w:t>
      </w:r>
      <w:r>
        <w:t xml:space="preserve"> et al., 2019). Versions of the question without the language have been fielded in the National Institutes of Health All of Us panel, the National HIV Behavioral Surveillance System, the National Adult Tobacco Survey, and the Canad</w:t>
      </w:r>
      <w:r w:rsidR="00ED4779">
        <w:t>a</w:t>
      </w:r>
      <w:r>
        <w:t xml:space="preserve"> and Scotland censuses. </w:t>
      </w:r>
    </w:p>
  </w:footnote>
  <w:footnote w:id="12">
    <w:p w:rsidR="00F515BB" w:rsidP="00F515BB" w14:paraId="58AF4972" w14:textId="77777777">
      <w:pPr>
        <w:pStyle w:val="FootnoteText"/>
      </w:pPr>
      <w:r>
        <w:rPr>
          <w:rStyle w:val="FootnoteReference"/>
        </w:rPr>
        <w:footnoteRef/>
      </w:r>
      <w:r>
        <w:t xml:space="preserve"> </w:t>
      </w:r>
      <w:bookmarkStart w:id="12" w:name="_Hlk155865622"/>
      <w:r>
        <w:t xml:space="preserve">The question was reworded to allow for proxy reporting, and the “Don’t Know” response option was removed since respondents can skip questions in the survey. </w:t>
      </w:r>
      <w:bookmarkEnd w:id="12"/>
    </w:p>
  </w:footnote>
  <w:footnote w:id="13">
    <w:p w:rsidR="008A4057" w14:paraId="7FD7D0DF" w14:textId="2A467C36">
      <w:pPr>
        <w:pStyle w:val="FootnoteText"/>
      </w:pPr>
      <w:r>
        <w:rPr>
          <w:rStyle w:val="FootnoteReference"/>
        </w:rPr>
        <w:footnoteRef/>
      </w:r>
      <w:r>
        <w:t xml:space="preserve"> Using sex at birth for skip instructions </w:t>
      </w:r>
      <w:r w:rsidR="00123155">
        <w:t xml:space="preserve">was recommended in the NASEM (2022) report. </w:t>
      </w:r>
    </w:p>
  </w:footnote>
  <w:footnote w:id="14">
    <w:p w:rsidR="00947218" w14:paraId="6852EBD9" w14:textId="794CCAAE">
      <w:pPr>
        <w:pStyle w:val="FootnoteText"/>
      </w:pPr>
      <w:r>
        <w:rPr>
          <w:rStyle w:val="FootnoteReference"/>
        </w:rPr>
        <w:footnoteRef/>
      </w:r>
      <w:r>
        <w:t xml:space="preserve"> The Relationship question response options will be different than these for the SOGI Test. See </w:t>
      </w:r>
      <w:r w:rsidR="004816E4">
        <w:t>S</w:t>
      </w:r>
      <w:r>
        <w:t xml:space="preserve">ection </w:t>
      </w:r>
      <w:r>
        <w:fldChar w:fldCharType="begin"/>
      </w:r>
      <w:r>
        <w:instrText xml:space="preserve"> REF _Ref150354336 \r \h </w:instrText>
      </w:r>
      <w:r>
        <w:fldChar w:fldCharType="separate"/>
      </w:r>
      <w:r>
        <w:t>2.2.1</w:t>
      </w:r>
      <w:r>
        <w:fldChar w:fldCharType="end"/>
      </w:r>
      <w:r>
        <w:t xml:space="preserve"> for screenshots of the changes.</w:t>
      </w:r>
    </w:p>
  </w:footnote>
  <w:footnote w:id="15">
    <w:p w:rsidR="003D0E69" w:rsidP="003D0E69" w14:paraId="5A47C3B6" w14:textId="70D5053C">
      <w:pPr>
        <w:pStyle w:val="FootnoteText"/>
      </w:pPr>
      <w:r>
        <w:rPr>
          <w:rStyle w:val="FootnoteReference"/>
        </w:rPr>
        <w:footnoteRef/>
      </w:r>
      <w:r>
        <w:t xml:space="preserve"> The 2022 NHIS also included a test of the gender identity questions with sex at birth asked before gender identity.</w:t>
      </w:r>
    </w:p>
  </w:footnote>
  <w:footnote w:id="16">
    <w:p w:rsidR="002438AB" w:rsidP="201F90FC" w14:paraId="7D516B9A" w14:textId="120A056B">
      <w:pPr>
        <w:pStyle w:val="FootnoteText"/>
      </w:pPr>
      <w:r>
        <w:rPr>
          <w:rStyle w:val="FootnoteReference"/>
        </w:rPr>
        <w:footnoteRef/>
      </w:r>
      <w:r>
        <w:t xml:space="preserve"> Upon implementation in 2016, the SOGI questions were asked to all respondents </w:t>
      </w:r>
      <w:r>
        <w:t>age</w:t>
      </w:r>
      <w:r>
        <w:t xml:space="preserve"> 16 or older. From July 2019 through December 2021, these questions were restricted to victims </w:t>
      </w:r>
      <w:r>
        <w:t>age</w:t>
      </w:r>
      <w:r>
        <w:t xml:space="preserve"> 16 or older. The administration of the SOGI questions was reverted back to all respondents </w:t>
      </w:r>
      <w:r>
        <w:t>age</w:t>
      </w:r>
      <w:r>
        <w:t xml:space="preserve"> 16 or older beginning January 2022. </w:t>
      </w:r>
    </w:p>
  </w:footnote>
  <w:footnote w:id="17">
    <w:p w:rsidR="00B32B20" w14:paraId="0576B328" w14:textId="4D2F36B7">
      <w:pPr>
        <w:pStyle w:val="FootnoteText"/>
      </w:pPr>
      <w:r>
        <w:rPr>
          <w:rStyle w:val="FootnoteReference"/>
        </w:rPr>
        <w:footnoteRef/>
      </w:r>
      <w:r>
        <w:t xml:space="preserve"> For more information on NCVS data collection, see the NCVS technical documentation (Bureau of Justice Statistics</w:t>
      </w:r>
      <w:r w:rsidR="002A5F59">
        <w:t>,</w:t>
      </w:r>
      <w:r>
        <w:t xml:space="preserve"> 2017). </w:t>
      </w:r>
    </w:p>
  </w:footnote>
  <w:footnote w:id="18">
    <w:p w:rsidR="00ED4779" w14:paraId="21E35136" w14:textId="20F81366">
      <w:pPr>
        <w:pStyle w:val="FootnoteText"/>
      </w:pPr>
      <w:r>
        <w:rPr>
          <w:rStyle w:val="FootnoteReference"/>
        </w:rPr>
        <w:footnoteRef/>
      </w:r>
      <w:r>
        <w:t xml:space="preserve"> </w:t>
      </w:r>
      <w:r w:rsidR="002D2F05">
        <w:t xml:space="preserve">The data is from 2020 Census table PCT15 and table H2, respectively. </w:t>
      </w:r>
    </w:p>
  </w:footnote>
  <w:footnote w:id="19">
    <w:p w:rsidR="00D942D0" w14:paraId="728716F5" w14:textId="69CD2F47">
      <w:pPr>
        <w:pStyle w:val="FootnoteText"/>
      </w:pPr>
      <w:r>
        <w:rPr>
          <w:rStyle w:val="FootnoteReference"/>
        </w:rPr>
        <w:footnoteRef/>
      </w:r>
      <w:r>
        <w:t xml:space="preserve"> Defining strata only by 2020 Census </w:t>
      </w:r>
      <w:r>
        <w:t>same-sex</w:t>
      </w:r>
      <w:r>
        <w:t xml:space="preserve"> coupled household rates would overrepresent urban areas. </w:t>
      </w:r>
      <w:r w:rsidR="009E41E9">
        <w:t>Since people in rural areas may react differently to</w:t>
      </w:r>
      <w:r w:rsidR="004A5738">
        <w:t xml:space="preserve"> the</w:t>
      </w:r>
      <w:r w:rsidR="009E41E9">
        <w:t xml:space="preserve"> </w:t>
      </w:r>
      <w:r w:rsidR="004A5738">
        <w:t>SOGI</w:t>
      </w:r>
      <w:r w:rsidR="009E41E9">
        <w:t xml:space="preserve"> question</w:t>
      </w:r>
      <w:r w:rsidR="004A5738">
        <w:t>s</w:t>
      </w:r>
      <w:r w:rsidR="009E41E9">
        <w:t xml:space="preserve"> compared to those in urban areas, it is important to have adequate</w:t>
      </w:r>
      <w:r>
        <w:t xml:space="preserve"> responses from households in rural areas</w:t>
      </w:r>
      <w:r w:rsidR="009E41E9">
        <w:t>.</w:t>
      </w:r>
      <w:r>
        <w:t xml:space="preserve">  </w:t>
      </w:r>
    </w:p>
  </w:footnote>
  <w:footnote w:id="20">
    <w:p w:rsidR="0055415B" w14:paraId="6AF0B81E" w14:textId="699BB6F7">
      <w:pPr>
        <w:pStyle w:val="FootnoteText"/>
      </w:pPr>
      <w:r>
        <w:rPr>
          <w:rStyle w:val="FootnoteReference"/>
        </w:rPr>
        <w:footnoteRef/>
      </w:r>
      <w:r>
        <w:t xml:space="preserve"> See Section </w:t>
      </w:r>
      <w:r>
        <w:fldChar w:fldCharType="begin"/>
      </w:r>
      <w:r>
        <w:instrText xml:space="preserve"> REF _Ref159921558 \r \h </w:instrText>
      </w:r>
      <w:r>
        <w:fldChar w:fldCharType="separate"/>
      </w:r>
      <w:r>
        <w:t>4.4.2</w:t>
      </w:r>
      <w:r>
        <w:fldChar w:fldCharType="end"/>
      </w:r>
      <w:r>
        <w:t xml:space="preserve"> for more information on benchmark sources.</w:t>
      </w:r>
    </w:p>
  </w:footnote>
  <w:footnote w:id="21">
    <w:p w:rsidR="00567279" w14:paraId="59A73F72" w14:textId="3A629BB6">
      <w:pPr>
        <w:pStyle w:val="FootnoteText"/>
      </w:pPr>
      <w:r>
        <w:rPr>
          <w:rStyle w:val="FootnoteReference"/>
        </w:rPr>
        <w:footnoteRef/>
      </w:r>
      <w:r>
        <w:t xml:space="preserve"> This report </w:t>
      </w:r>
      <w:r w:rsidR="007F3849">
        <w:t xml:space="preserve">uses state-level data </w:t>
      </w:r>
      <w:r>
        <w:t xml:space="preserve">from the </w:t>
      </w:r>
      <w:r>
        <w:rPr>
          <w:rFonts w:ascii="Calibri" w:eastAsia="Calibri" w:hAnsi="Calibri" w:cs="Times New Roman"/>
        </w:rPr>
        <w:t>C</w:t>
      </w:r>
      <w:r w:rsidR="0055415B">
        <w:rPr>
          <w:rFonts w:ascii="Calibri" w:eastAsia="Calibri" w:hAnsi="Calibri" w:cs="Times New Roman"/>
        </w:rPr>
        <w:t>enters for Disease Control and Prevention (CDC)’s</w:t>
      </w:r>
      <w:r>
        <w:rPr>
          <w:rFonts w:ascii="Calibri" w:eastAsia="Calibri" w:hAnsi="Calibri" w:cs="Times New Roman"/>
        </w:rPr>
        <w:t xml:space="preserve"> Behavior Risk Factor Surveillance System (2017-2020) and Youth Risk Behavior Survey (2017 and 2019)</w:t>
      </w:r>
      <w:r w:rsidR="007F3849">
        <w:rPr>
          <w:rFonts w:ascii="Calibri" w:eastAsia="Calibri" w:hAnsi="Calibri" w:cs="Times New Roman"/>
        </w:rPr>
        <w:t xml:space="preserve"> to calculate a national estimate of the number of adults (ages 18 and older) and youth (ages 13 to 17) who identify as transgender.</w:t>
      </w:r>
    </w:p>
  </w:footnote>
  <w:footnote w:id="22">
    <w:p w:rsidR="003D76CF" w14:paraId="1FB402AE" w14:textId="60609E0A">
      <w:pPr>
        <w:pStyle w:val="FootnoteText"/>
      </w:pPr>
      <w:r>
        <w:rPr>
          <w:rStyle w:val="FootnoteReference"/>
        </w:rPr>
        <w:footnoteRef/>
      </w:r>
      <w:r>
        <w:t xml:space="preserve"> Question 21 </w:t>
      </w:r>
      <w:r w:rsidR="00C348E1">
        <w:t>ask</w:t>
      </w:r>
      <w:r w:rsidR="0058529A">
        <w:t>s</w:t>
      </w:r>
      <w:r w:rsidR="00C348E1">
        <w:t xml:space="preserve"> about </w:t>
      </w:r>
      <w:r w:rsidR="0058529A">
        <w:t>difficulty doing errands alone</w:t>
      </w:r>
      <w:r w:rsidR="009A14CA">
        <w:t xml:space="preserve">. </w:t>
      </w:r>
      <w:r w:rsidR="0058529A">
        <w:t>It is</w:t>
      </w:r>
      <w:r w:rsidR="009A14CA">
        <w:t xml:space="preserve"> </w:t>
      </w:r>
      <w:r w:rsidR="00C348E1">
        <w:t xml:space="preserve">supposed to be answered only for persons </w:t>
      </w:r>
      <w:r w:rsidR="00C348E1">
        <w:t>age</w:t>
      </w:r>
      <w:r w:rsidR="00C348E1">
        <w:t xml:space="preserve"> 15 or over</w:t>
      </w:r>
      <w:r w:rsidR="0058529A">
        <w:t>, and it is the first question out of the remaining detailed person questions that exclude persons under age</w:t>
      </w:r>
      <w:r w:rsidR="00FA27FB">
        <w:t> </w:t>
      </w:r>
      <w:r w:rsidR="0058529A">
        <w:t>15</w:t>
      </w:r>
      <w:r w:rsidR="00C348E1">
        <w:t>.</w:t>
      </w:r>
      <w:r>
        <w:t xml:space="preserve"> </w:t>
      </w:r>
    </w:p>
  </w:footnote>
  <w:footnote w:id="23">
    <w:p w:rsidR="00F16DCB" w14:paraId="0B84A037" w14:textId="51433EB3">
      <w:pPr>
        <w:pStyle w:val="FootnoteText"/>
      </w:pPr>
      <w:r>
        <w:rPr>
          <w:rStyle w:val="FootnoteReference"/>
        </w:rPr>
        <w:footnoteRef/>
      </w:r>
      <w:r>
        <w:t xml:space="preserve"> See Section </w:t>
      </w:r>
      <w:r>
        <w:fldChar w:fldCharType="begin"/>
      </w:r>
      <w:r>
        <w:instrText xml:space="preserve"> REF _Ref160437049 \w \h </w:instrText>
      </w:r>
      <w:r>
        <w:fldChar w:fldCharType="separate"/>
      </w:r>
      <w:r>
        <w:t>4.4.5</w:t>
      </w:r>
      <w:r>
        <w:fldChar w:fldCharType="end"/>
      </w:r>
      <w:r>
        <w:t xml:space="preserve"> for definitions of the response reliability measures.</w:t>
      </w:r>
    </w:p>
  </w:footnote>
  <w:footnote w:id="24">
    <w:p w:rsidR="005305EC" w:rsidP="005305EC" w14:paraId="1BA25555" w14:textId="77777777">
      <w:pPr>
        <w:pStyle w:val="FootnoteText"/>
      </w:pPr>
      <w:r>
        <w:rPr>
          <w:rStyle w:val="FootnoteReference"/>
        </w:rPr>
        <w:footnoteRef/>
      </w:r>
      <w:r>
        <w:t xml:space="preserve"> See Section </w:t>
      </w:r>
      <w:r>
        <w:fldChar w:fldCharType="begin"/>
      </w:r>
      <w:r>
        <w:instrText xml:space="preserve"> REF _Ref159921558 \r \h </w:instrText>
      </w:r>
      <w:r>
        <w:fldChar w:fldCharType="separate"/>
      </w:r>
      <w:r>
        <w:t>4.4.2</w:t>
      </w:r>
      <w:r>
        <w:fldChar w:fldCharType="end"/>
      </w:r>
      <w:r>
        <w:t xml:space="preserve"> for more information on benchmark sources.</w:t>
      </w:r>
    </w:p>
  </w:footnote>
  <w:footnote w:id="25">
    <w:p w:rsidR="00095282" w14:paraId="071A2F95" w14:textId="7B6E9E77">
      <w:pPr>
        <w:pStyle w:val="FootnoteText"/>
      </w:pPr>
      <w:r>
        <w:rPr>
          <w:rStyle w:val="FootnoteReference"/>
        </w:rPr>
        <w:footnoteRef/>
      </w:r>
      <w:r w:rsidR="0080190F">
        <w:t xml:space="preserve"> Questions 21 </w:t>
      </w:r>
      <w:r w:rsidR="00F908D6">
        <w:t xml:space="preserve">asks about difficulty doing errands alone. It is supposed to be answered only for persons </w:t>
      </w:r>
      <w:r w:rsidR="00F908D6">
        <w:t>age</w:t>
      </w:r>
      <w:r w:rsidR="00F908D6">
        <w:t xml:space="preserve"> 15 or over, and it is the first question out of the remaining detailed person questions that exclude persons under age</w:t>
      </w:r>
      <w:r w:rsidR="00CB4AEC">
        <w:t> </w:t>
      </w:r>
      <w:r w:rsidR="00F908D6">
        <w:t>15.</w:t>
      </w:r>
    </w:p>
  </w:footnote>
  <w:footnote w:id="26">
    <w:p w:rsidR="00F16DCB" w14:paraId="0BED6A26" w14:textId="64B06610">
      <w:pPr>
        <w:pStyle w:val="FootnoteText"/>
      </w:pPr>
      <w:r>
        <w:rPr>
          <w:rStyle w:val="FootnoteReference"/>
        </w:rPr>
        <w:footnoteRef/>
      </w:r>
      <w:r>
        <w:t xml:space="preserve"> See Section </w:t>
      </w:r>
      <w:r>
        <w:fldChar w:fldCharType="begin"/>
      </w:r>
      <w:r>
        <w:instrText xml:space="preserve"> REF _Ref160437049 \w \h </w:instrText>
      </w:r>
      <w:r>
        <w:fldChar w:fldCharType="separate"/>
      </w:r>
      <w:r>
        <w:t>4.4.5</w:t>
      </w:r>
      <w:r>
        <w:fldChar w:fldCharType="end"/>
      </w:r>
      <w:r>
        <w:t xml:space="preserve"> for definitions of the response reliability measures. </w:t>
      </w:r>
    </w:p>
  </w:footnote>
  <w:footnote w:id="27">
    <w:p w:rsidR="000C0DF3" w14:paraId="581BEF69" w14:textId="1E2E590E">
      <w:pPr>
        <w:pStyle w:val="FootnoteText"/>
      </w:pPr>
      <w:r>
        <w:rPr>
          <w:rStyle w:val="FootnoteReference"/>
        </w:rPr>
        <w:footnoteRef/>
      </w:r>
      <w:r>
        <w:t xml:space="preserve"> </w:t>
      </w:r>
      <w:r w:rsidRPr="00A07B66">
        <w:t>In general, a sufficient partial response is one that has at least minimal information, which indicates an attempt to respond. The specific definition of a sufficient partial response is sensitive and for Census Bureau internal use only.</w:t>
      </w:r>
    </w:p>
  </w:footnote>
  <w:footnote w:id="28">
    <w:p w:rsidR="004B28AF" w14:paraId="3AA3A7C0" w14:textId="4DE8399A">
      <w:pPr>
        <w:pStyle w:val="FootnoteText"/>
      </w:pPr>
      <w:r>
        <w:rPr>
          <w:rStyle w:val="FootnoteReference"/>
        </w:rPr>
        <w:footnoteRef/>
      </w:r>
      <w:r>
        <w:t xml:space="preserve"> Although the HPS is not intended to provide </w:t>
      </w:r>
      <w:r w:rsidR="00651DEB">
        <w:t xml:space="preserve">SOGI </w:t>
      </w:r>
      <w:r w:rsidR="00E62D0F">
        <w:t>prevalence estimates, it will still be</w:t>
      </w:r>
      <w:r w:rsidR="00651DEB">
        <w:t xml:space="preserve"> a worthwhile comparison for showing the possible range of estimates. </w:t>
      </w:r>
      <w:r w:rsidR="00E62D0F">
        <w:t xml:space="preserve"> </w:t>
      </w:r>
    </w:p>
  </w:footnote>
  <w:footnote w:id="29">
    <w:p w:rsidR="006A3C66" w14:paraId="24E5EFBF" w14:textId="2951338C">
      <w:pPr>
        <w:pStyle w:val="FootnoteText"/>
      </w:pPr>
      <w:r>
        <w:rPr>
          <w:rStyle w:val="FootnoteReference"/>
        </w:rPr>
        <w:footnoteRef/>
      </w:r>
      <w:r>
        <w:t xml:space="preserve"> For more information on </w:t>
      </w:r>
      <w:r w:rsidRPr="006A3C66">
        <w:t>Statistics Canada 2021 Census of Population</w:t>
      </w:r>
      <w:r>
        <w:t xml:space="preserve"> sex at birth and gender questions, see the </w:t>
      </w:r>
      <w:hyperlink r:id="rId1" w:history="1">
        <w:r w:rsidRPr="006A3C66">
          <w:rPr>
            <w:rStyle w:val="Hyperlink"/>
          </w:rPr>
          <w:t>Age, Sex at Birth and Gender Reference Guide, Census of Population, 2021</w:t>
        </w:r>
      </w:hyperlink>
      <w:r>
        <w:t xml:space="preserve">. </w:t>
      </w:r>
    </w:p>
  </w:footnote>
  <w:footnote w:id="30">
    <w:p w:rsidR="00935D58" w14:paraId="5DB4452D" w14:textId="72922C5F">
      <w:pPr>
        <w:pStyle w:val="FootnoteText"/>
      </w:pPr>
      <w:r>
        <w:rPr>
          <w:rStyle w:val="FootnoteReference"/>
        </w:rPr>
        <w:footnoteRef/>
      </w:r>
      <w:r>
        <w:t xml:space="preserve"> For more information on the SOGI questions from Census 2021 of England and Wales, see</w:t>
      </w:r>
      <w:r w:rsidRPr="00935D58">
        <w:t xml:space="preserve"> </w:t>
      </w:r>
      <w:hyperlink r:id="rId2" w:history="1">
        <w:r w:rsidRPr="00EE5CD5" w:rsidR="00EE5CD5">
          <w:rPr>
            <w:rStyle w:val="Hyperlink"/>
          </w:rPr>
          <w:t>Sexual orientation and gender identity variables Census 2021</w:t>
        </w:r>
      </w:hyperlink>
      <w:r w:rsidR="00EE5CD5">
        <w:t>.</w:t>
      </w:r>
    </w:p>
  </w:footnote>
  <w:footnote w:id="31">
    <w:p w:rsidR="00EE5CD5" w14:paraId="0C281CDF" w14:textId="0159DFEC">
      <w:pPr>
        <w:pStyle w:val="FootnoteText"/>
      </w:pPr>
      <w:r>
        <w:rPr>
          <w:rStyle w:val="FootnoteReference"/>
        </w:rPr>
        <w:footnoteRef/>
      </w:r>
      <w:r>
        <w:t xml:space="preserve"> For more information on the SOGI questions on the New Zealand 2023 Census, see </w:t>
      </w:r>
      <w:hyperlink r:id="rId3" w:history="1">
        <w:r w:rsidRPr="009A19E6">
          <w:rPr>
            <w:rStyle w:val="Hyperlink"/>
          </w:rPr>
          <w:t>2023 Census fact sheet: Rainbow communities</w:t>
        </w:r>
      </w:hyperlink>
      <w:r>
        <w:t>.</w:t>
      </w:r>
    </w:p>
  </w:footnote>
  <w:footnote w:id="32">
    <w:p w:rsidR="005F4625" w14:paraId="59939A79" w14:textId="075ECF69">
      <w:pPr>
        <w:pStyle w:val="FootnoteText"/>
      </w:pPr>
      <w:r>
        <w:rPr>
          <w:rStyle w:val="FootnoteReference"/>
        </w:rPr>
        <w:footnoteRef/>
      </w:r>
      <w:r>
        <w:t xml:space="preserve"> The weight creation process for the </w:t>
      </w:r>
      <w:r w:rsidR="00684BAB">
        <w:t xml:space="preserve">2024 ACS </w:t>
      </w:r>
      <w:r>
        <w:t xml:space="preserve">SOGI Test does not include all the steps followed in the ACS, including the </w:t>
      </w:r>
      <w:r>
        <w:t>noninterview</w:t>
      </w:r>
      <w:r>
        <w:t xml:space="preserve"> adjustment for the original interview and calibration to housing unit and population controls (see U.S. Census Bureau, 2022b, Chapter 11). For more information on the SOGI Test weighting procedure, see </w:t>
      </w:r>
      <w:r>
        <w:t>Risley</w:t>
      </w:r>
      <w:r>
        <w:t xml:space="preserv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D9F" w14:paraId="3EDC40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D9F" w14:paraId="328CFA6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D9F" w14:paraId="5EEF79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2583"/>
    <w:multiLevelType w:val="hybridMultilevel"/>
    <w:tmpl w:val="8D020E0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4CD6A7E"/>
    <w:multiLevelType w:val="hybridMultilevel"/>
    <w:tmpl w:val="4DEA6268"/>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626121D"/>
    <w:multiLevelType w:val="hybridMultilevel"/>
    <w:tmpl w:val="408488F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63E1FB4"/>
    <w:multiLevelType w:val="hybridMultilevel"/>
    <w:tmpl w:val="012E8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B06C15"/>
    <w:multiLevelType w:val="hybridMultilevel"/>
    <w:tmpl w:val="6E32FF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BF036A"/>
    <w:multiLevelType w:val="hybridMultilevel"/>
    <w:tmpl w:val="4F585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E76611"/>
    <w:multiLevelType w:val="hybridMultilevel"/>
    <w:tmpl w:val="EE9C6D8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8E2E3B"/>
    <w:multiLevelType w:val="hybridMultilevel"/>
    <w:tmpl w:val="9B4E93D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5B32851"/>
    <w:multiLevelType w:val="hybridMultilevel"/>
    <w:tmpl w:val="E79E4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E17EF8"/>
    <w:multiLevelType w:val="hybridMultilevel"/>
    <w:tmpl w:val="69D0B1A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0">
    <w:nsid w:val="1A061FE6"/>
    <w:multiLevelType w:val="hybridMultilevel"/>
    <w:tmpl w:val="C98236D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D4A6584"/>
    <w:multiLevelType w:val="multilevel"/>
    <w:tmpl w:val="02AE4282"/>
    <w:lvl w:ilvl="0">
      <w:start w:val="1"/>
      <w:numFmt w:val="upperLetter"/>
      <w:pStyle w:val="Appendix1"/>
      <w:suff w:val="space"/>
      <w:lvlText w:val="Appendix %1."/>
      <w:lvlJc w:val="left"/>
      <w:pPr>
        <w:ind w:left="1584" w:hanging="1584"/>
      </w:pPr>
      <w:rPr>
        <w:rFonts w:hint="default"/>
      </w:rPr>
    </w:lvl>
    <w:lvl w:ilvl="1">
      <w:start w:val="1"/>
      <w:numFmt w:val="decimal"/>
      <w:pStyle w:val="Appendix2"/>
      <w:lvlText w:val="%1.%2"/>
      <w:lvlJc w:val="left"/>
      <w:pPr>
        <w:ind w:left="648" w:hanging="648"/>
      </w:pPr>
      <w:rPr>
        <w:rFonts w:hint="default"/>
      </w:rPr>
    </w:lvl>
    <w:lvl w:ilvl="2">
      <w:start w:val="1"/>
      <w:numFmt w:val="decimal"/>
      <w:pStyle w:val="Appendix3"/>
      <w:lvlText w:val="%1.%2.%3"/>
      <w:lvlJc w:val="left"/>
      <w:pPr>
        <w:ind w:left="864" w:hanging="864"/>
      </w:pPr>
      <w:rPr>
        <w:rFonts w:hint="default"/>
      </w:rPr>
    </w:lvl>
    <w:lvl w:ilvl="3">
      <w:start w:val="1"/>
      <w:numFmt w:val="decimal"/>
      <w:pStyle w:val="Appendix4"/>
      <w:lvlText w:val="%1.%2.%3.%4"/>
      <w:lvlJc w:val="left"/>
      <w:pPr>
        <w:ind w:left="1080" w:hanging="1080"/>
      </w:pPr>
      <w:rPr>
        <w:rFonts w:hint="default"/>
      </w:rPr>
    </w:lvl>
    <w:lvl w:ilvl="4">
      <w:start w:val="1"/>
      <w:numFmt w:val="decimal"/>
      <w:pStyle w:val="Appendix5"/>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92" w:hanging="2592"/>
      </w:pPr>
      <w:rPr>
        <w:rFonts w:hint="default"/>
      </w:rPr>
    </w:lvl>
    <w:lvl w:ilvl="8">
      <w:start w:val="1"/>
      <w:numFmt w:val="decimal"/>
      <w:lvlText w:val="%1.%2.%3.%4.%5.%6.%7.%8.%9"/>
      <w:lvlJc w:val="left"/>
      <w:pPr>
        <w:ind w:left="3024" w:hanging="3024"/>
      </w:pPr>
      <w:rPr>
        <w:rFonts w:hint="default"/>
      </w:rPr>
    </w:lvl>
  </w:abstractNum>
  <w:abstractNum w:abstractNumId="12">
    <w:nsid w:val="1FA83584"/>
    <w:multiLevelType w:val="hybridMultilevel"/>
    <w:tmpl w:val="7CD21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CE26FA"/>
    <w:multiLevelType w:val="hybridMultilevel"/>
    <w:tmpl w:val="F7F04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EE1E8D"/>
    <w:multiLevelType w:val="hybridMultilevel"/>
    <w:tmpl w:val="6CB4C4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3F7FDC"/>
    <w:multiLevelType w:val="hybridMultilevel"/>
    <w:tmpl w:val="C8342C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2B66B0"/>
    <w:multiLevelType w:val="hybridMultilevel"/>
    <w:tmpl w:val="7F1029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DB1D2F"/>
    <w:multiLevelType w:val="hybridMultilevel"/>
    <w:tmpl w:val="824AB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0431636"/>
    <w:multiLevelType w:val="hybridMultilevel"/>
    <w:tmpl w:val="B2063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0B220E6"/>
    <w:multiLevelType w:val="hybridMultilevel"/>
    <w:tmpl w:val="C1DED41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440A7AF3"/>
    <w:multiLevelType w:val="hybridMultilevel"/>
    <w:tmpl w:val="230E5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604839"/>
    <w:multiLevelType w:val="hybridMultilevel"/>
    <w:tmpl w:val="E04A09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1E2CD3"/>
    <w:multiLevelType w:val="hybridMultilevel"/>
    <w:tmpl w:val="78B412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683B7A"/>
    <w:multiLevelType w:val="multilevel"/>
    <w:tmpl w:val="6A189548"/>
    <w:lvl w:ilvl="0">
      <w:start w:val="1"/>
      <w:numFmt w:val="none"/>
      <w:pStyle w:val="AFTERBLOCKBULLET"/>
      <w:lvlJc w:val="left"/>
      <w:pPr>
        <w:ind w:left="0" w:firstLine="0"/>
      </w:pPr>
      <w:rPr>
        <w:rFonts w:hint="default"/>
      </w:rPr>
    </w:lvl>
    <w:lvl w:ilvl="1">
      <w:start w:val="1"/>
      <w:numFmt w:val="bullet"/>
      <w:pStyle w:val="BlockBullet"/>
      <w:lvlText w:val=""/>
      <w:lvlJc w:val="left"/>
      <w:pPr>
        <w:ind w:left="360" w:hanging="360"/>
      </w:pPr>
      <w:rPr>
        <w:rFonts w:ascii="Symbol" w:hAnsi="Symbol" w:hint="default"/>
      </w:rPr>
    </w:lvl>
    <w:lvl w:ilvl="2">
      <w:start w:val="1"/>
      <w:numFmt w:val="bullet"/>
      <w:pStyle w:val="BlockBullet2"/>
      <w:lvlText w:val=""/>
      <w:lvlJc w:val="left"/>
      <w:pPr>
        <w:ind w:left="720" w:hanging="360"/>
      </w:pPr>
      <w:rPr>
        <w:rFonts w:ascii="Symbol" w:hAnsi="Symbol" w:hint="default"/>
      </w:rPr>
    </w:lvl>
    <w:lvl w:ilvl="3">
      <w:start w:val="1"/>
      <w:numFmt w:val="bullet"/>
      <w:pStyle w:val="BlockBullet3"/>
      <w:lvlText w:val="–"/>
      <w:lvlJc w:val="left"/>
      <w:pPr>
        <w:ind w:left="1080" w:hanging="360"/>
      </w:pPr>
      <w:rPr>
        <w:rFonts w:ascii="Calibri" w:hAnsi="Calibri" w:hint="default"/>
      </w:rPr>
    </w:lvl>
    <w:lvl w:ilvl="4">
      <w:start w:val="1"/>
      <w:numFmt w:val="bullet"/>
      <w:pStyle w:val="BlockBullet4"/>
      <w:lvlText w:val=""/>
      <w:lvlJc w:val="left"/>
      <w:pPr>
        <w:ind w:left="1440" w:hanging="360"/>
      </w:pPr>
      <w:rPr>
        <w:rFonts w:ascii="Symbol" w:hAnsi="Symbol" w:hint="default"/>
      </w:rPr>
    </w:lvl>
    <w:lvl w:ilvl="5">
      <w:start w:val="1"/>
      <w:numFmt w:val="bullet"/>
      <w:pStyle w:val="BlockBullet5"/>
      <w:lvlText w:val=""/>
      <w:lvlJc w:val="left"/>
      <w:pPr>
        <w:ind w:left="1800" w:hanging="360"/>
      </w:pPr>
      <w:rPr>
        <w:rFonts w:ascii="Symbol" w:hAnsi="Symbol" w:hint="default"/>
      </w:rPr>
    </w:lvl>
    <w:lvl w:ilvl="6">
      <w:start w:val="1"/>
      <w:numFmt w:val="bullet"/>
      <w:lvlText w:val="–"/>
      <w:lvlJc w:val="left"/>
      <w:pPr>
        <w:ind w:left="2160" w:hanging="360"/>
      </w:pPr>
      <w:rPr>
        <w:rFonts w:ascii="Calibri" w:hAnsi="Calibri"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24">
    <w:nsid w:val="4B565B5B"/>
    <w:multiLevelType w:val="multilevel"/>
    <w:tmpl w:val="32067A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48" w:hanging="648"/>
      </w:pPr>
      <w:rPr>
        <w:rFonts w:hint="default"/>
      </w:rPr>
    </w:lvl>
    <w:lvl w:ilvl="2">
      <w:start w:val="1"/>
      <w:numFmt w:val="decimal"/>
      <w:pStyle w:val="Heading3"/>
      <w:lvlText w:val="%1.%2.%3"/>
      <w:lvlJc w:val="left"/>
      <w:pPr>
        <w:ind w:left="1764" w:hanging="864"/>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512" w:hanging="1512"/>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8"/>
      <w:lvlJc w:val="left"/>
      <w:pPr>
        <w:ind w:left="1944" w:hanging="1944"/>
      </w:pPr>
      <w:rPr>
        <w:rFonts w:hint="default"/>
      </w:rPr>
    </w:lvl>
    <w:lvl w:ilvl="8">
      <w:start w:val="1"/>
      <w:numFmt w:val="decimal"/>
      <w:pStyle w:val="Heading9"/>
      <w:lvlText w:val="%1.%2.%3.%4.%5.%6.%7.%8.%9"/>
      <w:lvlJc w:val="left"/>
      <w:pPr>
        <w:ind w:left="2160" w:hanging="2160"/>
      </w:pPr>
      <w:rPr>
        <w:rFonts w:hint="default"/>
      </w:rPr>
    </w:lvl>
  </w:abstractNum>
  <w:abstractNum w:abstractNumId="25">
    <w:nsid w:val="52DA3709"/>
    <w:multiLevelType w:val="hybridMultilevel"/>
    <w:tmpl w:val="405A1FD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5344241F"/>
    <w:multiLevelType w:val="hybridMultilevel"/>
    <w:tmpl w:val="2D72E9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AC731A"/>
    <w:multiLevelType w:val="hybridMultilevel"/>
    <w:tmpl w:val="201047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EC33BFE"/>
    <w:multiLevelType w:val="multilevel"/>
    <w:tmpl w:val="C9009208"/>
    <w:lvl w:ilvl="0">
      <w:start w:val="1"/>
      <w:numFmt w:val="none"/>
      <w:pStyle w:val="AFTERLISTNUMBER"/>
      <w:lvlText w:val="%1"/>
      <w:lvlJc w:val="left"/>
      <w:pPr>
        <w:ind w:left="0" w:firstLine="0"/>
      </w:pPr>
      <w:rPr>
        <w:rFonts w:hint="default"/>
      </w:rPr>
    </w:lvl>
    <w:lvl w:ilvl="1">
      <w:start w:val="1"/>
      <w:numFmt w:val="decimal"/>
      <w:lvlRestart w:val="0"/>
      <w:pStyle w:val="ListNumber"/>
      <w:lvlText w:val="%1%2."/>
      <w:lvlJc w:val="left"/>
      <w:pPr>
        <w:ind w:left="864" w:hanging="432"/>
      </w:pPr>
      <w:rPr>
        <w:rFonts w:hint="default"/>
      </w:rPr>
    </w:lvl>
    <w:lvl w:ilvl="2">
      <w:start w:val="1"/>
      <w:numFmt w:val="lowerLetter"/>
      <w:pStyle w:val="ListNumber2"/>
      <w:lvlText w:val="%3."/>
      <w:lvlJc w:val="left"/>
      <w:pPr>
        <w:ind w:left="1296" w:hanging="432"/>
      </w:pPr>
      <w:rPr>
        <w:rFonts w:hint="default"/>
      </w:rPr>
    </w:lvl>
    <w:lvl w:ilvl="3">
      <w:start w:val="1"/>
      <w:numFmt w:val="lowerRoman"/>
      <w:pStyle w:val="ListNumber3"/>
      <w:lvlText w:val="%1%4."/>
      <w:lvlJc w:val="left"/>
      <w:pPr>
        <w:ind w:left="1728" w:hanging="432"/>
      </w:pPr>
      <w:rPr>
        <w:rFonts w:hint="default"/>
      </w:rPr>
    </w:lvl>
    <w:lvl w:ilvl="4">
      <w:start w:val="1"/>
      <w:numFmt w:val="decimal"/>
      <w:pStyle w:val="ListNumber4"/>
      <w:lvlText w:val="%1%5)"/>
      <w:lvlJc w:val="left"/>
      <w:pPr>
        <w:ind w:left="2160" w:hanging="432"/>
      </w:pPr>
      <w:rPr>
        <w:rFonts w:hint="default"/>
      </w:rPr>
    </w:lvl>
    <w:lvl w:ilvl="5">
      <w:start w:val="1"/>
      <w:numFmt w:val="lowerLetter"/>
      <w:pStyle w:val="ListNumber5"/>
      <w:lvlText w:val="%1%6)"/>
      <w:lvlJc w:val="left"/>
      <w:pPr>
        <w:ind w:left="2592" w:hanging="432"/>
      </w:pPr>
      <w:rPr>
        <w:rFonts w:hint="default"/>
      </w:rPr>
    </w:lvl>
    <w:lvl w:ilvl="6">
      <w:start w:val="1"/>
      <w:numFmt w:val="lowerRoman"/>
      <w:lvlText w:val="%1%7)"/>
      <w:lvlJc w:val="left"/>
      <w:pPr>
        <w:ind w:left="3024" w:hanging="432"/>
      </w:pPr>
      <w:rPr>
        <w:rFonts w:hint="default"/>
      </w:rPr>
    </w:lvl>
    <w:lvl w:ilvl="7">
      <w:start w:val="1"/>
      <w:numFmt w:val="decimal"/>
      <w:lvlText w:val="%1%8."/>
      <w:lvlJc w:val="left"/>
      <w:pPr>
        <w:ind w:left="3456" w:hanging="432"/>
      </w:pPr>
      <w:rPr>
        <w:rFonts w:hint="default"/>
      </w:rPr>
    </w:lvl>
    <w:lvl w:ilvl="8">
      <w:start w:val="1"/>
      <w:numFmt w:val="lowerLetter"/>
      <w:lvlText w:val="%1%9."/>
      <w:lvlJc w:val="left"/>
      <w:pPr>
        <w:ind w:left="3888" w:hanging="432"/>
      </w:pPr>
      <w:rPr>
        <w:rFonts w:hint="default"/>
      </w:rPr>
    </w:lvl>
  </w:abstractNum>
  <w:abstractNum w:abstractNumId="29">
    <w:nsid w:val="5F1F03E7"/>
    <w:multiLevelType w:val="hybridMultilevel"/>
    <w:tmpl w:val="ABE610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21C1F76"/>
    <w:multiLevelType w:val="hybridMultilevel"/>
    <w:tmpl w:val="AE4C295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4347AB4"/>
    <w:multiLevelType w:val="hybridMultilevel"/>
    <w:tmpl w:val="B3288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51D52A0"/>
    <w:multiLevelType w:val="hybridMultilevel"/>
    <w:tmpl w:val="40160F56"/>
    <w:lvl w:ilvl="0">
      <w:start w:val="2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C70CE6"/>
    <w:multiLevelType w:val="hybridMultilevel"/>
    <w:tmpl w:val="0D9C7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6B5619"/>
    <w:multiLevelType w:val="hybridMultilevel"/>
    <w:tmpl w:val="EFAE832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09A1D76"/>
    <w:multiLevelType w:val="hybridMultilevel"/>
    <w:tmpl w:val="F12E13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D4364D"/>
    <w:multiLevelType w:val="hybridMultilevel"/>
    <w:tmpl w:val="B0C03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B440A0"/>
    <w:multiLevelType w:val="hybridMultilevel"/>
    <w:tmpl w:val="EFA899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ABC5933"/>
    <w:multiLevelType w:val="multilevel"/>
    <w:tmpl w:val="9DB21B66"/>
    <w:lvl w:ilvl="0">
      <w:start w:val="1"/>
      <w:numFmt w:val="none"/>
      <w:pStyle w:val="AFTERBLOCKNUMBER"/>
      <w:lvlText w:val="%1"/>
      <w:lvlJc w:val="left"/>
      <w:pPr>
        <w:ind w:left="0" w:firstLine="0"/>
      </w:pPr>
      <w:rPr>
        <w:rFonts w:hint="default"/>
      </w:rPr>
    </w:lvl>
    <w:lvl w:ilvl="1">
      <w:start w:val="1"/>
      <w:numFmt w:val="decimal"/>
      <w:lvlRestart w:val="0"/>
      <w:pStyle w:val="BlockNumberList"/>
      <w:lvlText w:val="%2)"/>
      <w:lvlJc w:val="left"/>
      <w:pPr>
        <w:ind w:left="432" w:hanging="432"/>
      </w:pPr>
      <w:rPr>
        <w:rFonts w:hint="default"/>
      </w:rPr>
    </w:lvl>
    <w:lvl w:ilvl="2">
      <w:start w:val="1"/>
      <w:numFmt w:val="lowerLetter"/>
      <w:pStyle w:val="BlockNumber2List2"/>
      <w:lvlText w:val="%3)"/>
      <w:lvlJc w:val="left"/>
      <w:pPr>
        <w:ind w:left="864" w:hanging="432"/>
      </w:pPr>
      <w:rPr>
        <w:rFonts w:hint="default"/>
      </w:rPr>
    </w:lvl>
    <w:lvl w:ilvl="3">
      <w:start w:val="1"/>
      <w:numFmt w:val="lowerRoman"/>
      <w:pStyle w:val="BlockNumber3List3"/>
      <w:lvlText w:val="%4)"/>
      <w:lvlJc w:val="left"/>
      <w:pPr>
        <w:ind w:left="1296" w:hanging="432"/>
      </w:pPr>
      <w:rPr>
        <w:rFonts w:hint="default"/>
      </w:rPr>
    </w:lvl>
    <w:lvl w:ilvl="4">
      <w:start w:val="1"/>
      <w:numFmt w:val="decimal"/>
      <w:pStyle w:val="BlockNumber4List4"/>
      <w:lvlText w:val="(%5)"/>
      <w:lvlJc w:val="left"/>
      <w:pPr>
        <w:ind w:left="1800" w:hanging="360"/>
      </w:pPr>
      <w:rPr>
        <w:rFonts w:hint="default"/>
      </w:rPr>
    </w:lvl>
    <w:lvl w:ilvl="5">
      <w:start w:val="1"/>
      <w:numFmt w:val="lowerLetter"/>
      <w:pStyle w:val="BlockNumber5List5"/>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nsid w:val="7C9D5CAF"/>
    <w:multiLevelType w:val="hybridMultilevel"/>
    <w:tmpl w:val="BB9CDE28"/>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40">
    <w:nsid w:val="7CBF7A71"/>
    <w:multiLevelType w:val="multilevel"/>
    <w:tmpl w:val="BBCAE948"/>
    <w:lvl w:ilvl="0">
      <w:start w:val="1"/>
      <w:numFmt w:val="none"/>
      <w:pStyle w:val="AFTERLISTBULLET"/>
      <w:lvlJc w:val="left"/>
      <w:pPr>
        <w:ind w:left="0" w:firstLine="0"/>
      </w:pPr>
      <w:rPr>
        <w:rFonts w:hint="default"/>
      </w:rPr>
    </w:lvl>
    <w:lvl w:ilvl="1">
      <w:start w:val="1"/>
      <w:numFmt w:val="bullet"/>
      <w:pStyle w:val="ListBullet"/>
      <w:lvlText w:val=""/>
      <w:lvlJc w:val="left"/>
      <w:pPr>
        <w:ind w:left="864" w:hanging="432"/>
      </w:pPr>
      <w:rPr>
        <w:rFonts w:ascii="Symbol" w:hAnsi="Symbol" w:hint="default"/>
      </w:rPr>
    </w:lvl>
    <w:lvl w:ilvl="2">
      <w:start w:val="1"/>
      <w:numFmt w:val="bullet"/>
      <w:pStyle w:val="ListBullet2"/>
      <w:lvlText w:val=""/>
      <w:lvlJc w:val="left"/>
      <w:pPr>
        <w:ind w:left="1296" w:hanging="432"/>
      </w:pPr>
      <w:rPr>
        <w:rFonts w:ascii="Symbol" w:hAnsi="Symbol" w:hint="default"/>
      </w:rPr>
    </w:lvl>
    <w:lvl w:ilvl="3">
      <w:start w:val="1"/>
      <w:numFmt w:val="bullet"/>
      <w:pStyle w:val="ListBullet3"/>
      <w:lvlText w:val="–"/>
      <w:lvlJc w:val="left"/>
      <w:pPr>
        <w:ind w:left="1728" w:hanging="432"/>
      </w:pPr>
      <w:rPr>
        <w:rFonts w:ascii="Calibri" w:hAnsi="Calibri" w:hint="default"/>
      </w:rPr>
    </w:lvl>
    <w:lvl w:ilvl="4">
      <w:start w:val="1"/>
      <w:numFmt w:val="bullet"/>
      <w:pStyle w:val="ListBullet4"/>
      <w:lvlText w:val=""/>
      <w:lvlJc w:val="left"/>
      <w:pPr>
        <w:ind w:left="2160" w:hanging="432"/>
      </w:pPr>
      <w:rPr>
        <w:rFonts w:ascii="Symbol" w:hAnsi="Symbol" w:hint="default"/>
      </w:rPr>
    </w:lvl>
    <w:lvl w:ilvl="5">
      <w:start w:val="1"/>
      <w:numFmt w:val="bullet"/>
      <w:pStyle w:val="ListBullet5"/>
      <w:lvlText w:val=""/>
      <w:lvlJc w:val="left"/>
      <w:pPr>
        <w:ind w:left="2592" w:hanging="432"/>
      </w:pPr>
      <w:rPr>
        <w:rFonts w:ascii="Symbol" w:hAnsi="Symbol" w:hint="default"/>
      </w:rPr>
    </w:lvl>
    <w:lvl w:ilvl="6">
      <w:start w:val="1"/>
      <w:numFmt w:val="bullet"/>
      <w:lvlText w:val="–"/>
      <w:lvlJc w:val="left"/>
      <w:pPr>
        <w:tabs>
          <w:tab w:val="num" w:pos="2592"/>
        </w:tabs>
        <w:ind w:left="3024" w:hanging="432"/>
      </w:pPr>
      <w:rPr>
        <w:rFonts w:ascii="Calibri" w:hAnsi="Calibri" w:hint="default"/>
      </w:rPr>
    </w:lvl>
    <w:lvl w:ilvl="7">
      <w:start w:val="1"/>
      <w:numFmt w:val="bullet"/>
      <w:lvlText w:val=""/>
      <w:lvlJc w:val="left"/>
      <w:pPr>
        <w:tabs>
          <w:tab w:val="num" w:pos="3024"/>
        </w:tabs>
        <w:ind w:left="3456" w:hanging="432"/>
      </w:pPr>
      <w:rPr>
        <w:rFonts w:ascii="Symbol" w:hAnsi="Symbol" w:hint="default"/>
      </w:rPr>
    </w:lvl>
    <w:lvl w:ilvl="8">
      <w:start w:val="1"/>
      <w:numFmt w:val="bullet"/>
      <w:lvlText w:val=""/>
      <w:lvlJc w:val="left"/>
      <w:pPr>
        <w:ind w:left="3888" w:hanging="432"/>
      </w:pPr>
      <w:rPr>
        <w:rFonts w:ascii="Symbol" w:hAnsi="Symbol" w:hint="default"/>
      </w:rPr>
    </w:lvl>
  </w:abstractNum>
  <w:num w:numId="1" w16cid:durableId="735013510">
    <w:abstractNumId w:val="40"/>
  </w:num>
  <w:num w:numId="2" w16cid:durableId="1133256011">
    <w:abstractNumId w:val="24"/>
  </w:num>
  <w:num w:numId="3" w16cid:durableId="1322392624">
    <w:abstractNumId w:val="28"/>
  </w:num>
  <w:num w:numId="4" w16cid:durableId="1134980784">
    <w:abstractNumId w:val="11"/>
  </w:num>
  <w:num w:numId="5" w16cid:durableId="1401519507">
    <w:abstractNumId w:val="38"/>
  </w:num>
  <w:num w:numId="6" w16cid:durableId="1256284255">
    <w:abstractNumId w:val="23"/>
  </w:num>
  <w:num w:numId="7" w16cid:durableId="467934802">
    <w:abstractNumId w:val="12"/>
  </w:num>
  <w:num w:numId="8" w16cid:durableId="1965303470">
    <w:abstractNumId w:val="18"/>
  </w:num>
  <w:num w:numId="9" w16cid:durableId="471872886">
    <w:abstractNumId w:val="36"/>
  </w:num>
  <w:num w:numId="10" w16cid:durableId="373578095">
    <w:abstractNumId w:val="16"/>
  </w:num>
  <w:num w:numId="11" w16cid:durableId="754084460">
    <w:abstractNumId w:val="6"/>
  </w:num>
  <w:num w:numId="12" w16cid:durableId="1694768472">
    <w:abstractNumId w:val="22"/>
  </w:num>
  <w:num w:numId="13" w16cid:durableId="951207957">
    <w:abstractNumId w:val="4"/>
  </w:num>
  <w:num w:numId="14" w16cid:durableId="167916238">
    <w:abstractNumId w:val="14"/>
  </w:num>
  <w:num w:numId="15" w16cid:durableId="812872821">
    <w:abstractNumId w:val="3"/>
  </w:num>
  <w:num w:numId="16" w16cid:durableId="1839685806">
    <w:abstractNumId w:val="21"/>
  </w:num>
  <w:num w:numId="17" w16cid:durableId="1504082890">
    <w:abstractNumId w:val="20"/>
  </w:num>
  <w:num w:numId="18" w16cid:durableId="1005981950">
    <w:abstractNumId w:val="8"/>
  </w:num>
  <w:num w:numId="19" w16cid:durableId="1029184613">
    <w:abstractNumId w:val="13"/>
  </w:num>
  <w:num w:numId="20" w16cid:durableId="1806393046">
    <w:abstractNumId w:val="35"/>
  </w:num>
  <w:num w:numId="21" w16cid:durableId="144469430">
    <w:abstractNumId w:val="15"/>
  </w:num>
  <w:num w:numId="22" w16cid:durableId="537738879">
    <w:abstractNumId w:val="32"/>
  </w:num>
  <w:num w:numId="23" w16cid:durableId="1263535559">
    <w:abstractNumId w:val="27"/>
  </w:num>
  <w:num w:numId="24" w16cid:durableId="1347321709">
    <w:abstractNumId w:val="30"/>
  </w:num>
  <w:num w:numId="25" w16cid:durableId="1529754780">
    <w:abstractNumId w:val="10"/>
  </w:num>
  <w:num w:numId="26" w16cid:durableId="1065494443">
    <w:abstractNumId w:val="37"/>
  </w:num>
  <w:num w:numId="27" w16cid:durableId="2029984983">
    <w:abstractNumId w:val="26"/>
  </w:num>
  <w:num w:numId="28" w16cid:durableId="1839154396">
    <w:abstractNumId w:val="0"/>
  </w:num>
  <w:num w:numId="29" w16cid:durableId="2087531083">
    <w:abstractNumId w:val="7"/>
  </w:num>
  <w:num w:numId="30" w16cid:durableId="1366130419">
    <w:abstractNumId w:val="2"/>
  </w:num>
  <w:num w:numId="31" w16cid:durableId="124780608">
    <w:abstractNumId w:val="25"/>
  </w:num>
  <w:num w:numId="32" w16cid:durableId="468667394">
    <w:abstractNumId w:val="19"/>
  </w:num>
  <w:num w:numId="33" w16cid:durableId="1224023428">
    <w:abstractNumId w:val="1"/>
  </w:num>
  <w:num w:numId="34" w16cid:durableId="1295673968">
    <w:abstractNumId w:val="34"/>
  </w:num>
  <w:num w:numId="35" w16cid:durableId="1558781004">
    <w:abstractNumId w:val="17"/>
  </w:num>
  <w:num w:numId="36" w16cid:durableId="1513060292">
    <w:abstractNumId w:val="31"/>
  </w:num>
  <w:num w:numId="37" w16cid:durableId="45379387">
    <w:abstractNumId w:val="9"/>
  </w:num>
  <w:num w:numId="38" w16cid:durableId="127019726">
    <w:abstractNumId w:val="33"/>
  </w:num>
  <w:num w:numId="39" w16cid:durableId="318660346">
    <w:abstractNumId w:val="29"/>
  </w:num>
  <w:num w:numId="40" w16cid:durableId="1868372669">
    <w:abstractNumId w:val="5"/>
  </w:num>
  <w:num w:numId="41" w16cid:durableId="724110626">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efaultTabStop w:val="432"/>
  <w:defaultTableStyle w:val="DataTable"/>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89"/>
    <w:rsid w:val="000002C4"/>
    <w:rsid w:val="0000066B"/>
    <w:rsid w:val="00000845"/>
    <w:rsid w:val="00000CCF"/>
    <w:rsid w:val="00000F89"/>
    <w:rsid w:val="000015C6"/>
    <w:rsid w:val="0000183D"/>
    <w:rsid w:val="000066F4"/>
    <w:rsid w:val="00007086"/>
    <w:rsid w:val="00011D3A"/>
    <w:rsid w:val="000146C8"/>
    <w:rsid w:val="00015CCA"/>
    <w:rsid w:val="00016B1A"/>
    <w:rsid w:val="00020B14"/>
    <w:rsid w:val="00020E67"/>
    <w:rsid w:val="000227AE"/>
    <w:rsid w:val="00023507"/>
    <w:rsid w:val="00025FAC"/>
    <w:rsid w:val="00026990"/>
    <w:rsid w:val="00026F60"/>
    <w:rsid w:val="00027649"/>
    <w:rsid w:val="000277CF"/>
    <w:rsid w:val="00027884"/>
    <w:rsid w:val="00030169"/>
    <w:rsid w:val="0003095D"/>
    <w:rsid w:val="00031292"/>
    <w:rsid w:val="00035383"/>
    <w:rsid w:val="0003539C"/>
    <w:rsid w:val="00035870"/>
    <w:rsid w:val="00036843"/>
    <w:rsid w:val="00036DE5"/>
    <w:rsid w:val="00040BA8"/>
    <w:rsid w:val="00040C27"/>
    <w:rsid w:val="00044162"/>
    <w:rsid w:val="000471C0"/>
    <w:rsid w:val="000476CA"/>
    <w:rsid w:val="00050266"/>
    <w:rsid w:val="00051011"/>
    <w:rsid w:val="0005117D"/>
    <w:rsid w:val="00051286"/>
    <w:rsid w:val="000527B6"/>
    <w:rsid w:val="0005605B"/>
    <w:rsid w:val="00057628"/>
    <w:rsid w:val="00057CE1"/>
    <w:rsid w:val="0006121F"/>
    <w:rsid w:val="00063297"/>
    <w:rsid w:val="00063B85"/>
    <w:rsid w:val="0006456F"/>
    <w:rsid w:val="00064587"/>
    <w:rsid w:val="00064739"/>
    <w:rsid w:val="00066241"/>
    <w:rsid w:val="00067B9A"/>
    <w:rsid w:val="00067BF7"/>
    <w:rsid w:val="000717B7"/>
    <w:rsid w:val="00072AD1"/>
    <w:rsid w:val="00073D2A"/>
    <w:rsid w:val="00077631"/>
    <w:rsid w:val="000812F9"/>
    <w:rsid w:val="00082F55"/>
    <w:rsid w:val="0008416F"/>
    <w:rsid w:val="0008441F"/>
    <w:rsid w:val="000864C5"/>
    <w:rsid w:val="00086BDE"/>
    <w:rsid w:val="00087B52"/>
    <w:rsid w:val="00087C67"/>
    <w:rsid w:val="00090D07"/>
    <w:rsid w:val="00091D6B"/>
    <w:rsid w:val="00092660"/>
    <w:rsid w:val="0009276C"/>
    <w:rsid w:val="00095282"/>
    <w:rsid w:val="00097E48"/>
    <w:rsid w:val="000A18D3"/>
    <w:rsid w:val="000A2A55"/>
    <w:rsid w:val="000A3FFB"/>
    <w:rsid w:val="000A41EC"/>
    <w:rsid w:val="000A4BB2"/>
    <w:rsid w:val="000A7784"/>
    <w:rsid w:val="000B023B"/>
    <w:rsid w:val="000B06E7"/>
    <w:rsid w:val="000B1125"/>
    <w:rsid w:val="000B1A19"/>
    <w:rsid w:val="000B38CD"/>
    <w:rsid w:val="000B3A1C"/>
    <w:rsid w:val="000B4078"/>
    <w:rsid w:val="000B7006"/>
    <w:rsid w:val="000C0C7B"/>
    <w:rsid w:val="000C0DF3"/>
    <w:rsid w:val="000C19F6"/>
    <w:rsid w:val="000C2F70"/>
    <w:rsid w:val="000C5958"/>
    <w:rsid w:val="000D2484"/>
    <w:rsid w:val="000D2C2D"/>
    <w:rsid w:val="000D3B19"/>
    <w:rsid w:val="000D50D2"/>
    <w:rsid w:val="000D7550"/>
    <w:rsid w:val="000D7712"/>
    <w:rsid w:val="000D7AA1"/>
    <w:rsid w:val="000E19B6"/>
    <w:rsid w:val="000E4F5B"/>
    <w:rsid w:val="000E65AA"/>
    <w:rsid w:val="000F0348"/>
    <w:rsid w:val="000F0DF9"/>
    <w:rsid w:val="000F375E"/>
    <w:rsid w:val="000F3E3B"/>
    <w:rsid w:val="000F6613"/>
    <w:rsid w:val="000F767F"/>
    <w:rsid w:val="000F7D0F"/>
    <w:rsid w:val="001007B8"/>
    <w:rsid w:val="001019F2"/>
    <w:rsid w:val="001021BC"/>
    <w:rsid w:val="00102BA0"/>
    <w:rsid w:val="00102EEE"/>
    <w:rsid w:val="00103D9B"/>
    <w:rsid w:val="001041C9"/>
    <w:rsid w:val="00104371"/>
    <w:rsid w:val="00106A57"/>
    <w:rsid w:val="00107CE4"/>
    <w:rsid w:val="00110BD1"/>
    <w:rsid w:val="00110C96"/>
    <w:rsid w:val="00112E18"/>
    <w:rsid w:val="00114F01"/>
    <w:rsid w:val="001155D5"/>
    <w:rsid w:val="001164BD"/>
    <w:rsid w:val="0012039D"/>
    <w:rsid w:val="00121B90"/>
    <w:rsid w:val="001222EF"/>
    <w:rsid w:val="00123155"/>
    <w:rsid w:val="0012372A"/>
    <w:rsid w:val="001265D5"/>
    <w:rsid w:val="00126781"/>
    <w:rsid w:val="001272C0"/>
    <w:rsid w:val="001327F0"/>
    <w:rsid w:val="001332E5"/>
    <w:rsid w:val="00133E0D"/>
    <w:rsid w:val="00141831"/>
    <w:rsid w:val="001419DE"/>
    <w:rsid w:val="001427AB"/>
    <w:rsid w:val="00142F2F"/>
    <w:rsid w:val="0014337B"/>
    <w:rsid w:val="00143EBE"/>
    <w:rsid w:val="0014455C"/>
    <w:rsid w:val="00145324"/>
    <w:rsid w:val="001464E5"/>
    <w:rsid w:val="00146F4A"/>
    <w:rsid w:val="001569C2"/>
    <w:rsid w:val="00156D11"/>
    <w:rsid w:val="00165446"/>
    <w:rsid w:val="00165581"/>
    <w:rsid w:val="00166947"/>
    <w:rsid w:val="00166E0C"/>
    <w:rsid w:val="001673CA"/>
    <w:rsid w:val="001712D5"/>
    <w:rsid w:val="00175398"/>
    <w:rsid w:val="00181676"/>
    <w:rsid w:val="00183761"/>
    <w:rsid w:val="00183FA7"/>
    <w:rsid w:val="00184641"/>
    <w:rsid w:val="00185832"/>
    <w:rsid w:val="0018659F"/>
    <w:rsid w:val="00187799"/>
    <w:rsid w:val="00192062"/>
    <w:rsid w:val="00193EC7"/>
    <w:rsid w:val="00195038"/>
    <w:rsid w:val="001A1173"/>
    <w:rsid w:val="001A387A"/>
    <w:rsid w:val="001A3F3A"/>
    <w:rsid w:val="001A4D13"/>
    <w:rsid w:val="001A527F"/>
    <w:rsid w:val="001A6B71"/>
    <w:rsid w:val="001A6E4C"/>
    <w:rsid w:val="001A6FAF"/>
    <w:rsid w:val="001A7AEE"/>
    <w:rsid w:val="001B11E4"/>
    <w:rsid w:val="001B122B"/>
    <w:rsid w:val="001B1690"/>
    <w:rsid w:val="001B2869"/>
    <w:rsid w:val="001B2D54"/>
    <w:rsid w:val="001B44A3"/>
    <w:rsid w:val="001B4B44"/>
    <w:rsid w:val="001B61EE"/>
    <w:rsid w:val="001B65F5"/>
    <w:rsid w:val="001B6CC9"/>
    <w:rsid w:val="001C2B83"/>
    <w:rsid w:val="001C4AB8"/>
    <w:rsid w:val="001C5093"/>
    <w:rsid w:val="001C5B5A"/>
    <w:rsid w:val="001D1C3C"/>
    <w:rsid w:val="001D250F"/>
    <w:rsid w:val="001D31CF"/>
    <w:rsid w:val="001E11A6"/>
    <w:rsid w:val="001E234B"/>
    <w:rsid w:val="001E2A0E"/>
    <w:rsid w:val="001E6A0C"/>
    <w:rsid w:val="001E78EB"/>
    <w:rsid w:val="001F4B21"/>
    <w:rsid w:val="001F4DD7"/>
    <w:rsid w:val="001F6001"/>
    <w:rsid w:val="001F785B"/>
    <w:rsid w:val="00201EDF"/>
    <w:rsid w:val="00202860"/>
    <w:rsid w:val="002028E7"/>
    <w:rsid w:val="0020304F"/>
    <w:rsid w:val="00204858"/>
    <w:rsid w:val="00204DDE"/>
    <w:rsid w:val="00205D82"/>
    <w:rsid w:val="00207E51"/>
    <w:rsid w:val="00210369"/>
    <w:rsid w:val="0021047D"/>
    <w:rsid w:val="0021103D"/>
    <w:rsid w:val="002115CB"/>
    <w:rsid w:val="00211937"/>
    <w:rsid w:val="00212116"/>
    <w:rsid w:val="002128FD"/>
    <w:rsid w:val="00214D4F"/>
    <w:rsid w:val="00214FE2"/>
    <w:rsid w:val="002167C1"/>
    <w:rsid w:val="002169F3"/>
    <w:rsid w:val="00216DDF"/>
    <w:rsid w:val="0022102B"/>
    <w:rsid w:val="00222450"/>
    <w:rsid w:val="0022265E"/>
    <w:rsid w:val="00224B89"/>
    <w:rsid w:val="00225FC6"/>
    <w:rsid w:val="002260AD"/>
    <w:rsid w:val="002302BE"/>
    <w:rsid w:val="00230BF8"/>
    <w:rsid w:val="002327A9"/>
    <w:rsid w:val="002355DE"/>
    <w:rsid w:val="00236151"/>
    <w:rsid w:val="00242C2D"/>
    <w:rsid w:val="002438AB"/>
    <w:rsid w:val="0024565D"/>
    <w:rsid w:val="002461A5"/>
    <w:rsid w:val="00247522"/>
    <w:rsid w:val="00247E69"/>
    <w:rsid w:val="00250195"/>
    <w:rsid w:val="0025073D"/>
    <w:rsid w:val="00250C60"/>
    <w:rsid w:val="002539AC"/>
    <w:rsid w:val="00253B84"/>
    <w:rsid w:val="0025460F"/>
    <w:rsid w:val="00254F80"/>
    <w:rsid w:val="002553FA"/>
    <w:rsid w:val="0025674C"/>
    <w:rsid w:val="00257EF6"/>
    <w:rsid w:val="002625FC"/>
    <w:rsid w:val="00262F86"/>
    <w:rsid w:val="00262FCD"/>
    <w:rsid w:val="00267E1C"/>
    <w:rsid w:val="00270392"/>
    <w:rsid w:val="00271A57"/>
    <w:rsid w:val="0027260B"/>
    <w:rsid w:val="00272BAE"/>
    <w:rsid w:val="002745F7"/>
    <w:rsid w:val="0027537F"/>
    <w:rsid w:val="002758EB"/>
    <w:rsid w:val="00276FE7"/>
    <w:rsid w:val="00277BF8"/>
    <w:rsid w:val="00277E3A"/>
    <w:rsid w:val="00280AD4"/>
    <w:rsid w:val="00281E69"/>
    <w:rsid w:val="00282987"/>
    <w:rsid w:val="00282F97"/>
    <w:rsid w:val="00283277"/>
    <w:rsid w:val="0028556F"/>
    <w:rsid w:val="00291FB0"/>
    <w:rsid w:val="00293C24"/>
    <w:rsid w:val="00295A03"/>
    <w:rsid w:val="002A182C"/>
    <w:rsid w:val="002A21E0"/>
    <w:rsid w:val="002A5AB7"/>
    <w:rsid w:val="002A5D84"/>
    <w:rsid w:val="002A5F59"/>
    <w:rsid w:val="002A74C0"/>
    <w:rsid w:val="002B04A1"/>
    <w:rsid w:val="002B05AF"/>
    <w:rsid w:val="002B0862"/>
    <w:rsid w:val="002B10AA"/>
    <w:rsid w:val="002B20F6"/>
    <w:rsid w:val="002B2975"/>
    <w:rsid w:val="002B302E"/>
    <w:rsid w:val="002B369B"/>
    <w:rsid w:val="002B3D22"/>
    <w:rsid w:val="002B47C2"/>
    <w:rsid w:val="002B5347"/>
    <w:rsid w:val="002B586D"/>
    <w:rsid w:val="002B6866"/>
    <w:rsid w:val="002B72ED"/>
    <w:rsid w:val="002B79F2"/>
    <w:rsid w:val="002B7D55"/>
    <w:rsid w:val="002C0E50"/>
    <w:rsid w:val="002C1DB5"/>
    <w:rsid w:val="002C22F1"/>
    <w:rsid w:val="002C31B8"/>
    <w:rsid w:val="002C3498"/>
    <w:rsid w:val="002C4487"/>
    <w:rsid w:val="002C67BF"/>
    <w:rsid w:val="002C7C68"/>
    <w:rsid w:val="002D1716"/>
    <w:rsid w:val="002D1F66"/>
    <w:rsid w:val="002D2F05"/>
    <w:rsid w:val="002E0A88"/>
    <w:rsid w:val="002E2110"/>
    <w:rsid w:val="002E2B47"/>
    <w:rsid w:val="002E2DE8"/>
    <w:rsid w:val="002E328F"/>
    <w:rsid w:val="002E33ED"/>
    <w:rsid w:val="002E3C23"/>
    <w:rsid w:val="002F1A14"/>
    <w:rsid w:val="002F2187"/>
    <w:rsid w:val="002F29AC"/>
    <w:rsid w:val="002F3D94"/>
    <w:rsid w:val="002F4427"/>
    <w:rsid w:val="003001FD"/>
    <w:rsid w:val="00300F4B"/>
    <w:rsid w:val="00301EC6"/>
    <w:rsid w:val="003035F3"/>
    <w:rsid w:val="0030493C"/>
    <w:rsid w:val="00306BD3"/>
    <w:rsid w:val="0030714D"/>
    <w:rsid w:val="00311BDF"/>
    <w:rsid w:val="003129B5"/>
    <w:rsid w:val="00315819"/>
    <w:rsid w:val="00315A6C"/>
    <w:rsid w:val="00315EC6"/>
    <w:rsid w:val="003163B6"/>
    <w:rsid w:val="00316AEA"/>
    <w:rsid w:val="00317541"/>
    <w:rsid w:val="00321153"/>
    <w:rsid w:val="00321D19"/>
    <w:rsid w:val="00321EB2"/>
    <w:rsid w:val="0032391A"/>
    <w:rsid w:val="003275D0"/>
    <w:rsid w:val="003309FA"/>
    <w:rsid w:val="00330BF9"/>
    <w:rsid w:val="00332ACD"/>
    <w:rsid w:val="00334509"/>
    <w:rsid w:val="00335530"/>
    <w:rsid w:val="0033610E"/>
    <w:rsid w:val="0033638F"/>
    <w:rsid w:val="00343042"/>
    <w:rsid w:val="00347D11"/>
    <w:rsid w:val="00347D1E"/>
    <w:rsid w:val="00351598"/>
    <w:rsid w:val="00352A22"/>
    <w:rsid w:val="003536E7"/>
    <w:rsid w:val="00354E68"/>
    <w:rsid w:val="00355C03"/>
    <w:rsid w:val="00356434"/>
    <w:rsid w:val="00356650"/>
    <w:rsid w:val="0035699F"/>
    <w:rsid w:val="00360EA3"/>
    <w:rsid w:val="003616BD"/>
    <w:rsid w:val="00361B22"/>
    <w:rsid w:val="00361D6F"/>
    <w:rsid w:val="00362FD0"/>
    <w:rsid w:val="00370BBC"/>
    <w:rsid w:val="00372C6C"/>
    <w:rsid w:val="00373C1D"/>
    <w:rsid w:val="003742FF"/>
    <w:rsid w:val="00374A83"/>
    <w:rsid w:val="00375C52"/>
    <w:rsid w:val="00381986"/>
    <w:rsid w:val="003835ED"/>
    <w:rsid w:val="00385888"/>
    <w:rsid w:val="00386C66"/>
    <w:rsid w:val="00386E84"/>
    <w:rsid w:val="00391633"/>
    <w:rsid w:val="00391996"/>
    <w:rsid w:val="00392445"/>
    <w:rsid w:val="003934FD"/>
    <w:rsid w:val="00395D4A"/>
    <w:rsid w:val="0039686F"/>
    <w:rsid w:val="0039722D"/>
    <w:rsid w:val="0039728D"/>
    <w:rsid w:val="0039796B"/>
    <w:rsid w:val="003A0B0E"/>
    <w:rsid w:val="003A3260"/>
    <w:rsid w:val="003A468B"/>
    <w:rsid w:val="003A5C3F"/>
    <w:rsid w:val="003B06A0"/>
    <w:rsid w:val="003B1569"/>
    <w:rsid w:val="003B1BC3"/>
    <w:rsid w:val="003B24F4"/>
    <w:rsid w:val="003B64E1"/>
    <w:rsid w:val="003C0DE2"/>
    <w:rsid w:val="003C13DA"/>
    <w:rsid w:val="003C49F7"/>
    <w:rsid w:val="003C5F26"/>
    <w:rsid w:val="003C681F"/>
    <w:rsid w:val="003C7C24"/>
    <w:rsid w:val="003D0BA4"/>
    <w:rsid w:val="003D0E69"/>
    <w:rsid w:val="003D1790"/>
    <w:rsid w:val="003D1FCE"/>
    <w:rsid w:val="003D2271"/>
    <w:rsid w:val="003D2D50"/>
    <w:rsid w:val="003D402E"/>
    <w:rsid w:val="003D47DB"/>
    <w:rsid w:val="003D76CF"/>
    <w:rsid w:val="003E0339"/>
    <w:rsid w:val="003E1E6E"/>
    <w:rsid w:val="003E2965"/>
    <w:rsid w:val="003E2E75"/>
    <w:rsid w:val="003E32FF"/>
    <w:rsid w:val="003E35F1"/>
    <w:rsid w:val="003E3DCA"/>
    <w:rsid w:val="003E45F2"/>
    <w:rsid w:val="003E466E"/>
    <w:rsid w:val="003E528D"/>
    <w:rsid w:val="003E7180"/>
    <w:rsid w:val="003E7842"/>
    <w:rsid w:val="003F1D7E"/>
    <w:rsid w:val="003F333A"/>
    <w:rsid w:val="003F49AB"/>
    <w:rsid w:val="003F502B"/>
    <w:rsid w:val="003F556F"/>
    <w:rsid w:val="003F5BA5"/>
    <w:rsid w:val="003F647E"/>
    <w:rsid w:val="003F75FD"/>
    <w:rsid w:val="00401E34"/>
    <w:rsid w:val="00402120"/>
    <w:rsid w:val="004024A8"/>
    <w:rsid w:val="00403639"/>
    <w:rsid w:val="004040E4"/>
    <w:rsid w:val="00404B5D"/>
    <w:rsid w:val="00406A02"/>
    <w:rsid w:val="00406D54"/>
    <w:rsid w:val="00406E34"/>
    <w:rsid w:val="00406E84"/>
    <w:rsid w:val="004120EB"/>
    <w:rsid w:val="0041382F"/>
    <w:rsid w:val="004144CB"/>
    <w:rsid w:val="004213BD"/>
    <w:rsid w:val="004213E3"/>
    <w:rsid w:val="004219B7"/>
    <w:rsid w:val="00421AED"/>
    <w:rsid w:val="004248D0"/>
    <w:rsid w:val="00425C03"/>
    <w:rsid w:val="0042790E"/>
    <w:rsid w:val="004317BF"/>
    <w:rsid w:val="00431AE1"/>
    <w:rsid w:val="00434123"/>
    <w:rsid w:val="00436AE2"/>
    <w:rsid w:val="00436E90"/>
    <w:rsid w:val="0044010A"/>
    <w:rsid w:val="004404CE"/>
    <w:rsid w:val="00440BC0"/>
    <w:rsid w:val="00442D54"/>
    <w:rsid w:val="00443F79"/>
    <w:rsid w:val="00444EC3"/>
    <w:rsid w:val="00446B34"/>
    <w:rsid w:val="004471EB"/>
    <w:rsid w:val="0044753F"/>
    <w:rsid w:val="0045257A"/>
    <w:rsid w:val="00453A7D"/>
    <w:rsid w:val="00456BAA"/>
    <w:rsid w:val="00457A14"/>
    <w:rsid w:val="00457F6C"/>
    <w:rsid w:val="004611FB"/>
    <w:rsid w:val="00461F08"/>
    <w:rsid w:val="00461F87"/>
    <w:rsid w:val="00463E55"/>
    <w:rsid w:val="00465296"/>
    <w:rsid w:val="0046549B"/>
    <w:rsid w:val="00471CFD"/>
    <w:rsid w:val="00472580"/>
    <w:rsid w:val="00474F43"/>
    <w:rsid w:val="00475C1C"/>
    <w:rsid w:val="00475F22"/>
    <w:rsid w:val="00476954"/>
    <w:rsid w:val="00476D14"/>
    <w:rsid w:val="00477125"/>
    <w:rsid w:val="004807A4"/>
    <w:rsid w:val="00480A7D"/>
    <w:rsid w:val="004816E4"/>
    <w:rsid w:val="00482E53"/>
    <w:rsid w:val="00483E8C"/>
    <w:rsid w:val="00484DD5"/>
    <w:rsid w:val="00485F9B"/>
    <w:rsid w:val="00487C8E"/>
    <w:rsid w:val="00487F64"/>
    <w:rsid w:val="00490796"/>
    <w:rsid w:val="004919B1"/>
    <w:rsid w:val="004925C9"/>
    <w:rsid w:val="004929FA"/>
    <w:rsid w:val="004930DE"/>
    <w:rsid w:val="00494E3C"/>
    <w:rsid w:val="00495BB4"/>
    <w:rsid w:val="004964E4"/>
    <w:rsid w:val="00496CDB"/>
    <w:rsid w:val="00497D60"/>
    <w:rsid w:val="004A0F02"/>
    <w:rsid w:val="004A1749"/>
    <w:rsid w:val="004A17F5"/>
    <w:rsid w:val="004A1C4B"/>
    <w:rsid w:val="004A3F2D"/>
    <w:rsid w:val="004A5738"/>
    <w:rsid w:val="004A6017"/>
    <w:rsid w:val="004B01E7"/>
    <w:rsid w:val="004B2133"/>
    <w:rsid w:val="004B28AF"/>
    <w:rsid w:val="004B30E7"/>
    <w:rsid w:val="004B595A"/>
    <w:rsid w:val="004B63DA"/>
    <w:rsid w:val="004B78C3"/>
    <w:rsid w:val="004C08AA"/>
    <w:rsid w:val="004C2841"/>
    <w:rsid w:val="004C2AE4"/>
    <w:rsid w:val="004C40DE"/>
    <w:rsid w:val="004C53C2"/>
    <w:rsid w:val="004C56A7"/>
    <w:rsid w:val="004C6F63"/>
    <w:rsid w:val="004D062E"/>
    <w:rsid w:val="004D1B51"/>
    <w:rsid w:val="004D2DC5"/>
    <w:rsid w:val="004D3C38"/>
    <w:rsid w:val="004D7612"/>
    <w:rsid w:val="004E0D4E"/>
    <w:rsid w:val="004E1F1A"/>
    <w:rsid w:val="004E4369"/>
    <w:rsid w:val="004E561F"/>
    <w:rsid w:val="004E659A"/>
    <w:rsid w:val="004E6D3E"/>
    <w:rsid w:val="004F12E1"/>
    <w:rsid w:val="004F1413"/>
    <w:rsid w:val="004F1E48"/>
    <w:rsid w:val="004F3A0D"/>
    <w:rsid w:val="004F6FFB"/>
    <w:rsid w:val="004F797A"/>
    <w:rsid w:val="0050039F"/>
    <w:rsid w:val="005035E6"/>
    <w:rsid w:val="00507C84"/>
    <w:rsid w:val="0051090B"/>
    <w:rsid w:val="00511809"/>
    <w:rsid w:val="00513D87"/>
    <w:rsid w:val="0051406D"/>
    <w:rsid w:val="00514830"/>
    <w:rsid w:val="005150A3"/>
    <w:rsid w:val="00515D2B"/>
    <w:rsid w:val="0052026F"/>
    <w:rsid w:val="0052546F"/>
    <w:rsid w:val="00525CA2"/>
    <w:rsid w:val="00526DBF"/>
    <w:rsid w:val="00526F35"/>
    <w:rsid w:val="005305EC"/>
    <w:rsid w:val="00530E3D"/>
    <w:rsid w:val="00531197"/>
    <w:rsid w:val="005337A9"/>
    <w:rsid w:val="00534BCB"/>
    <w:rsid w:val="005366B8"/>
    <w:rsid w:val="00536826"/>
    <w:rsid w:val="005419E2"/>
    <w:rsid w:val="00542595"/>
    <w:rsid w:val="00542FA6"/>
    <w:rsid w:val="00546AD2"/>
    <w:rsid w:val="00550265"/>
    <w:rsid w:val="00552EE7"/>
    <w:rsid w:val="00553176"/>
    <w:rsid w:val="0055415B"/>
    <w:rsid w:val="0055461C"/>
    <w:rsid w:val="00554993"/>
    <w:rsid w:val="005554E4"/>
    <w:rsid w:val="00555F7C"/>
    <w:rsid w:val="005573AF"/>
    <w:rsid w:val="00561A18"/>
    <w:rsid w:val="00561B9E"/>
    <w:rsid w:val="00562B5A"/>
    <w:rsid w:val="00565F6E"/>
    <w:rsid w:val="00567279"/>
    <w:rsid w:val="00570C3E"/>
    <w:rsid w:val="005713A5"/>
    <w:rsid w:val="00571858"/>
    <w:rsid w:val="00573E87"/>
    <w:rsid w:val="00574B26"/>
    <w:rsid w:val="00575F91"/>
    <w:rsid w:val="0057693F"/>
    <w:rsid w:val="005776B8"/>
    <w:rsid w:val="00577871"/>
    <w:rsid w:val="0058108B"/>
    <w:rsid w:val="00582441"/>
    <w:rsid w:val="0058529A"/>
    <w:rsid w:val="00587EAD"/>
    <w:rsid w:val="00593B3E"/>
    <w:rsid w:val="00594033"/>
    <w:rsid w:val="005946AA"/>
    <w:rsid w:val="005966EA"/>
    <w:rsid w:val="005A0033"/>
    <w:rsid w:val="005A0925"/>
    <w:rsid w:val="005A253C"/>
    <w:rsid w:val="005A402D"/>
    <w:rsid w:val="005A683E"/>
    <w:rsid w:val="005B0B86"/>
    <w:rsid w:val="005B0CE4"/>
    <w:rsid w:val="005B3B13"/>
    <w:rsid w:val="005B5A04"/>
    <w:rsid w:val="005B6298"/>
    <w:rsid w:val="005B644C"/>
    <w:rsid w:val="005B6541"/>
    <w:rsid w:val="005B7BA4"/>
    <w:rsid w:val="005C0252"/>
    <w:rsid w:val="005C06BC"/>
    <w:rsid w:val="005C1EA2"/>
    <w:rsid w:val="005C26C6"/>
    <w:rsid w:val="005C5F00"/>
    <w:rsid w:val="005C63D4"/>
    <w:rsid w:val="005C650D"/>
    <w:rsid w:val="005C7919"/>
    <w:rsid w:val="005D178E"/>
    <w:rsid w:val="005D22FC"/>
    <w:rsid w:val="005D2BE4"/>
    <w:rsid w:val="005D44E6"/>
    <w:rsid w:val="005D4A95"/>
    <w:rsid w:val="005D5831"/>
    <w:rsid w:val="005E0FF0"/>
    <w:rsid w:val="005E18A2"/>
    <w:rsid w:val="005E1FBB"/>
    <w:rsid w:val="005E23DD"/>
    <w:rsid w:val="005E3080"/>
    <w:rsid w:val="005E6449"/>
    <w:rsid w:val="005E6D94"/>
    <w:rsid w:val="005E6FCD"/>
    <w:rsid w:val="005F0841"/>
    <w:rsid w:val="005F4625"/>
    <w:rsid w:val="005F4FBC"/>
    <w:rsid w:val="005F4FD2"/>
    <w:rsid w:val="005F5223"/>
    <w:rsid w:val="005F7EF8"/>
    <w:rsid w:val="00602393"/>
    <w:rsid w:val="00603750"/>
    <w:rsid w:val="0060459A"/>
    <w:rsid w:val="006057A6"/>
    <w:rsid w:val="0060599A"/>
    <w:rsid w:val="00610E8A"/>
    <w:rsid w:val="0061220D"/>
    <w:rsid w:val="006128D6"/>
    <w:rsid w:val="0061487B"/>
    <w:rsid w:val="006150CA"/>
    <w:rsid w:val="0061529C"/>
    <w:rsid w:val="00615BAC"/>
    <w:rsid w:val="006163A8"/>
    <w:rsid w:val="006167E5"/>
    <w:rsid w:val="0061786F"/>
    <w:rsid w:val="00617926"/>
    <w:rsid w:val="0061797D"/>
    <w:rsid w:val="0062048E"/>
    <w:rsid w:val="00622D9C"/>
    <w:rsid w:val="00623C5E"/>
    <w:rsid w:val="00623DF5"/>
    <w:rsid w:val="00624FF9"/>
    <w:rsid w:val="00626D0B"/>
    <w:rsid w:val="00626E4A"/>
    <w:rsid w:val="00626FF9"/>
    <w:rsid w:val="00630119"/>
    <w:rsid w:val="006304C6"/>
    <w:rsid w:val="00633652"/>
    <w:rsid w:val="00633AEB"/>
    <w:rsid w:val="00634520"/>
    <w:rsid w:val="00635586"/>
    <w:rsid w:val="00635A73"/>
    <w:rsid w:val="0063669E"/>
    <w:rsid w:val="00636B9A"/>
    <w:rsid w:val="0063781C"/>
    <w:rsid w:val="006414CD"/>
    <w:rsid w:val="00642AC5"/>
    <w:rsid w:val="006442D2"/>
    <w:rsid w:val="00645314"/>
    <w:rsid w:val="0064577F"/>
    <w:rsid w:val="00645E50"/>
    <w:rsid w:val="006474C7"/>
    <w:rsid w:val="006503D5"/>
    <w:rsid w:val="00650AC7"/>
    <w:rsid w:val="00650BE9"/>
    <w:rsid w:val="00651143"/>
    <w:rsid w:val="0065153C"/>
    <w:rsid w:val="0065164E"/>
    <w:rsid w:val="00651713"/>
    <w:rsid w:val="00651A88"/>
    <w:rsid w:val="00651DEB"/>
    <w:rsid w:val="00654960"/>
    <w:rsid w:val="0065725B"/>
    <w:rsid w:val="00657BD3"/>
    <w:rsid w:val="00660EB9"/>
    <w:rsid w:val="0066152B"/>
    <w:rsid w:val="00662163"/>
    <w:rsid w:val="00662C28"/>
    <w:rsid w:val="00663CD5"/>
    <w:rsid w:val="00664628"/>
    <w:rsid w:val="006654A6"/>
    <w:rsid w:val="006667C1"/>
    <w:rsid w:val="0066708F"/>
    <w:rsid w:val="00667791"/>
    <w:rsid w:val="00670215"/>
    <w:rsid w:val="006713F6"/>
    <w:rsid w:val="00672A2A"/>
    <w:rsid w:val="00673538"/>
    <w:rsid w:val="00675717"/>
    <w:rsid w:val="00675786"/>
    <w:rsid w:val="00675D67"/>
    <w:rsid w:val="00675FA1"/>
    <w:rsid w:val="006766FE"/>
    <w:rsid w:val="006776A8"/>
    <w:rsid w:val="006809B5"/>
    <w:rsid w:val="00681996"/>
    <w:rsid w:val="00684AC8"/>
    <w:rsid w:val="00684BAB"/>
    <w:rsid w:val="00685B3C"/>
    <w:rsid w:val="00686B99"/>
    <w:rsid w:val="006872F0"/>
    <w:rsid w:val="00692E42"/>
    <w:rsid w:val="00693E1B"/>
    <w:rsid w:val="00695B4D"/>
    <w:rsid w:val="006962BC"/>
    <w:rsid w:val="006968E9"/>
    <w:rsid w:val="006971F4"/>
    <w:rsid w:val="00697DA0"/>
    <w:rsid w:val="006A0FC7"/>
    <w:rsid w:val="006A13F2"/>
    <w:rsid w:val="006A1587"/>
    <w:rsid w:val="006A1736"/>
    <w:rsid w:val="006A1B86"/>
    <w:rsid w:val="006A3A93"/>
    <w:rsid w:val="006A3C66"/>
    <w:rsid w:val="006A62E6"/>
    <w:rsid w:val="006A678C"/>
    <w:rsid w:val="006A71D9"/>
    <w:rsid w:val="006A7A39"/>
    <w:rsid w:val="006B3342"/>
    <w:rsid w:val="006B43C7"/>
    <w:rsid w:val="006B49AC"/>
    <w:rsid w:val="006B4B9C"/>
    <w:rsid w:val="006C00DC"/>
    <w:rsid w:val="006C3866"/>
    <w:rsid w:val="006C6033"/>
    <w:rsid w:val="006D1633"/>
    <w:rsid w:val="006D2D54"/>
    <w:rsid w:val="006D49B5"/>
    <w:rsid w:val="006D52C9"/>
    <w:rsid w:val="006D73CC"/>
    <w:rsid w:val="006E00D2"/>
    <w:rsid w:val="006E462B"/>
    <w:rsid w:val="006E48BD"/>
    <w:rsid w:val="006F12A9"/>
    <w:rsid w:val="006F1774"/>
    <w:rsid w:val="006F3C46"/>
    <w:rsid w:val="006F59D5"/>
    <w:rsid w:val="006F6E04"/>
    <w:rsid w:val="006F71AD"/>
    <w:rsid w:val="006F764A"/>
    <w:rsid w:val="00700C29"/>
    <w:rsid w:val="00701251"/>
    <w:rsid w:val="007015AE"/>
    <w:rsid w:val="00701FA3"/>
    <w:rsid w:val="00702D9B"/>
    <w:rsid w:val="00702E03"/>
    <w:rsid w:val="00703422"/>
    <w:rsid w:val="00704F82"/>
    <w:rsid w:val="00706883"/>
    <w:rsid w:val="00707A98"/>
    <w:rsid w:val="0071223E"/>
    <w:rsid w:val="00712AB7"/>
    <w:rsid w:val="00712E87"/>
    <w:rsid w:val="007132B6"/>
    <w:rsid w:val="007154D9"/>
    <w:rsid w:val="00717CB9"/>
    <w:rsid w:val="00722693"/>
    <w:rsid w:val="00722D6D"/>
    <w:rsid w:val="007242DD"/>
    <w:rsid w:val="007258BC"/>
    <w:rsid w:val="007264D8"/>
    <w:rsid w:val="00727BD7"/>
    <w:rsid w:val="0073014D"/>
    <w:rsid w:val="00732558"/>
    <w:rsid w:val="00733F5F"/>
    <w:rsid w:val="007346D1"/>
    <w:rsid w:val="007357A0"/>
    <w:rsid w:val="00736B68"/>
    <w:rsid w:val="007375A9"/>
    <w:rsid w:val="00737F9C"/>
    <w:rsid w:val="007404F9"/>
    <w:rsid w:val="007469FF"/>
    <w:rsid w:val="00746D97"/>
    <w:rsid w:val="0075244A"/>
    <w:rsid w:val="0075247C"/>
    <w:rsid w:val="00754BC2"/>
    <w:rsid w:val="00754E0F"/>
    <w:rsid w:val="007562A6"/>
    <w:rsid w:val="00757007"/>
    <w:rsid w:val="0075775C"/>
    <w:rsid w:val="0076004A"/>
    <w:rsid w:val="0076006E"/>
    <w:rsid w:val="00763AE4"/>
    <w:rsid w:val="00765E77"/>
    <w:rsid w:val="00766265"/>
    <w:rsid w:val="00767CD3"/>
    <w:rsid w:val="00770302"/>
    <w:rsid w:val="00771863"/>
    <w:rsid w:val="00771D3A"/>
    <w:rsid w:val="00771FC6"/>
    <w:rsid w:val="007739A6"/>
    <w:rsid w:val="00775355"/>
    <w:rsid w:val="00775421"/>
    <w:rsid w:val="007809A4"/>
    <w:rsid w:val="00780FD5"/>
    <w:rsid w:val="00783F33"/>
    <w:rsid w:val="00785400"/>
    <w:rsid w:val="00785F8A"/>
    <w:rsid w:val="007871F5"/>
    <w:rsid w:val="0079073D"/>
    <w:rsid w:val="0079088E"/>
    <w:rsid w:val="00792124"/>
    <w:rsid w:val="00792DCC"/>
    <w:rsid w:val="007935A4"/>
    <w:rsid w:val="00794A4F"/>
    <w:rsid w:val="00794FDF"/>
    <w:rsid w:val="007960FE"/>
    <w:rsid w:val="00796306"/>
    <w:rsid w:val="00796F4D"/>
    <w:rsid w:val="007975D0"/>
    <w:rsid w:val="007A0E35"/>
    <w:rsid w:val="007A1DE0"/>
    <w:rsid w:val="007A2029"/>
    <w:rsid w:val="007A6E16"/>
    <w:rsid w:val="007B0294"/>
    <w:rsid w:val="007B1B5E"/>
    <w:rsid w:val="007B1C74"/>
    <w:rsid w:val="007B2CB5"/>
    <w:rsid w:val="007B3492"/>
    <w:rsid w:val="007B4654"/>
    <w:rsid w:val="007C01B6"/>
    <w:rsid w:val="007C2C19"/>
    <w:rsid w:val="007C2E0F"/>
    <w:rsid w:val="007C3865"/>
    <w:rsid w:val="007C6F7F"/>
    <w:rsid w:val="007D2A5C"/>
    <w:rsid w:val="007D41AE"/>
    <w:rsid w:val="007E117A"/>
    <w:rsid w:val="007E1E56"/>
    <w:rsid w:val="007E2DA7"/>
    <w:rsid w:val="007E3CA1"/>
    <w:rsid w:val="007E3E77"/>
    <w:rsid w:val="007E445B"/>
    <w:rsid w:val="007E597A"/>
    <w:rsid w:val="007E6322"/>
    <w:rsid w:val="007E6C6B"/>
    <w:rsid w:val="007F0DEE"/>
    <w:rsid w:val="007F13FD"/>
    <w:rsid w:val="007F26D3"/>
    <w:rsid w:val="007F2BDA"/>
    <w:rsid w:val="007F2BEA"/>
    <w:rsid w:val="007F3849"/>
    <w:rsid w:val="007F3CFF"/>
    <w:rsid w:val="007F5470"/>
    <w:rsid w:val="007F69A6"/>
    <w:rsid w:val="007F7EEB"/>
    <w:rsid w:val="0080190F"/>
    <w:rsid w:val="00801EDF"/>
    <w:rsid w:val="00805320"/>
    <w:rsid w:val="008064BA"/>
    <w:rsid w:val="008128FA"/>
    <w:rsid w:val="00812D5C"/>
    <w:rsid w:val="008142AB"/>
    <w:rsid w:val="00814C83"/>
    <w:rsid w:val="00814FFD"/>
    <w:rsid w:val="0081535D"/>
    <w:rsid w:val="00815B59"/>
    <w:rsid w:val="0081603E"/>
    <w:rsid w:val="0081662E"/>
    <w:rsid w:val="00823163"/>
    <w:rsid w:val="008233DD"/>
    <w:rsid w:val="0082414D"/>
    <w:rsid w:val="0082504A"/>
    <w:rsid w:val="0082583A"/>
    <w:rsid w:val="00826D60"/>
    <w:rsid w:val="00830F77"/>
    <w:rsid w:val="008318CD"/>
    <w:rsid w:val="00832623"/>
    <w:rsid w:val="00832B15"/>
    <w:rsid w:val="008350BC"/>
    <w:rsid w:val="0083553B"/>
    <w:rsid w:val="0083702E"/>
    <w:rsid w:val="00842637"/>
    <w:rsid w:val="00844250"/>
    <w:rsid w:val="00850CCA"/>
    <w:rsid w:val="00852F31"/>
    <w:rsid w:val="00853BD5"/>
    <w:rsid w:val="008549EA"/>
    <w:rsid w:val="00857E9C"/>
    <w:rsid w:val="00860EE5"/>
    <w:rsid w:val="008633F3"/>
    <w:rsid w:val="00864F0B"/>
    <w:rsid w:val="00865081"/>
    <w:rsid w:val="00865239"/>
    <w:rsid w:val="00866A67"/>
    <w:rsid w:val="00866D02"/>
    <w:rsid w:val="0086702C"/>
    <w:rsid w:val="00870BCE"/>
    <w:rsid w:val="00872079"/>
    <w:rsid w:val="008736F6"/>
    <w:rsid w:val="00873C53"/>
    <w:rsid w:val="00874984"/>
    <w:rsid w:val="00875C2D"/>
    <w:rsid w:val="00880554"/>
    <w:rsid w:val="008830E2"/>
    <w:rsid w:val="00883AE2"/>
    <w:rsid w:val="008847E9"/>
    <w:rsid w:val="0088518D"/>
    <w:rsid w:val="008869CD"/>
    <w:rsid w:val="00887B2D"/>
    <w:rsid w:val="008903DC"/>
    <w:rsid w:val="0089092D"/>
    <w:rsid w:val="0089098D"/>
    <w:rsid w:val="00893FFC"/>
    <w:rsid w:val="008941B0"/>
    <w:rsid w:val="008955E7"/>
    <w:rsid w:val="00895EA3"/>
    <w:rsid w:val="008A1488"/>
    <w:rsid w:val="008A14AB"/>
    <w:rsid w:val="008A3E1B"/>
    <w:rsid w:val="008A4057"/>
    <w:rsid w:val="008A62B3"/>
    <w:rsid w:val="008A6619"/>
    <w:rsid w:val="008A6D4E"/>
    <w:rsid w:val="008B16AD"/>
    <w:rsid w:val="008B2360"/>
    <w:rsid w:val="008B2597"/>
    <w:rsid w:val="008B4AEC"/>
    <w:rsid w:val="008B4BC1"/>
    <w:rsid w:val="008B51BD"/>
    <w:rsid w:val="008C01C9"/>
    <w:rsid w:val="008C0732"/>
    <w:rsid w:val="008C1077"/>
    <w:rsid w:val="008C1969"/>
    <w:rsid w:val="008C329F"/>
    <w:rsid w:val="008C3E50"/>
    <w:rsid w:val="008C4068"/>
    <w:rsid w:val="008C4520"/>
    <w:rsid w:val="008D0CF7"/>
    <w:rsid w:val="008D2139"/>
    <w:rsid w:val="008D27F8"/>
    <w:rsid w:val="008D2C80"/>
    <w:rsid w:val="008D430C"/>
    <w:rsid w:val="008D43E5"/>
    <w:rsid w:val="008D5234"/>
    <w:rsid w:val="008D5AFE"/>
    <w:rsid w:val="008E0DA1"/>
    <w:rsid w:val="008E1A97"/>
    <w:rsid w:val="008E340C"/>
    <w:rsid w:val="008E41BE"/>
    <w:rsid w:val="008F3992"/>
    <w:rsid w:val="008F3A34"/>
    <w:rsid w:val="008F4068"/>
    <w:rsid w:val="008F525A"/>
    <w:rsid w:val="008F785C"/>
    <w:rsid w:val="00901624"/>
    <w:rsid w:val="00903074"/>
    <w:rsid w:val="00905CF0"/>
    <w:rsid w:val="009066D8"/>
    <w:rsid w:val="00906965"/>
    <w:rsid w:val="00906D9D"/>
    <w:rsid w:val="00907BD7"/>
    <w:rsid w:val="009113DF"/>
    <w:rsid w:val="00912070"/>
    <w:rsid w:val="009122DC"/>
    <w:rsid w:val="00917EC6"/>
    <w:rsid w:val="0092009A"/>
    <w:rsid w:val="00920B91"/>
    <w:rsid w:val="00920F8A"/>
    <w:rsid w:val="00923382"/>
    <w:rsid w:val="00923AE2"/>
    <w:rsid w:val="00924795"/>
    <w:rsid w:val="009251E8"/>
    <w:rsid w:val="00925E6D"/>
    <w:rsid w:val="0093166D"/>
    <w:rsid w:val="00931BAF"/>
    <w:rsid w:val="00932EC8"/>
    <w:rsid w:val="0093349A"/>
    <w:rsid w:val="00933E88"/>
    <w:rsid w:val="009340FE"/>
    <w:rsid w:val="00934723"/>
    <w:rsid w:val="00935201"/>
    <w:rsid w:val="00935D58"/>
    <w:rsid w:val="009405A9"/>
    <w:rsid w:val="00942094"/>
    <w:rsid w:val="009456DF"/>
    <w:rsid w:val="00946C4B"/>
    <w:rsid w:val="00947218"/>
    <w:rsid w:val="00950E9E"/>
    <w:rsid w:val="00952078"/>
    <w:rsid w:val="00952B66"/>
    <w:rsid w:val="00952F0C"/>
    <w:rsid w:val="00954D51"/>
    <w:rsid w:val="00957063"/>
    <w:rsid w:val="00957555"/>
    <w:rsid w:val="00960AF6"/>
    <w:rsid w:val="00961568"/>
    <w:rsid w:val="00961F71"/>
    <w:rsid w:val="00962343"/>
    <w:rsid w:val="00963F09"/>
    <w:rsid w:val="009661A7"/>
    <w:rsid w:val="00966825"/>
    <w:rsid w:val="009704D3"/>
    <w:rsid w:val="00971035"/>
    <w:rsid w:val="00971643"/>
    <w:rsid w:val="00972B57"/>
    <w:rsid w:val="0097406B"/>
    <w:rsid w:val="00974251"/>
    <w:rsid w:val="00976C80"/>
    <w:rsid w:val="009813F1"/>
    <w:rsid w:val="0098203D"/>
    <w:rsid w:val="009837DB"/>
    <w:rsid w:val="0098517F"/>
    <w:rsid w:val="0098527D"/>
    <w:rsid w:val="00985998"/>
    <w:rsid w:val="009873A4"/>
    <w:rsid w:val="009915CE"/>
    <w:rsid w:val="00991D5A"/>
    <w:rsid w:val="00994229"/>
    <w:rsid w:val="00994E1C"/>
    <w:rsid w:val="00996C31"/>
    <w:rsid w:val="00997229"/>
    <w:rsid w:val="009A0114"/>
    <w:rsid w:val="009A050E"/>
    <w:rsid w:val="009A14CA"/>
    <w:rsid w:val="009A19E6"/>
    <w:rsid w:val="009A2686"/>
    <w:rsid w:val="009A4426"/>
    <w:rsid w:val="009A655D"/>
    <w:rsid w:val="009A6690"/>
    <w:rsid w:val="009A7CD6"/>
    <w:rsid w:val="009A7D1A"/>
    <w:rsid w:val="009B10EF"/>
    <w:rsid w:val="009B2422"/>
    <w:rsid w:val="009B37DC"/>
    <w:rsid w:val="009B41D8"/>
    <w:rsid w:val="009B466F"/>
    <w:rsid w:val="009B53C8"/>
    <w:rsid w:val="009B655F"/>
    <w:rsid w:val="009C2126"/>
    <w:rsid w:val="009C34D3"/>
    <w:rsid w:val="009C3709"/>
    <w:rsid w:val="009C4691"/>
    <w:rsid w:val="009C5B2F"/>
    <w:rsid w:val="009C5C50"/>
    <w:rsid w:val="009C62A2"/>
    <w:rsid w:val="009C78A4"/>
    <w:rsid w:val="009D0267"/>
    <w:rsid w:val="009D06B6"/>
    <w:rsid w:val="009D17B0"/>
    <w:rsid w:val="009D247C"/>
    <w:rsid w:val="009D3D4F"/>
    <w:rsid w:val="009D3E30"/>
    <w:rsid w:val="009D5834"/>
    <w:rsid w:val="009D704F"/>
    <w:rsid w:val="009E004E"/>
    <w:rsid w:val="009E1563"/>
    <w:rsid w:val="009E2A7D"/>
    <w:rsid w:val="009E31CC"/>
    <w:rsid w:val="009E41E9"/>
    <w:rsid w:val="009E47A8"/>
    <w:rsid w:val="009E5C92"/>
    <w:rsid w:val="009E6AB9"/>
    <w:rsid w:val="009E73B5"/>
    <w:rsid w:val="009F1A3E"/>
    <w:rsid w:val="009F1B1F"/>
    <w:rsid w:val="009F322D"/>
    <w:rsid w:val="009F4D9F"/>
    <w:rsid w:val="009F510F"/>
    <w:rsid w:val="009F56A3"/>
    <w:rsid w:val="009F7249"/>
    <w:rsid w:val="009F7456"/>
    <w:rsid w:val="009F77E0"/>
    <w:rsid w:val="00A01247"/>
    <w:rsid w:val="00A01441"/>
    <w:rsid w:val="00A03432"/>
    <w:rsid w:val="00A03494"/>
    <w:rsid w:val="00A03628"/>
    <w:rsid w:val="00A04635"/>
    <w:rsid w:val="00A05C0C"/>
    <w:rsid w:val="00A0725E"/>
    <w:rsid w:val="00A07B66"/>
    <w:rsid w:val="00A07EFE"/>
    <w:rsid w:val="00A1401D"/>
    <w:rsid w:val="00A15081"/>
    <w:rsid w:val="00A168A2"/>
    <w:rsid w:val="00A21B27"/>
    <w:rsid w:val="00A2497A"/>
    <w:rsid w:val="00A2512C"/>
    <w:rsid w:val="00A258BF"/>
    <w:rsid w:val="00A263A0"/>
    <w:rsid w:val="00A263C7"/>
    <w:rsid w:val="00A26A5B"/>
    <w:rsid w:val="00A26E4B"/>
    <w:rsid w:val="00A30088"/>
    <w:rsid w:val="00A309AD"/>
    <w:rsid w:val="00A31574"/>
    <w:rsid w:val="00A32213"/>
    <w:rsid w:val="00A33AD5"/>
    <w:rsid w:val="00A35D31"/>
    <w:rsid w:val="00A3691B"/>
    <w:rsid w:val="00A36BA9"/>
    <w:rsid w:val="00A37696"/>
    <w:rsid w:val="00A403A8"/>
    <w:rsid w:val="00A4115F"/>
    <w:rsid w:val="00A41390"/>
    <w:rsid w:val="00A42D06"/>
    <w:rsid w:val="00A433D6"/>
    <w:rsid w:val="00A43488"/>
    <w:rsid w:val="00A43A1F"/>
    <w:rsid w:val="00A44A8D"/>
    <w:rsid w:val="00A46D21"/>
    <w:rsid w:val="00A515A9"/>
    <w:rsid w:val="00A51734"/>
    <w:rsid w:val="00A5206F"/>
    <w:rsid w:val="00A54051"/>
    <w:rsid w:val="00A54749"/>
    <w:rsid w:val="00A567D5"/>
    <w:rsid w:val="00A60615"/>
    <w:rsid w:val="00A6119D"/>
    <w:rsid w:val="00A61535"/>
    <w:rsid w:val="00A624A7"/>
    <w:rsid w:val="00A62607"/>
    <w:rsid w:val="00A65F28"/>
    <w:rsid w:val="00A662FC"/>
    <w:rsid w:val="00A66544"/>
    <w:rsid w:val="00A6713C"/>
    <w:rsid w:val="00A726CA"/>
    <w:rsid w:val="00A72FBB"/>
    <w:rsid w:val="00A7529A"/>
    <w:rsid w:val="00A809F7"/>
    <w:rsid w:val="00A83C22"/>
    <w:rsid w:val="00A84621"/>
    <w:rsid w:val="00A84629"/>
    <w:rsid w:val="00A84C8C"/>
    <w:rsid w:val="00A86DAF"/>
    <w:rsid w:val="00A87B9E"/>
    <w:rsid w:val="00A87F53"/>
    <w:rsid w:val="00A92213"/>
    <w:rsid w:val="00A92B18"/>
    <w:rsid w:val="00A94ADB"/>
    <w:rsid w:val="00A9683C"/>
    <w:rsid w:val="00A97FFB"/>
    <w:rsid w:val="00AA05ED"/>
    <w:rsid w:val="00AA0B04"/>
    <w:rsid w:val="00AA26E7"/>
    <w:rsid w:val="00AA2AF0"/>
    <w:rsid w:val="00AA30B5"/>
    <w:rsid w:val="00AA3238"/>
    <w:rsid w:val="00AA3766"/>
    <w:rsid w:val="00AA39AF"/>
    <w:rsid w:val="00AA3EB2"/>
    <w:rsid w:val="00AB0279"/>
    <w:rsid w:val="00AB0304"/>
    <w:rsid w:val="00AB102D"/>
    <w:rsid w:val="00AB218E"/>
    <w:rsid w:val="00AB24BE"/>
    <w:rsid w:val="00AB4DD6"/>
    <w:rsid w:val="00AB5F66"/>
    <w:rsid w:val="00AB6DD4"/>
    <w:rsid w:val="00AC20C4"/>
    <w:rsid w:val="00AC338D"/>
    <w:rsid w:val="00AC45B6"/>
    <w:rsid w:val="00AC4C55"/>
    <w:rsid w:val="00AD082D"/>
    <w:rsid w:val="00AD2393"/>
    <w:rsid w:val="00AD2461"/>
    <w:rsid w:val="00AD313C"/>
    <w:rsid w:val="00AD3DBD"/>
    <w:rsid w:val="00AD3ED4"/>
    <w:rsid w:val="00AD4582"/>
    <w:rsid w:val="00AD466E"/>
    <w:rsid w:val="00AD60D9"/>
    <w:rsid w:val="00AD7804"/>
    <w:rsid w:val="00AD7FE2"/>
    <w:rsid w:val="00AE1C3E"/>
    <w:rsid w:val="00AE2443"/>
    <w:rsid w:val="00AE2A1A"/>
    <w:rsid w:val="00AE2E5C"/>
    <w:rsid w:val="00AE5593"/>
    <w:rsid w:val="00AE6A2F"/>
    <w:rsid w:val="00AE7D88"/>
    <w:rsid w:val="00AE7EB0"/>
    <w:rsid w:val="00AE7EFE"/>
    <w:rsid w:val="00AF1550"/>
    <w:rsid w:val="00AF1DCD"/>
    <w:rsid w:val="00AF4200"/>
    <w:rsid w:val="00AF45AB"/>
    <w:rsid w:val="00AF4804"/>
    <w:rsid w:val="00AF5A27"/>
    <w:rsid w:val="00AF5BCF"/>
    <w:rsid w:val="00AF5EC2"/>
    <w:rsid w:val="00AF72A0"/>
    <w:rsid w:val="00B002E4"/>
    <w:rsid w:val="00B005CB"/>
    <w:rsid w:val="00B02ADA"/>
    <w:rsid w:val="00B0460B"/>
    <w:rsid w:val="00B076FA"/>
    <w:rsid w:val="00B10CC3"/>
    <w:rsid w:val="00B11623"/>
    <w:rsid w:val="00B127F9"/>
    <w:rsid w:val="00B13461"/>
    <w:rsid w:val="00B15258"/>
    <w:rsid w:val="00B15AFC"/>
    <w:rsid w:val="00B15C9F"/>
    <w:rsid w:val="00B169F2"/>
    <w:rsid w:val="00B17DD5"/>
    <w:rsid w:val="00B216AC"/>
    <w:rsid w:val="00B21C81"/>
    <w:rsid w:val="00B22771"/>
    <w:rsid w:val="00B23B82"/>
    <w:rsid w:val="00B23CD3"/>
    <w:rsid w:val="00B23D76"/>
    <w:rsid w:val="00B24AA8"/>
    <w:rsid w:val="00B25A55"/>
    <w:rsid w:val="00B26962"/>
    <w:rsid w:val="00B2756C"/>
    <w:rsid w:val="00B30AC8"/>
    <w:rsid w:val="00B3110F"/>
    <w:rsid w:val="00B32B20"/>
    <w:rsid w:val="00B343E9"/>
    <w:rsid w:val="00B35096"/>
    <w:rsid w:val="00B368DB"/>
    <w:rsid w:val="00B3781E"/>
    <w:rsid w:val="00B37997"/>
    <w:rsid w:val="00B37BFC"/>
    <w:rsid w:val="00B40272"/>
    <w:rsid w:val="00B402A2"/>
    <w:rsid w:val="00B41708"/>
    <w:rsid w:val="00B43CBC"/>
    <w:rsid w:val="00B4510A"/>
    <w:rsid w:val="00B451C3"/>
    <w:rsid w:val="00B458B7"/>
    <w:rsid w:val="00B45AB9"/>
    <w:rsid w:val="00B477A5"/>
    <w:rsid w:val="00B5087C"/>
    <w:rsid w:val="00B51A35"/>
    <w:rsid w:val="00B52528"/>
    <w:rsid w:val="00B568EE"/>
    <w:rsid w:val="00B5714D"/>
    <w:rsid w:val="00B572A8"/>
    <w:rsid w:val="00B57A81"/>
    <w:rsid w:val="00B57D6E"/>
    <w:rsid w:val="00B61983"/>
    <w:rsid w:val="00B61A7A"/>
    <w:rsid w:val="00B62A58"/>
    <w:rsid w:val="00B634D9"/>
    <w:rsid w:val="00B645FE"/>
    <w:rsid w:val="00B64BFB"/>
    <w:rsid w:val="00B65C18"/>
    <w:rsid w:val="00B6791C"/>
    <w:rsid w:val="00B702FB"/>
    <w:rsid w:val="00B70A4B"/>
    <w:rsid w:val="00B71C8D"/>
    <w:rsid w:val="00B729E3"/>
    <w:rsid w:val="00B741C0"/>
    <w:rsid w:val="00B81701"/>
    <w:rsid w:val="00B84AAF"/>
    <w:rsid w:val="00B84BEA"/>
    <w:rsid w:val="00B85129"/>
    <w:rsid w:val="00B90646"/>
    <w:rsid w:val="00B90ADE"/>
    <w:rsid w:val="00B9449B"/>
    <w:rsid w:val="00B96EA1"/>
    <w:rsid w:val="00B97583"/>
    <w:rsid w:val="00BA0251"/>
    <w:rsid w:val="00BA14E6"/>
    <w:rsid w:val="00BA1EB7"/>
    <w:rsid w:val="00BA27C6"/>
    <w:rsid w:val="00BA3698"/>
    <w:rsid w:val="00BA3745"/>
    <w:rsid w:val="00BA4C0F"/>
    <w:rsid w:val="00BA523F"/>
    <w:rsid w:val="00BA5A75"/>
    <w:rsid w:val="00BA5E63"/>
    <w:rsid w:val="00BA698B"/>
    <w:rsid w:val="00BA6A71"/>
    <w:rsid w:val="00BA6DA3"/>
    <w:rsid w:val="00BA7A1E"/>
    <w:rsid w:val="00BA7A58"/>
    <w:rsid w:val="00BA7F73"/>
    <w:rsid w:val="00BB174D"/>
    <w:rsid w:val="00BB497E"/>
    <w:rsid w:val="00BB4A5A"/>
    <w:rsid w:val="00BB7B16"/>
    <w:rsid w:val="00BB7B87"/>
    <w:rsid w:val="00BC0518"/>
    <w:rsid w:val="00BC0962"/>
    <w:rsid w:val="00BC10C5"/>
    <w:rsid w:val="00BC206B"/>
    <w:rsid w:val="00BC27E6"/>
    <w:rsid w:val="00BC2D8C"/>
    <w:rsid w:val="00BC55D2"/>
    <w:rsid w:val="00BC5CDF"/>
    <w:rsid w:val="00BC6129"/>
    <w:rsid w:val="00BC6F92"/>
    <w:rsid w:val="00BD0C72"/>
    <w:rsid w:val="00BD63C0"/>
    <w:rsid w:val="00BD73E0"/>
    <w:rsid w:val="00BD7FC4"/>
    <w:rsid w:val="00BE3D49"/>
    <w:rsid w:val="00BE42E7"/>
    <w:rsid w:val="00BE4E80"/>
    <w:rsid w:val="00BE7884"/>
    <w:rsid w:val="00BE7C3D"/>
    <w:rsid w:val="00BF1138"/>
    <w:rsid w:val="00BF1BF6"/>
    <w:rsid w:val="00BF4352"/>
    <w:rsid w:val="00BF4AB0"/>
    <w:rsid w:val="00BF5E6E"/>
    <w:rsid w:val="00C00136"/>
    <w:rsid w:val="00C01C0B"/>
    <w:rsid w:val="00C0738C"/>
    <w:rsid w:val="00C07CCB"/>
    <w:rsid w:val="00C07DCC"/>
    <w:rsid w:val="00C114B4"/>
    <w:rsid w:val="00C118CA"/>
    <w:rsid w:val="00C12BE0"/>
    <w:rsid w:val="00C14029"/>
    <w:rsid w:val="00C1745C"/>
    <w:rsid w:val="00C24456"/>
    <w:rsid w:val="00C25433"/>
    <w:rsid w:val="00C34013"/>
    <w:rsid w:val="00C34447"/>
    <w:rsid w:val="00C348E1"/>
    <w:rsid w:val="00C35DA3"/>
    <w:rsid w:val="00C362A2"/>
    <w:rsid w:val="00C367C6"/>
    <w:rsid w:val="00C40473"/>
    <w:rsid w:val="00C4053D"/>
    <w:rsid w:val="00C40A1C"/>
    <w:rsid w:val="00C40DA6"/>
    <w:rsid w:val="00C41166"/>
    <w:rsid w:val="00C44D0F"/>
    <w:rsid w:val="00C45591"/>
    <w:rsid w:val="00C5065B"/>
    <w:rsid w:val="00C5102C"/>
    <w:rsid w:val="00C519EC"/>
    <w:rsid w:val="00C5510F"/>
    <w:rsid w:val="00C5534B"/>
    <w:rsid w:val="00C55BDC"/>
    <w:rsid w:val="00C623EA"/>
    <w:rsid w:val="00C62C60"/>
    <w:rsid w:val="00C62D37"/>
    <w:rsid w:val="00C647F8"/>
    <w:rsid w:val="00C651DD"/>
    <w:rsid w:val="00C70A48"/>
    <w:rsid w:val="00C72D8F"/>
    <w:rsid w:val="00C74093"/>
    <w:rsid w:val="00C76049"/>
    <w:rsid w:val="00C77159"/>
    <w:rsid w:val="00C77455"/>
    <w:rsid w:val="00C7798F"/>
    <w:rsid w:val="00C80ADF"/>
    <w:rsid w:val="00C82D7E"/>
    <w:rsid w:val="00C840BF"/>
    <w:rsid w:val="00C84792"/>
    <w:rsid w:val="00C87906"/>
    <w:rsid w:val="00C907DA"/>
    <w:rsid w:val="00C9107C"/>
    <w:rsid w:val="00C91645"/>
    <w:rsid w:val="00C92C0A"/>
    <w:rsid w:val="00C968ED"/>
    <w:rsid w:val="00CA0683"/>
    <w:rsid w:val="00CA1385"/>
    <w:rsid w:val="00CA5097"/>
    <w:rsid w:val="00CA5180"/>
    <w:rsid w:val="00CB0552"/>
    <w:rsid w:val="00CB1857"/>
    <w:rsid w:val="00CB22FD"/>
    <w:rsid w:val="00CB2549"/>
    <w:rsid w:val="00CB2A99"/>
    <w:rsid w:val="00CB494F"/>
    <w:rsid w:val="00CB4AEC"/>
    <w:rsid w:val="00CB6212"/>
    <w:rsid w:val="00CB6349"/>
    <w:rsid w:val="00CB6BE2"/>
    <w:rsid w:val="00CC1646"/>
    <w:rsid w:val="00CC204F"/>
    <w:rsid w:val="00CC2DB9"/>
    <w:rsid w:val="00CC3267"/>
    <w:rsid w:val="00CC3D59"/>
    <w:rsid w:val="00CC41C0"/>
    <w:rsid w:val="00CC50B7"/>
    <w:rsid w:val="00CC5131"/>
    <w:rsid w:val="00CC5D99"/>
    <w:rsid w:val="00CC6667"/>
    <w:rsid w:val="00CD1EE9"/>
    <w:rsid w:val="00CD2A72"/>
    <w:rsid w:val="00CD4BDF"/>
    <w:rsid w:val="00CD6904"/>
    <w:rsid w:val="00CE1362"/>
    <w:rsid w:val="00CE1881"/>
    <w:rsid w:val="00CE27F3"/>
    <w:rsid w:val="00CE49C3"/>
    <w:rsid w:val="00CE4BB2"/>
    <w:rsid w:val="00CE66B0"/>
    <w:rsid w:val="00CF011D"/>
    <w:rsid w:val="00CF0BA1"/>
    <w:rsid w:val="00CF19F5"/>
    <w:rsid w:val="00CF2013"/>
    <w:rsid w:val="00CF2319"/>
    <w:rsid w:val="00CF5387"/>
    <w:rsid w:val="00CF55A9"/>
    <w:rsid w:val="00CF6309"/>
    <w:rsid w:val="00CF69BB"/>
    <w:rsid w:val="00CF7547"/>
    <w:rsid w:val="00CF7CCA"/>
    <w:rsid w:val="00D01484"/>
    <w:rsid w:val="00D01B0B"/>
    <w:rsid w:val="00D04460"/>
    <w:rsid w:val="00D05CFA"/>
    <w:rsid w:val="00D0723F"/>
    <w:rsid w:val="00D148A0"/>
    <w:rsid w:val="00D1593E"/>
    <w:rsid w:val="00D15F70"/>
    <w:rsid w:val="00D168CC"/>
    <w:rsid w:val="00D176E3"/>
    <w:rsid w:val="00D26B42"/>
    <w:rsid w:val="00D30D7A"/>
    <w:rsid w:val="00D3133A"/>
    <w:rsid w:val="00D34929"/>
    <w:rsid w:val="00D36646"/>
    <w:rsid w:val="00D410F7"/>
    <w:rsid w:val="00D462CB"/>
    <w:rsid w:val="00D4656A"/>
    <w:rsid w:val="00D5021A"/>
    <w:rsid w:val="00D5121A"/>
    <w:rsid w:val="00D543F1"/>
    <w:rsid w:val="00D54F44"/>
    <w:rsid w:val="00D55B7A"/>
    <w:rsid w:val="00D56BCA"/>
    <w:rsid w:val="00D572AD"/>
    <w:rsid w:val="00D57A31"/>
    <w:rsid w:val="00D57A4B"/>
    <w:rsid w:val="00D57B90"/>
    <w:rsid w:val="00D60D22"/>
    <w:rsid w:val="00D618CD"/>
    <w:rsid w:val="00D62140"/>
    <w:rsid w:val="00D63B91"/>
    <w:rsid w:val="00D640EC"/>
    <w:rsid w:val="00D658D8"/>
    <w:rsid w:val="00D65A92"/>
    <w:rsid w:val="00D66E8A"/>
    <w:rsid w:val="00D67BFC"/>
    <w:rsid w:val="00D70677"/>
    <w:rsid w:val="00D709C5"/>
    <w:rsid w:val="00D70A1A"/>
    <w:rsid w:val="00D70F7C"/>
    <w:rsid w:val="00D73B9E"/>
    <w:rsid w:val="00D752ED"/>
    <w:rsid w:val="00D75AF6"/>
    <w:rsid w:val="00D762A4"/>
    <w:rsid w:val="00D77360"/>
    <w:rsid w:val="00D7788B"/>
    <w:rsid w:val="00D778DC"/>
    <w:rsid w:val="00D8010C"/>
    <w:rsid w:val="00D8060D"/>
    <w:rsid w:val="00D81664"/>
    <w:rsid w:val="00D8289C"/>
    <w:rsid w:val="00D83F0E"/>
    <w:rsid w:val="00D857A2"/>
    <w:rsid w:val="00D86404"/>
    <w:rsid w:val="00D86842"/>
    <w:rsid w:val="00D87819"/>
    <w:rsid w:val="00D87B4B"/>
    <w:rsid w:val="00D93824"/>
    <w:rsid w:val="00D942D0"/>
    <w:rsid w:val="00D94DEC"/>
    <w:rsid w:val="00D95A8B"/>
    <w:rsid w:val="00D95ED2"/>
    <w:rsid w:val="00DA1FE2"/>
    <w:rsid w:val="00DA2960"/>
    <w:rsid w:val="00DA29C5"/>
    <w:rsid w:val="00DA4B02"/>
    <w:rsid w:val="00DA4BE5"/>
    <w:rsid w:val="00DA780D"/>
    <w:rsid w:val="00DA7EF4"/>
    <w:rsid w:val="00DB0244"/>
    <w:rsid w:val="00DB0745"/>
    <w:rsid w:val="00DB144C"/>
    <w:rsid w:val="00DB4055"/>
    <w:rsid w:val="00DB4A39"/>
    <w:rsid w:val="00DB57D5"/>
    <w:rsid w:val="00DB6015"/>
    <w:rsid w:val="00DD0106"/>
    <w:rsid w:val="00DD07FD"/>
    <w:rsid w:val="00DD0CAE"/>
    <w:rsid w:val="00DD27AC"/>
    <w:rsid w:val="00DD2803"/>
    <w:rsid w:val="00DD2A79"/>
    <w:rsid w:val="00DD698B"/>
    <w:rsid w:val="00DD7832"/>
    <w:rsid w:val="00DE06F8"/>
    <w:rsid w:val="00DE2425"/>
    <w:rsid w:val="00DE3A17"/>
    <w:rsid w:val="00DE5C09"/>
    <w:rsid w:val="00DE6654"/>
    <w:rsid w:val="00DE6D5C"/>
    <w:rsid w:val="00DF09F6"/>
    <w:rsid w:val="00DF1B89"/>
    <w:rsid w:val="00DF217A"/>
    <w:rsid w:val="00DF2235"/>
    <w:rsid w:val="00DF24CF"/>
    <w:rsid w:val="00DF2C82"/>
    <w:rsid w:val="00DF363C"/>
    <w:rsid w:val="00DF5B0B"/>
    <w:rsid w:val="00DF5CD6"/>
    <w:rsid w:val="00DF5EC7"/>
    <w:rsid w:val="00DF76BC"/>
    <w:rsid w:val="00DF796C"/>
    <w:rsid w:val="00E011B1"/>
    <w:rsid w:val="00E01DB5"/>
    <w:rsid w:val="00E05415"/>
    <w:rsid w:val="00E05727"/>
    <w:rsid w:val="00E05912"/>
    <w:rsid w:val="00E05E0E"/>
    <w:rsid w:val="00E10AB5"/>
    <w:rsid w:val="00E11113"/>
    <w:rsid w:val="00E17BAE"/>
    <w:rsid w:val="00E2094F"/>
    <w:rsid w:val="00E21A29"/>
    <w:rsid w:val="00E23B70"/>
    <w:rsid w:val="00E26EDC"/>
    <w:rsid w:val="00E343C1"/>
    <w:rsid w:val="00E35109"/>
    <w:rsid w:val="00E35CD2"/>
    <w:rsid w:val="00E3740B"/>
    <w:rsid w:val="00E42C67"/>
    <w:rsid w:val="00E4496C"/>
    <w:rsid w:val="00E454EA"/>
    <w:rsid w:val="00E5012E"/>
    <w:rsid w:val="00E510CD"/>
    <w:rsid w:val="00E510FC"/>
    <w:rsid w:val="00E534CD"/>
    <w:rsid w:val="00E5435E"/>
    <w:rsid w:val="00E546F8"/>
    <w:rsid w:val="00E54C7F"/>
    <w:rsid w:val="00E55C65"/>
    <w:rsid w:val="00E576E8"/>
    <w:rsid w:val="00E6032F"/>
    <w:rsid w:val="00E60943"/>
    <w:rsid w:val="00E62D0F"/>
    <w:rsid w:val="00E6321C"/>
    <w:rsid w:val="00E640A3"/>
    <w:rsid w:val="00E653C3"/>
    <w:rsid w:val="00E65748"/>
    <w:rsid w:val="00E6625D"/>
    <w:rsid w:val="00E66637"/>
    <w:rsid w:val="00E667F7"/>
    <w:rsid w:val="00E67DE8"/>
    <w:rsid w:val="00E67F1B"/>
    <w:rsid w:val="00E7143B"/>
    <w:rsid w:val="00E724D1"/>
    <w:rsid w:val="00E74164"/>
    <w:rsid w:val="00E754A3"/>
    <w:rsid w:val="00E75806"/>
    <w:rsid w:val="00E7588E"/>
    <w:rsid w:val="00E76485"/>
    <w:rsid w:val="00E81FA3"/>
    <w:rsid w:val="00E82D66"/>
    <w:rsid w:val="00E85AF6"/>
    <w:rsid w:val="00E8631A"/>
    <w:rsid w:val="00E865E7"/>
    <w:rsid w:val="00E87C63"/>
    <w:rsid w:val="00E946F7"/>
    <w:rsid w:val="00E9535D"/>
    <w:rsid w:val="00E959F1"/>
    <w:rsid w:val="00E96915"/>
    <w:rsid w:val="00EA43CE"/>
    <w:rsid w:val="00EA4781"/>
    <w:rsid w:val="00EA5575"/>
    <w:rsid w:val="00EA5CF2"/>
    <w:rsid w:val="00EB115E"/>
    <w:rsid w:val="00EB4FAA"/>
    <w:rsid w:val="00EB59A4"/>
    <w:rsid w:val="00EB6073"/>
    <w:rsid w:val="00EB6192"/>
    <w:rsid w:val="00EC0391"/>
    <w:rsid w:val="00EC08A5"/>
    <w:rsid w:val="00EC097C"/>
    <w:rsid w:val="00EC5242"/>
    <w:rsid w:val="00EC52AB"/>
    <w:rsid w:val="00EC6AAC"/>
    <w:rsid w:val="00EC71D8"/>
    <w:rsid w:val="00EC7E1F"/>
    <w:rsid w:val="00ED14B4"/>
    <w:rsid w:val="00ED2500"/>
    <w:rsid w:val="00ED4779"/>
    <w:rsid w:val="00ED5ADD"/>
    <w:rsid w:val="00EE1B88"/>
    <w:rsid w:val="00EE4E74"/>
    <w:rsid w:val="00EE4EE8"/>
    <w:rsid w:val="00EE5CD5"/>
    <w:rsid w:val="00EE6355"/>
    <w:rsid w:val="00EE7BAA"/>
    <w:rsid w:val="00EF0006"/>
    <w:rsid w:val="00EF0511"/>
    <w:rsid w:val="00EF066B"/>
    <w:rsid w:val="00EF2D0B"/>
    <w:rsid w:val="00EF3B33"/>
    <w:rsid w:val="00EF49B0"/>
    <w:rsid w:val="00EF563D"/>
    <w:rsid w:val="00EF5FE9"/>
    <w:rsid w:val="00EF6D10"/>
    <w:rsid w:val="00EF7C80"/>
    <w:rsid w:val="00F0019F"/>
    <w:rsid w:val="00F003AC"/>
    <w:rsid w:val="00F013E3"/>
    <w:rsid w:val="00F01768"/>
    <w:rsid w:val="00F05E28"/>
    <w:rsid w:val="00F06041"/>
    <w:rsid w:val="00F07242"/>
    <w:rsid w:val="00F15BD6"/>
    <w:rsid w:val="00F16DCB"/>
    <w:rsid w:val="00F1722D"/>
    <w:rsid w:val="00F21A65"/>
    <w:rsid w:val="00F25920"/>
    <w:rsid w:val="00F311E4"/>
    <w:rsid w:val="00F31CEB"/>
    <w:rsid w:val="00F32C66"/>
    <w:rsid w:val="00F33D91"/>
    <w:rsid w:val="00F342EC"/>
    <w:rsid w:val="00F34996"/>
    <w:rsid w:val="00F351F4"/>
    <w:rsid w:val="00F376F4"/>
    <w:rsid w:val="00F46C95"/>
    <w:rsid w:val="00F47C56"/>
    <w:rsid w:val="00F50553"/>
    <w:rsid w:val="00F51401"/>
    <w:rsid w:val="00F515BB"/>
    <w:rsid w:val="00F52555"/>
    <w:rsid w:val="00F529B9"/>
    <w:rsid w:val="00F52AEC"/>
    <w:rsid w:val="00F5624E"/>
    <w:rsid w:val="00F56F11"/>
    <w:rsid w:val="00F61CEF"/>
    <w:rsid w:val="00F64029"/>
    <w:rsid w:val="00F6751F"/>
    <w:rsid w:val="00F679C5"/>
    <w:rsid w:val="00F67FF4"/>
    <w:rsid w:val="00F70370"/>
    <w:rsid w:val="00F70565"/>
    <w:rsid w:val="00F734F5"/>
    <w:rsid w:val="00F75B67"/>
    <w:rsid w:val="00F75D87"/>
    <w:rsid w:val="00F76A10"/>
    <w:rsid w:val="00F82C29"/>
    <w:rsid w:val="00F85ADB"/>
    <w:rsid w:val="00F86ED8"/>
    <w:rsid w:val="00F908D6"/>
    <w:rsid w:val="00F91B51"/>
    <w:rsid w:val="00F96344"/>
    <w:rsid w:val="00F96D52"/>
    <w:rsid w:val="00F97014"/>
    <w:rsid w:val="00FA0363"/>
    <w:rsid w:val="00FA1B2B"/>
    <w:rsid w:val="00FA2405"/>
    <w:rsid w:val="00FA27FB"/>
    <w:rsid w:val="00FA475B"/>
    <w:rsid w:val="00FA508A"/>
    <w:rsid w:val="00FA5553"/>
    <w:rsid w:val="00FA759E"/>
    <w:rsid w:val="00FA7B05"/>
    <w:rsid w:val="00FB157E"/>
    <w:rsid w:val="00FB2194"/>
    <w:rsid w:val="00FB252E"/>
    <w:rsid w:val="00FB4223"/>
    <w:rsid w:val="00FB5D52"/>
    <w:rsid w:val="00FC26BD"/>
    <w:rsid w:val="00FC5647"/>
    <w:rsid w:val="00FC6CEA"/>
    <w:rsid w:val="00FD0678"/>
    <w:rsid w:val="00FD079F"/>
    <w:rsid w:val="00FD26D9"/>
    <w:rsid w:val="00FD32FE"/>
    <w:rsid w:val="00FD40BA"/>
    <w:rsid w:val="00FD68B0"/>
    <w:rsid w:val="00FD7FE1"/>
    <w:rsid w:val="00FE1354"/>
    <w:rsid w:val="00FE2AD2"/>
    <w:rsid w:val="00FE2EA5"/>
    <w:rsid w:val="00FE5950"/>
    <w:rsid w:val="00FE637B"/>
    <w:rsid w:val="00FE7DD5"/>
    <w:rsid w:val="00FF2C57"/>
    <w:rsid w:val="00FF5F2A"/>
    <w:rsid w:val="00FF6370"/>
    <w:rsid w:val="00FF6E13"/>
    <w:rsid w:val="00FF7EB1"/>
    <w:rsid w:val="00FF7ED5"/>
    <w:rsid w:val="057AD8CC"/>
    <w:rsid w:val="1248DFB3"/>
    <w:rsid w:val="14A360C1"/>
    <w:rsid w:val="201F90FC"/>
    <w:rsid w:val="241F8AC6"/>
    <w:rsid w:val="26A4FBFF"/>
    <w:rsid w:val="2D1D6284"/>
    <w:rsid w:val="34B440F5"/>
    <w:rsid w:val="3E3B57A1"/>
    <w:rsid w:val="4640A1A0"/>
    <w:rsid w:val="4C15B68E"/>
    <w:rsid w:val="52B94BA2"/>
    <w:rsid w:val="565B8AC7"/>
    <w:rsid w:val="68EE189F"/>
    <w:rsid w:val="70E2E2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50EC2"/>
  <w15:chartTrackingRefBased/>
  <w15:docId w15:val="{986CADB6-7661-47CF-888D-508D437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9"/>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lsdException w:name="Intense Emphasis" w:semiHidden="1" w:uiPriority="49"/>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9113DF"/>
    <w:rPr>
      <w:rFonts w:asciiTheme="minorHAnsi" w:hAnsiTheme="minorHAnsi"/>
    </w:rPr>
  </w:style>
  <w:style w:type="paragraph" w:styleId="Heading1">
    <w:name w:val="heading 1"/>
    <w:basedOn w:val="Normal"/>
    <w:next w:val="BodyText"/>
    <w:link w:val="Heading1Char"/>
    <w:uiPriority w:val="1"/>
    <w:qFormat/>
    <w:rsid w:val="005946AA"/>
    <w:pPr>
      <w:keepNext/>
      <w:keepLines/>
      <w:numPr>
        <w:numId w:val="2"/>
      </w:numPr>
      <w:spacing w:before="480" w:after="120"/>
      <w:outlineLvl w:val="0"/>
    </w:pPr>
    <w:rPr>
      <w:rFonts w:eastAsiaTheme="majorEastAsia" w:cstheme="majorBidi"/>
      <w:b/>
      <w:sz w:val="28"/>
      <w:szCs w:val="32"/>
    </w:rPr>
  </w:style>
  <w:style w:type="paragraph" w:styleId="Heading2">
    <w:name w:val="heading 2"/>
    <w:basedOn w:val="Normal"/>
    <w:next w:val="BodyText"/>
    <w:link w:val="Heading2Char"/>
    <w:uiPriority w:val="1"/>
    <w:unhideWhenUsed/>
    <w:qFormat/>
    <w:rsid w:val="0021047D"/>
    <w:pPr>
      <w:keepNext/>
      <w:keepLines/>
      <w:numPr>
        <w:ilvl w:val="1"/>
        <w:numId w:val="2"/>
      </w:numPr>
      <w:spacing w:after="120"/>
      <w:outlineLvl w:val="1"/>
    </w:pPr>
    <w:rPr>
      <w:rFonts w:eastAsiaTheme="majorEastAsia" w:cstheme="majorBidi"/>
      <w:b/>
      <w:szCs w:val="26"/>
    </w:rPr>
  </w:style>
  <w:style w:type="paragraph" w:styleId="Heading3">
    <w:name w:val="heading 3"/>
    <w:basedOn w:val="Normal"/>
    <w:next w:val="BodyText"/>
    <w:link w:val="Heading3Char"/>
    <w:uiPriority w:val="1"/>
    <w:unhideWhenUsed/>
    <w:qFormat/>
    <w:rsid w:val="009C2126"/>
    <w:pPr>
      <w:keepNext/>
      <w:keepLines/>
      <w:numPr>
        <w:ilvl w:val="2"/>
        <w:numId w:val="2"/>
      </w:numPr>
      <w:spacing w:after="120"/>
      <w:ind w:left="864"/>
      <w:outlineLvl w:val="2"/>
    </w:pPr>
    <w:rPr>
      <w:rFonts w:eastAsiaTheme="majorEastAsia" w:cstheme="majorBidi"/>
      <w:b/>
    </w:rPr>
  </w:style>
  <w:style w:type="paragraph" w:styleId="Heading4">
    <w:name w:val="heading 4"/>
    <w:basedOn w:val="Normal"/>
    <w:next w:val="BodyText"/>
    <w:link w:val="Heading4Char"/>
    <w:uiPriority w:val="1"/>
    <w:unhideWhenUsed/>
    <w:qFormat/>
    <w:rsid w:val="0021047D"/>
    <w:pPr>
      <w:keepNext/>
      <w:keepLines/>
      <w:numPr>
        <w:ilvl w:val="3"/>
        <w:numId w:val="2"/>
      </w:numPr>
      <w:spacing w:after="120"/>
      <w:outlineLvl w:val="3"/>
    </w:pPr>
    <w:rPr>
      <w:rFonts w:eastAsiaTheme="majorEastAsia" w:cstheme="majorBidi"/>
      <w:b/>
      <w:iCs/>
    </w:rPr>
  </w:style>
  <w:style w:type="paragraph" w:styleId="Heading5">
    <w:name w:val="heading 5"/>
    <w:basedOn w:val="Normal"/>
    <w:next w:val="BodyText"/>
    <w:link w:val="Heading5Char"/>
    <w:uiPriority w:val="1"/>
    <w:unhideWhenUsed/>
    <w:qFormat/>
    <w:rsid w:val="003B1BC3"/>
    <w:pPr>
      <w:keepNext/>
      <w:keepLines/>
      <w:numPr>
        <w:ilvl w:val="4"/>
        <w:numId w:val="2"/>
      </w:numPr>
      <w:spacing w:after="120"/>
      <w:outlineLvl w:val="4"/>
    </w:pPr>
    <w:rPr>
      <w:rFonts w:eastAsiaTheme="majorEastAsia" w:cstheme="majorBidi"/>
      <w:b/>
    </w:rPr>
  </w:style>
  <w:style w:type="paragraph" w:styleId="Heading6">
    <w:name w:val="heading 6"/>
    <w:basedOn w:val="Normal"/>
    <w:next w:val="BodyText"/>
    <w:link w:val="Heading6Char"/>
    <w:uiPriority w:val="1"/>
    <w:semiHidden/>
    <w:qFormat/>
    <w:rsid w:val="000D7712"/>
    <w:pPr>
      <w:keepNext/>
      <w:keepLines/>
      <w:numPr>
        <w:ilvl w:val="5"/>
        <w:numId w:val="2"/>
      </w:numPr>
      <w:spacing w:before="480" w:after="120"/>
      <w:outlineLvl w:val="5"/>
    </w:pPr>
    <w:rPr>
      <w:rFonts w:eastAsiaTheme="majorEastAsia" w:cstheme="majorBidi"/>
      <w:b/>
    </w:rPr>
  </w:style>
  <w:style w:type="paragraph" w:styleId="Heading7">
    <w:name w:val="heading 7"/>
    <w:basedOn w:val="Normal"/>
    <w:next w:val="BodyText"/>
    <w:link w:val="Heading7Char"/>
    <w:uiPriority w:val="1"/>
    <w:semiHidden/>
    <w:qFormat/>
    <w:rsid w:val="00067BF7"/>
    <w:pPr>
      <w:keepNext/>
      <w:keepLines/>
      <w:numPr>
        <w:ilvl w:val="6"/>
        <w:numId w:val="2"/>
      </w:numPr>
      <w:spacing w:after="120"/>
      <w:outlineLvl w:val="6"/>
    </w:pPr>
    <w:rPr>
      <w:rFonts w:eastAsiaTheme="majorEastAsia" w:cstheme="majorBidi"/>
      <w:b/>
      <w:iCs/>
    </w:rPr>
  </w:style>
  <w:style w:type="paragraph" w:styleId="Heading8">
    <w:name w:val="heading 8"/>
    <w:basedOn w:val="Normal"/>
    <w:next w:val="BodyText"/>
    <w:link w:val="Heading8Char"/>
    <w:uiPriority w:val="1"/>
    <w:semiHidden/>
    <w:qFormat/>
    <w:rsid w:val="00E74164"/>
    <w:pPr>
      <w:keepNext/>
      <w:keepLines/>
      <w:numPr>
        <w:ilvl w:val="7"/>
        <w:numId w:val="2"/>
      </w:numPr>
      <w:spacing w:after="120"/>
      <w:outlineLvl w:val="7"/>
    </w:pPr>
    <w:rPr>
      <w:rFonts w:eastAsiaTheme="majorEastAsia" w:cstheme="majorBidi"/>
      <w:b/>
      <w:szCs w:val="21"/>
    </w:rPr>
  </w:style>
  <w:style w:type="paragraph" w:styleId="Heading9">
    <w:name w:val="heading 9"/>
    <w:basedOn w:val="Normal"/>
    <w:next w:val="BodyText"/>
    <w:link w:val="Heading9Char"/>
    <w:uiPriority w:val="1"/>
    <w:semiHidden/>
    <w:qFormat/>
    <w:rsid w:val="00E74164"/>
    <w:pPr>
      <w:keepNext/>
      <w:keepLines/>
      <w:numPr>
        <w:ilvl w:val="8"/>
        <w:numId w:val="2"/>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LISTBULLET">
    <w:name w:val="AFTER LIST BULLET"/>
    <w:basedOn w:val="Normal"/>
    <w:next w:val="BodyText"/>
    <w:uiPriority w:val="30"/>
    <w:semiHidden/>
    <w:qFormat/>
    <w:rsid w:val="008A6619"/>
    <w:pPr>
      <w:numPr>
        <w:numId w:val="1"/>
      </w:numPr>
      <w:tabs>
        <w:tab w:val="num" w:pos="360"/>
      </w:tabs>
      <w:spacing w:after="240"/>
    </w:pPr>
  </w:style>
  <w:style w:type="paragraph" w:styleId="ListBullet">
    <w:name w:val="List Bullet"/>
    <w:basedOn w:val="Normal"/>
    <w:uiPriority w:val="6"/>
    <w:qFormat/>
    <w:rsid w:val="00C72D8F"/>
    <w:pPr>
      <w:numPr>
        <w:ilvl w:val="1"/>
        <w:numId w:val="1"/>
      </w:numPr>
      <w:spacing w:after="160"/>
      <w:contextualSpacing/>
    </w:pPr>
  </w:style>
  <w:style w:type="paragraph" w:styleId="BodyText">
    <w:name w:val="Body Text"/>
    <w:basedOn w:val="Normal"/>
    <w:link w:val="BodyTextChar"/>
    <w:qFormat/>
    <w:rsid w:val="0081603E"/>
    <w:pPr>
      <w:spacing w:after="240"/>
    </w:pPr>
  </w:style>
  <w:style w:type="character" w:customStyle="1" w:styleId="BodyTextChar">
    <w:name w:val="Body Text Char"/>
    <w:basedOn w:val="DefaultParagraphFont"/>
    <w:link w:val="BodyText"/>
    <w:rsid w:val="00507C84"/>
  </w:style>
  <w:style w:type="paragraph" w:styleId="ListBullet2">
    <w:name w:val="List Bullet 2"/>
    <w:basedOn w:val="Normal"/>
    <w:uiPriority w:val="6"/>
    <w:semiHidden/>
    <w:rsid w:val="00C72D8F"/>
    <w:pPr>
      <w:numPr>
        <w:ilvl w:val="2"/>
        <w:numId w:val="1"/>
      </w:numPr>
      <w:spacing w:after="160"/>
      <w:contextualSpacing/>
    </w:pPr>
  </w:style>
  <w:style w:type="paragraph" w:styleId="ListBullet3">
    <w:name w:val="List Bullet 3"/>
    <w:basedOn w:val="Normal"/>
    <w:uiPriority w:val="6"/>
    <w:semiHidden/>
    <w:rsid w:val="00C72D8F"/>
    <w:pPr>
      <w:numPr>
        <w:ilvl w:val="3"/>
        <w:numId w:val="1"/>
      </w:numPr>
      <w:spacing w:after="160"/>
      <w:contextualSpacing/>
    </w:pPr>
  </w:style>
  <w:style w:type="character" w:customStyle="1" w:styleId="Heading1Char">
    <w:name w:val="Heading 1 Char"/>
    <w:basedOn w:val="DefaultParagraphFont"/>
    <w:link w:val="Heading1"/>
    <w:uiPriority w:val="1"/>
    <w:rsid w:val="005946AA"/>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1"/>
    <w:rsid w:val="009E5C92"/>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1"/>
    <w:rsid w:val="009E5C92"/>
    <w:rPr>
      <w:rFonts w:asciiTheme="minorHAnsi" w:eastAsiaTheme="majorEastAsia" w:hAnsiTheme="minorHAnsi" w:cstheme="majorBidi"/>
      <w:b/>
    </w:rPr>
  </w:style>
  <w:style w:type="character" w:customStyle="1" w:styleId="Heading4Char">
    <w:name w:val="Heading 4 Char"/>
    <w:basedOn w:val="DefaultParagraphFont"/>
    <w:link w:val="Heading4"/>
    <w:uiPriority w:val="1"/>
    <w:rsid w:val="00166E0C"/>
    <w:rPr>
      <w:rFonts w:asciiTheme="minorHAnsi" w:eastAsiaTheme="majorEastAsia" w:hAnsiTheme="minorHAnsi" w:cstheme="majorBidi"/>
      <w:b/>
      <w:iCs/>
    </w:rPr>
  </w:style>
  <w:style w:type="character" w:customStyle="1" w:styleId="Heading5Char">
    <w:name w:val="Heading 5 Char"/>
    <w:basedOn w:val="DefaultParagraphFont"/>
    <w:link w:val="Heading5"/>
    <w:uiPriority w:val="1"/>
    <w:rsid w:val="009E5C92"/>
    <w:rPr>
      <w:rFonts w:asciiTheme="minorHAnsi" w:eastAsiaTheme="majorEastAsia" w:hAnsiTheme="minorHAnsi" w:cstheme="majorBidi"/>
      <w:b/>
    </w:rPr>
  </w:style>
  <w:style w:type="character" w:customStyle="1" w:styleId="Heading6Char">
    <w:name w:val="Heading 6 Char"/>
    <w:basedOn w:val="DefaultParagraphFont"/>
    <w:link w:val="Heading6"/>
    <w:uiPriority w:val="1"/>
    <w:semiHidden/>
    <w:rsid w:val="000D7712"/>
    <w:rPr>
      <w:rFonts w:asciiTheme="minorHAnsi" w:eastAsiaTheme="majorEastAsia" w:hAnsiTheme="minorHAnsi" w:cstheme="majorBidi"/>
      <w:b/>
    </w:rPr>
  </w:style>
  <w:style w:type="character" w:customStyle="1" w:styleId="Heading7Char">
    <w:name w:val="Heading 7 Char"/>
    <w:basedOn w:val="DefaultParagraphFont"/>
    <w:link w:val="Heading7"/>
    <w:uiPriority w:val="1"/>
    <w:semiHidden/>
    <w:rsid w:val="00893FFC"/>
    <w:rPr>
      <w:rFonts w:asciiTheme="minorHAnsi" w:eastAsiaTheme="majorEastAsia" w:hAnsiTheme="minorHAnsi" w:cstheme="majorBidi"/>
      <w:b/>
      <w:iCs/>
    </w:rPr>
  </w:style>
  <w:style w:type="character" w:customStyle="1" w:styleId="Heading8Char">
    <w:name w:val="Heading 8 Char"/>
    <w:basedOn w:val="DefaultParagraphFont"/>
    <w:link w:val="Heading8"/>
    <w:uiPriority w:val="1"/>
    <w:semiHidden/>
    <w:rsid w:val="00893FFC"/>
    <w:rPr>
      <w:rFonts w:asciiTheme="minorHAnsi" w:eastAsiaTheme="majorEastAsia" w:hAnsiTheme="minorHAnsi" w:cstheme="majorBidi"/>
      <w:b/>
      <w:szCs w:val="21"/>
    </w:rPr>
  </w:style>
  <w:style w:type="character" w:customStyle="1" w:styleId="Heading9Char">
    <w:name w:val="Heading 9 Char"/>
    <w:basedOn w:val="DefaultParagraphFont"/>
    <w:link w:val="Heading9"/>
    <w:uiPriority w:val="1"/>
    <w:semiHidden/>
    <w:rsid w:val="00893FFC"/>
    <w:rPr>
      <w:rFonts w:asciiTheme="minorHAnsi" w:eastAsiaTheme="majorEastAsia" w:hAnsiTheme="minorHAnsi" w:cstheme="majorBidi"/>
      <w:b/>
      <w:iCs/>
      <w:color w:val="272727" w:themeColor="text1" w:themeTint="D8"/>
      <w:szCs w:val="21"/>
    </w:rPr>
  </w:style>
  <w:style w:type="paragraph" w:styleId="ListParagraph">
    <w:name w:val="List Paragraph"/>
    <w:basedOn w:val="Normal"/>
    <w:uiPriority w:val="34"/>
    <w:qFormat/>
    <w:rsid w:val="0081603E"/>
    <w:pPr>
      <w:ind w:left="720"/>
      <w:contextualSpacing/>
    </w:pPr>
  </w:style>
  <w:style w:type="paragraph" w:customStyle="1" w:styleId="AFTERBLOCKNUMBER">
    <w:name w:val="AFTER BLOCK NUMBER"/>
    <w:basedOn w:val="Normal"/>
    <w:next w:val="BodyText"/>
    <w:uiPriority w:val="30"/>
    <w:semiHidden/>
    <w:qFormat/>
    <w:rsid w:val="001A6FAF"/>
    <w:pPr>
      <w:numPr>
        <w:numId w:val="5"/>
      </w:numPr>
      <w:spacing w:after="240"/>
    </w:pPr>
  </w:style>
  <w:style w:type="paragraph" w:styleId="List">
    <w:name w:val="List"/>
    <w:aliases w:val="Block Number"/>
    <w:basedOn w:val="Normal"/>
    <w:uiPriority w:val="98"/>
    <w:semiHidden/>
    <w:rsid w:val="001A6FAF"/>
    <w:pPr>
      <w:spacing w:after="240"/>
    </w:pPr>
  </w:style>
  <w:style w:type="paragraph" w:styleId="List2">
    <w:name w:val="List 2"/>
    <w:aliases w:val="Block Number 2"/>
    <w:basedOn w:val="Normal"/>
    <w:uiPriority w:val="98"/>
    <w:semiHidden/>
    <w:rsid w:val="00635A73"/>
    <w:pPr>
      <w:spacing w:after="240"/>
      <w:contextualSpacing/>
    </w:pPr>
  </w:style>
  <w:style w:type="paragraph" w:styleId="List3">
    <w:name w:val="List 3"/>
    <w:aliases w:val="Block Number 3"/>
    <w:basedOn w:val="Normal"/>
    <w:uiPriority w:val="98"/>
    <w:semiHidden/>
    <w:rsid w:val="00635A73"/>
    <w:pPr>
      <w:spacing w:after="240"/>
      <w:contextualSpacing/>
    </w:pPr>
  </w:style>
  <w:style w:type="paragraph" w:customStyle="1" w:styleId="AFTERLISTNUMBER">
    <w:name w:val="AFTER LIST NUMBER"/>
    <w:basedOn w:val="Normal"/>
    <w:next w:val="BodyText"/>
    <w:uiPriority w:val="30"/>
    <w:semiHidden/>
    <w:qFormat/>
    <w:rsid w:val="005F7EF8"/>
    <w:pPr>
      <w:numPr>
        <w:numId w:val="3"/>
      </w:numPr>
      <w:spacing w:after="240"/>
    </w:pPr>
  </w:style>
  <w:style w:type="paragraph" w:styleId="ListNumber">
    <w:name w:val="List Number"/>
    <w:basedOn w:val="Normal"/>
    <w:uiPriority w:val="6"/>
    <w:qFormat/>
    <w:rsid w:val="00C72D8F"/>
    <w:pPr>
      <w:numPr>
        <w:ilvl w:val="1"/>
        <w:numId w:val="3"/>
      </w:numPr>
      <w:spacing w:after="160"/>
      <w:contextualSpacing/>
    </w:pPr>
  </w:style>
  <w:style w:type="paragraph" w:styleId="ListNumber2">
    <w:name w:val="List Number 2"/>
    <w:basedOn w:val="Normal"/>
    <w:uiPriority w:val="6"/>
    <w:semiHidden/>
    <w:rsid w:val="00C72D8F"/>
    <w:pPr>
      <w:numPr>
        <w:ilvl w:val="2"/>
        <w:numId w:val="3"/>
      </w:numPr>
      <w:spacing w:after="160"/>
      <w:contextualSpacing/>
    </w:pPr>
  </w:style>
  <w:style w:type="paragraph" w:styleId="ListNumber3">
    <w:name w:val="List Number 3"/>
    <w:basedOn w:val="Normal"/>
    <w:uiPriority w:val="6"/>
    <w:semiHidden/>
    <w:rsid w:val="00C72D8F"/>
    <w:pPr>
      <w:numPr>
        <w:ilvl w:val="3"/>
        <w:numId w:val="3"/>
      </w:numPr>
      <w:spacing w:after="160"/>
      <w:contextualSpacing/>
    </w:pPr>
  </w:style>
  <w:style w:type="paragraph" w:styleId="ListNumber4">
    <w:name w:val="List Number 4"/>
    <w:basedOn w:val="Normal"/>
    <w:uiPriority w:val="6"/>
    <w:semiHidden/>
    <w:rsid w:val="00C72D8F"/>
    <w:pPr>
      <w:numPr>
        <w:ilvl w:val="4"/>
        <w:numId w:val="3"/>
      </w:numPr>
      <w:spacing w:after="160"/>
      <w:contextualSpacing/>
    </w:pPr>
  </w:style>
  <w:style w:type="paragraph" w:styleId="ListNumber5">
    <w:name w:val="List Number 5"/>
    <w:basedOn w:val="Normal"/>
    <w:uiPriority w:val="6"/>
    <w:semiHidden/>
    <w:rsid w:val="00C72D8F"/>
    <w:pPr>
      <w:numPr>
        <w:ilvl w:val="5"/>
        <w:numId w:val="3"/>
      </w:numPr>
      <w:spacing w:after="160"/>
      <w:contextualSpacing/>
    </w:pPr>
  </w:style>
  <w:style w:type="paragraph" w:customStyle="1" w:styleId="ITALICSECTION">
    <w:name w:val="ITALIC SECTION"/>
    <w:basedOn w:val="Normal"/>
    <w:uiPriority w:val="3"/>
    <w:qFormat/>
    <w:rsid w:val="00026990"/>
    <w:pPr>
      <w:keepNext/>
      <w:keepLines/>
      <w:spacing w:after="120"/>
    </w:pPr>
    <w:rPr>
      <w:i/>
    </w:rPr>
  </w:style>
  <w:style w:type="paragraph" w:styleId="Header">
    <w:name w:val="header"/>
    <w:basedOn w:val="Normal"/>
    <w:link w:val="HeaderChar"/>
    <w:uiPriority w:val="99"/>
    <w:rsid w:val="00DD0CAE"/>
    <w:pPr>
      <w:tabs>
        <w:tab w:val="center" w:pos="4680"/>
        <w:tab w:val="right" w:pos="9360"/>
      </w:tabs>
      <w:spacing w:line="240" w:lineRule="auto"/>
    </w:pPr>
  </w:style>
  <w:style w:type="character" w:customStyle="1" w:styleId="HeaderChar">
    <w:name w:val="Header Char"/>
    <w:basedOn w:val="DefaultParagraphFont"/>
    <w:link w:val="Header"/>
    <w:uiPriority w:val="99"/>
    <w:rsid w:val="00A43A1F"/>
  </w:style>
  <w:style w:type="paragraph" w:styleId="Footer">
    <w:name w:val="footer"/>
    <w:basedOn w:val="Normal"/>
    <w:link w:val="FooterChar"/>
    <w:uiPriority w:val="99"/>
    <w:rsid w:val="00DD0CAE"/>
    <w:pPr>
      <w:tabs>
        <w:tab w:val="center" w:pos="4680"/>
        <w:tab w:val="right" w:pos="9360"/>
      </w:tabs>
      <w:spacing w:line="240" w:lineRule="auto"/>
    </w:pPr>
  </w:style>
  <w:style w:type="character" w:customStyle="1" w:styleId="FooterChar">
    <w:name w:val="Footer Char"/>
    <w:basedOn w:val="DefaultParagraphFont"/>
    <w:link w:val="Footer"/>
    <w:uiPriority w:val="99"/>
    <w:rsid w:val="00482E53"/>
  </w:style>
  <w:style w:type="paragraph" w:styleId="TOC1">
    <w:name w:val="toc 1"/>
    <w:basedOn w:val="Normal"/>
    <w:next w:val="Normal"/>
    <w:autoRedefine/>
    <w:uiPriority w:val="39"/>
    <w:rsid w:val="00650AC7"/>
    <w:pPr>
      <w:keepLines/>
      <w:tabs>
        <w:tab w:val="right" w:leader="dot" w:pos="9350"/>
      </w:tabs>
      <w:spacing w:after="60"/>
      <w:ind w:left="432" w:right="432" w:hanging="432"/>
    </w:pPr>
    <w:rPr>
      <w:b/>
    </w:rPr>
  </w:style>
  <w:style w:type="paragraph" w:styleId="TOC2">
    <w:name w:val="toc 2"/>
    <w:basedOn w:val="Normal"/>
    <w:next w:val="Normal"/>
    <w:autoRedefine/>
    <w:uiPriority w:val="39"/>
    <w:rsid w:val="00FA1B2B"/>
    <w:pPr>
      <w:spacing w:after="60"/>
      <w:ind w:left="1080" w:right="432" w:hanging="648"/>
      <w:contextualSpacing/>
    </w:pPr>
  </w:style>
  <w:style w:type="paragraph" w:styleId="TOC3">
    <w:name w:val="toc 3"/>
    <w:basedOn w:val="Normal"/>
    <w:next w:val="Normal"/>
    <w:autoRedefine/>
    <w:uiPriority w:val="39"/>
    <w:rsid w:val="0071223E"/>
    <w:pPr>
      <w:tabs>
        <w:tab w:val="left" w:pos="1944"/>
        <w:tab w:val="right" w:leader="dot" w:pos="9350"/>
      </w:tabs>
      <w:spacing w:after="60"/>
      <w:ind w:left="1944" w:right="432" w:hanging="864"/>
      <w:contextualSpacing/>
    </w:pPr>
  </w:style>
  <w:style w:type="character" w:styleId="Hyperlink">
    <w:name w:val="Hyperlink"/>
    <w:basedOn w:val="DefaultParagraphFont"/>
    <w:uiPriority w:val="99"/>
    <w:unhideWhenUsed/>
    <w:rsid w:val="00DD0CAE"/>
    <w:rPr>
      <w:color w:val="0563C1" w:themeColor="hyperlink"/>
      <w:u w:val="single"/>
    </w:rPr>
  </w:style>
  <w:style w:type="paragraph" w:styleId="TOCHeading">
    <w:name w:val="TOC Heading"/>
    <w:basedOn w:val="Heading1"/>
    <w:next w:val="Normal"/>
    <w:uiPriority w:val="39"/>
    <w:semiHidden/>
    <w:qFormat/>
    <w:rsid w:val="00D87819"/>
    <w:pPr>
      <w:numPr>
        <w:numId w:val="0"/>
      </w:numPr>
      <w:spacing w:after="240"/>
      <w:jc w:val="center"/>
      <w:outlineLvl w:val="9"/>
    </w:pPr>
    <w:rPr>
      <w:caps/>
    </w:rPr>
  </w:style>
  <w:style w:type="paragraph" w:customStyle="1" w:styleId="EXECSUMMARYHEADING">
    <w:name w:val="EXEC SUMMARY HEADING"/>
    <w:basedOn w:val="Normal"/>
    <w:next w:val="BodyText"/>
    <w:uiPriority w:val="29"/>
    <w:semiHidden/>
    <w:qFormat/>
    <w:rsid w:val="00972B57"/>
    <w:pPr>
      <w:keepNext/>
      <w:keepLines/>
      <w:pageBreakBefore/>
      <w:spacing w:before="240" w:after="240"/>
      <w:jc w:val="center"/>
      <w:outlineLvl w:val="0"/>
    </w:pPr>
    <w:rPr>
      <w:b/>
      <w:sz w:val="28"/>
    </w:rPr>
  </w:style>
  <w:style w:type="paragraph" w:customStyle="1" w:styleId="BOLDSECTION">
    <w:name w:val="BOLD SECTION"/>
    <w:basedOn w:val="Normal"/>
    <w:next w:val="BodyText"/>
    <w:uiPriority w:val="3"/>
    <w:qFormat/>
    <w:rsid w:val="0060459A"/>
    <w:pPr>
      <w:keepNext/>
      <w:keepLines/>
      <w:spacing w:after="120"/>
    </w:pPr>
    <w:rPr>
      <w:b/>
    </w:rPr>
  </w:style>
  <w:style w:type="paragraph" w:styleId="ListBullet4">
    <w:name w:val="List Bullet 4"/>
    <w:basedOn w:val="Normal"/>
    <w:uiPriority w:val="6"/>
    <w:semiHidden/>
    <w:rsid w:val="00C72D8F"/>
    <w:pPr>
      <w:numPr>
        <w:ilvl w:val="4"/>
        <w:numId w:val="1"/>
      </w:numPr>
      <w:spacing w:after="160"/>
      <w:contextualSpacing/>
    </w:pPr>
  </w:style>
  <w:style w:type="paragraph" w:styleId="ListBullet5">
    <w:name w:val="List Bullet 5"/>
    <w:basedOn w:val="Normal"/>
    <w:uiPriority w:val="6"/>
    <w:semiHidden/>
    <w:rsid w:val="00C72D8F"/>
    <w:pPr>
      <w:numPr>
        <w:ilvl w:val="5"/>
        <w:numId w:val="1"/>
      </w:numPr>
      <w:spacing w:after="160"/>
      <w:contextualSpacing/>
    </w:pPr>
  </w:style>
  <w:style w:type="paragraph" w:styleId="List4">
    <w:name w:val="List 4"/>
    <w:aliases w:val="Block Number 4"/>
    <w:basedOn w:val="Normal"/>
    <w:uiPriority w:val="98"/>
    <w:semiHidden/>
    <w:rsid w:val="009F1A3E"/>
    <w:pPr>
      <w:contextualSpacing/>
    </w:pPr>
  </w:style>
  <w:style w:type="paragraph" w:styleId="List5">
    <w:name w:val="List 5"/>
    <w:aliases w:val="Block Number 5"/>
    <w:basedOn w:val="Normal"/>
    <w:uiPriority w:val="98"/>
    <w:semiHidden/>
    <w:rsid w:val="009F1A3E"/>
    <w:pPr>
      <w:contextualSpacing/>
    </w:pPr>
  </w:style>
  <w:style w:type="paragraph" w:styleId="FootnoteText">
    <w:name w:val="footnote text"/>
    <w:basedOn w:val="Normal"/>
    <w:link w:val="FootnoteTextChar"/>
    <w:uiPriority w:val="99"/>
    <w:rsid w:val="007975D0"/>
    <w:pPr>
      <w:tabs>
        <w:tab w:val="left" w:pos="216"/>
      </w:tabs>
      <w:spacing w:line="240" w:lineRule="auto"/>
      <w:ind w:left="216" w:hanging="216"/>
    </w:pPr>
    <w:rPr>
      <w:sz w:val="20"/>
      <w:szCs w:val="20"/>
    </w:rPr>
  </w:style>
  <w:style w:type="character" w:customStyle="1" w:styleId="FootnoteTextChar">
    <w:name w:val="Footnote Text Char"/>
    <w:basedOn w:val="DefaultParagraphFont"/>
    <w:link w:val="FootnoteText"/>
    <w:uiPriority w:val="99"/>
    <w:rsid w:val="007975D0"/>
    <w:rPr>
      <w:sz w:val="20"/>
      <w:szCs w:val="20"/>
    </w:rPr>
  </w:style>
  <w:style w:type="character" w:styleId="FootnoteReference">
    <w:name w:val="footnote reference"/>
    <w:basedOn w:val="DefaultParagraphFont"/>
    <w:uiPriority w:val="99"/>
    <w:rsid w:val="00972B57"/>
    <w:rPr>
      <w:vertAlign w:val="superscript"/>
    </w:rPr>
  </w:style>
  <w:style w:type="paragraph" w:styleId="Caption">
    <w:name w:val="caption"/>
    <w:basedOn w:val="Normal"/>
    <w:next w:val="Normal"/>
    <w:uiPriority w:val="4"/>
    <w:qFormat/>
    <w:rsid w:val="00250C60"/>
    <w:pPr>
      <w:keepNext/>
      <w:keepLines/>
      <w:spacing w:line="240" w:lineRule="auto"/>
    </w:pPr>
    <w:rPr>
      <w:b/>
      <w:iCs/>
      <w:szCs w:val="18"/>
    </w:rPr>
  </w:style>
  <w:style w:type="paragraph" w:styleId="BalloonText">
    <w:name w:val="Balloon Text"/>
    <w:basedOn w:val="Normal"/>
    <w:link w:val="BalloonTextChar"/>
    <w:uiPriority w:val="99"/>
    <w:semiHidden/>
    <w:unhideWhenUsed/>
    <w:rsid w:val="00E741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64"/>
    <w:rPr>
      <w:rFonts w:ascii="Segoe UI" w:hAnsi="Segoe UI" w:cs="Segoe UI"/>
      <w:sz w:val="18"/>
      <w:szCs w:val="18"/>
    </w:rPr>
  </w:style>
  <w:style w:type="paragraph" w:customStyle="1" w:styleId="Appendix1">
    <w:name w:val="Appendix 1"/>
    <w:basedOn w:val="Normal"/>
    <w:next w:val="BodyText"/>
    <w:link w:val="Appendix1Char"/>
    <w:uiPriority w:val="2"/>
    <w:qFormat/>
    <w:rsid w:val="00425C03"/>
    <w:pPr>
      <w:keepNext/>
      <w:keepLines/>
      <w:pageBreakBefore/>
      <w:numPr>
        <w:numId w:val="4"/>
      </w:numPr>
      <w:spacing w:before="480" w:after="120"/>
      <w:outlineLvl w:val="0"/>
    </w:pPr>
    <w:rPr>
      <w:b/>
      <w:sz w:val="28"/>
    </w:rPr>
  </w:style>
  <w:style w:type="paragraph" w:customStyle="1" w:styleId="Appendix2">
    <w:name w:val="Appendix 2"/>
    <w:basedOn w:val="Normal"/>
    <w:next w:val="BodyText"/>
    <w:link w:val="Appendix2Char"/>
    <w:uiPriority w:val="2"/>
    <w:unhideWhenUsed/>
    <w:qFormat/>
    <w:rsid w:val="009405A9"/>
    <w:pPr>
      <w:keepNext/>
      <w:keepLines/>
      <w:numPr>
        <w:ilvl w:val="1"/>
        <w:numId w:val="4"/>
      </w:numPr>
      <w:spacing w:after="120"/>
      <w:outlineLvl w:val="1"/>
    </w:pPr>
    <w:rPr>
      <w:b/>
    </w:rPr>
  </w:style>
  <w:style w:type="character" w:customStyle="1" w:styleId="Appendix1Char">
    <w:name w:val="Appendix 1 Char"/>
    <w:basedOn w:val="DefaultParagraphFont"/>
    <w:link w:val="Appendix1"/>
    <w:uiPriority w:val="2"/>
    <w:rsid w:val="009E5C92"/>
    <w:rPr>
      <w:rFonts w:asciiTheme="minorHAnsi" w:hAnsiTheme="minorHAnsi"/>
      <w:b/>
      <w:sz w:val="28"/>
    </w:rPr>
  </w:style>
  <w:style w:type="paragraph" w:customStyle="1" w:styleId="Appendix3">
    <w:name w:val="Appendix 3"/>
    <w:basedOn w:val="Normal"/>
    <w:next w:val="BodyText"/>
    <w:link w:val="Appendix3Char"/>
    <w:uiPriority w:val="2"/>
    <w:unhideWhenUsed/>
    <w:qFormat/>
    <w:rsid w:val="009405A9"/>
    <w:pPr>
      <w:keepNext/>
      <w:keepLines/>
      <w:numPr>
        <w:ilvl w:val="2"/>
        <w:numId w:val="4"/>
      </w:numPr>
      <w:spacing w:after="120"/>
      <w:outlineLvl w:val="2"/>
    </w:pPr>
    <w:rPr>
      <w:b/>
    </w:rPr>
  </w:style>
  <w:style w:type="character" w:customStyle="1" w:styleId="Appendix2Char">
    <w:name w:val="Appendix 2 Char"/>
    <w:basedOn w:val="DefaultParagraphFont"/>
    <w:link w:val="Appendix2"/>
    <w:uiPriority w:val="2"/>
    <w:rsid w:val="009E5C92"/>
    <w:rPr>
      <w:rFonts w:asciiTheme="minorHAnsi" w:hAnsiTheme="minorHAnsi"/>
      <w:b/>
    </w:rPr>
  </w:style>
  <w:style w:type="paragraph" w:customStyle="1" w:styleId="Appendix4">
    <w:name w:val="Appendix 4"/>
    <w:basedOn w:val="Normal"/>
    <w:next w:val="BodyText"/>
    <w:link w:val="Appendix4Char"/>
    <w:uiPriority w:val="2"/>
    <w:semiHidden/>
    <w:qFormat/>
    <w:rsid w:val="009405A9"/>
    <w:pPr>
      <w:keepNext/>
      <w:keepLines/>
      <w:numPr>
        <w:ilvl w:val="3"/>
        <w:numId w:val="4"/>
      </w:numPr>
      <w:spacing w:after="120"/>
      <w:outlineLvl w:val="3"/>
    </w:pPr>
    <w:rPr>
      <w:b/>
    </w:rPr>
  </w:style>
  <w:style w:type="character" w:customStyle="1" w:styleId="Appendix3Char">
    <w:name w:val="Appendix 3 Char"/>
    <w:basedOn w:val="DefaultParagraphFont"/>
    <w:link w:val="Appendix3"/>
    <w:uiPriority w:val="2"/>
    <w:rsid w:val="009E5C92"/>
    <w:rPr>
      <w:rFonts w:asciiTheme="minorHAnsi" w:hAnsiTheme="minorHAnsi"/>
      <w:b/>
    </w:rPr>
  </w:style>
  <w:style w:type="paragraph" w:customStyle="1" w:styleId="Appendix5">
    <w:name w:val="Appendix 5"/>
    <w:basedOn w:val="Normal"/>
    <w:next w:val="BodyText"/>
    <w:link w:val="Appendix5Char"/>
    <w:uiPriority w:val="2"/>
    <w:semiHidden/>
    <w:qFormat/>
    <w:rsid w:val="009405A9"/>
    <w:pPr>
      <w:keepNext/>
      <w:keepLines/>
      <w:numPr>
        <w:ilvl w:val="4"/>
        <w:numId w:val="4"/>
      </w:numPr>
      <w:spacing w:after="120"/>
      <w:outlineLvl w:val="4"/>
    </w:pPr>
    <w:rPr>
      <w:b/>
    </w:rPr>
  </w:style>
  <w:style w:type="character" w:customStyle="1" w:styleId="Appendix4Char">
    <w:name w:val="Appendix 4 Char"/>
    <w:basedOn w:val="DefaultParagraphFont"/>
    <w:link w:val="Appendix4"/>
    <w:uiPriority w:val="2"/>
    <w:semiHidden/>
    <w:rsid w:val="00166E0C"/>
    <w:rPr>
      <w:rFonts w:asciiTheme="minorHAnsi" w:hAnsiTheme="minorHAnsi"/>
      <w:b/>
    </w:rPr>
  </w:style>
  <w:style w:type="character" w:customStyle="1" w:styleId="Appendix5Char">
    <w:name w:val="Appendix 5 Char"/>
    <w:basedOn w:val="DefaultParagraphFont"/>
    <w:link w:val="Appendix5"/>
    <w:uiPriority w:val="2"/>
    <w:semiHidden/>
    <w:rsid w:val="00166E0C"/>
    <w:rPr>
      <w:rFonts w:asciiTheme="minorHAnsi" w:hAnsiTheme="minorHAnsi"/>
      <w:b/>
    </w:rPr>
  </w:style>
  <w:style w:type="character" w:styleId="CommentReference">
    <w:name w:val="annotation reference"/>
    <w:uiPriority w:val="99"/>
    <w:semiHidden/>
    <w:unhideWhenUsed/>
    <w:rsid w:val="00107CE4"/>
    <w:rPr>
      <w:sz w:val="16"/>
      <w:szCs w:val="16"/>
    </w:rPr>
  </w:style>
  <w:style w:type="table" w:customStyle="1" w:styleId="DataTable">
    <w:name w:val="Data Table"/>
    <w:basedOn w:val="TableNormal"/>
    <w:uiPriority w:val="99"/>
    <w:rsid w:val="002F4427"/>
    <w:pPr>
      <w:keepNext/>
      <w:keepLines/>
      <w:spacing w:line="240" w:lineRule="auto"/>
      <w:contextualSpacing/>
      <w:jc w:val="right"/>
    </w:pPr>
    <w:tblPr>
      <w:tblStyleRowBandSize w:val="1"/>
      <w:tblStyleColBandSize w:val="1"/>
      <w:tblBorders>
        <w:top w:val="single" w:sz="18" w:space="0" w:color="auto"/>
        <w:bottom w:val="single" w:sz="18" w:space="0" w:color="auto"/>
      </w:tblBorders>
    </w:tblPr>
    <w:tcPr>
      <w:vAlign w:val="center"/>
    </w:tcPr>
    <w:tblStylePr w:type="firstRow">
      <w:rPr>
        <w:rFonts w:ascii="Times New Roman" w:hAnsi="Times New Roman"/>
        <w:b/>
        <w:sz w:val="24"/>
      </w:rPr>
      <w:tblPr/>
      <w:tcPr>
        <w:tcBorders>
          <w:top w:val="single" w:sz="18" w:space="0" w:color="auto"/>
          <w:left w:val="nil"/>
          <w:bottom w:val="single" w:sz="18" w:space="0" w:color="auto"/>
          <w:right w:val="nil"/>
          <w:insideH w:val="nil"/>
          <w:insideV w:val="nil"/>
          <w:tl2br w:val="nil"/>
          <w:tr2bl w:val="nil"/>
        </w:tcBorders>
      </w:tcPr>
    </w:tblStylePr>
    <w:tblStylePr w:type="lastRow">
      <w:tblPr/>
      <w:tcPr>
        <w:tcBorders>
          <w:top w:val="single" w:sz="4" w:space="0" w:color="auto"/>
          <w:left w:val="nil"/>
          <w:bottom w:val="single" w:sz="18" w:space="0" w:color="auto"/>
          <w:right w:val="nil"/>
          <w:insideH w:val="nil"/>
          <w:insideV w:val="nil"/>
          <w:tl2br w:val="nil"/>
          <w:tr2bl w:val="nil"/>
        </w:tcBorders>
      </w:tcPr>
    </w:tblStylePr>
    <w:tblStylePr w:type="firstCol">
      <w:pPr>
        <w:jc w:val="left"/>
      </w:pPr>
      <w:rPr>
        <w:rFonts w:ascii="Times New Roman" w:hAnsi="Times New Roman"/>
        <w:sz w:val="24"/>
      </w:rPr>
    </w:tblStylePr>
    <w:tblStylePr w:type="lastCol">
      <w:pPr>
        <w:wordWrap/>
        <w:spacing w:before="0" w:beforeLines="0" w:beforeAutospacing="0" w:after="0" w:afterLines="0" w:afterAutospacing="0" w:line="240" w:lineRule="auto"/>
        <w:ind w:left="0" w:right="0" w:firstLine="0" w:leftChars="0" w:rightChars="0" w:firstLineChars="0"/>
        <w:contextualSpacing/>
        <w:jc w:val="right"/>
        <w:outlineLvl w:val="9"/>
      </w:pPr>
      <w:rPr>
        <w:rFonts w:ascii="Times New Roman" w:hAnsi="Times New Roman"/>
        <w:sz w:val="24"/>
      </w:rPr>
      <w:tblPr/>
      <w:tcPr>
        <w:tcBorders>
          <w:top w:val="nil"/>
          <w:left w:val="single" w:sz="4" w:space="0" w:color="auto"/>
          <w:bottom w:val="nil"/>
          <w:right w:val="nil"/>
          <w:insideH w:val="nil"/>
          <w:insideV w:val="nil"/>
          <w:tl2br w:val="nil"/>
          <w:tr2bl w:val="nil"/>
        </w:tcBorders>
      </w:tcPr>
    </w:tblStylePr>
  </w:style>
  <w:style w:type="table" w:styleId="TableGrid">
    <w:name w:val="Table Grid"/>
    <w:basedOn w:val="TableNormal"/>
    <w:uiPriority w:val="39"/>
    <w:rsid w:val="00A61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9710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7103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NOTES">
    <w:name w:val="TABLE NOTES"/>
    <w:basedOn w:val="BodyText"/>
    <w:next w:val="BodyText"/>
    <w:link w:val="TABLENOTESChar"/>
    <w:uiPriority w:val="4"/>
    <w:qFormat/>
    <w:rsid w:val="00FD079F"/>
    <w:pPr>
      <w:keepNext/>
      <w:keepLines/>
      <w:contextualSpacing/>
    </w:pPr>
    <w:rPr>
      <w:sz w:val="18"/>
    </w:rPr>
  </w:style>
  <w:style w:type="table" w:styleId="PlainTable2">
    <w:name w:val="Plain Table 2"/>
    <w:basedOn w:val="TableNormal"/>
    <w:uiPriority w:val="42"/>
    <w:rsid w:val="005F522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NOTESChar">
    <w:name w:val="TABLE NOTES Char"/>
    <w:basedOn w:val="BodyTextChar"/>
    <w:link w:val="TABLENOTES"/>
    <w:uiPriority w:val="4"/>
    <w:rsid w:val="00893FFC"/>
    <w:rPr>
      <w:sz w:val="18"/>
    </w:rPr>
  </w:style>
  <w:style w:type="paragraph" w:styleId="BlockText">
    <w:name w:val="Block Text"/>
    <w:basedOn w:val="Normal"/>
    <w:uiPriority w:val="99"/>
    <w:semiHidden/>
    <w:unhideWhenUsed/>
    <w:rsid w:val="00250C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table" w:styleId="TableGrid1">
    <w:name w:val="Table Grid 1"/>
    <w:basedOn w:val="TableNormal"/>
    <w:uiPriority w:val="99"/>
    <w:semiHidden/>
    <w:unhideWhenUsed/>
    <w:rsid w:val="005E6D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foTable">
    <w:name w:val="Info Table"/>
    <w:basedOn w:val="TableNormal"/>
    <w:uiPriority w:val="99"/>
    <w:rsid w:val="00E640A3"/>
    <w:pPr>
      <w:keepNext/>
      <w:keepLines/>
      <w:spacing w:line="240" w:lineRule="auto"/>
      <w:jc w:val="center"/>
    </w:p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rPr>
        <w:tblHeader/>
      </w:trPr>
      <w:tcPr>
        <w:tcBorders>
          <w:top w:val="single" w:sz="18" w:space="0" w:color="auto"/>
          <w:left w:val="single" w:sz="18" w:space="0" w:color="auto"/>
          <w:bottom w:val="single" w:sz="18" w:space="0" w:color="auto"/>
          <w:right w:val="single" w:sz="18" w:space="0" w:color="auto"/>
          <w:insideH w:val="nil"/>
          <w:insideV w:val="single" w:sz="4" w:space="0" w:color="auto"/>
          <w:tl2br w:val="nil"/>
          <w:tr2bl w:val="nil"/>
        </w:tcBorders>
        <w:shd w:val="clear" w:color="auto" w:fill="BFBFBF" w:themeFill="background1" w:themeFillShade="BF"/>
      </w:tcPr>
    </w:tblStylePr>
  </w:style>
  <w:style w:type="paragraph" w:styleId="TableofFigures">
    <w:name w:val="table of figures"/>
    <w:basedOn w:val="Normal"/>
    <w:next w:val="Normal"/>
    <w:uiPriority w:val="99"/>
    <w:semiHidden/>
    <w:rsid w:val="00C9107C"/>
    <w:pPr>
      <w:keepLines/>
      <w:spacing w:after="60"/>
      <w:ind w:left="1008" w:right="432" w:hanging="1008"/>
    </w:pPr>
  </w:style>
  <w:style w:type="table" w:styleId="PlainTable5">
    <w:name w:val="Plain Table 5"/>
    <w:basedOn w:val="TableNormal"/>
    <w:uiPriority w:val="45"/>
    <w:rsid w:val="007E3E7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S">
    <w:name w:val="REFERENCES"/>
    <w:basedOn w:val="Normal"/>
    <w:uiPriority w:val="5"/>
    <w:qFormat/>
    <w:rsid w:val="00A84629"/>
    <w:pPr>
      <w:keepLines/>
      <w:spacing w:after="160"/>
      <w:ind w:left="720" w:hanging="720"/>
    </w:pPr>
  </w:style>
  <w:style w:type="character" w:styleId="PlaceholderText">
    <w:name w:val="Placeholder Text"/>
    <w:basedOn w:val="DefaultParagraphFont"/>
    <w:uiPriority w:val="99"/>
    <w:semiHidden/>
    <w:rsid w:val="00FD0678"/>
    <w:rPr>
      <w:color w:val="808080"/>
    </w:rPr>
  </w:style>
  <w:style w:type="paragraph" w:customStyle="1" w:styleId="BlockNumberList">
    <w:name w:val="Block Number  (List)"/>
    <w:basedOn w:val="Normal"/>
    <w:uiPriority w:val="9"/>
    <w:rsid w:val="0073014D"/>
    <w:pPr>
      <w:numPr>
        <w:ilvl w:val="1"/>
        <w:numId w:val="5"/>
      </w:numPr>
      <w:spacing w:after="240"/>
    </w:pPr>
  </w:style>
  <w:style w:type="paragraph" w:customStyle="1" w:styleId="BlockNumber2List2">
    <w:name w:val="Block Number 2  (List 2)"/>
    <w:basedOn w:val="Normal"/>
    <w:uiPriority w:val="9"/>
    <w:semiHidden/>
    <w:rsid w:val="00857E9C"/>
    <w:pPr>
      <w:numPr>
        <w:ilvl w:val="2"/>
        <w:numId w:val="5"/>
      </w:numPr>
      <w:spacing w:after="160"/>
      <w:contextualSpacing/>
    </w:pPr>
  </w:style>
  <w:style w:type="paragraph" w:customStyle="1" w:styleId="BlockNumber3List3">
    <w:name w:val="Block Number 3  (List 3)"/>
    <w:basedOn w:val="Normal"/>
    <w:uiPriority w:val="9"/>
    <w:semiHidden/>
    <w:rsid w:val="00857E9C"/>
    <w:pPr>
      <w:numPr>
        <w:ilvl w:val="3"/>
        <w:numId w:val="5"/>
      </w:numPr>
      <w:spacing w:after="160"/>
      <w:contextualSpacing/>
    </w:pPr>
  </w:style>
  <w:style w:type="paragraph" w:customStyle="1" w:styleId="BlockNumber4List4">
    <w:name w:val="Block Number 4  (List 4)"/>
    <w:basedOn w:val="Normal"/>
    <w:uiPriority w:val="9"/>
    <w:semiHidden/>
    <w:rsid w:val="00857E9C"/>
    <w:pPr>
      <w:numPr>
        <w:ilvl w:val="4"/>
        <w:numId w:val="5"/>
      </w:numPr>
      <w:spacing w:after="160"/>
      <w:contextualSpacing/>
    </w:pPr>
  </w:style>
  <w:style w:type="paragraph" w:customStyle="1" w:styleId="BlockNumber5List5">
    <w:name w:val="Block Number 5  (List 5)"/>
    <w:basedOn w:val="Normal"/>
    <w:uiPriority w:val="9"/>
    <w:semiHidden/>
    <w:rsid w:val="00857E9C"/>
    <w:pPr>
      <w:numPr>
        <w:ilvl w:val="5"/>
        <w:numId w:val="5"/>
      </w:numPr>
      <w:spacing w:after="160"/>
      <w:contextualSpacing/>
    </w:pPr>
  </w:style>
  <w:style w:type="paragraph" w:customStyle="1" w:styleId="AFTERBLOCKBULLET">
    <w:name w:val="AFTER BLOCK BULLET"/>
    <w:basedOn w:val="Normal"/>
    <w:next w:val="BodyText"/>
    <w:uiPriority w:val="30"/>
    <w:semiHidden/>
    <w:qFormat/>
    <w:rsid w:val="0061487B"/>
    <w:pPr>
      <w:numPr>
        <w:numId w:val="6"/>
      </w:numPr>
      <w:spacing w:after="240"/>
    </w:pPr>
  </w:style>
  <w:style w:type="paragraph" w:customStyle="1" w:styleId="BlockBullet">
    <w:name w:val="Block Bullet"/>
    <w:basedOn w:val="Normal"/>
    <w:uiPriority w:val="9"/>
    <w:qFormat/>
    <w:rsid w:val="00D67BFC"/>
    <w:pPr>
      <w:numPr>
        <w:ilvl w:val="1"/>
        <w:numId w:val="6"/>
      </w:numPr>
      <w:spacing w:after="240"/>
    </w:pPr>
  </w:style>
  <w:style w:type="paragraph" w:customStyle="1" w:styleId="BlockBullet2">
    <w:name w:val="Block Bullet 2"/>
    <w:basedOn w:val="Normal"/>
    <w:uiPriority w:val="9"/>
    <w:semiHidden/>
    <w:qFormat/>
    <w:rsid w:val="000E4F5B"/>
    <w:pPr>
      <w:numPr>
        <w:ilvl w:val="2"/>
        <w:numId w:val="6"/>
      </w:numPr>
      <w:spacing w:after="160"/>
      <w:contextualSpacing/>
    </w:pPr>
  </w:style>
  <w:style w:type="paragraph" w:customStyle="1" w:styleId="BlockBullet3">
    <w:name w:val="Block Bullet 3"/>
    <w:basedOn w:val="Normal"/>
    <w:uiPriority w:val="9"/>
    <w:semiHidden/>
    <w:qFormat/>
    <w:rsid w:val="000E4F5B"/>
    <w:pPr>
      <w:numPr>
        <w:ilvl w:val="3"/>
        <w:numId w:val="6"/>
      </w:numPr>
      <w:spacing w:after="160"/>
      <w:contextualSpacing/>
    </w:pPr>
  </w:style>
  <w:style w:type="paragraph" w:customStyle="1" w:styleId="BlockBullet4">
    <w:name w:val="Block Bullet 4"/>
    <w:basedOn w:val="Normal"/>
    <w:uiPriority w:val="9"/>
    <w:semiHidden/>
    <w:qFormat/>
    <w:rsid w:val="000E4F5B"/>
    <w:pPr>
      <w:numPr>
        <w:ilvl w:val="4"/>
        <w:numId w:val="6"/>
      </w:numPr>
      <w:spacing w:after="160"/>
      <w:contextualSpacing/>
    </w:pPr>
  </w:style>
  <w:style w:type="paragraph" w:customStyle="1" w:styleId="BlockBullet5">
    <w:name w:val="Block Bullet 5"/>
    <w:basedOn w:val="Normal"/>
    <w:uiPriority w:val="9"/>
    <w:semiHidden/>
    <w:qFormat/>
    <w:rsid w:val="000E4F5B"/>
    <w:pPr>
      <w:numPr>
        <w:ilvl w:val="5"/>
        <w:numId w:val="6"/>
      </w:numPr>
      <w:spacing w:after="160"/>
      <w:contextualSpacing/>
    </w:pPr>
  </w:style>
  <w:style w:type="paragraph" w:styleId="CommentText">
    <w:name w:val="annotation text"/>
    <w:basedOn w:val="Normal"/>
    <w:link w:val="CommentTextChar"/>
    <w:uiPriority w:val="99"/>
    <w:unhideWhenUsed/>
    <w:rsid w:val="001B11E4"/>
    <w:pPr>
      <w:spacing w:line="240" w:lineRule="auto"/>
    </w:pPr>
    <w:rPr>
      <w:sz w:val="20"/>
      <w:szCs w:val="20"/>
    </w:rPr>
  </w:style>
  <w:style w:type="character" w:customStyle="1" w:styleId="CommentTextChar">
    <w:name w:val="Comment Text Char"/>
    <w:basedOn w:val="DefaultParagraphFont"/>
    <w:link w:val="CommentText"/>
    <w:uiPriority w:val="99"/>
    <w:rsid w:val="001B11E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B11E4"/>
    <w:rPr>
      <w:b/>
      <w:bCs/>
    </w:rPr>
  </w:style>
  <w:style w:type="character" w:customStyle="1" w:styleId="CommentSubjectChar">
    <w:name w:val="Comment Subject Char"/>
    <w:basedOn w:val="CommentTextChar"/>
    <w:link w:val="CommentSubject"/>
    <w:uiPriority w:val="99"/>
    <w:semiHidden/>
    <w:rsid w:val="001B11E4"/>
    <w:rPr>
      <w:rFonts w:asciiTheme="minorHAnsi" w:hAnsiTheme="minorHAnsi"/>
      <w:b/>
      <w:bCs/>
      <w:sz w:val="20"/>
      <w:szCs w:val="20"/>
    </w:rPr>
  </w:style>
  <w:style w:type="character" w:styleId="FollowedHyperlink">
    <w:name w:val="FollowedHyperlink"/>
    <w:basedOn w:val="DefaultParagraphFont"/>
    <w:uiPriority w:val="99"/>
    <w:semiHidden/>
    <w:unhideWhenUsed/>
    <w:rsid w:val="0033638F"/>
    <w:rPr>
      <w:color w:val="954F72" w:themeColor="followedHyperlink"/>
      <w:u w:val="single"/>
    </w:rPr>
  </w:style>
  <w:style w:type="paragraph" w:styleId="Bibliography">
    <w:name w:val="Bibliography"/>
    <w:basedOn w:val="Normal"/>
    <w:next w:val="Normal"/>
    <w:uiPriority w:val="37"/>
    <w:unhideWhenUsed/>
    <w:rsid w:val="00A84629"/>
    <w:pPr>
      <w:spacing w:after="160"/>
    </w:pPr>
  </w:style>
  <w:style w:type="paragraph" w:styleId="NoSpacing">
    <w:name w:val="No Spacing"/>
    <w:link w:val="NoSpacingChar"/>
    <w:uiPriority w:val="1"/>
    <w:qFormat/>
    <w:rsid w:val="00DF1B89"/>
    <w:pPr>
      <w:spacing w:line="240" w:lineRule="auto"/>
    </w:pPr>
    <w:rPr>
      <w:rFonts w:ascii="Calibri" w:eastAsia="Times New Roman" w:hAnsi="Calibri" w:cs="Times New Roman"/>
      <w:sz w:val="22"/>
      <w:szCs w:val="22"/>
    </w:rPr>
  </w:style>
  <w:style w:type="character" w:customStyle="1" w:styleId="NoSpacingChar">
    <w:name w:val="No Spacing Char"/>
    <w:link w:val="NoSpacing"/>
    <w:uiPriority w:val="1"/>
    <w:rsid w:val="00DF1B89"/>
    <w:rPr>
      <w:rFonts w:ascii="Calibri" w:eastAsia="Times New Roman" w:hAnsi="Calibri" w:cs="Times New Roman"/>
      <w:sz w:val="22"/>
      <w:szCs w:val="22"/>
    </w:rPr>
  </w:style>
  <w:style w:type="character" w:customStyle="1" w:styleId="ui-provider">
    <w:name w:val="ui-provider"/>
    <w:basedOn w:val="DefaultParagraphFont"/>
    <w:rsid w:val="00BF4352"/>
  </w:style>
  <w:style w:type="table" w:customStyle="1" w:styleId="TableGrid4">
    <w:name w:val="Table Grid4"/>
    <w:basedOn w:val="TableNormal"/>
    <w:next w:val="TableGrid"/>
    <w:uiPriority w:val="59"/>
    <w:unhideWhenUsed/>
    <w:rsid w:val="002C22F1"/>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B66"/>
    <w:pPr>
      <w:spacing w:line="240" w:lineRule="auto"/>
    </w:pPr>
    <w:rPr>
      <w:rFonts w:asciiTheme="minorHAnsi" w:hAnsiTheme="minorHAnsi"/>
    </w:rPr>
  </w:style>
  <w:style w:type="character" w:customStyle="1" w:styleId="Strong1">
    <w:name w:val="Strong1"/>
    <w:basedOn w:val="DefaultParagraphFont"/>
    <w:rsid w:val="009A7D1A"/>
  </w:style>
  <w:style w:type="paragraph" w:customStyle="1" w:styleId="Default">
    <w:name w:val="Default"/>
    <w:rsid w:val="000F0DF9"/>
    <w:pPr>
      <w:autoSpaceDE w:val="0"/>
      <w:autoSpaceDN w:val="0"/>
      <w:adjustRightInd w:val="0"/>
      <w:spacing w:line="240" w:lineRule="auto"/>
    </w:pPr>
    <w:rPr>
      <w:rFonts w:ascii="Calibri" w:hAnsi="Calibri" w:cs="Calibri"/>
      <w:color w:val="000000"/>
    </w:rPr>
  </w:style>
  <w:style w:type="table" w:styleId="GridTable4Accent3">
    <w:name w:val="Grid Table 4 Accent 3"/>
    <w:basedOn w:val="TableNormal"/>
    <w:uiPriority w:val="49"/>
    <w:rsid w:val="00C07DCC"/>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ookTitle">
    <w:name w:val="Book Title"/>
    <w:basedOn w:val="DefaultParagraphFont"/>
    <w:uiPriority w:val="33"/>
    <w:qFormat/>
    <w:rsid w:val="00A168A2"/>
    <w:rPr>
      <w:b/>
      <w:bCs/>
      <w:i/>
      <w:iCs/>
      <w:spacing w:val="5"/>
    </w:rPr>
  </w:style>
  <w:style w:type="paragraph" w:customStyle="1" w:styleId="Instructions">
    <w:name w:val="Instructions"/>
    <w:qFormat/>
    <w:rsid w:val="000B023B"/>
    <w:pPr>
      <w:spacing w:before="120" w:after="120" w:line="240" w:lineRule="auto"/>
    </w:pPr>
    <w:rPr>
      <w:rFonts w:eastAsia="Times New Roman" w:asciiTheme="minorHAnsi" w:hAnsiTheme="minorHAnsi" w:cs="Calibri"/>
      <w:i/>
      <w:sz w:val="22"/>
      <w:szCs w:val="22"/>
    </w:rPr>
  </w:style>
  <w:style w:type="character" w:styleId="Emphasis">
    <w:name w:val="Emphasis"/>
    <w:basedOn w:val="DefaultParagraphFont"/>
    <w:uiPriority w:val="20"/>
    <w:qFormat/>
    <w:rsid w:val="00924795"/>
    <w:rPr>
      <w:i/>
      <w:iCs/>
    </w:rPr>
  </w:style>
  <w:style w:type="character" w:styleId="UnresolvedMention">
    <w:name w:val="Unresolved Mention"/>
    <w:basedOn w:val="DefaultParagraphFont"/>
    <w:uiPriority w:val="99"/>
    <w:semiHidden/>
    <w:unhideWhenUsed/>
    <w:rsid w:val="005A253C"/>
    <w:rPr>
      <w:color w:val="605E5C"/>
      <w:shd w:val="clear" w:color="auto" w:fill="E1DFDD"/>
    </w:rPr>
  </w:style>
  <w:style w:type="paragraph" w:styleId="EndnoteText">
    <w:name w:val="endnote text"/>
    <w:basedOn w:val="Normal"/>
    <w:link w:val="EndnoteTextChar"/>
    <w:uiPriority w:val="99"/>
    <w:semiHidden/>
    <w:unhideWhenUsed/>
    <w:rsid w:val="003D76CF"/>
    <w:pPr>
      <w:spacing w:line="240" w:lineRule="auto"/>
    </w:pPr>
    <w:rPr>
      <w:sz w:val="20"/>
      <w:szCs w:val="20"/>
    </w:rPr>
  </w:style>
  <w:style w:type="character" w:customStyle="1" w:styleId="EndnoteTextChar">
    <w:name w:val="Endnote Text Char"/>
    <w:basedOn w:val="DefaultParagraphFont"/>
    <w:link w:val="EndnoteText"/>
    <w:uiPriority w:val="99"/>
    <w:semiHidden/>
    <w:rsid w:val="003D76CF"/>
    <w:rPr>
      <w:rFonts w:asciiTheme="minorHAnsi" w:hAnsiTheme="minorHAnsi"/>
      <w:sz w:val="20"/>
      <w:szCs w:val="20"/>
    </w:rPr>
  </w:style>
  <w:style w:type="character" w:styleId="EndnoteReference">
    <w:name w:val="endnote reference"/>
    <w:basedOn w:val="DefaultParagraphFont"/>
    <w:uiPriority w:val="99"/>
    <w:semiHidden/>
    <w:unhideWhenUsed/>
    <w:rsid w:val="003D76CF"/>
    <w:rPr>
      <w:vertAlign w:val="superscript"/>
    </w:rPr>
  </w:style>
  <w:style w:type="character" w:customStyle="1" w:styleId="cf01">
    <w:name w:val="cf01"/>
    <w:basedOn w:val="DefaultParagraphFont"/>
    <w:rsid w:val="00C073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image" Target="media/image4.png" /><Relationship Id="rId19" Type="http://schemas.openxmlformats.org/officeDocument/2006/relationships/image" Target="media/image5.png" /><Relationship Id="rId2" Type="http://schemas.openxmlformats.org/officeDocument/2006/relationships/settings" Target="settings.xml" /><Relationship Id="rId20" Type="http://schemas.openxmlformats.org/officeDocument/2006/relationships/image" Target="media/image6.png" /><Relationship Id="rId21" Type="http://schemas.openxmlformats.org/officeDocument/2006/relationships/image" Target="media/image7.png" /><Relationship Id="rId22" Type="http://schemas.openxmlformats.org/officeDocument/2006/relationships/image" Target="media/image8.png"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image" Target="media/image11.png" /><Relationship Id="rId26" Type="http://schemas.openxmlformats.org/officeDocument/2006/relationships/image" Target="media/image12.png" /><Relationship Id="rId27" Type="http://schemas.openxmlformats.org/officeDocument/2006/relationships/image" Target="media/image13.png" /><Relationship Id="rId28" Type="http://schemas.openxmlformats.org/officeDocument/2006/relationships/image" Target="media/image14.png" /><Relationship Id="rId29" Type="http://schemas.openxmlformats.org/officeDocument/2006/relationships/image" Target="media/image15.png" /><Relationship Id="rId3" Type="http://schemas.openxmlformats.org/officeDocument/2006/relationships/webSettings" Target="webSettings.xml" /><Relationship Id="rId30" Type="http://schemas.openxmlformats.org/officeDocument/2006/relationships/image" Target="media/image16.png" /><Relationship Id="rId31" Type="http://schemas.openxmlformats.org/officeDocument/2006/relationships/image" Target="media/image17.png" /><Relationship Id="rId32" Type="http://schemas.openxmlformats.org/officeDocument/2006/relationships/image" Target="media/image18.png" /><Relationship Id="rId33" Type="http://schemas.openxmlformats.org/officeDocument/2006/relationships/image" Target="media/image19.png" /><Relationship Id="rId34" Type="http://schemas.openxmlformats.org/officeDocument/2006/relationships/image" Target="media/image20.png" /><Relationship Id="rId35" Type="http://schemas.openxmlformats.org/officeDocument/2006/relationships/image" Target="media/image21.png" /><Relationship Id="rId36" Type="http://schemas.openxmlformats.org/officeDocument/2006/relationships/image" Target="media/image22.png" /><Relationship Id="rId37" Type="http://schemas.openxmlformats.org/officeDocument/2006/relationships/image" Target="media/image23.png" /><Relationship Id="rId38" Type="http://schemas.openxmlformats.org/officeDocument/2006/relationships/image" Target="media/image24.emf" /><Relationship Id="rId39" Type="http://schemas.openxmlformats.org/officeDocument/2006/relationships/hyperlink" Target="https://www.census.gov/library/stories/2021/11/census-bureau-survey-explores-sexual-orientation-and-gender-identity.html" TargetMode="External" /><Relationship Id="rId4" Type="http://schemas.openxmlformats.org/officeDocument/2006/relationships/fontTable" Target="fontTable.xml" /><Relationship Id="rId40" Type="http://schemas.openxmlformats.org/officeDocument/2006/relationships/hyperlink" Target="https://bjs.ojp.gov/redirect-legacy/content/pub/pdf/ncvstd16.pdf" TargetMode="External" /><Relationship Id="rId41" Type="http://schemas.openxmlformats.org/officeDocument/2006/relationships/hyperlink" Target="https://www.cdc.gov/nchs/data/series/sr_02/sr02_169.pdf" TargetMode="External" /><Relationship Id="rId42" Type="http://schemas.openxmlformats.org/officeDocument/2006/relationships/hyperlink" Target="https://nces.ed.gov/FCSM/pdf/current_measures_20160812.pdf" TargetMode="External" /><Relationship Id="rId43" Type="http://schemas.openxmlformats.org/officeDocument/2006/relationships/hyperlink" Target="https://nces.ed.gov/FCSM/pdf/Evaluations_of_SOGI_Questions_20160923.pdf" TargetMode="External" /><Relationship Id="rId44" Type="http://schemas.openxmlformats.org/officeDocument/2006/relationships/hyperlink" Target="https://nces.ed.gov/FCSM/pdf/SOGI_Research_Agenda_Final_Report_20161020.pdf" TargetMode="External" /><Relationship Id="rId45" Type="http://schemas.openxmlformats.org/officeDocument/2006/relationships/hyperlink" Target="https://williamsinstitute.law.ucla.edu/wp-content/uploads/Trans-Pop-Update-Jun-2022.pdf" TargetMode="External" /><Relationship Id="rId46" Type="http://schemas.openxmlformats.org/officeDocument/2006/relationships/hyperlink" Target="https://doi.org/10.2307/2336325" TargetMode="External" /><Relationship Id="rId47" Type="http://schemas.openxmlformats.org/officeDocument/2006/relationships/hyperlink" Target="https://doi.org/10.2478/jos-2019-0037" TargetMode="External" /><Relationship Id="rId48" Type="http://schemas.openxmlformats.org/officeDocument/2006/relationships/hyperlink" Target="https://healthpolicy.ucla.edu/sites/default/files/2023-05/chis-2022-sogi-pretest-report-waves-i-and-ii.pdf" TargetMode="External" /><Relationship Id="rId49" Type="http://schemas.openxmlformats.org/officeDocument/2006/relationships/hyperlink" Target="https://wwwn.cdc.gov/QBank/Report.aspx?1219" TargetMode="External" /><Relationship Id="rId5" Type="http://schemas.openxmlformats.org/officeDocument/2006/relationships/customXml" Target="../customXml/item1.xml" /><Relationship Id="rId50" Type="http://schemas.openxmlformats.org/officeDocument/2006/relationships/hyperlink" Target="https://www.cdc.gov/nchs/video/dae-sexual-orientation-gender-identity/DAE-Sexual-Orientation-and-Gender-Identity-2022-Low-Res.mp4" TargetMode="External" /><Relationship Id="rId51" Type="http://schemas.openxmlformats.org/officeDocument/2006/relationships/hyperlink" Target="https://doi.org/10.17226/26424" TargetMode="External" /><Relationship Id="rId52" Type="http://schemas.openxmlformats.org/officeDocument/2006/relationships/hyperlink" Target="https://obamawhitehouse.archives.gov/sites/default/files/omb/inforeg/statpolicy/standards_stat_surveys.pdf" TargetMode="External" /><Relationship Id="rId53" Type="http://schemas.openxmlformats.org/officeDocument/2006/relationships/hyperlink" Target="https://www.whitehouse.gov/wp-content/uploads/2023/01/SOGI-Best-Practices.pdf" TargetMode="External" /><Relationship Id="rId54" Type="http://schemas.openxmlformats.org/officeDocument/2006/relationships/hyperlink" Target="https://paa.confex.com/paa/2017/mediafile/ExtendedAbstract/Paper13962/Ortman%20Bates%20Brown%20Sawyer%20PAA%202017.pdf" TargetMode="External" /><Relationship Id="rId55" Type="http://schemas.openxmlformats.org/officeDocument/2006/relationships/hyperlink" Target="https://doi.org/10.1214/aos/1176350273" TargetMode="External" /><Relationship Id="rId56" Type="http://schemas.openxmlformats.org/officeDocument/2006/relationships/hyperlink" Target="https://doi.org/10.2478/jos-2019-0035" TargetMode="External" /><Relationship Id="rId57" Type="http://schemas.openxmlformats.org/officeDocument/2006/relationships/hyperlink" Target="https://bjs.ojp.gov/library/publications/violent-victimization-sexual-orientation-and-gender-identity-2017-2020" TargetMode="External" /><Relationship Id="rId58" Type="http://schemas.openxmlformats.org/officeDocument/2006/relationships/hyperlink" Target="https://www2.census.gov/about/policies/quality/qualitystandards.pdf" TargetMode="External" /><Relationship Id="rId59" Type="http://schemas.openxmlformats.org/officeDocument/2006/relationships/hyperlink" Target="https://www.census.gov/programs-surveys/acs/methodology/design-and-methodology.html" TargetMode="External" /><Relationship Id="rId6" Type="http://schemas.openxmlformats.org/officeDocument/2006/relationships/customXml" Target="../customXml/item2.xml" /><Relationship Id="rId60" Type="http://schemas.openxmlformats.org/officeDocument/2006/relationships/hyperlink" Target="https://williamsinstitute.law.ucla.edu/publications/nonbinary-lgbtq-adults-us/" TargetMode="External" /><Relationship Id="rId61" Type="http://schemas.openxmlformats.org/officeDocument/2006/relationships/glossaryDocument" Target="glossary/document.xml" /><Relationship Id="rId62" Type="http://schemas.openxmlformats.org/officeDocument/2006/relationships/theme" Target="theme/theme1.xml" /><Relationship Id="rId63" Type="http://schemas.openxmlformats.org/officeDocument/2006/relationships/numbering" Target="numbering.xml" /><Relationship Id="rId64"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www12.statcan.gc.ca/census-recensement/2021/ref/98-500/014/98-500-x2021014-eng.cfm" TargetMode="External" /><Relationship Id="rId2" Type="http://schemas.openxmlformats.org/officeDocument/2006/relationships/hyperlink" Target="https://www.ons.gov.uk/census/census2021dictionary/variablesbytopic/sexualorientationandgenderidentityvariablescensus2021" TargetMode="External" /><Relationship Id="rId3" Type="http://schemas.openxmlformats.org/officeDocument/2006/relationships/hyperlink" Target="https://www.census.govt.nz/fact-sheets/rainbow-communities-fact-sheet/"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B15E30F00E143C7B1225606CF738D69"/>
        <w:category>
          <w:name w:val="General"/>
          <w:gallery w:val="placeholder"/>
        </w:category>
        <w:types>
          <w:type w:val="bbPlcHdr"/>
        </w:types>
        <w:behaviors>
          <w:behavior w:val="content"/>
        </w:behaviors>
        <w:guid w:val="{B18FCD36-868F-436B-9CB4-CAC6F2EFA030}"/>
      </w:docPartPr>
      <w:docPartBody>
        <w:p w:rsidR="001A6E4C" w:rsidP="00436AE2">
          <w:pPr>
            <w:pStyle w:val="FB15E30F00E143C7B1225606CF738D6910"/>
          </w:pPr>
          <w:r>
            <w:rPr>
              <w:rStyle w:val="PlaceholderText"/>
            </w:rPr>
            <w:t>&lt;Pick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2B"/>
    <w:rsid w:val="00011559"/>
    <w:rsid w:val="00012CC6"/>
    <w:rsid w:val="00040457"/>
    <w:rsid w:val="00062CFB"/>
    <w:rsid w:val="00077EDA"/>
    <w:rsid w:val="0008041A"/>
    <w:rsid w:val="000A3B68"/>
    <w:rsid w:val="000D3E76"/>
    <w:rsid w:val="000F1FAF"/>
    <w:rsid w:val="00104AED"/>
    <w:rsid w:val="00115B9F"/>
    <w:rsid w:val="001346BE"/>
    <w:rsid w:val="00163F74"/>
    <w:rsid w:val="00167A60"/>
    <w:rsid w:val="00170EC3"/>
    <w:rsid w:val="00186597"/>
    <w:rsid w:val="001A2DAF"/>
    <w:rsid w:val="001A6E4C"/>
    <w:rsid w:val="001B2C04"/>
    <w:rsid w:val="001B6763"/>
    <w:rsid w:val="001B6FB2"/>
    <w:rsid w:val="001B733F"/>
    <w:rsid w:val="001D4115"/>
    <w:rsid w:val="00212A38"/>
    <w:rsid w:val="00215698"/>
    <w:rsid w:val="00222297"/>
    <w:rsid w:val="0027160F"/>
    <w:rsid w:val="00281C69"/>
    <w:rsid w:val="00290790"/>
    <w:rsid w:val="002A07FE"/>
    <w:rsid w:val="002A4AD1"/>
    <w:rsid w:val="003804D9"/>
    <w:rsid w:val="0039309F"/>
    <w:rsid w:val="0039393B"/>
    <w:rsid w:val="00394BF5"/>
    <w:rsid w:val="003D712C"/>
    <w:rsid w:val="003E46C4"/>
    <w:rsid w:val="00422812"/>
    <w:rsid w:val="00436AE2"/>
    <w:rsid w:val="004435CA"/>
    <w:rsid w:val="00453C39"/>
    <w:rsid w:val="00461B46"/>
    <w:rsid w:val="004630DA"/>
    <w:rsid w:val="0048609E"/>
    <w:rsid w:val="00495A11"/>
    <w:rsid w:val="004C3081"/>
    <w:rsid w:val="004C4DC6"/>
    <w:rsid w:val="004E4F5C"/>
    <w:rsid w:val="004E5012"/>
    <w:rsid w:val="00514221"/>
    <w:rsid w:val="00540B7E"/>
    <w:rsid w:val="00576050"/>
    <w:rsid w:val="00585F0F"/>
    <w:rsid w:val="00587843"/>
    <w:rsid w:val="005D119C"/>
    <w:rsid w:val="005E4C0D"/>
    <w:rsid w:val="00606477"/>
    <w:rsid w:val="006240D8"/>
    <w:rsid w:val="006A0F89"/>
    <w:rsid w:val="006B38B7"/>
    <w:rsid w:val="006D2623"/>
    <w:rsid w:val="006F0399"/>
    <w:rsid w:val="00702376"/>
    <w:rsid w:val="007513BD"/>
    <w:rsid w:val="00762802"/>
    <w:rsid w:val="007B046F"/>
    <w:rsid w:val="007D7EF5"/>
    <w:rsid w:val="007F6BB3"/>
    <w:rsid w:val="008205A2"/>
    <w:rsid w:val="0086763A"/>
    <w:rsid w:val="008746E3"/>
    <w:rsid w:val="008D1D62"/>
    <w:rsid w:val="008E05FA"/>
    <w:rsid w:val="008F5116"/>
    <w:rsid w:val="00904BAA"/>
    <w:rsid w:val="00981501"/>
    <w:rsid w:val="009862C2"/>
    <w:rsid w:val="0098671B"/>
    <w:rsid w:val="009A7D95"/>
    <w:rsid w:val="009E495B"/>
    <w:rsid w:val="00A16484"/>
    <w:rsid w:val="00A64ED3"/>
    <w:rsid w:val="00A81221"/>
    <w:rsid w:val="00AF5C9A"/>
    <w:rsid w:val="00B035E5"/>
    <w:rsid w:val="00B4752B"/>
    <w:rsid w:val="00B75D42"/>
    <w:rsid w:val="00BA0D65"/>
    <w:rsid w:val="00BF77D8"/>
    <w:rsid w:val="00C22FE1"/>
    <w:rsid w:val="00C306FA"/>
    <w:rsid w:val="00C4642D"/>
    <w:rsid w:val="00CA093B"/>
    <w:rsid w:val="00CA44D8"/>
    <w:rsid w:val="00CA7640"/>
    <w:rsid w:val="00CA7D98"/>
    <w:rsid w:val="00CB047C"/>
    <w:rsid w:val="00CB147A"/>
    <w:rsid w:val="00CD2589"/>
    <w:rsid w:val="00CD2DB8"/>
    <w:rsid w:val="00CD62F0"/>
    <w:rsid w:val="00D10D93"/>
    <w:rsid w:val="00D22023"/>
    <w:rsid w:val="00D6202B"/>
    <w:rsid w:val="00DA55F9"/>
    <w:rsid w:val="00DB0DC3"/>
    <w:rsid w:val="00DB44B7"/>
    <w:rsid w:val="00E02FBE"/>
    <w:rsid w:val="00E16FCC"/>
    <w:rsid w:val="00E36FE0"/>
    <w:rsid w:val="00E44A0A"/>
    <w:rsid w:val="00E7097B"/>
    <w:rsid w:val="00E83195"/>
    <w:rsid w:val="00EB332D"/>
    <w:rsid w:val="00EB6222"/>
    <w:rsid w:val="00EE59E6"/>
    <w:rsid w:val="00F15CBE"/>
    <w:rsid w:val="00F1602B"/>
    <w:rsid w:val="00F40878"/>
    <w:rsid w:val="00F410B8"/>
    <w:rsid w:val="00F542AD"/>
    <w:rsid w:val="00F83B18"/>
    <w:rsid w:val="00F878E1"/>
    <w:rsid w:val="00FD5798"/>
    <w:rsid w:val="00FF0F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A2"/>
    <w:rPr>
      <w:color w:val="808080"/>
    </w:rPr>
  </w:style>
  <w:style w:type="paragraph" w:styleId="BodyText">
    <w:name w:val="Body Text"/>
    <w:basedOn w:val="Normal"/>
    <w:link w:val="BodyTextChar"/>
    <w:uiPriority w:val="99"/>
    <w:qFormat/>
    <w:rsid w:val="0098671B"/>
    <w:pPr>
      <w:spacing w:after="240"/>
    </w:pPr>
    <w:rPr>
      <w:rFonts w:ascii="Times New Roman" w:hAnsi="Times New Roman" w:eastAsiaTheme="minorHAnsi"/>
      <w:sz w:val="24"/>
      <w:szCs w:val="24"/>
    </w:rPr>
  </w:style>
  <w:style w:type="character" w:customStyle="1" w:styleId="BodyTextChar">
    <w:name w:val="Body Text Char"/>
    <w:basedOn w:val="DefaultParagraphFont"/>
    <w:link w:val="BodyText"/>
    <w:uiPriority w:val="99"/>
    <w:rsid w:val="0098671B"/>
    <w:rPr>
      <w:rFonts w:ascii="Times New Roman" w:hAnsi="Times New Roman" w:eastAsiaTheme="minorHAnsi"/>
      <w:sz w:val="24"/>
      <w:szCs w:val="24"/>
    </w:rPr>
  </w:style>
  <w:style w:type="paragraph" w:customStyle="1" w:styleId="FB15E30F00E143C7B1225606CF738D6910">
    <w:name w:val="FB15E30F00E143C7B1225606CF738D6910"/>
    <w:rsid w:val="00436AE2"/>
    <w:pPr>
      <w:spacing w:after="0"/>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15351F69B5741811AA0E760F58FE2" ma:contentTypeVersion="1" ma:contentTypeDescription="Create a new document." ma:contentTypeScope="" ma:versionID="5b032edefb9f7a3077a2a5c717b22dba">
  <xsd:schema xmlns:xsd="http://www.w3.org/2001/XMLSchema" xmlns:xs="http://www.w3.org/2001/XMLSchema" xmlns:p="http://schemas.microsoft.com/office/2006/metadata/properties" xmlns:ns2="9a918d7b-22aa-4761-b7fa-2ca2aac7aa25" targetNamespace="http://schemas.microsoft.com/office/2006/metadata/properties" ma:root="true" ma:fieldsID="d33e5ba0a53dacad4eea62939b685871" ns2:_="">
    <xsd:import namespace="9a918d7b-22aa-4761-b7fa-2ca2aac7aa2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b:Source>
    <b:Tag>Me00</b:Tag>
    <b:SourceType>JournalArticle</b:SourceType>
    <b:Guid>{E89DAADD-A800-4F38-8184-9F81D5FDC129}</b:Guid>
    <b:Title>Title of my Rouse </b:Title>
    <b:Year>2000</b:Year>
    <b:Pages>14-89</b:Pages>
    <b:Author>
      <b:Author>
        <b:NameList>
          <b:Person>
            <b:Last>Me</b:Last>
          </b:Person>
        </b:NameList>
      </b:Author>
    </b:Author>
    <b:JournalName>Name of the JOunal</b:JournalName>
    <b:RefOrder>2</b:RefOrder>
  </b:Source>
  <b:Source>
    <b:Tag>Sue09</b:Tag>
    <b:SourceType>Book</b:SourceType>
    <b:Guid>{0AA69FBD-CE6A-418F-B50A-95BE5353B46A}</b:Guid>
    <b:Title>I Need a Very Long TItle for my Book.  So I will make it extra long</b:Title>
    <b:Year>2009</b:Year>
    <b:Author>
      <b:Author>
        <b:NameList>
          <b:Person>
            <b:Last>Sues</b:Last>
            <b:First>Dr.</b:First>
          </b:Person>
        </b:NameList>
      </b:Author>
    </b:Author>
    <b:City>Hoboken, NJ</b:City>
    <b:Publisher>Wiley and Sons and MOre</b:Publisher>
    <b:RefOrder>3</b:RefOrder>
  </b:Source>
  <b:Source>
    <b:Tag>Bie11</b:Tag>
    <b:SourceType>Book</b:SourceType>
    <b:Guid>{D816BD02-139A-4A1D-A3C3-2865C83BEC39}</b:Guid>
    <b:Title>Latent Class Analysis of Survey Error</b:Title>
    <b:Year>2011</b:Year>
    <b:Author>
      <b:Author>
        <b:NameList>
          <b:Person>
            <b:Last>Biemer</b:Last>
            <b:First>Paul</b:First>
            <b:Middle>P.</b:Middle>
          </b:Person>
        </b:NameList>
      </b:Author>
    </b:Author>
    <b:City>Hoboken, New Jersey</b:City>
    <b:Publisher>John Wiley &amp; Sons, Inc.</b:Publisher>
    <b:RefOrder>1</b:RefOrder>
  </b:Source>
  <b:Source>
    <b:Tag>Fed6a</b:Tag>
    <b:SourceType>Report</b:SourceType>
    <b:Guid>{8B85AAE0-E399-4C3E-9264-83FCD8694FBB}</b:Guid>
    <b:Title>Current Measures of Sexual Orientation and Gender Identity in Federal Surveys</b:Title>
    <b:Year>2016a</b:Year>
    <b:Author>
      <b:Author>
        <b:NameList>
          <b:Person>
            <b:Last>Surveys</b:Last>
            <b:First>Federal</b:First>
            <b:Middle>Interagency Working Group on Improving Measurement of Sexual Orientation and Gender Identity in Federal</b:Middle>
          </b:Person>
        </b:NameList>
      </b:Author>
    </b:Author>
    <b:RefOrder>4</b:RefOrder>
  </b:Source>
</b:Sources>
</file>

<file path=customXml/itemProps1.xml><?xml version="1.0" encoding="utf-8"?>
<ds:datastoreItem xmlns:ds="http://schemas.openxmlformats.org/officeDocument/2006/customXml" ds:itemID="{E18C91B2-9E34-4551-B3D2-61EC6A52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A38BE-7373-43F0-ADF5-7918F86DFFDD}">
  <ds:schemaRefs>
    <ds:schemaRef ds:uri="9a918d7b-22aa-4761-b7fa-2ca2aac7aa25"/>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6BF8956-C034-46B1-BC7D-27B6A043BF6A}">
  <ds:schemaRefs>
    <ds:schemaRef ds:uri="http://schemas.microsoft.com/sharepoint/v3/contenttype/forms"/>
  </ds:schemaRefs>
</ds:datastoreItem>
</file>

<file path=customXml/itemProps4.xml><?xml version="1.0" encoding="utf-8"?>
<ds:datastoreItem xmlns:ds="http://schemas.openxmlformats.org/officeDocument/2006/customXml" ds:itemID="{D755D2E9-E2D2-482E-AE3F-6DC7B442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14474</Words>
  <Characters>82508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American Community Survey</dc:subject>
  <dc:creator>U.S. Census Bureau</dc:creator>
  <cp:lastModifiedBy>Elizabeth Poehler (CENSUS/ACSO FED)</cp:lastModifiedBy>
  <cp:revision>2</cp:revision>
  <cp:lastPrinted>2018-02-15T13:16:00Z</cp:lastPrinted>
  <dcterms:created xsi:type="dcterms:W3CDTF">2024-04-22T11:53:00Z</dcterms:created>
  <dcterms:modified xsi:type="dcterms:W3CDTF">2024-04-22T11:53:00Z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0x01010098C15351F69B5741811AA0E760F58FE2</vt:lpwstr>
  </property>
  <property fmtid="{D5CDD505-2E9C-101B-9397-08002B2CF9AE}" pid="3" name="Order">
    <vt:r8>5100</vt:r8>
  </property>
  <property fmtid="{D5CDD505-2E9C-101B-9397-08002B2CF9AE}" pid="4" name="TemplateUrl">
    <vt:lpwstr/>
  </property>
  <property fmtid="{D5CDD505-2E9C-101B-9397-08002B2CF9AE}" pid="5" name="xd_ProgID">
    <vt:lpwstr/>
  </property>
  <property fmtid="{D5CDD505-2E9C-101B-9397-08002B2CF9AE}" pid="6" name="_DocHome">
    <vt:i4>-1727895848</vt:i4>
  </property>
</Properties>
</file>