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052A" w:rsidRPr="007F4266" w:rsidP="0087052A" w14:paraId="5FEEB373" w14:textId="77777777">
      <w:pPr>
        <w:tabs>
          <w:tab w:val="center" w:pos="4680"/>
          <w:tab w:val="left" w:pos="5040"/>
          <w:tab w:val="left" w:pos="5400"/>
          <w:tab w:val="left" w:pos="6480"/>
          <w:tab w:val="left" w:pos="7200"/>
          <w:tab w:val="left" w:pos="7920"/>
          <w:tab w:val="left" w:pos="8640"/>
          <w:tab w:val="left" w:pos="9360"/>
        </w:tabs>
        <w:jc w:val="center"/>
      </w:pPr>
      <w:r w:rsidRPr="007F4266">
        <w:t xml:space="preserve">SUPPORTING STATEMENT </w:t>
      </w:r>
    </w:p>
    <w:p w:rsidR="0087052A" w:rsidRPr="007F4266" w:rsidP="00901959" w14:paraId="63671A38" w14:textId="7FD915FF">
      <w:pPr>
        <w:tabs>
          <w:tab w:val="center" w:pos="4680"/>
          <w:tab w:val="left" w:pos="5040"/>
          <w:tab w:val="left" w:pos="5400"/>
          <w:tab w:val="left" w:pos="6480"/>
          <w:tab w:val="left" w:pos="7200"/>
          <w:tab w:val="left" w:pos="7920"/>
          <w:tab w:val="left" w:pos="8640"/>
          <w:tab w:val="left" w:pos="9360"/>
        </w:tabs>
        <w:jc w:val="center"/>
      </w:pPr>
      <w:r w:rsidRPr="00FB7D34">
        <w:rPr>
          <w:color w:val="000000"/>
        </w:rPr>
        <w:t>BE-10 Benchmark Survey of U.S. Direct Investment Abroad</w:t>
      </w:r>
      <w:r>
        <w:t xml:space="preserve"> </w:t>
      </w:r>
    </w:p>
    <w:p w:rsidR="0087052A" w:rsidRPr="003B3860" w:rsidP="0087052A" w14:paraId="0565AF36" w14:textId="42E2E7F6">
      <w:pPr>
        <w:tabs>
          <w:tab w:val="left" w:pos="-1152"/>
          <w:tab w:val="left" w:pos="-72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rPr>
          <w:b/>
        </w:rPr>
      </w:pPr>
      <w:r>
        <w:t xml:space="preserve">OMB </w:t>
      </w:r>
      <w:r w:rsidRPr="000B1594">
        <w:t>Control Number</w:t>
      </w:r>
      <w:r w:rsidRPr="007F4266">
        <w:t xml:space="preserve"> 0608-00</w:t>
      </w:r>
      <w:r w:rsidR="00894706">
        <w:t>49</w:t>
      </w:r>
    </w:p>
    <w:p w:rsidR="00A51FB3" w:rsidRPr="00863E63" w:rsidP="00A51FB3" w14:paraId="28FF6E6E" w14:textId="77777777">
      <w:pPr>
        <w:tabs>
          <w:tab w:val="left" w:pos="-1152"/>
          <w:tab w:val="left" w:pos="-720"/>
          <w:tab w:val="left" w:pos="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p>
    <w:p w:rsidR="00954169" w:rsidRPr="00183281" w:rsidP="00954169" w14:paraId="6A3C3432" w14:textId="77777777">
      <w:r w:rsidRPr="00183281">
        <w:t>B.  C</w:t>
      </w:r>
      <w:r w:rsidR="00183281">
        <w:t>ollections</w:t>
      </w:r>
      <w:r w:rsidRPr="00183281">
        <w:t xml:space="preserve"> </w:t>
      </w:r>
      <w:r w:rsidR="00963162">
        <w:t>o</w:t>
      </w:r>
      <w:r w:rsidR="00183281">
        <w:t>f</w:t>
      </w:r>
      <w:r w:rsidRPr="00183281">
        <w:t xml:space="preserve"> I</w:t>
      </w:r>
      <w:r w:rsidR="00183281">
        <w:t>nformation</w:t>
      </w:r>
      <w:r w:rsidRPr="00183281">
        <w:t xml:space="preserve"> E</w:t>
      </w:r>
      <w:r w:rsidR="00183281">
        <w:t xml:space="preserve">mploying </w:t>
      </w:r>
      <w:r w:rsidRPr="00183281">
        <w:t>S</w:t>
      </w:r>
      <w:r w:rsidR="00183281">
        <w:t xml:space="preserve">tatistical </w:t>
      </w:r>
      <w:r w:rsidRPr="00183281">
        <w:t>M</w:t>
      </w:r>
      <w:r w:rsidR="00183281">
        <w:t>ethods</w:t>
      </w:r>
    </w:p>
    <w:p w:rsidR="00A51FB3" w:rsidRPr="00863E63" w:rsidP="00A51FB3" w14:paraId="22AB51E2"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u w:val="single"/>
        </w:rPr>
      </w:pPr>
    </w:p>
    <w:p w:rsidR="00954169" w:rsidRPr="00863E63" w:rsidP="00954169" w14:paraId="21711E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3E63">
        <w:rPr>
          <w:b/>
        </w:rPr>
        <w:t xml:space="preserve">1.  </w:t>
      </w:r>
      <w:r w:rsidRPr="00863E63">
        <w:rPr>
          <w:b/>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9F026C" w:rsidP="0031417C" w14:paraId="5FC407D2" w14:textId="77777777">
      <w:pPr>
        <w:autoSpaceDE w:val="0"/>
        <w:autoSpaceDN w:val="0"/>
        <w:adjustRightInd w:val="0"/>
        <w:rPr>
          <w:color w:val="000000"/>
        </w:rPr>
      </w:pPr>
    </w:p>
    <w:p w:rsidR="0031417C" w:rsidRPr="00FB7D34" w:rsidP="0031417C" w14:paraId="67DAB7C0" w14:textId="243589BB">
      <w:pPr>
        <w:autoSpaceDE w:val="0"/>
        <w:autoSpaceDN w:val="0"/>
        <w:adjustRightInd w:val="0"/>
        <w:rPr>
          <w:color w:val="000000"/>
        </w:rPr>
      </w:pPr>
      <w:r w:rsidRPr="00FB7D34">
        <w:rPr>
          <w:color w:val="000000"/>
        </w:rPr>
        <w:t xml:space="preserve">This survey is a benchmark survey, or census. </w:t>
      </w:r>
      <w:r>
        <w:rPr>
          <w:color w:val="000000"/>
        </w:rPr>
        <w:t xml:space="preserve">The potential respondent universe for the 2024 Benchmark Survey of U.S. Direct Investment Abroad, BE-10, </w:t>
      </w:r>
      <w:r w:rsidRPr="00F80A7E">
        <w:rPr>
          <w:color w:val="000000"/>
        </w:rPr>
        <w:t>consists of all U.S. persons (in the broad legal sense, including companies) that own 10 percent or more of the voting securities of an incorporated foreign business enterprise, or an equivalent interest in an unincorporated foreign business enterprise.</w:t>
      </w:r>
      <w:r>
        <w:rPr>
          <w:color w:val="000000"/>
        </w:rPr>
        <w:t xml:space="preserve"> Estimates of the number of reports expected to be filed below are based on the previous benchmark survey covering 2019 and the latest Annual Surveys of U.S. Direct Investment Abroad, BE-11. The expected response rates are based on the previous benchmark survey covering 2019.</w:t>
      </w:r>
      <w:r w:rsidR="009F026C">
        <w:rPr>
          <w:color w:val="000000"/>
        </w:rPr>
        <w:t xml:space="preserve"> These are presented in terms of assets, representing the proportion of total assets for each of the populations that are accounted for by reporting entities.</w:t>
      </w:r>
    </w:p>
    <w:p w:rsidR="0031417C" w:rsidRPr="00FB7D34" w:rsidP="0031417C" w14:paraId="4CC8308B" w14:textId="77777777">
      <w:pPr>
        <w:autoSpaceDE w:val="0"/>
        <w:autoSpaceDN w:val="0"/>
        <w:adjustRightInd w:val="0"/>
        <w:rPr>
          <w:color w:val="000000"/>
        </w:rPr>
      </w:pPr>
    </w:p>
    <w:p w:rsidR="00D4056A" w:rsidP="00D4056A" w14:paraId="0B7CE199" w14:textId="2E270210">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b/>
        </w:rPr>
      </w:pPr>
      <w:r>
        <w:rPr>
          <w:b/>
        </w:rPr>
        <w:t xml:space="preserve"> 2024 </w:t>
      </w:r>
      <w:r w:rsidRPr="00D4056A">
        <w:rPr>
          <w:b/>
        </w:rPr>
        <w:t>BE-</w:t>
      </w:r>
      <w:r w:rsidR="002E5F37">
        <w:rPr>
          <w:b/>
        </w:rPr>
        <w:t>1</w:t>
      </w:r>
      <w:r w:rsidR="0031417C">
        <w:rPr>
          <w:b/>
        </w:rPr>
        <w:t>0</w:t>
      </w:r>
      <w:r w:rsidRPr="00D4056A">
        <w:rPr>
          <w:b/>
        </w:rPr>
        <w:t xml:space="preserve"> Universe</w:t>
      </w:r>
      <w:r w:rsidR="0031417C">
        <w:rPr>
          <w:b/>
        </w:rPr>
        <w:t xml:space="preserve"> and Expected Response Rate</w:t>
      </w:r>
    </w:p>
    <w:tbl>
      <w:tblPr>
        <w:tblW w:w="6225" w:type="dxa"/>
        <w:tblInd w:w="93" w:type="dxa"/>
        <w:tblLook w:val="04A0"/>
      </w:tblPr>
      <w:tblGrid>
        <w:gridCol w:w="4245"/>
        <w:gridCol w:w="1980"/>
      </w:tblGrid>
      <w:tr w14:paraId="7ECEC75A" w14:textId="77777777" w:rsidTr="0031417C">
        <w:tblPrEx>
          <w:tblW w:w="6225" w:type="dxa"/>
          <w:tblInd w:w="93" w:type="dxa"/>
          <w:tblLook w:val="04A0"/>
        </w:tblPrEx>
        <w:trPr>
          <w:trHeight w:val="630"/>
        </w:trPr>
        <w:tc>
          <w:tcPr>
            <w:tcW w:w="42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1417C" w:rsidRPr="00FB7D34" w:rsidP="00E93CF4" w14:paraId="76AC7195" w14:textId="77777777">
            <w:pPr>
              <w:jc w:val="center"/>
              <w:rPr>
                <w:color w:val="000000"/>
              </w:rPr>
            </w:pPr>
            <w:r>
              <w:rPr>
                <w:color w:val="000000"/>
              </w:rPr>
              <w:t>Form Type</w:t>
            </w:r>
            <w:r w:rsidRPr="00FB7D34">
              <w:rPr>
                <w:color w:val="000000"/>
              </w:rPr>
              <w:t> </w:t>
            </w:r>
          </w:p>
        </w:tc>
        <w:tc>
          <w:tcPr>
            <w:tcW w:w="1980" w:type="dxa"/>
            <w:tcBorders>
              <w:top w:val="single" w:sz="4" w:space="0" w:color="auto"/>
              <w:left w:val="nil"/>
              <w:bottom w:val="single" w:sz="4" w:space="0" w:color="auto"/>
              <w:right w:val="single" w:sz="4" w:space="0" w:color="auto"/>
            </w:tcBorders>
            <w:shd w:val="clear" w:color="000000" w:fill="FFFFFF"/>
            <w:vAlign w:val="bottom"/>
            <w:hideMark/>
          </w:tcPr>
          <w:p w:rsidR="0031417C" w:rsidRPr="00FB7D34" w:rsidP="00E93CF4" w14:paraId="508E5139" w14:textId="77777777">
            <w:pPr>
              <w:jc w:val="center"/>
              <w:rPr>
                <w:color w:val="000000"/>
              </w:rPr>
            </w:pPr>
            <w:r w:rsidRPr="00FB7D34">
              <w:rPr>
                <w:color w:val="000000"/>
              </w:rPr>
              <w:t xml:space="preserve">Number of </w:t>
            </w:r>
            <w:r>
              <w:rPr>
                <w:color w:val="000000"/>
              </w:rPr>
              <w:t>reports</w:t>
            </w:r>
          </w:p>
        </w:tc>
      </w:tr>
      <w:tr w14:paraId="69CBD77F" w14:textId="77777777" w:rsidTr="00A17B55">
        <w:tblPrEx>
          <w:tblW w:w="6225" w:type="dxa"/>
          <w:tblInd w:w="93" w:type="dxa"/>
          <w:tblLook w:val="04A0"/>
        </w:tblPrEx>
        <w:trPr>
          <w:trHeight w:val="395"/>
        </w:trPr>
        <w:tc>
          <w:tcPr>
            <w:tcW w:w="4245" w:type="dxa"/>
            <w:tcBorders>
              <w:top w:val="nil"/>
              <w:left w:val="single" w:sz="4" w:space="0" w:color="auto"/>
              <w:bottom w:val="nil"/>
              <w:right w:val="nil"/>
            </w:tcBorders>
            <w:shd w:val="clear" w:color="000000" w:fill="FFFFFF"/>
            <w:noWrap/>
            <w:vAlign w:val="center"/>
            <w:hideMark/>
          </w:tcPr>
          <w:p w:rsidR="0031417C" w:rsidRPr="00FB7D34" w:rsidP="00E93CF4" w14:paraId="5DC2CB1E" w14:textId="77777777">
            <w:pPr>
              <w:rPr>
                <w:color w:val="000000"/>
              </w:rPr>
            </w:pPr>
          </w:p>
        </w:tc>
        <w:tc>
          <w:tcPr>
            <w:tcW w:w="1980" w:type="dxa"/>
            <w:tcBorders>
              <w:top w:val="nil"/>
              <w:left w:val="single" w:sz="4" w:space="0" w:color="auto"/>
              <w:bottom w:val="nil"/>
              <w:right w:val="single" w:sz="4" w:space="0" w:color="auto"/>
            </w:tcBorders>
            <w:shd w:val="clear" w:color="000000" w:fill="FFFFFF"/>
            <w:noWrap/>
            <w:vAlign w:val="bottom"/>
            <w:hideMark/>
          </w:tcPr>
          <w:p w:rsidR="0031417C" w:rsidRPr="00FB7D34" w:rsidP="00E93CF4" w14:paraId="14F72ED1" w14:textId="77777777">
            <w:pPr>
              <w:rPr>
                <w:color w:val="000000"/>
              </w:rPr>
            </w:pPr>
          </w:p>
        </w:tc>
      </w:tr>
      <w:tr w14:paraId="303ED8A7" w14:textId="77777777" w:rsidTr="0031417C">
        <w:tblPrEx>
          <w:tblW w:w="6225" w:type="dxa"/>
          <w:tblInd w:w="93" w:type="dxa"/>
          <w:tblLook w:val="04A0"/>
        </w:tblPrEx>
        <w:trPr>
          <w:trHeight w:val="315"/>
        </w:trPr>
        <w:tc>
          <w:tcPr>
            <w:tcW w:w="4245" w:type="dxa"/>
            <w:tcBorders>
              <w:top w:val="nil"/>
              <w:left w:val="single" w:sz="4" w:space="0" w:color="auto"/>
              <w:bottom w:val="nil"/>
              <w:right w:val="nil"/>
            </w:tcBorders>
            <w:shd w:val="clear" w:color="000000" w:fill="FFFFFF"/>
            <w:noWrap/>
            <w:vAlign w:val="center"/>
            <w:hideMark/>
          </w:tcPr>
          <w:p w:rsidR="0031417C" w:rsidRPr="00FB7D34" w:rsidP="00E93CF4" w14:paraId="4C171F98" w14:textId="77777777">
            <w:pPr>
              <w:rPr>
                <w:color w:val="000000"/>
              </w:rPr>
            </w:pPr>
            <w:r w:rsidRPr="00FB7D34">
              <w:rPr>
                <w:color w:val="000000"/>
              </w:rPr>
              <w:t>BE-10A (U.S. Reporters)</w:t>
            </w:r>
          </w:p>
        </w:tc>
        <w:tc>
          <w:tcPr>
            <w:tcW w:w="1980" w:type="dxa"/>
            <w:tcBorders>
              <w:top w:val="nil"/>
              <w:left w:val="single" w:sz="4" w:space="0" w:color="auto"/>
              <w:bottom w:val="nil"/>
              <w:right w:val="single" w:sz="4" w:space="0" w:color="auto"/>
            </w:tcBorders>
            <w:shd w:val="clear" w:color="000000" w:fill="FFFFFF"/>
            <w:noWrap/>
            <w:vAlign w:val="bottom"/>
            <w:hideMark/>
          </w:tcPr>
          <w:p w:rsidR="0031417C" w:rsidRPr="00A17B55" w:rsidP="00E93CF4" w14:paraId="2E23D8BF" w14:textId="26ED5ACE">
            <w:pPr>
              <w:jc w:val="right"/>
              <w:rPr>
                <w:color w:val="000000"/>
              </w:rPr>
            </w:pPr>
            <w:r w:rsidRPr="00A17B55">
              <w:rPr>
                <w:color w:val="000000"/>
              </w:rPr>
              <w:t xml:space="preserve">              </w:t>
            </w:r>
            <w:r w:rsidRPr="00A17B55" w:rsidR="005E761D">
              <w:rPr>
                <w:color w:val="000000"/>
              </w:rPr>
              <w:t>29</w:t>
            </w:r>
            <w:r w:rsidRPr="00A17B55">
              <w:rPr>
                <w:color w:val="000000"/>
              </w:rPr>
              <w:t xml:space="preserve">,000 </w:t>
            </w:r>
          </w:p>
        </w:tc>
      </w:tr>
      <w:tr w14:paraId="0CF483E5" w14:textId="77777777" w:rsidTr="0031417C">
        <w:tblPrEx>
          <w:tblW w:w="6225" w:type="dxa"/>
          <w:tblInd w:w="93" w:type="dxa"/>
          <w:tblLook w:val="04A0"/>
        </w:tblPrEx>
        <w:trPr>
          <w:trHeight w:val="315"/>
        </w:trPr>
        <w:tc>
          <w:tcPr>
            <w:tcW w:w="4245" w:type="dxa"/>
            <w:tcBorders>
              <w:top w:val="nil"/>
              <w:left w:val="single" w:sz="4" w:space="0" w:color="auto"/>
              <w:bottom w:val="nil"/>
              <w:right w:val="nil"/>
            </w:tcBorders>
            <w:shd w:val="clear" w:color="000000" w:fill="FFFFFF"/>
            <w:noWrap/>
            <w:vAlign w:val="center"/>
            <w:hideMark/>
          </w:tcPr>
          <w:p w:rsidR="0031417C" w:rsidRPr="00FB7D34" w:rsidP="00E93CF4" w14:paraId="760A3A28" w14:textId="77777777">
            <w:pPr>
              <w:rPr>
                <w:color w:val="000000"/>
              </w:rPr>
            </w:pPr>
            <w:r w:rsidRPr="00FB7D34">
              <w:rPr>
                <w:color w:val="000000"/>
              </w:rPr>
              <w:t>Foreign Affiliates:</w:t>
            </w:r>
          </w:p>
        </w:tc>
        <w:tc>
          <w:tcPr>
            <w:tcW w:w="1980" w:type="dxa"/>
            <w:tcBorders>
              <w:top w:val="nil"/>
              <w:left w:val="single" w:sz="4" w:space="0" w:color="auto"/>
              <w:bottom w:val="nil"/>
              <w:right w:val="single" w:sz="4" w:space="0" w:color="auto"/>
            </w:tcBorders>
            <w:shd w:val="clear" w:color="000000" w:fill="FFFFFF"/>
            <w:noWrap/>
            <w:vAlign w:val="bottom"/>
            <w:hideMark/>
          </w:tcPr>
          <w:p w:rsidR="0031417C" w:rsidRPr="00A17B55" w:rsidP="00E93CF4" w14:paraId="01661948" w14:textId="0ECC0CC9">
            <w:pPr>
              <w:jc w:val="right"/>
              <w:rPr>
                <w:color w:val="000000"/>
              </w:rPr>
            </w:pPr>
            <w:r w:rsidRPr="00A17B55">
              <w:rPr>
                <w:color w:val="000000"/>
              </w:rPr>
              <w:t xml:space="preserve">            </w:t>
            </w:r>
            <w:r w:rsidRPr="00A17B55" w:rsidR="00A17B55">
              <w:rPr>
                <w:color w:val="000000"/>
              </w:rPr>
              <w:t>64</w:t>
            </w:r>
            <w:r w:rsidRPr="00A17B55">
              <w:rPr>
                <w:color w:val="000000"/>
              </w:rPr>
              <w:t xml:space="preserve">,600 </w:t>
            </w:r>
          </w:p>
          <w:p w:rsidR="0031417C" w:rsidRPr="00A17B55" w:rsidP="00E93CF4" w14:paraId="44E47F4D" w14:textId="77777777">
            <w:pPr>
              <w:jc w:val="right"/>
              <w:rPr>
                <w:color w:val="000000"/>
              </w:rPr>
            </w:pPr>
          </w:p>
        </w:tc>
      </w:tr>
      <w:tr w14:paraId="652B6F06" w14:textId="77777777" w:rsidTr="0031417C">
        <w:tblPrEx>
          <w:tblW w:w="6225" w:type="dxa"/>
          <w:tblInd w:w="93" w:type="dxa"/>
          <w:tblLook w:val="04A0"/>
        </w:tblPrEx>
        <w:trPr>
          <w:trHeight w:val="315"/>
        </w:trPr>
        <w:tc>
          <w:tcPr>
            <w:tcW w:w="4245" w:type="dxa"/>
            <w:tcBorders>
              <w:top w:val="nil"/>
              <w:left w:val="single" w:sz="4" w:space="0" w:color="auto"/>
              <w:bottom w:val="nil"/>
              <w:right w:val="nil"/>
            </w:tcBorders>
            <w:shd w:val="clear" w:color="000000" w:fill="FFFFFF"/>
            <w:noWrap/>
            <w:vAlign w:val="center"/>
            <w:hideMark/>
          </w:tcPr>
          <w:p w:rsidR="0031417C" w:rsidRPr="00FB7D34" w:rsidP="00E93CF4" w14:paraId="1B749BBF" w14:textId="77777777">
            <w:pPr>
              <w:ind w:firstLine="240" w:firstLineChars="100"/>
              <w:rPr>
                <w:color w:val="000000"/>
              </w:rPr>
            </w:pPr>
            <w:r w:rsidRPr="00FB7D34">
              <w:rPr>
                <w:color w:val="000000"/>
              </w:rPr>
              <w:t>BE-10B</w:t>
            </w:r>
          </w:p>
        </w:tc>
        <w:tc>
          <w:tcPr>
            <w:tcW w:w="1980" w:type="dxa"/>
            <w:tcBorders>
              <w:top w:val="nil"/>
              <w:left w:val="single" w:sz="4" w:space="0" w:color="auto"/>
              <w:bottom w:val="nil"/>
              <w:right w:val="single" w:sz="4" w:space="0" w:color="auto"/>
            </w:tcBorders>
            <w:shd w:val="clear" w:color="000000" w:fill="FFFFFF"/>
            <w:noWrap/>
            <w:vAlign w:val="bottom"/>
            <w:hideMark/>
          </w:tcPr>
          <w:p w:rsidR="0031417C" w:rsidRPr="00A17B55" w:rsidP="00E93CF4" w14:paraId="6387A0A9" w14:textId="5D2C19E4">
            <w:pPr>
              <w:jc w:val="right"/>
              <w:rPr>
                <w:color w:val="000000"/>
              </w:rPr>
            </w:pPr>
            <w:r w:rsidRPr="00A17B55">
              <w:rPr>
                <w:color w:val="000000"/>
              </w:rPr>
              <w:t>20,1</w:t>
            </w:r>
            <w:r w:rsidRPr="00A17B55">
              <w:rPr>
                <w:color w:val="000000"/>
              </w:rPr>
              <w:t>00</w:t>
            </w:r>
          </w:p>
        </w:tc>
      </w:tr>
      <w:tr w14:paraId="6C41E938" w14:textId="77777777" w:rsidTr="0031417C">
        <w:tblPrEx>
          <w:tblW w:w="6225" w:type="dxa"/>
          <w:tblInd w:w="93" w:type="dxa"/>
          <w:tblLook w:val="04A0"/>
        </w:tblPrEx>
        <w:trPr>
          <w:trHeight w:val="315"/>
        </w:trPr>
        <w:tc>
          <w:tcPr>
            <w:tcW w:w="4245" w:type="dxa"/>
            <w:tcBorders>
              <w:top w:val="nil"/>
              <w:left w:val="single" w:sz="4" w:space="0" w:color="auto"/>
              <w:bottom w:val="nil"/>
              <w:right w:val="nil"/>
            </w:tcBorders>
            <w:shd w:val="clear" w:color="000000" w:fill="FFFFFF"/>
            <w:noWrap/>
            <w:vAlign w:val="center"/>
            <w:hideMark/>
          </w:tcPr>
          <w:p w:rsidR="0031417C" w:rsidRPr="00FB7D34" w:rsidP="00E93CF4" w14:paraId="4E4F2E24" w14:textId="77777777">
            <w:pPr>
              <w:ind w:firstLine="240" w:firstLineChars="100"/>
              <w:rPr>
                <w:color w:val="000000"/>
              </w:rPr>
            </w:pPr>
            <w:r w:rsidRPr="00FB7D34">
              <w:rPr>
                <w:color w:val="000000"/>
              </w:rPr>
              <w:t>BE-10C</w:t>
            </w:r>
          </w:p>
        </w:tc>
        <w:tc>
          <w:tcPr>
            <w:tcW w:w="1980" w:type="dxa"/>
            <w:tcBorders>
              <w:top w:val="nil"/>
              <w:left w:val="single" w:sz="4" w:space="0" w:color="auto"/>
              <w:bottom w:val="nil"/>
              <w:right w:val="single" w:sz="4" w:space="0" w:color="auto"/>
            </w:tcBorders>
            <w:shd w:val="clear" w:color="000000" w:fill="FFFFFF"/>
            <w:noWrap/>
            <w:vAlign w:val="bottom"/>
            <w:hideMark/>
          </w:tcPr>
          <w:p w:rsidR="0031417C" w:rsidRPr="00A17B55" w:rsidP="00E93CF4" w14:paraId="4EAA09AC" w14:textId="57EF7617">
            <w:pPr>
              <w:jc w:val="right"/>
              <w:rPr>
                <w:color w:val="000000"/>
              </w:rPr>
            </w:pPr>
            <w:r w:rsidRPr="00A17B55">
              <w:rPr>
                <w:color w:val="000000"/>
              </w:rPr>
              <w:t>15</w:t>
            </w:r>
            <w:r w:rsidRPr="00A17B55">
              <w:rPr>
                <w:color w:val="000000"/>
              </w:rPr>
              <w:t>,</w:t>
            </w:r>
            <w:r w:rsidRPr="00A17B55">
              <w:rPr>
                <w:color w:val="000000"/>
              </w:rPr>
              <w:t>5</w:t>
            </w:r>
            <w:r w:rsidRPr="00A17B55">
              <w:rPr>
                <w:color w:val="000000"/>
              </w:rPr>
              <w:t xml:space="preserve">00 </w:t>
            </w:r>
          </w:p>
        </w:tc>
      </w:tr>
      <w:tr w14:paraId="018E9883" w14:textId="77777777" w:rsidTr="0031417C">
        <w:tblPrEx>
          <w:tblW w:w="6225" w:type="dxa"/>
          <w:tblInd w:w="93" w:type="dxa"/>
          <w:tblLook w:val="04A0"/>
        </w:tblPrEx>
        <w:trPr>
          <w:trHeight w:val="315"/>
        </w:trPr>
        <w:tc>
          <w:tcPr>
            <w:tcW w:w="4245" w:type="dxa"/>
            <w:tcBorders>
              <w:top w:val="nil"/>
              <w:left w:val="single" w:sz="4" w:space="0" w:color="auto"/>
              <w:right w:val="nil"/>
            </w:tcBorders>
            <w:shd w:val="clear" w:color="000000" w:fill="FFFFFF"/>
            <w:noWrap/>
            <w:vAlign w:val="center"/>
            <w:hideMark/>
          </w:tcPr>
          <w:p w:rsidR="0031417C" w:rsidRPr="00FB7D34" w:rsidP="00E93CF4" w14:paraId="379CEC1A" w14:textId="77777777">
            <w:pPr>
              <w:ind w:firstLine="240" w:firstLineChars="100"/>
              <w:rPr>
                <w:color w:val="000000"/>
              </w:rPr>
            </w:pPr>
            <w:r w:rsidRPr="00FB7D34">
              <w:rPr>
                <w:color w:val="000000"/>
              </w:rPr>
              <w:t>BE-10D</w:t>
            </w:r>
          </w:p>
        </w:tc>
        <w:tc>
          <w:tcPr>
            <w:tcW w:w="1980" w:type="dxa"/>
            <w:tcBorders>
              <w:top w:val="nil"/>
              <w:left w:val="single" w:sz="4" w:space="0" w:color="auto"/>
              <w:right w:val="single" w:sz="4" w:space="0" w:color="auto"/>
            </w:tcBorders>
            <w:shd w:val="clear" w:color="000000" w:fill="FFFFFF"/>
            <w:noWrap/>
            <w:vAlign w:val="bottom"/>
            <w:hideMark/>
          </w:tcPr>
          <w:p w:rsidR="0031417C" w:rsidRPr="00A17B55" w:rsidP="00E93CF4" w14:paraId="1A1A6482" w14:textId="6EF0FAF6">
            <w:pPr>
              <w:jc w:val="right"/>
              <w:rPr>
                <w:color w:val="000000"/>
              </w:rPr>
            </w:pPr>
            <w:r w:rsidRPr="00A17B55">
              <w:rPr>
                <w:color w:val="000000"/>
              </w:rPr>
              <w:t>29</w:t>
            </w:r>
            <w:r w:rsidRPr="00A17B55">
              <w:rPr>
                <w:color w:val="000000"/>
              </w:rPr>
              <w:t xml:space="preserve">,000 </w:t>
            </w:r>
          </w:p>
        </w:tc>
      </w:tr>
      <w:tr w14:paraId="1E2D9F96" w14:textId="77777777" w:rsidTr="0031417C">
        <w:tblPrEx>
          <w:tblW w:w="6225" w:type="dxa"/>
          <w:tblInd w:w="93" w:type="dxa"/>
          <w:tblLook w:val="04A0"/>
        </w:tblPrEx>
        <w:trPr>
          <w:trHeight w:val="315"/>
        </w:trPr>
        <w:tc>
          <w:tcPr>
            <w:tcW w:w="4245" w:type="dxa"/>
            <w:tcBorders>
              <w:top w:val="nil"/>
              <w:left w:val="single" w:sz="4" w:space="0" w:color="auto"/>
              <w:bottom w:val="single" w:sz="4" w:space="0" w:color="auto"/>
              <w:right w:val="nil"/>
            </w:tcBorders>
            <w:shd w:val="clear" w:color="000000" w:fill="FFFFFF"/>
            <w:noWrap/>
            <w:vAlign w:val="center"/>
            <w:hideMark/>
          </w:tcPr>
          <w:p w:rsidR="0031417C" w:rsidRPr="005E761D" w:rsidP="00E93CF4" w14:paraId="567D7F6D" w14:textId="77777777">
            <w:pPr>
              <w:rPr>
                <w:color w:val="000000"/>
              </w:rPr>
            </w:pPr>
            <w:r w:rsidRPr="005E761D">
              <w:rPr>
                <w:color w:val="000000"/>
              </w:rPr>
              <w:t xml:space="preserve">     </w:t>
            </w:r>
          </w:p>
        </w:tc>
        <w:tc>
          <w:tcPr>
            <w:tcW w:w="1980" w:type="dxa"/>
            <w:tcBorders>
              <w:top w:val="nil"/>
              <w:left w:val="single" w:sz="4" w:space="0" w:color="auto"/>
              <w:bottom w:val="single" w:sz="4" w:space="0" w:color="auto"/>
              <w:right w:val="single" w:sz="4" w:space="0" w:color="auto"/>
            </w:tcBorders>
            <w:shd w:val="clear" w:color="000000" w:fill="FFFFFF"/>
            <w:noWrap/>
            <w:vAlign w:val="bottom"/>
            <w:hideMark/>
          </w:tcPr>
          <w:p w:rsidR="0031417C" w:rsidRPr="005E761D" w:rsidP="00E93CF4" w14:paraId="278E6E63" w14:textId="77777777">
            <w:pPr>
              <w:rPr>
                <w:color w:val="000000"/>
              </w:rPr>
            </w:pPr>
            <w:r w:rsidRPr="005E761D">
              <w:rPr>
                <w:color w:val="000000"/>
              </w:rPr>
              <w:t> </w:t>
            </w:r>
          </w:p>
        </w:tc>
      </w:tr>
      <w:tr w14:paraId="55A667CB" w14:textId="77777777" w:rsidTr="0031417C">
        <w:tblPrEx>
          <w:tblW w:w="6225" w:type="dxa"/>
          <w:tblInd w:w="93" w:type="dxa"/>
          <w:tblLook w:val="04A0"/>
        </w:tblPrEx>
        <w:trPr>
          <w:trHeight w:val="630"/>
        </w:trPr>
        <w:tc>
          <w:tcPr>
            <w:tcW w:w="4245" w:type="dxa"/>
            <w:tcBorders>
              <w:top w:val="single" w:sz="4" w:space="0" w:color="auto"/>
              <w:left w:val="single" w:sz="4" w:space="0" w:color="auto"/>
              <w:bottom w:val="nil"/>
              <w:right w:val="nil"/>
            </w:tcBorders>
            <w:shd w:val="clear" w:color="000000" w:fill="FFFFFF"/>
            <w:vAlign w:val="center"/>
            <w:hideMark/>
          </w:tcPr>
          <w:p w:rsidR="0031417C" w:rsidRPr="00FB7D34" w:rsidP="00E93CF4" w14:paraId="57500C3E" w14:textId="77777777">
            <w:pPr>
              <w:rPr>
                <w:color w:val="000000"/>
              </w:rPr>
            </w:pPr>
            <w:r>
              <w:rPr>
                <w:color w:val="000000"/>
              </w:rPr>
              <w:t>Expected r</w:t>
            </w:r>
            <w:r w:rsidRPr="00FB7D34">
              <w:rPr>
                <w:color w:val="000000"/>
              </w:rPr>
              <w:t>esponse rate in terms of assets:</w:t>
            </w:r>
          </w:p>
        </w:tc>
        <w:tc>
          <w:tcPr>
            <w:tcW w:w="1980" w:type="dxa"/>
            <w:tcBorders>
              <w:top w:val="single" w:sz="4" w:space="0" w:color="auto"/>
              <w:left w:val="single" w:sz="4" w:space="0" w:color="auto"/>
              <w:bottom w:val="nil"/>
              <w:right w:val="single" w:sz="4" w:space="0" w:color="auto"/>
            </w:tcBorders>
            <w:shd w:val="clear" w:color="000000" w:fill="FFFFFF"/>
            <w:noWrap/>
            <w:vAlign w:val="bottom"/>
            <w:hideMark/>
          </w:tcPr>
          <w:p w:rsidR="0031417C" w:rsidRPr="00145BCD" w:rsidP="00E93CF4" w14:paraId="34F27CB1" w14:textId="77777777">
            <w:pPr>
              <w:rPr>
                <w:color w:val="000000"/>
              </w:rPr>
            </w:pPr>
            <w:r w:rsidRPr="00145BCD">
              <w:rPr>
                <w:color w:val="000000"/>
              </w:rPr>
              <w:t> </w:t>
            </w:r>
          </w:p>
        </w:tc>
      </w:tr>
      <w:tr w14:paraId="194B4C9F" w14:textId="77777777" w:rsidTr="0031417C">
        <w:tblPrEx>
          <w:tblW w:w="6225" w:type="dxa"/>
          <w:tblInd w:w="93" w:type="dxa"/>
          <w:tblLook w:val="04A0"/>
        </w:tblPrEx>
        <w:trPr>
          <w:trHeight w:val="315"/>
        </w:trPr>
        <w:tc>
          <w:tcPr>
            <w:tcW w:w="4245" w:type="dxa"/>
            <w:tcBorders>
              <w:top w:val="nil"/>
              <w:left w:val="single" w:sz="4" w:space="0" w:color="auto"/>
              <w:bottom w:val="nil"/>
              <w:right w:val="nil"/>
            </w:tcBorders>
            <w:shd w:val="clear" w:color="000000" w:fill="FFFFFF"/>
            <w:noWrap/>
            <w:vAlign w:val="center"/>
            <w:hideMark/>
          </w:tcPr>
          <w:p w:rsidR="0031417C" w:rsidRPr="00FB7D34" w:rsidP="00E93CF4" w14:paraId="6BE8BA40" w14:textId="77777777">
            <w:pPr>
              <w:ind w:firstLine="240" w:firstLineChars="100"/>
              <w:rPr>
                <w:color w:val="000000"/>
              </w:rPr>
            </w:pPr>
            <w:r w:rsidRPr="00FB7D34">
              <w:rPr>
                <w:color w:val="000000"/>
              </w:rPr>
              <w:t>U.S. Reporters</w:t>
            </w:r>
          </w:p>
        </w:tc>
        <w:tc>
          <w:tcPr>
            <w:tcW w:w="1980" w:type="dxa"/>
            <w:tcBorders>
              <w:top w:val="nil"/>
              <w:left w:val="single" w:sz="4" w:space="0" w:color="auto"/>
              <w:bottom w:val="nil"/>
              <w:right w:val="single" w:sz="4" w:space="0" w:color="auto"/>
            </w:tcBorders>
            <w:shd w:val="clear" w:color="000000" w:fill="FFFFFF"/>
            <w:noWrap/>
            <w:vAlign w:val="bottom"/>
            <w:hideMark/>
          </w:tcPr>
          <w:p w:rsidR="0031417C" w:rsidRPr="00145BCD" w:rsidP="00E93CF4" w14:paraId="5A3E0B7B" w14:textId="2BFF1ADE">
            <w:pPr>
              <w:jc w:val="right"/>
              <w:rPr>
                <w:color w:val="000000"/>
              </w:rPr>
            </w:pPr>
            <w:r w:rsidRPr="00145BCD">
              <w:rPr>
                <w:color w:val="000000"/>
              </w:rPr>
              <w:t>9</w:t>
            </w:r>
            <w:r w:rsidR="00B26719">
              <w:rPr>
                <w:color w:val="000000"/>
              </w:rPr>
              <w:t>4</w:t>
            </w:r>
            <w:r w:rsidRPr="00145BCD">
              <w:rPr>
                <w:color w:val="000000"/>
              </w:rPr>
              <w:t>%</w:t>
            </w:r>
          </w:p>
        </w:tc>
      </w:tr>
      <w:tr w14:paraId="403D9F15" w14:textId="77777777" w:rsidTr="0031417C">
        <w:tblPrEx>
          <w:tblW w:w="6225" w:type="dxa"/>
          <w:tblInd w:w="93" w:type="dxa"/>
          <w:tblLook w:val="04A0"/>
        </w:tblPrEx>
        <w:trPr>
          <w:trHeight w:val="315"/>
        </w:trPr>
        <w:tc>
          <w:tcPr>
            <w:tcW w:w="4245" w:type="dxa"/>
            <w:tcBorders>
              <w:top w:val="nil"/>
              <w:left w:val="single" w:sz="4" w:space="0" w:color="auto"/>
              <w:bottom w:val="single" w:sz="4" w:space="0" w:color="auto"/>
              <w:right w:val="single" w:sz="4" w:space="0" w:color="auto"/>
            </w:tcBorders>
            <w:shd w:val="clear" w:color="000000" w:fill="FFFFFF"/>
            <w:noWrap/>
            <w:vAlign w:val="center"/>
            <w:hideMark/>
          </w:tcPr>
          <w:p w:rsidR="0031417C" w:rsidRPr="00FB7D34" w:rsidP="00E93CF4" w14:paraId="78C7288E" w14:textId="77777777">
            <w:pPr>
              <w:ind w:firstLine="240" w:firstLineChars="100"/>
              <w:rPr>
                <w:color w:val="000000"/>
              </w:rPr>
            </w:pPr>
            <w:r w:rsidRPr="00FB7D34">
              <w:rPr>
                <w:color w:val="000000"/>
              </w:rPr>
              <w:t>Foreign Affiliates</w:t>
            </w:r>
          </w:p>
        </w:tc>
        <w:tc>
          <w:tcPr>
            <w:tcW w:w="1980" w:type="dxa"/>
            <w:tcBorders>
              <w:top w:val="nil"/>
              <w:left w:val="nil"/>
              <w:bottom w:val="single" w:sz="4" w:space="0" w:color="auto"/>
              <w:right w:val="single" w:sz="4" w:space="0" w:color="auto"/>
            </w:tcBorders>
            <w:shd w:val="clear" w:color="000000" w:fill="FFFFFF"/>
            <w:noWrap/>
            <w:vAlign w:val="bottom"/>
            <w:hideMark/>
          </w:tcPr>
          <w:p w:rsidR="0031417C" w:rsidRPr="00145BCD" w:rsidP="00E93CF4" w14:paraId="0B6BC3A7" w14:textId="222C1BCF">
            <w:pPr>
              <w:jc w:val="right"/>
              <w:rPr>
                <w:color w:val="000000"/>
              </w:rPr>
            </w:pPr>
            <w:r w:rsidRPr="00145BCD">
              <w:rPr>
                <w:color w:val="000000"/>
              </w:rPr>
              <w:t>9</w:t>
            </w:r>
            <w:r w:rsidRPr="00145BCD" w:rsidR="00145BCD">
              <w:rPr>
                <w:color w:val="000000"/>
              </w:rPr>
              <w:t>1</w:t>
            </w:r>
            <w:r w:rsidRPr="00145BCD">
              <w:rPr>
                <w:color w:val="000000"/>
              </w:rPr>
              <w:t>%</w:t>
            </w:r>
          </w:p>
        </w:tc>
      </w:tr>
    </w:tbl>
    <w:p w:rsidR="009A1AAC" w:rsidP="00954169" w14:paraId="171F85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9A1AAC" w:rsidP="00954169" w14:paraId="1A1393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954169" w:rsidRPr="00863E63" w:rsidP="00954169" w14:paraId="36C87064" w14:textId="2F3ED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3E63">
        <w:rPr>
          <w:b/>
        </w:rPr>
        <w:t xml:space="preserve">2.  </w:t>
      </w:r>
      <w:r w:rsidRPr="00863E63">
        <w:rPr>
          <w:b/>
          <w:u w:val="single"/>
        </w:rPr>
        <w:t xml:space="preserve">Describe the procedures for the collection, including: the statistical methodology for stratification and sample selection; the estimation procedure; the degree of accuracy needed for the purpose described in the justification; any unusual problems requiring </w:t>
      </w:r>
      <w:r w:rsidRPr="00863E63">
        <w:rPr>
          <w:b/>
          <w:u w:val="single"/>
        </w:rPr>
        <w:t>specialized sampling procedures; and any use of periodic (less frequent than annual) data collection cycles to reduce burden.</w:t>
      </w:r>
    </w:p>
    <w:p w:rsidR="00155CA8" w:rsidP="00220337" w14:paraId="482EB99F" w14:textId="77777777">
      <w:pPr>
        <w:autoSpaceDE w:val="0"/>
        <w:autoSpaceDN w:val="0"/>
        <w:adjustRightInd w:val="0"/>
        <w:rPr>
          <w:color w:val="000000"/>
        </w:rPr>
      </w:pPr>
    </w:p>
    <w:p w:rsidR="00220337" w:rsidP="00220337" w14:paraId="44C16F91" w14:textId="152AAA31">
      <w:pPr>
        <w:autoSpaceDE w:val="0"/>
        <w:autoSpaceDN w:val="0"/>
        <w:adjustRightInd w:val="0"/>
        <w:rPr>
          <w:color w:val="000000"/>
        </w:rPr>
      </w:pPr>
      <w:r w:rsidRPr="00F465C1">
        <w:rPr>
          <w:color w:val="000000"/>
        </w:rPr>
        <w:t xml:space="preserve">In this information collection, more detailed data are collected for larger U.S. parents and foreign affiliates than for smaller ones. BEA estimates data for the smaller U.S. parents and foreign affiliates using statistical methods so that the level of detail </w:t>
      </w:r>
      <w:r w:rsidR="00D003D1">
        <w:rPr>
          <w:color w:val="000000"/>
        </w:rPr>
        <w:t xml:space="preserve">in </w:t>
      </w:r>
      <w:r w:rsidRPr="00F465C1">
        <w:rPr>
          <w:color w:val="000000"/>
        </w:rPr>
        <w:t>BEA records is the same regardless of firm size. In general, the estimation will be accomplished by prorating data reported on all forms, such as total assets, among subcomponents that are not reported by smaller filers, using the distribution observed in the next higher size class of U.S. reporters or foreign affiliates.</w:t>
      </w:r>
      <w:r>
        <w:rPr>
          <w:color w:val="000000"/>
        </w:rPr>
        <w:t xml:space="preserve"> </w:t>
      </w:r>
    </w:p>
    <w:p w:rsidR="00220337" w:rsidP="00220337" w14:paraId="34C92122" w14:textId="77777777">
      <w:pPr>
        <w:autoSpaceDE w:val="0"/>
        <w:autoSpaceDN w:val="0"/>
        <w:adjustRightInd w:val="0"/>
        <w:rPr>
          <w:color w:val="000000"/>
        </w:rPr>
      </w:pPr>
    </w:p>
    <w:p w:rsidR="00220337" w:rsidP="00220337" w14:paraId="3AA5C82B" w14:textId="17381782">
      <w:pPr>
        <w:autoSpaceDE w:val="0"/>
        <w:autoSpaceDN w:val="0"/>
        <w:adjustRightInd w:val="0"/>
        <w:rPr>
          <w:color w:val="000000"/>
        </w:rPr>
      </w:pPr>
      <w:r>
        <w:t xml:space="preserve">Estimates for missing reports or reports that do not pass data quality requirements </w:t>
      </w:r>
      <w:r w:rsidRPr="00F465C1">
        <w:t>will be derived by extrapolating forward their reported data from earlier years based on the year-to-year movement in the data reported by other companies.</w:t>
      </w:r>
      <w:r>
        <w:rPr>
          <w:color w:val="000000"/>
        </w:rPr>
        <w:t xml:space="preserve">  </w:t>
      </w:r>
      <w:r w:rsidRPr="00F465C1">
        <w:rPr>
          <w:color w:val="000000"/>
        </w:rPr>
        <w:t>For additional information on BEA’s estimation methods please see the</w:t>
      </w:r>
      <w:r>
        <w:rPr>
          <w:color w:val="000000"/>
        </w:rPr>
        <w:t xml:space="preserve"> </w:t>
      </w:r>
      <w:hyperlink r:id="rId5" w:history="1">
        <w:r>
          <w:rPr>
            <w:rStyle w:val="Hyperlink"/>
          </w:rPr>
          <w:t xml:space="preserve">U.S. International Economic Accounts: Concepts and Methods </w:t>
        </w:r>
      </w:hyperlink>
      <w:r>
        <w:t xml:space="preserve"> available on BEA’s web site.</w:t>
      </w:r>
      <w:r w:rsidRPr="00F465C1">
        <w:rPr>
          <w:color w:val="000000"/>
        </w:rPr>
        <w:t xml:space="preserve"> </w:t>
      </w:r>
      <w:r w:rsidRPr="00FB7D34">
        <w:rPr>
          <w:color w:val="000000"/>
        </w:rPr>
        <w:t xml:space="preserve"> </w:t>
      </w:r>
    </w:p>
    <w:p w:rsidR="00220337" w:rsidP="002E5F37" w14:paraId="3664232A" w14:textId="77777777">
      <w:pPr>
        <w:ind w:right="44"/>
      </w:pPr>
    </w:p>
    <w:p w:rsidR="00A51FB3" w:rsidRPr="00863E63" w:rsidP="00A51FB3" w14:paraId="6B2B2B39"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954169" w:rsidRPr="00863E63" w:rsidP="00954169" w14:paraId="722625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3E63">
        <w:rPr>
          <w:b/>
        </w:rPr>
        <w:t xml:space="preserve">3.   </w:t>
      </w:r>
      <w:r w:rsidRPr="00863E63">
        <w:rPr>
          <w:b/>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4B30C4" w:rsidP="00685277" w14:paraId="39E7A80C" w14:textId="77777777"/>
    <w:p w:rsidR="002E5F37" w:rsidRPr="004926F8" w:rsidP="00685277" w14:paraId="3C6D8977" w14:textId="0FAB6E14">
      <w:r w:rsidRPr="009A23D8">
        <w:t>Several steps will be tak</w:t>
      </w:r>
      <w:r>
        <w:t>en to maximize response rates.</w:t>
      </w:r>
      <w:r w:rsidR="00820567">
        <w:t xml:space="preserve"> </w:t>
      </w:r>
      <w:r w:rsidRPr="00FB7D34" w:rsidR="004926F8">
        <w:rPr>
          <w:color w:val="000000"/>
        </w:rPr>
        <w:t>First, BEA will provide respondents with advance notice of the survey by mailing them an announcement of the upcoming survey as soon as possible after the survey has been approved by OMB</w:t>
      </w:r>
      <w:r>
        <w:t>.</w:t>
      </w:r>
      <w:r w:rsidRPr="00A050DE">
        <w:t xml:space="preserve"> </w:t>
      </w:r>
      <w:r w:rsidRPr="006F01E9" w:rsidR="004926F8">
        <w:rPr>
          <w:color w:val="000000"/>
        </w:rPr>
        <w:t xml:space="preserve">Later, in March, </w:t>
      </w:r>
      <w:r w:rsidR="00D003D1">
        <w:rPr>
          <w:color w:val="000000"/>
        </w:rPr>
        <w:t>respondents</w:t>
      </w:r>
      <w:r w:rsidRPr="006F01E9" w:rsidR="004926F8">
        <w:rPr>
          <w:color w:val="000000"/>
        </w:rPr>
        <w:t xml:space="preserve"> will receive notification by mail of their obligation to file the BE-10 survey. </w:t>
      </w:r>
      <w:r w:rsidRPr="006F01E9" w:rsidR="007428B8">
        <w:t>BEA offers an email</w:t>
      </w:r>
      <w:r w:rsidR="007428B8">
        <w:t xml:space="preserve"> subscription service for the BE-1</w:t>
      </w:r>
      <w:r w:rsidR="004926F8">
        <w:t>0</w:t>
      </w:r>
      <w:r w:rsidR="007428B8">
        <w:t xml:space="preserve"> survey to alert subscribers that eFile is open for the reference period. In addition, subscribers also receive a reminder email one week prior to the survey due date. </w:t>
      </w:r>
      <w:r>
        <w:t xml:space="preserve">BEA encourages respondents to file electronically but will also post PDF forms online that can be downloaded and filed by mail </w:t>
      </w:r>
      <w:r w:rsidRPr="004926F8">
        <w:t xml:space="preserve">or fax. Any person specifically contacted by BEA must respond by filing either a completed survey or a Claim for </w:t>
      </w:r>
      <w:r w:rsidRPr="004926F8" w:rsidR="004926F8">
        <w:t>Not Filing</w:t>
      </w:r>
      <w:r w:rsidRPr="004926F8">
        <w:t>.</w:t>
      </w:r>
      <w:r w:rsidRPr="004926F8" w:rsidR="00FC7155">
        <w:t xml:space="preserve"> BEA has dedicated staff available to answer respondent questions via email or phone.</w:t>
      </w:r>
      <w:r w:rsidRPr="004926F8">
        <w:t xml:space="preserve"> Non</w:t>
      </w:r>
      <w:r w:rsidRPr="004926F8" w:rsidR="00C44F27">
        <w:t>-</w:t>
      </w:r>
      <w:r w:rsidRPr="004926F8">
        <w:t>respondents will be sent follow-up notices and</w:t>
      </w:r>
      <w:r w:rsidRPr="004926F8" w:rsidR="00FC7155">
        <w:t xml:space="preserve"> contacted by survey staff to solicit a response; and</w:t>
      </w:r>
      <w:r w:rsidRPr="004926F8">
        <w:t xml:space="preserve"> in the event of continued nonresponse, will be referred to the Office of the General Counsel for further action</w:t>
      </w:r>
      <w:r w:rsidRPr="004926F8">
        <w:rPr>
          <w:color w:val="000000"/>
        </w:rPr>
        <w:t>, including possible referral to the Justice Department.</w:t>
      </w:r>
    </w:p>
    <w:p w:rsidR="009D076F" w:rsidRPr="004926F8" w:rsidP="009D076F" w14:paraId="513F6AC7"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BB717E" w:rsidRPr="004926F8" w:rsidP="00BB717E" w14:paraId="08F03840" w14:textId="77777777">
      <w:pPr>
        <w:autoSpaceDE w:val="0"/>
        <w:autoSpaceDN w:val="0"/>
        <w:adjustRightInd w:val="0"/>
        <w:rPr>
          <w:color w:val="000000"/>
        </w:rPr>
      </w:pPr>
      <w:r w:rsidRPr="004926F8">
        <w:rPr>
          <w:color w:val="000000"/>
        </w:rPr>
        <w:t xml:space="preserve">The response rates described in B.1., together with the estimation procedures described in B.2., provide information of sufficient accuracy and reliability for the intended purpose. </w:t>
      </w:r>
    </w:p>
    <w:p w:rsidR="009D076F" w:rsidRPr="004926F8" w:rsidP="00A51FB3" w14:paraId="02AAAE92"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954169" w:rsidRPr="004926F8" w:rsidP="00954169" w14:paraId="68F7B6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926F8">
        <w:rPr>
          <w:b/>
        </w:rPr>
        <w:t xml:space="preserve">4.  </w:t>
      </w:r>
      <w:r w:rsidRPr="004926F8">
        <w:rPr>
          <w:b/>
          <w:u w:val="single"/>
        </w:rPr>
        <w:t>Describe any tests of procedures or methods to be undertaken. Tests are encouraged as effective means to refine collections, but if ten or more test respondents are involved OMB must give prior approval.</w:t>
      </w:r>
    </w:p>
    <w:p w:rsidR="004B30C4" w:rsidP="00A51FB3" w14:paraId="2494BC5E"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color w:val="000000"/>
        </w:rPr>
      </w:pPr>
    </w:p>
    <w:p w:rsidR="00EF23B8" w:rsidRPr="004926F8" w:rsidP="00A51FB3" w14:paraId="66CF91DA" w14:textId="661A9360">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color w:val="000000"/>
        </w:rPr>
      </w:pPr>
      <w:r w:rsidRPr="004926F8">
        <w:rPr>
          <w:color w:val="000000"/>
        </w:rPr>
        <w:t>No tests were conducted (aside from giving respondents the opportunity to comment on proposed changes, as described in A.8., above).</w:t>
      </w:r>
    </w:p>
    <w:p w:rsidR="0097016D" w:rsidRPr="004926F8" w:rsidP="00A51FB3" w14:paraId="441B4B5C"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502BFA" w:rsidRPr="004926F8" w:rsidP="00502BFA" w14:paraId="6626E9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rsidRPr="004926F8">
        <w:rPr>
          <w:b/>
        </w:rPr>
        <w:t xml:space="preserve">5.  </w:t>
      </w:r>
      <w:r w:rsidRPr="004926F8">
        <w:rPr>
          <w:b/>
          <w:u w:val="single"/>
        </w:rPr>
        <w:t>Provide the name and telephone number of individuals consulted on the statistical aspects of the design, and the name of the agency unit, contractor(s), grantee(s), or other person(s) who will actually collect and/or analyze the information for the agency.</w:t>
      </w:r>
    </w:p>
    <w:p w:rsidR="004B30C4" w:rsidP="00A51FB3" w14:paraId="3C6E4896" w14:textId="77777777">
      <w:pPr>
        <w:tabs>
          <w:tab w:val="left" w:pos="-120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FB3" w:rsidRPr="00863E63" w:rsidP="00A51FB3" w14:paraId="7DCE49FB" w14:textId="37684C8C">
      <w:pPr>
        <w:tabs>
          <w:tab w:val="left" w:pos="-120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926F8">
        <w:t xml:space="preserve">The survey is designed and conducted within BEA by the Multinational Operations Branch (MOB) of the Direct Investment Division (DID).  For further information, contact Kirsten Brew, Chief, MOB, via email at Kirsten.Brew@bea.gov. The survey proposal was reviewed and approved by BEA’s Source Data Improvement and Evaluation Program (SDIEP). The SDIEP coordinator is Tiffany Burrell, </w:t>
      </w:r>
      <w:r w:rsidR="00D003D1">
        <w:t>Tiffany.Burrell@bea.gov</w:t>
      </w:r>
      <w:r w:rsidRPr="004926F8">
        <w:t>.</w:t>
      </w:r>
    </w:p>
    <w:sectPr w:rsidSect="005617B4">
      <w:footerReference w:type="even" r:id="rId6"/>
      <w:footerReference w:type="defaul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3D6C" w14:paraId="3A4B711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03D6C" w14:paraId="7B3E6A6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3D6C" w14:paraId="3B33A1F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7543">
      <w:rPr>
        <w:rStyle w:val="PageNumber"/>
        <w:noProof/>
      </w:rPr>
      <w:t>2</w:t>
    </w:r>
    <w:r>
      <w:rPr>
        <w:rStyle w:val="PageNumber"/>
      </w:rPr>
      <w:fldChar w:fldCharType="end"/>
    </w:r>
  </w:p>
  <w:p w:rsidR="00C03D6C" w14:paraId="46DA183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0045F"/>
    <w:multiLevelType w:val="hybridMultilevel"/>
    <w:tmpl w:val="47CCF1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3E2EF3"/>
    <w:multiLevelType w:val="hybridMultilevel"/>
    <w:tmpl w:val="D8E41C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00817CC"/>
    <w:multiLevelType w:val="hybridMultilevel"/>
    <w:tmpl w:val="C25E0F90"/>
    <w:lvl w:ilvl="0">
      <w:start w:val="2"/>
      <w:numFmt w:val="upperLetter"/>
      <w:pStyle w:val="Heading1"/>
      <w:lvlText w:val="%1."/>
      <w:lvlJc w:val="left"/>
      <w:pPr>
        <w:tabs>
          <w:tab w:val="num" w:pos="720"/>
        </w:tabs>
        <w:ind w:left="720" w:hanging="360"/>
      </w:pPr>
      <w:rPr>
        <w:rFonts w:hint="default"/>
        <w:u w:val="none"/>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4477CCE"/>
    <w:multiLevelType w:val="hybridMultilevel"/>
    <w:tmpl w:val="5D72791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88E7FAC"/>
    <w:multiLevelType w:val="hybridMultilevel"/>
    <w:tmpl w:val="6D2816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C4B4DD3"/>
    <w:multiLevelType w:val="hybridMultilevel"/>
    <w:tmpl w:val="E9DAE0E8"/>
    <w:lvl w:ilvl="0">
      <w:start w:val="15"/>
      <w:numFmt w:val="decimal"/>
      <w:lvlText w:val="%1."/>
      <w:lvlJc w:val="left"/>
      <w:pPr>
        <w:tabs>
          <w:tab w:val="num" w:pos="840"/>
        </w:tabs>
        <w:ind w:left="840" w:hanging="48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F6762F1"/>
    <w:multiLevelType w:val="hybridMultilevel"/>
    <w:tmpl w:val="04D00E3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5AC6874"/>
    <w:multiLevelType w:val="hybridMultilevel"/>
    <w:tmpl w:val="E634FCB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7010EEB"/>
    <w:multiLevelType w:val="hybridMultilevel"/>
    <w:tmpl w:val="E8522BE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5B7E36E5"/>
    <w:multiLevelType w:val="hybridMultilevel"/>
    <w:tmpl w:val="024A2A5C"/>
    <w:lvl w:ilvl="0">
      <w:start w:val="8"/>
      <w:numFmt w:val="decimal"/>
      <w:lvlText w:val="%1."/>
      <w:lvlJc w:val="left"/>
      <w:pPr>
        <w:tabs>
          <w:tab w:val="num" w:pos="765"/>
        </w:tabs>
        <w:ind w:left="765" w:hanging="4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0D46F2F"/>
    <w:multiLevelType w:val="hybridMultilevel"/>
    <w:tmpl w:val="4108365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16D614F"/>
    <w:multiLevelType w:val="hybridMultilevel"/>
    <w:tmpl w:val="26C830F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93328735">
    <w:abstractNumId w:val="3"/>
  </w:num>
  <w:num w:numId="2" w16cid:durableId="899948708">
    <w:abstractNumId w:val="5"/>
  </w:num>
  <w:num w:numId="3" w16cid:durableId="1900701362">
    <w:abstractNumId w:val="8"/>
  </w:num>
  <w:num w:numId="4" w16cid:durableId="1077047627">
    <w:abstractNumId w:val="1"/>
  </w:num>
  <w:num w:numId="5" w16cid:durableId="1853446662">
    <w:abstractNumId w:val="2"/>
  </w:num>
  <w:num w:numId="6" w16cid:durableId="2039087387">
    <w:abstractNumId w:val="9"/>
  </w:num>
  <w:num w:numId="7" w16cid:durableId="2011368101">
    <w:abstractNumId w:val="10"/>
  </w:num>
  <w:num w:numId="8" w16cid:durableId="1817448180">
    <w:abstractNumId w:val="11"/>
  </w:num>
  <w:num w:numId="9" w16cid:durableId="2103066668">
    <w:abstractNumId w:val="6"/>
  </w:num>
  <w:num w:numId="10" w16cid:durableId="709644007">
    <w:abstractNumId w:val="7"/>
  </w:num>
  <w:num w:numId="11" w16cid:durableId="1456874727">
    <w:abstractNumId w:val="4"/>
  </w:num>
  <w:num w:numId="12" w16cid:durableId="1490755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7D"/>
    <w:rsid w:val="00001609"/>
    <w:rsid w:val="00015B75"/>
    <w:rsid w:val="00025332"/>
    <w:rsid w:val="00037005"/>
    <w:rsid w:val="00047196"/>
    <w:rsid w:val="000577A3"/>
    <w:rsid w:val="00061831"/>
    <w:rsid w:val="00063617"/>
    <w:rsid w:val="0006613D"/>
    <w:rsid w:val="000708E2"/>
    <w:rsid w:val="00077262"/>
    <w:rsid w:val="000851A7"/>
    <w:rsid w:val="000915A5"/>
    <w:rsid w:val="000A766D"/>
    <w:rsid w:val="000B097B"/>
    <w:rsid w:val="000B1594"/>
    <w:rsid w:val="000B501E"/>
    <w:rsid w:val="000C6ADA"/>
    <w:rsid w:val="000E2E2D"/>
    <w:rsid w:val="000F3226"/>
    <w:rsid w:val="000F6E40"/>
    <w:rsid w:val="001020F5"/>
    <w:rsid w:val="00103C84"/>
    <w:rsid w:val="00112146"/>
    <w:rsid w:val="0012597B"/>
    <w:rsid w:val="00126E53"/>
    <w:rsid w:val="00141312"/>
    <w:rsid w:val="00142DC3"/>
    <w:rsid w:val="00145BCD"/>
    <w:rsid w:val="00150581"/>
    <w:rsid w:val="00155CA8"/>
    <w:rsid w:val="00160B47"/>
    <w:rsid w:val="001620D5"/>
    <w:rsid w:val="001758B1"/>
    <w:rsid w:val="0018083D"/>
    <w:rsid w:val="00183281"/>
    <w:rsid w:val="001909D7"/>
    <w:rsid w:val="00191803"/>
    <w:rsid w:val="00191C39"/>
    <w:rsid w:val="0019200D"/>
    <w:rsid w:val="00193383"/>
    <w:rsid w:val="00194C1D"/>
    <w:rsid w:val="001A48A6"/>
    <w:rsid w:val="001B3C10"/>
    <w:rsid w:val="001B6354"/>
    <w:rsid w:val="001C283D"/>
    <w:rsid w:val="001C6BCB"/>
    <w:rsid w:val="001C7C33"/>
    <w:rsid w:val="001E2756"/>
    <w:rsid w:val="001F5D5E"/>
    <w:rsid w:val="00200BC8"/>
    <w:rsid w:val="002016CD"/>
    <w:rsid w:val="00202A5C"/>
    <w:rsid w:val="00203210"/>
    <w:rsid w:val="002060A5"/>
    <w:rsid w:val="00206D58"/>
    <w:rsid w:val="002169A9"/>
    <w:rsid w:val="00220337"/>
    <w:rsid w:val="002211A0"/>
    <w:rsid w:val="00236B63"/>
    <w:rsid w:val="0024079A"/>
    <w:rsid w:val="002407E2"/>
    <w:rsid w:val="00242396"/>
    <w:rsid w:val="0024502F"/>
    <w:rsid w:val="00251945"/>
    <w:rsid w:val="00252818"/>
    <w:rsid w:val="00261FE8"/>
    <w:rsid w:val="00263318"/>
    <w:rsid w:val="002633D9"/>
    <w:rsid w:val="002669F6"/>
    <w:rsid w:val="0026777B"/>
    <w:rsid w:val="0028422E"/>
    <w:rsid w:val="00286404"/>
    <w:rsid w:val="0028711B"/>
    <w:rsid w:val="0029570E"/>
    <w:rsid w:val="00296717"/>
    <w:rsid w:val="00297D25"/>
    <w:rsid w:val="002A3768"/>
    <w:rsid w:val="002A7B06"/>
    <w:rsid w:val="002B086C"/>
    <w:rsid w:val="002B443B"/>
    <w:rsid w:val="002D3E62"/>
    <w:rsid w:val="002D3ED2"/>
    <w:rsid w:val="002D652B"/>
    <w:rsid w:val="002D71D9"/>
    <w:rsid w:val="002E5F37"/>
    <w:rsid w:val="002F11C3"/>
    <w:rsid w:val="00301493"/>
    <w:rsid w:val="0030172D"/>
    <w:rsid w:val="0031417C"/>
    <w:rsid w:val="00320040"/>
    <w:rsid w:val="00320DC4"/>
    <w:rsid w:val="0034013D"/>
    <w:rsid w:val="0034193E"/>
    <w:rsid w:val="003479CD"/>
    <w:rsid w:val="003513C7"/>
    <w:rsid w:val="0036647D"/>
    <w:rsid w:val="0036752F"/>
    <w:rsid w:val="00377E63"/>
    <w:rsid w:val="003A2802"/>
    <w:rsid w:val="003B3860"/>
    <w:rsid w:val="003C3E36"/>
    <w:rsid w:val="003D1B89"/>
    <w:rsid w:val="003D5B42"/>
    <w:rsid w:val="003E10DF"/>
    <w:rsid w:val="003E2D9E"/>
    <w:rsid w:val="003E58C3"/>
    <w:rsid w:val="003E65E5"/>
    <w:rsid w:val="003E73F5"/>
    <w:rsid w:val="003F0298"/>
    <w:rsid w:val="00402512"/>
    <w:rsid w:val="00402DDA"/>
    <w:rsid w:val="0041244D"/>
    <w:rsid w:val="00415DF6"/>
    <w:rsid w:val="00420820"/>
    <w:rsid w:val="00423463"/>
    <w:rsid w:val="00430789"/>
    <w:rsid w:val="00430D0B"/>
    <w:rsid w:val="004316C6"/>
    <w:rsid w:val="00433A91"/>
    <w:rsid w:val="00440501"/>
    <w:rsid w:val="00441BAD"/>
    <w:rsid w:val="0045694A"/>
    <w:rsid w:val="0046549B"/>
    <w:rsid w:val="00475ED6"/>
    <w:rsid w:val="00476F53"/>
    <w:rsid w:val="00483A80"/>
    <w:rsid w:val="00484E08"/>
    <w:rsid w:val="00487B8F"/>
    <w:rsid w:val="004926F8"/>
    <w:rsid w:val="00495208"/>
    <w:rsid w:val="004970BD"/>
    <w:rsid w:val="004B30C4"/>
    <w:rsid w:val="004C4729"/>
    <w:rsid w:val="004D0C7A"/>
    <w:rsid w:val="004D1303"/>
    <w:rsid w:val="004D2999"/>
    <w:rsid w:val="004E0858"/>
    <w:rsid w:val="004E6918"/>
    <w:rsid w:val="00502BFA"/>
    <w:rsid w:val="00503518"/>
    <w:rsid w:val="00503CFF"/>
    <w:rsid w:val="00503F2A"/>
    <w:rsid w:val="005229C0"/>
    <w:rsid w:val="00526438"/>
    <w:rsid w:val="005266BB"/>
    <w:rsid w:val="00531E1E"/>
    <w:rsid w:val="0054635B"/>
    <w:rsid w:val="005529B8"/>
    <w:rsid w:val="005572BD"/>
    <w:rsid w:val="005617B4"/>
    <w:rsid w:val="00574CE1"/>
    <w:rsid w:val="00583353"/>
    <w:rsid w:val="005835BD"/>
    <w:rsid w:val="00584A8C"/>
    <w:rsid w:val="00592971"/>
    <w:rsid w:val="005939D8"/>
    <w:rsid w:val="005C476A"/>
    <w:rsid w:val="005C54D4"/>
    <w:rsid w:val="005C799F"/>
    <w:rsid w:val="005D2555"/>
    <w:rsid w:val="005D2663"/>
    <w:rsid w:val="005D6402"/>
    <w:rsid w:val="005E05EB"/>
    <w:rsid w:val="005E4427"/>
    <w:rsid w:val="005E761D"/>
    <w:rsid w:val="00606FE3"/>
    <w:rsid w:val="00610F82"/>
    <w:rsid w:val="00620D2E"/>
    <w:rsid w:val="006267A8"/>
    <w:rsid w:val="006270B5"/>
    <w:rsid w:val="006275D0"/>
    <w:rsid w:val="00632878"/>
    <w:rsid w:val="00632906"/>
    <w:rsid w:val="00634236"/>
    <w:rsid w:val="00634246"/>
    <w:rsid w:val="00637838"/>
    <w:rsid w:val="00637C4F"/>
    <w:rsid w:val="0064451D"/>
    <w:rsid w:val="00644DCA"/>
    <w:rsid w:val="006513A8"/>
    <w:rsid w:val="006540AD"/>
    <w:rsid w:val="006552D9"/>
    <w:rsid w:val="006574DD"/>
    <w:rsid w:val="00663857"/>
    <w:rsid w:val="00672395"/>
    <w:rsid w:val="00677D6D"/>
    <w:rsid w:val="00677D9D"/>
    <w:rsid w:val="00681A71"/>
    <w:rsid w:val="00682C34"/>
    <w:rsid w:val="00685277"/>
    <w:rsid w:val="00693218"/>
    <w:rsid w:val="006A0903"/>
    <w:rsid w:val="006B266F"/>
    <w:rsid w:val="006B5B21"/>
    <w:rsid w:val="006C64F7"/>
    <w:rsid w:val="006E0BD1"/>
    <w:rsid w:val="006F01E9"/>
    <w:rsid w:val="006F136D"/>
    <w:rsid w:val="006F700D"/>
    <w:rsid w:val="00711E0F"/>
    <w:rsid w:val="00712EF2"/>
    <w:rsid w:val="00720ACF"/>
    <w:rsid w:val="0073356A"/>
    <w:rsid w:val="0073423A"/>
    <w:rsid w:val="00737B9D"/>
    <w:rsid w:val="007428B8"/>
    <w:rsid w:val="00745B48"/>
    <w:rsid w:val="0075137C"/>
    <w:rsid w:val="007527D4"/>
    <w:rsid w:val="00754858"/>
    <w:rsid w:val="00774298"/>
    <w:rsid w:val="0078151A"/>
    <w:rsid w:val="00786A3D"/>
    <w:rsid w:val="00791284"/>
    <w:rsid w:val="00791578"/>
    <w:rsid w:val="007916D0"/>
    <w:rsid w:val="007A4CA7"/>
    <w:rsid w:val="007B0737"/>
    <w:rsid w:val="007B3689"/>
    <w:rsid w:val="007B482F"/>
    <w:rsid w:val="007C098D"/>
    <w:rsid w:val="007D2DC6"/>
    <w:rsid w:val="007E02DF"/>
    <w:rsid w:val="007F3C2C"/>
    <w:rsid w:val="007F3EA2"/>
    <w:rsid w:val="007F4266"/>
    <w:rsid w:val="00810017"/>
    <w:rsid w:val="00817BFE"/>
    <w:rsid w:val="00820567"/>
    <w:rsid w:val="008317B7"/>
    <w:rsid w:val="00842245"/>
    <w:rsid w:val="0084477B"/>
    <w:rsid w:val="008559B1"/>
    <w:rsid w:val="00863E63"/>
    <w:rsid w:val="0087052A"/>
    <w:rsid w:val="00881C01"/>
    <w:rsid w:val="0088213C"/>
    <w:rsid w:val="0088769A"/>
    <w:rsid w:val="00893D29"/>
    <w:rsid w:val="00894706"/>
    <w:rsid w:val="008948AC"/>
    <w:rsid w:val="008A4AF5"/>
    <w:rsid w:val="008B37BE"/>
    <w:rsid w:val="008B5A94"/>
    <w:rsid w:val="008D51CE"/>
    <w:rsid w:val="008F2AD6"/>
    <w:rsid w:val="008F2E57"/>
    <w:rsid w:val="008F4462"/>
    <w:rsid w:val="008F63E0"/>
    <w:rsid w:val="00900405"/>
    <w:rsid w:val="00901959"/>
    <w:rsid w:val="009045B3"/>
    <w:rsid w:val="00905CA8"/>
    <w:rsid w:val="0091079E"/>
    <w:rsid w:val="009246AF"/>
    <w:rsid w:val="00927B9E"/>
    <w:rsid w:val="00930573"/>
    <w:rsid w:val="009346AE"/>
    <w:rsid w:val="00946B97"/>
    <w:rsid w:val="00947C93"/>
    <w:rsid w:val="0095154D"/>
    <w:rsid w:val="00954169"/>
    <w:rsid w:val="009622C8"/>
    <w:rsid w:val="00963162"/>
    <w:rsid w:val="0097016D"/>
    <w:rsid w:val="009703EE"/>
    <w:rsid w:val="00982799"/>
    <w:rsid w:val="00985ED2"/>
    <w:rsid w:val="00987E07"/>
    <w:rsid w:val="009912B1"/>
    <w:rsid w:val="009913C8"/>
    <w:rsid w:val="00994A81"/>
    <w:rsid w:val="009A0589"/>
    <w:rsid w:val="009A1AAC"/>
    <w:rsid w:val="009A23D8"/>
    <w:rsid w:val="009C5FE3"/>
    <w:rsid w:val="009D076F"/>
    <w:rsid w:val="009D2533"/>
    <w:rsid w:val="009D6E48"/>
    <w:rsid w:val="009E4A53"/>
    <w:rsid w:val="009F026C"/>
    <w:rsid w:val="00A046BB"/>
    <w:rsid w:val="00A050DE"/>
    <w:rsid w:val="00A05E17"/>
    <w:rsid w:val="00A07543"/>
    <w:rsid w:val="00A10372"/>
    <w:rsid w:val="00A12E67"/>
    <w:rsid w:val="00A13021"/>
    <w:rsid w:val="00A17B55"/>
    <w:rsid w:val="00A2043D"/>
    <w:rsid w:val="00A21EE5"/>
    <w:rsid w:val="00A24468"/>
    <w:rsid w:val="00A264B9"/>
    <w:rsid w:val="00A277FE"/>
    <w:rsid w:val="00A301C3"/>
    <w:rsid w:val="00A34AC5"/>
    <w:rsid w:val="00A40C6E"/>
    <w:rsid w:val="00A47466"/>
    <w:rsid w:val="00A50B12"/>
    <w:rsid w:val="00A51FB3"/>
    <w:rsid w:val="00A84992"/>
    <w:rsid w:val="00A871B2"/>
    <w:rsid w:val="00A87F6D"/>
    <w:rsid w:val="00AA2681"/>
    <w:rsid w:val="00AA2B9A"/>
    <w:rsid w:val="00AA6D1B"/>
    <w:rsid w:val="00AB1C24"/>
    <w:rsid w:val="00AB7C65"/>
    <w:rsid w:val="00AC1A10"/>
    <w:rsid w:val="00AD1A8E"/>
    <w:rsid w:val="00AD4E3A"/>
    <w:rsid w:val="00AE2147"/>
    <w:rsid w:val="00AF27B9"/>
    <w:rsid w:val="00AF7E36"/>
    <w:rsid w:val="00B02213"/>
    <w:rsid w:val="00B26719"/>
    <w:rsid w:val="00B26953"/>
    <w:rsid w:val="00B30B45"/>
    <w:rsid w:val="00B34746"/>
    <w:rsid w:val="00B5078D"/>
    <w:rsid w:val="00B50C0F"/>
    <w:rsid w:val="00B546BC"/>
    <w:rsid w:val="00B62B76"/>
    <w:rsid w:val="00B647C4"/>
    <w:rsid w:val="00B66FB8"/>
    <w:rsid w:val="00B67E7C"/>
    <w:rsid w:val="00B7402E"/>
    <w:rsid w:val="00B77F46"/>
    <w:rsid w:val="00B831A9"/>
    <w:rsid w:val="00B84B81"/>
    <w:rsid w:val="00B87BAF"/>
    <w:rsid w:val="00BA008E"/>
    <w:rsid w:val="00BA1189"/>
    <w:rsid w:val="00BA722B"/>
    <w:rsid w:val="00BB717E"/>
    <w:rsid w:val="00BC46D5"/>
    <w:rsid w:val="00BD06B1"/>
    <w:rsid w:val="00BD46C2"/>
    <w:rsid w:val="00BD7B82"/>
    <w:rsid w:val="00BE1393"/>
    <w:rsid w:val="00BE5751"/>
    <w:rsid w:val="00BF3FBC"/>
    <w:rsid w:val="00C00BB6"/>
    <w:rsid w:val="00C01257"/>
    <w:rsid w:val="00C03D6C"/>
    <w:rsid w:val="00C12D32"/>
    <w:rsid w:val="00C16B9C"/>
    <w:rsid w:val="00C22FD9"/>
    <w:rsid w:val="00C2399F"/>
    <w:rsid w:val="00C32614"/>
    <w:rsid w:val="00C410BD"/>
    <w:rsid w:val="00C43C1B"/>
    <w:rsid w:val="00C44F27"/>
    <w:rsid w:val="00C57470"/>
    <w:rsid w:val="00C66A67"/>
    <w:rsid w:val="00C90206"/>
    <w:rsid w:val="00C95E1A"/>
    <w:rsid w:val="00CA56E9"/>
    <w:rsid w:val="00CB45ED"/>
    <w:rsid w:val="00CC0E17"/>
    <w:rsid w:val="00CC1A51"/>
    <w:rsid w:val="00CC2246"/>
    <w:rsid w:val="00CC580D"/>
    <w:rsid w:val="00CD56B6"/>
    <w:rsid w:val="00CD64D2"/>
    <w:rsid w:val="00CE1D0A"/>
    <w:rsid w:val="00CF0759"/>
    <w:rsid w:val="00CF4163"/>
    <w:rsid w:val="00CF7206"/>
    <w:rsid w:val="00D003D1"/>
    <w:rsid w:val="00D358FE"/>
    <w:rsid w:val="00D4056A"/>
    <w:rsid w:val="00D44EB4"/>
    <w:rsid w:val="00D50583"/>
    <w:rsid w:val="00D53C91"/>
    <w:rsid w:val="00D60317"/>
    <w:rsid w:val="00D65B0B"/>
    <w:rsid w:val="00D67E9E"/>
    <w:rsid w:val="00D81026"/>
    <w:rsid w:val="00D85591"/>
    <w:rsid w:val="00D86976"/>
    <w:rsid w:val="00D9237F"/>
    <w:rsid w:val="00D93F89"/>
    <w:rsid w:val="00D96C22"/>
    <w:rsid w:val="00DA2D88"/>
    <w:rsid w:val="00DA3462"/>
    <w:rsid w:val="00DB23ED"/>
    <w:rsid w:val="00DC0A26"/>
    <w:rsid w:val="00DC3A1A"/>
    <w:rsid w:val="00DC5B8E"/>
    <w:rsid w:val="00DD4A12"/>
    <w:rsid w:val="00DE4C64"/>
    <w:rsid w:val="00DF4AE8"/>
    <w:rsid w:val="00DF7194"/>
    <w:rsid w:val="00E04317"/>
    <w:rsid w:val="00E058FB"/>
    <w:rsid w:val="00E1020C"/>
    <w:rsid w:val="00E10617"/>
    <w:rsid w:val="00E22F7A"/>
    <w:rsid w:val="00E27F78"/>
    <w:rsid w:val="00E32298"/>
    <w:rsid w:val="00E406FB"/>
    <w:rsid w:val="00E74698"/>
    <w:rsid w:val="00E74EB4"/>
    <w:rsid w:val="00E77126"/>
    <w:rsid w:val="00E93CF4"/>
    <w:rsid w:val="00E94425"/>
    <w:rsid w:val="00E95E82"/>
    <w:rsid w:val="00EA0AF4"/>
    <w:rsid w:val="00EA1BA0"/>
    <w:rsid w:val="00EA24D8"/>
    <w:rsid w:val="00EB3D97"/>
    <w:rsid w:val="00EB7483"/>
    <w:rsid w:val="00EC77B9"/>
    <w:rsid w:val="00ED3F91"/>
    <w:rsid w:val="00ED530B"/>
    <w:rsid w:val="00EE15E9"/>
    <w:rsid w:val="00EE64CD"/>
    <w:rsid w:val="00EF23B8"/>
    <w:rsid w:val="00EF43E4"/>
    <w:rsid w:val="00EF5850"/>
    <w:rsid w:val="00F002D6"/>
    <w:rsid w:val="00F0060A"/>
    <w:rsid w:val="00F03C96"/>
    <w:rsid w:val="00F1293A"/>
    <w:rsid w:val="00F1531C"/>
    <w:rsid w:val="00F16C4A"/>
    <w:rsid w:val="00F25955"/>
    <w:rsid w:val="00F26307"/>
    <w:rsid w:val="00F27996"/>
    <w:rsid w:val="00F327C9"/>
    <w:rsid w:val="00F35ADE"/>
    <w:rsid w:val="00F36975"/>
    <w:rsid w:val="00F42AAB"/>
    <w:rsid w:val="00F465C1"/>
    <w:rsid w:val="00F555DD"/>
    <w:rsid w:val="00F568AF"/>
    <w:rsid w:val="00F579BF"/>
    <w:rsid w:val="00F658B2"/>
    <w:rsid w:val="00F7200D"/>
    <w:rsid w:val="00F735FA"/>
    <w:rsid w:val="00F73900"/>
    <w:rsid w:val="00F80A7E"/>
    <w:rsid w:val="00F8161B"/>
    <w:rsid w:val="00F81D94"/>
    <w:rsid w:val="00F86A6B"/>
    <w:rsid w:val="00F87246"/>
    <w:rsid w:val="00F96276"/>
    <w:rsid w:val="00FB1AE4"/>
    <w:rsid w:val="00FB7D34"/>
    <w:rsid w:val="00FC3DAD"/>
    <w:rsid w:val="00FC7087"/>
    <w:rsid w:val="00FC7155"/>
    <w:rsid w:val="00FD4717"/>
    <w:rsid w:val="00FF68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EA948D2"/>
  <w15:chartTrackingRefBased/>
  <w15:docId w15:val="{9E45D4E0-6E1F-437B-84F6-AE799764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83353"/>
    <w:rPr>
      <w:rFonts w:ascii="Tahoma" w:hAnsi="Tahoma" w:cs="Tahoma"/>
      <w:sz w:val="16"/>
      <w:szCs w:val="16"/>
    </w:rPr>
  </w:style>
  <w:style w:type="paragraph" w:styleId="Header">
    <w:name w:val="header"/>
    <w:basedOn w:val="Normal"/>
    <w:rsid w:val="00160B47"/>
    <w:pPr>
      <w:tabs>
        <w:tab w:val="center" w:pos="4320"/>
        <w:tab w:val="right" w:pos="8640"/>
      </w:tabs>
    </w:pPr>
  </w:style>
  <w:style w:type="table" w:styleId="TableGrid">
    <w:name w:val="Table Grid"/>
    <w:basedOn w:val="TableNormal"/>
    <w:rsid w:val="00D40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E1D0A"/>
    <w:rPr>
      <w:sz w:val="16"/>
      <w:szCs w:val="16"/>
    </w:rPr>
  </w:style>
  <w:style w:type="paragraph" w:styleId="CommentText">
    <w:name w:val="annotation text"/>
    <w:basedOn w:val="Normal"/>
    <w:link w:val="CommentTextChar"/>
    <w:rsid w:val="00CE1D0A"/>
    <w:rPr>
      <w:sz w:val="20"/>
      <w:szCs w:val="20"/>
    </w:rPr>
  </w:style>
  <w:style w:type="character" w:customStyle="1" w:styleId="CommentTextChar">
    <w:name w:val="Comment Text Char"/>
    <w:basedOn w:val="DefaultParagraphFont"/>
    <w:link w:val="CommentText"/>
    <w:rsid w:val="00CE1D0A"/>
  </w:style>
  <w:style w:type="paragraph" w:styleId="CommentSubject">
    <w:name w:val="annotation subject"/>
    <w:basedOn w:val="CommentText"/>
    <w:next w:val="CommentText"/>
    <w:link w:val="CommentSubjectChar"/>
    <w:rsid w:val="00CE1D0A"/>
    <w:rPr>
      <w:b/>
      <w:bCs/>
    </w:rPr>
  </w:style>
  <w:style w:type="character" w:customStyle="1" w:styleId="CommentSubjectChar">
    <w:name w:val="Comment Subject Char"/>
    <w:link w:val="CommentSubject"/>
    <w:rsid w:val="00CE1D0A"/>
    <w:rPr>
      <w:b/>
      <w:bCs/>
    </w:rPr>
  </w:style>
  <w:style w:type="character" w:styleId="UnresolvedMention">
    <w:name w:val="Unresolved Mention"/>
    <w:uiPriority w:val="99"/>
    <w:semiHidden/>
    <w:unhideWhenUsed/>
    <w:rsid w:val="006A0903"/>
    <w:rPr>
      <w:color w:val="808080"/>
      <w:shd w:val="clear" w:color="auto" w:fill="E6E6E6"/>
    </w:rPr>
  </w:style>
  <w:style w:type="paragraph" w:styleId="Revision">
    <w:name w:val="Revision"/>
    <w:hidden/>
    <w:uiPriority w:val="99"/>
    <w:semiHidden/>
    <w:rsid w:val="007428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ea.gov/system/files/2022-06/iea-concepts-methods-2022.pdf"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62991-184D-4571-8918-1040924E4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1347</TotalTime>
  <Pages>3</Pages>
  <Words>897</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Brew, Kirsten</cp:lastModifiedBy>
  <cp:revision>17</cp:revision>
  <cp:lastPrinted>2017-05-16T19:10:00Z</cp:lastPrinted>
  <dcterms:created xsi:type="dcterms:W3CDTF">2023-03-13T18:29:00Z</dcterms:created>
  <dcterms:modified xsi:type="dcterms:W3CDTF">2024-06-21T11:32:00Z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-1109916418</vt:i4>
  </property>
  <property fmtid="{D5CDD505-2E9C-101B-9397-08002B2CF9AE}" pid="3" name="_AuthorEmail">
    <vt:lpwstr>Paul.Farello@bea.gov</vt:lpwstr>
  </property>
  <property fmtid="{D5CDD505-2E9C-101B-9397-08002B2CF9AE}" pid="4" name="_AuthorEmailDisplayName">
    <vt:lpwstr>Farello, Paul</vt:lpwstr>
  </property>
  <property fmtid="{D5CDD505-2E9C-101B-9397-08002B2CF9AE}" pid="5" name="_EmailSubject">
    <vt:lpwstr>Supporting Statements A and B for BE-11 and BE-15 surveys</vt:lpwstr>
  </property>
  <property fmtid="{D5CDD505-2E9C-101B-9397-08002B2CF9AE}" pid="6" name="_NewReviewCycle">
    <vt:lpwstr/>
  </property>
  <property fmtid="{D5CDD505-2E9C-101B-9397-08002B2CF9AE}" pid="7" name="_ReviewingToolsShownOnce">
    <vt:lpwstr/>
  </property>
</Properties>
</file>