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0A31" w14:paraId="4ACE5091" w14:textId="77777777">
      <w:pPr>
        <w:jc w:val="center"/>
        <w:rPr>
          <w:b/>
          <w:sz w:val="24"/>
          <w:szCs w:val="24"/>
        </w:rPr>
      </w:pPr>
      <w:bookmarkStart w:id="0" w:name="_gjdgxs" w:colFirst="0" w:colLast="0"/>
      <w:bookmarkEnd w:id="0"/>
      <w:r>
        <w:rPr>
          <w:b/>
          <w:sz w:val="24"/>
          <w:szCs w:val="24"/>
        </w:rPr>
        <w:t>SUPPORTING STATEMENT PART B</w:t>
      </w:r>
    </w:p>
    <w:p w:rsidR="00D10A31" w14:paraId="55CAEDAC" w14:textId="77777777">
      <w:pPr>
        <w:jc w:val="center"/>
        <w:rPr>
          <w:sz w:val="24"/>
          <w:szCs w:val="24"/>
        </w:rPr>
      </w:pPr>
      <w:r>
        <w:rPr>
          <w:b/>
          <w:sz w:val="24"/>
          <w:szCs w:val="24"/>
        </w:rPr>
        <w:t>U.S. Department of Commerce</w:t>
      </w:r>
    </w:p>
    <w:p w:rsidR="00D10A31" w14:paraId="650CB773" w14:textId="77777777">
      <w:pPr>
        <w:jc w:val="center"/>
        <w:rPr>
          <w:sz w:val="24"/>
          <w:szCs w:val="24"/>
        </w:rPr>
      </w:pPr>
      <w:r>
        <w:rPr>
          <w:b/>
          <w:sz w:val="24"/>
          <w:szCs w:val="24"/>
        </w:rPr>
        <w:t>National Oceanic &amp; Atmospheric Administration</w:t>
      </w:r>
    </w:p>
    <w:p w:rsidR="00D10A31" w14:paraId="33E69A0F" w14:textId="77777777">
      <w:pPr>
        <w:jc w:val="center"/>
        <w:rPr>
          <w:sz w:val="24"/>
          <w:szCs w:val="24"/>
        </w:rPr>
      </w:pPr>
      <w:r>
        <w:rPr>
          <w:b/>
          <w:sz w:val="24"/>
          <w:szCs w:val="24"/>
        </w:rPr>
        <w:t>Socioeconomics of Coral Reef Conservation</w:t>
      </w:r>
    </w:p>
    <w:p w:rsidR="00D10A31" w14:paraId="30B0FEC7" w14:textId="77777777">
      <w:pPr>
        <w:jc w:val="center"/>
        <w:rPr>
          <w:b/>
          <w:sz w:val="24"/>
          <w:szCs w:val="24"/>
        </w:rPr>
      </w:pPr>
      <w:bookmarkStart w:id="1" w:name="_30j0zll" w:colFirst="0" w:colLast="0"/>
      <w:bookmarkEnd w:id="1"/>
      <w:r>
        <w:rPr>
          <w:b/>
          <w:sz w:val="24"/>
          <w:szCs w:val="24"/>
        </w:rPr>
        <w:t>OMB Control No. 0648-0646</w:t>
      </w:r>
    </w:p>
    <w:p w:rsidR="00D10A31" w14:paraId="112ADD28" w14:textId="77777777">
      <w:pPr>
        <w:jc w:val="center"/>
        <w:rPr>
          <w:sz w:val="24"/>
          <w:szCs w:val="24"/>
        </w:rPr>
      </w:pPr>
    </w:p>
    <w:p w:rsidR="00D10A31" w14:paraId="3472F83C" w14:textId="77777777">
      <w:pPr>
        <w:pStyle w:val="Heading2"/>
        <w:spacing w:before="280"/>
      </w:pPr>
      <w:bookmarkStart w:id="2" w:name="_1fob9te" w:colFirst="0" w:colLast="0"/>
      <w:bookmarkEnd w:id="2"/>
      <w: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10A31" w14:paraId="39A9F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47BCCD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3" w:name="_3znysh7" w:colFirst="0" w:colLast="0"/>
      <w:bookmarkEnd w:id="3"/>
      <w:r>
        <w:rPr>
          <w:sz w:val="24"/>
          <w:szCs w:val="24"/>
        </w:rPr>
        <w:t xml:space="preserve">The potential respondent universe for this study is household residents of each U.S. coral reef jurisdiction, aged 18 years or older. The total population of individuals in all jurisdictions is 11,458,480 (U.S. Census 2020). Respondents will be classified into seven geographical jurisdictions and two to five strata within each jurisdiction (Table 1). The strata were defined by NOAA and jurisdictional partners and based on each jurisdiction’s coastal zone as defined by the Coastal Zone Management Act (1972). </w:t>
      </w:r>
    </w:p>
    <w:p w:rsidR="00D10A31" w14:paraId="31241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5131E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 stratified sampling methodology is proposed for all seven jurisdictions, and sample sizes will be selected proportionately across strata/sub-strata to allow for the estimation of jurisdiction-level parameters (see more information on sampling in Section B.2). A random subset of households will be selected from each stratum and one residing individual (18 years or older) will be randomly selected from each household. Multiple members of a household will not be surveyed because this can diminish the precision of estimates, as a consequence of homogeneity within the household (Cochran, 1977; Kish, 1949). Selecting more than one person per household also increases the costs and burden to the household and the impact on response rates (</w:t>
      </w:r>
      <w:r>
        <w:rPr>
          <w:sz w:val="24"/>
          <w:szCs w:val="24"/>
        </w:rPr>
        <w:t>Krenzke</w:t>
      </w:r>
      <w:r>
        <w:rPr>
          <w:sz w:val="24"/>
          <w:szCs w:val="24"/>
        </w:rPr>
        <w:t>, Li, &amp; Rust, 2010). Final sample sizes (completes and adjusted) will be calculated with the assistance of the vendor selected to conduct the data collection, based on their expertise in conducting similar surveys in the region of interest. Additionally, sample sizes may be adjusted based on updated Census data or on information gained during initial stages of survey administration.</w:t>
      </w:r>
    </w:p>
    <w:p w:rsidR="002A18A0" w14:paraId="6D1BB496" w14:textId="5E365CF4">
      <w:pPr>
        <w:rPr>
          <w:sz w:val="24"/>
          <w:szCs w:val="24"/>
        </w:rPr>
      </w:pPr>
      <w:r>
        <w:rPr>
          <w:sz w:val="24"/>
          <w:szCs w:val="24"/>
        </w:rPr>
        <w:br w:type="page"/>
      </w:r>
    </w:p>
    <w:p w:rsidR="00D10A31" w14:paraId="5AEBD806" w14:textId="77777777">
      <w:pPr>
        <w:widowControl/>
        <w:pBdr>
          <w:top w:val="nil"/>
          <w:left w:val="nil"/>
          <w:bottom w:val="nil"/>
          <w:right w:val="nil"/>
          <w:between w:val="nil"/>
        </w:pBdr>
        <w:spacing w:after="200"/>
        <w:rPr>
          <w:b/>
          <w:color w:val="000000"/>
          <w:sz w:val="24"/>
          <w:szCs w:val="24"/>
        </w:rPr>
      </w:pPr>
      <w:bookmarkStart w:id="4" w:name="_GoBack"/>
      <w:bookmarkEnd w:id="4"/>
      <w:r>
        <w:rPr>
          <w:b/>
          <w:color w:val="000000"/>
          <w:sz w:val="24"/>
          <w:szCs w:val="24"/>
        </w:rPr>
        <w:t>Table 1: Total Population (2020) of Study Jurisdictions and Strata</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5"/>
        <w:gridCol w:w="2877"/>
        <w:gridCol w:w="2253"/>
        <w:gridCol w:w="2065"/>
      </w:tblGrid>
      <w:tr w14:paraId="596C7C95"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60"/>
        </w:trPr>
        <w:tc>
          <w:tcPr>
            <w:tcW w:w="2155" w:type="dxa"/>
            <w:tcBorders>
              <w:bottom w:val="single" w:sz="12" w:space="0" w:color="000000"/>
            </w:tcBorders>
            <w:shd w:val="clear" w:color="auto" w:fill="FFFFFF"/>
            <w:vAlign w:val="center"/>
          </w:tcPr>
          <w:p w:rsidR="00D10A31" w14:paraId="24CB4FFF" w14:textId="77777777">
            <w:pPr>
              <w:rPr>
                <w:sz w:val="22"/>
                <w:szCs w:val="22"/>
              </w:rPr>
            </w:pPr>
            <w:r>
              <w:rPr>
                <w:b/>
                <w:sz w:val="22"/>
                <w:szCs w:val="22"/>
              </w:rPr>
              <w:t>Jurisdiction</w:t>
            </w:r>
          </w:p>
        </w:tc>
        <w:tc>
          <w:tcPr>
            <w:tcW w:w="5130" w:type="dxa"/>
            <w:gridSpan w:val="2"/>
            <w:tcBorders>
              <w:bottom w:val="single" w:sz="12" w:space="0" w:color="000000"/>
            </w:tcBorders>
            <w:shd w:val="clear" w:color="auto" w:fill="FFFFFF"/>
            <w:vAlign w:val="center"/>
          </w:tcPr>
          <w:p w:rsidR="00D10A31" w14:paraId="26C8C01B" w14:textId="77777777">
            <w:pPr>
              <w:rPr>
                <w:sz w:val="22"/>
                <w:szCs w:val="22"/>
              </w:rPr>
            </w:pPr>
            <w:r>
              <w:rPr>
                <w:b/>
                <w:sz w:val="22"/>
                <w:szCs w:val="22"/>
              </w:rPr>
              <w:t>Strata</w:t>
            </w:r>
          </w:p>
        </w:tc>
        <w:tc>
          <w:tcPr>
            <w:tcW w:w="2065" w:type="dxa"/>
            <w:tcBorders>
              <w:bottom w:val="single" w:sz="12" w:space="0" w:color="000000"/>
            </w:tcBorders>
            <w:shd w:val="clear" w:color="auto" w:fill="FFFFFF"/>
            <w:vAlign w:val="center"/>
          </w:tcPr>
          <w:p w:rsidR="00D10A31" w14:paraId="7E7E96CF" w14:textId="77777777">
            <w:pPr>
              <w:jc w:val="right"/>
              <w:rPr>
                <w:sz w:val="22"/>
                <w:szCs w:val="22"/>
              </w:rPr>
            </w:pPr>
            <w:r>
              <w:rPr>
                <w:b/>
                <w:sz w:val="22"/>
                <w:szCs w:val="22"/>
              </w:rPr>
              <w:t>Population (2020)</w:t>
            </w:r>
          </w:p>
        </w:tc>
      </w:tr>
      <w:tr w14:paraId="2D75CEDA" w14:textId="77777777">
        <w:tblPrEx>
          <w:tblW w:w="9350" w:type="dxa"/>
          <w:tblLayout w:type="fixed"/>
          <w:tblLook w:val="0000"/>
        </w:tblPrEx>
        <w:trPr>
          <w:trHeight w:val="360"/>
        </w:trPr>
        <w:tc>
          <w:tcPr>
            <w:tcW w:w="2155" w:type="dxa"/>
            <w:tcBorders>
              <w:top w:val="single" w:sz="12" w:space="0" w:color="000000"/>
            </w:tcBorders>
          </w:tcPr>
          <w:p w:rsidR="00D10A31" w14:paraId="31F443DC" w14:textId="77777777">
            <w:pPr>
              <w:rPr>
                <w:sz w:val="22"/>
                <w:szCs w:val="22"/>
              </w:rPr>
            </w:pPr>
            <w:r>
              <w:rPr>
                <w:sz w:val="22"/>
                <w:szCs w:val="22"/>
              </w:rPr>
              <w:t>Puerto Rico</w:t>
            </w:r>
            <w:r>
              <w:rPr>
                <w:sz w:val="22"/>
                <w:szCs w:val="22"/>
                <w:vertAlign w:val="superscript"/>
              </w:rPr>
              <w:footnoteReference w:id="2"/>
            </w:r>
          </w:p>
          <w:p w:rsidR="00D10A31" w14:paraId="02DC1FB3" w14:textId="77777777">
            <w:pPr>
              <w:rPr>
                <w:sz w:val="22"/>
                <w:szCs w:val="22"/>
              </w:rPr>
            </w:pPr>
          </w:p>
        </w:tc>
        <w:tc>
          <w:tcPr>
            <w:tcW w:w="5130" w:type="dxa"/>
            <w:gridSpan w:val="2"/>
            <w:tcBorders>
              <w:top w:val="single" w:sz="12" w:space="0" w:color="000000"/>
            </w:tcBorders>
          </w:tcPr>
          <w:p w:rsidR="00D10A31" w14:paraId="51B8C229" w14:textId="77777777">
            <w:pPr>
              <w:widowControl/>
              <w:numPr>
                <w:ilvl w:val="0"/>
                <w:numId w:val="1"/>
              </w:numPr>
              <w:pBdr>
                <w:top w:val="nil"/>
                <w:left w:val="nil"/>
                <w:bottom w:val="nil"/>
                <w:right w:val="nil"/>
                <w:between w:val="nil"/>
              </w:pBdr>
              <w:rPr>
                <w:color w:val="000000"/>
                <w:sz w:val="22"/>
                <w:szCs w:val="22"/>
              </w:rPr>
            </w:pPr>
            <w:r>
              <w:rPr>
                <w:color w:val="000000"/>
                <w:sz w:val="22"/>
                <w:szCs w:val="22"/>
              </w:rPr>
              <w:t>North coastal municipalities</w:t>
            </w:r>
          </w:p>
          <w:p w:rsidR="00D10A31" w14:paraId="37FD7836" w14:textId="77777777">
            <w:pPr>
              <w:widowControl/>
              <w:numPr>
                <w:ilvl w:val="0"/>
                <w:numId w:val="1"/>
              </w:numPr>
              <w:pBdr>
                <w:top w:val="nil"/>
                <w:left w:val="nil"/>
                <w:bottom w:val="nil"/>
                <w:right w:val="nil"/>
                <w:between w:val="nil"/>
              </w:pBdr>
              <w:rPr>
                <w:color w:val="000000"/>
                <w:sz w:val="22"/>
                <w:szCs w:val="22"/>
              </w:rPr>
            </w:pPr>
            <w:r>
              <w:rPr>
                <w:color w:val="000000"/>
                <w:sz w:val="22"/>
                <w:szCs w:val="22"/>
              </w:rPr>
              <w:t>South coastal municipalities</w:t>
            </w:r>
          </w:p>
          <w:p w:rsidR="00D10A31" w14:paraId="11F98DE1" w14:textId="77777777">
            <w:pPr>
              <w:widowControl/>
              <w:numPr>
                <w:ilvl w:val="0"/>
                <w:numId w:val="1"/>
              </w:numPr>
              <w:pBdr>
                <w:top w:val="nil"/>
                <w:left w:val="nil"/>
                <w:bottom w:val="nil"/>
                <w:right w:val="nil"/>
                <w:between w:val="nil"/>
              </w:pBdr>
              <w:rPr>
                <w:color w:val="000000"/>
                <w:sz w:val="22"/>
                <w:szCs w:val="22"/>
              </w:rPr>
            </w:pPr>
            <w:r>
              <w:rPr>
                <w:color w:val="000000"/>
                <w:sz w:val="22"/>
                <w:szCs w:val="22"/>
              </w:rPr>
              <w:t>Inland municipalities</w:t>
            </w:r>
          </w:p>
          <w:p w:rsidR="00D10A31" w14:paraId="2DC4B78C" w14:textId="77777777">
            <w:pPr>
              <w:widowControl/>
              <w:numPr>
                <w:ilvl w:val="0"/>
                <w:numId w:val="1"/>
              </w:numPr>
              <w:pBdr>
                <w:top w:val="nil"/>
                <w:left w:val="nil"/>
                <w:bottom w:val="nil"/>
                <w:right w:val="nil"/>
                <w:between w:val="nil"/>
              </w:pBdr>
              <w:rPr>
                <w:color w:val="000000"/>
                <w:sz w:val="22"/>
                <w:szCs w:val="22"/>
              </w:rPr>
            </w:pPr>
            <w:r>
              <w:rPr>
                <w:color w:val="000000"/>
                <w:sz w:val="22"/>
                <w:szCs w:val="22"/>
              </w:rPr>
              <w:t>Island municipalities (Culebra and Vieques)</w:t>
            </w:r>
          </w:p>
        </w:tc>
        <w:tc>
          <w:tcPr>
            <w:tcW w:w="2065" w:type="dxa"/>
            <w:tcBorders>
              <w:top w:val="single" w:sz="12" w:space="0" w:color="000000"/>
            </w:tcBorders>
          </w:tcPr>
          <w:p w:rsidR="00D10A31" w14:paraId="6EC24249" w14:textId="77777777">
            <w:pPr>
              <w:jc w:val="right"/>
              <w:rPr>
                <w:sz w:val="22"/>
                <w:szCs w:val="22"/>
              </w:rPr>
            </w:pPr>
            <w:r>
              <w:rPr>
                <w:sz w:val="22"/>
                <w:szCs w:val="22"/>
              </w:rPr>
              <w:t>3,285,874</w:t>
            </w:r>
          </w:p>
        </w:tc>
      </w:tr>
      <w:tr w14:paraId="32BA8DF4" w14:textId="77777777">
        <w:tblPrEx>
          <w:tblW w:w="9350" w:type="dxa"/>
          <w:tblLayout w:type="fixed"/>
          <w:tblLook w:val="0000"/>
        </w:tblPrEx>
        <w:trPr>
          <w:trHeight w:val="360"/>
        </w:trPr>
        <w:tc>
          <w:tcPr>
            <w:tcW w:w="2155" w:type="dxa"/>
          </w:tcPr>
          <w:p w:rsidR="00D10A31" w14:paraId="1B8D3D11" w14:textId="77777777">
            <w:pPr>
              <w:rPr>
                <w:sz w:val="22"/>
                <w:szCs w:val="22"/>
              </w:rPr>
            </w:pPr>
            <w:r>
              <w:rPr>
                <w:sz w:val="22"/>
                <w:szCs w:val="22"/>
              </w:rPr>
              <w:t>Florida</w:t>
            </w:r>
            <w:r>
              <w:rPr>
                <w:sz w:val="22"/>
                <w:szCs w:val="22"/>
                <w:vertAlign w:val="superscript"/>
              </w:rPr>
              <w:footnoteReference w:id="3"/>
            </w:r>
          </w:p>
          <w:p w:rsidR="00D10A31" w14:paraId="146C6DAD" w14:textId="77777777">
            <w:pPr>
              <w:rPr>
                <w:sz w:val="22"/>
                <w:szCs w:val="22"/>
              </w:rPr>
            </w:pPr>
          </w:p>
        </w:tc>
        <w:tc>
          <w:tcPr>
            <w:tcW w:w="2877" w:type="dxa"/>
            <w:tcBorders>
              <w:right w:val="nil"/>
            </w:tcBorders>
          </w:tcPr>
          <w:p w:rsidR="00D10A31" w14:paraId="1EB837AD" w14:textId="77777777">
            <w:pPr>
              <w:widowControl/>
              <w:numPr>
                <w:ilvl w:val="0"/>
                <w:numId w:val="3"/>
              </w:numPr>
              <w:pBdr>
                <w:top w:val="nil"/>
                <w:left w:val="nil"/>
                <w:bottom w:val="nil"/>
                <w:right w:val="nil"/>
                <w:between w:val="nil"/>
              </w:pBdr>
              <w:rPr>
                <w:color w:val="000000"/>
                <w:sz w:val="22"/>
                <w:szCs w:val="22"/>
              </w:rPr>
            </w:pPr>
            <w:r>
              <w:rPr>
                <w:color w:val="000000"/>
                <w:sz w:val="22"/>
                <w:szCs w:val="22"/>
              </w:rPr>
              <w:t>Monroe County</w:t>
            </w:r>
          </w:p>
          <w:p w:rsidR="00D10A31" w14:paraId="1C3CB9AC" w14:textId="77777777">
            <w:pPr>
              <w:widowControl/>
              <w:numPr>
                <w:ilvl w:val="0"/>
                <w:numId w:val="3"/>
              </w:numPr>
              <w:pBdr>
                <w:top w:val="nil"/>
                <w:left w:val="nil"/>
                <w:bottom w:val="nil"/>
                <w:right w:val="nil"/>
                <w:between w:val="nil"/>
              </w:pBdr>
              <w:rPr>
                <w:color w:val="000000"/>
                <w:sz w:val="22"/>
                <w:szCs w:val="22"/>
              </w:rPr>
            </w:pPr>
            <w:r>
              <w:rPr>
                <w:color w:val="000000"/>
                <w:sz w:val="22"/>
                <w:szCs w:val="22"/>
              </w:rPr>
              <w:t>Miami-Dade County</w:t>
            </w:r>
          </w:p>
          <w:p w:rsidR="00D10A31" w14:paraId="60ABBC72" w14:textId="77777777">
            <w:pPr>
              <w:widowControl/>
              <w:numPr>
                <w:ilvl w:val="0"/>
                <w:numId w:val="3"/>
              </w:numPr>
              <w:pBdr>
                <w:top w:val="nil"/>
                <w:left w:val="nil"/>
                <w:bottom w:val="nil"/>
                <w:right w:val="nil"/>
                <w:between w:val="nil"/>
              </w:pBdr>
              <w:ind w:right="178"/>
              <w:rPr>
                <w:color w:val="000000"/>
                <w:sz w:val="22"/>
                <w:szCs w:val="22"/>
              </w:rPr>
            </w:pPr>
            <w:r>
              <w:rPr>
                <w:color w:val="000000"/>
                <w:sz w:val="22"/>
                <w:szCs w:val="22"/>
              </w:rPr>
              <w:t>Martin County</w:t>
            </w:r>
          </w:p>
        </w:tc>
        <w:tc>
          <w:tcPr>
            <w:tcW w:w="2253" w:type="dxa"/>
            <w:tcBorders>
              <w:left w:val="nil"/>
            </w:tcBorders>
          </w:tcPr>
          <w:p w:rsidR="00D10A31" w14:paraId="37694DC3" w14:textId="77777777">
            <w:pPr>
              <w:widowControl/>
              <w:numPr>
                <w:ilvl w:val="0"/>
                <w:numId w:val="3"/>
              </w:numPr>
              <w:pBdr>
                <w:top w:val="nil"/>
                <w:left w:val="nil"/>
                <w:bottom w:val="nil"/>
                <w:right w:val="nil"/>
                <w:between w:val="nil"/>
              </w:pBdr>
              <w:rPr>
                <w:color w:val="000000"/>
                <w:sz w:val="22"/>
                <w:szCs w:val="22"/>
              </w:rPr>
            </w:pPr>
            <w:r>
              <w:rPr>
                <w:color w:val="000000"/>
                <w:sz w:val="22"/>
                <w:szCs w:val="22"/>
              </w:rPr>
              <w:t>Broward County</w:t>
            </w:r>
          </w:p>
          <w:p w:rsidR="00D10A31" w14:paraId="5DD8FE57" w14:textId="77777777">
            <w:pPr>
              <w:widowControl/>
              <w:numPr>
                <w:ilvl w:val="0"/>
                <w:numId w:val="2"/>
              </w:numPr>
              <w:pBdr>
                <w:top w:val="nil"/>
                <w:left w:val="nil"/>
                <w:bottom w:val="nil"/>
                <w:right w:val="nil"/>
                <w:between w:val="nil"/>
              </w:pBdr>
              <w:rPr>
                <w:color w:val="000000"/>
                <w:sz w:val="22"/>
                <w:szCs w:val="22"/>
              </w:rPr>
            </w:pPr>
            <w:r>
              <w:rPr>
                <w:color w:val="000000"/>
                <w:sz w:val="22"/>
                <w:szCs w:val="22"/>
              </w:rPr>
              <w:t>Palm Beach County</w:t>
            </w:r>
          </w:p>
        </w:tc>
        <w:tc>
          <w:tcPr>
            <w:tcW w:w="2065" w:type="dxa"/>
          </w:tcPr>
          <w:p w:rsidR="00D10A31" w14:paraId="68A23AE7" w14:textId="77777777">
            <w:pPr>
              <w:ind w:left="360"/>
              <w:jc w:val="right"/>
              <w:rPr>
                <w:sz w:val="22"/>
                <w:szCs w:val="22"/>
              </w:rPr>
            </w:pPr>
            <w:r>
              <w:rPr>
                <w:sz w:val="22"/>
                <w:szCs w:val="22"/>
              </w:rPr>
              <w:t>6,379,638</w:t>
            </w:r>
          </w:p>
        </w:tc>
      </w:tr>
      <w:tr w14:paraId="607495E7" w14:textId="77777777">
        <w:tblPrEx>
          <w:tblW w:w="9350" w:type="dxa"/>
          <w:tblLayout w:type="fixed"/>
          <w:tblLook w:val="0000"/>
        </w:tblPrEx>
        <w:trPr>
          <w:trHeight w:val="360"/>
        </w:trPr>
        <w:tc>
          <w:tcPr>
            <w:tcW w:w="2155" w:type="dxa"/>
          </w:tcPr>
          <w:p w:rsidR="00D10A31" w14:paraId="39E4A1E8" w14:textId="77777777">
            <w:pPr>
              <w:rPr>
                <w:sz w:val="22"/>
                <w:szCs w:val="22"/>
              </w:rPr>
            </w:pPr>
            <w:r>
              <w:rPr>
                <w:sz w:val="22"/>
                <w:szCs w:val="22"/>
              </w:rPr>
              <w:t>U.S. Virgin Islands</w:t>
            </w:r>
            <w:r>
              <w:rPr>
                <w:sz w:val="22"/>
                <w:szCs w:val="22"/>
                <w:vertAlign w:val="superscript"/>
              </w:rPr>
              <w:footnoteReference w:id="4"/>
            </w:r>
          </w:p>
        </w:tc>
        <w:tc>
          <w:tcPr>
            <w:tcW w:w="2877" w:type="dxa"/>
            <w:tcBorders>
              <w:right w:val="nil"/>
            </w:tcBorders>
          </w:tcPr>
          <w:p w:rsidR="00D10A31" w14:paraId="13241A13" w14:textId="77777777">
            <w:pPr>
              <w:widowControl/>
              <w:numPr>
                <w:ilvl w:val="0"/>
                <w:numId w:val="4"/>
              </w:numPr>
              <w:pBdr>
                <w:top w:val="nil"/>
                <w:left w:val="nil"/>
                <w:bottom w:val="nil"/>
                <w:right w:val="nil"/>
                <w:between w:val="nil"/>
              </w:pBdr>
              <w:rPr>
                <w:color w:val="000000"/>
                <w:sz w:val="22"/>
                <w:szCs w:val="22"/>
              </w:rPr>
            </w:pPr>
            <w:r>
              <w:rPr>
                <w:color w:val="000000"/>
                <w:sz w:val="22"/>
                <w:szCs w:val="22"/>
              </w:rPr>
              <w:t>St. Thomas</w:t>
            </w:r>
          </w:p>
          <w:p w:rsidR="00D10A31" w14:paraId="6B0907BE" w14:textId="77777777">
            <w:pPr>
              <w:widowControl/>
              <w:numPr>
                <w:ilvl w:val="0"/>
                <w:numId w:val="4"/>
              </w:numPr>
              <w:pBdr>
                <w:top w:val="nil"/>
                <w:left w:val="nil"/>
                <w:bottom w:val="nil"/>
                <w:right w:val="nil"/>
                <w:between w:val="nil"/>
              </w:pBdr>
              <w:rPr>
                <w:color w:val="000000"/>
                <w:sz w:val="22"/>
                <w:szCs w:val="22"/>
              </w:rPr>
            </w:pPr>
            <w:r>
              <w:rPr>
                <w:color w:val="000000"/>
                <w:sz w:val="22"/>
                <w:szCs w:val="22"/>
              </w:rPr>
              <w:t>St. Croix</w:t>
            </w:r>
          </w:p>
        </w:tc>
        <w:tc>
          <w:tcPr>
            <w:tcW w:w="2253" w:type="dxa"/>
            <w:tcBorders>
              <w:left w:val="nil"/>
            </w:tcBorders>
          </w:tcPr>
          <w:p w:rsidR="00D10A31" w14:paraId="547AF0BE" w14:textId="77777777">
            <w:pPr>
              <w:widowControl/>
              <w:numPr>
                <w:ilvl w:val="0"/>
                <w:numId w:val="5"/>
              </w:numPr>
              <w:pBdr>
                <w:top w:val="nil"/>
                <w:left w:val="nil"/>
                <w:bottom w:val="nil"/>
                <w:right w:val="nil"/>
                <w:between w:val="nil"/>
              </w:pBdr>
              <w:rPr>
                <w:color w:val="000000"/>
                <w:sz w:val="22"/>
                <w:szCs w:val="22"/>
              </w:rPr>
            </w:pPr>
            <w:r>
              <w:rPr>
                <w:color w:val="000000"/>
                <w:sz w:val="22"/>
                <w:szCs w:val="22"/>
              </w:rPr>
              <w:t>St. John</w:t>
            </w:r>
          </w:p>
        </w:tc>
        <w:tc>
          <w:tcPr>
            <w:tcW w:w="2065" w:type="dxa"/>
          </w:tcPr>
          <w:p w:rsidR="00D10A31" w14:paraId="0B729872" w14:textId="77777777">
            <w:pPr>
              <w:jc w:val="right"/>
              <w:rPr>
                <w:sz w:val="22"/>
                <w:szCs w:val="22"/>
              </w:rPr>
            </w:pPr>
            <w:r>
              <w:rPr>
                <w:sz w:val="22"/>
                <w:szCs w:val="22"/>
              </w:rPr>
              <w:t>87,146</w:t>
            </w:r>
          </w:p>
          <w:p w:rsidR="00D10A31" w14:paraId="464F04B6" w14:textId="77777777">
            <w:pPr>
              <w:jc w:val="right"/>
              <w:rPr>
                <w:sz w:val="22"/>
                <w:szCs w:val="22"/>
                <w:highlight w:val="yellow"/>
              </w:rPr>
            </w:pPr>
          </w:p>
        </w:tc>
      </w:tr>
      <w:tr w14:paraId="54202748" w14:textId="77777777">
        <w:tblPrEx>
          <w:tblW w:w="9350" w:type="dxa"/>
          <w:tblLayout w:type="fixed"/>
          <w:tblLook w:val="0000"/>
        </w:tblPrEx>
        <w:trPr>
          <w:trHeight w:val="360"/>
        </w:trPr>
        <w:tc>
          <w:tcPr>
            <w:tcW w:w="2155" w:type="dxa"/>
          </w:tcPr>
          <w:p w:rsidR="00D10A31" w14:paraId="73A7AC4F" w14:textId="77777777">
            <w:pPr>
              <w:rPr>
                <w:sz w:val="22"/>
                <w:szCs w:val="22"/>
              </w:rPr>
            </w:pPr>
            <w:r>
              <w:rPr>
                <w:sz w:val="22"/>
                <w:szCs w:val="22"/>
              </w:rPr>
              <w:t>Guam</w:t>
            </w:r>
            <w:r>
              <w:rPr>
                <w:sz w:val="22"/>
                <w:szCs w:val="22"/>
                <w:vertAlign w:val="superscript"/>
              </w:rPr>
              <w:footnoteReference w:id="5"/>
            </w:r>
          </w:p>
        </w:tc>
        <w:tc>
          <w:tcPr>
            <w:tcW w:w="5130" w:type="dxa"/>
            <w:gridSpan w:val="2"/>
          </w:tcPr>
          <w:p w:rsidR="00D10A31" w14:paraId="028A5A66" w14:textId="77777777">
            <w:pPr>
              <w:widowControl/>
              <w:numPr>
                <w:ilvl w:val="0"/>
                <w:numId w:val="5"/>
              </w:numPr>
              <w:pBdr>
                <w:top w:val="nil"/>
                <w:left w:val="nil"/>
                <w:bottom w:val="nil"/>
                <w:right w:val="nil"/>
                <w:between w:val="nil"/>
              </w:pBdr>
              <w:rPr>
                <w:color w:val="000000"/>
                <w:sz w:val="22"/>
                <w:szCs w:val="22"/>
              </w:rPr>
            </w:pPr>
            <w:r>
              <w:rPr>
                <w:color w:val="000000"/>
                <w:sz w:val="22"/>
                <w:szCs w:val="22"/>
              </w:rPr>
              <w:t>Northern villages</w:t>
            </w:r>
          </w:p>
          <w:p w:rsidR="00D10A31" w14:paraId="10BAACBC" w14:textId="77777777">
            <w:pPr>
              <w:widowControl/>
              <w:numPr>
                <w:ilvl w:val="0"/>
                <w:numId w:val="5"/>
              </w:numPr>
              <w:pBdr>
                <w:top w:val="nil"/>
                <w:left w:val="nil"/>
                <w:bottom w:val="nil"/>
                <w:right w:val="nil"/>
                <w:between w:val="nil"/>
              </w:pBdr>
              <w:rPr>
                <w:color w:val="000000"/>
                <w:sz w:val="22"/>
                <w:szCs w:val="22"/>
              </w:rPr>
            </w:pPr>
            <w:r>
              <w:rPr>
                <w:color w:val="000000"/>
                <w:sz w:val="22"/>
                <w:szCs w:val="22"/>
              </w:rPr>
              <w:t>Southern villages</w:t>
            </w:r>
          </w:p>
        </w:tc>
        <w:tc>
          <w:tcPr>
            <w:tcW w:w="2065" w:type="dxa"/>
          </w:tcPr>
          <w:p w:rsidR="00D10A31" w14:paraId="64816C2F" w14:textId="77777777">
            <w:pPr>
              <w:jc w:val="right"/>
              <w:rPr>
                <w:sz w:val="22"/>
                <w:szCs w:val="22"/>
                <w:highlight w:val="yellow"/>
              </w:rPr>
            </w:pPr>
            <w:r>
              <w:rPr>
                <w:sz w:val="22"/>
                <w:szCs w:val="22"/>
              </w:rPr>
              <w:t>153,836</w:t>
            </w:r>
          </w:p>
        </w:tc>
      </w:tr>
      <w:tr w14:paraId="6A580BDA" w14:textId="77777777">
        <w:tblPrEx>
          <w:tblW w:w="9350" w:type="dxa"/>
          <w:tblLayout w:type="fixed"/>
          <w:tblLook w:val="0000"/>
        </w:tblPrEx>
        <w:trPr>
          <w:trHeight w:val="360"/>
        </w:trPr>
        <w:tc>
          <w:tcPr>
            <w:tcW w:w="2155" w:type="dxa"/>
          </w:tcPr>
          <w:p w:rsidR="00D10A31" w14:paraId="708FD7AF" w14:textId="77777777">
            <w:pPr>
              <w:rPr>
                <w:sz w:val="22"/>
                <w:szCs w:val="22"/>
              </w:rPr>
            </w:pPr>
            <w:r>
              <w:rPr>
                <w:sz w:val="22"/>
                <w:szCs w:val="22"/>
              </w:rPr>
              <w:t>American Samoa</w:t>
            </w:r>
            <w:r>
              <w:rPr>
                <w:sz w:val="22"/>
                <w:szCs w:val="22"/>
                <w:vertAlign w:val="superscript"/>
              </w:rPr>
              <w:footnoteReference w:id="6"/>
            </w:r>
          </w:p>
          <w:p w:rsidR="00D10A31" w14:paraId="59524F4E" w14:textId="77777777">
            <w:pPr>
              <w:rPr>
                <w:sz w:val="22"/>
                <w:szCs w:val="22"/>
              </w:rPr>
            </w:pPr>
          </w:p>
        </w:tc>
        <w:tc>
          <w:tcPr>
            <w:tcW w:w="2877" w:type="dxa"/>
            <w:tcBorders>
              <w:right w:val="nil"/>
            </w:tcBorders>
          </w:tcPr>
          <w:p w:rsidR="00D10A31" w14:paraId="45B9518E" w14:textId="77777777">
            <w:pPr>
              <w:widowControl/>
              <w:numPr>
                <w:ilvl w:val="0"/>
                <w:numId w:val="2"/>
              </w:numPr>
              <w:pBdr>
                <w:top w:val="nil"/>
                <w:left w:val="nil"/>
                <w:bottom w:val="nil"/>
                <w:right w:val="nil"/>
                <w:between w:val="nil"/>
              </w:pBdr>
              <w:rPr>
                <w:color w:val="000000"/>
                <w:sz w:val="22"/>
                <w:szCs w:val="22"/>
              </w:rPr>
            </w:pPr>
            <w:r>
              <w:rPr>
                <w:color w:val="000000"/>
                <w:sz w:val="22"/>
                <w:szCs w:val="22"/>
              </w:rPr>
              <w:t>Urban villages of Tutuila</w:t>
            </w:r>
          </w:p>
          <w:p w:rsidR="00D10A31" w14:paraId="717A95D7" w14:textId="77777777">
            <w:pPr>
              <w:widowControl/>
              <w:numPr>
                <w:ilvl w:val="0"/>
                <w:numId w:val="2"/>
              </w:numPr>
              <w:pBdr>
                <w:top w:val="nil"/>
                <w:left w:val="nil"/>
                <w:bottom w:val="nil"/>
                <w:right w:val="nil"/>
                <w:between w:val="nil"/>
              </w:pBdr>
              <w:rPr>
                <w:color w:val="000000"/>
                <w:sz w:val="22"/>
                <w:szCs w:val="22"/>
              </w:rPr>
            </w:pPr>
            <w:r>
              <w:rPr>
                <w:color w:val="000000"/>
                <w:sz w:val="22"/>
                <w:szCs w:val="22"/>
              </w:rPr>
              <w:t>Semi-urban villages of Tutuila</w:t>
            </w:r>
          </w:p>
        </w:tc>
        <w:tc>
          <w:tcPr>
            <w:tcW w:w="2253" w:type="dxa"/>
            <w:tcBorders>
              <w:left w:val="nil"/>
            </w:tcBorders>
          </w:tcPr>
          <w:p w:rsidR="00D10A31" w14:paraId="06D35078" w14:textId="77777777">
            <w:pPr>
              <w:widowControl/>
              <w:numPr>
                <w:ilvl w:val="0"/>
                <w:numId w:val="2"/>
              </w:numPr>
              <w:pBdr>
                <w:top w:val="nil"/>
                <w:left w:val="nil"/>
                <w:bottom w:val="nil"/>
                <w:right w:val="nil"/>
                <w:between w:val="nil"/>
              </w:pBdr>
              <w:rPr>
                <w:color w:val="000000"/>
                <w:sz w:val="22"/>
                <w:szCs w:val="22"/>
              </w:rPr>
            </w:pPr>
            <w:r>
              <w:rPr>
                <w:color w:val="000000"/>
                <w:sz w:val="22"/>
                <w:szCs w:val="22"/>
              </w:rPr>
              <w:t>Rural villages of Tutuila</w:t>
            </w:r>
          </w:p>
          <w:p w:rsidR="00D10A31" w14:paraId="73C2CCB4" w14:textId="77777777">
            <w:pPr>
              <w:widowControl/>
              <w:numPr>
                <w:ilvl w:val="0"/>
                <w:numId w:val="2"/>
              </w:numPr>
              <w:pBdr>
                <w:top w:val="nil"/>
                <w:left w:val="nil"/>
                <w:bottom w:val="nil"/>
                <w:right w:val="nil"/>
                <w:between w:val="nil"/>
              </w:pBdr>
              <w:rPr>
                <w:color w:val="000000"/>
                <w:sz w:val="22"/>
                <w:szCs w:val="22"/>
              </w:rPr>
            </w:pPr>
            <w:r>
              <w:rPr>
                <w:color w:val="000000"/>
                <w:sz w:val="22"/>
                <w:szCs w:val="22"/>
              </w:rPr>
              <w:t>Village of Aua</w:t>
            </w:r>
          </w:p>
          <w:p w:rsidR="00D10A31" w14:paraId="13340FAD" w14:textId="77777777">
            <w:pPr>
              <w:widowControl/>
              <w:numPr>
                <w:ilvl w:val="0"/>
                <w:numId w:val="2"/>
              </w:numPr>
              <w:pBdr>
                <w:top w:val="nil"/>
                <w:left w:val="nil"/>
                <w:bottom w:val="nil"/>
                <w:right w:val="nil"/>
                <w:between w:val="nil"/>
              </w:pBdr>
              <w:rPr>
                <w:color w:val="000000"/>
                <w:sz w:val="22"/>
                <w:szCs w:val="22"/>
              </w:rPr>
            </w:pPr>
            <w:r>
              <w:rPr>
                <w:color w:val="000000"/>
                <w:sz w:val="22"/>
                <w:szCs w:val="22"/>
              </w:rPr>
              <w:t>Manu’a Islands</w:t>
            </w:r>
          </w:p>
        </w:tc>
        <w:tc>
          <w:tcPr>
            <w:tcW w:w="2065" w:type="dxa"/>
          </w:tcPr>
          <w:p w:rsidR="00D10A31" w14:paraId="4F4A241B" w14:textId="77777777">
            <w:pPr>
              <w:jc w:val="right"/>
              <w:rPr>
                <w:sz w:val="22"/>
                <w:szCs w:val="22"/>
              </w:rPr>
            </w:pPr>
            <w:r>
              <w:rPr>
                <w:sz w:val="22"/>
                <w:szCs w:val="22"/>
              </w:rPr>
              <w:t>49,393</w:t>
            </w:r>
          </w:p>
        </w:tc>
      </w:tr>
      <w:tr w14:paraId="655F569D" w14:textId="77777777">
        <w:tblPrEx>
          <w:tblW w:w="9350" w:type="dxa"/>
          <w:tblLayout w:type="fixed"/>
          <w:tblLook w:val="0000"/>
        </w:tblPrEx>
        <w:trPr>
          <w:trHeight w:val="360"/>
        </w:trPr>
        <w:tc>
          <w:tcPr>
            <w:tcW w:w="2155" w:type="dxa"/>
          </w:tcPr>
          <w:p w:rsidR="00D10A31" w14:paraId="4ECBA78D" w14:textId="77777777">
            <w:pPr>
              <w:rPr>
                <w:sz w:val="22"/>
                <w:szCs w:val="22"/>
              </w:rPr>
            </w:pPr>
            <w:r>
              <w:rPr>
                <w:sz w:val="22"/>
                <w:szCs w:val="22"/>
              </w:rPr>
              <w:t>Hawai’i</w:t>
            </w:r>
            <w:r>
              <w:rPr>
                <w:sz w:val="22"/>
                <w:szCs w:val="22"/>
                <w:vertAlign w:val="superscript"/>
              </w:rPr>
              <w:footnoteReference w:id="7"/>
            </w:r>
          </w:p>
        </w:tc>
        <w:tc>
          <w:tcPr>
            <w:tcW w:w="2877" w:type="dxa"/>
            <w:tcBorders>
              <w:right w:val="nil"/>
            </w:tcBorders>
          </w:tcPr>
          <w:p w:rsidR="00D10A31" w14:paraId="75E7A1A3" w14:textId="77777777">
            <w:pPr>
              <w:widowControl/>
              <w:numPr>
                <w:ilvl w:val="0"/>
                <w:numId w:val="2"/>
              </w:numPr>
              <w:pBdr>
                <w:top w:val="nil"/>
                <w:left w:val="nil"/>
                <w:bottom w:val="nil"/>
                <w:right w:val="nil"/>
                <w:between w:val="nil"/>
              </w:pBdr>
              <w:rPr>
                <w:color w:val="000000"/>
                <w:sz w:val="22"/>
                <w:szCs w:val="22"/>
              </w:rPr>
            </w:pPr>
            <w:r>
              <w:rPr>
                <w:color w:val="000000"/>
                <w:sz w:val="22"/>
                <w:szCs w:val="22"/>
              </w:rPr>
              <w:t>Hawai’i County</w:t>
            </w:r>
          </w:p>
          <w:p w:rsidR="00D10A31" w14:paraId="5230ED1D" w14:textId="77777777">
            <w:pPr>
              <w:widowControl/>
              <w:numPr>
                <w:ilvl w:val="0"/>
                <w:numId w:val="2"/>
              </w:numPr>
              <w:pBdr>
                <w:top w:val="nil"/>
                <w:left w:val="nil"/>
                <w:bottom w:val="nil"/>
                <w:right w:val="nil"/>
                <w:between w:val="nil"/>
              </w:pBdr>
              <w:rPr>
                <w:color w:val="000000"/>
                <w:sz w:val="22"/>
                <w:szCs w:val="22"/>
              </w:rPr>
            </w:pPr>
            <w:r>
              <w:rPr>
                <w:color w:val="000000"/>
                <w:sz w:val="22"/>
                <w:szCs w:val="22"/>
              </w:rPr>
              <w:t>Honolulu County</w:t>
            </w:r>
          </w:p>
        </w:tc>
        <w:tc>
          <w:tcPr>
            <w:tcW w:w="2253" w:type="dxa"/>
            <w:tcBorders>
              <w:left w:val="nil"/>
            </w:tcBorders>
          </w:tcPr>
          <w:p w:rsidR="00D10A31" w14:paraId="3A0557F6" w14:textId="77777777">
            <w:pPr>
              <w:widowControl/>
              <w:numPr>
                <w:ilvl w:val="0"/>
                <w:numId w:val="2"/>
              </w:numPr>
              <w:pBdr>
                <w:top w:val="nil"/>
                <w:left w:val="nil"/>
                <w:bottom w:val="nil"/>
                <w:right w:val="nil"/>
                <w:between w:val="nil"/>
              </w:pBdr>
              <w:rPr>
                <w:color w:val="000000"/>
                <w:sz w:val="22"/>
                <w:szCs w:val="22"/>
              </w:rPr>
            </w:pPr>
            <w:r>
              <w:rPr>
                <w:color w:val="000000"/>
                <w:sz w:val="22"/>
                <w:szCs w:val="22"/>
              </w:rPr>
              <w:t>Kauai County</w:t>
            </w:r>
          </w:p>
          <w:p w:rsidR="00D10A31" w14:paraId="7A0C5DD1" w14:textId="77777777">
            <w:pPr>
              <w:widowControl/>
              <w:numPr>
                <w:ilvl w:val="0"/>
                <w:numId w:val="2"/>
              </w:numPr>
              <w:pBdr>
                <w:top w:val="nil"/>
                <w:left w:val="nil"/>
                <w:bottom w:val="nil"/>
                <w:right w:val="nil"/>
                <w:between w:val="nil"/>
              </w:pBdr>
              <w:rPr>
                <w:color w:val="000000"/>
                <w:sz w:val="22"/>
                <w:szCs w:val="22"/>
              </w:rPr>
            </w:pPr>
            <w:r>
              <w:rPr>
                <w:color w:val="000000"/>
                <w:sz w:val="22"/>
                <w:szCs w:val="22"/>
              </w:rPr>
              <w:t xml:space="preserve">Maui County </w:t>
            </w:r>
          </w:p>
        </w:tc>
        <w:tc>
          <w:tcPr>
            <w:tcW w:w="2065" w:type="dxa"/>
          </w:tcPr>
          <w:p w:rsidR="00D10A31" w14:paraId="477818E1" w14:textId="77777777">
            <w:pPr>
              <w:jc w:val="right"/>
              <w:rPr>
                <w:sz w:val="22"/>
                <w:szCs w:val="22"/>
              </w:rPr>
            </w:pPr>
            <w:r>
              <w:rPr>
                <w:sz w:val="22"/>
                <w:szCs w:val="22"/>
              </w:rPr>
              <w:t>1,455,271</w:t>
            </w:r>
          </w:p>
        </w:tc>
      </w:tr>
      <w:tr w14:paraId="151D6B3F" w14:textId="77777777">
        <w:tblPrEx>
          <w:tblW w:w="9350" w:type="dxa"/>
          <w:tblLayout w:type="fixed"/>
          <w:tblLook w:val="0000"/>
        </w:tblPrEx>
        <w:trPr>
          <w:trHeight w:val="360"/>
        </w:trPr>
        <w:tc>
          <w:tcPr>
            <w:tcW w:w="2155" w:type="dxa"/>
          </w:tcPr>
          <w:p w:rsidR="00D10A31" w14:paraId="158AADF0" w14:textId="77777777">
            <w:pPr>
              <w:rPr>
                <w:sz w:val="22"/>
                <w:szCs w:val="22"/>
              </w:rPr>
            </w:pPr>
            <w:r>
              <w:rPr>
                <w:sz w:val="22"/>
                <w:szCs w:val="22"/>
              </w:rPr>
              <w:t>Commonwealth of the Northern Mariana Islands (CNMI)</w:t>
            </w:r>
            <w:r>
              <w:rPr>
                <w:sz w:val="22"/>
                <w:szCs w:val="22"/>
                <w:vertAlign w:val="superscript"/>
              </w:rPr>
              <w:footnoteReference w:id="8"/>
            </w:r>
          </w:p>
        </w:tc>
        <w:tc>
          <w:tcPr>
            <w:tcW w:w="5130" w:type="dxa"/>
            <w:gridSpan w:val="2"/>
          </w:tcPr>
          <w:p w:rsidR="00D10A31" w14:paraId="043F8F0E" w14:textId="77777777">
            <w:pPr>
              <w:widowControl/>
              <w:numPr>
                <w:ilvl w:val="0"/>
                <w:numId w:val="5"/>
              </w:numPr>
              <w:pBdr>
                <w:top w:val="nil"/>
                <w:left w:val="nil"/>
                <w:bottom w:val="nil"/>
                <w:right w:val="nil"/>
                <w:between w:val="nil"/>
              </w:pBdr>
              <w:rPr>
                <w:color w:val="000000"/>
                <w:sz w:val="22"/>
                <w:szCs w:val="22"/>
              </w:rPr>
            </w:pPr>
            <w:r>
              <w:rPr>
                <w:color w:val="000000"/>
                <w:sz w:val="22"/>
                <w:szCs w:val="22"/>
              </w:rPr>
              <w:t xml:space="preserve">Saipan municipality </w:t>
            </w:r>
          </w:p>
          <w:p w:rsidR="00D10A31" w14:paraId="155FCEC6" w14:textId="77777777">
            <w:pPr>
              <w:widowControl/>
              <w:numPr>
                <w:ilvl w:val="0"/>
                <w:numId w:val="5"/>
              </w:numPr>
              <w:pBdr>
                <w:top w:val="nil"/>
                <w:left w:val="nil"/>
                <w:bottom w:val="nil"/>
                <w:right w:val="nil"/>
                <w:between w:val="nil"/>
              </w:pBdr>
              <w:rPr>
                <w:color w:val="000000"/>
                <w:sz w:val="22"/>
                <w:szCs w:val="22"/>
              </w:rPr>
            </w:pPr>
            <w:r>
              <w:rPr>
                <w:color w:val="000000"/>
                <w:sz w:val="22"/>
                <w:szCs w:val="22"/>
              </w:rPr>
              <w:t>Tinian municipality</w:t>
            </w:r>
          </w:p>
          <w:p w:rsidR="00D10A31" w14:paraId="178C4EBC" w14:textId="77777777">
            <w:pPr>
              <w:widowControl/>
              <w:numPr>
                <w:ilvl w:val="0"/>
                <w:numId w:val="5"/>
              </w:numPr>
              <w:pBdr>
                <w:top w:val="nil"/>
                <w:left w:val="nil"/>
                <w:bottom w:val="nil"/>
                <w:right w:val="nil"/>
                <w:between w:val="nil"/>
              </w:pBdr>
              <w:rPr>
                <w:color w:val="000000"/>
                <w:sz w:val="22"/>
                <w:szCs w:val="22"/>
              </w:rPr>
            </w:pPr>
            <w:r>
              <w:rPr>
                <w:color w:val="000000"/>
                <w:sz w:val="22"/>
                <w:szCs w:val="22"/>
              </w:rPr>
              <w:t>Rota municipality</w:t>
            </w:r>
          </w:p>
        </w:tc>
        <w:tc>
          <w:tcPr>
            <w:tcW w:w="2065" w:type="dxa"/>
          </w:tcPr>
          <w:p w:rsidR="00D10A31" w14:paraId="7CB53CBD" w14:textId="77777777">
            <w:pPr>
              <w:jc w:val="right"/>
              <w:rPr>
                <w:sz w:val="22"/>
                <w:szCs w:val="22"/>
              </w:rPr>
            </w:pPr>
            <w:r>
              <w:rPr>
                <w:sz w:val="22"/>
                <w:szCs w:val="22"/>
              </w:rPr>
              <w:t>47,322</w:t>
            </w:r>
          </w:p>
          <w:p w:rsidR="00D10A31" w14:paraId="4FE81293" w14:textId="77777777">
            <w:pPr>
              <w:jc w:val="right"/>
              <w:rPr>
                <w:sz w:val="22"/>
                <w:szCs w:val="22"/>
              </w:rPr>
            </w:pPr>
          </w:p>
        </w:tc>
      </w:tr>
      <w:tr w14:paraId="07A2C3D1" w14:textId="77777777">
        <w:tblPrEx>
          <w:tblW w:w="9350" w:type="dxa"/>
          <w:tblLayout w:type="fixed"/>
          <w:tblLook w:val="0000"/>
        </w:tblPrEx>
        <w:trPr>
          <w:trHeight w:val="360"/>
        </w:trPr>
        <w:tc>
          <w:tcPr>
            <w:tcW w:w="7285" w:type="dxa"/>
            <w:gridSpan w:val="3"/>
            <w:shd w:val="clear" w:color="auto" w:fill="FFFFFF"/>
            <w:vAlign w:val="center"/>
          </w:tcPr>
          <w:p w:rsidR="00D10A31" w14:paraId="24A7FB33" w14:textId="77777777">
            <w:pPr>
              <w:widowControl/>
              <w:pBdr>
                <w:top w:val="nil"/>
                <w:left w:val="nil"/>
                <w:bottom w:val="nil"/>
                <w:right w:val="nil"/>
                <w:between w:val="nil"/>
              </w:pBdr>
              <w:ind w:left="360"/>
              <w:jc w:val="right"/>
              <w:rPr>
                <w:color w:val="000000"/>
                <w:sz w:val="22"/>
                <w:szCs w:val="22"/>
                <w:highlight w:val="yellow"/>
              </w:rPr>
            </w:pPr>
            <w:r>
              <w:rPr>
                <w:color w:val="000000"/>
                <w:sz w:val="22"/>
                <w:szCs w:val="22"/>
              </w:rPr>
              <w:t>TOTAL</w:t>
            </w:r>
          </w:p>
        </w:tc>
        <w:tc>
          <w:tcPr>
            <w:tcW w:w="2065" w:type="dxa"/>
            <w:shd w:val="clear" w:color="auto" w:fill="FFFFFF"/>
            <w:vAlign w:val="center"/>
          </w:tcPr>
          <w:p w:rsidR="00D10A31" w14:paraId="5B5C868D" w14:textId="77777777">
            <w:pPr>
              <w:ind w:firstLine="440"/>
              <w:jc w:val="right"/>
              <w:rPr>
                <w:sz w:val="22"/>
                <w:szCs w:val="22"/>
                <w:highlight w:val="yellow"/>
              </w:rPr>
            </w:pPr>
            <w:bookmarkStart w:id="5" w:name="_2et92p0" w:colFirst="0" w:colLast="0"/>
            <w:bookmarkEnd w:id="5"/>
            <w:r>
              <w:rPr>
                <w:sz w:val="22"/>
                <w:szCs w:val="22"/>
              </w:rPr>
              <w:t>11,458,480</w:t>
            </w:r>
          </w:p>
        </w:tc>
      </w:tr>
    </w:tbl>
    <w:p w:rsidR="00D10A31" w14:paraId="0A3EC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267DC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420AE1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6" w:name="_tyjcwt" w:colFirst="0" w:colLast="0"/>
      <w:bookmarkEnd w:id="6"/>
      <w:r>
        <w:rPr>
          <w:sz w:val="24"/>
          <w:szCs w:val="24"/>
        </w:rPr>
        <w:t>In each of the jurisdictions, we intend to hire qualified surveying contractors with databases of contact information in order to allow for the greatest possible randomization and coverage of survey participants. NOAA will also work with these contractors to select the most cost-effective survey methodology that will resonate with the population measured. Based on the response rates from telephone surveys conducted in previous years (Table 2), telephone surveys are not preferred. Geographic stratification with a telephone-based sample has also been difficult in previous years. Telephone surveys have faced a number of challenges over the years due to far fewer households having a landline phone and the fact that people are generally less amenable to answering survey questions over the telephone than they used to be (</w:t>
      </w:r>
      <w:r>
        <w:rPr>
          <w:sz w:val="24"/>
          <w:szCs w:val="24"/>
        </w:rPr>
        <w:t>Dillman</w:t>
      </w:r>
      <w:r>
        <w:rPr>
          <w:sz w:val="24"/>
          <w:szCs w:val="24"/>
        </w:rPr>
        <w:t>, Smyth &amp; Christian, 2014).</w:t>
      </w:r>
    </w:p>
    <w:p w:rsidR="00D10A31" w14:paraId="36721B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529586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use of face-to-face surveys remains the most appropriate mode to use in American Samoa, Guam, CNMI, Puerto Rico, and USVI, and has been sufficient in previous information collections despite low response rates (Table 2). The second round of surveys conducted in Hawai’i in 2020 used a mail push-to-web approach and yielded a response rate 17.3% higher than the first round of telephone surveys, demonstrating that this is a much more efficient approach. </w:t>
      </w:r>
    </w:p>
    <w:p w:rsidR="00D10A31" w14:paraId="4D5281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p>
    <w:p w:rsidR="00D10A31" w14:paraId="71502143" w14:textId="77777777">
      <w:pPr>
        <w:widowControl/>
        <w:pBdr>
          <w:top w:val="nil"/>
          <w:left w:val="nil"/>
          <w:bottom w:val="nil"/>
          <w:right w:val="nil"/>
          <w:between w:val="nil"/>
        </w:pBdr>
        <w:spacing w:after="200"/>
        <w:rPr>
          <w:b/>
          <w:color w:val="000000"/>
          <w:sz w:val="24"/>
          <w:szCs w:val="24"/>
        </w:rPr>
      </w:pPr>
      <w:bookmarkStart w:id="7" w:name="_3dy6vkm" w:colFirst="0" w:colLast="0"/>
      <w:bookmarkEnd w:id="7"/>
      <w:r>
        <w:rPr>
          <w:b/>
          <w:color w:val="000000"/>
          <w:sz w:val="24"/>
          <w:szCs w:val="24"/>
        </w:rPr>
        <w:t>Table 2: Previous survey modes and response rates obtained in each jurisdiction</w:t>
      </w:r>
    </w:p>
    <w:tbl>
      <w:tblPr>
        <w:tblStyle w:val="a0"/>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88"/>
        <w:gridCol w:w="1437"/>
        <w:gridCol w:w="2356"/>
        <w:gridCol w:w="1424"/>
        <w:gridCol w:w="2370"/>
      </w:tblGrid>
      <w:tr w14:paraId="701418ED" w14:textId="77777777">
        <w:tblPrEx>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3"/>
        </w:trPr>
        <w:tc>
          <w:tcPr>
            <w:tcW w:w="1888" w:type="dxa"/>
            <w:vMerge w:val="restart"/>
            <w:tcBorders>
              <w:bottom w:val="single" w:sz="12" w:space="0" w:color="000000"/>
            </w:tcBorders>
          </w:tcPr>
          <w:p w:rsidR="00D10A31" w14:paraId="2A190D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bookmarkStart w:id="8" w:name="_1t3h5sf" w:colFirst="0" w:colLast="0"/>
            <w:bookmarkEnd w:id="8"/>
            <w:r>
              <w:rPr>
                <w:b/>
                <w:sz w:val="22"/>
                <w:szCs w:val="22"/>
              </w:rPr>
              <w:t>Jurisdiction</w:t>
            </w:r>
          </w:p>
        </w:tc>
        <w:tc>
          <w:tcPr>
            <w:tcW w:w="3793" w:type="dxa"/>
            <w:gridSpan w:val="2"/>
            <w:tcBorders>
              <w:bottom w:val="single" w:sz="4" w:space="0" w:color="000000"/>
              <w:right w:val="single" w:sz="12" w:space="0" w:color="000000"/>
            </w:tcBorders>
          </w:tcPr>
          <w:p w:rsidR="00D10A31" w14:paraId="1E208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First Round</w:t>
            </w:r>
          </w:p>
        </w:tc>
        <w:tc>
          <w:tcPr>
            <w:tcW w:w="3794" w:type="dxa"/>
            <w:gridSpan w:val="2"/>
            <w:tcBorders>
              <w:left w:val="single" w:sz="12" w:space="0" w:color="000000"/>
              <w:bottom w:val="single" w:sz="4" w:space="0" w:color="000000"/>
            </w:tcBorders>
          </w:tcPr>
          <w:p w:rsidR="00D10A31" w14:paraId="60EFF1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Second Round</w:t>
            </w:r>
          </w:p>
        </w:tc>
      </w:tr>
      <w:tr w14:paraId="50270C27" w14:textId="77777777">
        <w:tblPrEx>
          <w:tblW w:w="9475" w:type="dxa"/>
          <w:tblLayout w:type="fixed"/>
          <w:tblLook w:val="0000"/>
        </w:tblPrEx>
        <w:trPr>
          <w:trHeight w:val="569"/>
        </w:trPr>
        <w:tc>
          <w:tcPr>
            <w:tcW w:w="1888" w:type="dxa"/>
            <w:vMerge/>
            <w:tcBorders>
              <w:bottom w:val="single" w:sz="12" w:space="0" w:color="000000"/>
            </w:tcBorders>
          </w:tcPr>
          <w:p w:rsidR="00D10A31" w14:paraId="4E0D2B97" w14:textId="77777777">
            <w:pPr>
              <w:pBdr>
                <w:top w:val="nil"/>
                <w:left w:val="nil"/>
                <w:bottom w:val="nil"/>
                <w:right w:val="nil"/>
                <w:between w:val="nil"/>
              </w:pBdr>
              <w:spacing w:line="276" w:lineRule="auto"/>
              <w:rPr>
                <w:sz w:val="22"/>
                <w:szCs w:val="22"/>
              </w:rPr>
            </w:pPr>
          </w:p>
        </w:tc>
        <w:tc>
          <w:tcPr>
            <w:tcW w:w="1437" w:type="dxa"/>
            <w:tcBorders>
              <w:bottom w:val="single" w:sz="12" w:space="0" w:color="000000"/>
            </w:tcBorders>
          </w:tcPr>
          <w:p w:rsidR="00D10A31" w14:paraId="6A4E2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2356" w:type="dxa"/>
            <w:tcBorders>
              <w:bottom w:val="single" w:sz="12" w:space="0" w:color="000000"/>
              <w:right w:val="single" w:sz="12" w:space="0" w:color="000000"/>
            </w:tcBorders>
          </w:tcPr>
          <w:p w:rsidR="00D10A31" w14:paraId="52DA80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c>
          <w:tcPr>
            <w:tcW w:w="1424" w:type="dxa"/>
            <w:tcBorders>
              <w:left w:val="single" w:sz="12" w:space="0" w:color="000000"/>
              <w:bottom w:val="single" w:sz="12" w:space="0" w:color="000000"/>
            </w:tcBorders>
          </w:tcPr>
          <w:p w:rsidR="00D10A31" w14:paraId="2388B3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2370" w:type="dxa"/>
            <w:tcBorders>
              <w:bottom w:val="single" w:sz="12" w:space="0" w:color="000000"/>
            </w:tcBorders>
          </w:tcPr>
          <w:p w:rsidR="00D10A31" w14:paraId="4E69E9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r>
      <w:tr w14:paraId="4D775DC3" w14:textId="77777777">
        <w:tblPrEx>
          <w:tblW w:w="9475" w:type="dxa"/>
          <w:tblLayout w:type="fixed"/>
          <w:tblLook w:val="0000"/>
        </w:tblPrEx>
        <w:trPr>
          <w:trHeight w:val="273"/>
        </w:trPr>
        <w:tc>
          <w:tcPr>
            <w:tcW w:w="1888" w:type="dxa"/>
            <w:tcBorders>
              <w:top w:val="single" w:sz="12" w:space="0" w:color="000000"/>
            </w:tcBorders>
            <w:vAlign w:val="center"/>
          </w:tcPr>
          <w:p w:rsidR="00D10A31" w14:paraId="050A1953" w14:textId="77777777">
            <w:pPr>
              <w:rPr>
                <w:sz w:val="22"/>
                <w:szCs w:val="22"/>
              </w:rPr>
            </w:pPr>
            <w:r>
              <w:rPr>
                <w:sz w:val="22"/>
                <w:szCs w:val="22"/>
              </w:rPr>
              <w:t xml:space="preserve">1. American   </w:t>
            </w:r>
          </w:p>
          <w:p w:rsidR="00D10A31" w14:paraId="6F7A40DE" w14:textId="77777777">
            <w:pPr>
              <w:rPr>
                <w:sz w:val="22"/>
                <w:szCs w:val="22"/>
              </w:rPr>
            </w:pPr>
            <w:r>
              <w:rPr>
                <w:sz w:val="22"/>
                <w:szCs w:val="22"/>
              </w:rPr>
              <w:t xml:space="preserve">    Samoa</w:t>
            </w:r>
          </w:p>
        </w:tc>
        <w:tc>
          <w:tcPr>
            <w:tcW w:w="1437" w:type="dxa"/>
            <w:tcBorders>
              <w:top w:val="single" w:sz="12" w:space="0" w:color="000000"/>
            </w:tcBorders>
            <w:vAlign w:val="center"/>
          </w:tcPr>
          <w:p w:rsidR="00D10A31" w14:paraId="40177BEF" w14:textId="77777777">
            <w:pPr>
              <w:jc w:val="center"/>
              <w:rPr>
                <w:sz w:val="22"/>
                <w:szCs w:val="22"/>
              </w:rPr>
            </w:pPr>
            <w:r>
              <w:rPr>
                <w:sz w:val="22"/>
                <w:szCs w:val="22"/>
              </w:rPr>
              <w:t>448</w:t>
            </w:r>
          </w:p>
        </w:tc>
        <w:tc>
          <w:tcPr>
            <w:tcW w:w="2356" w:type="dxa"/>
            <w:tcBorders>
              <w:top w:val="single" w:sz="12" w:space="0" w:color="000000"/>
              <w:right w:val="single" w:sz="12" w:space="0" w:color="000000"/>
            </w:tcBorders>
          </w:tcPr>
          <w:p w:rsidR="00D10A31" w14:paraId="5FFA6041" w14:textId="77777777">
            <w:pPr>
              <w:rPr>
                <w:sz w:val="22"/>
                <w:szCs w:val="22"/>
              </w:rPr>
            </w:pPr>
            <w:r>
              <w:rPr>
                <w:sz w:val="22"/>
                <w:szCs w:val="22"/>
              </w:rPr>
              <w:t>Face-to-face: unavailable</w:t>
            </w:r>
          </w:p>
        </w:tc>
        <w:tc>
          <w:tcPr>
            <w:tcW w:w="1424" w:type="dxa"/>
            <w:tcBorders>
              <w:top w:val="single" w:sz="12" w:space="0" w:color="000000"/>
              <w:left w:val="single" w:sz="12" w:space="0" w:color="000000"/>
            </w:tcBorders>
            <w:vAlign w:val="center"/>
          </w:tcPr>
          <w:p w:rsidR="00D10A31" w14:paraId="234B950D" w14:textId="77777777">
            <w:pPr>
              <w:jc w:val="center"/>
              <w:rPr>
                <w:sz w:val="22"/>
                <w:szCs w:val="22"/>
              </w:rPr>
            </w:pPr>
            <w:r>
              <w:rPr>
                <w:sz w:val="22"/>
                <w:szCs w:val="22"/>
              </w:rPr>
              <w:t>1,318</w:t>
            </w:r>
          </w:p>
        </w:tc>
        <w:tc>
          <w:tcPr>
            <w:tcW w:w="2370" w:type="dxa"/>
            <w:tcBorders>
              <w:top w:val="single" w:sz="12" w:space="0" w:color="000000"/>
            </w:tcBorders>
            <w:vAlign w:val="center"/>
          </w:tcPr>
          <w:p w:rsidR="00D10A31" w14:paraId="25A1DBBB" w14:textId="77777777">
            <w:pPr>
              <w:rPr>
                <w:sz w:val="22"/>
                <w:szCs w:val="22"/>
              </w:rPr>
            </w:pPr>
            <w:r>
              <w:rPr>
                <w:sz w:val="22"/>
                <w:szCs w:val="22"/>
              </w:rPr>
              <w:t>Face-to-face: 19%</w:t>
            </w:r>
          </w:p>
        </w:tc>
      </w:tr>
      <w:tr w14:paraId="027D0B9F" w14:textId="77777777">
        <w:tblPrEx>
          <w:tblW w:w="9475" w:type="dxa"/>
          <w:tblLayout w:type="fixed"/>
          <w:tblLook w:val="0000"/>
        </w:tblPrEx>
        <w:trPr>
          <w:trHeight w:val="533"/>
        </w:trPr>
        <w:tc>
          <w:tcPr>
            <w:tcW w:w="1888" w:type="dxa"/>
            <w:vAlign w:val="center"/>
          </w:tcPr>
          <w:p w:rsidR="00D10A31" w14:paraId="7754F0F5" w14:textId="77777777">
            <w:pPr>
              <w:rPr>
                <w:sz w:val="22"/>
                <w:szCs w:val="22"/>
              </w:rPr>
            </w:pPr>
            <w:r>
              <w:rPr>
                <w:sz w:val="22"/>
                <w:szCs w:val="22"/>
              </w:rPr>
              <w:t>2. CNMI</w:t>
            </w:r>
          </w:p>
        </w:tc>
        <w:tc>
          <w:tcPr>
            <w:tcW w:w="1437" w:type="dxa"/>
            <w:vAlign w:val="center"/>
          </w:tcPr>
          <w:p w:rsidR="00D10A31" w14:paraId="10ACCF28" w14:textId="77777777">
            <w:pPr>
              <w:jc w:val="center"/>
              <w:rPr>
                <w:sz w:val="22"/>
                <w:szCs w:val="22"/>
              </w:rPr>
            </w:pPr>
            <w:r>
              <w:rPr>
                <w:sz w:val="22"/>
                <w:szCs w:val="22"/>
              </w:rPr>
              <w:t>722</w:t>
            </w:r>
          </w:p>
        </w:tc>
        <w:tc>
          <w:tcPr>
            <w:tcW w:w="2356" w:type="dxa"/>
            <w:tcBorders>
              <w:right w:val="single" w:sz="12" w:space="0" w:color="000000"/>
            </w:tcBorders>
          </w:tcPr>
          <w:p w:rsidR="00D10A31" w14:paraId="5093F797" w14:textId="77777777">
            <w:pPr>
              <w:rPr>
                <w:sz w:val="22"/>
                <w:szCs w:val="22"/>
              </w:rPr>
            </w:pPr>
            <w:r>
              <w:rPr>
                <w:sz w:val="22"/>
                <w:szCs w:val="22"/>
              </w:rPr>
              <w:t xml:space="preserve">Telephone: 20% </w:t>
            </w:r>
          </w:p>
          <w:p w:rsidR="00D10A31" w14:paraId="578E2F53" w14:textId="77777777">
            <w:pPr>
              <w:rPr>
                <w:sz w:val="22"/>
                <w:szCs w:val="22"/>
              </w:rPr>
            </w:pPr>
            <w:r>
              <w:rPr>
                <w:sz w:val="22"/>
                <w:szCs w:val="22"/>
              </w:rPr>
              <w:t>(702 responses)</w:t>
            </w:r>
          </w:p>
          <w:p w:rsidR="00D10A31" w14:paraId="04BA6A55" w14:textId="77777777">
            <w:pPr>
              <w:rPr>
                <w:sz w:val="22"/>
                <w:szCs w:val="22"/>
              </w:rPr>
            </w:pPr>
            <w:r>
              <w:rPr>
                <w:sz w:val="22"/>
                <w:szCs w:val="22"/>
              </w:rPr>
              <w:t xml:space="preserve">Face-to-face: 29% </w:t>
            </w:r>
          </w:p>
          <w:p w:rsidR="00D10A31" w14:paraId="7E8DF6EC" w14:textId="77777777">
            <w:pPr>
              <w:rPr>
                <w:sz w:val="22"/>
                <w:szCs w:val="22"/>
              </w:rPr>
            </w:pPr>
            <w:r>
              <w:rPr>
                <w:sz w:val="22"/>
                <w:szCs w:val="22"/>
              </w:rPr>
              <w:t>(20 responses)</w:t>
            </w:r>
          </w:p>
        </w:tc>
        <w:tc>
          <w:tcPr>
            <w:tcW w:w="1424" w:type="dxa"/>
            <w:tcBorders>
              <w:left w:val="single" w:sz="12" w:space="0" w:color="000000"/>
            </w:tcBorders>
          </w:tcPr>
          <w:p w:rsidR="00D10A31" w14:paraId="2746B6D8" w14:textId="77777777">
            <w:pPr>
              <w:rPr>
                <w:sz w:val="22"/>
                <w:szCs w:val="22"/>
              </w:rPr>
            </w:pPr>
          </w:p>
        </w:tc>
        <w:tc>
          <w:tcPr>
            <w:tcW w:w="2370" w:type="dxa"/>
          </w:tcPr>
          <w:p w:rsidR="00D10A31" w14:paraId="5EE140BA" w14:textId="77777777">
            <w:pPr>
              <w:rPr>
                <w:sz w:val="22"/>
                <w:szCs w:val="22"/>
              </w:rPr>
            </w:pPr>
          </w:p>
        </w:tc>
      </w:tr>
      <w:tr w14:paraId="6408BBA1" w14:textId="77777777">
        <w:tblPrEx>
          <w:tblW w:w="9475" w:type="dxa"/>
          <w:tblLayout w:type="fixed"/>
          <w:tblLook w:val="0000"/>
        </w:tblPrEx>
        <w:trPr>
          <w:trHeight w:val="629"/>
        </w:trPr>
        <w:tc>
          <w:tcPr>
            <w:tcW w:w="1888" w:type="dxa"/>
            <w:vAlign w:val="center"/>
          </w:tcPr>
          <w:p w:rsidR="00D10A31" w14:paraId="12338365" w14:textId="77777777">
            <w:pPr>
              <w:rPr>
                <w:sz w:val="22"/>
                <w:szCs w:val="22"/>
              </w:rPr>
            </w:pPr>
            <w:r>
              <w:rPr>
                <w:sz w:val="22"/>
                <w:szCs w:val="22"/>
              </w:rPr>
              <w:t>3. Guam</w:t>
            </w:r>
          </w:p>
        </w:tc>
        <w:tc>
          <w:tcPr>
            <w:tcW w:w="1437" w:type="dxa"/>
            <w:vAlign w:val="center"/>
          </w:tcPr>
          <w:p w:rsidR="00D10A31" w14:paraId="5D4468BF" w14:textId="77777777">
            <w:pPr>
              <w:jc w:val="center"/>
              <w:rPr>
                <w:sz w:val="22"/>
                <w:szCs w:val="22"/>
              </w:rPr>
            </w:pPr>
            <w:r>
              <w:rPr>
                <w:sz w:val="22"/>
                <w:szCs w:val="22"/>
              </w:rPr>
              <w:t>712</w:t>
            </w:r>
          </w:p>
        </w:tc>
        <w:tc>
          <w:tcPr>
            <w:tcW w:w="2356" w:type="dxa"/>
            <w:tcBorders>
              <w:right w:val="single" w:sz="12" w:space="0" w:color="000000"/>
            </w:tcBorders>
            <w:vAlign w:val="center"/>
          </w:tcPr>
          <w:p w:rsidR="00D10A31" w14:paraId="24735AEE" w14:textId="77777777">
            <w:pPr>
              <w:rPr>
                <w:sz w:val="22"/>
                <w:szCs w:val="22"/>
              </w:rPr>
            </w:pPr>
            <w:r>
              <w:rPr>
                <w:sz w:val="22"/>
                <w:szCs w:val="22"/>
              </w:rPr>
              <w:t>Telephone: 13%</w:t>
            </w:r>
          </w:p>
          <w:p w:rsidR="00D10A31" w14:paraId="78741361" w14:textId="77777777">
            <w:pPr>
              <w:rPr>
                <w:sz w:val="22"/>
                <w:szCs w:val="22"/>
              </w:rPr>
            </w:pPr>
            <w:r>
              <w:rPr>
                <w:sz w:val="22"/>
                <w:szCs w:val="22"/>
              </w:rPr>
              <w:t>Face-to-face: 60%</w:t>
            </w:r>
          </w:p>
        </w:tc>
        <w:tc>
          <w:tcPr>
            <w:tcW w:w="1424" w:type="dxa"/>
            <w:tcBorders>
              <w:left w:val="single" w:sz="12" w:space="0" w:color="000000"/>
            </w:tcBorders>
            <w:vAlign w:val="center"/>
          </w:tcPr>
          <w:p w:rsidR="00D10A31" w14:paraId="181875EA" w14:textId="77777777">
            <w:pPr>
              <w:jc w:val="center"/>
              <w:rPr>
                <w:sz w:val="22"/>
                <w:szCs w:val="22"/>
              </w:rPr>
            </w:pPr>
            <w:r>
              <w:rPr>
                <w:sz w:val="22"/>
                <w:szCs w:val="22"/>
              </w:rPr>
              <w:t>653</w:t>
            </w:r>
          </w:p>
        </w:tc>
        <w:tc>
          <w:tcPr>
            <w:tcW w:w="2370" w:type="dxa"/>
          </w:tcPr>
          <w:p w:rsidR="00D10A31" w14:paraId="7D704747" w14:textId="77777777">
            <w:pPr>
              <w:rPr>
                <w:sz w:val="22"/>
                <w:szCs w:val="22"/>
              </w:rPr>
            </w:pPr>
            <w:r>
              <w:rPr>
                <w:sz w:val="22"/>
                <w:szCs w:val="22"/>
              </w:rPr>
              <w:t>Total: 19.7%</w:t>
            </w:r>
          </w:p>
          <w:p w:rsidR="00D10A31" w14:paraId="576B749D" w14:textId="77777777">
            <w:pPr>
              <w:rPr>
                <w:sz w:val="22"/>
                <w:szCs w:val="22"/>
              </w:rPr>
            </w:pPr>
            <w:r>
              <w:rPr>
                <w:sz w:val="22"/>
                <w:szCs w:val="22"/>
              </w:rPr>
              <w:t>Face-to-face: 15.2%</w:t>
            </w:r>
          </w:p>
          <w:p w:rsidR="00D10A31" w14:paraId="506594C2" w14:textId="77777777">
            <w:pPr>
              <w:rPr>
                <w:sz w:val="22"/>
                <w:szCs w:val="22"/>
              </w:rPr>
            </w:pPr>
            <w:r>
              <w:rPr>
                <w:sz w:val="22"/>
                <w:szCs w:val="22"/>
              </w:rPr>
              <w:t>Online: 4.4%</w:t>
            </w:r>
          </w:p>
        </w:tc>
      </w:tr>
      <w:tr w14:paraId="2D86D185" w14:textId="77777777">
        <w:tblPrEx>
          <w:tblW w:w="9475" w:type="dxa"/>
          <w:tblLayout w:type="fixed"/>
          <w:tblLook w:val="0000"/>
        </w:tblPrEx>
        <w:trPr>
          <w:trHeight w:val="533"/>
        </w:trPr>
        <w:tc>
          <w:tcPr>
            <w:tcW w:w="1888" w:type="dxa"/>
            <w:vAlign w:val="center"/>
          </w:tcPr>
          <w:p w:rsidR="00D10A31" w14:paraId="3E12F192" w14:textId="77777777">
            <w:pPr>
              <w:rPr>
                <w:sz w:val="22"/>
                <w:szCs w:val="22"/>
              </w:rPr>
            </w:pPr>
            <w:r>
              <w:rPr>
                <w:sz w:val="22"/>
                <w:szCs w:val="22"/>
              </w:rPr>
              <w:t>4. Hawai’i</w:t>
            </w:r>
          </w:p>
        </w:tc>
        <w:tc>
          <w:tcPr>
            <w:tcW w:w="1437" w:type="dxa"/>
            <w:vAlign w:val="center"/>
          </w:tcPr>
          <w:p w:rsidR="00D10A31" w14:paraId="77CA3EF5" w14:textId="77777777">
            <w:pPr>
              <w:jc w:val="center"/>
              <w:rPr>
                <w:sz w:val="22"/>
                <w:szCs w:val="22"/>
              </w:rPr>
            </w:pPr>
            <w:r>
              <w:rPr>
                <w:sz w:val="22"/>
                <w:szCs w:val="22"/>
              </w:rPr>
              <w:t>2,240</w:t>
            </w:r>
          </w:p>
        </w:tc>
        <w:tc>
          <w:tcPr>
            <w:tcW w:w="2356" w:type="dxa"/>
            <w:tcBorders>
              <w:right w:val="single" w:sz="12" w:space="0" w:color="000000"/>
            </w:tcBorders>
            <w:vAlign w:val="center"/>
          </w:tcPr>
          <w:p w:rsidR="00D10A31" w14:paraId="24DE43CD" w14:textId="77777777">
            <w:pPr>
              <w:rPr>
                <w:sz w:val="22"/>
                <w:szCs w:val="22"/>
              </w:rPr>
            </w:pPr>
            <w:r>
              <w:rPr>
                <w:sz w:val="22"/>
                <w:szCs w:val="22"/>
              </w:rPr>
              <w:t>Telephone: 1.5%</w:t>
            </w:r>
          </w:p>
        </w:tc>
        <w:tc>
          <w:tcPr>
            <w:tcW w:w="1424" w:type="dxa"/>
            <w:tcBorders>
              <w:left w:val="single" w:sz="12" w:space="0" w:color="000000"/>
            </w:tcBorders>
            <w:vAlign w:val="center"/>
          </w:tcPr>
          <w:p w:rsidR="00D10A31" w14:paraId="7DDBE09E" w14:textId="77777777">
            <w:pPr>
              <w:jc w:val="center"/>
              <w:rPr>
                <w:sz w:val="22"/>
                <w:szCs w:val="22"/>
              </w:rPr>
            </w:pPr>
            <w:r>
              <w:rPr>
                <w:sz w:val="22"/>
                <w:szCs w:val="22"/>
              </w:rPr>
              <w:t>2,700</w:t>
            </w:r>
          </w:p>
        </w:tc>
        <w:tc>
          <w:tcPr>
            <w:tcW w:w="2370" w:type="dxa"/>
          </w:tcPr>
          <w:p w:rsidR="00D10A31" w14:paraId="774502BC" w14:textId="77777777">
            <w:pPr>
              <w:rPr>
                <w:sz w:val="22"/>
                <w:szCs w:val="22"/>
              </w:rPr>
            </w:pPr>
            <w:r>
              <w:rPr>
                <w:sz w:val="22"/>
                <w:szCs w:val="22"/>
              </w:rPr>
              <w:t>Mail push-to-web: 18.8%</w:t>
            </w:r>
          </w:p>
        </w:tc>
      </w:tr>
      <w:tr w14:paraId="237BA268" w14:textId="77777777">
        <w:tblPrEx>
          <w:tblW w:w="9475" w:type="dxa"/>
          <w:tblLayout w:type="fixed"/>
          <w:tblLook w:val="0000"/>
        </w:tblPrEx>
        <w:trPr>
          <w:trHeight w:val="350"/>
        </w:trPr>
        <w:tc>
          <w:tcPr>
            <w:tcW w:w="1888" w:type="dxa"/>
            <w:vAlign w:val="center"/>
          </w:tcPr>
          <w:p w:rsidR="00D10A31" w14:paraId="2820B276" w14:textId="77777777">
            <w:pPr>
              <w:rPr>
                <w:sz w:val="22"/>
                <w:szCs w:val="22"/>
              </w:rPr>
            </w:pPr>
            <w:r>
              <w:rPr>
                <w:sz w:val="22"/>
                <w:szCs w:val="22"/>
              </w:rPr>
              <w:t>5. Florida</w:t>
            </w:r>
          </w:p>
        </w:tc>
        <w:tc>
          <w:tcPr>
            <w:tcW w:w="1437" w:type="dxa"/>
            <w:vAlign w:val="center"/>
          </w:tcPr>
          <w:p w:rsidR="00D10A31" w14:paraId="096B15DD" w14:textId="77777777">
            <w:pPr>
              <w:jc w:val="center"/>
              <w:rPr>
                <w:sz w:val="22"/>
                <w:szCs w:val="22"/>
              </w:rPr>
            </w:pPr>
            <w:r>
              <w:rPr>
                <w:sz w:val="22"/>
                <w:szCs w:val="22"/>
              </w:rPr>
              <w:t>1,210</w:t>
            </w:r>
          </w:p>
        </w:tc>
        <w:tc>
          <w:tcPr>
            <w:tcW w:w="2356" w:type="dxa"/>
            <w:tcBorders>
              <w:right w:val="single" w:sz="12" w:space="0" w:color="000000"/>
            </w:tcBorders>
            <w:vAlign w:val="center"/>
          </w:tcPr>
          <w:p w:rsidR="00D10A31" w14:paraId="6C326D37" w14:textId="77777777">
            <w:pPr>
              <w:rPr>
                <w:sz w:val="22"/>
                <w:szCs w:val="22"/>
              </w:rPr>
            </w:pPr>
            <w:r>
              <w:rPr>
                <w:sz w:val="22"/>
                <w:szCs w:val="22"/>
              </w:rPr>
              <w:t>Telephone: 12%</w:t>
            </w:r>
          </w:p>
        </w:tc>
        <w:tc>
          <w:tcPr>
            <w:tcW w:w="1424" w:type="dxa"/>
            <w:tcBorders>
              <w:left w:val="single" w:sz="12" w:space="0" w:color="000000"/>
            </w:tcBorders>
            <w:vAlign w:val="center"/>
          </w:tcPr>
          <w:p w:rsidR="00D10A31" w14:paraId="6594BE14" w14:textId="77777777">
            <w:pPr>
              <w:jc w:val="center"/>
              <w:rPr>
                <w:sz w:val="22"/>
                <w:szCs w:val="22"/>
              </w:rPr>
            </w:pPr>
            <w:r>
              <w:rPr>
                <w:sz w:val="22"/>
                <w:szCs w:val="22"/>
              </w:rPr>
              <w:t>2,201</w:t>
            </w:r>
          </w:p>
        </w:tc>
        <w:tc>
          <w:tcPr>
            <w:tcW w:w="2370" w:type="dxa"/>
            <w:vAlign w:val="center"/>
          </w:tcPr>
          <w:p w:rsidR="00D10A31" w14:paraId="164D0313" w14:textId="77777777">
            <w:pPr>
              <w:rPr>
                <w:sz w:val="22"/>
                <w:szCs w:val="22"/>
              </w:rPr>
            </w:pPr>
            <w:r>
              <w:rPr>
                <w:sz w:val="22"/>
                <w:szCs w:val="22"/>
              </w:rPr>
              <w:t xml:space="preserve">Telephone: 13.5% </w:t>
            </w:r>
          </w:p>
        </w:tc>
      </w:tr>
      <w:tr w14:paraId="5FA7C80C" w14:textId="77777777">
        <w:tblPrEx>
          <w:tblW w:w="9475" w:type="dxa"/>
          <w:tblLayout w:type="fixed"/>
          <w:tblLook w:val="0000"/>
        </w:tblPrEx>
        <w:trPr>
          <w:trHeight w:val="350"/>
        </w:trPr>
        <w:tc>
          <w:tcPr>
            <w:tcW w:w="1888" w:type="dxa"/>
            <w:vAlign w:val="center"/>
          </w:tcPr>
          <w:p w:rsidR="00D10A31" w14:paraId="59123397" w14:textId="77777777">
            <w:pPr>
              <w:rPr>
                <w:sz w:val="22"/>
                <w:szCs w:val="22"/>
              </w:rPr>
            </w:pPr>
            <w:r>
              <w:rPr>
                <w:sz w:val="22"/>
                <w:szCs w:val="22"/>
              </w:rPr>
              <w:t>6. Puerto Rico</w:t>
            </w:r>
          </w:p>
        </w:tc>
        <w:tc>
          <w:tcPr>
            <w:tcW w:w="1437" w:type="dxa"/>
            <w:vAlign w:val="center"/>
          </w:tcPr>
          <w:p w:rsidR="00D10A31" w14:paraId="2A521075" w14:textId="77777777">
            <w:pPr>
              <w:jc w:val="center"/>
              <w:rPr>
                <w:sz w:val="22"/>
                <w:szCs w:val="22"/>
              </w:rPr>
            </w:pPr>
            <w:r>
              <w:rPr>
                <w:sz w:val="22"/>
                <w:szCs w:val="22"/>
              </w:rPr>
              <w:t>2,494</w:t>
            </w:r>
          </w:p>
        </w:tc>
        <w:tc>
          <w:tcPr>
            <w:tcW w:w="2356" w:type="dxa"/>
            <w:tcBorders>
              <w:right w:val="single" w:sz="12" w:space="0" w:color="000000"/>
            </w:tcBorders>
            <w:vAlign w:val="center"/>
          </w:tcPr>
          <w:p w:rsidR="00D10A31" w14:paraId="294E21DC" w14:textId="77777777">
            <w:pPr>
              <w:rPr>
                <w:sz w:val="22"/>
                <w:szCs w:val="22"/>
              </w:rPr>
            </w:pPr>
            <w:r>
              <w:rPr>
                <w:sz w:val="22"/>
                <w:szCs w:val="22"/>
              </w:rPr>
              <w:t>Telephone: 2%</w:t>
            </w:r>
          </w:p>
        </w:tc>
        <w:tc>
          <w:tcPr>
            <w:tcW w:w="1424" w:type="dxa"/>
            <w:tcBorders>
              <w:left w:val="single" w:sz="12" w:space="0" w:color="000000"/>
            </w:tcBorders>
            <w:vAlign w:val="center"/>
          </w:tcPr>
          <w:p w:rsidR="00D10A31" w14:paraId="3575C818" w14:textId="77777777">
            <w:pPr>
              <w:jc w:val="center"/>
              <w:rPr>
                <w:sz w:val="22"/>
                <w:szCs w:val="22"/>
              </w:rPr>
            </w:pPr>
            <w:r>
              <w:rPr>
                <w:sz w:val="22"/>
                <w:szCs w:val="22"/>
              </w:rPr>
              <w:t>980</w:t>
            </w:r>
          </w:p>
        </w:tc>
        <w:tc>
          <w:tcPr>
            <w:tcW w:w="2370" w:type="dxa"/>
          </w:tcPr>
          <w:p w:rsidR="00D10A31" w14:paraId="028A0C07" w14:textId="77777777">
            <w:pPr>
              <w:rPr>
                <w:sz w:val="22"/>
                <w:szCs w:val="22"/>
              </w:rPr>
            </w:pPr>
            <w:r>
              <w:rPr>
                <w:sz w:val="22"/>
                <w:szCs w:val="22"/>
              </w:rPr>
              <w:t xml:space="preserve">Total: 21.6% </w:t>
            </w:r>
          </w:p>
          <w:p w:rsidR="00D10A31" w14:paraId="04FC0AB7" w14:textId="77777777">
            <w:pPr>
              <w:rPr>
                <w:sz w:val="22"/>
                <w:szCs w:val="22"/>
              </w:rPr>
            </w:pPr>
            <w:r>
              <w:rPr>
                <w:sz w:val="22"/>
                <w:szCs w:val="22"/>
              </w:rPr>
              <w:t>Face-to-face: 19.8%</w:t>
            </w:r>
          </w:p>
          <w:p w:rsidR="00D10A31" w14:paraId="5433BB5D" w14:textId="77777777">
            <w:pPr>
              <w:rPr>
                <w:sz w:val="22"/>
                <w:szCs w:val="22"/>
              </w:rPr>
            </w:pPr>
            <w:r>
              <w:rPr>
                <w:sz w:val="22"/>
                <w:szCs w:val="22"/>
              </w:rPr>
              <w:t>Online: 1.8%</w:t>
            </w:r>
          </w:p>
        </w:tc>
      </w:tr>
      <w:tr w14:paraId="357C4DFB" w14:textId="77777777">
        <w:tblPrEx>
          <w:tblW w:w="9475" w:type="dxa"/>
          <w:tblLayout w:type="fixed"/>
          <w:tblLook w:val="0000"/>
        </w:tblPrEx>
        <w:trPr>
          <w:trHeight w:val="557"/>
        </w:trPr>
        <w:tc>
          <w:tcPr>
            <w:tcW w:w="1888" w:type="dxa"/>
            <w:vAlign w:val="center"/>
          </w:tcPr>
          <w:p w:rsidR="00D10A31" w14:paraId="42B26D25" w14:textId="77777777">
            <w:pPr>
              <w:rPr>
                <w:sz w:val="22"/>
                <w:szCs w:val="22"/>
              </w:rPr>
            </w:pPr>
            <w:r>
              <w:rPr>
                <w:sz w:val="22"/>
                <w:szCs w:val="22"/>
              </w:rPr>
              <w:t xml:space="preserve">7. U.S. Virgin </w:t>
            </w:r>
          </w:p>
          <w:p w:rsidR="00D10A31" w14:paraId="5211F6C9" w14:textId="77777777">
            <w:pPr>
              <w:rPr>
                <w:sz w:val="22"/>
                <w:szCs w:val="22"/>
              </w:rPr>
            </w:pPr>
            <w:r>
              <w:rPr>
                <w:sz w:val="22"/>
                <w:szCs w:val="22"/>
              </w:rPr>
              <w:t xml:space="preserve">    Islands</w:t>
            </w:r>
          </w:p>
        </w:tc>
        <w:tc>
          <w:tcPr>
            <w:tcW w:w="1437" w:type="dxa"/>
            <w:vAlign w:val="center"/>
          </w:tcPr>
          <w:p w:rsidR="00D10A31" w14:paraId="16356EC3" w14:textId="77777777">
            <w:pPr>
              <w:jc w:val="center"/>
              <w:rPr>
                <w:sz w:val="22"/>
                <w:szCs w:val="22"/>
              </w:rPr>
            </w:pPr>
            <w:r>
              <w:rPr>
                <w:sz w:val="22"/>
                <w:szCs w:val="22"/>
              </w:rPr>
              <w:t>1,188</w:t>
            </w:r>
          </w:p>
        </w:tc>
        <w:tc>
          <w:tcPr>
            <w:tcW w:w="2356" w:type="dxa"/>
            <w:tcBorders>
              <w:right w:val="single" w:sz="12" w:space="0" w:color="000000"/>
            </w:tcBorders>
          </w:tcPr>
          <w:p w:rsidR="00D10A31" w14:paraId="1AE6FE57" w14:textId="77777777">
            <w:pPr>
              <w:rPr>
                <w:sz w:val="22"/>
                <w:szCs w:val="22"/>
              </w:rPr>
            </w:pPr>
            <w:r>
              <w:rPr>
                <w:sz w:val="22"/>
                <w:szCs w:val="22"/>
              </w:rPr>
              <w:t>Telephone: 28%</w:t>
            </w:r>
          </w:p>
          <w:p w:rsidR="00D10A31" w14:paraId="2AB81EBB" w14:textId="77777777">
            <w:pPr>
              <w:rPr>
                <w:sz w:val="22"/>
                <w:szCs w:val="22"/>
              </w:rPr>
            </w:pPr>
            <w:r>
              <w:rPr>
                <w:sz w:val="22"/>
                <w:szCs w:val="22"/>
              </w:rPr>
              <w:t>Face-to-face:15-20%</w:t>
            </w:r>
          </w:p>
        </w:tc>
        <w:tc>
          <w:tcPr>
            <w:tcW w:w="1424" w:type="dxa"/>
            <w:tcBorders>
              <w:left w:val="single" w:sz="12" w:space="0" w:color="000000"/>
            </w:tcBorders>
          </w:tcPr>
          <w:p w:rsidR="00D10A31" w14:paraId="747FBE94" w14:textId="77777777">
            <w:pPr>
              <w:rPr>
                <w:sz w:val="22"/>
                <w:szCs w:val="22"/>
              </w:rPr>
            </w:pPr>
          </w:p>
        </w:tc>
        <w:tc>
          <w:tcPr>
            <w:tcW w:w="2370" w:type="dxa"/>
          </w:tcPr>
          <w:p w:rsidR="00D10A31" w14:paraId="63BF1B04" w14:textId="77777777">
            <w:pPr>
              <w:rPr>
                <w:sz w:val="22"/>
                <w:szCs w:val="22"/>
              </w:rPr>
            </w:pPr>
          </w:p>
        </w:tc>
      </w:tr>
    </w:tbl>
    <w:p w:rsidR="00D10A31" w14:paraId="7CC874BD" w14:textId="77777777">
      <w:pPr>
        <w:rPr>
          <w:sz w:val="24"/>
          <w:szCs w:val="24"/>
        </w:rPr>
      </w:pPr>
      <w:bookmarkStart w:id="9" w:name="_4d34og8" w:colFirst="0" w:colLast="0"/>
      <w:bookmarkEnd w:id="9"/>
    </w:p>
    <w:p w:rsidR="00D10A31" w14:paraId="31337FB5" w14:textId="77777777">
      <w:pPr>
        <w:rPr>
          <w:sz w:val="24"/>
          <w:szCs w:val="24"/>
        </w:rPr>
      </w:pPr>
    </w:p>
    <w:p w:rsidR="00D10A31" w14:paraId="1FB6FEC6" w14:textId="77777777">
      <w:pPr>
        <w:rPr>
          <w:sz w:val="24"/>
          <w:szCs w:val="24"/>
        </w:rPr>
      </w:pPr>
      <w:r>
        <w:rPr>
          <w:sz w:val="24"/>
          <w:szCs w:val="24"/>
        </w:rPr>
        <w:t xml:space="preserve">The survey methodology proposed for this information collection is based on the previous NCRMP survey response rates achieved in the jurisdictions (Table 2) and recommendations by jurisdictional partners (Table 3). While this is the proposed plan, each jurisdictional survey will also be informed by the local contractors and any new advancements in survey methodology and technology as they arise in future information collections. Face-to-face surveys will be implemented in five of the jurisdictions to achieve the targeted sample size based on previously achieved response rates in round 2 of NCRMP studies and a 10% non-deliverable/ineligible rate. These response rates also incorporate the budget and estimated costs of conducting face-to-face surveys. </w:t>
      </w:r>
    </w:p>
    <w:p w:rsidR="00D10A31" w14:paraId="4A58B85D" w14:textId="77777777">
      <w:pPr>
        <w:rPr>
          <w:sz w:val="24"/>
          <w:szCs w:val="24"/>
        </w:rPr>
      </w:pPr>
    </w:p>
    <w:p w:rsidR="00D10A31" w14:paraId="48A597BC" w14:textId="77777777">
      <w:pPr>
        <w:rPr>
          <w:sz w:val="24"/>
          <w:szCs w:val="24"/>
        </w:rPr>
      </w:pPr>
      <w:r>
        <w:rPr>
          <w:sz w:val="24"/>
          <w:szCs w:val="24"/>
        </w:rPr>
        <w:t>There are only a few studies in the jurisdictions that have reported in-person response rates, and the rates and methodological approaches vary. For example, in-person household surveys conducted in Puerto Rico achieved a 71.5% (Perez et al., 2008) and 85.5% (</w:t>
      </w:r>
      <w:r>
        <w:rPr>
          <w:sz w:val="24"/>
          <w:szCs w:val="24"/>
        </w:rPr>
        <w:t>Gravlee</w:t>
      </w:r>
      <w:r>
        <w:rPr>
          <w:sz w:val="24"/>
          <w:szCs w:val="24"/>
        </w:rPr>
        <w:t xml:space="preserve"> &amp; Dressler, </w:t>
      </w:r>
      <w:r>
        <w:rPr>
          <w:sz w:val="24"/>
          <w:szCs w:val="24"/>
        </w:rPr>
        <w:t>2005); in Guam and CNMI, 48% (Guerrero et al., 2017); in American Samoa, 55% (</w:t>
      </w:r>
      <w:r>
        <w:rPr>
          <w:sz w:val="24"/>
          <w:szCs w:val="24"/>
        </w:rPr>
        <w:t>Fiaui</w:t>
      </w:r>
      <w:r>
        <w:rPr>
          <w:sz w:val="24"/>
          <w:szCs w:val="24"/>
        </w:rPr>
        <w:t xml:space="preserve"> &amp; </w:t>
      </w:r>
      <w:r>
        <w:rPr>
          <w:sz w:val="24"/>
          <w:szCs w:val="24"/>
        </w:rPr>
        <w:t>Hishinuma</w:t>
      </w:r>
      <w:r>
        <w:rPr>
          <w:sz w:val="24"/>
          <w:szCs w:val="24"/>
        </w:rPr>
        <w:t>, 2009) and 80% (American Samoa Department of Health, 2007); and in Hawai’i, 37.3% (</w:t>
      </w:r>
      <w:r>
        <w:rPr>
          <w:sz w:val="24"/>
          <w:szCs w:val="24"/>
        </w:rPr>
        <w:t>Fiaui</w:t>
      </w:r>
      <w:r>
        <w:rPr>
          <w:sz w:val="24"/>
          <w:szCs w:val="24"/>
        </w:rPr>
        <w:t xml:space="preserve"> &amp; </w:t>
      </w:r>
      <w:r>
        <w:rPr>
          <w:sz w:val="24"/>
          <w:szCs w:val="24"/>
        </w:rPr>
        <w:t>Hishinuma</w:t>
      </w:r>
      <w:r>
        <w:rPr>
          <w:sz w:val="24"/>
          <w:szCs w:val="24"/>
        </w:rPr>
        <w:t>, 2009). The first round of NCRMP surveys in CNMI and USVI achieved low response rates using a combination of telephone and face-to-face surveys (Table 2). Data collection in USVI and American Samoa in round 1 were opportunistic. The response rate for USVI was an approximation, and no rate was reported for American Samoa. In round 2, the response rates in American Samoa, Guam, and Puerto Rico were lower than the external studies cited above. Since telephone surveys will no longer be used, more effort will be allocated to maximizing response rates to face-to-face and mixed-mode surveys. As stated in other sections of the Supporting Statement, NCRMP data collections use a rigorous and proportional address-based sampling approach with multiple levels of randomization. This ensures high data quality standards, but may reduce response rates.</w:t>
      </w:r>
    </w:p>
    <w:p w:rsidR="00D10A31" w14:paraId="13BAD9DF" w14:textId="77777777">
      <w:pPr>
        <w:rPr>
          <w:sz w:val="24"/>
          <w:szCs w:val="24"/>
        </w:rPr>
      </w:pPr>
    </w:p>
    <w:p w:rsidR="00D10A31" w14:paraId="0244F9EF" w14:textId="77777777">
      <w:pPr>
        <w:rPr>
          <w:sz w:val="24"/>
          <w:szCs w:val="24"/>
        </w:rPr>
      </w:pPr>
    </w:p>
    <w:p w:rsidR="00D10A31" w14:paraId="2B3508F6" w14:textId="77777777">
      <w:pPr>
        <w:widowControl/>
        <w:pBdr>
          <w:top w:val="nil"/>
          <w:left w:val="nil"/>
          <w:bottom w:val="nil"/>
          <w:right w:val="nil"/>
          <w:between w:val="nil"/>
        </w:pBdr>
        <w:spacing w:after="200"/>
        <w:rPr>
          <w:b/>
          <w:color w:val="000000"/>
          <w:sz w:val="24"/>
          <w:szCs w:val="24"/>
        </w:rPr>
      </w:pPr>
      <w:bookmarkStart w:id="10" w:name="_2s8eyo1" w:colFirst="0" w:colLast="0"/>
      <w:bookmarkEnd w:id="10"/>
      <w:r>
        <w:rPr>
          <w:b/>
          <w:color w:val="000000"/>
          <w:sz w:val="24"/>
          <w:szCs w:val="24"/>
        </w:rPr>
        <w:t>Table 3: Proposed survey methodology and estimated response rates by U.S. coral reef jurisdiction</w:t>
      </w:r>
    </w:p>
    <w:tbl>
      <w:tblPr>
        <w:tblStyle w:val="a1"/>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96"/>
        <w:gridCol w:w="1596"/>
        <w:gridCol w:w="1483"/>
        <w:gridCol w:w="1800"/>
        <w:gridCol w:w="1440"/>
        <w:gridCol w:w="1440"/>
      </w:tblGrid>
      <w:tr w14:paraId="5425CCED" w14:textId="77777777">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1250"/>
        </w:trPr>
        <w:tc>
          <w:tcPr>
            <w:tcW w:w="1596" w:type="dxa"/>
            <w:tcBorders>
              <w:bottom w:val="single" w:sz="12" w:space="0" w:color="000000"/>
            </w:tcBorders>
            <w:shd w:val="clear" w:color="auto" w:fill="FFFFFF"/>
            <w:vAlign w:val="center"/>
          </w:tcPr>
          <w:p w:rsidR="00D10A31" w14:paraId="2CA5959F" w14:textId="77777777">
            <w:pPr>
              <w:jc w:val="center"/>
              <w:rPr>
                <w:sz w:val="22"/>
                <w:szCs w:val="22"/>
              </w:rPr>
            </w:pPr>
            <w:r>
              <w:rPr>
                <w:b/>
                <w:sz w:val="22"/>
                <w:szCs w:val="22"/>
              </w:rPr>
              <w:t>Jurisdiction</w:t>
            </w:r>
          </w:p>
        </w:tc>
        <w:tc>
          <w:tcPr>
            <w:tcW w:w="1596" w:type="dxa"/>
            <w:tcBorders>
              <w:bottom w:val="single" w:sz="12" w:space="0" w:color="000000"/>
            </w:tcBorders>
            <w:shd w:val="clear" w:color="auto" w:fill="FFFFFF"/>
            <w:vAlign w:val="center"/>
          </w:tcPr>
          <w:p w:rsidR="00D10A31" w14:paraId="6769AD7B" w14:textId="77777777">
            <w:pPr>
              <w:jc w:val="center"/>
              <w:rPr>
                <w:sz w:val="22"/>
                <w:szCs w:val="22"/>
              </w:rPr>
            </w:pPr>
            <w:r>
              <w:rPr>
                <w:b/>
                <w:sz w:val="22"/>
                <w:szCs w:val="22"/>
              </w:rPr>
              <w:t>Survey Mode</w:t>
            </w:r>
          </w:p>
        </w:tc>
        <w:tc>
          <w:tcPr>
            <w:tcW w:w="1483" w:type="dxa"/>
            <w:tcBorders>
              <w:bottom w:val="single" w:sz="12" w:space="0" w:color="000000"/>
            </w:tcBorders>
            <w:shd w:val="clear" w:color="auto" w:fill="FFFFFF"/>
            <w:vAlign w:val="center"/>
          </w:tcPr>
          <w:p w:rsidR="00D10A31" w14:paraId="5C3134C7" w14:textId="77777777">
            <w:pPr>
              <w:jc w:val="center"/>
              <w:rPr>
                <w:sz w:val="22"/>
                <w:szCs w:val="22"/>
              </w:rPr>
            </w:pPr>
            <w:r>
              <w:rPr>
                <w:b/>
                <w:sz w:val="22"/>
                <w:szCs w:val="22"/>
              </w:rPr>
              <w:t>Total Number of Contacts Required</w:t>
            </w:r>
          </w:p>
        </w:tc>
        <w:tc>
          <w:tcPr>
            <w:tcW w:w="1800" w:type="dxa"/>
            <w:tcBorders>
              <w:bottom w:val="single" w:sz="12" w:space="0" w:color="000000"/>
            </w:tcBorders>
            <w:shd w:val="clear" w:color="auto" w:fill="FFFFFF"/>
            <w:vAlign w:val="center"/>
          </w:tcPr>
          <w:p w:rsidR="00D10A31" w14:paraId="66C2A21D" w14:textId="77777777">
            <w:pPr>
              <w:jc w:val="center"/>
              <w:rPr>
                <w:sz w:val="22"/>
                <w:szCs w:val="22"/>
              </w:rPr>
            </w:pPr>
            <w:r>
              <w:rPr>
                <w:b/>
                <w:sz w:val="22"/>
                <w:szCs w:val="22"/>
              </w:rPr>
              <w:t>Estimated Sample Size (excluding 10% non-deliverables and ineligibles)</w:t>
            </w:r>
          </w:p>
        </w:tc>
        <w:tc>
          <w:tcPr>
            <w:tcW w:w="1440" w:type="dxa"/>
            <w:tcBorders>
              <w:bottom w:val="single" w:sz="12" w:space="0" w:color="000000"/>
            </w:tcBorders>
            <w:shd w:val="clear" w:color="auto" w:fill="FFFFFF"/>
            <w:vAlign w:val="center"/>
          </w:tcPr>
          <w:p w:rsidR="00D10A31" w14:paraId="53D21AFC" w14:textId="77777777">
            <w:pPr>
              <w:jc w:val="center"/>
              <w:rPr>
                <w:sz w:val="22"/>
                <w:szCs w:val="22"/>
              </w:rPr>
            </w:pPr>
            <w:r>
              <w:rPr>
                <w:b/>
                <w:sz w:val="22"/>
                <w:szCs w:val="22"/>
              </w:rPr>
              <w:t>Estimated Response Rate</w:t>
            </w:r>
          </w:p>
        </w:tc>
        <w:tc>
          <w:tcPr>
            <w:tcW w:w="1440" w:type="dxa"/>
            <w:tcBorders>
              <w:bottom w:val="single" w:sz="12" w:space="0" w:color="000000"/>
            </w:tcBorders>
            <w:shd w:val="clear" w:color="auto" w:fill="FFFFFF"/>
            <w:vAlign w:val="center"/>
          </w:tcPr>
          <w:p w:rsidR="00D10A31" w14:paraId="3E621754" w14:textId="77777777">
            <w:pPr>
              <w:jc w:val="center"/>
              <w:rPr>
                <w:sz w:val="22"/>
                <w:szCs w:val="22"/>
              </w:rPr>
            </w:pPr>
            <w:r>
              <w:rPr>
                <w:b/>
                <w:sz w:val="22"/>
                <w:szCs w:val="22"/>
              </w:rPr>
              <w:t>Expected Number of Respondents</w:t>
            </w:r>
          </w:p>
        </w:tc>
      </w:tr>
      <w:tr w14:paraId="2A816E18" w14:textId="77777777">
        <w:tblPrEx>
          <w:tblW w:w="9355" w:type="dxa"/>
          <w:tblLayout w:type="fixed"/>
          <w:tblLook w:val="0000"/>
        </w:tblPrEx>
        <w:trPr>
          <w:trHeight w:val="329"/>
        </w:trPr>
        <w:tc>
          <w:tcPr>
            <w:tcW w:w="1596" w:type="dxa"/>
            <w:tcBorders>
              <w:top w:val="single" w:sz="12" w:space="0" w:color="000000"/>
            </w:tcBorders>
            <w:vAlign w:val="center"/>
          </w:tcPr>
          <w:p w:rsidR="00D10A31" w14:paraId="49339104" w14:textId="77777777">
            <w:pPr>
              <w:rPr>
                <w:sz w:val="22"/>
                <w:szCs w:val="22"/>
              </w:rPr>
            </w:pPr>
            <w:r>
              <w:rPr>
                <w:sz w:val="22"/>
                <w:szCs w:val="22"/>
              </w:rPr>
              <w:t xml:space="preserve">1. American </w:t>
            </w:r>
          </w:p>
          <w:p w:rsidR="00D10A31" w14:paraId="5A4F1607" w14:textId="77777777">
            <w:pPr>
              <w:rPr>
                <w:sz w:val="22"/>
                <w:szCs w:val="22"/>
              </w:rPr>
            </w:pPr>
            <w:r>
              <w:rPr>
                <w:sz w:val="22"/>
                <w:szCs w:val="22"/>
              </w:rPr>
              <w:t xml:space="preserve">    Samoa</w:t>
            </w:r>
          </w:p>
        </w:tc>
        <w:tc>
          <w:tcPr>
            <w:tcW w:w="1596" w:type="dxa"/>
            <w:tcBorders>
              <w:top w:val="single" w:sz="12" w:space="0" w:color="000000"/>
            </w:tcBorders>
            <w:vAlign w:val="center"/>
          </w:tcPr>
          <w:p w:rsidR="00D10A31" w14:paraId="270CE0A3" w14:textId="77777777">
            <w:pPr>
              <w:jc w:val="center"/>
              <w:rPr>
                <w:sz w:val="22"/>
                <w:szCs w:val="22"/>
              </w:rPr>
            </w:pPr>
            <w:r>
              <w:rPr>
                <w:sz w:val="22"/>
                <w:szCs w:val="22"/>
              </w:rPr>
              <w:t>Face-to-face</w:t>
            </w:r>
          </w:p>
          <w:p w:rsidR="00D10A31" w14:paraId="34129BBE" w14:textId="77777777">
            <w:pPr>
              <w:jc w:val="center"/>
              <w:rPr>
                <w:sz w:val="22"/>
                <w:szCs w:val="22"/>
              </w:rPr>
            </w:pPr>
            <w:r>
              <w:rPr>
                <w:sz w:val="22"/>
                <w:szCs w:val="22"/>
              </w:rPr>
              <w:t>(with internet option)</w:t>
            </w:r>
          </w:p>
        </w:tc>
        <w:tc>
          <w:tcPr>
            <w:tcW w:w="1483" w:type="dxa"/>
            <w:tcBorders>
              <w:top w:val="single" w:sz="12" w:space="0" w:color="000000"/>
            </w:tcBorders>
            <w:vAlign w:val="center"/>
          </w:tcPr>
          <w:p w:rsidR="00D10A31" w14:paraId="48ED8949" w14:textId="77777777">
            <w:pPr>
              <w:jc w:val="center"/>
              <w:rPr>
                <w:sz w:val="22"/>
                <w:szCs w:val="22"/>
              </w:rPr>
            </w:pPr>
            <w:r>
              <w:rPr>
                <w:sz w:val="22"/>
                <w:szCs w:val="22"/>
              </w:rPr>
              <w:t>4,527</w:t>
            </w:r>
          </w:p>
        </w:tc>
        <w:tc>
          <w:tcPr>
            <w:tcW w:w="1800" w:type="dxa"/>
            <w:tcBorders>
              <w:top w:val="single" w:sz="12" w:space="0" w:color="000000"/>
            </w:tcBorders>
            <w:vAlign w:val="center"/>
          </w:tcPr>
          <w:p w:rsidR="00D10A31" w14:paraId="5BB89760" w14:textId="77777777">
            <w:pPr>
              <w:jc w:val="center"/>
              <w:rPr>
                <w:sz w:val="22"/>
                <w:szCs w:val="22"/>
              </w:rPr>
            </w:pPr>
            <w:r>
              <w:rPr>
                <w:sz w:val="22"/>
                <w:szCs w:val="22"/>
              </w:rPr>
              <w:t>4,075</w:t>
            </w:r>
          </w:p>
        </w:tc>
        <w:tc>
          <w:tcPr>
            <w:tcW w:w="1440" w:type="dxa"/>
            <w:tcBorders>
              <w:top w:val="single" w:sz="12" w:space="0" w:color="000000"/>
            </w:tcBorders>
            <w:vAlign w:val="center"/>
          </w:tcPr>
          <w:p w:rsidR="00D10A31" w14:paraId="53942041" w14:textId="77777777">
            <w:pPr>
              <w:jc w:val="center"/>
              <w:rPr>
                <w:sz w:val="22"/>
                <w:szCs w:val="22"/>
              </w:rPr>
            </w:pPr>
            <w:r>
              <w:rPr>
                <w:sz w:val="22"/>
                <w:szCs w:val="22"/>
              </w:rPr>
              <w:t>20%</w:t>
            </w:r>
          </w:p>
        </w:tc>
        <w:tc>
          <w:tcPr>
            <w:tcW w:w="1440" w:type="dxa"/>
            <w:tcBorders>
              <w:top w:val="single" w:sz="12" w:space="0" w:color="000000"/>
            </w:tcBorders>
            <w:vAlign w:val="center"/>
          </w:tcPr>
          <w:p w:rsidR="00D10A31" w14:paraId="74A64A68" w14:textId="77777777">
            <w:pPr>
              <w:jc w:val="center"/>
              <w:rPr>
                <w:sz w:val="22"/>
                <w:szCs w:val="22"/>
              </w:rPr>
            </w:pPr>
            <w:r>
              <w:rPr>
                <w:sz w:val="22"/>
                <w:szCs w:val="22"/>
              </w:rPr>
              <w:t>815</w:t>
            </w:r>
          </w:p>
        </w:tc>
      </w:tr>
      <w:tr w14:paraId="5C790998" w14:textId="77777777">
        <w:tblPrEx>
          <w:tblW w:w="9355" w:type="dxa"/>
          <w:tblLayout w:type="fixed"/>
          <w:tblLook w:val="0000"/>
        </w:tblPrEx>
        <w:trPr>
          <w:trHeight w:val="338"/>
        </w:trPr>
        <w:tc>
          <w:tcPr>
            <w:tcW w:w="1596" w:type="dxa"/>
            <w:vAlign w:val="center"/>
          </w:tcPr>
          <w:p w:rsidR="00D10A31" w14:paraId="4269615D" w14:textId="77777777">
            <w:pPr>
              <w:rPr>
                <w:sz w:val="22"/>
                <w:szCs w:val="22"/>
              </w:rPr>
            </w:pPr>
            <w:r>
              <w:rPr>
                <w:sz w:val="22"/>
                <w:szCs w:val="22"/>
              </w:rPr>
              <w:t>2. CNMI</w:t>
            </w:r>
          </w:p>
        </w:tc>
        <w:tc>
          <w:tcPr>
            <w:tcW w:w="1596" w:type="dxa"/>
            <w:vAlign w:val="center"/>
          </w:tcPr>
          <w:p w:rsidR="00D10A31" w14:paraId="5FC91409" w14:textId="77777777">
            <w:pPr>
              <w:jc w:val="center"/>
              <w:rPr>
                <w:sz w:val="22"/>
                <w:szCs w:val="22"/>
              </w:rPr>
            </w:pPr>
            <w:r>
              <w:rPr>
                <w:sz w:val="22"/>
                <w:szCs w:val="22"/>
              </w:rPr>
              <w:t>Face-to-face</w:t>
            </w:r>
          </w:p>
          <w:p w:rsidR="00D10A31" w14:paraId="401282A6" w14:textId="77777777">
            <w:pPr>
              <w:jc w:val="center"/>
              <w:rPr>
                <w:sz w:val="22"/>
                <w:szCs w:val="22"/>
              </w:rPr>
            </w:pPr>
            <w:r>
              <w:rPr>
                <w:sz w:val="22"/>
                <w:szCs w:val="22"/>
              </w:rPr>
              <w:t>(with internet option)</w:t>
            </w:r>
          </w:p>
        </w:tc>
        <w:tc>
          <w:tcPr>
            <w:tcW w:w="1483" w:type="dxa"/>
            <w:vAlign w:val="center"/>
          </w:tcPr>
          <w:p w:rsidR="00D10A31" w14:paraId="212AEAEE" w14:textId="77777777">
            <w:pPr>
              <w:jc w:val="center"/>
              <w:rPr>
                <w:sz w:val="22"/>
                <w:szCs w:val="22"/>
              </w:rPr>
            </w:pPr>
            <w:r>
              <w:rPr>
                <w:sz w:val="22"/>
                <w:szCs w:val="22"/>
              </w:rPr>
              <w:t>8,888</w:t>
            </w:r>
          </w:p>
        </w:tc>
        <w:tc>
          <w:tcPr>
            <w:tcW w:w="1800" w:type="dxa"/>
            <w:vAlign w:val="center"/>
          </w:tcPr>
          <w:p w:rsidR="00D10A31" w14:paraId="06837106" w14:textId="77777777">
            <w:pPr>
              <w:jc w:val="center"/>
              <w:rPr>
                <w:sz w:val="22"/>
                <w:szCs w:val="22"/>
              </w:rPr>
            </w:pPr>
            <w:r>
              <w:rPr>
                <w:sz w:val="22"/>
                <w:szCs w:val="22"/>
              </w:rPr>
              <w:t>8,000</w:t>
            </w:r>
          </w:p>
        </w:tc>
        <w:tc>
          <w:tcPr>
            <w:tcW w:w="1440" w:type="dxa"/>
            <w:vAlign w:val="center"/>
          </w:tcPr>
          <w:p w:rsidR="00D10A31" w14:paraId="7B93AE5F" w14:textId="77777777">
            <w:pPr>
              <w:jc w:val="center"/>
              <w:rPr>
                <w:sz w:val="22"/>
                <w:szCs w:val="22"/>
              </w:rPr>
            </w:pPr>
            <w:r>
              <w:rPr>
                <w:sz w:val="22"/>
                <w:szCs w:val="22"/>
              </w:rPr>
              <w:t>20%</w:t>
            </w:r>
          </w:p>
        </w:tc>
        <w:tc>
          <w:tcPr>
            <w:tcW w:w="1440" w:type="dxa"/>
            <w:vAlign w:val="center"/>
          </w:tcPr>
          <w:p w:rsidR="00D10A31" w14:paraId="6B955F61" w14:textId="77777777">
            <w:pPr>
              <w:jc w:val="center"/>
              <w:rPr>
                <w:sz w:val="22"/>
                <w:szCs w:val="22"/>
              </w:rPr>
            </w:pPr>
            <w:r>
              <w:rPr>
                <w:sz w:val="22"/>
                <w:szCs w:val="22"/>
              </w:rPr>
              <w:t>1,600</w:t>
            </w:r>
          </w:p>
        </w:tc>
      </w:tr>
      <w:tr w14:paraId="6EDA5777" w14:textId="77777777">
        <w:tblPrEx>
          <w:tblW w:w="9355" w:type="dxa"/>
          <w:tblLayout w:type="fixed"/>
          <w:tblLook w:val="0000"/>
        </w:tblPrEx>
        <w:trPr>
          <w:trHeight w:val="349"/>
        </w:trPr>
        <w:tc>
          <w:tcPr>
            <w:tcW w:w="1596" w:type="dxa"/>
            <w:vAlign w:val="center"/>
          </w:tcPr>
          <w:p w:rsidR="00D10A31" w14:paraId="2A71E1B7" w14:textId="77777777">
            <w:pPr>
              <w:rPr>
                <w:sz w:val="22"/>
                <w:szCs w:val="22"/>
              </w:rPr>
            </w:pPr>
            <w:r>
              <w:rPr>
                <w:sz w:val="22"/>
                <w:szCs w:val="22"/>
              </w:rPr>
              <w:t>3. Guam</w:t>
            </w:r>
          </w:p>
        </w:tc>
        <w:tc>
          <w:tcPr>
            <w:tcW w:w="1596" w:type="dxa"/>
            <w:vAlign w:val="center"/>
          </w:tcPr>
          <w:p w:rsidR="00D10A31" w14:paraId="6DECE69F" w14:textId="77777777">
            <w:pPr>
              <w:jc w:val="center"/>
              <w:rPr>
                <w:sz w:val="22"/>
                <w:szCs w:val="22"/>
              </w:rPr>
            </w:pPr>
            <w:r>
              <w:rPr>
                <w:sz w:val="22"/>
                <w:szCs w:val="22"/>
              </w:rPr>
              <w:t>Face-to-face</w:t>
            </w:r>
          </w:p>
          <w:p w:rsidR="00D10A31" w14:paraId="345843FE" w14:textId="77777777">
            <w:pPr>
              <w:jc w:val="center"/>
              <w:rPr>
                <w:sz w:val="22"/>
                <w:szCs w:val="22"/>
              </w:rPr>
            </w:pPr>
            <w:r>
              <w:rPr>
                <w:sz w:val="22"/>
                <w:szCs w:val="22"/>
              </w:rPr>
              <w:t>(with internet option)</w:t>
            </w:r>
          </w:p>
        </w:tc>
        <w:tc>
          <w:tcPr>
            <w:tcW w:w="1483" w:type="dxa"/>
            <w:vAlign w:val="center"/>
          </w:tcPr>
          <w:p w:rsidR="00D10A31" w14:paraId="39354635" w14:textId="77777777">
            <w:pPr>
              <w:jc w:val="center"/>
              <w:rPr>
                <w:sz w:val="22"/>
                <w:szCs w:val="22"/>
              </w:rPr>
            </w:pPr>
            <w:r>
              <w:rPr>
                <w:sz w:val="22"/>
                <w:szCs w:val="22"/>
              </w:rPr>
              <w:t>4,444</w:t>
            </w:r>
          </w:p>
        </w:tc>
        <w:tc>
          <w:tcPr>
            <w:tcW w:w="1800" w:type="dxa"/>
            <w:vAlign w:val="center"/>
          </w:tcPr>
          <w:p w:rsidR="00D10A31" w14:paraId="4BD33E6A" w14:textId="77777777">
            <w:pPr>
              <w:jc w:val="center"/>
              <w:rPr>
                <w:sz w:val="22"/>
                <w:szCs w:val="22"/>
              </w:rPr>
            </w:pPr>
            <w:r>
              <w:rPr>
                <w:sz w:val="22"/>
                <w:szCs w:val="22"/>
              </w:rPr>
              <w:t>4,000</w:t>
            </w:r>
          </w:p>
        </w:tc>
        <w:tc>
          <w:tcPr>
            <w:tcW w:w="1440" w:type="dxa"/>
            <w:vAlign w:val="center"/>
          </w:tcPr>
          <w:p w:rsidR="00D10A31" w14:paraId="020E3636" w14:textId="77777777">
            <w:pPr>
              <w:jc w:val="center"/>
              <w:rPr>
                <w:sz w:val="22"/>
                <w:szCs w:val="22"/>
              </w:rPr>
            </w:pPr>
            <w:r>
              <w:rPr>
                <w:sz w:val="22"/>
                <w:szCs w:val="22"/>
              </w:rPr>
              <w:t>20%</w:t>
            </w:r>
          </w:p>
        </w:tc>
        <w:tc>
          <w:tcPr>
            <w:tcW w:w="1440" w:type="dxa"/>
            <w:vAlign w:val="center"/>
          </w:tcPr>
          <w:p w:rsidR="00D10A31" w14:paraId="764276F4" w14:textId="77777777">
            <w:pPr>
              <w:jc w:val="center"/>
              <w:rPr>
                <w:sz w:val="22"/>
                <w:szCs w:val="22"/>
              </w:rPr>
            </w:pPr>
            <w:r>
              <w:rPr>
                <w:sz w:val="22"/>
                <w:szCs w:val="22"/>
              </w:rPr>
              <w:t>800</w:t>
            </w:r>
          </w:p>
        </w:tc>
      </w:tr>
      <w:tr w14:paraId="453DDF71" w14:textId="77777777">
        <w:tblPrEx>
          <w:tblW w:w="9355" w:type="dxa"/>
          <w:tblLayout w:type="fixed"/>
          <w:tblLook w:val="0000"/>
        </w:tblPrEx>
        <w:trPr>
          <w:trHeight w:val="329"/>
        </w:trPr>
        <w:tc>
          <w:tcPr>
            <w:tcW w:w="1596" w:type="dxa"/>
            <w:vAlign w:val="center"/>
          </w:tcPr>
          <w:p w:rsidR="00D10A31" w14:paraId="495A657E" w14:textId="77777777">
            <w:pPr>
              <w:rPr>
                <w:sz w:val="22"/>
                <w:szCs w:val="22"/>
              </w:rPr>
            </w:pPr>
            <w:r>
              <w:rPr>
                <w:sz w:val="22"/>
                <w:szCs w:val="22"/>
              </w:rPr>
              <w:t>4. Hawai’i</w:t>
            </w:r>
          </w:p>
        </w:tc>
        <w:tc>
          <w:tcPr>
            <w:tcW w:w="1596" w:type="dxa"/>
            <w:vAlign w:val="center"/>
          </w:tcPr>
          <w:p w:rsidR="00D10A31" w14:paraId="2BF476F4" w14:textId="77777777">
            <w:pPr>
              <w:jc w:val="center"/>
              <w:rPr>
                <w:sz w:val="22"/>
                <w:szCs w:val="22"/>
              </w:rPr>
            </w:pPr>
            <w:r>
              <w:rPr>
                <w:sz w:val="22"/>
                <w:szCs w:val="22"/>
              </w:rPr>
              <w:t>Mail push-to-web</w:t>
            </w:r>
          </w:p>
        </w:tc>
        <w:tc>
          <w:tcPr>
            <w:tcW w:w="1483" w:type="dxa"/>
            <w:vAlign w:val="center"/>
          </w:tcPr>
          <w:p w:rsidR="00D10A31" w14:paraId="5C8442DC" w14:textId="77777777">
            <w:pPr>
              <w:jc w:val="center"/>
              <w:rPr>
                <w:sz w:val="22"/>
                <w:szCs w:val="22"/>
              </w:rPr>
            </w:pPr>
            <w:r>
              <w:rPr>
                <w:sz w:val="22"/>
                <w:szCs w:val="22"/>
              </w:rPr>
              <w:t>10,493</w:t>
            </w:r>
          </w:p>
        </w:tc>
        <w:tc>
          <w:tcPr>
            <w:tcW w:w="1800" w:type="dxa"/>
            <w:vAlign w:val="center"/>
          </w:tcPr>
          <w:p w:rsidR="00D10A31" w14:paraId="5905D20E" w14:textId="77777777">
            <w:pPr>
              <w:jc w:val="center"/>
              <w:rPr>
                <w:sz w:val="22"/>
                <w:szCs w:val="22"/>
              </w:rPr>
            </w:pPr>
            <w:r>
              <w:rPr>
                <w:sz w:val="22"/>
                <w:szCs w:val="22"/>
              </w:rPr>
              <w:t>9,444</w:t>
            </w:r>
          </w:p>
        </w:tc>
        <w:tc>
          <w:tcPr>
            <w:tcW w:w="1440" w:type="dxa"/>
            <w:vAlign w:val="center"/>
          </w:tcPr>
          <w:p w:rsidR="00D10A31" w14:paraId="4F583EA6" w14:textId="77777777">
            <w:pPr>
              <w:jc w:val="center"/>
              <w:rPr>
                <w:sz w:val="22"/>
                <w:szCs w:val="22"/>
              </w:rPr>
            </w:pPr>
            <w:r>
              <w:rPr>
                <w:sz w:val="22"/>
                <w:szCs w:val="22"/>
              </w:rPr>
              <w:t>18%</w:t>
            </w:r>
          </w:p>
        </w:tc>
        <w:tc>
          <w:tcPr>
            <w:tcW w:w="1440" w:type="dxa"/>
            <w:vAlign w:val="center"/>
          </w:tcPr>
          <w:p w:rsidR="00D10A31" w14:paraId="07683ECC" w14:textId="77777777">
            <w:pPr>
              <w:jc w:val="center"/>
              <w:rPr>
                <w:sz w:val="22"/>
                <w:szCs w:val="22"/>
              </w:rPr>
            </w:pPr>
            <w:r>
              <w:rPr>
                <w:sz w:val="22"/>
                <w:szCs w:val="22"/>
              </w:rPr>
              <w:t>1,700</w:t>
            </w:r>
          </w:p>
        </w:tc>
      </w:tr>
      <w:tr w14:paraId="2B50DA13" w14:textId="77777777">
        <w:tblPrEx>
          <w:tblW w:w="9355" w:type="dxa"/>
          <w:tblLayout w:type="fixed"/>
          <w:tblLook w:val="0000"/>
        </w:tblPrEx>
        <w:trPr>
          <w:trHeight w:val="329"/>
        </w:trPr>
        <w:tc>
          <w:tcPr>
            <w:tcW w:w="1596" w:type="dxa"/>
            <w:vAlign w:val="center"/>
          </w:tcPr>
          <w:p w:rsidR="00D10A31" w14:paraId="71B1C8E4" w14:textId="77777777">
            <w:pPr>
              <w:rPr>
                <w:sz w:val="22"/>
                <w:szCs w:val="22"/>
              </w:rPr>
            </w:pPr>
            <w:r>
              <w:rPr>
                <w:sz w:val="22"/>
                <w:szCs w:val="22"/>
              </w:rPr>
              <w:t>5. Florida</w:t>
            </w:r>
          </w:p>
        </w:tc>
        <w:tc>
          <w:tcPr>
            <w:tcW w:w="1596" w:type="dxa"/>
            <w:vAlign w:val="center"/>
          </w:tcPr>
          <w:p w:rsidR="00D10A31" w14:paraId="4C74C0AC" w14:textId="77777777">
            <w:pPr>
              <w:jc w:val="center"/>
              <w:rPr>
                <w:sz w:val="22"/>
                <w:szCs w:val="22"/>
              </w:rPr>
            </w:pPr>
            <w:r>
              <w:rPr>
                <w:sz w:val="22"/>
                <w:szCs w:val="22"/>
              </w:rPr>
              <w:t>Mail push-to-web</w:t>
            </w:r>
          </w:p>
        </w:tc>
        <w:tc>
          <w:tcPr>
            <w:tcW w:w="1483" w:type="dxa"/>
            <w:vAlign w:val="center"/>
          </w:tcPr>
          <w:p w:rsidR="00D10A31" w14:paraId="36106B6A" w14:textId="77777777">
            <w:pPr>
              <w:jc w:val="center"/>
              <w:rPr>
                <w:sz w:val="22"/>
                <w:szCs w:val="22"/>
              </w:rPr>
            </w:pPr>
            <w:r>
              <w:rPr>
                <w:sz w:val="22"/>
                <w:szCs w:val="22"/>
              </w:rPr>
              <w:t>15,872</w:t>
            </w:r>
          </w:p>
        </w:tc>
        <w:tc>
          <w:tcPr>
            <w:tcW w:w="1800" w:type="dxa"/>
            <w:vAlign w:val="center"/>
          </w:tcPr>
          <w:p w:rsidR="00D10A31" w14:paraId="2EF58EAF" w14:textId="77777777">
            <w:pPr>
              <w:jc w:val="center"/>
              <w:rPr>
                <w:sz w:val="22"/>
                <w:szCs w:val="22"/>
              </w:rPr>
            </w:pPr>
            <w:r>
              <w:rPr>
                <w:sz w:val="22"/>
                <w:szCs w:val="22"/>
              </w:rPr>
              <w:t>14,285</w:t>
            </w:r>
          </w:p>
        </w:tc>
        <w:tc>
          <w:tcPr>
            <w:tcW w:w="1440" w:type="dxa"/>
            <w:vAlign w:val="center"/>
          </w:tcPr>
          <w:p w:rsidR="00D10A31" w14:paraId="1D6FACDD" w14:textId="77777777">
            <w:pPr>
              <w:jc w:val="center"/>
              <w:rPr>
                <w:sz w:val="22"/>
                <w:szCs w:val="22"/>
              </w:rPr>
            </w:pPr>
            <w:r>
              <w:rPr>
                <w:sz w:val="22"/>
                <w:szCs w:val="22"/>
              </w:rPr>
              <w:t>14%</w:t>
            </w:r>
          </w:p>
        </w:tc>
        <w:tc>
          <w:tcPr>
            <w:tcW w:w="1440" w:type="dxa"/>
            <w:vAlign w:val="center"/>
          </w:tcPr>
          <w:p w:rsidR="00D10A31" w14:paraId="6047533B" w14:textId="77777777">
            <w:pPr>
              <w:jc w:val="center"/>
              <w:rPr>
                <w:sz w:val="22"/>
                <w:szCs w:val="22"/>
              </w:rPr>
            </w:pPr>
            <w:r>
              <w:rPr>
                <w:sz w:val="22"/>
                <w:szCs w:val="22"/>
              </w:rPr>
              <w:t>2,000</w:t>
            </w:r>
          </w:p>
        </w:tc>
      </w:tr>
      <w:tr w14:paraId="3CC7BB4E" w14:textId="77777777">
        <w:tblPrEx>
          <w:tblW w:w="9355" w:type="dxa"/>
          <w:tblLayout w:type="fixed"/>
          <w:tblLook w:val="0000"/>
        </w:tblPrEx>
        <w:trPr>
          <w:trHeight w:val="329"/>
        </w:trPr>
        <w:tc>
          <w:tcPr>
            <w:tcW w:w="1596" w:type="dxa"/>
            <w:vAlign w:val="center"/>
          </w:tcPr>
          <w:p w:rsidR="00D10A31" w14:paraId="57CAC3FF" w14:textId="77777777">
            <w:pPr>
              <w:rPr>
                <w:sz w:val="22"/>
                <w:szCs w:val="22"/>
              </w:rPr>
            </w:pPr>
            <w:r>
              <w:rPr>
                <w:sz w:val="22"/>
                <w:szCs w:val="22"/>
              </w:rPr>
              <w:t>6. Puerto Rico</w:t>
            </w:r>
          </w:p>
        </w:tc>
        <w:tc>
          <w:tcPr>
            <w:tcW w:w="1596" w:type="dxa"/>
            <w:tcBorders>
              <w:bottom w:val="single" w:sz="4" w:space="0" w:color="000000"/>
            </w:tcBorders>
            <w:vAlign w:val="center"/>
          </w:tcPr>
          <w:p w:rsidR="00D10A31" w14:paraId="18CDF737" w14:textId="77777777">
            <w:pPr>
              <w:jc w:val="center"/>
              <w:rPr>
                <w:sz w:val="22"/>
                <w:szCs w:val="22"/>
              </w:rPr>
            </w:pPr>
            <w:r>
              <w:rPr>
                <w:sz w:val="22"/>
                <w:szCs w:val="22"/>
              </w:rPr>
              <w:t>Face-to-face (with mail or internet option)</w:t>
            </w:r>
          </w:p>
        </w:tc>
        <w:tc>
          <w:tcPr>
            <w:tcW w:w="1483" w:type="dxa"/>
            <w:vAlign w:val="center"/>
          </w:tcPr>
          <w:p w:rsidR="00D10A31" w14:paraId="3091A9D6" w14:textId="77777777">
            <w:pPr>
              <w:jc w:val="center"/>
              <w:rPr>
                <w:sz w:val="22"/>
                <w:szCs w:val="22"/>
              </w:rPr>
            </w:pPr>
            <w:r>
              <w:rPr>
                <w:sz w:val="22"/>
                <w:szCs w:val="22"/>
              </w:rPr>
              <w:t>9,090</w:t>
            </w:r>
          </w:p>
        </w:tc>
        <w:tc>
          <w:tcPr>
            <w:tcW w:w="1800" w:type="dxa"/>
            <w:vAlign w:val="center"/>
          </w:tcPr>
          <w:p w:rsidR="00D10A31" w14:paraId="5F2D3AB3" w14:textId="77777777">
            <w:pPr>
              <w:jc w:val="center"/>
              <w:rPr>
                <w:sz w:val="22"/>
                <w:szCs w:val="22"/>
              </w:rPr>
            </w:pPr>
            <w:r>
              <w:rPr>
                <w:sz w:val="22"/>
                <w:szCs w:val="22"/>
              </w:rPr>
              <w:t>8,181</w:t>
            </w:r>
          </w:p>
        </w:tc>
        <w:tc>
          <w:tcPr>
            <w:tcW w:w="1440" w:type="dxa"/>
            <w:vAlign w:val="center"/>
          </w:tcPr>
          <w:p w:rsidR="00D10A31" w14:paraId="6531DB90" w14:textId="77777777">
            <w:pPr>
              <w:jc w:val="center"/>
              <w:rPr>
                <w:sz w:val="22"/>
                <w:szCs w:val="22"/>
              </w:rPr>
            </w:pPr>
            <w:r>
              <w:rPr>
                <w:sz w:val="22"/>
                <w:szCs w:val="22"/>
              </w:rPr>
              <w:t>22%</w:t>
            </w:r>
          </w:p>
        </w:tc>
        <w:tc>
          <w:tcPr>
            <w:tcW w:w="1440" w:type="dxa"/>
            <w:vAlign w:val="center"/>
          </w:tcPr>
          <w:p w:rsidR="00D10A31" w14:paraId="44C10ACA" w14:textId="77777777">
            <w:pPr>
              <w:jc w:val="center"/>
              <w:rPr>
                <w:sz w:val="22"/>
                <w:szCs w:val="22"/>
              </w:rPr>
            </w:pPr>
            <w:r>
              <w:rPr>
                <w:sz w:val="22"/>
                <w:szCs w:val="22"/>
              </w:rPr>
              <w:t>1,800</w:t>
            </w:r>
          </w:p>
        </w:tc>
      </w:tr>
      <w:tr w14:paraId="41D9773E" w14:textId="77777777">
        <w:tblPrEx>
          <w:tblW w:w="9355" w:type="dxa"/>
          <w:tblLayout w:type="fixed"/>
          <w:tblLook w:val="0000"/>
        </w:tblPrEx>
        <w:trPr>
          <w:trHeight w:val="349"/>
        </w:trPr>
        <w:tc>
          <w:tcPr>
            <w:tcW w:w="1596" w:type="dxa"/>
            <w:vAlign w:val="center"/>
          </w:tcPr>
          <w:p w:rsidR="00D10A31" w14:paraId="55696398" w14:textId="77777777">
            <w:pPr>
              <w:rPr>
                <w:sz w:val="22"/>
                <w:szCs w:val="22"/>
              </w:rPr>
            </w:pPr>
            <w:r>
              <w:rPr>
                <w:sz w:val="22"/>
                <w:szCs w:val="22"/>
              </w:rPr>
              <w:t xml:space="preserve">7. U.S. Virgin  </w:t>
            </w:r>
          </w:p>
          <w:p w:rsidR="00D10A31" w14:paraId="471EAA44" w14:textId="77777777">
            <w:pPr>
              <w:rPr>
                <w:sz w:val="22"/>
                <w:szCs w:val="22"/>
              </w:rPr>
            </w:pPr>
            <w:r>
              <w:rPr>
                <w:sz w:val="22"/>
                <w:szCs w:val="22"/>
              </w:rPr>
              <w:t xml:space="preserve">    Islands</w:t>
            </w:r>
          </w:p>
        </w:tc>
        <w:tc>
          <w:tcPr>
            <w:tcW w:w="1596" w:type="dxa"/>
            <w:tcBorders>
              <w:bottom w:val="single" w:sz="4" w:space="0" w:color="000000"/>
            </w:tcBorders>
            <w:vAlign w:val="center"/>
          </w:tcPr>
          <w:p w:rsidR="00D10A31" w14:paraId="7E76C9B1" w14:textId="77777777">
            <w:pPr>
              <w:jc w:val="center"/>
              <w:rPr>
                <w:sz w:val="22"/>
                <w:szCs w:val="22"/>
              </w:rPr>
            </w:pPr>
            <w:r>
              <w:rPr>
                <w:sz w:val="22"/>
                <w:szCs w:val="22"/>
              </w:rPr>
              <w:t>Face-to-face (with mail or internet option)</w:t>
            </w:r>
          </w:p>
        </w:tc>
        <w:tc>
          <w:tcPr>
            <w:tcW w:w="1483" w:type="dxa"/>
            <w:vAlign w:val="center"/>
          </w:tcPr>
          <w:p w:rsidR="00D10A31" w14:paraId="2E248715" w14:textId="77777777">
            <w:pPr>
              <w:jc w:val="center"/>
              <w:rPr>
                <w:sz w:val="22"/>
                <w:szCs w:val="22"/>
              </w:rPr>
            </w:pPr>
            <w:r>
              <w:rPr>
                <w:sz w:val="22"/>
                <w:szCs w:val="22"/>
              </w:rPr>
              <w:t>6,248</w:t>
            </w:r>
          </w:p>
        </w:tc>
        <w:tc>
          <w:tcPr>
            <w:tcW w:w="1800" w:type="dxa"/>
            <w:vAlign w:val="center"/>
          </w:tcPr>
          <w:p w:rsidR="00D10A31" w14:paraId="4A5F0D2A" w14:textId="77777777">
            <w:pPr>
              <w:jc w:val="center"/>
              <w:rPr>
                <w:sz w:val="22"/>
                <w:szCs w:val="22"/>
              </w:rPr>
            </w:pPr>
            <w:r>
              <w:rPr>
                <w:sz w:val="22"/>
                <w:szCs w:val="22"/>
              </w:rPr>
              <w:t>5,624</w:t>
            </w:r>
          </w:p>
        </w:tc>
        <w:tc>
          <w:tcPr>
            <w:tcW w:w="1440" w:type="dxa"/>
            <w:vAlign w:val="center"/>
          </w:tcPr>
          <w:p w:rsidR="00D10A31" w14:paraId="3B88EA9C" w14:textId="77777777">
            <w:pPr>
              <w:jc w:val="center"/>
              <w:rPr>
                <w:sz w:val="22"/>
                <w:szCs w:val="22"/>
              </w:rPr>
            </w:pPr>
            <w:r>
              <w:rPr>
                <w:sz w:val="22"/>
                <w:szCs w:val="22"/>
              </w:rPr>
              <w:t>20%</w:t>
            </w:r>
          </w:p>
        </w:tc>
        <w:tc>
          <w:tcPr>
            <w:tcW w:w="1440" w:type="dxa"/>
            <w:vAlign w:val="center"/>
          </w:tcPr>
          <w:p w:rsidR="00D10A31" w14:paraId="0E9D4129" w14:textId="77777777">
            <w:pPr>
              <w:jc w:val="center"/>
              <w:rPr>
                <w:sz w:val="22"/>
                <w:szCs w:val="22"/>
              </w:rPr>
            </w:pPr>
            <w:r>
              <w:rPr>
                <w:sz w:val="22"/>
                <w:szCs w:val="22"/>
              </w:rPr>
              <w:t>1,125</w:t>
            </w:r>
          </w:p>
        </w:tc>
      </w:tr>
    </w:tbl>
    <w:p w:rsidR="00D10A31" w14:paraId="4EC06BF3" w14:textId="77777777">
      <w:pPr>
        <w:rPr>
          <w:sz w:val="24"/>
          <w:szCs w:val="24"/>
        </w:rPr>
      </w:pPr>
    </w:p>
    <w:p w:rsidR="00D10A31" w14:paraId="46FA2EBB" w14:textId="77777777">
      <w:pPr>
        <w:rPr>
          <w:sz w:val="24"/>
          <w:szCs w:val="24"/>
        </w:rPr>
      </w:pPr>
    </w:p>
    <w:p w:rsidR="00D10A31" w14:paraId="06DF9387" w14:textId="77777777">
      <w:pPr>
        <w:rPr>
          <w:sz w:val="24"/>
          <w:szCs w:val="24"/>
        </w:rPr>
      </w:pPr>
      <w:r>
        <w:rPr>
          <w:sz w:val="24"/>
          <w:szCs w:val="24"/>
        </w:rPr>
        <w:t xml:space="preserve">To take advantage of various methods of communication and information access, as well as provide respondents with alternative survey options (and maximize response rates), a combination of face-to-face, mail, and online surveys will be utilized based on the feasibility and effectiveness of each mode in the jurisdiction. The mail push-to-web methodology will be used as a mixed mode approach to data collection in Hawai’i and Florida. This approach involves the </w:t>
      </w:r>
      <w:r>
        <w:rPr>
          <w:sz w:val="24"/>
          <w:szCs w:val="24"/>
        </w:rPr>
        <w:t xml:space="preserve">use of mail contact to direct people to go online and complete a web survey. Alternatively, respondents may be given the option of completing either a mail or online survey to accommodate the respondent’s preference (depending on the jurisdiction, budget, and feasibility). The use of mail surveys to contact respondents is not preferred in American Samoa, Guam, CNMI, and Puerto Rico due to non-standardized or unreliable addresses. </w:t>
      </w:r>
    </w:p>
    <w:p w:rsidR="00D10A31" w14:paraId="4A2B627B" w14:textId="77777777">
      <w:pPr>
        <w:rPr>
          <w:sz w:val="24"/>
          <w:szCs w:val="24"/>
        </w:rPr>
      </w:pPr>
      <w:r>
        <w:rPr>
          <w:sz w:val="24"/>
          <w:szCs w:val="24"/>
        </w:rPr>
        <w:t xml:space="preserve">Table 4 highlights the percent of households with a broadband internet subscription in each of the seven jurisdictions. While many households in the jurisdictions have internet subscriptions, the use of online surveys alone is not the most effective mode for data collection. Local jurisdictional partners in American Samoa, CNMI, Guam, USVI, and Puerto Rico have suggested that online surveys may not always be feasible or efficient due to internet reliability, availability, and access disparities. Face-to-face surveys were recommended as the most effective mode in these jurisdictions. Accordingly, surveys will be conducted face-to-face or supplemented with a mixed mode to capture non-internet users where feasible. </w:t>
      </w:r>
    </w:p>
    <w:p w:rsidR="00D10A31" w14:paraId="7D6DEA9D" w14:textId="77777777">
      <w:pPr>
        <w:rPr>
          <w:sz w:val="24"/>
          <w:szCs w:val="24"/>
        </w:rPr>
      </w:pPr>
    </w:p>
    <w:p w:rsidR="00D10A31" w14:paraId="7CCE7262" w14:textId="77777777">
      <w:pPr>
        <w:widowControl/>
        <w:pBdr>
          <w:top w:val="nil"/>
          <w:left w:val="nil"/>
          <w:bottom w:val="nil"/>
          <w:right w:val="nil"/>
          <w:between w:val="nil"/>
        </w:pBdr>
        <w:spacing w:after="200"/>
        <w:rPr>
          <w:b/>
          <w:color w:val="000000"/>
          <w:sz w:val="24"/>
          <w:szCs w:val="24"/>
        </w:rPr>
      </w:pPr>
      <w:bookmarkStart w:id="11" w:name="_17dp8vu" w:colFirst="0" w:colLast="0"/>
      <w:bookmarkEnd w:id="11"/>
      <w:r>
        <w:rPr>
          <w:b/>
          <w:color w:val="000000"/>
          <w:sz w:val="24"/>
          <w:szCs w:val="24"/>
        </w:rPr>
        <w:t>Table 4: Internet Usage in each U.S. Coral Reef Jurisdiction</w:t>
      </w:r>
    </w:p>
    <w:tbl>
      <w:tblPr>
        <w:tblStyle w:val="a2"/>
        <w:tblW w:w="9355" w:type="dxa"/>
        <w:tblLayout w:type="fixed"/>
        <w:tblLook w:val="0000"/>
      </w:tblPr>
      <w:tblGrid>
        <w:gridCol w:w="3238"/>
        <w:gridCol w:w="3237"/>
        <w:gridCol w:w="2880"/>
      </w:tblGrid>
      <w:tr w14:paraId="2B885741" w14:textId="77777777">
        <w:tblPrEx>
          <w:tblW w:w="9355" w:type="dxa"/>
          <w:tblLayout w:type="fixed"/>
          <w:tblLook w:val="0000"/>
        </w:tblPrEx>
        <w:trPr>
          <w:trHeight w:val="255"/>
        </w:trPr>
        <w:tc>
          <w:tcPr>
            <w:tcW w:w="3238" w:type="dxa"/>
            <w:tcBorders>
              <w:top w:val="single" w:sz="4" w:space="0" w:color="000000"/>
              <w:left w:val="single" w:sz="4" w:space="0" w:color="000000"/>
              <w:bottom w:val="single" w:sz="12" w:space="0" w:color="000000"/>
              <w:right w:val="single" w:sz="4" w:space="0" w:color="000000"/>
            </w:tcBorders>
            <w:shd w:val="clear" w:color="auto" w:fill="FFFFFF"/>
          </w:tcPr>
          <w:p w:rsidR="00D10A31" w14:paraId="1707026E" w14:textId="77777777">
            <w:pPr>
              <w:rPr>
                <w:sz w:val="22"/>
                <w:szCs w:val="22"/>
              </w:rPr>
            </w:pPr>
            <w:r>
              <w:rPr>
                <w:b/>
                <w:sz w:val="22"/>
                <w:szCs w:val="22"/>
              </w:rPr>
              <w:t>Jurisdiction</w:t>
            </w:r>
          </w:p>
        </w:tc>
        <w:tc>
          <w:tcPr>
            <w:tcW w:w="3237" w:type="dxa"/>
            <w:tcBorders>
              <w:top w:val="single" w:sz="4" w:space="0" w:color="000000"/>
              <w:left w:val="nil"/>
              <w:bottom w:val="single" w:sz="12" w:space="0" w:color="000000"/>
              <w:right w:val="single" w:sz="4" w:space="0" w:color="000000"/>
            </w:tcBorders>
            <w:shd w:val="clear" w:color="auto" w:fill="FFFFFF"/>
          </w:tcPr>
          <w:p w:rsidR="00D10A31" w14:paraId="02F4EDF0" w14:textId="77777777">
            <w:pPr>
              <w:rPr>
                <w:sz w:val="22"/>
                <w:szCs w:val="22"/>
              </w:rPr>
            </w:pPr>
            <w:r>
              <w:rPr>
                <w:b/>
                <w:sz w:val="22"/>
                <w:szCs w:val="22"/>
              </w:rPr>
              <w:t>Total Number of Households (U.S. Census 2020)</w:t>
            </w:r>
          </w:p>
        </w:tc>
        <w:tc>
          <w:tcPr>
            <w:tcW w:w="2880" w:type="dxa"/>
            <w:tcBorders>
              <w:top w:val="single" w:sz="4" w:space="0" w:color="000000"/>
              <w:left w:val="nil"/>
              <w:bottom w:val="single" w:sz="12" w:space="0" w:color="000000"/>
              <w:right w:val="single" w:sz="4" w:space="0" w:color="000000"/>
            </w:tcBorders>
            <w:shd w:val="clear" w:color="auto" w:fill="FFFFFF"/>
          </w:tcPr>
          <w:p w:rsidR="00D10A31" w14:paraId="0958B79A" w14:textId="77777777">
            <w:pPr>
              <w:rPr>
                <w:sz w:val="22"/>
                <w:szCs w:val="22"/>
              </w:rPr>
            </w:pPr>
            <w:r>
              <w:rPr>
                <w:b/>
                <w:sz w:val="22"/>
                <w:szCs w:val="22"/>
              </w:rPr>
              <w:t>Percent of Households with a broadband internet subscription</w:t>
            </w:r>
          </w:p>
        </w:tc>
      </w:tr>
      <w:tr w14:paraId="05594EEA" w14:textId="77777777">
        <w:tblPrEx>
          <w:tblW w:w="9355" w:type="dxa"/>
          <w:tblLayout w:type="fixed"/>
          <w:tblLook w:val="0000"/>
        </w:tblPrEx>
        <w:trPr>
          <w:trHeight w:val="300"/>
        </w:trPr>
        <w:tc>
          <w:tcPr>
            <w:tcW w:w="3238" w:type="dxa"/>
            <w:tcBorders>
              <w:top w:val="single" w:sz="12" w:space="0" w:color="000000"/>
              <w:left w:val="single" w:sz="4" w:space="0" w:color="000000"/>
              <w:bottom w:val="single" w:sz="4" w:space="0" w:color="000000"/>
              <w:right w:val="single" w:sz="4" w:space="0" w:color="000000"/>
            </w:tcBorders>
            <w:vAlign w:val="center"/>
          </w:tcPr>
          <w:p w:rsidR="00D10A31" w14:paraId="28882DF3" w14:textId="77777777">
            <w:pPr>
              <w:rPr>
                <w:sz w:val="22"/>
                <w:szCs w:val="22"/>
              </w:rPr>
            </w:pPr>
            <w:r>
              <w:rPr>
                <w:sz w:val="22"/>
                <w:szCs w:val="22"/>
              </w:rPr>
              <w:t>1. American Samoa</w:t>
            </w:r>
          </w:p>
        </w:tc>
        <w:tc>
          <w:tcPr>
            <w:tcW w:w="3237" w:type="dxa"/>
            <w:tcBorders>
              <w:top w:val="single" w:sz="12" w:space="0" w:color="000000"/>
              <w:left w:val="nil"/>
              <w:bottom w:val="single" w:sz="4" w:space="0" w:color="000000"/>
              <w:right w:val="single" w:sz="4" w:space="0" w:color="000000"/>
            </w:tcBorders>
            <w:vAlign w:val="center"/>
          </w:tcPr>
          <w:p w:rsidR="00D10A31" w14:paraId="0B57899A" w14:textId="77777777">
            <w:pPr>
              <w:rPr>
                <w:sz w:val="22"/>
                <w:szCs w:val="22"/>
              </w:rPr>
            </w:pPr>
            <w:r>
              <w:rPr>
                <w:sz w:val="22"/>
                <w:szCs w:val="22"/>
              </w:rPr>
              <w:t>49,710</w:t>
            </w:r>
          </w:p>
        </w:tc>
        <w:tc>
          <w:tcPr>
            <w:tcW w:w="2880" w:type="dxa"/>
            <w:tcBorders>
              <w:top w:val="single" w:sz="12" w:space="0" w:color="000000"/>
              <w:left w:val="nil"/>
              <w:bottom w:val="single" w:sz="4" w:space="0" w:color="000000"/>
              <w:right w:val="single" w:sz="4" w:space="0" w:color="000000"/>
            </w:tcBorders>
            <w:vAlign w:val="center"/>
          </w:tcPr>
          <w:p w:rsidR="00D10A31" w14:paraId="38468B43" w14:textId="77777777">
            <w:pPr>
              <w:rPr>
                <w:sz w:val="22"/>
                <w:szCs w:val="22"/>
              </w:rPr>
            </w:pPr>
            <w:r>
              <w:rPr>
                <w:sz w:val="22"/>
                <w:szCs w:val="22"/>
              </w:rPr>
              <w:t xml:space="preserve"> 69%</w:t>
            </w:r>
          </w:p>
        </w:tc>
      </w:tr>
      <w:tr w14:paraId="02A8600B" w14:textId="77777777">
        <w:tblPrEx>
          <w:tblW w:w="9355" w:type="dxa"/>
          <w:tblLayout w:type="fixed"/>
          <w:tblLook w:val="0000"/>
        </w:tblPrEx>
        <w:trPr>
          <w:trHeight w:val="300"/>
        </w:trPr>
        <w:tc>
          <w:tcPr>
            <w:tcW w:w="3238" w:type="dxa"/>
            <w:tcBorders>
              <w:top w:val="nil"/>
              <w:left w:val="single" w:sz="4" w:space="0" w:color="000000"/>
              <w:bottom w:val="single" w:sz="4" w:space="0" w:color="000000"/>
              <w:right w:val="single" w:sz="4" w:space="0" w:color="000000"/>
            </w:tcBorders>
            <w:vAlign w:val="center"/>
          </w:tcPr>
          <w:p w:rsidR="00D10A31" w14:paraId="4E352067" w14:textId="77777777">
            <w:pPr>
              <w:rPr>
                <w:sz w:val="22"/>
                <w:szCs w:val="22"/>
              </w:rPr>
            </w:pPr>
            <w:r>
              <w:rPr>
                <w:sz w:val="22"/>
                <w:szCs w:val="22"/>
              </w:rPr>
              <w:t>2. CNMI</w:t>
            </w:r>
          </w:p>
        </w:tc>
        <w:tc>
          <w:tcPr>
            <w:tcW w:w="3237" w:type="dxa"/>
            <w:tcBorders>
              <w:top w:val="nil"/>
              <w:left w:val="nil"/>
              <w:bottom w:val="single" w:sz="4" w:space="0" w:color="000000"/>
              <w:right w:val="single" w:sz="4" w:space="0" w:color="000000"/>
            </w:tcBorders>
            <w:vAlign w:val="center"/>
          </w:tcPr>
          <w:p w:rsidR="00D10A31" w14:paraId="6728EE80" w14:textId="77777777">
            <w:pPr>
              <w:rPr>
                <w:sz w:val="22"/>
                <w:szCs w:val="22"/>
              </w:rPr>
            </w:pPr>
            <w:r>
              <w:rPr>
                <w:sz w:val="22"/>
                <w:szCs w:val="22"/>
              </w:rPr>
              <w:t>14,208</w:t>
            </w:r>
          </w:p>
        </w:tc>
        <w:tc>
          <w:tcPr>
            <w:tcW w:w="2880" w:type="dxa"/>
            <w:tcBorders>
              <w:top w:val="nil"/>
              <w:left w:val="nil"/>
              <w:bottom w:val="single" w:sz="4" w:space="0" w:color="000000"/>
              <w:right w:val="single" w:sz="4" w:space="0" w:color="000000"/>
            </w:tcBorders>
            <w:vAlign w:val="center"/>
          </w:tcPr>
          <w:p w:rsidR="00D10A31" w14:paraId="28529199" w14:textId="77777777">
            <w:pPr>
              <w:rPr>
                <w:sz w:val="22"/>
                <w:szCs w:val="22"/>
              </w:rPr>
            </w:pPr>
            <w:r>
              <w:rPr>
                <w:sz w:val="22"/>
                <w:szCs w:val="22"/>
              </w:rPr>
              <w:t xml:space="preserve"> 84%</w:t>
            </w:r>
          </w:p>
        </w:tc>
      </w:tr>
      <w:tr w14:paraId="6EC072CC" w14:textId="77777777">
        <w:tblPrEx>
          <w:tblW w:w="9355" w:type="dxa"/>
          <w:tblLayout w:type="fixed"/>
          <w:tblLook w:val="0000"/>
        </w:tblPrEx>
        <w:trPr>
          <w:trHeight w:val="300"/>
        </w:trPr>
        <w:tc>
          <w:tcPr>
            <w:tcW w:w="3238" w:type="dxa"/>
            <w:tcBorders>
              <w:top w:val="nil"/>
              <w:left w:val="single" w:sz="4" w:space="0" w:color="000000"/>
              <w:bottom w:val="single" w:sz="4" w:space="0" w:color="000000"/>
              <w:right w:val="single" w:sz="4" w:space="0" w:color="000000"/>
            </w:tcBorders>
            <w:vAlign w:val="center"/>
          </w:tcPr>
          <w:p w:rsidR="00D10A31" w14:paraId="10794816" w14:textId="77777777">
            <w:pPr>
              <w:rPr>
                <w:sz w:val="22"/>
                <w:szCs w:val="22"/>
              </w:rPr>
            </w:pPr>
            <w:r>
              <w:rPr>
                <w:sz w:val="22"/>
                <w:szCs w:val="22"/>
              </w:rPr>
              <w:t>3. Guam</w:t>
            </w:r>
          </w:p>
        </w:tc>
        <w:tc>
          <w:tcPr>
            <w:tcW w:w="3237" w:type="dxa"/>
            <w:tcBorders>
              <w:top w:val="nil"/>
              <w:left w:val="nil"/>
              <w:bottom w:val="single" w:sz="4" w:space="0" w:color="000000"/>
              <w:right w:val="single" w:sz="4" w:space="0" w:color="000000"/>
            </w:tcBorders>
            <w:vAlign w:val="center"/>
          </w:tcPr>
          <w:p w:rsidR="00D10A31" w14:paraId="17CF2F6A" w14:textId="77777777">
            <w:pPr>
              <w:rPr>
                <w:sz w:val="22"/>
                <w:szCs w:val="22"/>
              </w:rPr>
            </w:pPr>
            <w:r>
              <w:rPr>
                <w:sz w:val="22"/>
                <w:szCs w:val="22"/>
              </w:rPr>
              <w:t>51,555</w:t>
            </w:r>
          </w:p>
        </w:tc>
        <w:tc>
          <w:tcPr>
            <w:tcW w:w="2880" w:type="dxa"/>
            <w:tcBorders>
              <w:top w:val="nil"/>
              <w:left w:val="nil"/>
              <w:bottom w:val="single" w:sz="4" w:space="0" w:color="000000"/>
              <w:right w:val="single" w:sz="4" w:space="0" w:color="000000"/>
            </w:tcBorders>
            <w:vAlign w:val="center"/>
          </w:tcPr>
          <w:p w:rsidR="00D10A31" w14:paraId="025AC190" w14:textId="77777777">
            <w:pPr>
              <w:rPr>
                <w:sz w:val="22"/>
                <w:szCs w:val="22"/>
              </w:rPr>
            </w:pPr>
            <w:r>
              <w:rPr>
                <w:sz w:val="22"/>
                <w:szCs w:val="22"/>
              </w:rPr>
              <w:t xml:space="preserve"> 85%</w:t>
            </w:r>
          </w:p>
        </w:tc>
      </w:tr>
      <w:tr w14:paraId="78222C0B" w14:textId="77777777">
        <w:tblPrEx>
          <w:tblW w:w="9355" w:type="dxa"/>
          <w:tblLayout w:type="fixed"/>
          <w:tblLook w:val="0000"/>
        </w:tblPrEx>
        <w:trPr>
          <w:trHeight w:val="286"/>
        </w:trPr>
        <w:tc>
          <w:tcPr>
            <w:tcW w:w="3238" w:type="dxa"/>
            <w:tcBorders>
              <w:top w:val="nil"/>
              <w:left w:val="single" w:sz="4" w:space="0" w:color="000000"/>
              <w:bottom w:val="single" w:sz="4" w:space="0" w:color="000000"/>
              <w:right w:val="single" w:sz="4" w:space="0" w:color="000000"/>
            </w:tcBorders>
            <w:vAlign w:val="center"/>
          </w:tcPr>
          <w:p w:rsidR="00D10A31" w14:paraId="6800F2DF" w14:textId="77777777">
            <w:pPr>
              <w:rPr>
                <w:sz w:val="22"/>
                <w:szCs w:val="22"/>
              </w:rPr>
            </w:pPr>
            <w:r>
              <w:rPr>
                <w:sz w:val="22"/>
                <w:szCs w:val="22"/>
              </w:rPr>
              <w:t>4. Hawai’i</w:t>
            </w:r>
          </w:p>
        </w:tc>
        <w:tc>
          <w:tcPr>
            <w:tcW w:w="3237" w:type="dxa"/>
            <w:tcBorders>
              <w:top w:val="nil"/>
              <w:left w:val="nil"/>
              <w:bottom w:val="single" w:sz="4" w:space="0" w:color="000000"/>
              <w:right w:val="single" w:sz="4" w:space="0" w:color="000000"/>
            </w:tcBorders>
            <w:vAlign w:val="center"/>
          </w:tcPr>
          <w:p w:rsidR="00D10A31" w14:paraId="07724209" w14:textId="77777777">
            <w:pPr>
              <w:rPr>
                <w:sz w:val="22"/>
                <w:szCs w:val="22"/>
              </w:rPr>
            </w:pPr>
            <w:r>
              <w:rPr>
                <w:sz w:val="22"/>
                <w:szCs w:val="22"/>
              </w:rPr>
              <w:t>478,413</w:t>
            </w:r>
          </w:p>
        </w:tc>
        <w:tc>
          <w:tcPr>
            <w:tcW w:w="2880" w:type="dxa"/>
            <w:tcBorders>
              <w:top w:val="nil"/>
              <w:left w:val="nil"/>
              <w:bottom w:val="single" w:sz="4" w:space="0" w:color="000000"/>
              <w:right w:val="single" w:sz="4" w:space="0" w:color="000000"/>
            </w:tcBorders>
            <w:vAlign w:val="center"/>
          </w:tcPr>
          <w:p w:rsidR="00D10A31" w14:paraId="455C11C2" w14:textId="77777777">
            <w:pPr>
              <w:rPr>
                <w:sz w:val="22"/>
                <w:szCs w:val="22"/>
              </w:rPr>
            </w:pPr>
            <w:r>
              <w:rPr>
                <w:sz w:val="22"/>
                <w:szCs w:val="22"/>
              </w:rPr>
              <w:t xml:space="preserve"> 89%</w:t>
            </w:r>
          </w:p>
        </w:tc>
      </w:tr>
      <w:tr w14:paraId="500CE33A" w14:textId="77777777">
        <w:tblPrEx>
          <w:tblW w:w="9355" w:type="dxa"/>
          <w:tblLayout w:type="fixed"/>
          <w:tblLook w:val="0000"/>
        </w:tblPrEx>
        <w:trPr>
          <w:trHeight w:val="286"/>
        </w:trPr>
        <w:tc>
          <w:tcPr>
            <w:tcW w:w="3238" w:type="dxa"/>
            <w:tcBorders>
              <w:top w:val="nil"/>
              <w:left w:val="single" w:sz="4" w:space="0" w:color="000000"/>
              <w:bottom w:val="single" w:sz="4" w:space="0" w:color="000000"/>
              <w:right w:val="single" w:sz="4" w:space="0" w:color="000000"/>
            </w:tcBorders>
            <w:vAlign w:val="center"/>
          </w:tcPr>
          <w:p w:rsidR="00D10A31" w14:paraId="5200A9C4" w14:textId="77777777">
            <w:pPr>
              <w:rPr>
                <w:sz w:val="22"/>
                <w:szCs w:val="22"/>
              </w:rPr>
            </w:pPr>
            <w:r>
              <w:rPr>
                <w:sz w:val="22"/>
                <w:szCs w:val="22"/>
              </w:rPr>
              <w:t>5. Florida (Southeast)</w:t>
            </w:r>
          </w:p>
        </w:tc>
        <w:tc>
          <w:tcPr>
            <w:tcW w:w="3237" w:type="dxa"/>
            <w:tcBorders>
              <w:top w:val="nil"/>
              <w:left w:val="nil"/>
              <w:bottom w:val="single" w:sz="4" w:space="0" w:color="000000"/>
              <w:right w:val="single" w:sz="4" w:space="0" w:color="000000"/>
            </w:tcBorders>
            <w:vAlign w:val="center"/>
          </w:tcPr>
          <w:p w:rsidR="00D10A31" w14:paraId="7E7DA322" w14:textId="77777777">
            <w:pPr>
              <w:rPr>
                <w:sz w:val="22"/>
                <w:szCs w:val="22"/>
              </w:rPr>
            </w:pPr>
            <w:r>
              <w:rPr>
                <w:sz w:val="22"/>
                <w:szCs w:val="22"/>
              </w:rPr>
              <w:t>2,463,333</w:t>
            </w:r>
          </w:p>
        </w:tc>
        <w:tc>
          <w:tcPr>
            <w:tcW w:w="2880" w:type="dxa"/>
            <w:tcBorders>
              <w:top w:val="nil"/>
              <w:left w:val="nil"/>
              <w:bottom w:val="single" w:sz="4" w:space="0" w:color="000000"/>
              <w:right w:val="single" w:sz="4" w:space="0" w:color="000000"/>
            </w:tcBorders>
            <w:vAlign w:val="center"/>
          </w:tcPr>
          <w:p w:rsidR="00D10A31" w14:paraId="34E854E0" w14:textId="77777777">
            <w:pPr>
              <w:rPr>
                <w:sz w:val="22"/>
                <w:szCs w:val="22"/>
              </w:rPr>
            </w:pPr>
            <w:r>
              <w:rPr>
                <w:sz w:val="22"/>
                <w:szCs w:val="22"/>
              </w:rPr>
              <w:t xml:space="preserve"> 87%</w:t>
            </w:r>
          </w:p>
        </w:tc>
      </w:tr>
      <w:tr w14:paraId="34FC2090" w14:textId="77777777">
        <w:tblPrEx>
          <w:tblW w:w="9355" w:type="dxa"/>
          <w:tblLayout w:type="fixed"/>
          <w:tblLook w:val="0000"/>
        </w:tblPrEx>
        <w:trPr>
          <w:trHeight w:val="300"/>
        </w:trPr>
        <w:tc>
          <w:tcPr>
            <w:tcW w:w="3238" w:type="dxa"/>
            <w:tcBorders>
              <w:top w:val="nil"/>
              <w:left w:val="single" w:sz="4" w:space="0" w:color="000000"/>
              <w:bottom w:val="single" w:sz="4" w:space="0" w:color="000000"/>
              <w:right w:val="single" w:sz="4" w:space="0" w:color="000000"/>
            </w:tcBorders>
            <w:vAlign w:val="center"/>
          </w:tcPr>
          <w:p w:rsidR="00D10A31" w14:paraId="1975F759" w14:textId="77777777">
            <w:pPr>
              <w:rPr>
                <w:sz w:val="22"/>
                <w:szCs w:val="22"/>
              </w:rPr>
            </w:pPr>
            <w:r>
              <w:rPr>
                <w:sz w:val="22"/>
                <w:szCs w:val="22"/>
              </w:rPr>
              <w:t>6. Puerto Rico</w:t>
            </w:r>
          </w:p>
        </w:tc>
        <w:tc>
          <w:tcPr>
            <w:tcW w:w="3237" w:type="dxa"/>
            <w:tcBorders>
              <w:top w:val="nil"/>
              <w:left w:val="nil"/>
              <w:bottom w:val="single" w:sz="4" w:space="0" w:color="000000"/>
              <w:right w:val="single" w:sz="4" w:space="0" w:color="000000"/>
            </w:tcBorders>
            <w:vAlign w:val="center"/>
          </w:tcPr>
          <w:p w:rsidR="00D10A31" w14:paraId="5D9ECB8D" w14:textId="77777777">
            <w:pPr>
              <w:rPr>
                <w:sz w:val="22"/>
                <w:szCs w:val="22"/>
              </w:rPr>
            </w:pPr>
            <w:r>
              <w:rPr>
                <w:sz w:val="22"/>
                <w:szCs w:val="22"/>
              </w:rPr>
              <w:t>1,196,790</w:t>
            </w:r>
          </w:p>
        </w:tc>
        <w:tc>
          <w:tcPr>
            <w:tcW w:w="2880" w:type="dxa"/>
            <w:tcBorders>
              <w:top w:val="nil"/>
              <w:left w:val="nil"/>
              <w:bottom w:val="single" w:sz="4" w:space="0" w:color="000000"/>
              <w:right w:val="single" w:sz="4" w:space="0" w:color="000000"/>
            </w:tcBorders>
            <w:vAlign w:val="center"/>
          </w:tcPr>
          <w:p w:rsidR="00D10A31" w14:paraId="2FF3BF3C" w14:textId="77777777">
            <w:pPr>
              <w:rPr>
                <w:sz w:val="22"/>
                <w:szCs w:val="22"/>
              </w:rPr>
            </w:pPr>
            <w:r>
              <w:rPr>
                <w:sz w:val="22"/>
                <w:szCs w:val="22"/>
              </w:rPr>
              <w:t xml:space="preserve"> 68%</w:t>
            </w:r>
          </w:p>
        </w:tc>
      </w:tr>
      <w:tr w14:paraId="4912FE5C" w14:textId="77777777">
        <w:tblPrEx>
          <w:tblW w:w="9355" w:type="dxa"/>
          <w:tblLayout w:type="fixed"/>
          <w:tblLook w:val="0000"/>
        </w:tblPrEx>
        <w:trPr>
          <w:trHeight w:val="300"/>
        </w:trPr>
        <w:tc>
          <w:tcPr>
            <w:tcW w:w="3238" w:type="dxa"/>
            <w:tcBorders>
              <w:top w:val="nil"/>
              <w:left w:val="single" w:sz="4" w:space="0" w:color="000000"/>
              <w:bottom w:val="single" w:sz="4" w:space="0" w:color="000000"/>
              <w:right w:val="single" w:sz="4" w:space="0" w:color="000000"/>
            </w:tcBorders>
            <w:vAlign w:val="center"/>
          </w:tcPr>
          <w:p w:rsidR="00D10A31" w14:paraId="4779FDE4" w14:textId="77777777">
            <w:pPr>
              <w:rPr>
                <w:sz w:val="22"/>
                <w:szCs w:val="22"/>
              </w:rPr>
            </w:pPr>
            <w:r>
              <w:rPr>
                <w:sz w:val="22"/>
                <w:szCs w:val="22"/>
              </w:rPr>
              <w:t>7. U.S. Virgin Islands</w:t>
            </w:r>
          </w:p>
        </w:tc>
        <w:tc>
          <w:tcPr>
            <w:tcW w:w="3237" w:type="dxa"/>
            <w:tcBorders>
              <w:top w:val="nil"/>
              <w:left w:val="nil"/>
              <w:bottom w:val="single" w:sz="4" w:space="0" w:color="000000"/>
              <w:right w:val="single" w:sz="4" w:space="0" w:color="000000"/>
            </w:tcBorders>
            <w:vAlign w:val="center"/>
          </w:tcPr>
          <w:p w:rsidR="00D10A31" w14:paraId="2E0DFBE8" w14:textId="77777777">
            <w:pPr>
              <w:rPr>
                <w:sz w:val="22"/>
                <w:szCs w:val="22"/>
              </w:rPr>
            </w:pPr>
            <w:r>
              <w:rPr>
                <w:sz w:val="22"/>
                <w:szCs w:val="22"/>
              </w:rPr>
              <w:t>39,642</w:t>
            </w:r>
          </w:p>
        </w:tc>
        <w:tc>
          <w:tcPr>
            <w:tcW w:w="2880" w:type="dxa"/>
            <w:tcBorders>
              <w:top w:val="nil"/>
              <w:left w:val="nil"/>
              <w:bottom w:val="single" w:sz="4" w:space="0" w:color="000000"/>
              <w:right w:val="single" w:sz="4" w:space="0" w:color="000000"/>
            </w:tcBorders>
            <w:vAlign w:val="center"/>
          </w:tcPr>
          <w:p w:rsidR="00D10A31" w14:paraId="6985B238" w14:textId="77777777">
            <w:pPr>
              <w:rPr>
                <w:sz w:val="22"/>
                <w:szCs w:val="22"/>
              </w:rPr>
            </w:pPr>
            <w:r>
              <w:rPr>
                <w:sz w:val="22"/>
                <w:szCs w:val="22"/>
              </w:rPr>
              <w:t xml:space="preserve"> 79%</w:t>
            </w:r>
          </w:p>
        </w:tc>
      </w:tr>
    </w:tbl>
    <w:p w:rsidR="00D10A31" w14:paraId="78B4FE76" w14:textId="77777777">
      <w:pPr>
        <w:spacing w:before="120"/>
        <w:rPr>
          <w:i/>
        </w:rPr>
      </w:pPr>
      <w:r>
        <w:rPr>
          <w:b/>
          <w:i/>
        </w:rPr>
        <w:t>Source:</w:t>
      </w:r>
      <w:r>
        <w:rPr>
          <w:i/>
        </w:rPr>
        <w:t xml:space="preserve">  U.S. Census Bureau, 2020 Island Areas Censuses: Computer and Internet Use</w:t>
      </w:r>
    </w:p>
    <w:p w:rsidR="00D10A31" w14:paraId="5292FC69" w14:textId="77777777">
      <w:pPr>
        <w:rPr>
          <w:i/>
        </w:rPr>
      </w:pPr>
      <w:r>
        <w:t>https://www.census.gov/library/stories/2022/10/2020-island-areas-computer-internet-use.html#:~:text=Demographic%20profiles%20for%20the%202020,to%20a%20broadband%20internet%20subscription.</w:t>
      </w:r>
    </w:p>
    <w:p w:rsidR="00D10A31" w14:paraId="6BEA389C" w14:textId="77777777">
      <w:pPr>
        <w:pStyle w:val="Heading2"/>
        <w:spacing w:before="280"/>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10A31" w14:paraId="138AA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49D532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An adequate sample size is necessary to ensure that it is representative and is important for statistical power and meaningful analyses of subgroup data. This is particularly important when interpreting the results or communicating implications for natural resource and visitor management. To account for anticipated refusal rates, “over-sampling” is often necessary to achieve a desired sample size (see total number of contacts required in Table 3). When there are too few subjects, it becomes difficult to detect statistically significant effects, thus providing inconclusive inferences. On the other hand, if there are too many subjects, even trivially small effects could be detected. Statistical power is the probability that a statistical significance test will lead to the correct rejection of the null hypothesis for a specified value of an alternative </w:t>
      </w:r>
      <w:r>
        <w:rPr>
          <w:sz w:val="24"/>
          <w:szCs w:val="24"/>
        </w:rPr>
        <w:t>hypothesis (Cohen, 1988). In other words, it is the probability of detecting an effect or a change in a variable in the sample when that effect or change actually occurs in the population.</w:t>
      </w:r>
    </w:p>
    <w:p w:rsidR="00D10A31" w14:paraId="130762C3" w14:textId="77777777">
      <w:pPr>
        <w:rPr>
          <w:sz w:val="24"/>
          <w:szCs w:val="24"/>
        </w:rPr>
      </w:pPr>
    </w:p>
    <w:p w:rsidR="00D10A31" w14:paraId="1D6482DF" w14:textId="77777777">
      <w:pPr>
        <w:rPr>
          <w:sz w:val="24"/>
          <w:szCs w:val="24"/>
        </w:rPr>
      </w:pPr>
      <w:r>
        <w:rPr>
          <w:sz w:val="24"/>
          <w:szCs w:val="24"/>
        </w:rPr>
        <w:t xml:space="preserve">For each of the jurisdictional populations, we intend to select a random sample of individuals over the age of eighteen, stratified geographically as described in Table 5. The random sample will be obtained from the selected survey firm using standard sample selection tools. The sample frame will be developed from address mailing lists obtained and maintained by the survey firms and other sources as needed, depending on the coverage of these sources. These strata have been designed to account for the differing sizes of the populations in the areas close to coral reefs.  </w:t>
      </w:r>
    </w:p>
    <w:p w:rsidR="00D10A31" w14:paraId="33FD690C" w14:textId="77777777">
      <w:pPr>
        <w:rPr>
          <w:sz w:val="24"/>
          <w:szCs w:val="24"/>
        </w:rPr>
      </w:pPr>
    </w:p>
    <w:p w:rsidR="00D10A31" w14:paraId="1BB3C881" w14:textId="77777777">
      <w:pPr>
        <w:widowControl/>
        <w:spacing w:line="276" w:lineRule="auto"/>
        <w:rPr>
          <w:sz w:val="24"/>
          <w:szCs w:val="24"/>
        </w:rPr>
      </w:pPr>
      <w:r>
        <w:rPr>
          <w:sz w:val="24"/>
          <w:szCs w:val="24"/>
        </w:rPr>
        <w:t>We have used the standard approach to estimating the sample size for a stratified population:</w:t>
      </w:r>
    </w:p>
    <w:p w:rsidR="00D10A31" w14:paraId="5B1FB9DB" w14:textId="77777777">
      <w:pPr>
        <w:widowControl/>
        <w:pBdr>
          <w:top w:val="nil"/>
          <w:left w:val="nil"/>
          <w:bottom w:val="nil"/>
          <w:right w:val="nil"/>
          <w:between w:val="nil"/>
        </w:pBdr>
        <w:spacing w:before="240"/>
        <w:jc w:val="center"/>
        <w:rPr>
          <w:color w:val="000000"/>
          <w:sz w:val="24"/>
          <w:szCs w:val="24"/>
          <w:highlight w:val="white"/>
        </w:rPr>
      </w:pPr>
      <w:r>
        <w:rPr>
          <w:i/>
          <w:color w:val="000000"/>
          <w:sz w:val="24"/>
          <w:szCs w:val="24"/>
          <w:highlight w:val="white"/>
        </w:rPr>
        <w:t xml:space="preserve">n = </w:t>
      </w:r>
      <w:r>
        <w:rPr>
          <w:color w:val="000000"/>
          <w:sz w:val="24"/>
          <w:szCs w:val="24"/>
          <w:highlight w:val="white"/>
        </w:rPr>
        <w:t>[</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 p</w:t>
      </w:r>
      <w:r>
        <w:rPr>
          <w:color w:val="000000"/>
          <w:sz w:val="24"/>
          <w:szCs w:val="24"/>
          <w:highlight w:val="white"/>
        </w:rPr>
        <w:t>(1-</w:t>
      </w:r>
      <w:r>
        <w:rPr>
          <w:i/>
          <w:color w:val="000000"/>
          <w:sz w:val="24"/>
          <w:szCs w:val="24"/>
          <w:highlight w:val="white"/>
        </w:rPr>
        <w:t>p</w:t>
      </w:r>
      <w:r>
        <w:rPr>
          <w:color w:val="000000"/>
          <w:sz w:val="24"/>
          <w:szCs w:val="24"/>
          <w:highlight w:val="white"/>
        </w:rPr>
        <w:t>)] / [</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p</w:t>
      </w:r>
      <w:r>
        <w:rPr>
          <w:color w:val="000000"/>
          <w:sz w:val="24"/>
          <w:szCs w:val="24"/>
          <w:highlight w:val="white"/>
        </w:rPr>
        <w:t>(1-</w:t>
      </w:r>
      <w:r>
        <w:rPr>
          <w:i/>
          <w:color w:val="000000"/>
          <w:sz w:val="24"/>
          <w:szCs w:val="24"/>
          <w:highlight w:val="white"/>
        </w:rPr>
        <w:t>p</w:t>
      </w:r>
      <w:r>
        <w:rPr>
          <w:color w:val="000000"/>
          <w:sz w:val="24"/>
          <w:szCs w:val="24"/>
          <w:highlight w:val="white"/>
        </w:rPr>
        <w:t>) + </w:t>
      </w:r>
      <w:r>
        <w:rPr>
          <w:rFonts w:ascii="Noto Sans Symbols" w:eastAsia="Noto Sans Symbols" w:hAnsi="Noto Sans Symbols" w:cs="Noto Sans Symbols"/>
          <w:i/>
          <w:color w:val="000000"/>
          <w:sz w:val="27"/>
          <w:szCs w:val="27"/>
          <w:highlight w:val="white"/>
        </w:rPr>
        <w:t>α</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w:t>
      </w:r>
      <w:r>
        <w:rPr>
          <w:color w:val="000000"/>
          <w:sz w:val="24"/>
          <w:szCs w:val="24"/>
          <w:highlight w:val="white"/>
        </w:rPr>
        <w:t>-1)]</w:t>
      </w:r>
    </w:p>
    <w:p w:rsidR="00D10A31" w14:paraId="6B29DADA" w14:textId="77777777">
      <w:pPr>
        <w:widowControl/>
        <w:pBdr>
          <w:top w:val="nil"/>
          <w:left w:val="nil"/>
          <w:bottom w:val="nil"/>
          <w:right w:val="nil"/>
          <w:between w:val="nil"/>
        </w:pBdr>
        <w:jc w:val="center"/>
        <w:rPr>
          <w:color w:val="000000"/>
          <w:sz w:val="24"/>
          <w:szCs w:val="24"/>
          <w:highlight w:val="white"/>
        </w:rPr>
      </w:pPr>
    </w:p>
    <w:p w:rsidR="00D10A31" w14:paraId="3FBDC44C" w14:textId="77777777">
      <w:pPr>
        <w:widowControl/>
        <w:pBdr>
          <w:top w:val="nil"/>
          <w:left w:val="nil"/>
          <w:bottom w:val="nil"/>
          <w:right w:val="nil"/>
          <w:between w:val="nil"/>
        </w:pBdr>
        <w:spacing w:after="240"/>
        <w:rPr>
          <w:color w:val="000000"/>
          <w:sz w:val="24"/>
          <w:szCs w:val="24"/>
          <w:highlight w:val="white"/>
        </w:rPr>
      </w:pPr>
      <w:r>
        <w:rPr>
          <w:color w:val="000000"/>
          <w:sz w:val="24"/>
          <w:szCs w:val="24"/>
          <w:highlight w:val="white"/>
        </w:rPr>
        <w:t xml:space="preserve">where </w:t>
      </w:r>
      <w:r>
        <w:rPr>
          <w:i/>
          <w:color w:val="000000"/>
          <w:sz w:val="24"/>
          <w:szCs w:val="24"/>
          <w:highlight w:val="white"/>
        </w:rPr>
        <w:t>n</w:t>
      </w:r>
      <w:r>
        <w:rPr>
          <w:color w:val="000000"/>
          <w:sz w:val="24"/>
          <w:szCs w:val="24"/>
          <w:highlight w:val="white"/>
        </w:rPr>
        <w:t xml:space="preserve"> is the sample size, </w:t>
      </w:r>
      <w:r>
        <w:rPr>
          <w:i/>
          <w:color w:val="000000"/>
          <w:sz w:val="24"/>
          <w:szCs w:val="24"/>
          <w:highlight w:val="white"/>
        </w:rPr>
        <w:t xml:space="preserve">N </w:t>
      </w:r>
      <w:r>
        <w:rPr>
          <w:color w:val="000000"/>
          <w:sz w:val="24"/>
          <w:szCs w:val="24"/>
          <w:highlight w:val="white"/>
        </w:rPr>
        <w:t>is the size of the total number of cases,</w:t>
      </w:r>
      <w:r>
        <w:rPr>
          <w:i/>
          <w:color w:val="000000"/>
          <w:sz w:val="24"/>
          <w:szCs w:val="24"/>
          <w:highlight w:val="white"/>
        </w:rPr>
        <w:t xml:space="preserve"> </w:t>
      </w:r>
      <w:r>
        <w:rPr>
          <w:rFonts w:ascii="Noto Sans Symbols" w:eastAsia="Noto Sans Symbols" w:hAnsi="Noto Sans Symbols" w:cs="Noto Sans Symbols"/>
          <w:i/>
          <w:color w:val="000000"/>
          <w:sz w:val="27"/>
          <w:szCs w:val="27"/>
          <w:highlight w:val="white"/>
        </w:rPr>
        <w:t>α</w:t>
      </w:r>
      <w:r>
        <w:rPr>
          <w:color w:val="000000"/>
          <w:sz w:val="24"/>
          <w:szCs w:val="24"/>
          <w:highlight w:val="white"/>
        </w:rPr>
        <w:t xml:space="preserve"> is the expected error,</w:t>
      </w:r>
      <w:r>
        <w:rPr>
          <w:i/>
          <w:color w:val="000000"/>
          <w:sz w:val="24"/>
          <w:szCs w:val="24"/>
          <w:highlight w:val="white"/>
        </w:rPr>
        <w:t xml:space="preserve"> t</w:t>
      </w:r>
      <w:r>
        <w:rPr>
          <w:color w:val="000000"/>
          <w:sz w:val="24"/>
          <w:szCs w:val="24"/>
          <w:highlight w:val="white"/>
        </w:rPr>
        <w:t xml:space="preserve"> is the value taken from the </w:t>
      </w:r>
      <w:r>
        <w:rPr>
          <w:i/>
          <w:color w:val="000000"/>
          <w:sz w:val="24"/>
          <w:szCs w:val="24"/>
          <w:highlight w:val="white"/>
        </w:rPr>
        <w:t>t-</w:t>
      </w:r>
      <w:r>
        <w:rPr>
          <w:color w:val="000000"/>
          <w:sz w:val="24"/>
          <w:szCs w:val="24"/>
          <w:highlight w:val="white"/>
        </w:rPr>
        <w:t xml:space="preserve">distribution corresponding to a certain confidence interval, and </w:t>
      </w:r>
      <w:r>
        <w:rPr>
          <w:i/>
          <w:color w:val="000000"/>
          <w:sz w:val="24"/>
          <w:szCs w:val="24"/>
          <w:highlight w:val="white"/>
        </w:rPr>
        <w:t>p</w:t>
      </w:r>
      <w:r>
        <w:rPr>
          <w:color w:val="000000"/>
          <w:sz w:val="24"/>
          <w:szCs w:val="24"/>
          <w:highlight w:val="white"/>
        </w:rPr>
        <w:t xml:space="preserve"> is the proportion of the population.</w:t>
      </w:r>
      <w:r>
        <w:rPr>
          <w:color w:val="000000"/>
          <w:sz w:val="24"/>
          <w:szCs w:val="24"/>
        </w:rPr>
        <w:t xml:space="preserve"> </w:t>
      </w:r>
    </w:p>
    <w:p w:rsidR="00D10A31" w14:paraId="6E206F0C" w14:textId="77777777">
      <w:pPr>
        <w:widowControl/>
        <w:pBdr>
          <w:top w:val="nil"/>
          <w:left w:val="nil"/>
          <w:bottom w:val="nil"/>
          <w:right w:val="nil"/>
          <w:between w:val="nil"/>
        </w:pBdr>
        <w:spacing w:before="280" w:after="280"/>
        <w:rPr>
          <w:color w:val="000000"/>
          <w:sz w:val="24"/>
          <w:szCs w:val="24"/>
        </w:rPr>
      </w:pPr>
      <w:r>
        <w:rPr>
          <w:color w:val="000000"/>
          <w:sz w:val="24"/>
          <w:szCs w:val="24"/>
        </w:rPr>
        <w:t xml:space="preserve">Based on the calculated sample size, the following formula is used to determine the margin of error, </w:t>
      </w:r>
      <w:r>
        <w:rPr>
          <w:i/>
          <w:color w:val="000000"/>
          <w:sz w:val="24"/>
          <w:szCs w:val="24"/>
        </w:rPr>
        <w:t>c</w:t>
      </w:r>
      <w:r>
        <w:rPr>
          <w:color w:val="000000"/>
          <w:sz w:val="24"/>
          <w:szCs w:val="24"/>
        </w:rPr>
        <w:t>, for each jurisdiction and stratum:</w:t>
      </w:r>
    </w:p>
    <w:p w:rsidR="00D10A31" w14:paraId="6D511E96" w14:textId="77777777">
      <w:pPr>
        <w:spacing w:after="240"/>
        <w:jc w:val="center"/>
        <w:rPr>
          <w:color w:val="000000"/>
        </w:rPr>
      </w:pPr>
      <w:r>
        <w:rPr>
          <w:noProof/>
        </w:rPr>
        <w:drawing>
          <wp:inline distT="0" distB="0" distL="114300" distR="114300">
            <wp:extent cx="857250" cy="45085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1" name="image6.png"/>
                    <pic:cNvPicPr/>
                  </pic:nvPicPr>
                  <pic:blipFill>
                    <a:blip xmlns:r="http://schemas.openxmlformats.org/officeDocument/2006/relationships" r:embed="rId5"/>
                    <a:stretch>
                      <a:fillRect/>
                    </a:stretch>
                  </pic:blipFill>
                  <pic:spPr>
                    <a:xfrm>
                      <a:off x="0" y="0"/>
                      <a:ext cx="857250" cy="450850"/>
                    </a:xfrm>
                    <a:prstGeom prst="rect">
                      <a:avLst/>
                    </a:prstGeom>
                  </pic:spPr>
                </pic:pic>
              </a:graphicData>
            </a:graphic>
          </wp:inline>
        </w:drawing>
      </w:r>
    </w:p>
    <w:p w:rsidR="00D10A31" w14:paraId="5C0F4A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where </w:t>
      </w:r>
      <w:r>
        <w:rPr>
          <w:i/>
          <w:sz w:val="24"/>
          <w:szCs w:val="24"/>
        </w:rPr>
        <w:t>z</w:t>
      </w:r>
      <w:r>
        <w:rPr>
          <w:sz w:val="24"/>
          <w:szCs w:val="24"/>
        </w:rPr>
        <w:t xml:space="preserve"> is the critical </w:t>
      </w:r>
      <w:r>
        <w:rPr>
          <w:i/>
          <w:sz w:val="24"/>
          <w:szCs w:val="24"/>
        </w:rPr>
        <w:t>z</w:t>
      </w:r>
      <w:r>
        <w:rPr>
          <w:sz w:val="24"/>
          <w:szCs w:val="24"/>
        </w:rPr>
        <w:t xml:space="preserve">-value (here, 1.96 at 95% CI), </w:t>
      </w:r>
      <w:r>
        <w:rPr>
          <w:i/>
          <w:sz w:val="24"/>
          <w:szCs w:val="24"/>
        </w:rPr>
        <w:t>p</w:t>
      </w:r>
      <w:r>
        <w:rPr>
          <w:sz w:val="24"/>
          <w:szCs w:val="24"/>
        </w:rPr>
        <w:t xml:space="preserve"> is the sample proportion of the population (here, 0.5), and </w:t>
      </w:r>
      <w:r>
        <w:rPr>
          <w:i/>
          <w:sz w:val="24"/>
          <w:szCs w:val="24"/>
        </w:rPr>
        <w:t>n</w:t>
      </w:r>
      <w:r>
        <w:rPr>
          <w:sz w:val="24"/>
          <w:szCs w:val="24"/>
        </w:rPr>
        <w:t xml:space="preserve"> is the sample size. Since there are multiple variables of interest, the sample proportion was set at 0.5 to provide the most conservative (largest) sample size. </w:t>
      </w:r>
      <w:r>
        <w:rPr>
          <w:color w:val="000000"/>
          <w:sz w:val="24"/>
          <w:szCs w:val="24"/>
        </w:rPr>
        <w:t>The final sample size will be determined based on the margin of error, as well as jurisdictional partner needs (for example, desired resolution of data) and the project budget.</w:t>
      </w:r>
    </w:p>
    <w:p w:rsidR="00D10A31" w14:paraId="51B6042C" w14:textId="77777777">
      <w:pPr>
        <w:rPr>
          <w:sz w:val="24"/>
          <w:szCs w:val="24"/>
        </w:rPr>
      </w:pPr>
      <w:bookmarkStart w:id="12" w:name="_3rdcrjn" w:colFirst="0" w:colLast="0"/>
      <w:bookmarkEnd w:id="12"/>
    </w:p>
    <w:p w:rsidR="00D10A31" w14:paraId="4ECAFA6E" w14:textId="77777777">
      <w:pPr>
        <w:widowControl/>
        <w:pBdr>
          <w:top w:val="nil"/>
          <w:left w:val="nil"/>
          <w:bottom w:val="nil"/>
          <w:right w:val="nil"/>
          <w:between w:val="nil"/>
        </w:pBdr>
        <w:spacing w:after="200"/>
        <w:rPr>
          <w:b/>
          <w:color w:val="000000"/>
          <w:sz w:val="24"/>
          <w:szCs w:val="24"/>
        </w:rPr>
      </w:pPr>
      <w:r>
        <w:rPr>
          <w:b/>
          <w:color w:val="000000"/>
          <w:sz w:val="24"/>
          <w:szCs w:val="24"/>
        </w:rPr>
        <w:t>Table 5: Sample size requirements for each surveyed jurisdiction</w:t>
      </w:r>
    </w:p>
    <w:tbl>
      <w:tblPr>
        <w:tblStyle w:val="a3"/>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34"/>
        <w:gridCol w:w="1174"/>
        <w:gridCol w:w="1181"/>
        <w:gridCol w:w="3120"/>
        <w:gridCol w:w="1023"/>
        <w:gridCol w:w="1116"/>
      </w:tblGrid>
      <w:tr w14:paraId="43D7E691" w14:textId="77777777">
        <w:tblPrEx>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850"/>
        </w:trPr>
        <w:tc>
          <w:tcPr>
            <w:tcW w:w="1734" w:type="dxa"/>
            <w:tcBorders>
              <w:bottom w:val="single" w:sz="12" w:space="0" w:color="000000"/>
            </w:tcBorders>
            <w:vAlign w:val="center"/>
          </w:tcPr>
          <w:p w:rsidR="00D10A31" w14:paraId="5BF61DC2" w14:textId="77777777">
            <w:pPr>
              <w:rPr>
                <w:sz w:val="22"/>
                <w:szCs w:val="22"/>
              </w:rPr>
            </w:pPr>
            <w:r>
              <w:rPr>
                <w:b/>
                <w:sz w:val="22"/>
                <w:szCs w:val="22"/>
              </w:rPr>
              <w:t>Jurisdiction</w:t>
            </w:r>
          </w:p>
        </w:tc>
        <w:tc>
          <w:tcPr>
            <w:tcW w:w="1174" w:type="dxa"/>
            <w:tcBorders>
              <w:bottom w:val="single" w:sz="12" w:space="0" w:color="000000"/>
            </w:tcBorders>
            <w:vAlign w:val="center"/>
          </w:tcPr>
          <w:p w:rsidR="00D10A31" w14:paraId="0BE0867A" w14:textId="77777777">
            <w:pPr>
              <w:jc w:val="right"/>
              <w:rPr>
                <w:sz w:val="22"/>
                <w:szCs w:val="22"/>
              </w:rPr>
            </w:pPr>
            <w:r>
              <w:rPr>
                <w:b/>
                <w:sz w:val="22"/>
                <w:szCs w:val="22"/>
              </w:rPr>
              <w:t xml:space="preserve">Total Sample Size </w:t>
            </w:r>
          </w:p>
        </w:tc>
        <w:tc>
          <w:tcPr>
            <w:tcW w:w="1181" w:type="dxa"/>
            <w:tcBorders>
              <w:bottom w:val="single" w:sz="12" w:space="0" w:color="000000"/>
            </w:tcBorders>
            <w:vAlign w:val="center"/>
          </w:tcPr>
          <w:p w:rsidR="00D10A31" w14:paraId="3F93B87B" w14:textId="77777777">
            <w:pPr>
              <w:jc w:val="right"/>
              <w:rPr>
                <w:sz w:val="22"/>
                <w:szCs w:val="22"/>
              </w:rPr>
            </w:pPr>
            <w:r>
              <w:rPr>
                <w:b/>
                <w:sz w:val="22"/>
                <w:szCs w:val="22"/>
              </w:rPr>
              <w:t>Total Margin of Error (95% CI)</w:t>
            </w:r>
          </w:p>
        </w:tc>
        <w:tc>
          <w:tcPr>
            <w:tcW w:w="3120" w:type="dxa"/>
            <w:tcBorders>
              <w:bottom w:val="single" w:sz="12" w:space="0" w:color="000000"/>
            </w:tcBorders>
            <w:vAlign w:val="center"/>
          </w:tcPr>
          <w:p w:rsidR="00D10A31" w14:paraId="21192F70" w14:textId="77777777">
            <w:pPr>
              <w:rPr>
                <w:b/>
                <w:sz w:val="22"/>
                <w:szCs w:val="22"/>
              </w:rPr>
            </w:pPr>
            <w:r>
              <w:rPr>
                <w:b/>
                <w:sz w:val="22"/>
                <w:szCs w:val="22"/>
              </w:rPr>
              <w:t>Strata</w:t>
            </w:r>
          </w:p>
        </w:tc>
        <w:tc>
          <w:tcPr>
            <w:tcW w:w="1023" w:type="dxa"/>
            <w:tcBorders>
              <w:bottom w:val="single" w:sz="12" w:space="0" w:color="000000"/>
            </w:tcBorders>
            <w:vAlign w:val="center"/>
          </w:tcPr>
          <w:p w:rsidR="00D10A31" w14:paraId="5E3D8C9D" w14:textId="77777777">
            <w:pPr>
              <w:jc w:val="right"/>
              <w:rPr>
                <w:sz w:val="22"/>
                <w:szCs w:val="22"/>
              </w:rPr>
            </w:pPr>
            <w:r>
              <w:rPr>
                <w:b/>
                <w:sz w:val="22"/>
                <w:szCs w:val="22"/>
              </w:rPr>
              <w:t>Sample Size by Strata</w:t>
            </w:r>
          </w:p>
        </w:tc>
        <w:tc>
          <w:tcPr>
            <w:tcW w:w="1116" w:type="dxa"/>
            <w:tcBorders>
              <w:bottom w:val="single" w:sz="12" w:space="0" w:color="000000"/>
            </w:tcBorders>
            <w:vAlign w:val="center"/>
          </w:tcPr>
          <w:p w:rsidR="00D10A31" w14:paraId="7A485453" w14:textId="77777777">
            <w:pPr>
              <w:jc w:val="right"/>
              <w:rPr>
                <w:sz w:val="22"/>
                <w:szCs w:val="22"/>
              </w:rPr>
            </w:pPr>
            <w:r>
              <w:rPr>
                <w:b/>
                <w:sz w:val="22"/>
                <w:szCs w:val="22"/>
              </w:rPr>
              <w:t>Strata Margin of Error (95% CI)</w:t>
            </w:r>
          </w:p>
        </w:tc>
      </w:tr>
      <w:tr w14:paraId="575FC453" w14:textId="77777777">
        <w:tblPrEx>
          <w:tblW w:w="9348" w:type="dxa"/>
          <w:tblLayout w:type="fixed"/>
          <w:tblLook w:val="0000"/>
        </w:tblPrEx>
        <w:trPr>
          <w:trHeight w:val="209"/>
        </w:trPr>
        <w:tc>
          <w:tcPr>
            <w:tcW w:w="1734" w:type="dxa"/>
            <w:vMerge w:val="restart"/>
            <w:tcBorders>
              <w:top w:val="single" w:sz="12" w:space="0" w:color="000000"/>
            </w:tcBorders>
            <w:shd w:val="clear" w:color="auto" w:fill="D9D9D9"/>
            <w:vAlign w:val="center"/>
          </w:tcPr>
          <w:p w:rsidR="00D10A31" w14:paraId="4CB5309A" w14:textId="77777777">
            <w:pPr>
              <w:rPr>
                <w:sz w:val="22"/>
                <w:szCs w:val="22"/>
              </w:rPr>
            </w:pPr>
            <w:r>
              <w:rPr>
                <w:sz w:val="22"/>
                <w:szCs w:val="22"/>
              </w:rPr>
              <w:t>1. Puerto Rico</w:t>
            </w:r>
          </w:p>
        </w:tc>
        <w:tc>
          <w:tcPr>
            <w:tcW w:w="1174" w:type="dxa"/>
            <w:vMerge w:val="restart"/>
            <w:tcBorders>
              <w:top w:val="single" w:sz="12" w:space="0" w:color="000000"/>
            </w:tcBorders>
            <w:shd w:val="clear" w:color="auto" w:fill="D9D9D9"/>
            <w:vAlign w:val="center"/>
          </w:tcPr>
          <w:p w:rsidR="00D10A31" w14:paraId="5E165B4F" w14:textId="77777777">
            <w:pPr>
              <w:jc w:val="right"/>
              <w:rPr>
                <w:sz w:val="22"/>
                <w:szCs w:val="22"/>
              </w:rPr>
            </w:pPr>
            <w:r>
              <w:rPr>
                <w:sz w:val="22"/>
                <w:szCs w:val="22"/>
              </w:rPr>
              <w:t>1,800</w:t>
            </w:r>
          </w:p>
        </w:tc>
        <w:tc>
          <w:tcPr>
            <w:tcW w:w="1181" w:type="dxa"/>
            <w:vMerge w:val="restart"/>
            <w:tcBorders>
              <w:top w:val="single" w:sz="12" w:space="0" w:color="000000"/>
            </w:tcBorders>
            <w:shd w:val="clear" w:color="auto" w:fill="D9D9D9"/>
            <w:vAlign w:val="center"/>
          </w:tcPr>
          <w:p w:rsidR="00D10A31" w14:paraId="1AB9DDF6" w14:textId="77777777">
            <w:pPr>
              <w:jc w:val="right"/>
              <w:rPr>
                <w:sz w:val="22"/>
                <w:szCs w:val="22"/>
              </w:rPr>
            </w:pPr>
            <w:r>
              <w:rPr>
                <w:sz w:val="22"/>
                <w:szCs w:val="22"/>
              </w:rPr>
              <w:t>2.3%</w:t>
            </w:r>
          </w:p>
        </w:tc>
        <w:tc>
          <w:tcPr>
            <w:tcW w:w="3120" w:type="dxa"/>
            <w:tcBorders>
              <w:top w:val="single" w:sz="12" w:space="0" w:color="000000"/>
            </w:tcBorders>
            <w:shd w:val="clear" w:color="auto" w:fill="D9D9D9"/>
            <w:vAlign w:val="center"/>
          </w:tcPr>
          <w:p w:rsidR="00D10A31" w14:paraId="6784EE4C" w14:textId="77777777">
            <w:pPr>
              <w:rPr>
                <w:sz w:val="22"/>
                <w:szCs w:val="22"/>
              </w:rPr>
            </w:pPr>
            <w:r>
              <w:rPr>
                <w:sz w:val="22"/>
                <w:szCs w:val="22"/>
              </w:rPr>
              <w:t>Coastal North Municipalities</w:t>
            </w:r>
          </w:p>
        </w:tc>
        <w:tc>
          <w:tcPr>
            <w:tcW w:w="1023" w:type="dxa"/>
            <w:tcBorders>
              <w:top w:val="single" w:sz="12" w:space="0" w:color="000000"/>
            </w:tcBorders>
            <w:shd w:val="clear" w:color="auto" w:fill="D9D9D9"/>
            <w:vAlign w:val="center"/>
          </w:tcPr>
          <w:p w:rsidR="00D10A31" w14:paraId="71B6C1D5" w14:textId="77777777">
            <w:pPr>
              <w:jc w:val="right"/>
              <w:rPr>
                <w:color w:val="000000"/>
                <w:sz w:val="22"/>
                <w:szCs w:val="22"/>
              </w:rPr>
            </w:pPr>
            <w:r>
              <w:rPr>
                <w:color w:val="000000"/>
                <w:sz w:val="22"/>
                <w:szCs w:val="22"/>
              </w:rPr>
              <w:t>730</w:t>
            </w:r>
          </w:p>
        </w:tc>
        <w:tc>
          <w:tcPr>
            <w:tcW w:w="1116" w:type="dxa"/>
            <w:tcBorders>
              <w:top w:val="single" w:sz="12" w:space="0" w:color="000000"/>
            </w:tcBorders>
            <w:shd w:val="clear" w:color="auto" w:fill="D9D9D9"/>
            <w:vAlign w:val="center"/>
          </w:tcPr>
          <w:p w:rsidR="00D10A31" w14:paraId="0B36FB9F" w14:textId="77777777">
            <w:pPr>
              <w:jc w:val="right"/>
              <w:rPr>
                <w:color w:val="000000"/>
                <w:sz w:val="22"/>
                <w:szCs w:val="22"/>
              </w:rPr>
            </w:pPr>
            <w:r>
              <w:rPr>
                <w:color w:val="000000"/>
                <w:sz w:val="22"/>
                <w:szCs w:val="22"/>
              </w:rPr>
              <w:t>3.6%</w:t>
            </w:r>
          </w:p>
        </w:tc>
      </w:tr>
      <w:tr w14:paraId="110FB0B3" w14:textId="77777777">
        <w:tblPrEx>
          <w:tblW w:w="9348" w:type="dxa"/>
          <w:tblLayout w:type="fixed"/>
          <w:tblLook w:val="0000"/>
        </w:tblPrEx>
        <w:trPr>
          <w:trHeight w:val="241"/>
        </w:trPr>
        <w:tc>
          <w:tcPr>
            <w:tcW w:w="1734" w:type="dxa"/>
            <w:vMerge/>
            <w:tcBorders>
              <w:top w:val="single" w:sz="12" w:space="0" w:color="000000"/>
            </w:tcBorders>
            <w:shd w:val="clear" w:color="auto" w:fill="D9D9D9"/>
            <w:vAlign w:val="center"/>
          </w:tcPr>
          <w:p w:rsidR="00D10A31" w14:paraId="0FFB7B86" w14:textId="77777777">
            <w:pPr>
              <w:pBdr>
                <w:top w:val="nil"/>
                <w:left w:val="nil"/>
                <w:bottom w:val="nil"/>
                <w:right w:val="nil"/>
                <w:between w:val="nil"/>
              </w:pBdr>
              <w:spacing w:line="276" w:lineRule="auto"/>
              <w:rPr>
                <w:color w:val="000000"/>
                <w:sz w:val="22"/>
                <w:szCs w:val="22"/>
              </w:rPr>
            </w:pPr>
          </w:p>
        </w:tc>
        <w:tc>
          <w:tcPr>
            <w:tcW w:w="1174" w:type="dxa"/>
            <w:vMerge/>
            <w:tcBorders>
              <w:top w:val="single" w:sz="12" w:space="0" w:color="000000"/>
            </w:tcBorders>
            <w:shd w:val="clear" w:color="auto" w:fill="D9D9D9"/>
            <w:vAlign w:val="center"/>
          </w:tcPr>
          <w:p w:rsidR="00D10A31" w14:paraId="3DBE6F37" w14:textId="77777777">
            <w:pPr>
              <w:pBdr>
                <w:top w:val="nil"/>
                <w:left w:val="nil"/>
                <w:bottom w:val="nil"/>
                <w:right w:val="nil"/>
                <w:between w:val="nil"/>
              </w:pBdr>
              <w:spacing w:line="276" w:lineRule="auto"/>
              <w:rPr>
                <w:color w:val="000000"/>
                <w:sz w:val="22"/>
                <w:szCs w:val="22"/>
              </w:rPr>
            </w:pPr>
          </w:p>
        </w:tc>
        <w:tc>
          <w:tcPr>
            <w:tcW w:w="1181" w:type="dxa"/>
            <w:vMerge/>
            <w:tcBorders>
              <w:top w:val="single" w:sz="12" w:space="0" w:color="000000"/>
            </w:tcBorders>
            <w:shd w:val="clear" w:color="auto" w:fill="D9D9D9"/>
            <w:vAlign w:val="center"/>
          </w:tcPr>
          <w:p w:rsidR="00D10A31" w14:paraId="4DBD58E9" w14:textId="77777777">
            <w:pPr>
              <w:pBdr>
                <w:top w:val="nil"/>
                <w:left w:val="nil"/>
                <w:bottom w:val="nil"/>
                <w:right w:val="nil"/>
                <w:between w:val="nil"/>
              </w:pBdr>
              <w:spacing w:line="276" w:lineRule="auto"/>
              <w:rPr>
                <w:color w:val="000000"/>
                <w:sz w:val="22"/>
                <w:szCs w:val="22"/>
              </w:rPr>
            </w:pPr>
          </w:p>
        </w:tc>
        <w:tc>
          <w:tcPr>
            <w:tcW w:w="3120" w:type="dxa"/>
            <w:tcBorders>
              <w:bottom w:val="single" w:sz="4" w:space="0" w:color="000000"/>
            </w:tcBorders>
            <w:shd w:val="clear" w:color="auto" w:fill="D9D9D9"/>
            <w:vAlign w:val="center"/>
          </w:tcPr>
          <w:p w:rsidR="00D10A31" w14:paraId="7408CADE" w14:textId="77777777">
            <w:pPr>
              <w:rPr>
                <w:sz w:val="22"/>
                <w:szCs w:val="22"/>
              </w:rPr>
            </w:pPr>
            <w:r>
              <w:rPr>
                <w:sz w:val="22"/>
                <w:szCs w:val="22"/>
              </w:rPr>
              <w:t>Coastal South Municipalities</w:t>
            </w:r>
          </w:p>
        </w:tc>
        <w:tc>
          <w:tcPr>
            <w:tcW w:w="1023" w:type="dxa"/>
            <w:tcBorders>
              <w:bottom w:val="single" w:sz="4" w:space="0" w:color="000000"/>
            </w:tcBorders>
            <w:shd w:val="clear" w:color="auto" w:fill="D9D9D9"/>
            <w:vAlign w:val="center"/>
          </w:tcPr>
          <w:p w:rsidR="00D10A31" w14:paraId="105B99E4" w14:textId="77777777">
            <w:pPr>
              <w:jc w:val="right"/>
              <w:rPr>
                <w:color w:val="000000"/>
                <w:sz w:val="22"/>
                <w:szCs w:val="22"/>
              </w:rPr>
            </w:pPr>
            <w:r>
              <w:rPr>
                <w:color w:val="000000"/>
                <w:sz w:val="22"/>
                <w:szCs w:val="22"/>
              </w:rPr>
              <w:t>401</w:t>
            </w:r>
          </w:p>
        </w:tc>
        <w:tc>
          <w:tcPr>
            <w:tcW w:w="1116" w:type="dxa"/>
            <w:tcBorders>
              <w:bottom w:val="single" w:sz="4" w:space="0" w:color="000000"/>
            </w:tcBorders>
            <w:shd w:val="clear" w:color="auto" w:fill="D9D9D9"/>
            <w:vAlign w:val="center"/>
          </w:tcPr>
          <w:p w:rsidR="00D10A31" w14:paraId="252B8164" w14:textId="77777777">
            <w:pPr>
              <w:jc w:val="right"/>
              <w:rPr>
                <w:color w:val="000000"/>
                <w:sz w:val="22"/>
                <w:szCs w:val="22"/>
              </w:rPr>
            </w:pPr>
            <w:r>
              <w:rPr>
                <w:color w:val="000000"/>
                <w:sz w:val="22"/>
                <w:szCs w:val="22"/>
              </w:rPr>
              <w:t>4.9%</w:t>
            </w:r>
          </w:p>
        </w:tc>
      </w:tr>
      <w:tr w14:paraId="63FEDA78" w14:textId="77777777">
        <w:tblPrEx>
          <w:tblW w:w="9348" w:type="dxa"/>
          <w:tblLayout w:type="fixed"/>
          <w:tblLook w:val="0000"/>
        </w:tblPrEx>
        <w:trPr>
          <w:trHeight w:val="230"/>
        </w:trPr>
        <w:tc>
          <w:tcPr>
            <w:tcW w:w="1734" w:type="dxa"/>
            <w:vMerge/>
            <w:tcBorders>
              <w:top w:val="single" w:sz="12" w:space="0" w:color="000000"/>
            </w:tcBorders>
            <w:shd w:val="clear" w:color="auto" w:fill="D9D9D9"/>
            <w:vAlign w:val="center"/>
          </w:tcPr>
          <w:p w:rsidR="00D10A31" w14:paraId="21FA6E90" w14:textId="77777777">
            <w:pPr>
              <w:pBdr>
                <w:top w:val="nil"/>
                <w:left w:val="nil"/>
                <w:bottom w:val="nil"/>
                <w:right w:val="nil"/>
                <w:between w:val="nil"/>
              </w:pBdr>
              <w:spacing w:line="276" w:lineRule="auto"/>
              <w:rPr>
                <w:color w:val="000000"/>
                <w:sz w:val="22"/>
                <w:szCs w:val="22"/>
              </w:rPr>
            </w:pPr>
          </w:p>
        </w:tc>
        <w:tc>
          <w:tcPr>
            <w:tcW w:w="1174" w:type="dxa"/>
            <w:vMerge/>
            <w:tcBorders>
              <w:top w:val="single" w:sz="12" w:space="0" w:color="000000"/>
            </w:tcBorders>
            <w:shd w:val="clear" w:color="auto" w:fill="D9D9D9"/>
            <w:vAlign w:val="center"/>
          </w:tcPr>
          <w:p w:rsidR="00D10A31" w14:paraId="1F70523F" w14:textId="77777777">
            <w:pPr>
              <w:pBdr>
                <w:top w:val="nil"/>
                <w:left w:val="nil"/>
                <w:bottom w:val="nil"/>
                <w:right w:val="nil"/>
                <w:between w:val="nil"/>
              </w:pBdr>
              <w:spacing w:line="276" w:lineRule="auto"/>
              <w:rPr>
                <w:color w:val="000000"/>
                <w:sz w:val="22"/>
                <w:szCs w:val="22"/>
              </w:rPr>
            </w:pPr>
          </w:p>
        </w:tc>
        <w:tc>
          <w:tcPr>
            <w:tcW w:w="1181" w:type="dxa"/>
            <w:vMerge/>
            <w:tcBorders>
              <w:top w:val="single" w:sz="12" w:space="0" w:color="000000"/>
            </w:tcBorders>
            <w:shd w:val="clear" w:color="auto" w:fill="D9D9D9"/>
            <w:vAlign w:val="center"/>
          </w:tcPr>
          <w:p w:rsidR="00D10A31" w14:paraId="330FFCC0" w14:textId="77777777">
            <w:pPr>
              <w:pBdr>
                <w:top w:val="nil"/>
                <w:left w:val="nil"/>
                <w:bottom w:val="nil"/>
                <w:right w:val="nil"/>
                <w:between w:val="nil"/>
              </w:pBdr>
              <w:spacing w:line="276" w:lineRule="auto"/>
              <w:rPr>
                <w:color w:val="000000"/>
                <w:sz w:val="22"/>
                <w:szCs w:val="22"/>
              </w:rPr>
            </w:pPr>
          </w:p>
        </w:tc>
        <w:tc>
          <w:tcPr>
            <w:tcW w:w="3120" w:type="dxa"/>
            <w:tcBorders>
              <w:bottom w:val="single" w:sz="8" w:space="0" w:color="000000"/>
            </w:tcBorders>
            <w:shd w:val="clear" w:color="auto" w:fill="D9D9D9"/>
            <w:vAlign w:val="center"/>
          </w:tcPr>
          <w:p w:rsidR="00D10A31" w14:paraId="07601EA1" w14:textId="77777777">
            <w:pPr>
              <w:rPr>
                <w:sz w:val="22"/>
                <w:szCs w:val="22"/>
              </w:rPr>
            </w:pPr>
            <w:r>
              <w:rPr>
                <w:sz w:val="22"/>
                <w:szCs w:val="22"/>
              </w:rPr>
              <w:t>Inland Municipalities</w:t>
            </w:r>
          </w:p>
        </w:tc>
        <w:tc>
          <w:tcPr>
            <w:tcW w:w="1023" w:type="dxa"/>
            <w:tcBorders>
              <w:bottom w:val="single" w:sz="8" w:space="0" w:color="000000"/>
            </w:tcBorders>
            <w:shd w:val="clear" w:color="auto" w:fill="D9D9D9"/>
            <w:vAlign w:val="center"/>
          </w:tcPr>
          <w:p w:rsidR="00D10A31" w14:paraId="0D83C7E7" w14:textId="77777777">
            <w:pPr>
              <w:jc w:val="right"/>
              <w:rPr>
                <w:color w:val="000000"/>
                <w:sz w:val="22"/>
                <w:szCs w:val="22"/>
              </w:rPr>
            </w:pPr>
            <w:r>
              <w:rPr>
                <w:color w:val="000000"/>
                <w:sz w:val="22"/>
                <w:szCs w:val="22"/>
              </w:rPr>
              <w:t>669</w:t>
            </w:r>
          </w:p>
        </w:tc>
        <w:tc>
          <w:tcPr>
            <w:tcW w:w="1116" w:type="dxa"/>
            <w:tcBorders>
              <w:bottom w:val="single" w:sz="8" w:space="0" w:color="000000"/>
            </w:tcBorders>
            <w:shd w:val="clear" w:color="auto" w:fill="D9D9D9"/>
            <w:vAlign w:val="center"/>
          </w:tcPr>
          <w:p w:rsidR="00D10A31" w14:paraId="1398B25A" w14:textId="77777777">
            <w:pPr>
              <w:jc w:val="right"/>
              <w:rPr>
                <w:color w:val="000000"/>
                <w:sz w:val="22"/>
                <w:szCs w:val="22"/>
              </w:rPr>
            </w:pPr>
            <w:r>
              <w:rPr>
                <w:color w:val="000000"/>
                <w:sz w:val="22"/>
                <w:szCs w:val="22"/>
              </w:rPr>
              <w:t>3.8%</w:t>
            </w:r>
          </w:p>
        </w:tc>
      </w:tr>
      <w:tr w14:paraId="016A5AB6" w14:textId="77777777">
        <w:tblPrEx>
          <w:tblW w:w="9348" w:type="dxa"/>
          <w:tblLayout w:type="fixed"/>
          <w:tblLook w:val="0000"/>
        </w:tblPrEx>
        <w:trPr>
          <w:trHeight w:val="209"/>
        </w:trPr>
        <w:tc>
          <w:tcPr>
            <w:tcW w:w="1734" w:type="dxa"/>
            <w:vMerge w:val="restart"/>
            <w:tcBorders>
              <w:top w:val="single" w:sz="8" w:space="0" w:color="000000"/>
              <w:bottom w:val="single" w:sz="8" w:space="0" w:color="000000"/>
            </w:tcBorders>
            <w:vAlign w:val="center"/>
          </w:tcPr>
          <w:p w:rsidR="00D10A31" w14:paraId="43101B24" w14:textId="77777777">
            <w:pPr>
              <w:rPr>
                <w:sz w:val="22"/>
                <w:szCs w:val="22"/>
              </w:rPr>
            </w:pPr>
            <w:r>
              <w:rPr>
                <w:sz w:val="22"/>
                <w:szCs w:val="22"/>
              </w:rPr>
              <w:t>2. CNMI</w:t>
            </w:r>
          </w:p>
        </w:tc>
        <w:tc>
          <w:tcPr>
            <w:tcW w:w="1174" w:type="dxa"/>
            <w:vMerge w:val="restart"/>
            <w:tcBorders>
              <w:top w:val="single" w:sz="8" w:space="0" w:color="000000"/>
              <w:bottom w:val="single" w:sz="8" w:space="0" w:color="000000"/>
            </w:tcBorders>
            <w:vAlign w:val="center"/>
          </w:tcPr>
          <w:p w:rsidR="00D10A31" w14:paraId="5BEDFCFB" w14:textId="77777777">
            <w:pPr>
              <w:jc w:val="right"/>
              <w:rPr>
                <w:sz w:val="22"/>
                <w:szCs w:val="22"/>
              </w:rPr>
            </w:pPr>
            <w:r>
              <w:rPr>
                <w:sz w:val="22"/>
                <w:szCs w:val="22"/>
              </w:rPr>
              <w:t>1,600</w:t>
            </w:r>
          </w:p>
        </w:tc>
        <w:tc>
          <w:tcPr>
            <w:tcW w:w="1181" w:type="dxa"/>
            <w:vMerge w:val="restart"/>
            <w:tcBorders>
              <w:top w:val="single" w:sz="8" w:space="0" w:color="000000"/>
              <w:bottom w:val="single" w:sz="8" w:space="0" w:color="000000"/>
            </w:tcBorders>
            <w:vAlign w:val="center"/>
          </w:tcPr>
          <w:p w:rsidR="00D10A31" w14:paraId="540F1F45" w14:textId="77777777">
            <w:pPr>
              <w:jc w:val="right"/>
              <w:rPr>
                <w:sz w:val="22"/>
                <w:szCs w:val="22"/>
              </w:rPr>
            </w:pPr>
            <w:r>
              <w:rPr>
                <w:sz w:val="22"/>
                <w:szCs w:val="22"/>
              </w:rPr>
              <w:t>2.4%</w:t>
            </w:r>
          </w:p>
        </w:tc>
        <w:tc>
          <w:tcPr>
            <w:tcW w:w="3120" w:type="dxa"/>
            <w:tcBorders>
              <w:top w:val="single" w:sz="8" w:space="0" w:color="000000"/>
            </w:tcBorders>
            <w:vAlign w:val="center"/>
          </w:tcPr>
          <w:p w:rsidR="00D10A31" w14:paraId="632F7E18" w14:textId="77777777">
            <w:pPr>
              <w:rPr>
                <w:sz w:val="22"/>
                <w:szCs w:val="22"/>
              </w:rPr>
            </w:pPr>
            <w:r>
              <w:rPr>
                <w:sz w:val="22"/>
                <w:szCs w:val="22"/>
              </w:rPr>
              <w:t>Saipan</w:t>
            </w:r>
          </w:p>
        </w:tc>
        <w:tc>
          <w:tcPr>
            <w:tcW w:w="1023" w:type="dxa"/>
            <w:tcBorders>
              <w:top w:val="single" w:sz="8" w:space="0" w:color="000000"/>
            </w:tcBorders>
            <w:vAlign w:val="center"/>
          </w:tcPr>
          <w:p w:rsidR="00D10A31" w14:paraId="30054B5E" w14:textId="77777777">
            <w:pPr>
              <w:jc w:val="right"/>
              <w:rPr>
                <w:sz w:val="22"/>
                <w:szCs w:val="22"/>
              </w:rPr>
            </w:pPr>
            <w:r>
              <w:rPr>
                <w:sz w:val="22"/>
                <w:szCs w:val="22"/>
              </w:rPr>
              <w:t>1,396</w:t>
            </w:r>
          </w:p>
        </w:tc>
        <w:tc>
          <w:tcPr>
            <w:tcW w:w="1116" w:type="dxa"/>
            <w:tcBorders>
              <w:top w:val="single" w:sz="8" w:space="0" w:color="000000"/>
            </w:tcBorders>
            <w:vAlign w:val="center"/>
          </w:tcPr>
          <w:p w:rsidR="00D10A31" w14:paraId="56291729" w14:textId="77777777">
            <w:pPr>
              <w:jc w:val="right"/>
              <w:rPr>
                <w:sz w:val="22"/>
                <w:szCs w:val="22"/>
              </w:rPr>
            </w:pPr>
            <w:r>
              <w:rPr>
                <w:sz w:val="22"/>
                <w:szCs w:val="22"/>
              </w:rPr>
              <w:t>2.6%</w:t>
            </w:r>
          </w:p>
        </w:tc>
      </w:tr>
      <w:tr w14:paraId="09470D4A"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6826B149"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vAlign w:val="center"/>
          </w:tcPr>
          <w:p w:rsidR="00D10A31" w14:paraId="2F6C2E10"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vAlign w:val="center"/>
          </w:tcPr>
          <w:p w:rsidR="00D10A31" w14:paraId="642FFA5F" w14:textId="77777777">
            <w:pPr>
              <w:pBdr>
                <w:top w:val="nil"/>
                <w:left w:val="nil"/>
                <w:bottom w:val="nil"/>
                <w:right w:val="nil"/>
                <w:between w:val="nil"/>
              </w:pBdr>
              <w:spacing w:line="276" w:lineRule="auto"/>
              <w:rPr>
                <w:sz w:val="22"/>
                <w:szCs w:val="22"/>
              </w:rPr>
            </w:pPr>
          </w:p>
        </w:tc>
        <w:tc>
          <w:tcPr>
            <w:tcW w:w="3120" w:type="dxa"/>
            <w:tcBorders>
              <w:bottom w:val="single" w:sz="4" w:space="0" w:color="000000"/>
            </w:tcBorders>
            <w:vAlign w:val="center"/>
          </w:tcPr>
          <w:p w:rsidR="00D10A31" w14:paraId="1FA4F132" w14:textId="77777777">
            <w:pPr>
              <w:rPr>
                <w:sz w:val="22"/>
                <w:szCs w:val="22"/>
              </w:rPr>
            </w:pPr>
            <w:r>
              <w:rPr>
                <w:sz w:val="22"/>
                <w:szCs w:val="22"/>
              </w:rPr>
              <w:t>Tinian</w:t>
            </w:r>
          </w:p>
        </w:tc>
        <w:tc>
          <w:tcPr>
            <w:tcW w:w="1023" w:type="dxa"/>
            <w:tcBorders>
              <w:bottom w:val="single" w:sz="4" w:space="0" w:color="000000"/>
            </w:tcBorders>
            <w:vAlign w:val="center"/>
          </w:tcPr>
          <w:p w:rsidR="00D10A31" w14:paraId="15C5C71C" w14:textId="77777777">
            <w:pPr>
              <w:jc w:val="right"/>
              <w:rPr>
                <w:sz w:val="22"/>
                <w:szCs w:val="22"/>
              </w:rPr>
            </w:pPr>
            <w:r>
              <w:rPr>
                <w:sz w:val="22"/>
                <w:szCs w:val="22"/>
              </w:rPr>
              <w:t>140</w:t>
            </w:r>
          </w:p>
        </w:tc>
        <w:tc>
          <w:tcPr>
            <w:tcW w:w="1116" w:type="dxa"/>
            <w:tcBorders>
              <w:bottom w:val="single" w:sz="4" w:space="0" w:color="000000"/>
            </w:tcBorders>
            <w:vAlign w:val="center"/>
          </w:tcPr>
          <w:p w:rsidR="00D10A31" w14:paraId="5F743CA2" w14:textId="77777777">
            <w:pPr>
              <w:jc w:val="right"/>
              <w:rPr>
                <w:color w:val="000000"/>
                <w:sz w:val="22"/>
                <w:szCs w:val="22"/>
              </w:rPr>
            </w:pPr>
            <w:r>
              <w:rPr>
                <w:color w:val="000000"/>
                <w:sz w:val="22"/>
                <w:szCs w:val="22"/>
              </w:rPr>
              <w:t>8.1%</w:t>
            </w:r>
          </w:p>
        </w:tc>
      </w:tr>
      <w:tr w14:paraId="3CEF0C7A"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05D57BB8" w14:textId="77777777">
            <w:pPr>
              <w:pBdr>
                <w:top w:val="nil"/>
                <w:left w:val="nil"/>
                <w:bottom w:val="nil"/>
                <w:right w:val="nil"/>
                <w:between w:val="nil"/>
              </w:pBdr>
              <w:spacing w:line="276" w:lineRule="auto"/>
              <w:rPr>
                <w:color w:val="000000"/>
                <w:sz w:val="22"/>
                <w:szCs w:val="22"/>
              </w:rPr>
            </w:pPr>
          </w:p>
        </w:tc>
        <w:tc>
          <w:tcPr>
            <w:tcW w:w="1174" w:type="dxa"/>
            <w:vMerge/>
            <w:tcBorders>
              <w:top w:val="single" w:sz="8" w:space="0" w:color="000000"/>
              <w:bottom w:val="single" w:sz="8" w:space="0" w:color="000000"/>
            </w:tcBorders>
            <w:vAlign w:val="center"/>
          </w:tcPr>
          <w:p w:rsidR="00D10A31" w14:paraId="69F7FF48" w14:textId="77777777">
            <w:pPr>
              <w:pBdr>
                <w:top w:val="nil"/>
                <w:left w:val="nil"/>
                <w:bottom w:val="nil"/>
                <w:right w:val="nil"/>
                <w:between w:val="nil"/>
              </w:pBdr>
              <w:spacing w:line="276" w:lineRule="auto"/>
              <w:rPr>
                <w:color w:val="000000"/>
                <w:sz w:val="22"/>
                <w:szCs w:val="22"/>
              </w:rPr>
            </w:pPr>
          </w:p>
        </w:tc>
        <w:tc>
          <w:tcPr>
            <w:tcW w:w="1181" w:type="dxa"/>
            <w:vMerge/>
            <w:tcBorders>
              <w:top w:val="single" w:sz="8" w:space="0" w:color="000000"/>
              <w:bottom w:val="single" w:sz="8" w:space="0" w:color="000000"/>
            </w:tcBorders>
            <w:vAlign w:val="center"/>
          </w:tcPr>
          <w:p w:rsidR="00D10A31" w14:paraId="6A096B42" w14:textId="77777777">
            <w:pPr>
              <w:pBdr>
                <w:top w:val="nil"/>
                <w:left w:val="nil"/>
                <w:bottom w:val="nil"/>
                <w:right w:val="nil"/>
                <w:between w:val="nil"/>
              </w:pBdr>
              <w:spacing w:line="276" w:lineRule="auto"/>
              <w:rPr>
                <w:color w:val="000000"/>
                <w:sz w:val="22"/>
                <w:szCs w:val="22"/>
              </w:rPr>
            </w:pPr>
          </w:p>
        </w:tc>
        <w:tc>
          <w:tcPr>
            <w:tcW w:w="3120" w:type="dxa"/>
            <w:tcBorders>
              <w:bottom w:val="single" w:sz="8" w:space="0" w:color="000000"/>
            </w:tcBorders>
            <w:vAlign w:val="center"/>
          </w:tcPr>
          <w:p w:rsidR="00D10A31" w14:paraId="0664B7B8" w14:textId="77777777">
            <w:pPr>
              <w:rPr>
                <w:sz w:val="22"/>
                <w:szCs w:val="22"/>
              </w:rPr>
            </w:pPr>
            <w:r>
              <w:rPr>
                <w:sz w:val="22"/>
                <w:szCs w:val="22"/>
              </w:rPr>
              <w:t>Rota</w:t>
            </w:r>
          </w:p>
        </w:tc>
        <w:tc>
          <w:tcPr>
            <w:tcW w:w="1023" w:type="dxa"/>
            <w:tcBorders>
              <w:bottom w:val="single" w:sz="8" w:space="0" w:color="000000"/>
            </w:tcBorders>
            <w:vAlign w:val="center"/>
          </w:tcPr>
          <w:p w:rsidR="00D10A31" w14:paraId="60E8C12B" w14:textId="77777777">
            <w:pPr>
              <w:jc w:val="right"/>
              <w:rPr>
                <w:sz w:val="22"/>
                <w:szCs w:val="22"/>
              </w:rPr>
            </w:pPr>
            <w:r>
              <w:rPr>
                <w:sz w:val="22"/>
                <w:szCs w:val="22"/>
              </w:rPr>
              <w:t>64</w:t>
            </w:r>
          </w:p>
        </w:tc>
        <w:tc>
          <w:tcPr>
            <w:tcW w:w="1116" w:type="dxa"/>
            <w:tcBorders>
              <w:bottom w:val="single" w:sz="8" w:space="0" w:color="000000"/>
            </w:tcBorders>
            <w:vAlign w:val="center"/>
          </w:tcPr>
          <w:p w:rsidR="00D10A31" w14:paraId="5C4778B8" w14:textId="77777777">
            <w:pPr>
              <w:jc w:val="right"/>
              <w:rPr>
                <w:color w:val="000000"/>
                <w:sz w:val="22"/>
                <w:szCs w:val="22"/>
              </w:rPr>
            </w:pPr>
            <w:r>
              <w:rPr>
                <w:color w:val="000000"/>
                <w:sz w:val="22"/>
                <w:szCs w:val="22"/>
              </w:rPr>
              <w:t>12.0%</w:t>
            </w:r>
          </w:p>
        </w:tc>
      </w:tr>
      <w:tr w14:paraId="78DBD0C3" w14:textId="77777777">
        <w:tblPrEx>
          <w:tblW w:w="9348" w:type="dxa"/>
          <w:tblLayout w:type="fixed"/>
          <w:tblLook w:val="0000"/>
        </w:tblPrEx>
        <w:trPr>
          <w:trHeight w:val="209"/>
        </w:trPr>
        <w:tc>
          <w:tcPr>
            <w:tcW w:w="1734" w:type="dxa"/>
            <w:vMerge w:val="restart"/>
            <w:tcBorders>
              <w:top w:val="single" w:sz="8" w:space="0" w:color="000000"/>
              <w:bottom w:val="single" w:sz="8" w:space="0" w:color="000000"/>
            </w:tcBorders>
            <w:shd w:val="clear" w:color="auto" w:fill="D9D9D9"/>
            <w:vAlign w:val="center"/>
          </w:tcPr>
          <w:p w:rsidR="00D10A31" w14:paraId="39BE71CC" w14:textId="77777777">
            <w:pPr>
              <w:rPr>
                <w:sz w:val="22"/>
                <w:szCs w:val="22"/>
              </w:rPr>
            </w:pPr>
            <w:r>
              <w:rPr>
                <w:sz w:val="22"/>
                <w:szCs w:val="22"/>
              </w:rPr>
              <w:t>3. Guam</w:t>
            </w:r>
          </w:p>
        </w:tc>
        <w:tc>
          <w:tcPr>
            <w:tcW w:w="1174" w:type="dxa"/>
            <w:vMerge w:val="restart"/>
            <w:tcBorders>
              <w:top w:val="single" w:sz="8" w:space="0" w:color="000000"/>
              <w:bottom w:val="single" w:sz="8" w:space="0" w:color="000000"/>
            </w:tcBorders>
            <w:shd w:val="clear" w:color="auto" w:fill="D9D9D9"/>
            <w:vAlign w:val="center"/>
          </w:tcPr>
          <w:p w:rsidR="00D10A31" w14:paraId="5A2071E7" w14:textId="77777777">
            <w:pPr>
              <w:jc w:val="right"/>
              <w:rPr>
                <w:sz w:val="22"/>
                <w:szCs w:val="22"/>
              </w:rPr>
            </w:pPr>
            <w:r>
              <w:rPr>
                <w:sz w:val="22"/>
                <w:szCs w:val="22"/>
              </w:rPr>
              <w:t>800</w:t>
            </w:r>
          </w:p>
        </w:tc>
        <w:tc>
          <w:tcPr>
            <w:tcW w:w="1181" w:type="dxa"/>
            <w:vMerge w:val="restart"/>
            <w:tcBorders>
              <w:top w:val="single" w:sz="8" w:space="0" w:color="000000"/>
              <w:bottom w:val="single" w:sz="8" w:space="0" w:color="000000"/>
            </w:tcBorders>
            <w:shd w:val="clear" w:color="auto" w:fill="D9D9D9"/>
            <w:vAlign w:val="center"/>
          </w:tcPr>
          <w:p w:rsidR="00D10A31" w14:paraId="29BEA01C" w14:textId="77777777">
            <w:pPr>
              <w:jc w:val="right"/>
              <w:rPr>
                <w:sz w:val="22"/>
                <w:szCs w:val="22"/>
              </w:rPr>
            </w:pPr>
            <w:r>
              <w:rPr>
                <w:sz w:val="22"/>
                <w:szCs w:val="22"/>
              </w:rPr>
              <w:t>3.4%</w:t>
            </w:r>
          </w:p>
        </w:tc>
        <w:tc>
          <w:tcPr>
            <w:tcW w:w="3120" w:type="dxa"/>
            <w:tcBorders>
              <w:top w:val="single" w:sz="8" w:space="0" w:color="000000"/>
              <w:bottom w:val="single" w:sz="4" w:space="0" w:color="000000"/>
            </w:tcBorders>
            <w:shd w:val="clear" w:color="auto" w:fill="D9D9D9"/>
            <w:vAlign w:val="center"/>
          </w:tcPr>
          <w:p w:rsidR="00D10A31" w14:paraId="111108F3" w14:textId="77777777">
            <w:pPr>
              <w:rPr>
                <w:sz w:val="22"/>
                <w:szCs w:val="22"/>
              </w:rPr>
            </w:pPr>
            <w:r>
              <w:rPr>
                <w:sz w:val="22"/>
                <w:szCs w:val="22"/>
              </w:rPr>
              <w:t>Northern villages</w:t>
            </w:r>
          </w:p>
        </w:tc>
        <w:tc>
          <w:tcPr>
            <w:tcW w:w="1023" w:type="dxa"/>
            <w:tcBorders>
              <w:top w:val="single" w:sz="8" w:space="0" w:color="000000"/>
              <w:bottom w:val="single" w:sz="4" w:space="0" w:color="000000"/>
            </w:tcBorders>
            <w:shd w:val="clear" w:color="auto" w:fill="D9D9D9"/>
            <w:vAlign w:val="center"/>
          </w:tcPr>
          <w:p w:rsidR="00D10A31" w14:paraId="5590FD49" w14:textId="77777777">
            <w:pPr>
              <w:jc w:val="right"/>
              <w:rPr>
                <w:sz w:val="22"/>
                <w:szCs w:val="22"/>
              </w:rPr>
            </w:pPr>
            <w:r>
              <w:rPr>
                <w:sz w:val="22"/>
                <w:szCs w:val="22"/>
              </w:rPr>
              <w:t>660</w:t>
            </w:r>
          </w:p>
        </w:tc>
        <w:tc>
          <w:tcPr>
            <w:tcW w:w="1116" w:type="dxa"/>
            <w:tcBorders>
              <w:top w:val="single" w:sz="8" w:space="0" w:color="000000"/>
              <w:bottom w:val="single" w:sz="4" w:space="0" w:color="000000"/>
            </w:tcBorders>
            <w:shd w:val="clear" w:color="auto" w:fill="D9D9D9"/>
            <w:vAlign w:val="center"/>
          </w:tcPr>
          <w:p w:rsidR="00D10A31" w14:paraId="3651BD66" w14:textId="77777777">
            <w:pPr>
              <w:jc w:val="right"/>
              <w:rPr>
                <w:sz w:val="22"/>
                <w:szCs w:val="22"/>
              </w:rPr>
            </w:pPr>
            <w:r>
              <w:rPr>
                <w:sz w:val="22"/>
                <w:szCs w:val="22"/>
              </w:rPr>
              <w:t>3.8%</w:t>
            </w:r>
          </w:p>
        </w:tc>
      </w:tr>
      <w:tr w14:paraId="0EC4BD1A" w14:textId="77777777">
        <w:tblPrEx>
          <w:tblW w:w="9348" w:type="dxa"/>
          <w:tblLayout w:type="fixed"/>
          <w:tblLook w:val="0000"/>
        </w:tblPrEx>
        <w:trPr>
          <w:trHeight w:val="220"/>
        </w:trPr>
        <w:tc>
          <w:tcPr>
            <w:tcW w:w="1734" w:type="dxa"/>
            <w:vMerge/>
            <w:tcBorders>
              <w:top w:val="single" w:sz="8" w:space="0" w:color="000000"/>
              <w:bottom w:val="single" w:sz="8" w:space="0" w:color="000000"/>
            </w:tcBorders>
            <w:shd w:val="clear" w:color="auto" w:fill="D9D9D9"/>
            <w:vAlign w:val="center"/>
          </w:tcPr>
          <w:p w:rsidR="00D10A31" w14:paraId="23E4B976"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shd w:val="clear" w:color="auto" w:fill="D9D9D9"/>
            <w:vAlign w:val="center"/>
          </w:tcPr>
          <w:p w:rsidR="00D10A31" w14:paraId="18AB97A5"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shd w:val="clear" w:color="auto" w:fill="D9D9D9"/>
            <w:vAlign w:val="center"/>
          </w:tcPr>
          <w:p w:rsidR="00D10A31" w14:paraId="09E55C20" w14:textId="77777777">
            <w:pPr>
              <w:pBdr>
                <w:top w:val="nil"/>
                <w:left w:val="nil"/>
                <w:bottom w:val="nil"/>
                <w:right w:val="nil"/>
                <w:between w:val="nil"/>
              </w:pBdr>
              <w:spacing w:line="276" w:lineRule="auto"/>
              <w:rPr>
                <w:sz w:val="22"/>
                <w:szCs w:val="22"/>
              </w:rPr>
            </w:pPr>
          </w:p>
        </w:tc>
        <w:tc>
          <w:tcPr>
            <w:tcW w:w="3120" w:type="dxa"/>
            <w:tcBorders>
              <w:bottom w:val="single" w:sz="8" w:space="0" w:color="000000"/>
            </w:tcBorders>
            <w:shd w:val="clear" w:color="auto" w:fill="D9D9D9"/>
            <w:vAlign w:val="center"/>
          </w:tcPr>
          <w:p w:rsidR="00D10A31" w14:paraId="3F0C0088" w14:textId="77777777">
            <w:pPr>
              <w:rPr>
                <w:sz w:val="22"/>
                <w:szCs w:val="22"/>
              </w:rPr>
            </w:pPr>
            <w:r>
              <w:rPr>
                <w:sz w:val="22"/>
                <w:szCs w:val="22"/>
              </w:rPr>
              <w:t>Southern villages</w:t>
            </w:r>
          </w:p>
        </w:tc>
        <w:tc>
          <w:tcPr>
            <w:tcW w:w="1023" w:type="dxa"/>
            <w:tcBorders>
              <w:bottom w:val="single" w:sz="8" w:space="0" w:color="000000"/>
            </w:tcBorders>
            <w:shd w:val="clear" w:color="auto" w:fill="D9D9D9"/>
            <w:vAlign w:val="center"/>
          </w:tcPr>
          <w:p w:rsidR="00D10A31" w14:paraId="4A7D3121" w14:textId="77777777">
            <w:pPr>
              <w:jc w:val="right"/>
              <w:rPr>
                <w:sz w:val="22"/>
                <w:szCs w:val="22"/>
              </w:rPr>
            </w:pPr>
            <w:r>
              <w:rPr>
                <w:sz w:val="22"/>
                <w:szCs w:val="22"/>
              </w:rPr>
              <w:t>140</w:t>
            </w:r>
          </w:p>
        </w:tc>
        <w:tc>
          <w:tcPr>
            <w:tcW w:w="1116" w:type="dxa"/>
            <w:tcBorders>
              <w:bottom w:val="single" w:sz="8" w:space="0" w:color="000000"/>
            </w:tcBorders>
            <w:shd w:val="clear" w:color="auto" w:fill="D9D9D9"/>
            <w:vAlign w:val="center"/>
          </w:tcPr>
          <w:p w:rsidR="00D10A31" w14:paraId="3FD2A305" w14:textId="77777777">
            <w:pPr>
              <w:jc w:val="right"/>
              <w:rPr>
                <w:sz w:val="22"/>
                <w:szCs w:val="22"/>
              </w:rPr>
            </w:pPr>
            <w:r>
              <w:rPr>
                <w:sz w:val="22"/>
                <w:szCs w:val="22"/>
              </w:rPr>
              <w:t>8.3%</w:t>
            </w:r>
          </w:p>
        </w:tc>
      </w:tr>
      <w:tr w14:paraId="017DD643" w14:textId="77777777">
        <w:tblPrEx>
          <w:tblW w:w="9348" w:type="dxa"/>
          <w:tblLayout w:type="fixed"/>
          <w:tblLook w:val="0000"/>
        </w:tblPrEx>
        <w:trPr>
          <w:trHeight w:val="209"/>
        </w:trPr>
        <w:tc>
          <w:tcPr>
            <w:tcW w:w="1734" w:type="dxa"/>
            <w:vMerge w:val="restart"/>
            <w:tcBorders>
              <w:top w:val="single" w:sz="8" w:space="0" w:color="000000"/>
              <w:bottom w:val="single" w:sz="8" w:space="0" w:color="000000"/>
            </w:tcBorders>
            <w:vAlign w:val="center"/>
          </w:tcPr>
          <w:p w:rsidR="00D10A31" w14:paraId="2C975075" w14:textId="77777777">
            <w:pPr>
              <w:rPr>
                <w:sz w:val="22"/>
                <w:szCs w:val="22"/>
              </w:rPr>
            </w:pPr>
            <w:r>
              <w:rPr>
                <w:sz w:val="22"/>
                <w:szCs w:val="22"/>
              </w:rPr>
              <w:t>4. Hawai’i</w:t>
            </w:r>
          </w:p>
        </w:tc>
        <w:tc>
          <w:tcPr>
            <w:tcW w:w="1174" w:type="dxa"/>
            <w:vMerge w:val="restart"/>
            <w:tcBorders>
              <w:top w:val="single" w:sz="8" w:space="0" w:color="000000"/>
              <w:bottom w:val="single" w:sz="8" w:space="0" w:color="000000"/>
            </w:tcBorders>
            <w:vAlign w:val="center"/>
          </w:tcPr>
          <w:p w:rsidR="00D10A31" w14:paraId="43F67351" w14:textId="77777777">
            <w:pPr>
              <w:jc w:val="right"/>
              <w:rPr>
                <w:sz w:val="22"/>
                <w:szCs w:val="22"/>
              </w:rPr>
            </w:pPr>
            <w:r>
              <w:rPr>
                <w:sz w:val="22"/>
                <w:szCs w:val="22"/>
              </w:rPr>
              <w:t>1,700</w:t>
            </w:r>
          </w:p>
        </w:tc>
        <w:tc>
          <w:tcPr>
            <w:tcW w:w="1181" w:type="dxa"/>
            <w:vMerge w:val="restart"/>
            <w:tcBorders>
              <w:top w:val="single" w:sz="8" w:space="0" w:color="000000"/>
              <w:bottom w:val="single" w:sz="8" w:space="0" w:color="000000"/>
            </w:tcBorders>
            <w:vAlign w:val="center"/>
          </w:tcPr>
          <w:p w:rsidR="00D10A31" w14:paraId="60B2C9F5" w14:textId="77777777">
            <w:pPr>
              <w:jc w:val="right"/>
              <w:rPr>
                <w:sz w:val="22"/>
                <w:szCs w:val="22"/>
              </w:rPr>
            </w:pPr>
            <w:r>
              <w:rPr>
                <w:sz w:val="22"/>
                <w:szCs w:val="22"/>
              </w:rPr>
              <w:t>2.4%</w:t>
            </w:r>
          </w:p>
        </w:tc>
        <w:tc>
          <w:tcPr>
            <w:tcW w:w="3120" w:type="dxa"/>
            <w:tcBorders>
              <w:top w:val="single" w:sz="8" w:space="0" w:color="000000"/>
              <w:bottom w:val="single" w:sz="8" w:space="0" w:color="000000"/>
            </w:tcBorders>
            <w:vAlign w:val="center"/>
          </w:tcPr>
          <w:p w:rsidR="00D10A31" w14:paraId="45FAAC8C" w14:textId="77777777">
            <w:pPr>
              <w:rPr>
                <w:sz w:val="22"/>
                <w:szCs w:val="22"/>
              </w:rPr>
            </w:pPr>
            <w:r>
              <w:rPr>
                <w:sz w:val="22"/>
                <w:szCs w:val="22"/>
              </w:rPr>
              <w:t>Hawaii County</w:t>
            </w:r>
          </w:p>
        </w:tc>
        <w:tc>
          <w:tcPr>
            <w:tcW w:w="1023" w:type="dxa"/>
            <w:tcBorders>
              <w:top w:val="single" w:sz="8" w:space="0" w:color="000000"/>
              <w:bottom w:val="single" w:sz="8" w:space="0" w:color="000000"/>
            </w:tcBorders>
            <w:vAlign w:val="center"/>
          </w:tcPr>
          <w:p w:rsidR="00D10A31" w14:paraId="3CBA49F5" w14:textId="77777777">
            <w:pPr>
              <w:jc w:val="right"/>
              <w:rPr>
                <w:sz w:val="22"/>
                <w:szCs w:val="22"/>
              </w:rPr>
            </w:pPr>
            <w:r>
              <w:rPr>
                <w:sz w:val="22"/>
                <w:szCs w:val="22"/>
              </w:rPr>
              <w:t>425</w:t>
            </w:r>
          </w:p>
        </w:tc>
        <w:tc>
          <w:tcPr>
            <w:tcW w:w="1116" w:type="dxa"/>
            <w:tcBorders>
              <w:top w:val="single" w:sz="8" w:space="0" w:color="000000"/>
              <w:bottom w:val="single" w:sz="8" w:space="0" w:color="000000"/>
            </w:tcBorders>
            <w:vAlign w:val="center"/>
          </w:tcPr>
          <w:p w:rsidR="00D10A31" w14:paraId="51B40056" w14:textId="77777777">
            <w:pPr>
              <w:jc w:val="right"/>
              <w:rPr>
                <w:sz w:val="22"/>
                <w:szCs w:val="22"/>
              </w:rPr>
            </w:pPr>
            <w:r>
              <w:rPr>
                <w:sz w:val="22"/>
                <w:szCs w:val="22"/>
              </w:rPr>
              <w:t>4.8%</w:t>
            </w:r>
          </w:p>
        </w:tc>
      </w:tr>
      <w:tr w14:paraId="28CDD8C0"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539174D9"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vAlign w:val="center"/>
          </w:tcPr>
          <w:p w:rsidR="00D10A31" w14:paraId="0E3C7EA1"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vAlign w:val="center"/>
          </w:tcPr>
          <w:p w:rsidR="00D10A31" w14:paraId="41D2A49B" w14:textId="77777777">
            <w:pPr>
              <w:pBdr>
                <w:top w:val="nil"/>
                <w:left w:val="nil"/>
                <w:bottom w:val="nil"/>
                <w:right w:val="nil"/>
                <w:between w:val="nil"/>
              </w:pBdr>
              <w:spacing w:line="276" w:lineRule="auto"/>
              <w:rPr>
                <w:sz w:val="22"/>
                <w:szCs w:val="22"/>
              </w:rPr>
            </w:pPr>
          </w:p>
        </w:tc>
        <w:tc>
          <w:tcPr>
            <w:tcW w:w="3120" w:type="dxa"/>
            <w:tcBorders>
              <w:top w:val="single" w:sz="8" w:space="0" w:color="000000"/>
            </w:tcBorders>
            <w:vAlign w:val="center"/>
          </w:tcPr>
          <w:p w:rsidR="00D10A31" w14:paraId="4901980A" w14:textId="77777777">
            <w:pPr>
              <w:rPr>
                <w:sz w:val="22"/>
                <w:szCs w:val="22"/>
              </w:rPr>
            </w:pPr>
            <w:r>
              <w:rPr>
                <w:sz w:val="22"/>
                <w:szCs w:val="22"/>
              </w:rPr>
              <w:t>Oahu County</w:t>
            </w:r>
          </w:p>
        </w:tc>
        <w:tc>
          <w:tcPr>
            <w:tcW w:w="1023" w:type="dxa"/>
            <w:tcBorders>
              <w:top w:val="single" w:sz="8" w:space="0" w:color="000000"/>
            </w:tcBorders>
            <w:vAlign w:val="center"/>
          </w:tcPr>
          <w:p w:rsidR="00D10A31" w14:paraId="5D328748" w14:textId="77777777">
            <w:pPr>
              <w:jc w:val="right"/>
              <w:rPr>
                <w:sz w:val="22"/>
                <w:szCs w:val="22"/>
              </w:rPr>
            </w:pPr>
            <w:r>
              <w:rPr>
                <w:sz w:val="22"/>
                <w:szCs w:val="22"/>
              </w:rPr>
              <w:t>425</w:t>
            </w:r>
          </w:p>
        </w:tc>
        <w:tc>
          <w:tcPr>
            <w:tcW w:w="1116" w:type="dxa"/>
            <w:tcBorders>
              <w:top w:val="single" w:sz="8" w:space="0" w:color="000000"/>
            </w:tcBorders>
            <w:vAlign w:val="center"/>
          </w:tcPr>
          <w:p w:rsidR="00D10A31" w14:paraId="767CB237" w14:textId="77777777">
            <w:pPr>
              <w:jc w:val="right"/>
              <w:rPr>
                <w:sz w:val="22"/>
                <w:szCs w:val="22"/>
              </w:rPr>
            </w:pPr>
            <w:r>
              <w:rPr>
                <w:sz w:val="22"/>
                <w:szCs w:val="22"/>
              </w:rPr>
              <w:t>4.8%</w:t>
            </w:r>
          </w:p>
        </w:tc>
      </w:tr>
      <w:tr w14:paraId="70753420"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7C00FF75"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vAlign w:val="center"/>
          </w:tcPr>
          <w:p w:rsidR="00D10A31" w14:paraId="4D55372B"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vAlign w:val="center"/>
          </w:tcPr>
          <w:p w:rsidR="00D10A31" w14:paraId="59325CA3" w14:textId="77777777">
            <w:pPr>
              <w:pBdr>
                <w:top w:val="nil"/>
                <w:left w:val="nil"/>
                <w:bottom w:val="nil"/>
                <w:right w:val="nil"/>
                <w:between w:val="nil"/>
              </w:pBdr>
              <w:spacing w:line="276" w:lineRule="auto"/>
              <w:rPr>
                <w:sz w:val="22"/>
                <w:szCs w:val="22"/>
              </w:rPr>
            </w:pPr>
          </w:p>
        </w:tc>
        <w:tc>
          <w:tcPr>
            <w:tcW w:w="3120" w:type="dxa"/>
            <w:vAlign w:val="center"/>
          </w:tcPr>
          <w:p w:rsidR="00D10A31" w14:paraId="7C18C841" w14:textId="77777777">
            <w:pPr>
              <w:rPr>
                <w:sz w:val="22"/>
                <w:szCs w:val="22"/>
              </w:rPr>
            </w:pPr>
            <w:r>
              <w:rPr>
                <w:sz w:val="22"/>
                <w:szCs w:val="22"/>
              </w:rPr>
              <w:t>Kauai County</w:t>
            </w:r>
          </w:p>
        </w:tc>
        <w:tc>
          <w:tcPr>
            <w:tcW w:w="1023" w:type="dxa"/>
            <w:vAlign w:val="center"/>
          </w:tcPr>
          <w:p w:rsidR="00D10A31" w14:paraId="5DC76D28" w14:textId="77777777">
            <w:pPr>
              <w:jc w:val="right"/>
              <w:rPr>
                <w:sz w:val="22"/>
                <w:szCs w:val="22"/>
              </w:rPr>
            </w:pPr>
            <w:r>
              <w:rPr>
                <w:sz w:val="22"/>
                <w:szCs w:val="22"/>
              </w:rPr>
              <w:t>425</w:t>
            </w:r>
          </w:p>
        </w:tc>
        <w:tc>
          <w:tcPr>
            <w:tcW w:w="1116" w:type="dxa"/>
            <w:vAlign w:val="center"/>
          </w:tcPr>
          <w:p w:rsidR="00D10A31" w14:paraId="46B38800" w14:textId="77777777">
            <w:pPr>
              <w:jc w:val="right"/>
              <w:rPr>
                <w:sz w:val="22"/>
                <w:szCs w:val="22"/>
              </w:rPr>
            </w:pPr>
            <w:r>
              <w:rPr>
                <w:sz w:val="22"/>
                <w:szCs w:val="22"/>
              </w:rPr>
              <w:t>4.8%</w:t>
            </w:r>
          </w:p>
        </w:tc>
      </w:tr>
      <w:tr w14:paraId="3D919306"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5B5D9E71"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vAlign w:val="center"/>
          </w:tcPr>
          <w:p w:rsidR="00D10A31" w14:paraId="319447C4"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vAlign w:val="center"/>
          </w:tcPr>
          <w:p w:rsidR="00D10A31" w14:paraId="20920791" w14:textId="77777777">
            <w:pPr>
              <w:pBdr>
                <w:top w:val="nil"/>
                <w:left w:val="nil"/>
                <w:bottom w:val="nil"/>
                <w:right w:val="nil"/>
                <w:between w:val="nil"/>
              </w:pBdr>
              <w:spacing w:line="276" w:lineRule="auto"/>
              <w:rPr>
                <w:sz w:val="22"/>
                <w:szCs w:val="22"/>
              </w:rPr>
            </w:pPr>
          </w:p>
        </w:tc>
        <w:tc>
          <w:tcPr>
            <w:tcW w:w="3120" w:type="dxa"/>
            <w:vAlign w:val="center"/>
          </w:tcPr>
          <w:p w:rsidR="00D10A31" w14:paraId="1D390598" w14:textId="77777777">
            <w:pPr>
              <w:rPr>
                <w:sz w:val="22"/>
                <w:szCs w:val="22"/>
              </w:rPr>
            </w:pPr>
            <w:r>
              <w:rPr>
                <w:sz w:val="22"/>
                <w:szCs w:val="22"/>
              </w:rPr>
              <w:t>Maui County</w:t>
            </w:r>
          </w:p>
        </w:tc>
        <w:tc>
          <w:tcPr>
            <w:tcW w:w="1023" w:type="dxa"/>
            <w:vAlign w:val="center"/>
          </w:tcPr>
          <w:p w:rsidR="00D10A31" w14:paraId="2F98495F" w14:textId="77777777">
            <w:pPr>
              <w:jc w:val="right"/>
              <w:rPr>
                <w:sz w:val="22"/>
                <w:szCs w:val="22"/>
              </w:rPr>
            </w:pPr>
            <w:r>
              <w:rPr>
                <w:sz w:val="22"/>
                <w:szCs w:val="22"/>
              </w:rPr>
              <w:t>425</w:t>
            </w:r>
          </w:p>
        </w:tc>
        <w:tc>
          <w:tcPr>
            <w:tcW w:w="1116" w:type="dxa"/>
            <w:vAlign w:val="center"/>
          </w:tcPr>
          <w:p w:rsidR="00D10A31" w14:paraId="0043A159" w14:textId="77777777">
            <w:pPr>
              <w:jc w:val="right"/>
              <w:rPr>
                <w:sz w:val="22"/>
                <w:szCs w:val="22"/>
              </w:rPr>
            </w:pPr>
            <w:r>
              <w:rPr>
                <w:sz w:val="22"/>
                <w:szCs w:val="22"/>
              </w:rPr>
              <w:t>4.8%</w:t>
            </w:r>
          </w:p>
        </w:tc>
      </w:tr>
      <w:tr w14:paraId="78F3B62A" w14:textId="77777777">
        <w:tblPrEx>
          <w:tblW w:w="9348" w:type="dxa"/>
          <w:tblLayout w:type="fixed"/>
          <w:tblLook w:val="0000"/>
        </w:tblPrEx>
        <w:trPr>
          <w:trHeight w:val="199"/>
        </w:trPr>
        <w:tc>
          <w:tcPr>
            <w:tcW w:w="1734" w:type="dxa"/>
            <w:vMerge w:val="restart"/>
            <w:shd w:val="clear" w:color="auto" w:fill="D9D9D9"/>
            <w:vAlign w:val="center"/>
          </w:tcPr>
          <w:p w:rsidR="00D10A31" w14:paraId="14C20FCC" w14:textId="77777777">
            <w:pPr>
              <w:rPr>
                <w:sz w:val="22"/>
                <w:szCs w:val="22"/>
              </w:rPr>
            </w:pPr>
            <w:r>
              <w:rPr>
                <w:sz w:val="22"/>
                <w:szCs w:val="22"/>
              </w:rPr>
              <w:t>5. Florida</w:t>
            </w:r>
          </w:p>
        </w:tc>
        <w:tc>
          <w:tcPr>
            <w:tcW w:w="1174" w:type="dxa"/>
            <w:vMerge w:val="restart"/>
            <w:shd w:val="clear" w:color="auto" w:fill="D9D9D9"/>
            <w:vAlign w:val="center"/>
          </w:tcPr>
          <w:p w:rsidR="00D10A31" w14:paraId="73E4B2F6" w14:textId="77777777">
            <w:pPr>
              <w:jc w:val="right"/>
              <w:rPr>
                <w:sz w:val="22"/>
                <w:szCs w:val="22"/>
              </w:rPr>
            </w:pPr>
            <w:r>
              <w:rPr>
                <w:sz w:val="22"/>
                <w:szCs w:val="22"/>
              </w:rPr>
              <w:t>2,000</w:t>
            </w:r>
          </w:p>
        </w:tc>
        <w:tc>
          <w:tcPr>
            <w:tcW w:w="1181" w:type="dxa"/>
            <w:vMerge w:val="restart"/>
            <w:shd w:val="clear" w:color="auto" w:fill="D9D9D9"/>
            <w:vAlign w:val="center"/>
          </w:tcPr>
          <w:p w:rsidR="00D10A31" w14:paraId="27B28DDE" w14:textId="77777777">
            <w:pPr>
              <w:jc w:val="right"/>
              <w:rPr>
                <w:sz w:val="22"/>
                <w:szCs w:val="22"/>
              </w:rPr>
            </w:pPr>
            <w:r>
              <w:rPr>
                <w:sz w:val="22"/>
                <w:szCs w:val="22"/>
              </w:rPr>
              <w:t>2.2%</w:t>
            </w:r>
          </w:p>
        </w:tc>
        <w:tc>
          <w:tcPr>
            <w:tcW w:w="3120" w:type="dxa"/>
            <w:shd w:val="clear" w:color="auto" w:fill="D9D9D9"/>
            <w:vAlign w:val="center"/>
          </w:tcPr>
          <w:p w:rsidR="00D10A31" w14:paraId="07F932ED" w14:textId="77777777">
            <w:pPr>
              <w:rPr>
                <w:sz w:val="22"/>
                <w:szCs w:val="22"/>
              </w:rPr>
            </w:pPr>
            <w:r>
              <w:rPr>
                <w:sz w:val="22"/>
                <w:szCs w:val="22"/>
              </w:rPr>
              <w:t>Monroe County</w:t>
            </w:r>
          </w:p>
        </w:tc>
        <w:tc>
          <w:tcPr>
            <w:tcW w:w="1023" w:type="dxa"/>
            <w:shd w:val="clear" w:color="auto" w:fill="D9D9D9"/>
            <w:vAlign w:val="center"/>
          </w:tcPr>
          <w:p w:rsidR="00D10A31" w14:paraId="7E236731" w14:textId="77777777">
            <w:pPr>
              <w:jc w:val="right"/>
              <w:rPr>
                <w:sz w:val="22"/>
                <w:szCs w:val="22"/>
              </w:rPr>
            </w:pPr>
            <w:r>
              <w:rPr>
                <w:sz w:val="22"/>
                <w:szCs w:val="22"/>
              </w:rPr>
              <w:t>350</w:t>
            </w:r>
          </w:p>
        </w:tc>
        <w:tc>
          <w:tcPr>
            <w:tcW w:w="1116" w:type="dxa"/>
            <w:shd w:val="clear" w:color="auto" w:fill="D9D9D9"/>
            <w:vAlign w:val="center"/>
          </w:tcPr>
          <w:p w:rsidR="00D10A31" w14:paraId="2F3AAC60" w14:textId="77777777">
            <w:pPr>
              <w:jc w:val="right"/>
              <w:rPr>
                <w:sz w:val="22"/>
                <w:szCs w:val="22"/>
              </w:rPr>
            </w:pPr>
            <w:r>
              <w:rPr>
                <w:sz w:val="22"/>
                <w:szCs w:val="22"/>
              </w:rPr>
              <w:t>5.2%</w:t>
            </w:r>
          </w:p>
        </w:tc>
      </w:tr>
      <w:tr w14:paraId="2338E055" w14:textId="77777777">
        <w:tblPrEx>
          <w:tblW w:w="9348" w:type="dxa"/>
          <w:tblLayout w:type="fixed"/>
          <w:tblLook w:val="0000"/>
        </w:tblPrEx>
        <w:trPr>
          <w:trHeight w:val="220"/>
        </w:trPr>
        <w:tc>
          <w:tcPr>
            <w:tcW w:w="1734" w:type="dxa"/>
            <w:vMerge/>
            <w:shd w:val="clear" w:color="auto" w:fill="D9D9D9"/>
            <w:vAlign w:val="center"/>
          </w:tcPr>
          <w:p w:rsidR="00D10A31" w14:paraId="38A05A8D"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7ABE9F46"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7DF12847"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D10A31" w14:paraId="27A322B5" w14:textId="77777777">
            <w:pPr>
              <w:rPr>
                <w:sz w:val="22"/>
                <w:szCs w:val="22"/>
              </w:rPr>
            </w:pPr>
            <w:r>
              <w:rPr>
                <w:sz w:val="22"/>
                <w:szCs w:val="22"/>
              </w:rPr>
              <w:t>Miami-Dade County</w:t>
            </w:r>
          </w:p>
        </w:tc>
        <w:tc>
          <w:tcPr>
            <w:tcW w:w="1023" w:type="dxa"/>
            <w:shd w:val="clear" w:color="auto" w:fill="D9D9D9"/>
            <w:vAlign w:val="center"/>
          </w:tcPr>
          <w:p w:rsidR="00D10A31" w14:paraId="3877376C" w14:textId="77777777">
            <w:pPr>
              <w:jc w:val="right"/>
              <w:rPr>
                <w:sz w:val="22"/>
                <w:szCs w:val="22"/>
              </w:rPr>
            </w:pPr>
            <w:r>
              <w:rPr>
                <w:sz w:val="22"/>
                <w:szCs w:val="22"/>
              </w:rPr>
              <w:t>600</w:t>
            </w:r>
          </w:p>
        </w:tc>
        <w:tc>
          <w:tcPr>
            <w:tcW w:w="1116" w:type="dxa"/>
            <w:shd w:val="clear" w:color="auto" w:fill="D9D9D9"/>
            <w:vAlign w:val="center"/>
          </w:tcPr>
          <w:p w:rsidR="00D10A31" w14:paraId="5095F084" w14:textId="77777777">
            <w:pPr>
              <w:jc w:val="right"/>
              <w:rPr>
                <w:sz w:val="22"/>
                <w:szCs w:val="22"/>
              </w:rPr>
            </w:pPr>
            <w:r>
              <w:rPr>
                <w:sz w:val="22"/>
                <w:szCs w:val="22"/>
              </w:rPr>
              <w:t>4.0%</w:t>
            </w:r>
          </w:p>
        </w:tc>
      </w:tr>
      <w:tr w14:paraId="1756734A" w14:textId="77777777">
        <w:tblPrEx>
          <w:tblW w:w="9348" w:type="dxa"/>
          <w:tblLayout w:type="fixed"/>
          <w:tblLook w:val="0000"/>
        </w:tblPrEx>
        <w:trPr>
          <w:trHeight w:val="220"/>
        </w:trPr>
        <w:tc>
          <w:tcPr>
            <w:tcW w:w="1734" w:type="dxa"/>
            <w:vMerge/>
            <w:shd w:val="clear" w:color="auto" w:fill="D9D9D9"/>
            <w:vAlign w:val="center"/>
          </w:tcPr>
          <w:p w:rsidR="00D10A31" w14:paraId="5802D154"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7F25630C"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5855B3E7"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D10A31" w14:paraId="6AE37829" w14:textId="77777777">
            <w:pPr>
              <w:rPr>
                <w:sz w:val="22"/>
                <w:szCs w:val="22"/>
              </w:rPr>
            </w:pPr>
            <w:r>
              <w:rPr>
                <w:sz w:val="22"/>
                <w:szCs w:val="22"/>
              </w:rPr>
              <w:t>Martin County</w:t>
            </w:r>
          </w:p>
        </w:tc>
        <w:tc>
          <w:tcPr>
            <w:tcW w:w="1023" w:type="dxa"/>
            <w:shd w:val="clear" w:color="auto" w:fill="D9D9D9"/>
            <w:vAlign w:val="center"/>
          </w:tcPr>
          <w:p w:rsidR="00D10A31" w14:paraId="3385B588" w14:textId="77777777">
            <w:pPr>
              <w:jc w:val="right"/>
              <w:rPr>
                <w:sz w:val="22"/>
                <w:szCs w:val="22"/>
              </w:rPr>
            </w:pPr>
            <w:r>
              <w:rPr>
                <w:sz w:val="22"/>
                <w:szCs w:val="22"/>
              </w:rPr>
              <w:t>350</w:t>
            </w:r>
          </w:p>
        </w:tc>
        <w:tc>
          <w:tcPr>
            <w:tcW w:w="1116" w:type="dxa"/>
            <w:shd w:val="clear" w:color="auto" w:fill="D9D9D9"/>
            <w:vAlign w:val="center"/>
          </w:tcPr>
          <w:p w:rsidR="00D10A31" w14:paraId="2B91E6F8" w14:textId="77777777">
            <w:pPr>
              <w:jc w:val="right"/>
              <w:rPr>
                <w:sz w:val="22"/>
                <w:szCs w:val="22"/>
              </w:rPr>
            </w:pPr>
            <w:r>
              <w:rPr>
                <w:sz w:val="22"/>
                <w:szCs w:val="22"/>
              </w:rPr>
              <w:t>5.2%</w:t>
            </w:r>
          </w:p>
        </w:tc>
      </w:tr>
      <w:tr w14:paraId="50D3F1AA" w14:textId="77777777">
        <w:tblPrEx>
          <w:tblW w:w="9348" w:type="dxa"/>
          <w:tblLayout w:type="fixed"/>
          <w:tblLook w:val="0000"/>
        </w:tblPrEx>
        <w:trPr>
          <w:trHeight w:val="220"/>
        </w:trPr>
        <w:tc>
          <w:tcPr>
            <w:tcW w:w="1734" w:type="dxa"/>
            <w:vMerge/>
            <w:shd w:val="clear" w:color="auto" w:fill="D9D9D9"/>
            <w:vAlign w:val="center"/>
          </w:tcPr>
          <w:p w:rsidR="00D10A31" w14:paraId="6A91A463"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705C673E"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23F1AA57"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D10A31" w14:paraId="092085FA" w14:textId="77777777">
            <w:pPr>
              <w:rPr>
                <w:sz w:val="22"/>
                <w:szCs w:val="22"/>
              </w:rPr>
            </w:pPr>
            <w:r>
              <w:rPr>
                <w:sz w:val="22"/>
                <w:szCs w:val="22"/>
              </w:rPr>
              <w:t>Broward County</w:t>
            </w:r>
          </w:p>
        </w:tc>
        <w:tc>
          <w:tcPr>
            <w:tcW w:w="1023" w:type="dxa"/>
            <w:shd w:val="clear" w:color="auto" w:fill="D9D9D9"/>
            <w:vAlign w:val="center"/>
          </w:tcPr>
          <w:p w:rsidR="00D10A31" w14:paraId="3FC08E67" w14:textId="77777777">
            <w:pPr>
              <w:jc w:val="right"/>
              <w:rPr>
                <w:sz w:val="22"/>
                <w:szCs w:val="22"/>
              </w:rPr>
            </w:pPr>
            <w:r>
              <w:rPr>
                <w:sz w:val="22"/>
                <w:szCs w:val="22"/>
              </w:rPr>
              <w:t>350</w:t>
            </w:r>
          </w:p>
        </w:tc>
        <w:tc>
          <w:tcPr>
            <w:tcW w:w="1116" w:type="dxa"/>
            <w:shd w:val="clear" w:color="auto" w:fill="D9D9D9"/>
            <w:vAlign w:val="center"/>
          </w:tcPr>
          <w:p w:rsidR="00D10A31" w14:paraId="5923E34D" w14:textId="77777777">
            <w:pPr>
              <w:jc w:val="right"/>
              <w:rPr>
                <w:sz w:val="22"/>
                <w:szCs w:val="22"/>
              </w:rPr>
            </w:pPr>
            <w:r>
              <w:rPr>
                <w:sz w:val="22"/>
                <w:szCs w:val="22"/>
              </w:rPr>
              <w:t>5.2%</w:t>
            </w:r>
          </w:p>
        </w:tc>
      </w:tr>
      <w:tr w14:paraId="6B52EF9C" w14:textId="77777777">
        <w:tblPrEx>
          <w:tblW w:w="9348" w:type="dxa"/>
          <w:tblLayout w:type="fixed"/>
          <w:tblLook w:val="0000"/>
        </w:tblPrEx>
        <w:trPr>
          <w:trHeight w:val="220"/>
        </w:trPr>
        <w:tc>
          <w:tcPr>
            <w:tcW w:w="1734" w:type="dxa"/>
            <w:vMerge/>
            <w:shd w:val="clear" w:color="auto" w:fill="D9D9D9"/>
            <w:vAlign w:val="center"/>
          </w:tcPr>
          <w:p w:rsidR="00D10A31" w14:paraId="6DEAE7CA"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67CB12D6"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749E8FA7"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D10A31" w14:paraId="01F9F9CD" w14:textId="77777777">
            <w:pPr>
              <w:rPr>
                <w:sz w:val="22"/>
                <w:szCs w:val="22"/>
              </w:rPr>
            </w:pPr>
            <w:r>
              <w:rPr>
                <w:sz w:val="22"/>
                <w:szCs w:val="22"/>
              </w:rPr>
              <w:t>Palm Beach County</w:t>
            </w:r>
          </w:p>
        </w:tc>
        <w:tc>
          <w:tcPr>
            <w:tcW w:w="1023" w:type="dxa"/>
            <w:shd w:val="clear" w:color="auto" w:fill="D9D9D9"/>
            <w:vAlign w:val="center"/>
          </w:tcPr>
          <w:p w:rsidR="00D10A31" w14:paraId="6DF0D1F6" w14:textId="77777777">
            <w:pPr>
              <w:jc w:val="right"/>
              <w:rPr>
                <w:sz w:val="22"/>
                <w:szCs w:val="22"/>
              </w:rPr>
            </w:pPr>
            <w:r>
              <w:rPr>
                <w:sz w:val="22"/>
                <w:szCs w:val="22"/>
              </w:rPr>
              <w:t>350</w:t>
            </w:r>
          </w:p>
        </w:tc>
        <w:tc>
          <w:tcPr>
            <w:tcW w:w="1116" w:type="dxa"/>
            <w:shd w:val="clear" w:color="auto" w:fill="D9D9D9"/>
            <w:vAlign w:val="center"/>
          </w:tcPr>
          <w:p w:rsidR="00D10A31" w14:paraId="4AB3B5D1" w14:textId="77777777">
            <w:pPr>
              <w:jc w:val="right"/>
              <w:rPr>
                <w:sz w:val="22"/>
                <w:szCs w:val="22"/>
              </w:rPr>
            </w:pPr>
            <w:r>
              <w:rPr>
                <w:sz w:val="22"/>
                <w:szCs w:val="22"/>
              </w:rPr>
              <w:t>5.2%</w:t>
            </w:r>
          </w:p>
        </w:tc>
      </w:tr>
      <w:tr w14:paraId="0EE52829" w14:textId="77777777">
        <w:tblPrEx>
          <w:tblW w:w="9348" w:type="dxa"/>
          <w:tblLayout w:type="fixed"/>
          <w:tblLook w:val="0000"/>
        </w:tblPrEx>
        <w:trPr>
          <w:trHeight w:val="209"/>
        </w:trPr>
        <w:tc>
          <w:tcPr>
            <w:tcW w:w="1734" w:type="dxa"/>
            <w:vMerge w:val="restart"/>
            <w:vAlign w:val="center"/>
          </w:tcPr>
          <w:p w:rsidR="00D10A31" w14:paraId="67BF27F5" w14:textId="77777777">
            <w:pPr>
              <w:rPr>
                <w:sz w:val="22"/>
                <w:szCs w:val="22"/>
              </w:rPr>
            </w:pPr>
            <w:r>
              <w:rPr>
                <w:sz w:val="22"/>
                <w:szCs w:val="22"/>
              </w:rPr>
              <w:t xml:space="preserve">6. American </w:t>
            </w:r>
          </w:p>
          <w:p w:rsidR="00D10A31" w14:paraId="2B6CDE9C" w14:textId="77777777">
            <w:pPr>
              <w:rPr>
                <w:sz w:val="22"/>
                <w:szCs w:val="22"/>
              </w:rPr>
            </w:pPr>
            <w:r>
              <w:rPr>
                <w:sz w:val="22"/>
                <w:szCs w:val="22"/>
              </w:rPr>
              <w:t xml:space="preserve">    Samoa</w:t>
            </w:r>
          </w:p>
        </w:tc>
        <w:tc>
          <w:tcPr>
            <w:tcW w:w="1174" w:type="dxa"/>
            <w:vMerge w:val="restart"/>
            <w:vAlign w:val="center"/>
          </w:tcPr>
          <w:p w:rsidR="00D10A31" w14:paraId="0AA4E323" w14:textId="77777777">
            <w:pPr>
              <w:jc w:val="right"/>
              <w:rPr>
                <w:sz w:val="22"/>
                <w:szCs w:val="22"/>
              </w:rPr>
            </w:pPr>
            <w:r>
              <w:rPr>
                <w:sz w:val="22"/>
                <w:szCs w:val="22"/>
              </w:rPr>
              <w:t>815</w:t>
            </w:r>
          </w:p>
        </w:tc>
        <w:tc>
          <w:tcPr>
            <w:tcW w:w="1181" w:type="dxa"/>
            <w:vMerge w:val="restart"/>
            <w:vAlign w:val="center"/>
          </w:tcPr>
          <w:p w:rsidR="00D10A31" w14:paraId="72AA6EBC" w14:textId="77777777">
            <w:pPr>
              <w:jc w:val="right"/>
              <w:rPr>
                <w:sz w:val="22"/>
                <w:szCs w:val="22"/>
              </w:rPr>
            </w:pPr>
            <w:r>
              <w:rPr>
                <w:sz w:val="22"/>
                <w:szCs w:val="22"/>
              </w:rPr>
              <w:t>3.4%</w:t>
            </w:r>
          </w:p>
        </w:tc>
        <w:tc>
          <w:tcPr>
            <w:tcW w:w="3120" w:type="dxa"/>
            <w:vAlign w:val="center"/>
          </w:tcPr>
          <w:p w:rsidR="00D10A31" w14:paraId="0F6704E8" w14:textId="77777777">
            <w:pPr>
              <w:rPr>
                <w:sz w:val="22"/>
                <w:szCs w:val="22"/>
              </w:rPr>
            </w:pPr>
            <w:r>
              <w:rPr>
                <w:sz w:val="22"/>
                <w:szCs w:val="22"/>
              </w:rPr>
              <w:t>Urban villages of Tutuila</w:t>
            </w:r>
          </w:p>
        </w:tc>
        <w:tc>
          <w:tcPr>
            <w:tcW w:w="1023" w:type="dxa"/>
            <w:vAlign w:val="center"/>
          </w:tcPr>
          <w:p w:rsidR="00D10A31" w14:paraId="7E33ED41" w14:textId="77777777">
            <w:pPr>
              <w:jc w:val="right"/>
              <w:rPr>
                <w:sz w:val="22"/>
                <w:szCs w:val="22"/>
              </w:rPr>
            </w:pPr>
            <w:r>
              <w:rPr>
                <w:sz w:val="22"/>
                <w:szCs w:val="22"/>
              </w:rPr>
              <w:t>218</w:t>
            </w:r>
          </w:p>
        </w:tc>
        <w:tc>
          <w:tcPr>
            <w:tcW w:w="1116" w:type="dxa"/>
            <w:vAlign w:val="center"/>
          </w:tcPr>
          <w:p w:rsidR="00D10A31" w14:paraId="2921C090" w14:textId="77777777">
            <w:pPr>
              <w:jc w:val="right"/>
              <w:rPr>
                <w:sz w:val="22"/>
                <w:szCs w:val="22"/>
              </w:rPr>
            </w:pPr>
            <w:r>
              <w:rPr>
                <w:sz w:val="22"/>
                <w:szCs w:val="22"/>
              </w:rPr>
              <w:t>6.6%</w:t>
            </w:r>
          </w:p>
        </w:tc>
      </w:tr>
      <w:tr w14:paraId="2D0A4DED" w14:textId="77777777">
        <w:tblPrEx>
          <w:tblW w:w="9348" w:type="dxa"/>
          <w:tblLayout w:type="fixed"/>
          <w:tblLook w:val="0000"/>
        </w:tblPrEx>
        <w:trPr>
          <w:trHeight w:val="220"/>
        </w:trPr>
        <w:tc>
          <w:tcPr>
            <w:tcW w:w="1734" w:type="dxa"/>
            <w:vMerge/>
            <w:vAlign w:val="center"/>
          </w:tcPr>
          <w:p w:rsidR="00D10A31" w14:paraId="08426A31" w14:textId="77777777">
            <w:pPr>
              <w:pBdr>
                <w:top w:val="nil"/>
                <w:left w:val="nil"/>
                <w:bottom w:val="nil"/>
                <w:right w:val="nil"/>
                <w:between w:val="nil"/>
              </w:pBdr>
              <w:spacing w:line="276" w:lineRule="auto"/>
              <w:rPr>
                <w:sz w:val="22"/>
                <w:szCs w:val="22"/>
              </w:rPr>
            </w:pPr>
          </w:p>
        </w:tc>
        <w:tc>
          <w:tcPr>
            <w:tcW w:w="1174" w:type="dxa"/>
            <w:vMerge/>
            <w:vAlign w:val="center"/>
          </w:tcPr>
          <w:p w:rsidR="00D10A31" w14:paraId="76F07D3D" w14:textId="77777777">
            <w:pPr>
              <w:pBdr>
                <w:top w:val="nil"/>
                <w:left w:val="nil"/>
                <w:bottom w:val="nil"/>
                <w:right w:val="nil"/>
                <w:between w:val="nil"/>
              </w:pBdr>
              <w:spacing w:line="276" w:lineRule="auto"/>
              <w:rPr>
                <w:sz w:val="22"/>
                <w:szCs w:val="22"/>
              </w:rPr>
            </w:pPr>
          </w:p>
        </w:tc>
        <w:tc>
          <w:tcPr>
            <w:tcW w:w="1181" w:type="dxa"/>
            <w:vMerge/>
            <w:vAlign w:val="center"/>
          </w:tcPr>
          <w:p w:rsidR="00D10A31" w14:paraId="03018A25" w14:textId="77777777">
            <w:pPr>
              <w:pBdr>
                <w:top w:val="nil"/>
                <w:left w:val="nil"/>
                <w:bottom w:val="nil"/>
                <w:right w:val="nil"/>
                <w:between w:val="nil"/>
              </w:pBdr>
              <w:spacing w:line="276" w:lineRule="auto"/>
              <w:rPr>
                <w:sz w:val="22"/>
                <w:szCs w:val="22"/>
              </w:rPr>
            </w:pPr>
          </w:p>
        </w:tc>
        <w:tc>
          <w:tcPr>
            <w:tcW w:w="3120" w:type="dxa"/>
            <w:vAlign w:val="center"/>
          </w:tcPr>
          <w:p w:rsidR="00D10A31" w14:paraId="6D1D6004" w14:textId="77777777">
            <w:pPr>
              <w:rPr>
                <w:sz w:val="22"/>
                <w:szCs w:val="22"/>
              </w:rPr>
            </w:pPr>
            <w:r>
              <w:rPr>
                <w:sz w:val="22"/>
                <w:szCs w:val="22"/>
              </w:rPr>
              <w:t>Semi-urban villages of Tutuila</w:t>
            </w:r>
          </w:p>
        </w:tc>
        <w:tc>
          <w:tcPr>
            <w:tcW w:w="1023" w:type="dxa"/>
            <w:vAlign w:val="center"/>
          </w:tcPr>
          <w:p w:rsidR="00D10A31" w14:paraId="1AF96A9A" w14:textId="77777777">
            <w:pPr>
              <w:jc w:val="right"/>
              <w:rPr>
                <w:sz w:val="22"/>
                <w:szCs w:val="22"/>
              </w:rPr>
            </w:pPr>
            <w:r>
              <w:rPr>
                <w:sz w:val="22"/>
                <w:szCs w:val="22"/>
              </w:rPr>
              <w:t>376</w:t>
            </w:r>
          </w:p>
        </w:tc>
        <w:tc>
          <w:tcPr>
            <w:tcW w:w="1116" w:type="dxa"/>
            <w:vAlign w:val="center"/>
          </w:tcPr>
          <w:p w:rsidR="00D10A31" w14:paraId="6D7B44C6" w14:textId="77777777">
            <w:pPr>
              <w:jc w:val="right"/>
              <w:rPr>
                <w:sz w:val="22"/>
                <w:szCs w:val="22"/>
              </w:rPr>
            </w:pPr>
            <w:r>
              <w:rPr>
                <w:sz w:val="22"/>
                <w:szCs w:val="22"/>
              </w:rPr>
              <w:t>5.1%</w:t>
            </w:r>
          </w:p>
        </w:tc>
      </w:tr>
      <w:tr w14:paraId="0FD5189F" w14:textId="77777777">
        <w:tblPrEx>
          <w:tblW w:w="9348" w:type="dxa"/>
          <w:tblLayout w:type="fixed"/>
          <w:tblLook w:val="0000"/>
        </w:tblPrEx>
        <w:trPr>
          <w:trHeight w:val="220"/>
        </w:trPr>
        <w:tc>
          <w:tcPr>
            <w:tcW w:w="1734" w:type="dxa"/>
            <w:vMerge/>
            <w:vAlign w:val="center"/>
          </w:tcPr>
          <w:p w:rsidR="00D10A31" w14:paraId="7F5C4972" w14:textId="77777777">
            <w:pPr>
              <w:pBdr>
                <w:top w:val="nil"/>
                <w:left w:val="nil"/>
                <w:bottom w:val="nil"/>
                <w:right w:val="nil"/>
                <w:between w:val="nil"/>
              </w:pBdr>
              <w:spacing w:line="276" w:lineRule="auto"/>
              <w:rPr>
                <w:sz w:val="22"/>
                <w:szCs w:val="22"/>
              </w:rPr>
            </w:pPr>
          </w:p>
        </w:tc>
        <w:tc>
          <w:tcPr>
            <w:tcW w:w="1174" w:type="dxa"/>
            <w:vMerge/>
            <w:vAlign w:val="center"/>
          </w:tcPr>
          <w:p w:rsidR="00D10A31" w14:paraId="127A9E24" w14:textId="77777777">
            <w:pPr>
              <w:pBdr>
                <w:top w:val="nil"/>
                <w:left w:val="nil"/>
                <w:bottom w:val="nil"/>
                <w:right w:val="nil"/>
                <w:between w:val="nil"/>
              </w:pBdr>
              <w:spacing w:line="276" w:lineRule="auto"/>
              <w:rPr>
                <w:sz w:val="22"/>
                <w:szCs w:val="22"/>
              </w:rPr>
            </w:pPr>
          </w:p>
        </w:tc>
        <w:tc>
          <w:tcPr>
            <w:tcW w:w="1181" w:type="dxa"/>
            <w:vMerge/>
            <w:vAlign w:val="center"/>
          </w:tcPr>
          <w:p w:rsidR="00D10A31" w14:paraId="05118B25" w14:textId="77777777">
            <w:pPr>
              <w:pBdr>
                <w:top w:val="nil"/>
                <w:left w:val="nil"/>
                <w:bottom w:val="nil"/>
                <w:right w:val="nil"/>
                <w:between w:val="nil"/>
              </w:pBdr>
              <w:spacing w:line="276" w:lineRule="auto"/>
              <w:rPr>
                <w:sz w:val="22"/>
                <w:szCs w:val="22"/>
              </w:rPr>
            </w:pPr>
          </w:p>
        </w:tc>
        <w:tc>
          <w:tcPr>
            <w:tcW w:w="3120" w:type="dxa"/>
            <w:vAlign w:val="center"/>
          </w:tcPr>
          <w:p w:rsidR="00D10A31" w14:paraId="0D13C989" w14:textId="77777777">
            <w:pPr>
              <w:rPr>
                <w:sz w:val="22"/>
                <w:szCs w:val="22"/>
              </w:rPr>
            </w:pPr>
            <w:r>
              <w:rPr>
                <w:sz w:val="22"/>
                <w:szCs w:val="22"/>
              </w:rPr>
              <w:t>Rural villages of Tutuila</w:t>
            </w:r>
          </w:p>
        </w:tc>
        <w:tc>
          <w:tcPr>
            <w:tcW w:w="1023" w:type="dxa"/>
            <w:vAlign w:val="center"/>
          </w:tcPr>
          <w:p w:rsidR="00D10A31" w14:paraId="4B273DFF" w14:textId="77777777">
            <w:pPr>
              <w:jc w:val="right"/>
              <w:rPr>
                <w:sz w:val="22"/>
                <w:szCs w:val="22"/>
              </w:rPr>
            </w:pPr>
            <w:r>
              <w:rPr>
                <w:sz w:val="22"/>
                <w:szCs w:val="22"/>
              </w:rPr>
              <w:t>107</w:t>
            </w:r>
          </w:p>
        </w:tc>
        <w:tc>
          <w:tcPr>
            <w:tcW w:w="1116" w:type="dxa"/>
            <w:vAlign w:val="center"/>
          </w:tcPr>
          <w:p w:rsidR="00D10A31" w14:paraId="3B824670" w14:textId="77777777">
            <w:pPr>
              <w:jc w:val="right"/>
              <w:rPr>
                <w:sz w:val="22"/>
                <w:szCs w:val="22"/>
              </w:rPr>
            </w:pPr>
            <w:r>
              <w:rPr>
                <w:sz w:val="22"/>
                <w:szCs w:val="22"/>
              </w:rPr>
              <w:t>9.5%</w:t>
            </w:r>
          </w:p>
        </w:tc>
      </w:tr>
      <w:tr w14:paraId="7A41FCB1" w14:textId="77777777">
        <w:tblPrEx>
          <w:tblW w:w="9348" w:type="dxa"/>
          <w:tblLayout w:type="fixed"/>
          <w:tblLook w:val="0000"/>
        </w:tblPrEx>
        <w:trPr>
          <w:trHeight w:val="220"/>
        </w:trPr>
        <w:tc>
          <w:tcPr>
            <w:tcW w:w="1734" w:type="dxa"/>
            <w:vMerge/>
            <w:vAlign w:val="center"/>
          </w:tcPr>
          <w:p w:rsidR="00D10A31" w14:paraId="7D1E4EBF" w14:textId="77777777">
            <w:pPr>
              <w:pBdr>
                <w:top w:val="nil"/>
                <w:left w:val="nil"/>
                <w:bottom w:val="nil"/>
                <w:right w:val="nil"/>
                <w:between w:val="nil"/>
              </w:pBdr>
              <w:spacing w:line="276" w:lineRule="auto"/>
              <w:rPr>
                <w:sz w:val="22"/>
                <w:szCs w:val="22"/>
              </w:rPr>
            </w:pPr>
          </w:p>
        </w:tc>
        <w:tc>
          <w:tcPr>
            <w:tcW w:w="1174" w:type="dxa"/>
            <w:vMerge/>
            <w:vAlign w:val="center"/>
          </w:tcPr>
          <w:p w:rsidR="00D10A31" w14:paraId="0EBFDE11" w14:textId="77777777">
            <w:pPr>
              <w:pBdr>
                <w:top w:val="nil"/>
                <w:left w:val="nil"/>
                <w:bottom w:val="nil"/>
                <w:right w:val="nil"/>
                <w:between w:val="nil"/>
              </w:pBdr>
              <w:spacing w:line="276" w:lineRule="auto"/>
              <w:rPr>
                <w:sz w:val="22"/>
                <w:szCs w:val="22"/>
              </w:rPr>
            </w:pPr>
          </w:p>
        </w:tc>
        <w:tc>
          <w:tcPr>
            <w:tcW w:w="1181" w:type="dxa"/>
            <w:vMerge/>
            <w:vAlign w:val="center"/>
          </w:tcPr>
          <w:p w:rsidR="00D10A31" w14:paraId="71B6DC35" w14:textId="77777777">
            <w:pPr>
              <w:pBdr>
                <w:top w:val="nil"/>
                <w:left w:val="nil"/>
                <w:bottom w:val="nil"/>
                <w:right w:val="nil"/>
                <w:between w:val="nil"/>
              </w:pBdr>
              <w:spacing w:line="276" w:lineRule="auto"/>
              <w:rPr>
                <w:sz w:val="22"/>
                <w:szCs w:val="22"/>
              </w:rPr>
            </w:pPr>
          </w:p>
        </w:tc>
        <w:tc>
          <w:tcPr>
            <w:tcW w:w="3120" w:type="dxa"/>
            <w:vAlign w:val="center"/>
          </w:tcPr>
          <w:p w:rsidR="00D10A31" w14:paraId="0F2AD9A3" w14:textId="77777777">
            <w:pPr>
              <w:rPr>
                <w:sz w:val="22"/>
                <w:szCs w:val="22"/>
              </w:rPr>
            </w:pPr>
            <w:r>
              <w:rPr>
                <w:sz w:val="22"/>
                <w:szCs w:val="22"/>
              </w:rPr>
              <w:t>Village of Aua</w:t>
            </w:r>
          </w:p>
        </w:tc>
        <w:tc>
          <w:tcPr>
            <w:tcW w:w="1023" w:type="dxa"/>
            <w:vAlign w:val="center"/>
          </w:tcPr>
          <w:p w:rsidR="00D10A31" w14:paraId="79EC09C5" w14:textId="77777777">
            <w:pPr>
              <w:jc w:val="right"/>
              <w:rPr>
                <w:sz w:val="22"/>
                <w:szCs w:val="22"/>
              </w:rPr>
            </w:pPr>
            <w:r>
              <w:rPr>
                <w:sz w:val="22"/>
                <w:szCs w:val="22"/>
              </w:rPr>
              <w:t>114</w:t>
            </w:r>
          </w:p>
        </w:tc>
        <w:tc>
          <w:tcPr>
            <w:tcW w:w="1116" w:type="dxa"/>
            <w:vAlign w:val="center"/>
          </w:tcPr>
          <w:p w:rsidR="00D10A31" w14:paraId="6F3FB650" w14:textId="77777777">
            <w:pPr>
              <w:jc w:val="right"/>
              <w:rPr>
                <w:sz w:val="22"/>
                <w:szCs w:val="22"/>
              </w:rPr>
            </w:pPr>
            <w:r>
              <w:rPr>
                <w:sz w:val="22"/>
                <w:szCs w:val="22"/>
              </w:rPr>
              <w:t>9.2%</w:t>
            </w:r>
          </w:p>
        </w:tc>
      </w:tr>
      <w:tr w14:paraId="7045D06B" w14:textId="77777777">
        <w:tblPrEx>
          <w:tblW w:w="9348" w:type="dxa"/>
          <w:tblLayout w:type="fixed"/>
          <w:tblLook w:val="0000"/>
        </w:tblPrEx>
        <w:trPr>
          <w:trHeight w:val="209"/>
        </w:trPr>
        <w:tc>
          <w:tcPr>
            <w:tcW w:w="1734" w:type="dxa"/>
            <w:vMerge w:val="restart"/>
            <w:shd w:val="clear" w:color="auto" w:fill="D9D9D9"/>
            <w:vAlign w:val="center"/>
          </w:tcPr>
          <w:p w:rsidR="00D10A31" w14:paraId="50880637" w14:textId="77777777">
            <w:pPr>
              <w:rPr>
                <w:sz w:val="22"/>
                <w:szCs w:val="22"/>
              </w:rPr>
            </w:pPr>
            <w:r>
              <w:rPr>
                <w:sz w:val="22"/>
                <w:szCs w:val="22"/>
              </w:rPr>
              <w:t>7. USVI</w:t>
            </w:r>
          </w:p>
        </w:tc>
        <w:tc>
          <w:tcPr>
            <w:tcW w:w="1174" w:type="dxa"/>
            <w:vMerge w:val="restart"/>
            <w:shd w:val="clear" w:color="auto" w:fill="D9D9D9"/>
            <w:vAlign w:val="center"/>
          </w:tcPr>
          <w:p w:rsidR="00D10A31" w14:paraId="0D6345D3" w14:textId="77777777">
            <w:pPr>
              <w:jc w:val="right"/>
              <w:rPr>
                <w:sz w:val="22"/>
                <w:szCs w:val="22"/>
              </w:rPr>
            </w:pPr>
            <w:r>
              <w:rPr>
                <w:sz w:val="22"/>
                <w:szCs w:val="22"/>
              </w:rPr>
              <w:t>1,125</w:t>
            </w:r>
          </w:p>
        </w:tc>
        <w:tc>
          <w:tcPr>
            <w:tcW w:w="1181" w:type="dxa"/>
            <w:vMerge w:val="restart"/>
            <w:shd w:val="clear" w:color="auto" w:fill="D9D9D9"/>
            <w:vAlign w:val="center"/>
          </w:tcPr>
          <w:p w:rsidR="00D10A31" w14:paraId="347A5AF6" w14:textId="77777777">
            <w:pPr>
              <w:jc w:val="right"/>
              <w:rPr>
                <w:sz w:val="22"/>
                <w:szCs w:val="22"/>
              </w:rPr>
            </w:pPr>
            <w:r>
              <w:rPr>
                <w:sz w:val="22"/>
                <w:szCs w:val="22"/>
              </w:rPr>
              <w:t>2.9%</w:t>
            </w:r>
          </w:p>
        </w:tc>
        <w:tc>
          <w:tcPr>
            <w:tcW w:w="3120" w:type="dxa"/>
            <w:shd w:val="clear" w:color="auto" w:fill="D9D9D9"/>
            <w:vAlign w:val="center"/>
          </w:tcPr>
          <w:p w:rsidR="00D10A31" w14:paraId="550068C1" w14:textId="77777777">
            <w:pPr>
              <w:rPr>
                <w:sz w:val="22"/>
                <w:szCs w:val="22"/>
              </w:rPr>
            </w:pPr>
            <w:r>
              <w:rPr>
                <w:sz w:val="22"/>
                <w:szCs w:val="22"/>
              </w:rPr>
              <w:t>St. Croix</w:t>
            </w:r>
          </w:p>
        </w:tc>
        <w:tc>
          <w:tcPr>
            <w:tcW w:w="1023" w:type="dxa"/>
            <w:shd w:val="clear" w:color="auto" w:fill="D9D9D9"/>
            <w:vAlign w:val="center"/>
          </w:tcPr>
          <w:p w:rsidR="00D10A31" w14:paraId="0BBFA8B5" w14:textId="77777777">
            <w:pPr>
              <w:jc w:val="right"/>
              <w:rPr>
                <w:sz w:val="22"/>
                <w:szCs w:val="22"/>
              </w:rPr>
            </w:pPr>
            <w:r>
              <w:rPr>
                <w:sz w:val="22"/>
                <w:szCs w:val="22"/>
              </w:rPr>
              <w:t>385</w:t>
            </w:r>
          </w:p>
        </w:tc>
        <w:tc>
          <w:tcPr>
            <w:tcW w:w="1116" w:type="dxa"/>
            <w:shd w:val="clear" w:color="auto" w:fill="D9D9D9"/>
            <w:vAlign w:val="center"/>
          </w:tcPr>
          <w:p w:rsidR="00D10A31" w14:paraId="52B7CD24" w14:textId="77777777">
            <w:pPr>
              <w:jc w:val="right"/>
              <w:rPr>
                <w:sz w:val="22"/>
                <w:szCs w:val="22"/>
              </w:rPr>
            </w:pPr>
            <w:r>
              <w:rPr>
                <w:sz w:val="22"/>
                <w:szCs w:val="22"/>
              </w:rPr>
              <w:t>5.0%</w:t>
            </w:r>
          </w:p>
        </w:tc>
      </w:tr>
      <w:tr w14:paraId="5555ED72" w14:textId="77777777">
        <w:tblPrEx>
          <w:tblW w:w="9348" w:type="dxa"/>
          <w:tblLayout w:type="fixed"/>
          <w:tblLook w:val="0000"/>
        </w:tblPrEx>
        <w:trPr>
          <w:trHeight w:val="220"/>
        </w:trPr>
        <w:tc>
          <w:tcPr>
            <w:tcW w:w="1734" w:type="dxa"/>
            <w:vMerge/>
            <w:shd w:val="clear" w:color="auto" w:fill="D9D9D9"/>
            <w:vAlign w:val="center"/>
          </w:tcPr>
          <w:p w:rsidR="00D10A31" w14:paraId="415979C1"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20A0B5B6"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5067BD5D"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D10A31" w14:paraId="36D8861B" w14:textId="77777777">
            <w:pPr>
              <w:rPr>
                <w:sz w:val="22"/>
                <w:szCs w:val="22"/>
              </w:rPr>
            </w:pPr>
            <w:r>
              <w:rPr>
                <w:sz w:val="22"/>
                <w:szCs w:val="22"/>
              </w:rPr>
              <w:t>St. Thomas</w:t>
            </w:r>
          </w:p>
        </w:tc>
        <w:tc>
          <w:tcPr>
            <w:tcW w:w="1023" w:type="dxa"/>
            <w:shd w:val="clear" w:color="auto" w:fill="D9D9D9"/>
            <w:vAlign w:val="center"/>
          </w:tcPr>
          <w:p w:rsidR="00D10A31" w14:paraId="2B9D942C" w14:textId="77777777">
            <w:pPr>
              <w:jc w:val="right"/>
              <w:rPr>
                <w:sz w:val="22"/>
                <w:szCs w:val="22"/>
              </w:rPr>
            </w:pPr>
            <w:r>
              <w:rPr>
                <w:sz w:val="22"/>
                <w:szCs w:val="22"/>
              </w:rPr>
              <w:t>385</w:t>
            </w:r>
          </w:p>
        </w:tc>
        <w:tc>
          <w:tcPr>
            <w:tcW w:w="1116" w:type="dxa"/>
            <w:shd w:val="clear" w:color="auto" w:fill="D9D9D9"/>
            <w:vAlign w:val="center"/>
          </w:tcPr>
          <w:p w:rsidR="00D10A31" w14:paraId="574A3812" w14:textId="77777777">
            <w:pPr>
              <w:jc w:val="right"/>
              <w:rPr>
                <w:sz w:val="22"/>
                <w:szCs w:val="22"/>
              </w:rPr>
            </w:pPr>
            <w:r>
              <w:rPr>
                <w:sz w:val="22"/>
                <w:szCs w:val="22"/>
              </w:rPr>
              <w:t>5.0%</w:t>
            </w:r>
          </w:p>
        </w:tc>
      </w:tr>
      <w:tr w14:paraId="0F5E9410" w14:textId="77777777">
        <w:tblPrEx>
          <w:tblW w:w="9348" w:type="dxa"/>
          <w:tblLayout w:type="fixed"/>
          <w:tblLook w:val="0000"/>
        </w:tblPrEx>
        <w:trPr>
          <w:trHeight w:val="230"/>
        </w:trPr>
        <w:tc>
          <w:tcPr>
            <w:tcW w:w="1734" w:type="dxa"/>
            <w:vMerge/>
            <w:shd w:val="clear" w:color="auto" w:fill="D9D9D9"/>
            <w:vAlign w:val="center"/>
          </w:tcPr>
          <w:p w:rsidR="00D10A31" w14:paraId="5C82FF43"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288786CE"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724B6207" w14:textId="77777777">
            <w:pPr>
              <w:pBdr>
                <w:top w:val="nil"/>
                <w:left w:val="nil"/>
                <w:bottom w:val="nil"/>
                <w:right w:val="nil"/>
                <w:between w:val="nil"/>
              </w:pBdr>
              <w:spacing w:line="276" w:lineRule="auto"/>
              <w:rPr>
                <w:sz w:val="22"/>
                <w:szCs w:val="22"/>
              </w:rPr>
            </w:pPr>
          </w:p>
        </w:tc>
        <w:tc>
          <w:tcPr>
            <w:tcW w:w="3120" w:type="dxa"/>
            <w:tcBorders>
              <w:bottom w:val="single" w:sz="12" w:space="0" w:color="000000"/>
            </w:tcBorders>
            <w:shd w:val="clear" w:color="auto" w:fill="D9D9D9"/>
            <w:vAlign w:val="center"/>
          </w:tcPr>
          <w:p w:rsidR="00D10A31" w14:paraId="50FC9489" w14:textId="77777777">
            <w:pPr>
              <w:rPr>
                <w:sz w:val="22"/>
                <w:szCs w:val="22"/>
              </w:rPr>
            </w:pPr>
            <w:r>
              <w:rPr>
                <w:sz w:val="22"/>
                <w:szCs w:val="22"/>
              </w:rPr>
              <w:t>St. John</w:t>
            </w:r>
          </w:p>
        </w:tc>
        <w:tc>
          <w:tcPr>
            <w:tcW w:w="1023" w:type="dxa"/>
            <w:tcBorders>
              <w:bottom w:val="single" w:sz="12" w:space="0" w:color="000000"/>
            </w:tcBorders>
            <w:shd w:val="clear" w:color="auto" w:fill="D9D9D9"/>
            <w:vAlign w:val="center"/>
          </w:tcPr>
          <w:p w:rsidR="00D10A31" w14:paraId="04DB3E7D" w14:textId="77777777">
            <w:pPr>
              <w:jc w:val="right"/>
              <w:rPr>
                <w:sz w:val="22"/>
                <w:szCs w:val="22"/>
              </w:rPr>
            </w:pPr>
            <w:r>
              <w:rPr>
                <w:sz w:val="22"/>
                <w:szCs w:val="22"/>
              </w:rPr>
              <w:t>355</w:t>
            </w:r>
          </w:p>
        </w:tc>
        <w:tc>
          <w:tcPr>
            <w:tcW w:w="1116" w:type="dxa"/>
            <w:tcBorders>
              <w:bottom w:val="single" w:sz="12" w:space="0" w:color="000000"/>
            </w:tcBorders>
            <w:shd w:val="clear" w:color="auto" w:fill="D9D9D9"/>
            <w:vAlign w:val="center"/>
          </w:tcPr>
          <w:p w:rsidR="00D10A31" w14:paraId="69F8F868" w14:textId="77777777">
            <w:pPr>
              <w:jc w:val="right"/>
              <w:rPr>
                <w:sz w:val="22"/>
                <w:szCs w:val="22"/>
              </w:rPr>
            </w:pPr>
            <w:r>
              <w:rPr>
                <w:sz w:val="22"/>
                <w:szCs w:val="22"/>
              </w:rPr>
              <w:t>5.5%</w:t>
            </w:r>
          </w:p>
        </w:tc>
      </w:tr>
      <w:tr w14:paraId="41CE2018" w14:textId="77777777">
        <w:tblPrEx>
          <w:tblW w:w="9348" w:type="dxa"/>
          <w:tblLayout w:type="fixed"/>
          <w:tblLook w:val="0000"/>
        </w:tblPrEx>
        <w:trPr>
          <w:trHeight w:val="306"/>
        </w:trPr>
        <w:tc>
          <w:tcPr>
            <w:tcW w:w="1734" w:type="dxa"/>
            <w:tcBorders>
              <w:top w:val="single" w:sz="12" w:space="0" w:color="000000"/>
              <w:bottom w:val="single" w:sz="8" w:space="0" w:color="000000"/>
            </w:tcBorders>
            <w:vAlign w:val="center"/>
          </w:tcPr>
          <w:p w:rsidR="00D10A31" w14:paraId="3A62DAF7" w14:textId="77777777">
            <w:pPr>
              <w:rPr>
                <w:sz w:val="22"/>
                <w:szCs w:val="22"/>
              </w:rPr>
            </w:pPr>
            <w:r>
              <w:rPr>
                <w:sz w:val="22"/>
                <w:szCs w:val="22"/>
              </w:rPr>
              <w:t>TOTAL</w:t>
            </w:r>
          </w:p>
        </w:tc>
        <w:tc>
          <w:tcPr>
            <w:tcW w:w="1174" w:type="dxa"/>
            <w:tcBorders>
              <w:top w:val="single" w:sz="12" w:space="0" w:color="000000"/>
              <w:bottom w:val="single" w:sz="8" w:space="0" w:color="000000"/>
            </w:tcBorders>
            <w:vAlign w:val="center"/>
          </w:tcPr>
          <w:p w:rsidR="00D10A31" w14:paraId="7D77158F" w14:textId="77777777">
            <w:pPr>
              <w:jc w:val="right"/>
              <w:rPr>
                <w:sz w:val="22"/>
                <w:szCs w:val="22"/>
              </w:rPr>
            </w:pPr>
            <w:r>
              <w:rPr>
                <w:sz w:val="22"/>
                <w:szCs w:val="22"/>
              </w:rPr>
              <w:t>9,840</w:t>
            </w:r>
          </w:p>
        </w:tc>
        <w:tc>
          <w:tcPr>
            <w:tcW w:w="1181" w:type="dxa"/>
            <w:tcBorders>
              <w:top w:val="single" w:sz="12" w:space="0" w:color="000000"/>
              <w:bottom w:val="single" w:sz="8" w:space="0" w:color="000000"/>
            </w:tcBorders>
            <w:vAlign w:val="center"/>
          </w:tcPr>
          <w:p w:rsidR="00D10A31" w14:paraId="5C831B5D" w14:textId="77777777">
            <w:pPr>
              <w:jc w:val="right"/>
              <w:rPr>
                <w:sz w:val="22"/>
                <w:szCs w:val="22"/>
              </w:rPr>
            </w:pPr>
            <w:r>
              <w:rPr>
                <w:sz w:val="22"/>
                <w:szCs w:val="22"/>
              </w:rPr>
              <w:t>9.8%</w:t>
            </w:r>
          </w:p>
        </w:tc>
        <w:tc>
          <w:tcPr>
            <w:tcW w:w="3120" w:type="dxa"/>
            <w:tcBorders>
              <w:top w:val="single" w:sz="12" w:space="0" w:color="000000"/>
              <w:bottom w:val="single" w:sz="8" w:space="0" w:color="000000"/>
            </w:tcBorders>
            <w:vAlign w:val="center"/>
          </w:tcPr>
          <w:p w:rsidR="00D10A31" w14:paraId="2CBDA7E9" w14:textId="77777777">
            <w:pPr>
              <w:rPr>
                <w:sz w:val="22"/>
                <w:szCs w:val="22"/>
              </w:rPr>
            </w:pPr>
          </w:p>
        </w:tc>
        <w:tc>
          <w:tcPr>
            <w:tcW w:w="1023" w:type="dxa"/>
            <w:tcBorders>
              <w:top w:val="single" w:sz="12" w:space="0" w:color="000000"/>
              <w:bottom w:val="single" w:sz="8" w:space="0" w:color="000000"/>
            </w:tcBorders>
            <w:vAlign w:val="center"/>
          </w:tcPr>
          <w:p w:rsidR="00D10A31" w14:paraId="02DF696B" w14:textId="77777777">
            <w:pPr>
              <w:jc w:val="right"/>
              <w:rPr>
                <w:sz w:val="22"/>
                <w:szCs w:val="22"/>
              </w:rPr>
            </w:pPr>
          </w:p>
        </w:tc>
        <w:tc>
          <w:tcPr>
            <w:tcW w:w="1116" w:type="dxa"/>
            <w:tcBorders>
              <w:top w:val="single" w:sz="12" w:space="0" w:color="000000"/>
              <w:bottom w:val="single" w:sz="8" w:space="0" w:color="000000"/>
            </w:tcBorders>
            <w:vAlign w:val="center"/>
          </w:tcPr>
          <w:p w:rsidR="00D10A31" w14:paraId="4FDBE432" w14:textId="77777777">
            <w:pPr>
              <w:jc w:val="right"/>
              <w:rPr>
                <w:sz w:val="22"/>
                <w:szCs w:val="22"/>
              </w:rPr>
            </w:pPr>
          </w:p>
        </w:tc>
      </w:tr>
    </w:tbl>
    <w:p w:rsidR="00D10A31" w14:paraId="1BB1FF9A" w14:textId="77777777">
      <w:pPr>
        <w:pBdr>
          <w:top w:val="nil"/>
          <w:left w:val="nil"/>
          <w:bottom w:val="nil"/>
          <w:right w:val="nil"/>
          <w:between w:val="nil"/>
        </w:pBdr>
        <w:rPr>
          <w:color w:val="000000"/>
        </w:rPr>
      </w:pPr>
      <w:bookmarkStart w:id="13" w:name="26in1rg" w:colFirst="0" w:colLast="0"/>
      <w:bookmarkEnd w:id="13"/>
    </w:p>
    <w:p w:rsidR="00D10A31" w14:paraId="16A78A58" w14:textId="77777777">
      <w:pPr>
        <w:pStyle w:val="Heading3"/>
        <w:jc w:val="left"/>
      </w:pPr>
      <w:r>
        <w:t>Periodicity</w:t>
      </w:r>
    </w:p>
    <w:p w:rsidR="00D10A31" w14:paraId="34730BD0" w14:textId="77777777">
      <w:pPr>
        <w:rPr>
          <w:sz w:val="24"/>
          <w:szCs w:val="24"/>
        </w:rPr>
      </w:pPr>
      <w:r>
        <w:rPr>
          <w:sz w:val="24"/>
          <w:szCs w:val="24"/>
        </w:rPr>
        <w:t>This survey will be conducted approximately every five to seven years to minimize the cost burden (Table 6).</w:t>
      </w:r>
    </w:p>
    <w:p w:rsidR="00D10A31" w14:paraId="3C990D18" w14:textId="77777777">
      <w:pPr>
        <w:rPr>
          <w:sz w:val="24"/>
          <w:szCs w:val="24"/>
        </w:rPr>
      </w:pPr>
    </w:p>
    <w:p w:rsidR="00D10A31" w14:paraId="56982616" w14:textId="77777777">
      <w:pPr>
        <w:widowControl/>
        <w:pBdr>
          <w:top w:val="nil"/>
          <w:left w:val="nil"/>
          <w:bottom w:val="nil"/>
          <w:right w:val="nil"/>
          <w:between w:val="nil"/>
        </w:pBdr>
        <w:spacing w:after="200"/>
        <w:rPr>
          <w:b/>
          <w:color w:val="000000"/>
          <w:sz w:val="24"/>
          <w:szCs w:val="24"/>
        </w:rPr>
      </w:pPr>
      <w:r>
        <w:rPr>
          <w:b/>
          <w:color w:val="000000"/>
          <w:sz w:val="24"/>
          <w:szCs w:val="24"/>
        </w:rPr>
        <w:t>Table 6. Periodicity of Surveys Implemented in each U.S. Coral Reef Jurisdiction</w:t>
      </w:r>
    </w:p>
    <w:tbl>
      <w:tblPr>
        <w:tblStyle w:val="a4"/>
        <w:tblW w:w="9355" w:type="dxa"/>
        <w:tblLayout w:type="fixed"/>
        <w:tblLook w:val="0000"/>
      </w:tblPr>
      <w:tblGrid>
        <w:gridCol w:w="2425"/>
        <w:gridCol w:w="2310"/>
        <w:gridCol w:w="2310"/>
        <w:gridCol w:w="2310"/>
      </w:tblGrid>
      <w:tr w14:paraId="4BB84A1E" w14:textId="77777777">
        <w:tblPrEx>
          <w:tblW w:w="9355" w:type="dxa"/>
          <w:tblLayout w:type="fixed"/>
          <w:tblLook w:val="0000"/>
        </w:tblPrEx>
        <w:trPr>
          <w:trHeight w:val="288"/>
        </w:trPr>
        <w:tc>
          <w:tcPr>
            <w:tcW w:w="242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D10A31" w14:paraId="25FA0810" w14:textId="77777777">
            <w:pPr>
              <w:rPr>
                <w:sz w:val="22"/>
                <w:szCs w:val="22"/>
              </w:rPr>
            </w:pPr>
            <w:r>
              <w:rPr>
                <w:b/>
                <w:sz w:val="22"/>
                <w:szCs w:val="22"/>
              </w:rPr>
              <w:t>Jurisdiction</w:t>
            </w:r>
          </w:p>
        </w:tc>
        <w:tc>
          <w:tcPr>
            <w:tcW w:w="2310" w:type="dxa"/>
            <w:tcBorders>
              <w:top w:val="single" w:sz="4" w:space="0" w:color="000000"/>
              <w:left w:val="nil"/>
              <w:bottom w:val="single" w:sz="12" w:space="0" w:color="000000"/>
              <w:right w:val="single" w:sz="4" w:space="0" w:color="000000"/>
            </w:tcBorders>
            <w:shd w:val="clear" w:color="auto" w:fill="FFFFFF"/>
            <w:vAlign w:val="center"/>
          </w:tcPr>
          <w:p w:rsidR="00D10A31" w14:paraId="04142123" w14:textId="77777777">
            <w:pPr>
              <w:jc w:val="center"/>
              <w:rPr>
                <w:b/>
                <w:sz w:val="22"/>
                <w:szCs w:val="22"/>
              </w:rPr>
            </w:pPr>
            <w:r>
              <w:rPr>
                <w:b/>
                <w:sz w:val="22"/>
                <w:szCs w:val="22"/>
              </w:rPr>
              <w:t>First Cycle</w:t>
            </w:r>
          </w:p>
          <w:p w:rsidR="00D10A31" w14:paraId="1347EE98" w14:textId="77777777">
            <w:pPr>
              <w:jc w:val="center"/>
              <w:rPr>
                <w:sz w:val="22"/>
                <w:szCs w:val="22"/>
              </w:rPr>
            </w:pPr>
            <w:r>
              <w:rPr>
                <w:b/>
                <w:sz w:val="22"/>
                <w:szCs w:val="22"/>
              </w:rPr>
              <w:t>of Surveys</w:t>
            </w:r>
          </w:p>
        </w:tc>
        <w:tc>
          <w:tcPr>
            <w:tcW w:w="2310" w:type="dxa"/>
            <w:tcBorders>
              <w:top w:val="single" w:sz="4" w:space="0" w:color="000000"/>
              <w:left w:val="nil"/>
              <w:bottom w:val="single" w:sz="12" w:space="0" w:color="000000"/>
              <w:right w:val="single" w:sz="4" w:space="0" w:color="000000"/>
            </w:tcBorders>
            <w:shd w:val="clear" w:color="auto" w:fill="FFFFFF"/>
            <w:vAlign w:val="center"/>
          </w:tcPr>
          <w:p w:rsidR="00D10A31" w14:paraId="4998FD82" w14:textId="77777777">
            <w:pPr>
              <w:jc w:val="center"/>
              <w:rPr>
                <w:b/>
                <w:sz w:val="22"/>
                <w:szCs w:val="22"/>
              </w:rPr>
            </w:pPr>
            <w:r>
              <w:rPr>
                <w:b/>
                <w:sz w:val="22"/>
                <w:szCs w:val="22"/>
              </w:rPr>
              <w:t>Second Cycle</w:t>
            </w:r>
          </w:p>
          <w:p w:rsidR="00D10A31" w14:paraId="0D423839" w14:textId="77777777">
            <w:pPr>
              <w:jc w:val="center"/>
              <w:rPr>
                <w:sz w:val="22"/>
                <w:szCs w:val="22"/>
              </w:rPr>
            </w:pPr>
            <w:r>
              <w:rPr>
                <w:b/>
                <w:sz w:val="22"/>
                <w:szCs w:val="22"/>
              </w:rPr>
              <w:t>of Surveys</w:t>
            </w:r>
          </w:p>
        </w:tc>
        <w:tc>
          <w:tcPr>
            <w:tcW w:w="2310" w:type="dxa"/>
            <w:tcBorders>
              <w:top w:val="single" w:sz="4" w:space="0" w:color="000000"/>
              <w:left w:val="nil"/>
              <w:bottom w:val="single" w:sz="12" w:space="0" w:color="000000"/>
              <w:right w:val="single" w:sz="4" w:space="0" w:color="000000"/>
            </w:tcBorders>
            <w:shd w:val="clear" w:color="auto" w:fill="FFFFFF"/>
          </w:tcPr>
          <w:p w:rsidR="00D10A31" w14:paraId="4073ADEF" w14:textId="77777777">
            <w:pPr>
              <w:jc w:val="center"/>
              <w:rPr>
                <w:b/>
                <w:sz w:val="22"/>
                <w:szCs w:val="22"/>
              </w:rPr>
            </w:pPr>
            <w:r>
              <w:rPr>
                <w:b/>
                <w:sz w:val="22"/>
                <w:szCs w:val="22"/>
              </w:rPr>
              <w:t>Third Cycle</w:t>
            </w:r>
          </w:p>
          <w:p w:rsidR="00D10A31" w14:paraId="30E491C0" w14:textId="77777777">
            <w:pPr>
              <w:jc w:val="center"/>
              <w:rPr>
                <w:b/>
                <w:sz w:val="22"/>
                <w:szCs w:val="22"/>
              </w:rPr>
            </w:pPr>
            <w:r>
              <w:rPr>
                <w:b/>
                <w:sz w:val="22"/>
                <w:szCs w:val="22"/>
              </w:rPr>
              <w:t>of Surveys</w:t>
            </w:r>
          </w:p>
        </w:tc>
      </w:tr>
      <w:tr w14:paraId="5FAD20E2" w14:textId="77777777">
        <w:tblPrEx>
          <w:tblW w:w="9355" w:type="dxa"/>
          <w:tblLayout w:type="fixed"/>
          <w:tblLook w:val="0000"/>
        </w:tblPrEx>
        <w:trPr>
          <w:trHeight w:val="288"/>
        </w:trPr>
        <w:tc>
          <w:tcPr>
            <w:tcW w:w="2425" w:type="dxa"/>
            <w:tcBorders>
              <w:top w:val="single" w:sz="12" w:space="0" w:color="000000"/>
              <w:left w:val="single" w:sz="4" w:space="0" w:color="000000"/>
              <w:bottom w:val="single" w:sz="4" w:space="0" w:color="000000"/>
              <w:right w:val="single" w:sz="4" w:space="0" w:color="000000"/>
            </w:tcBorders>
            <w:vAlign w:val="center"/>
          </w:tcPr>
          <w:p w:rsidR="00D10A31" w14:paraId="780032CB" w14:textId="77777777">
            <w:pPr>
              <w:rPr>
                <w:sz w:val="22"/>
                <w:szCs w:val="22"/>
              </w:rPr>
            </w:pPr>
            <w:r>
              <w:rPr>
                <w:sz w:val="22"/>
                <w:szCs w:val="22"/>
              </w:rPr>
              <w:t>1. American Samoa</w:t>
            </w:r>
          </w:p>
        </w:tc>
        <w:tc>
          <w:tcPr>
            <w:tcW w:w="2310" w:type="dxa"/>
            <w:tcBorders>
              <w:top w:val="single" w:sz="12" w:space="0" w:color="000000"/>
              <w:left w:val="nil"/>
              <w:bottom w:val="single" w:sz="4" w:space="0" w:color="000000"/>
              <w:right w:val="single" w:sz="4" w:space="0" w:color="000000"/>
            </w:tcBorders>
            <w:vAlign w:val="center"/>
          </w:tcPr>
          <w:p w:rsidR="00D10A31" w14:paraId="3AA9840B" w14:textId="77777777">
            <w:pPr>
              <w:jc w:val="center"/>
              <w:rPr>
                <w:sz w:val="22"/>
                <w:szCs w:val="22"/>
              </w:rPr>
            </w:pPr>
            <w:r>
              <w:rPr>
                <w:sz w:val="22"/>
                <w:szCs w:val="22"/>
              </w:rPr>
              <w:t>2014</w:t>
            </w:r>
          </w:p>
        </w:tc>
        <w:tc>
          <w:tcPr>
            <w:tcW w:w="2310" w:type="dxa"/>
            <w:tcBorders>
              <w:top w:val="single" w:sz="12" w:space="0" w:color="000000"/>
              <w:left w:val="nil"/>
              <w:bottom w:val="single" w:sz="4" w:space="0" w:color="000000"/>
              <w:right w:val="single" w:sz="4" w:space="0" w:color="000000"/>
            </w:tcBorders>
            <w:vAlign w:val="center"/>
          </w:tcPr>
          <w:p w:rsidR="00D10A31" w14:paraId="143B5BDC" w14:textId="77777777">
            <w:pPr>
              <w:jc w:val="center"/>
              <w:rPr>
                <w:sz w:val="22"/>
                <w:szCs w:val="22"/>
              </w:rPr>
            </w:pPr>
            <w:r>
              <w:rPr>
                <w:sz w:val="22"/>
                <w:szCs w:val="22"/>
              </w:rPr>
              <w:t>2021</w:t>
            </w:r>
          </w:p>
        </w:tc>
        <w:tc>
          <w:tcPr>
            <w:tcW w:w="2310" w:type="dxa"/>
            <w:tcBorders>
              <w:top w:val="single" w:sz="12" w:space="0" w:color="000000"/>
              <w:left w:val="nil"/>
              <w:bottom w:val="single" w:sz="4" w:space="0" w:color="000000"/>
              <w:right w:val="single" w:sz="4" w:space="0" w:color="000000"/>
            </w:tcBorders>
          </w:tcPr>
          <w:p w:rsidR="00D10A31" w14:paraId="443FD3CC" w14:textId="77777777">
            <w:pPr>
              <w:jc w:val="center"/>
              <w:rPr>
                <w:sz w:val="22"/>
                <w:szCs w:val="22"/>
              </w:rPr>
            </w:pPr>
            <w:r>
              <w:rPr>
                <w:sz w:val="22"/>
                <w:szCs w:val="22"/>
              </w:rPr>
              <w:t>2028</w:t>
            </w:r>
          </w:p>
        </w:tc>
      </w:tr>
      <w:tr w14:paraId="38F79091"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0FD36DE6" w14:textId="77777777">
            <w:pPr>
              <w:rPr>
                <w:sz w:val="22"/>
                <w:szCs w:val="22"/>
              </w:rPr>
            </w:pPr>
            <w:r>
              <w:rPr>
                <w:sz w:val="22"/>
                <w:szCs w:val="22"/>
              </w:rPr>
              <w:t>2. CNMI</w:t>
            </w:r>
          </w:p>
        </w:tc>
        <w:tc>
          <w:tcPr>
            <w:tcW w:w="2310" w:type="dxa"/>
            <w:tcBorders>
              <w:top w:val="nil"/>
              <w:left w:val="nil"/>
              <w:bottom w:val="single" w:sz="4" w:space="0" w:color="000000"/>
              <w:right w:val="single" w:sz="4" w:space="0" w:color="000000"/>
            </w:tcBorders>
            <w:vAlign w:val="center"/>
          </w:tcPr>
          <w:p w:rsidR="00D10A31" w14:paraId="3D2BC455" w14:textId="77777777">
            <w:pPr>
              <w:jc w:val="center"/>
              <w:rPr>
                <w:sz w:val="22"/>
                <w:szCs w:val="22"/>
              </w:rPr>
            </w:pPr>
            <w:r>
              <w:rPr>
                <w:sz w:val="22"/>
                <w:szCs w:val="22"/>
              </w:rPr>
              <w:t>2016-2017</w:t>
            </w:r>
          </w:p>
        </w:tc>
        <w:tc>
          <w:tcPr>
            <w:tcW w:w="2310" w:type="dxa"/>
            <w:tcBorders>
              <w:top w:val="nil"/>
              <w:left w:val="nil"/>
              <w:bottom w:val="single" w:sz="4" w:space="0" w:color="000000"/>
              <w:right w:val="single" w:sz="4" w:space="0" w:color="000000"/>
            </w:tcBorders>
            <w:vAlign w:val="center"/>
          </w:tcPr>
          <w:p w:rsidR="00D10A31" w14:paraId="5317B80F" w14:textId="77777777">
            <w:pPr>
              <w:jc w:val="center"/>
              <w:rPr>
                <w:sz w:val="22"/>
                <w:szCs w:val="22"/>
              </w:rPr>
            </w:pPr>
            <w:r>
              <w:rPr>
                <w:sz w:val="22"/>
                <w:szCs w:val="22"/>
              </w:rPr>
              <w:t>2024</w:t>
            </w:r>
          </w:p>
        </w:tc>
        <w:tc>
          <w:tcPr>
            <w:tcW w:w="2310" w:type="dxa"/>
            <w:tcBorders>
              <w:top w:val="nil"/>
              <w:left w:val="nil"/>
              <w:bottom w:val="single" w:sz="4" w:space="0" w:color="000000"/>
              <w:right w:val="single" w:sz="4" w:space="0" w:color="000000"/>
            </w:tcBorders>
          </w:tcPr>
          <w:p w:rsidR="00D10A31" w14:paraId="4FFD06B8" w14:textId="77777777">
            <w:pPr>
              <w:jc w:val="center"/>
              <w:rPr>
                <w:sz w:val="22"/>
                <w:szCs w:val="22"/>
              </w:rPr>
            </w:pPr>
            <w:r>
              <w:rPr>
                <w:sz w:val="22"/>
                <w:szCs w:val="22"/>
              </w:rPr>
              <w:t>2031</w:t>
            </w:r>
          </w:p>
        </w:tc>
      </w:tr>
      <w:tr w14:paraId="543364A5"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0C71EEB5" w14:textId="77777777">
            <w:pPr>
              <w:rPr>
                <w:sz w:val="22"/>
                <w:szCs w:val="22"/>
              </w:rPr>
            </w:pPr>
            <w:r>
              <w:rPr>
                <w:sz w:val="22"/>
                <w:szCs w:val="22"/>
              </w:rPr>
              <w:t>3. Guam</w:t>
            </w:r>
          </w:p>
        </w:tc>
        <w:tc>
          <w:tcPr>
            <w:tcW w:w="2310" w:type="dxa"/>
            <w:tcBorders>
              <w:top w:val="nil"/>
              <w:left w:val="nil"/>
              <w:bottom w:val="single" w:sz="4" w:space="0" w:color="000000"/>
              <w:right w:val="single" w:sz="4" w:space="0" w:color="000000"/>
            </w:tcBorders>
            <w:vAlign w:val="center"/>
          </w:tcPr>
          <w:p w:rsidR="00D10A31" w14:paraId="09DF5C0A" w14:textId="77777777">
            <w:pPr>
              <w:jc w:val="center"/>
              <w:rPr>
                <w:sz w:val="22"/>
                <w:szCs w:val="22"/>
              </w:rPr>
            </w:pPr>
            <w:r>
              <w:rPr>
                <w:sz w:val="22"/>
                <w:szCs w:val="22"/>
              </w:rPr>
              <w:t>2016</w:t>
            </w:r>
          </w:p>
        </w:tc>
        <w:tc>
          <w:tcPr>
            <w:tcW w:w="2310" w:type="dxa"/>
            <w:tcBorders>
              <w:top w:val="nil"/>
              <w:left w:val="nil"/>
              <w:bottom w:val="single" w:sz="4" w:space="0" w:color="000000"/>
              <w:right w:val="single" w:sz="4" w:space="0" w:color="000000"/>
            </w:tcBorders>
            <w:vAlign w:val="center"/>
          </w:tcPr>
          <w:p w:rsidR="00D10A31" w14:paraId="58DAADA5" w14:textId="77777777">
            <w:pPr>
              <w:jc w:val="center"/>
              <w:rPr>
                <w:sz w:val="22"/>
                <w:szCs w:val="22"/>
              </w:rPr>
            </w:pPr>
            <w:r>
              <w:rPr>
                <w:sz w:val="22"/>
                <w:szCs w:val="22"/>
              </w:rPr>
              <w:t>2023</w:t>
            </w:r>
          </w:p>
        </w:tc>
        <w:tc>
          <w:tcPr>
            <w:tcW w:w="2310" w:type="dxa"/>
            <w:tcBorders>
              <w:top w:val="nil"/>
              <w:left w:val="nil"/>
              <w:bottom w:val="single" w:sz="4" w:space="0" w:color="000000"/>
              <w:right w:val="single" w:sz="4" w:space="0" w:color="000000"/>
            </w:tcBorders>
          </w:tcPr>
          <w:p w:rsidR="00D10A31" w14:paraId="58446DC1" w14:textId="77777777">
            <w:pPr>
              <w:jc w:val="center"/>
              <w:rPr>
                <w:sz w:val="22"/>
                <w:szCs w:val="22"/>
              </w:rPr>
            </w:pPr>
            <w:r>
              <w:rPr>
                <w:sz w:val="22"/>
                <w:szCs w:val="22"/>
              </w:rPr>
              <w:t>2030</w:t>
            </w:r>
          </w:p>
        </w:tc>
      </w:tr>
      <w:tr w14:paraId="06D9E9CA"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52A8FE7C" w14:textId="77777777">
            <w:pPr>
              <w:rPr>
                <w:sz w:val="22"/>
                <w:szCs w:val="22"/>
              </w:rPr>
            </w:pPr>
            <w:r>
              <w:rPr>
                <w:sz w:val="22"/>
                <w:szCs w:val="22"/>
              </w:rPr>
              <w:t>4. Hawai’i</w:t>
            </w:r>
          </w:p>
        </w:tc>
        <w:tc>
          <w:tcPr>
            <w:tcW w:w="2310" w:type="dxa"/>
            <w:tcBorders>
              <w:top w:val="nil"/>
              <w:left w:val="nil"/>
              <w:bottom w:val="single" w:sz="4" w:space="0" w:color="000000"/>
              <w:right w:val="single" w:sz="4" w:space="0" w:color="000000"/>
            </w:tcBorders>
            <w:vAlign w:val="center"/>
          </w:tcPr>
          <w:p w:rsidR="00D10A31" w14:paraId="3837AE25" w14:textId="77777777">
            <w:pPr>
              <w:jc w:val="center"/>
              <w:rPr>
                <w:sz w:val="22"/>
                <w:szCs w:val="22"/>
              </w:rPr>
            </w:pPr>
            <w:r>
              <w:rPr>
                <w:sz w:val="22"/>
                <w:szCs w:val="22"/>
              </w:rPr>
              <w:t>2015</w:t>
            </w:r>
          </w:p>
        </w:tc>
        <w:tc>
          <w:tcPr>
            <w:tcW w:w="2310" w:type="dxa"/>
            <w:tcBorders>
              <w:top w:val="nil"/>
              <w:left w:val="nil"/>
              <w:bottom w:val="single" w:sz="4" w:space="0" w:color="000000"/>
              <w:right w:val="single" w:sz="4" w:space="0" w:color="000000"/>
            </w:tcBorders>
            <w:vAlign w:val="center"/>
          </w:tcPr>
          <w:p w:rsidR="00D10A31" w14:paraId="4B2085C7" w14:textId="77777777">
            <w:pPr>
              <w:jc w:val="center"/>
              <w:rPr>
                <w:sz w:val="22"/>
                <w:szCs w:val="22"/>
              </w:rPr>
            </w:pPr>
            <w:r>
              <w:rPr>
                <w:sz w:val="22"/>
                <w:szCs w:val="22"/>
              </w:rPr>
              <w:t>2020</w:t>
            </w:r>
          </w:p>
        </w:tc>
        <w:tc>
          <w:tcPr>
            <w:tcW w:w="2310" w:type="dxa"/>
            <w:tcBorders>
              <w:top w:val="nil"/>
              <w:left w:val="nil"/>
              <w:bottom w:val="single" w:sz="4" w:space="0" w:color="000000"/>
              <w:right w:val="single" w:sz="4" w:space="0" w:color="000000"/>
            </w:tcBorders>
          </w:tcPr>
          <w:p w:rsidR="00D10A31" w14:paraId="39B8EFF2" w14:textId="77777777">
            <w:pPr>
              <w:jc w:val="center"/>
              <w:rPr>
                <w:sz w:val="22"/>
                <w:szCs w:val="22"/>
              </w:rPr>
            </w:pPr>
            <w:r>
              <w:rPr>
                <w:sz w:val="22"/>
                <w:szCs w:val="22"/>
              </w:rPr>
              <w:t>2027</w:t>
            </w:r>
          </w:p>
        </w:tc>
      </w:tr>
      <w:tr w14:paraId="18F82541"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70EA99CF" w14:textId="77777777">
            <w:pPr>
              <w:rPr>
                <w:sz w:val="22"/>
                <w:szCs w:val="22"/>
              </w:rPr>
            </w:pPr>
            <w:r>
              <w:rPr>
                <w:sz w:val="22"/>
                <w:szCs w:val="22"/>
              </w:rPr>
              <w:t>5. Florida</w:t>
            </w:r>
          </w:p>
        </w:tc>
        <w:tc>
          <w:tcPr>
            <w:tcW w:w="2310" w:type="dxa"/>
            <w:tcBorders>
              <w:top w:val="nil"/>
              <w:left w:val="nil"/>
              <w:bottom w:val="single" w:sz="4" w:space="0" w:color="000000"/>
              <w:right w:val="single" w:sz="4" w:space="0" w:color="000000"/>
            </w:tcBorders>
            <w:vAlign w:val="center"/>
          </w:tcPr>
          <w:p w:rsidR="00D10A31" w14:paraId="731B9993" w14:textId="77777777">
            <w:pPr>
              <w:jc w:val="center"/>
              <w:rPr>
                <w:sz w:val="22"/>
                <w:szCs w:val="22"/>
              </w:rPr>
            </w:pPr>
            <w:r>
              <w:rPr>
                <w:sz w:val="22"/>
                <w:szCs w:val="22"/>
              </w:rPr>
              <w:t>2014</w:t>
            </w:r>
          </w:p>
        </w:tc>
        <w:tc>
          <w:tcPr>
            <w:tcW w:w="2310" w:type="dxa"/>
            <w:tcBorders>
              <w:top w:val="nil"/>
              <w:left w:val="nil"/>
              <w:bottom w:val="single" w:sz="4" w:space="0" w:color="000000"/>
              <w:right w:val="single" w:sz="4" w:space="0" w:color="000000"/>
            </w:tcBorders>
            <w:vAlign w:val="center"/>
          </w:tcPr>
          <w:p w:rsidR="00D10A31" w14:paraId="04DF9484" w14:textId="77777777">
            <w:pPr>
              <w:jc w:val="center"/>
              <w:rPr>
                <w:sz w:val="22"/>
                <w:szCs w:val="22"/>
              </w:rPr>
            </w:pPr>
            <w:r>
              <w:rPr>
                <w:sz w:val="22"/>
                <w:szCs w:val="22"/>
              </w:rPr>
              <w:t>2019</w:t>
            </w:r>
          </w:p>
        </w:tc>
        <w:tc>
          <w:tcPr>
            <w:tcW w:w="2310" w:type="dxa"/>
            <w:tcBorders>
              <w:top w:val="nil"/>
              <w:left w:val="nil"/>
              <w:bottom w:val="single" w:sz="4" w:space="0" w:color="000000"/>
              <w:right w:val="single" w:sz="4" w:space="0" w:color="000000"/>
            </w:tcBorders>
          </w:tcPr>
          <w:p w:rsidR="00D10A31" w14:paraId="10514607" w14:textId="77777777">
            <w:pPr>
              <w:jc w:val="center"/>
              <w:rPr>
                <w:sz w:val="22"/>
                <w:szCs w:val="22"/>
              </w:rPr>
            </w:pPr>
            <w:r>
              <w:rPr>
                <w:sz w:val="22"/>
                <w:szCs w:val="22"/>
              </w:rPr>
              <w:t>2026</w:t>
            </w:r>
          </w:p>
        </w:tc>
      </w:tr>
      <w:tr w14:paraId="36061FE1"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02B9F6A0" w14:textId="77777777">
            <w:pPr>
              <w:rPr>
                <w:sz w:val="22"/>
                <w:szCs w:val="22"/>
              </w:rPr>
            </w:pPr>
            <w:r>
              <w:rPr>
                <w:sz w:val="22"/>
                <w:szCs w:val="22"/>
              </w:rPr>
              <w:t>6. Puerto Rico</w:t>
            </w:r>
          </w:p>
        </w:tc>
        <w:tc>
          <w:tcPr>
            <w:tcW w:w="2310" w:type="dxa"/>
            <w:tcBorders>
              <w:top w:val="nil"/>
              <w:left w:val="nil"/>
              <w:bottom w:val="single" w:sz="4" w:space="0" w:color="000000"/>
              <w:right w:val="single" w:sz="4" w:space="0" w:color="000000"/>
            </w:tcBorders>
            <w:vAlign w:val="center"/>
          </w:tcPr>
          <w:p w:rsidR="00D10A31" w14:paraId="3336FA98" w14:textId="77777777">
            <w:pPr>
              <w:jc w:val="center"/>
              <w:rPr>
                <w:sz w:val="22"/>
                <w:szCs w:val="22"/>
              </w:rPr>
            </w:pPr>
            <w:r>
              <w:rPr>
                <w:sz w:val="22"/>
                <w:szCs w:val="22"/>
              </w:rPr>
              <w:t>2014-2015</w:t>
            </w:r>
          </w:p>
        </w:tc>
        <w:tc>
          <w:tcPr>
            <w:tcW w:w="2310" w:type="dxa"/>
            <w:tcBorders>
              <w:top w:val="nil"/>
              <w:left w:val="nil"/>
              <w:bottom w:val="single" w:sz="4" w:space="0" w:color="000000"/>
              <w:right w:val="single" w:sz="4" w:space="0" w:color="000000"/>
            </w:tcBorders>
            <w:vAlign w:val="center"/>
          </w:tcPr>
          <w:p w:rsidR="00D10A31" w14:paraId="5F3861FA" w14:textId="77777777">
            <w:pPr>
              <w:jc w:val="center"/>
              <w:rPr>
                <w:sz w:val="22"/>
                <w:szCs w:val="22"/>
              </w:rPr>
            </w:pPr>
            <w:r>
              <w:rPr>
                <w:sz w:val="22"/>
                <w:szCs w:val="22"/>
              </w:rPr>
              <w:t>2022</w:t>
            </w:r>
          </w:p>
        </w:tc>
        <w:tc>
          <w:tcPr>
            <w:tcW w:w="2310" w:type="dxa"/>
            <w:tcBorders>
              <w:top w:val="nil"/>
              <w:left w:val="nil"/>
              <w:bottom w:val="single" w:sz="4" w:space="0" w:color="000000"/>
              <w:right w:val="single" w:sz="4" w:space="0" w:color="000000"/>
            </w:tcBorders>
          </w:tcPr>
          <w:p w:rsidR="00D10A31" w14:paraId="11138C9D" w14:textId="77777777">
            <w:pPr>
              <w:jc w:val="center"/>
              <w:rPr>
                <w:sz w:val="22"/>
                <w:szCs w:val="22"/>
              </w:rPr>
            </w:pPr>
            <w:r>
              <w:rPr>
                <w:sz w:val="22"/>
                <w:szCs w:val="22"/>
              </w:rPr>
              <w:t>2029</w:t>
            </w:r>
          </w:p>
        </w:tc>
      </w:tr>
      <w:tr w14:paraId="43828B88"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2401C119" w14:textId="77777777">
            <w:pPr>
              <w:rPr>
                <w:sz w:val="22"/>
                <w:szCs w:val="22"/>
              </w:rPr>
            </w:pPr>
            <w:r>
              <w:rPr>
                <w:sz w:val="22"/>
                <w:szCs w:val="22"/>
              </w:rPr>
              <w:t>7. U.S. Virgin Islands</w:t>
            </w:r>
          </w:p>
        </w:tc>
        <w:tc>
          <w:tcPr>
            <w:tcW w:w="2310" w:type="dxa"/>
            <w:tcBorders>
              <w:top w:val="nil"/>
              <w:left w:val="nil"/>
              <w:bottom w:val="single" w:sz="4" w:space="0" w:color="000000"/>
              <w:right w:val="single" w:sz="4" w:space="0" w:color="000000"/>
            </w:tcBorders>
            <w:vAlign w:val="center"/>
          </w:tcPr>
          <w:p w:rsidR="00D10A31" w14:paraId="7259A50F" w14:textId="77777777">
            <w:pPr>
              <w:jc w:val="center"/>
              <w:rPr>
                <w:sz w:val="22"/>
                <w:szCs w:val="22"/>
              </w:rPr>
            </w:pPr>
            <w:r>
              <w:rPr>
                <w:sz w:val="22"/>
                <w:szCs w:val="22"/>
              </w:rPr>
              <w:t>2017</w:t>
            </w:r>
          </w:p>
        </w:tc>
        <w:tc>
          <w:tcPr>
            <w:tcW w:w="2310" w:type="dxa"/>
            <w:tcBorders>
              <w:top w:val="nil"/>
              <w:left w:val="nil"/>
              <w:bottom w:val="single" w:sz="4" w:space="0" w:color="000000"/>
              <w:right w:val="single" w:sz="4" w:space="0" w:color="000000"/>
            </w:tcBorders>
            <w:vAlign w:val="center"/>
          </w:tcPr>
          <w:p w:rsidR="00D10A31" w14:paraId="741E2D80" w14:textId="77777777">
            <w:pPr>
              <w:jc w:val="center"/>
              <w:rPr>
                <w:sz w:val="22"/>
                <w:szCs w:val="22"/>
              </w:rPr>
            </w:pPr>
            <w:r>
              <w:rPr>
                <w:sz w:val="22"/>
                <w:szCs w:val="22"/>
              </w:rPr>
              <w:t>2025</w:t>
            </w:r>
          </w:p>
        </w:tc>
        <w:tc>
          <w:tcPr>
            <w:tcW w:w="2310" w:type="dxa"/>
            <w:tcBorders>
              <w:top w:val="nil"/>
              <w:left w:val="nil"/>
              <w:bottom w:val="single" w:sz="4" w:space="0" w:color="000000"/>
              <w:right w:val="single" w:sz="4" w:space="0" w:color="000000"/>
            </w:tcBorders>
          </w:tcPr>
          <w:p w:rsidR="00D10A31" w14:paraId="44C48DD9" w14:textId="77777777">
            <w:pPr>
              <w:jc w:val="center"/>
              <w:rPr>
                <w:sz w:val="22"/>
                <w:szCs w:val="22"/>
              </w:rPr>
            </w:pPr>
            <w:r>
              <w:rPr>
                <w:sz w:val="22"/>
                <w:szCs w:val="22"/>
              </w:rPr>
              <w:t>2032</w:t>
            </w:r>
          </w:p>
        </w:tc>
      </w:tr>
    </w:tbl>
    <w:p w:rsidR="00D10A31" w14:paraId="022FC81C" w14:textId="77777777">
      <w:bookmarkStart w:id="14" w:name="_lnxbz9" w:colFirst="0" w:colLast="0"/>
      <w:bookmarkEnd w:id="14"/>
    </w:p>
    <w:p w:rsidR="00D10A31" w14:paraId="7E1C9CA1" w14:textId="77777777">
      <w:pPr>
        <w:pStyle w:val="Heading2"/>
        <w:spacing w:before="280"/>
      </w:pPr>
      <w: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10A31" w14:paraId="2AB1D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02B023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Methods designed to maximize response rates will be employed at every phase of the data collection effort. The surveys are user-friendly, with clear, easy to comprehend questions. Each survey can be completed in no longer than 20 minutes (see Supporting Statement Part A). The survey topic and related questions were developed to be interesting to respondents.  Each survey makes use of listing options to allow the respondent to answer questions by checking appropriate boxes, which may aid in recall and analysis. To take advantage of various methods of communication and information access, as well as provide respondents with alternative response </w:t>
      </w:r>
      <w:r>
        <w:rPr>
          <w:sz w:val="24"/>
          <w:szCs w:val="24"/>
        </w:rPr>
        <w:t>options, and maximize response rates, a combination of face-to-face, mail, and online surveys will be utilized based on the feasibility and effectiveness of each mode in the jurisdiction. For each approach, particular protocols will also be taken to minimize bias and reduce error.</w:t>
      </w:r>
    </w:p>
    <w:p w:rsidR="00D10A31" w14:paraId="3A4BB0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b/>
          <w:color w:val="000000"/>
          <w:sz w:val="24"/>
          <w:szCs w:val="24"/>
        </w:rPr>
        <w:t>Face-to-face Interviews</w:t>
      </w:r>
    </w:p>
    <w:p w:rsidR="00D10A31" w14:paraId="04C1655A" w14:textId="77777777">
      <w:pPr>
        <w:rPr>
          <w:color w:val="000000"/>
          <w:sz w:val="24"/>
          <w:szCs w:val="24"/>
        </w:rPr>
      </w:pPr>
      <w:r>
        <w:rPr>
          <w:color w:val="000000"/>
          <w:sz w:val="24"/>
          <w:szCs w:val="24"/>
        </w:rPr>
        <w:t xml:space="preserve">Prior to sampling, training of interviewers will cover sampling protocols to ensure quality and successful implementation for maximum response rates and minimum interviewer bias. The training program will cover sampling schedules, standard field operations and protocols for contacting household residents, backup procedures for field interruptions or missed sampling days or sites, log forms (response rates, nonresponse, and unoccupied households), survey instruments, data recording and storage, and supporting documentation of study procedures. Interviewers will be provided with a handbook and supplies, and go through multiple rounds of practice interviews. The interviewers will also be required to wear a uniform or display evidence of a local affiliation (e.g., professional shirt with logo, nametags labeled with institution). This serves as a visual cue to household residents regarding the purpose of the interviewer’s visit, trust, and legitimacy of the research (Groves &amp; Couper, 2008). </w:t>
      </w:r>
    </w:p>
    <w:p w:rsidR="00D10A31" w14:paraId="0A59DA6E" w14:textId="77777777">
      <w:pPr>
        <w:rPr>
          <w:color w:val="000000"/>
          <w:sz w:val="24"/>
          <w:szCs w:val="24"/>
        </w:rPr>
      </w:pPr>
    </w:p>
    <w:p w:rsidR="00D10A31" w14:paraId="341D724C" w14:textId="77777777">
      <w:pPr>
        <w:rPr>
          <w:color w:val="000000"/>
          <w:sz w:val="24"/>
          <w:szCs w:val="24"/>
        </w:rPr>
      </w:pPr>
      <w:r>
        <w:rPr>
          <w:color w:val="000000"/>
          <w:sz w:val="24"/>
          <w:szCs w:val="24"/>
        </w:rPr>
        <w:t>The importance of interviewers adhering to the designed process to collect consistently reliable and accurate data will be emphasized. Interviewers can unintentionally introduce bias into the respondent’s answers. Interviewers will be trained on how to avoid bias that can be introduced through body language, facial expressions, voice inflection, or voiced opinions. Interviewers need to ask the questions on the survey form exactly as they are written and stay neutral while respondents give their answers. This will help ensure the data are collected consistently and accurately.</w:t>
      </w:r>
    </w:p>
    <w:p w:rsidR="00D10A31" w14:paraId="68B69A42" w14:textId="77777777">
      <w:pPr>
        <w:rPr>
          <w:color w:val="000000"/>
          <w:sz w:val="24"/>
          <w:szCs w:val="24"/>
        </w:rPr>
      </w:pPr>
    </w:p>
    <w:p w:rsidR="00D10A31" w14:paraId="4048CF36" w14:textId="77777777">
      <w:pPr>
        <w:rPr>
          <w:color w:val="000000"/>
          <w:sz w:val="24"/>
          <w:szCs w:val="24"/>
        </w:rPr>
      </w:pPr>
      <w:r>
        <w:rPr>
          <w:color w:val="000000"/>
          <w:sz w:val="24"/>
          <w:szCs w:val="24"/>
        </w:rPr>
        <w:t>Before an interview proceeds, each potential respondent is informed about the purpose of the survey and asked if they are willing to participate in the research project. The interviewer assures individuals that their contact information will remain confidential and never be associated with their responses. Individuals are eligible to participate in the interview if they are a resident of the household and at least 18 years of age. The eligible person who has had the most recent birthday is selected to participate and be included in the sample. This random selection process prevents interviewer selection bias and helps the interviewer avoid picking the same type of person to interview all the time (English et al., 2001).</w:t>
      </w:r>
    </w:p>
    <w:p w:rsidR="00D10A31" w14:paraId="44422069" w14:textId="77777777">
      <w:pPr>
        <w:rPr>
          <w:color w:val="000000"/>
          <w:sz w:val="24"/>
          <w:szCs w:val="24"/>
        </w:rPr>
      </w:pPr>
    </w:p>
    <w:p w:rsidR="00D10A31" w14:paraId="37E23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Mail Surveys</w:t>
      </w:r>
    </w:p>
    <w:p w:rsidR="00D10A31" w14:paraId="7C1E37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may be instances (subject to budget constraints) where the mode of survey delivery or contact in the given jurisdiction will be via mail.  If this is the case, to maximize response rates, materials are sent to individuals according to a specific pattern using the </w:t>
      </w:r>
      <w:r>
        <w:rPr>
          <w:sz w:val="24"/>
          <w:szCs w:val="24"/>
        </w:rPr>
        <w:t>Dillman</w:t>
      </w:r>
      <w:r>
        <w:rPr>
          <w:sz w:val="24"/>
          <w:szCs w:val="24"/>
        </w:rPr>
        <w:t xml:space="preserve"> Tailored Design Method (</w:t>
      </w:r>
      <w:r>
        <w:rPr>
          <w:sz w:val="24"/>
          <w:szCs w:val="24"/>
        </w:rPr>
        <w:t>Dillman</w:t>
      </w:r>
      <w:r>
        <w:rPr>
          <w:sz w:val="24"/>
          <w:szCs w:val="24"/>
        </w:rPr>
        <w:t xml:space="preserve">, 2000; </w:t>
      </w:r>
      <w:r>
        <w:rPr>
          <w:sz w:val="24"/>
          <w:szCs w:val="24"/>
        </w:rPr>
        <w:t>Dillman</w:t>
      </w:r>
      <w:r>
        <w:rPr>
          <w:sz w:val="24"/>
          <w:szCs w:val="24"/>
        </w:rPr>
        <w:t xml:space="preserve"> et al., 2014). This method uses personalization and repeated contacts to increase the likelihood that an individual will complete the survey. Efforts at personalization are designed to make the survey distinct from “junk mail” (which typically goes into the trash unopened), and to make sure that potential respondents feel that the research project is legitimate and that they are truly important to the success of the project. All persons in the sample receiving the survey by mail are sent an initial survey packet containing the survey, a detailed cover letter, and a business reply envelope. The envelope and cover letter are addressed and refer to each individual’s name and mailed using a first-class postage stamp for more personalized contact. The cover letter will explain the purpose of the project, why a response is </w:t>
      </w:r>
      <w:r>
        <w:rPr>
          <w:sz w:val="24"/>
          <w:szCs w:val="24"/>
        </w:rPr>
        <w:t xml:space="preserve">important, a statement indicating that all personal information will be kept confidential, and instructions for completing and returning the completed survey (via mail or online). </w:t>
      </w:r>
    </w:p>
    <w:p w:rsidR="00D10A31" w14:paraId="2E496E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5231B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Survey responses and subsequent contacts will be tracked using individual identification numbers. One week after the first mailing, a follow-up postcard is sent to all recipients. The post-card serves as a thank you if they have already completed and returned the survey, or as a reminder that they should complete and return the survey. Three weeks after the initial mailing, recipients who have not yet returned their survey are sent a second complete packet of survey materials. For this mailing, the survey packet is identical to the first, except the cover letter is slightly altered to further emphasize the importance of their participation. Five weeks after the initial mailing, all non-respondents are sent a third packet of survey materials, with a cover letter that further emphasizes the importance of their participation.</w:t>
      </w:r>
    </w:p>
    <w:p w:rsidR="00D10A31" w14:paraId="58574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26DCF3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Mixed Mode</w:t>
      </w:r>
    </w:p>
    <w:p w:rsidR="00D10A31" w14:paraId="05676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While postal mail surveys have been the standard mode for collecting social science data, online surveys are becoming more practical to use considering advances in modern technology and widespread uses of the Internet. Online surveys have the advantages of timeliness, reduced costs, and reaching large populations. Survey platforms also allow for more flexibility and possibilities for the design of questions, user interaction, and tracking of responses. Using the Internet as a stand-alone mode for surveys does not currently seem feasible due to the lack of a representative email sampling frame and limited Internet service in some jurisdictions, but it can be effective in maximizing response rates when used in combination with other methods. In a mail push-to-web approach, for example, survey administrators contact individuals via postal mail to invite them to participate in an online survey and then direct them to respond via a secure link. Previous studies using this approach have suggested that the U.S. Postal Delivery Sequence File (DSF), an address-based sampling (ABS) frame with near complete coverage of U.S. households, may provide the best source of coverage for household surveys (Link et al., 2008; Messer &amp; </w:t>
      </w:r>
      <w:r>
        <w:rPr>
          <w:sz w:val="24"/>
          <w:szCs w:val="24"/>
        </w:rPr>
        <w:t>Dillman</w:t>
      </w:r>
      <w:r>
        <w:rPr>
          <w:sz w:val="24"/>
          <w:szCs w:val="24"/>
        </w:rPr>
        <w:t>, 2011). This approach will be considered in jurisdictions where an ABS and Internet service area available. The design and distribution of online surveys will follow the same approach used for the mail surveys (</w:t>
      </w:r>
      <w:r>
        <w:rPr>
          <w:sz w:val="24"/>
          <w:szCs w:val="24"/>
        </w:rPr>
        <w:t>Dillman</w:t>
      </w:r>
      <w:r>
        <w:rPr>
          <w:sz w:val="24"/>
          <w:szCs w:val="24"/>
        </w:rPr>
        <w:t xml:space="preserve"> et al., 2014). </w:t>
      </w:r>
    </w:p>
    <w:p w:rsidR="00D10A31" w14:paraId="6BBC9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3E45FDF2" w14:textId="77777777">
      <w:pPr>
        <w:rPr>
          <w:color w:val="000000"/>
          <w:sz w:val="24"/>
          <w:szCs w:val="24"/>
        </w:rPr>
      </w:pPr>
      <w:r>
        <w:rPr>
          <w:b/>
          <w:color w:val="000000"/>
          <w:sz w:val="24"/>
          <w:szCs w:val="24"/>
        </w:rPr>
        <w:t>Nonresponse Bias</w:t>
      </w:r>
    </w:p>
    <w:p w:rsidR="00D10A31" w14:paraId="1E2C07F4" w14:textId="77777777">
      <w:pPr>
        <w:rPr>
          <w:color w:val="000000"/>
          <w:sz w:val="24"/>
          <w:szCs w:val="24"/>
        </w:rPr>
      </w:pPr>
      <w:r>
        <w:rPr>
          <w:color w:val="000000"/>
          <w:sz w:val="24"/>
          <w:szCs w:val="24"/>
        </w:rPr>
        <w:t xml:space="preserve">Nonresponse may also occur due to refusals to participating in the survey, failure to locate or reach units in the sample, or if a resident is temporarily away from the house (Cochran, 1977; Groves, 2006; Groves &amp; Couper, 1998). To account for anticipated survey refusals or nonresponse, sampling above the targeted sample sizes will be required. Standard tests for nonresponse bias will be conducted to determine the representativeness of the population sample. The first set of tests will examine potential nonresponse bias based on residents who refuse to participate in face-to-face interviews. If the individual does not wish to participate in the survey, they are asked if they would be willing to share the reason(s) for their decline (open-ended question format), lasting approximately two minutes (see non-response questions in Supporting Statement Part A, 2.5). The interviewer will have a prepopulated checklist of nonresponse reasons that have been documented in previous research on nonresponse to household interviews (Groves &amp; Couper, 1998). Nonresponse bias tests will be based on observed and recorded characteristics (e.g., gender and age) of the individuals refusing to participate. Additional data on the social and economic ecology of sample households can also be examined. For example, the </w:t>
      </w:r>
      <w:r>
        <w:rPr>
          <w:color w:val="000000"/>
          <w:sz w:val="24"/>
          <w:szCs w:val="24"/>
        </w:rPr>
        <w:t>U.S. census geographical units and measures, such as crime and population density or observations of the physical condition of a property, can be used to analyze nonresponse bias at the household, block, or county level (Groves, 2006; Groves &amp; Couper, 1998). If significant differences are observed for specific variables, further analyses will be conducted to determine the extent of potential bias and whether statistical techniques such as weighting are necessary to provide unbiased results.</w:t>
      </w:r>
    </w:p>
    <w:p w:rsidR="00D10A31" w14:paraId="1A39E9B8" w14:textId="77777777">
      <w:pPr>
        <w:rPr>
          <w:color w:val="000000"/>
          <w:sz w:val="24"/>
          <w:szCs w:val="24"/>
        </w:rPr>
      </w:pPr>
    </w:p>
    <w:p w:rsidR="00D10A31" w14:paraId="3AC7F5A9" w14:textId="77777777">
      <w:pPr>
        <w:rPr>
          <w:color w:val="000000"/>
          <w:sz w:val="24"/>
          <w:szCs w:val="24"/>
        </w:rPr>
      </w:pPr>
      <w:r>
        <w:rPr>
          <w:color w:val="000000"/>
          <w:sz w:val="24"/>
          <w:szCs w:val="24"/>
        </w:rPr>
        <w:t>The second set of non-response tests will focus upon individuals who were mailed a survey instrument (or link to an online survey) but did not complete it. The standard way to test for non-response bias is to compare the responses of those who return the first mailing of a survey to those who return the second mailing to compare the characteristic under investigation (age, gender and race). Those who return the second questionnaire are, in effect, a sample of nonrespondents to the first mailing and the assumption is that these individuals are representative of that group. Differences between the results will be determined by comparing the means of each group for a random sample of variables. Additional weighting to demographic characteristics can be performed to help correct for differences in nonresponse and ensure that the final weighted sample is representative of the population of interest (</w:t>
      </w:r>
      <w:r>
        <w:rPr>
          <w:color w:val="000000"/>
          <w:sz w:val="24"/>
          <w:szCs w:val="24"/>
        </w:rPr>
        <w:t>Dillman</w:t>
      </w:r>
      <w:r>
        <w:rPr>
          <w:color w:val="000000"/>
          <w:sz w:val="24"/>
          <w:szCs w:val="24"/>
        </w:rPr>
        <w:t xml:space="preserve"> et al., 2014).</w:t>
      </w:r>
    </w:p>
    <w:p w:rsidR="00D10A31" w14:paraId="2428289E" w14:textId="77777777">
      <w:pPr>
        <w:rPr>
          <w:color w:val="000000"/>
          <w:sz w:val="24"/>
          <w:szCs w:val="24"/>
        </w:rPr>
      </w:pPr>
    </w:p>
    <w:p w:rsidR="00D10A31" w14:paraId="33AAEF2B" w14:textId="77777777">
      <w:pPr>
        <w:rPr>
          <w:sz w:val="24"/>
          <w:szCs w:val="24"/>
        </w:rPr>
      </w:pPr>
      <w:r>
        <w:rPr>
          <w:color w:val="000000"/>
          <w:sz w:val="24"/>
          <w:szCs w:val="24"/>
        </w:rPr>
        <w:t xml:space="preserve">The survey will also be translated and administered in multiple languages to address any potential issues with language barriers as a cause of nonresponse (Table 7). </w:t>
      </w:r>
      <w:r>
        <w:rPr>
          <w:sz w:val="24"/>
          <w:szCs w:val="24"/>
        </w:rPr>
        <w:t xml:space="preserve">We expect that there will be some variation in languages and culture within a jurisdiction. Table 7 shows there are several major languages beyond English that are spoken by the populations of each jurisdiction. </w:t>
      </w:r>
      <w:r>
        <w:rPr>
          <w:sz w:val="24"/>
          <w:szCs w:val="24"/>
          <w:highlight w:val="white"/>
        </w:rPr>
        <w:t xml:space="preserve">Certain concepts may entail culture-specific attributes and meanings which need to be explicitly taken into account to ensure sound interpretation of cross-cultural data (Peng et al., 1991; Singh, 1995). </w:t>
      </w:r>
      <w:r>
        <w:rPr>
          <w:sz w:val="24"/>
          <w:szCs w:val="24"/>
        </w:rPr>
        <w:t xml:space="preserve">To accommodate multiple languages, increase response rates, and ensure that the sample is representative of the population, where appropriate the survey contractors will ensure that the questions posed in the survey are translated into the proper language and cultural contexts. For face-to-face interviews, local interviewers will conduct the interview in the appropriate language. Responses will be tracked to see if there are statistically significant differences in the survey results between those who speak English at home and those who do not.  </w:t>
      </w:r>
    </w:p>
    <w:p w:rsidR="00D10A31" w14:paraId="3FA6202F" w14:textId="77777777">
      <w:pPr>
        <w:rPr>
          <w:color w:val="000000"/>
          <w:sz w:val="24"/>
          <w:szCs w:val="24"/>
        </w:rPr>
      </w:pPr>
      <w:bookmarkStart w:id="15" w:name="_35nkun2" w:colFirst="0" w:colLast="0"/>
      <w:bookmarkEnd w:id="15"/>
    </w:p>
    <w:p w:rsidR="00D10A31" w14:paraId="632D8390" w14:textId="77777777">
      <w:pPr>
        <w:widowControl/>
        <w:pBdr>
          <w:top w:val="nil"/>
          <w:left w:val="nil"/>
          <w:bottom w:val="nil"/>
          <w:right w:val="nil"/>
          <w:between w:val="nil"/>
        </w:pBdr>
        <w:spacing w:after="200"/>
        <w:rPr>
          <w:b/>
          <w:color w:val="000000"/>
          <w:sz w:val="24"/>
          <w:szCs w:val="24"/>
        </w:rPr>
      </w:pPr>
      <w:r>
        <w:rPr>
          <w:b/>
          <w:color w:val="000000"/>
          <w:sz w:val="24"/>
          <w:szCs w:val="24"/>
        </w:rPr>
        <w:t xml:space="preserve">Table 7: Major Languages Spoken in each U.S. Coral Reef Jurisdiction </w:t>
      </w:r>
    </w:p>
    <w:tbl>
      <w:tblPr>
        <w:tblStyle w:val="a5"/>
        <w:tblW w:w="9469" w:type="dxa"/>
        <w:tblLayout w:type="fixed"/>
        <w:tblLook w:val="0000"/>
      </w:tblPr>
      <w:tblGrid>
        <w:gridCol w:w="3168"/>
        <w:gridCol w:w="6301"/>
      </w:tblGrid>
      <w:tr w14:paraId="1F680086" w14:textId="77777777">
        <w:tblPrEx>
          <w:tblW w:w="9469" w:type="dxa"/>
          <w:tblLayout w:type="fixed"/>
          <w:tblLook w:val="0000"/>
        </w:tblPrEx>
        <w:trPr>
          <w:trHeight w:val="89"/>
        </w:trPr>
        <w:tc>
          <w:tcPr>
            <w:tcW w:w="3168"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D10A31" w14:paraId="641D1901" w14:textId="77777777">
            <w:pPr>
              <w:rPr>
                <w:sz w:val="24"/>
                <w:szCs w:val="24"/>
              </w:rPr>
            </w:pPr>
            <w:r>
              <w:rPr>
                <w:b/>
                <w:sz w:val="24"/>
                <w:szCs w:val="24"/>
              </w:rPr>
              <w:t>Jurisdiction</w:t>
            </w:r>
          </w:p>
        </w:tc>
        <w:tc>
          <w:tcPr>
            <w:tcW w:w="6301" w:type="dxa"/>
            <w:tcBorders>
              <w:top w:val="single" w:sz="4" w:space="0" w:color="000000"/>
              <w:left w:val="nil"/>
              <w:bottom w:val="single" w:sz="12" w:space="0" w:color="000000"/>
              <w:right w:val="single" w:sz="4" w:space="0" w:color="000000"/>
            </w:tcBorders>
            <w:shd w:val="clear" w:color="auto" w:fill="FFFFFF"/>
            <w:vAlign w:val="center"/>
          </w:tcPr>
          <w:p w:rsidR="00D10A31" w14:paraId="4B553891" w14:textId="77777777">
            <w:pPr>
              <w:rPr>
                <w:sz w:val="24"/>
                <w:szCs w:val="24"/>
              </w:rPr>
            </w:pPr>
            <w:r>
              <w:rPr>
                <w:b/>
                <w:sz w:val="24"/>
                <w:szCs w:val="24"/>
              </w:rPr>
              <w:t>Major Languages Spoken</w:t>
            </w:r>
          </w:p>
        </w:tc>
      </w:tr>
      <w:tr w14:paraId="355FA051" w14:textId="77777777">
        <w:tblPrEx>
          <w:tblW w:w="9469" w:type="dxa"/>
          <w:tblLayout w:type="fixed"/>
          <w:tblLook w:val="0000"/>
        </w:tblPrEx>
        <w:trPr>
          <w:trHeight w:val="55"/>
        </w:trPr>
        <w:tc>
          <w:tcPr>
            <w:tcW w:w="3168" w:type="dxa"/>
            <w:tcBorders>
              <w:top w:val="single" w:sz="12" w:space="0" w:color="000000"/>
              <w:left w:val="single" w:sz="4" w:space="0" w:color="000000"/>
              <w:bottom w:val="single" w:sz="4" w:space="0" w:color="000000"/>
              <w:right w:val="single" w:sz="4" w:space="0" w:color="000000"/>
            </w:tcBorders>
          </w:tcPr>
          <w:p w:rsidR="00D10A31" w14:paraId="73E8D318" w14:textId="77777777">
            <w:pPr>
              <w:rPr>
                <w:sz w:val="24"/>
                <w:szCs w:val="24"/>
              </w:rPr>
            </w:pPr>
            <w:r>
              <w:rPr>
                <w:sz w:val="24"/>
                <w:szCs w:val="24"/>
              </w:rPr>
              <w:t>1. American Samoa</w:t>
            </w:r>
          </w:p>
        </w:tc>
        <w:tc>
          <w:tcPr>
            <w:tcW w:w="6301" w:type="dxa"/>
            <w:tcBorders>
              <w:top w:val="single" w:sz="12" w:space="0" w:color="000000"/>
              <w:left w:val="nil"/>
              <w:bottom w:val="single" w:sz="4" w:space="0" w:color="000000"/>
              <w:right w:val="single" w:sz="4" w:space="0" w:color="000000"/>
            </w:tcBorders>
          </w:tcPr>
          <w:p w:rsidR="00D10A31" w14:paraId="45F72552" w14:textId="77777777">
            <w:pPr>
              <w:rPr>
                <w:sz w:val="24"/>
                <w:szCs w:val="24"/>
              </w:rPr>
            </w:pPr>
            <w:r>
              <w:rPr>
                <w:sz w:val="24"/>
                <w:szCs w:val="24"/>
              </w:rPr>
              <w:t>English, Samoan</w:t>
            </w:r>
          </w:p>
        </w:tc>
      </w:tr>
      <w:tr w14:paraId="1C5CCA61" w14:textId="77777777">
        <w:tblPrEx>
          <w:tblW w:w="9469" w:type="dxa"/>
          <w:tblLayout w:type="fixed"/>
          <w:tblLook w:val="0000"/>
        </w:tblPrEx>
        <w:trPr>
          <w:trHeight w:val="161"/>
        </w:trPr>
        <w:tc>
          <w:tcPr>
            <w:tcW w:w="3168" w:type="dxa"/>
            <w:tcBorders>
              <w:top w:val="nil"/>
              <w:left w:val="single" w:sz="4" w:space="0" w:color="000000"/>
              <w:bottom w:val="single" w:sz="4" w:space="0" w:color="000000"/>
              <w:right w:val="single" w:sz="4" w:space="0" w:color="000000"/>
            </w:tcBorders>
          </w:tcPr>
          <w:p w:rsidR="00D10A31" w14:paraId="309621FD" w14:textId="77777777">
            <w:pPr>
              <w:rPr>
                <w:sz w:val="24"/>
                <w:szCs w:val="24"/>
              </w:rPr>
            </w:pPr>
            <w:r>
              <w:rPr>
                <w:sz w:val="24"/>
                <w:szCs w:val="24"/>
              </w:rPr>
              <w:t>2. CNMI</w:t>
            </w:r>
          </w:p>
        </w:tc>
        <w:tc>
          <w:tcPr>
            <w:tcW w:w="6301" w:type="dxa"/>
            <w:tcBorders>
              <w:top w:val="nil"/>
              <w:left w:val="nil"/>
              <w:bottom w:val="single" w:sz="4" w:space="0" w:color="000000"/>
              <w:right w:val="single" w:sz="4" w:space="0" w:color="000000"/>
            </w:tcBorders>
          </w:tcPr>
          <w:p w:rsidR="00D10A31" w14:paraId="0AA2A33B" w14:textId="77777777">
            <w:pPr>
              <w:rPr>
                <w:sz w:val="24"/>
                <w:szCs w:val="24"/>
              </w:rPr>
            </w:pPr>
            <w:r>
              <w:rPr>
                <w:sz w:val="24"/>
                <w:szCs w:val="24"/>
              </w:rPr>
              <w:t>English, Chamorro, Carolinian, Chinese Mandarin, Tagalog</w:t>
            </w:r>
          </w:p>
        </w:tc>
      </w:tr>
      <w:tr w14:paraId="0F357411"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14:paraId="2ECCAAB4" w14:textId="77777777">
            <w:pPr>
              <w:rPr>
                <w:sz w:val="24"/>
                <w:szCs w:val="24"/>
              </w:rPr>
            </w:pPr>
            <w:r>
              <w:rPr>
                <w:sz w:val="24"/>
                <w:szCs w:val="24"/>
              </w:rPr>
              <w:t>3. Guam</w:t>
            </w:r>
          </w:p>
        </w:tc>
        <w:tc>
          <w:tcPr>
            <w:tcW w:w="6301" w:type="dxa"/>
            <w:tcBorders>
              <w:top w:val="nil"/>
              <w:left w:val="nil"/>
              <w:bottom w:val="single" w:sz="4" w:space="0" w:color="000000"/>
              <w:right w:val="single" w:sz="4" w:space="0" w:color="000000"/>
            </w:tcBorders>
          </w:tcPr>
          <w:p w:rsidR="00D10A31" w14:paraId="7CBD8F75" w14:textId="77777777">
            <w:pPr>
              <w:rPr>
                <w:sz w:val="24"/>
                <w:szCs w:val="24"/>
              </w:rPr>
            </w:pPr>
            <w:r>
              <w:rPr>
                <w:sz w:val="24"/>
                <w:szCs w:val="24"/>
              </w:rPr>
              <w:t xml:space="preserve">English, </w:t>
            </w:r>
            <w:r>
              <w:rPr>
                <w:sz w:val="24"/>
                <w:szCs w:val="24"/>
              </w:rPr>
              <w:t>CHamoru</w:t>
            </w:r>
            <w:r>
              <w:rPr>
                <w:sz w:val="24"/>
                <w:szCs w:val="24"/>
              </w:rPr>
              <w:t xml:space="preserve">, </w:t>
            </w:r>
            <w:r>
              <w:rPr>
                <w:sz w:val="24"/>
                <w:szCs w:val="24"/>
              </w:rPr>
              <w:t>Chuukese</w:t>
            </w:r>
            <w:r>
              <w:rPr>
                <w:sz w:val="24"/>
                <w:szCs w:val="24"/>
              </w:rPr>
              <w:t>, Tagalog, Korean</w:t>
            </w:r>
          </w:p>
        </w:tc>
      </w:tr>
      <w:tr w14:paraId="7AEB8357"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14:paraId="10B26DB2" w14:textId="77777777">
            <w:pPr>
              <w:rPr>
                <w:sz w:val="24"/>
                <w:szCs w:val="24"/>
              </w:rPr>
            </w:pPr>
            <w:r>
              <w:rPr>
                <w:sz w:val="24"/>
                <w:szCs w:val="24"/>
              </w:rPr>
              <w:t>4. Hawai’i</w:t>
            </w:r>
          </w:p>
        </w:tc>
        <w:tc>
          <w:tcPr>
            <w:tcW w:w="6301" w:type="dxa"/>
            <w:tcBorders>
              <w:top w:val="nil"/>
              <w:left w:val="nil"/>
              <w:bottom w:val="single" w:sz="4" w:space="0" w:color="000000"/>
              <w:right w:val="single" w:sz="4" w:space="0" w:color="000000"/>
            </w:tcBorders>
          </w:tcPr>
          <w:p w:rsidR="00D10A31" w14:paraId="2826FE03" w14:textId="77777777">
            <w:pPr>
              <w:rPr>
                <w:sz w:val="24"/>
                <w:szCs w:val="24"/>
              </w:rPr>
            </w:pPr>
            <w:r>
              <w:rPr>
                <w:sz w:val="24"/>
                <w:szCs w:val="24"/>
              </w:rPr>
              <w:t>English, Hawaiian Pidgin</w:t>
            </w:r>
          </w:p>
        </w:tc>
      </w:tr>
      <w:tr w14:paraId="5BBF9FD0"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14:paraId="381AA109" w14:textId="77777777">
            <w:pPr>
              <w:rPr>
                <w:sz w:val="24"/>
                <w:szCs w:val="24"/>
              </w:rPr>
            </w:pPr>
            <w:r>
              <w:rPr>
                <w:sz w:val="24"/>
                <w:szCs w:val="24"/>
              </w:rPr>
              <w:t>5. Florida</w:t>
            </w:r>
          </w:p>
        </w:tc>
        <w:tc>
          <w:tcPr>
            <w:tcW w:w="6301" w:type="dxa"/>
            <w:tcBorders>
              <w:top w:val="nil"/>
              <w:left w:val="nil"/>
              <w:bottom w:val="single" w:sz="4" w:space="0" w:color="000000"/>
              <w:right w:val="single" w:sz="4" w:space="0" w:color="000000"/>
            </w:tcBorders>
          </w:tcPr>
          <w:p w:rsidR="00D10A31" w14:paraId="70A096A1" w14:textId="77777777">
            <w:pPr>
              <w:rPr>
                <w:sz w:val="24"/>
                <w:szCs w:val="24"/>
              </w:rPr>
            </w:pPr>
            <w:r>
              <w:rPr>
                <w:sz w:val="24"/>
                <w:szCs w:val="24"/>
              </w:rPr>
              <w:t>English, Spanish</w:t>
            </w:r>
          </w:p>
        </w:tc>
      </w:tr>
      <w:tr w14:paraId="7ACE23E0"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14:paraId="6162DC2E" w14:textId="77777777">
            <w:pPr>
              <w:rPr>
                <w:sz w:val="24"/>
                <w:szCs w:val="24"/>
              </w:rPr>
            </w:pPr>
            <w:r>
              <w:rPr>
                <w:sz w:val="24"/>
                <w:szCs w:val="24"/>
              </w:rPr>
              <w:t>6. Puerto Rico</w:t>
            </w:r>
          </w:p>
        </w:tc>
        <w:tc>
          <w:tcPr>
            <w:tcW w:w="6301" w:type="dxa"/>
            <w:tcBorders>
              <w:top w:val="nil"/>
              <w:left w:val="nil"/>
              <w:bottom w:val="single" w:sz="4" w:space="0" w:color="000000"/>
              <w:right w:val="single" w:sz="4" w:space="0" w:color="000000"/>
            </w:tcBorders>
          </w:tcPr>
          <w:p w:rsidR="00D10A31" w14:paraId="28A5C6F3" w14:textId="77777777">
            <w:pPr>
              <w:rPr>
                <w:sz w:val="24"/>
                <w:szCs w:val="24"/>
              </w:rPr>
            </w:pPr>
            <w:r>
              <w:rPr>
                <w:sz w:val="24"/>
                <w:szCs w:val="24"/>
              </w:rPr>
              <w:t>English, Spanish</w:t>
            </w:r>
          </w:p>
        </w:tc>
      </w:tr>
      <w:tr w14:paraId="17721FAA"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14:paraId="51435324" w14:textId="77777777">
            <w:pPr>
              <w:rPr>
                <w:sz w:val="24"/>
                <w:szCs w:val="24"/>
              </w:rPr>
            </w:pPr>
            <w:r>
              <w:rPr>
                <w:sz w:val="24"/>
                <w:szCs w:val="24"/>
              </w:rPr>
              <w:t>7. U.S. Virgin Islands</w:t>
            </w:r>
          </w:p>
        </w:tc>
        <w:tc>
          <w:tcPr>
            <w:tcW w:w="6301" w:type="dxa"/>
            <w:tcBorders>
              <w:top w:val="nil"/>
              <w:left w:val="nil"/>
              <w:bottom w:val="single" w:sz="4" w:space="0" w:color="000000"/>
              <w:right w:val="single" w:sz="4" w:space="0" w:color="000000"/>
            </w:tcBorders>
          </w:tcPr>
          <w:p w:rsidR="00D10A31" w14:paraId="1ED97534" w14:textId="77777777">
            <w:pPr>
              <w:rPr>
                <w:sz w:val="24"/>
                <w:szCs w:val="24"/>
              </w:rPr>
            </w:pPr>
            <w:r>
              <w:rPr>
                <w:sz w:val="24"/>
                <w:szCs w:val="24"/>
              </w:rPr>
              <w:t xml:space="preserve">English, Spanish, </w:t>
            </w:r>
            <w:r>
              <w:rPr>
                <w:sz w:val="24"/>
                <w:szCs w:val="24"/>
              </w:rPr>
              <w:t>Negerhollands</w:t>
            </w:r>
            <w:r>
              <w:rPr>
                <w:sz w:val="24"/>
                <w:szCs w:val="24"/>
              </w:rPr>
              <w:t>, Virgin Islands Creole</w:t>
            </w:r>
          </w:p>
        </w:tc>
      </w:tr>
    </w:tbl>
    <w:p w:rsidR="00D10A31" w14:paraId="10357316" w14:textId="634FDAFD">
      <w:pPr>
        <w:pStyle w:val="Heading2"/>
        <w:spacing w:before="280"/>
      </w:pPr>
      <w:bookmarkStart w:id="16" w:name="_1ksv4uv" w:colFirst="0" w:colLast="0"/>
      <w:bookmarkEnd w:id="16"/>
      <w:r>
        <w:t>4.  Describe any tests of procedures or methods to be undertaken. Tests are encouraged as effective means to refine collections, but if ten or more test respondents are involved OMB must give prior approval.</w:t>
      </w:r>
    </w:p>
    <w:p w:rsidR="00D10A31" w14:paraId="6D8CB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4ADDAFD4" w14:textId="77777777">
      <w:pPr>
        <w:rPr>
          <w:sz w:val="24"/>
          <w:szCs w:val="24"/>
        </w:rPr>
      </w:pPr>
      <w:r>
        <w:rPr>
          <w:sz w:val="24"/>
          <w:szCs w:val="24"/>
        </w:rPr>
        <w:t xml:space="preserve">The majority of the variables collected are continuous, using 5-point Likert scales to approximate normality so that means and standard errors can be estimated for each variable. Scales with five response values and a distribution that is approximately normally distributed in the population sampled are considered continuous variables (Morgan et al., 2006; Revilla, Saris, &amp; Krosnick, 2014). It is a common and widely accepted practice in social science to use these scales in parametric statistics (Baker, </w:t>
      </w:r>
      <w:r>
        <w:rPr>
          <w:sz w:val="24"/>
          <w:szCs w:val="24"/>
        </w:rPr>
        <w:t>Hardyck</w:t>
      </w:r>
      <w:r>
        <w:rPr>
          <w:sz w:val="24"/>
          <w:szCs w:val="24"/>
        </w:rPr>
        <w:t xml:space="preserve">, &amp; </w:t>
      </w:r>
      <w:r>
        <w:rPr>
          <w:sz w:val="24"/>
          <w:szCs w:val="24"/>
        </w:rPr>
        <w:t>Petrinovich</w:t>
      </w:r>
      <w:r>
        <w:rPr>
          <w:sz w:val="24"/>
          <w:szCs w:val="24"/>
        </w:rPr>
        <w:t xml:space="preserve">, 1966; </w:t>
      </w:r>
      <w:r>
        <w:rPr>
          <w:sz w:val="24"/>
          <w:szCs w:val="24"/>
        </w:rPr>
        <w:t>Borgatta</w:t>
      </w:r>
      <w:r>
        <w:rPr>
          <w:sz w:val="24"/>
          <w:szCs w:val="24"/>
        </w:rPr>
        <w:t xml:space="preserve"> &amp; </w:t>
      </w:r>
      <w:r>
        <w:rPr>
          <w:sz w:val="24"/>
          <w:szCs w:val="24"/>
        </w:rPr>
        <w:t>Bohrnstedt</w:t>
      </w:r>
      <w:r>
        <w:rPr>
          <w:sz w:val="24"/>
          <w:szCs w:val="24"/>
        </w:rPr>
        <w:t xml:space="preserve">, 1980; </w:t>
      </w:r>
      <w:r>
        <w:rPr>
          <w:sz w:val="24"/>
          <w:szCs w:val="24"/>
        </w:rPr>
        <w:t>Gaito</w:t>
      </w:r>
      <w:r>
        <w:rPr>
          <w:sz w:val="24"/>
          <w:szCs w:val="24"/>
        </w:rPr>
        <w:t xml:space="preserve">, 1980; </w:t>
      </w:r>
      <w:r>
        <w:rPr>
          <w:sz w:val="24"/>
          <w:szCs w:val="24"/>
        </w:rPr>
        <w:t>Havlicek</w:t>
      </w:r>
      <w:r>
        <w:rPr>
          <w:sz w:val="24"/>
          <w:szCs w:val="24"/>
        </w:rPr>
        <w:t xml:space="preserve"> &amp; Peterson, 1977; Kempthorne, 1955; </w:t>
      </w:r>
      <w:r>
        <w:rPr>
          <w:sz w:val="24"/>
          <w:szCs w:val="24"/>
        </w:rPr>
        <w:t>Vaske</w:t>
      </w:r>
      <w:r>
        <w:rPr>
          <w:sz w:val="24"/>
          <w:szCs w:val="24"/>
        </w:rPr>
        <w:t xml:space="preserve">, 2008). Binary and categorical variables will also be used to segment the population into subgroups (e.g., by activity participation, occupation, county) and run mean comparisons on variables of interest (e.g., coral reef importance, condition, and threats). The data will be weighted to best represent the jurisdiction’s population where appropriate. </w:t>
      </w:r>
    </w:p>
    <w:p w:rsidR="00D10A31" w14:paraId="35AF348E" w14:textId="77777777">
      <w:pPr>
        <w:rPr>
          <w:sz w:val="24"/>
          <w:szCs w:val="24"/>
        </w:rPr>
      </w:pPr>
    </w:p>
    <w:p w:rsidR="00D10A31" w14:paraId="1D7FEB94" w14:textId="77777777">
      <w:pPr>
        <w:widowControl/>
        <w:pBdr>
          <w:top w:val="nil"/>
          <w:left w:val="nil"/>
          <w:bottom w:val="nil"/>
          <w:right w:val="nil"/>
          <w:between w:val="nil"/>
        </w:pBdr>
        <w:rPr>
          <w:color w:val="000000"/>
          <w:sz w:val="24"/>
          <w:szCs w:val="24"/>
        </w:rPr>
      </w:pPr>
      <w:r>
        <w:rPr>
          <w:b/>
          <w:color w:val="000000"/>
          <w:sz w:val="24"/>
          <w:szCs w:val="24"/>
        </w:rPr>
        <w:t>Subgroups</w:t>
      </w:r>
    </w:p>
    <w:p w:rsidR="00D10A31" w14:paraId="4F7D44E3" w14:textId="77777777">
      <w:pPr>
        <w:widowControl/>
        <w:pBdr>
          <w:top w:val="nil"/>
          <w:left w:val="nil"/>
          <w:bottom w:val="nil"/>
          <w:right w:val="nil"/>
          <w:between w:val="nil"/>
        </w:pBdr>
        <w:spacing w:after="240"/>
        <w:rPr>
          <w:color w:val="000000"/>
          <w:sz w:val="24"/>
          <w:szCs w:val="24"/>
        </w:rPr>
      </w:pPr>
      <w:r>
        <w:rPr>
          <w:color w:val="000000"/>
          <w:sz w:val="24"/>
          <w:szCs w:val="24"/>
        </w:rPr>
        <w:t xml:space="preserve">Subgroups will be segmented from certain variables of interest. For example, subgroups based on activity participation will be determined from Q1, providing a way of categorizing respondents and analyzing data across activity type. Users of different activity groups have been shown to hold differing values (Ditton, Loomis, &amp; Choi, 1992; Loomis &amp; Paterson, 2014), and therefore, can inform subgroup variation on topics such as reef importance to quality of life (Q8), on support for management options (Q16), engagement in pro-environmental behaviors (Q18, Q20, Q22), and other topics measured in this survey. </w:t>
      </w:r>
    </w:p>
    <w:p w:rsidR="00D10A31" w14:paraId="13C8942E" w14:textId="77777777">
      <w:pPr>
        <w:widowControl/>
        <w:pBdr>
          <w:top w:val="nil"/>
          <w:left w:val="nil"/>
          <w:bottom w:val="nil"/>
          <w:right w:val="nil"/>
          <w:between w:val="nil"/>
        </w:pBdr>
        <w:rPr>
          <w:color w:val="000000"/>
          <w:sz w:val="24"/>
          <w:szCs w:val="24"/>
        </w:rPr>
      </w:pPr>
      <w:r>
        <w:rPr>
          <w:color w:val="000000"/>
          <w:sz w:val="24"/>
          <w:szCs w:val="24"/>
        </w:rPr>
        <w:t>For example, Q3 data (reasons why fishing/gathering is important to residents), could be compared by different types of fishing (e.g., recreational fishing, spearfishing, gathering of marine resources) indicated in Q1, and these fishing categories may vary by jurisdiction. This analysis would indicate whether different fishing categories are associated with different fishing motivations (Leong et al., 2020). Sub-group information also informs local jurisdictional management on how to target communication and outreach to stakeholder groups (Loomis et al., 2008a, 2008b, 2008c; Petty &amp; Cacioppo, 1986).</w:t>
      </w:r>
    </w:p>
    <w:p w:rsidR="00D10A31" w14:paraId="10E968C7" w14:textId="77777777">
      <w:pPr>
        <w:widowControl/>
        <w:pBdr>
          <w:top w:val="nil"/>
          <w:left w:val="nil"/>
          <w:bottom w:val="nil"/>
          <w:right w:val="nil"/>
          <w:between w:val="nil"/>
        </w:pBdr>
        <w:rPr>
          <w:color w:val="000000"/>
          <w:sz w:val="24"/>
          <w:szCs w:val="24"/>
        </w:rPr>
      </w:pPr>
    </w:p>
    <w:p w:rsidR="00D10A31" w14:paraId="65655961" w14:textId="77777777">
      <w:pPr>
        <w:widowControl/>
        <w:pBdr>
          <w:top w:val="nil"/>
          <w:left w:val="nil"/>
          <w:bottom w:val="nil"/>
          <w:right w:val="nil"/>
          <w:between w:val="nil"/>
        </w:pBdr>
        <w:rPr>
          <w:color w:val="000000"/>
          <w:sz w:val="24"/>
          <w:szCs w:val="24"/>
        </w:rPr>
      </w:pPr>
      <w:r>
        <w:rPr>
          <w:b/>
          <w:color w:val="000000"/>
          <w:sz w:val="24"/>
          <w:szCs w:val="24"/>
        </w:rPr>
        <w:t>Descriptive Statistics</w:t>
      </w:r>
    </w:p>
    <w:p w:rsidR="00D10A31" w14:paraId="7C22DC30" w14:textId="77777777">
      <w:pPr>
        <w:rPr>
          <w:sz w:val="24"/>
          <w:szCs w:val="24"/>
        </w:rPr>
      </w:pPr>
      <w:r>
        <w:rPr>
          <w:sz w:val="24"/>
          <w:szCs w:val="24"/>
        </w:rPr>
        <w:t>Frequency distributions (counts, percentages, bar graphs/histograms) will be examined for normality and the extent to which the data are skewed. Cross-tabulations (</w:t>
      </w:r>
      <w:r>
        <w:rPr>
          <w:i/>
          <w:sz w:val="24"/>
          <w:szCs w:val="24"/>
        </w:rPr>
        <w:t>n-</w:t>
      </w:r>
      <w:r>
        <w:rPr>
          <w:sz w:val="24"/>
          <w:szCs w:val="24"/>
        </w:rPr>
        <w:t xml:space="preserve">way) will be an initial examination of the relationship between two or more variables. The </w:t>
      </w:r>
      <w:r>
        <w:rPr>
          <w:i/>
          <w:sz w:val="24"/>
          <w:szCs w:val="24"/>
        </w:rPr>
        <w:t xml:space="preserve">Pearson chi-square </w:t>
      </w:r>
      <w:r>
        <w:rPr>
          <w:sz w:val="24"/>
          <w:szCs w:val="24"/>
        </w:rPr>
        <w:t>(</w:t>
      </w:r>
      <w:r>
        <w:rPr>
          <w:i/>
          <w:sz w:val="24"/>
          <w:szCs w:val="24"/>
        </w:rPr>
        <w:t>X</w:t>
      </w:r>
      <w:r>
        <w:rPr>
          <w:sz w:val="24"/>
          <w:szCs w:val="24"/>
          <w:vertAlign w:val="superscript"/>
        </w:rPr>
        <w:t>2</w:t>
      </w:r>
      <w:r>
        <w:rPr>
          <w:sz w:val="24"/>
          <w:szCs w:val="24"/>
        </w:rPr>
        <w:t xml:space="preserve">) will be used to test the hypothesis that the row and column variables are independent of each other (for example, </w:t>
      </w:r>
      <w:r>
        <w:rPr>
          <w:i/>
          <w:sz w:val="24"/>
          <w:szCs w:val="24"/>
        </w:rPr>
        <w:t>p</w:t>
      </w:r>
      <w:r>
        <w:rPr>
          <w:rFonts w:ascii="Gungsuh" w:eastAsia="Gungsuh" w:hAnsi="Gungsuh" w:cs="Gungsuh"/>
          <w:sz w:val="24"/>
          <w:szCs w:val="24"/>
        </w:rPr>
        <w:t xml:space="preserve"> ≤ .10; .05; .01, or .001). This test for independence evaluates statistically significant differences between proportions for two or more groups/variables,</w:t>
      </w:r>
    </w:p>
    <w:p w:rsidR="00D10A31" w14:paraId="60662A9A" w14:textId="77777777">
      <w:pPr>
        <w:rPr>
          <w:sz w:val="24"/>
          <w:szCs w:val="24"/>
        </w:rPr>
      </w:pPr>
    </w:p>
    <w:p w:rsidR="00D10A31" w14:paraId="4A7D37E0" w14:textId="77777777">
      <w:pPr>
        <w:jc w:val="center"/>
        <w:rPr>
          <w:sz w:val="24"/>
          <w:szCs w:val="24"/>
        </w:rPr>
      </w:pPr>
      <w:r>
        <w:rPr>
          <w:noProof/>
          <w:sz w:val="24"/>
          <w:szCs w:val="24"/>
        </w:rPr>
        <w:drawing>
          <wp:inline distT="0" distB="0" distL="114300" distR="114300">
            <wp:extent cx="1073150" cy="33020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3" name="image8.png"/>
                    <pic:cNvPicPr/>
                  </pic:nvPicPr>
                  <pic:blipFill>
                    <a:blip xmlns:r="http://schemas.openxmlformats.org/officeDocument/2006/relationships" r:embed="rId6"/>
                    <a:stretch>
                      <a:fillRect/>
                    </a:stretch>
                  </pic:blipFill>
                  <pic:spPr>
                    <a:xfrm>
                      <a:off x="0" y="0"/>
                      <a:ext cx="1073150" cy="330200"/>
                    </a:xfrm>
                    <a:prstGeom prst="rect">
                      <a:avLst/>
                    </a:prstGeom>
                  </pic:spPr>
                </pic:pic>
              </a:graphicData>
            </a:graphic>
          </wp:inline>
        </w:drawing>
      </w:r>
    </w:p>
    <w:p w:rsidR="00D10A31" w14:paraId="40D575B9" w14:textId="77777777">
      <w:pPr>
        <w:rPr>
          <w:sz w:val="24"/>
          <w:szCs w:val="24"/>
        </w:rPr>
      </w:pPr>
    </w:p>
    <w:p w:rsidR="00D10A31" w14:paraId="581222E1" w14:textId="77777777">
      <w:pPr>
        <w:rPr>
          <w:sz w:val="24"/>
          <w:szCs w:val="24"/>
        </w:rPr>
      </w:pPr>
      <w:r>
        <w:rPr>
          <w:sz w:val="24"/>
          <w:szCs w:val="24"/>
        </w:rPr>
        <w:t>where:</w:t>
      </w:r>
      <w:r>
        <w:rPr>
          <w:i/>
          <w:sz w:val="24"/>
          <w:szCs w:val="24"/>
        </w:rPr>
        <w:tab/>
      </w:r>
      <w:r>
        <w:rPr>
          <w:i/>
          <w:sz w:val="24"/>
          <w:szCs w:val="24"/>
        </w:rPr>
        <w:t>f</w:t>
      </w:r>
      <w:r>
        <w:rPr>
          <w:i/>
          <w:sz w:val="24"/>
          <w:szCs w:val="24"/>
          <w:vertAlign w:val="subscript"/>
        </w:rPr>
        <w:t>o</w:t>
      </w:r>
      <w:r>
        <w:rPr>
          <w:i/>
          <w:sz w:val="24"/>
          <w:szCs w:val="24"/>
        </w:rPr>
        <w:t xml:space="preserve"> = </w:t>
      </w:r>
      <w:r>
        <w:rPr>
          <w:sz w:val="24"/>
          <w:szCs w:val="24"/>
        </w:rPr>
        <w:t xml:space="preserve">the observed frequency in each cell, and </w:t>
      </w:r>
      <w:r>
        <w:rPr>
          <w:i/>
          <w:sz w:val="24"/>
          <w:szCs w:val="24"/>
        </w:rPr>
        <w:t>f</w:t>
      </w:r>
      <w:r>
        <w:rPr>
          <w:i/>
          <w:sz w:val="24"/>
          <w:szCs w:val="24"/>
          <w:vertAlign w:val="subscript"/>
        </w:rPr>
        <w:t>e</w:t>
      </w:r>
      <w:r>
        <w:rPr>
          <w:i/>
          <w:sz w:val="24"/>
          <w:szCs w:val="24"/>
        </w:rPr>
        <w:t xml:space="preserve"> = </w:t>
      </w:r>
      <w:r>
        <w:rPr>
          <w:sz w:val="24"/>
          <w:szCs w:val="24"/>
        </w:rPr>
        <w:t>the expected frequency for each cell.</w:t>
      </w:r>
    </w:p>
    <w:p w:rsidR="00D10A31" w14:paraId="4AD1086D" w14:textId="77777777">
      <w:pPr>
        <w:rPr>
          <w:sz w:val="24"/>
          <w:szCs w:val="24"/>
        </w:rPr>
      </w:pPr>
      <w:r>
        <w:rPr>
          <w:sz w:val="24"/>
          <w:szCs w:val="24"/>
        </w:rPr>
        <w:t>Other descriptive statistics will include measures of central tendency (</w:t>
      </w:r>
      <w:r>
        <w:rPr>
          <w:i/>
          <w:sz w:val="24"/>
          <w:szCs w:val="24"/>
        </w:rPr>
        <w:t>Mean, Median,</w:t>
      </w:r>
      <w:r>
        <w:rPr>
          <w:sz w:val="24"/>
          <w:szCs w:val="24"/>
        </w:rPr>
        <w:t xml:space="preserve"> and</w:t>
      </w:r>
      <w:r>
        <w:rPr>
          <w:i/>
          <w:sz w:val="24"/>
          <w:szCs w:val="24"/>
        </w:rPr>
        <w:t xml:space="preserve"> Mode</w:t>
      </w:r>
      <w:r>
        <w:rPr>
          <w:sz w:val="24"/>
          <w:szCs w:val="24"/>
        </w:rPr>
        <w:t xml:space="preserve">) and variability (standard deviation, variance, range) of responses. For example, mean values will be calculated for each perceived resource condition (Q9) and weighted by importance. The same </w:t>
      </w:r>
      <w:r>
        <w:rPr>
          <w:sz w:val="24"/>
          <w:szCs w:val="24"/>
        </w:rPr>
        <w:t>will be done for perceptions of future conditions (Q10), importance of reefs (Q11), and other indicators measured in the survey. In this example, the data for Q9 and Q10 would be analyzed for correlations or gaps between perceptions of resource condition and the actual condition reported by NCRMP benthic, climatic, or fisheries data.</w:t>
      </w:r>
    </w:p>
    <w:p w:rsidR="00D10A31" w14:paraId="503D0CA5" w14:textId="77777777">
      <w:pPr>
        <w:rPr>
          <w:b/>
          <w:sz w:val="24"/>
          <w:szCs w:val="24"/>
        </w:rPr>
      </w:pPr>
    </w:p>
    <w:p w:rsidR="00D10A31" w14:paraId="150E138F" w14:textId="77777777">
      <w:pPr>
        <w:rPr>
          <w:sz w:val="24"/>
          <w:szCs w:val="24"/>
        </w:rPr>
      </w:pPr>
      <w:r>
        <w:rPr>
          <w:b/>
          <w:sz w:val="24"/>
          <w:szCs w:val="24"/>
        </w:rPr>
        <w:t xml:space="preserve">Independent Samples </w:t>
      </w:r>
      <w:r>
        <w:rPr>
          <w:b/>
          <w:i/>
          <w:sz w:val="24"/>
          <w:szCs w:val="24"/>
        </w:rPr>
        <w:t>t</w:t>
      </w:r>
      <w:r>
        <w:rPr>
          <w:b/>
          <w:sz w:val="24"/>
          <w:szCs w:val="24"/>
        </w:rPr>
        <w:t>-tests</w:t>
      </w:r>
      <w:r>
        <w:rPr>
          <w:sz w:val="24"/>
          <w:szCs w:val="24"/>
        </w:rPr>
        <w:t xml:space="preserve"> </w:t>
      </w:r>
    </w:p>
    <w:p w:rsidR="00D10A31" w14:paraId="58111397" w14:textId="77777777">
      <w:pPr>
        <w:rPr>
          <w:sz w:val="24"/>
          <w:szCs w:val="24"/>
        </w:rPr>
      </w:pPr>
      <w:r>
        <w:rPr>
          <w:sz w:val="24"/>
          <w:szCs w:val="24"/>
        </w:rPr>
        <w:t>Independent samples</w:t>
      </w:r>
      <w:r>
        <w:rPr>
          <w:i/>
          <w:sz w:val="24"/>
          <w:szCs w:val="24"/>
        </w:rPr>
        <w:t xml:space="preserve"> t</w:t>
      </w:r>
      <w:r>
        <w:rPr>
          <w:sz w:val="24"/>
          <w:szCs w:val="24"/>
        </w:rPr>
        <w:t xml:space="preserve">-tests will test the hypothesis that the difference between means of two independent random samples differ statistically. For example, do diving and fishing sub-groups differ in their perception of resource conditions? Have resident perceptions changed in the second round of monitoring? The overall equation for a </w:t>
      </w:r>
      <w:r>
        <w:rPr>
          <w:i/>
          <w:sz w:val="24"/>
          <w:szCs w:val="24"/>
        </w:rPr>
        <w:t>t</w:t>
      </w:r>
      <w:r>
        <w:rPr>
          <w:sz w:val="24"/>
          <w:szCs w:val="24"/>
        </w:rPr>
        <w:t>-test is:</w:t>
      </w:r>
    </w:p>
    <w:p w:rsidR="00D10A31" w14:paraId="22295C01" w14:textId="77777777">
      <w:pPr>
        <w:rPr>
          <w:sz w:val="24"/>
          <w:szCs w:val="24"/>
        </w:rPr>
      </w:pPr>
    </w:p>
    <w:p w:rsidR="00D10A31" w14:paraId="27BB452B" w14:textId="77777777">
      <w:pPr>
        <w:jc w:val="center"/>
        <w:rPr>
          <w:sz w:val="24"/>
          <w:szCs w:val="24"/>
        </w:rPr>
      </w:pPr>
      <w:r>
        <w:rPr>
          <w:noProof/>
          <w:sz w:val="24"/>
          <w:szCs w:val="24"/>
        </w:rPr>
        <w:drawing>
          <wp:inline distT="0" distB="0" distL="114300" distR="114300">
            <wp:extent cx="800100" cy="635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xmlns:r="http://schemas.openxmlformats.org/officeDocument/2006/relationships" r:embed="rId7"/>
                    <a:stretch>
                      <a:fillRect/>
                    </a:stretch>
                  </pic:blipFill>
                  <pic:spPr>
                    <a:xfrm>
                      <a:off x="0" y="0"/>
                      <a:ext cx="800100" cy="635000"/>
                    </a:xfrm>
                    <a:prstGeom prst="rect">
                      <a:avLst/>
                    </a:prstGeom>
                  </pic:spPr>
                </pic:pic>
              </a:graphicData>
            </a:graphic>
          </wp:inline>
        </w:drawing>
      </w:r>
    </w:p>
    <w:p w:rsidR="00D10A31" w14:paraId="56593BF1" w14:textId="77777777">
      <w:pPr>
        <w:rPr>
          <w:sz w:val="24"/>
          <w:szCs w:val="24"/>
        </w:rPr>
      </w:pPr>
    </w:p>
    <w:p w:rsidR="00D10A31" w14:paraId="385D64AB" w14:textId="77777777">
      <w:pPr>
        <w:rPr>
          <w:sz w:val="24"/>
          <w:szCs w:val="24"/>
        </w:rPr>
      </w:pPr>
      <w:r>
        <w:rPr>
          <w:sz w:val="24"/>
          <w:szCs w:val="24"/>
        </w:rPr>
        <w:t xml:space="preserve">where: </w:t>
      </w:r>
      <w:r>
        <w:rPr>
          <w:noProof/>
          <w:sz w:val="24"/>
          <w:szCs w:val="24"/>
        </w:rPr>
        <w:drawing>
          <wp:inline distT="0" distB="0" distL="114300" distR="114300">
            <wp:extent cx="133350" cy="1524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8"/>
                    <a:stretch>
                      <a:fillRect/>
                    </a:stretch>
                  </pic:blipFill>
                  <pic:spPr>
                    <a:xfrm>
                      <a:off x="0" y="0"/>
                      <a:ext cx="133350" cy="152400"/>
                    </a:xfrm>
                    <a:prstGeom prst="rect">
                      <a:avLst/>
                    </a:prstGeom>
                  </pic:spPr>
                </pic:pic>
              </a:graphicData>
            </a:graphic>
          </wp:inline>
        </w:drawing>
      </w:r>
      <w:r>
        <w:rPr>
          <w:sz w:val="24"/>
          <w:szCs w:val="24"/>
        </w:rPr>
        <w:t xml:space="preserve"> and </w:t>
      </w:r>
      <w:r>
        <w:rPr>
          <w:noProof/>
          <w:sz w:val="24"/>
          <w:szCs w:val="24"/>
        </w:rPr>
        <w:drawing>
          <wp:inline distT="0" distB="0" distL="114300" distR="114300">
            <wp:extent cx="133350" cy="1524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xmlns:r="http://schemas.openxmlformats.org/officeDocument/2006/relationships" r:embed="rId9"/>
                    <a:stretch>
                      <a:fillRect/>
                    </a:stretch>
                  </pic:blipFill>
                  <pic:spPr>
                    <a:xfrm>
                      <a:off x="0" y="0"/>
                      <a:ext cx="133350" cy="152400"/>
                    </a:xfrm>
                    <a:prstGeom prst="rect">
                      <a:avLst/>
                    </a:prstGeom>
                  </pic:spPr>
                </pic:pic>
              </a:graphicData>
            </a:graphic>
          </wp:inline>
        </w:drawing>
      </w:r>
      <w:r>
        <w:rPr>
          <w:sz w:val="24"/>
          <w:szCs w:val="24"/>
        </w:rPr>
        <w:t xml:space="preserve"> are the means of the two samples, </w:t>
      </w:r>
      <w:r>
        <w:rPr>
          <w:noProof/>
          <w:sz w:val="24"/>
          <w:szCs w:val="24"/>
        </w:rPr>
        <w:drawing>
          <wp:inline distT="0" distB="0" distL="114300" distR="114300">
            <wp:extent cx="120650" cy="1524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10"/>
                    <a:stretch>
                      <a:fillRect/>
                    </a:stretch>
                  </pic:blipFill>
                  <pic:spPr>
                    <a:xfrm>
                      <a:off x="0" y="0"/>
                      <a:ext cx="120650" cy="152400"/>
                    </a:xfrm>
                    <a:prstGeom prst="rect">
                      <a:avLst/>
                    </a:prstGeom>
                  </pic:spPr>
                </pic:pic>
              </a:graphicData>
            </a:graphic>
          </wp:inline>
        </w:drawing>
      </w:r>
      <w:r>
        <w:rPr>
          <w:sz w:val="24"/>
          <w:szCs w:val="24"/>
        </w:rPr>
        <w:t xml:space="preserve"> and </w:t>
      </w:r>
      <w:r>
        <w:rPr>
          <w:noProof/>
          <w:sz w:val="24"/>
          <w:szCs w:val="24"/>
        </w:rPr>
        <w:drawing>
          <wp:inline distT="0" distB="0" distL="114300" distR="114300">
            <wp:extent cx="120650" cy="15240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xmlns:r="http://schemas.openxmlformats.org/officeDocument/2006/relationships" r:embed="rId11"/>
                    <a:stretch>
                      <a:fillRect/>
                    </a:stretch>
                  </pic:blipFill>
                  <pic:spPr>
                    <a:xfrm>
                      <a:off x="0" y="0"/>
                      <a:ext cx="120650" cy="152400"/>
                    </a:xfrm>
                    <a:prstGeom prst="rect">
                      <a:avLst/>
                    </a:prstGeom>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 xml:space="preserve">are the sample sizes. </w:t>
      </w:r>
    </w:p>
    <w:p w:rsidR="00D10A31" w14:paraId="71EBBEF9" w14:textId="77777777">
      <w:pPr>
        <w:rPr>
          <w:sz w:val="24"/>
          <w:szCs w:val="24"/>
        </w:rPr>
      </w:pPr>
    </w:p>
    <w:p w:rsidR="00D10A31" w14:paraId="7C0A41E7" w14:textId="77777777">
      <w:pPr>
        <w:spacing w:after="120"/>
        <w:rPr>
          <w:sz w:val="24"/>
          <w:szCs w:val="24"/>
        </w:rPr>
      </w:pPr>
      <w:r>
        <w:rPr>
          <w:sz w:val="24"/>
          <w:szCs w:val="24"/>
        </w:rPr>
        <w:t xml:space="preserve">The degrees of freedom associated with the </w:t>
      </w:r>
      <w:r>
        <w:rPr>
          <w:i/>
          <w:sz w:val="24"/>
          <w:szCs w:val="24"/>
        </w:rPr>
        <w:t xml:space="preserve">t </w:t>
      </w:r>
      <w:r>
        <w:rPr>
          <w:sz w:val="24"/>
          <w:szCs w:val="24"/>
        </w:rPr>
        <w:t>statistic (assuming unequal variances in the two samples) is calculated as:</w:t>
      </w:r>
    </w:p>
    <w:p w:rsidR="00D10A31" w14:paraId="308F270A" w14:textId="777777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 df= </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1</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1</m:t>
                              </m:r>
                            </m:sub>
                          </m:sSub>
                        </m:den>
                      </m:f>
                      <m:r>
                        <w:rPr>
                          <w:rFonts w:ascii="Cambria Math" w:eastAsia="Cambria Math" w:hAnsi="Cambria Math" w:cs="Cambria Math"/>
                          <w:sz w:val="24"/>
                          <w:szCs w:val="24"/>
                        </w:rPr>
                        <m:t xml:space="preserve"> + </m:t>
                      </m:r>
                      <m:f>
                        <m:fPr>
                          <m:ctrlPr>
                            <w:rPr>
                              <w:rFonts w:ascii="Cambria Math" w:eastAsia="Cambria Math" w:hAnsi="Cambria Math" w:cs="Cambria Math"/>
                              <w:sz w:val="24"/>
                              <w:szCs w:val="24"/>
                            </w:rPr>
                          </m:ctrlPr>
                        </m:fPr>
                        <m:num>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2</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2</m:t>
                              </m:r>
                            </m:sub>
                          </m:sSub>
                        </m:den>
                      </m:f>
                    </m:e>
                  </m:d>
                </m:e>
                <m:sup>
                  <m:r>
                    <w:rPr>
                      <w:rFonts w:ascii="Cambria Math" w:eastAsia="Cambria Math" w:hAnsi="Cambria Math" w:cs="Cambria Math"/>
                      <w:sz w:val="24"/>
                      <w:szCs w:val="24"/>
                    </w:rPr>
                    <m:t>2</m:t>
                  </m:r>
                </m:sup>
              </m:sSup>
            </m:num>
            <m:den>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1</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1</m:t>
                                  </m:r>
                                </m:sub>
                              </m:sSub>
                            </m:den>
                          </m:f>
                        </m:e>
                      </m:d>
                    </m:e>
                    <m:sup>
                      <m:r>
                        <w:rPr>
                          <w:rFonts w:ascii="Cambria Math" w:eastAsia="Cambria Math" w:hAnsi="Cambria Math" w:cs="Cambria Math"/>
                          <w:sz w:val="24"/>
                          <w:szCs w:val="24"/>
                        </w:rPr>
                        <m:t>2</m:t>
                      </m:r>
                    </m:sup>
                  </m:sSup>
                </m:num>
                <m:den>
                  <m:d>
                    <m:dPr>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1</m:t>
                          </m:r>
                        </m:sub>
                      </m:sSub>
                      <m:r>
                        <w:rPr>
                          <w:rFonts w:ascii="Cambria Math" w:eastAsia="Cambria Math" w:hAnsi="Cambria Math" w:cs="Cambria Math"/>
                          <w:sz w:val="24"/>
                          <w:szCs w:val="24"/>
                        </w:rPr>
                        <m:t>- 1</m:t>
                      </m:r>
                    </m:e>
                  </m:d>
                </m:den>
              </m:f>
              <m:r>
                <w:rPr>
                  <w:rFonts w:ascii="Cambria Math" w:eastAsia="Cambria Math" w:hAnsi="Cambria Math" w:cs="Cambria Math"/>
                  <w:sz w:val="24"/>
                  <w:szCs w:val="24"/>
                </w:rPr>
                <m:t xml:space="preserve"> + </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2</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2</m:t>
                                  </m:r>
                                </m:sub>
                              </m:sSub>
                            </m:den>
                          </m:f>
                        </m:e>
                      </m:d>
                    </m:e>
                    <m:sup>
                      <m:r>
                        <w:rPr>
                          <w:rFonts w:ascii="Cambria Math" w:eastAsia="Cambria Math" w:hAnsi="Cambria Math" w:cs="Cambria Math"/>
                          <w:sz w:val="24"/>
                          <w:szCs w:val="24"/>
                        </w:rPr>
                        <m:t>2</m:t>
                      </m:r>
                    </m:sup>
                  </m:sSup>
                </m:num>
                <m:den>
                  <m:d>
                    <m:dPr>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- 1</m:t>
                      </m:r>
                    </m:e>
                  </m:d>
                </m:den>
              </m:f>
              <m:r>
                <w:rPr>
                  <w:rFonts w:ascii="Cambria Math" w:eastAsia="Cambria Math" w:hAnsi="Cambria Math" w:cs="Cambria Math"/>
                  <w:sz w:val="24"/>
                  <w:szCs w:val="24"/>
                </w:rPr>
                <m:t xml:space="preserve"> </m:t>
              </m:r>
            </m:den>
          </m:f>
        </m:oMath>
      </m:oMathPara>
    </w:p>
    <w:p w:rsidR="00D10A31" w14:paraId="7ED988AA" w14:textId="77777777">
      <w:pPr>
        <w:rPr>
          <w:sz w:val="24"/>
          <w:szCs w:val="24"/>
        </w:rPr>
      </w:pPr>
    </w:p>
    <w:p w:rsidR="00D10A31" w14:paraId="7A5CE062" w14:textId="77777777">
      <w:pPr>
        <w:rPr>
          <w:sz w:val="24"/>
          <w:szCs w:val="24"/>
        </w:rPr>
      </w:pPr>
      <w:r>
        <w:rPr>
          <w:sz w:val="24"/>
          <w:szCs w:val="24"/>
        </w:rPr>
        <w:t xml:space="preserve">where: </w:t>
      </w:r>
      <w:r>
        <w:rPr>
          <w:noProof/>
          <w:sz w:val="24"/>
          <w:szCs w:val="24"/>
        </w:rPr>
        <w:drawing>
          <wp:inline distT="0" distB="0" distL="114300" distR="114300">
            <wp:extent cx="133350" cy="1524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8"/>
                    <a:stretch>
                      <a:fillRect/>
                    </a:stretch>
                  </pic:blipFill>
                  <pic:spPr>
                    <a:xfrm>
                      <a:off x="0" y="0"/>
                      <a:ext cx="133350" cy="152400"/>
                    </a:xfrm>
                    <a:prstGeom prst="rect">
                      <a:avLst/>
                    </a:prstGeom>
                  </pic:spPr>
                </pic:pic>
              </a:graphicData>
            </a:graphic>
          </wp:inline>
        </w:drawing>
      </w:r>
      <w:r>
        <w:rPr>
          <w:sz w:val="24"/>
          <w:szCs w:val="24"/>
        </w:rPr>
        <w:t xml:space="preserve"> and </w:t>
      </w:r>
      <w:r>
        <w:rPr>
          <w:noProof/>
          <w:sz w:val="24"/>
          <w:szCs w:val="24"/>
        </w:rPr>
        <w:drawing>
          <wp:inline distT="0" distB="0" distL="114300" distR="114300">
            <wp:extent cx="133350" cy="1524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xmlns:r="http://schemas.openxmlformats.org/officeDocument/2006/relationships" r:embed="rId9"/>
                    <a:stretch>
                      <a:fillRect/>
                    </a:stretch>
                  </pic:blipFill>
                  <pic:spPr>
                    <a:xfrm>
                      <a:off x="0" y="0"/>
                      <a:ext cx="133350" cy="152400"/>
                    </a:xfrm>
                    <a:prstGeom prst="rect">
                      <a:avLst/>
                    </a:prstGeom>
                  </pic:spPr>
                </pic:pic>
              </a:graphicData>
            </a:graphic>
          </wp:inline>
        </w:drawing>
      </w:r>
      <w:r>
        <w:rPr>
          <w:sz w:val="24"/>
          <w:szCs w:val="24"/>
        </w:rPr>
        <w:t xml:space="preserve"> are the means of the two samples, </w:t>
      </w:r>
      <w:r>
        <w:rPr>
          <w:noProof/>
          <w:sz w:val="24"/>
          <w:szCs w:val="24"/>
        </w:rPr>
        <w:drawing>
          <wp:inline distT="0" distB="0" distL="114300" distR="114300">
            <wp:extent cx="120650" cy="1524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xmlns:r="http://schemas.openxmlformats.org/officeDocument/2006/relationships" r:embed="rId10"/>
                    <a:stretch>
                      <a:fillRect/>
                    </a:stretch>
                  </pic:blipFill>
                  <pic:spPr>
                    <a:xfrm>
                      <a:off x="0" y="0"/>
                      <a:ext cx="120650" cy="152400"/>
                    </a:xfrm>
                    <a:prstGeom prst="rect">
                      <a:avLst/>
                    </a:prstGeom>
                  </pic:spPr>
                </pic:pic>
              </a:graphicData>
            </a:graphic>
          </wp:inline>
        </w:drawing>
      </w:r>
      <w:r>
        <w:rPr>
          <w:sz w:val="24"/>
          <w:szCs w:val="24"/>
        </w:rPr>
        <w:t xml:space="preserve"> and </w:t>
      </w:r>
      <w:r>
        <w:rPr>
          <w:noProof/>
          <w:sz w:val="24"/>
          <w:szCs w:val="24"/>
        </w:rPr>
        <w:drawing>
          <wp:inline distT="0" distB="0" distL="114300" distR="114300">
            <wp:extent cx="120650" cy="1524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xmlns:r="http://schemas.openxmlformats.org/officeDocument/2006/relationships" r:embed="rId11"/>
                    <a:stretch>
                      <a:fillRect/>
                    </a:stretch>
                  </pic:blipFill>
                  <pic:spPr>
                    <a:xfrm>
                      <a:off x="0" y="0"/>
                      <a:ext cx="120650" cy="152400"/>
                    </a:xfrm>
                    <a:prstGeom prst="rect">
                      <a:avLst/>
                    </a:prstGeom>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are the sample sizes.</w:t>
      </w:r>
    </w:p>
    <w:p w:rsidR="00D10A31" w14:paraId="58190EE7" w14:textId="77777777">
      <w:pPr>
        <w:rPr>
          <w:sz w:val="24"/>
          <w:szCs w:val="24"/>
        </w:rPr>
      </w:pPr>
    </w:p>
    <w:p w:rsidR="00D10A31" w14:paraId="545DA522" w14:textId="77777777">
      <w:pPr>
        <w:rPr>
          <w:sz w:val="24"/>
          <w:szCs w:val="24"/>
        </w:rPr>
      </w:pPr>
      <w:r>
        <w:rPr>
          <w:b/>
          <w:sz w:val="24"/>
          <w:szCs w:val="24"/>
        </w:rPr>
        <w:t>One-way Analysis of Variance (ANOVA)</w:t>
      </w:r>
      <w:r>
        <w:rPr>
          <w:sz w:val="24"/>
          <w:szCs w:val="24"/>
        </w:rPr>
        <w:t xml:space="preserve"> </w:t>
      </w:r>
    </w:p>
    <w:p w:rsidR="00D10A31" w14:paraId="2794F4CD" w14:textId="77777777">
      <w:pPr>
        <w:rPr>
          <w:sz w:val="24"/>
          <w:szCs w:val="24"/>
        </w:rPr>
      </w:pPr>
      <w:r>
        <w:rPr>
          <w:sz w:val="24"/>
          <w:szCs w:val="24"/>
        </w:rPr>
        <w:t xml:space="preserve">One-way analysis of variance (ANOVA) will test mean scores for statistically significant differences between sub-groups for each relevant question. If there are statistically significant differences, Tukey’s post-hoc tests will assess pairwise differences between each sub-group. The strength of the relationship or the effect size statistic will also be estimated (Rosenthal, 1994; Rosenthal, </w:t>
      </w:r>
      <w:r>
        <w:rPr>
          <w:sz w:val="24"/>
          <w:szCs w:val="24"/>
        </w:rPr>
        <w:t>Rosnow</w:t>
      </w:r>
      <w:r>
        <w:rPr>
          <w:sz w:val="24"/>
          <w:szCs w:val="24"/>
        </w:rPr>
        <w:t>, &amp; Rubin, 2000). For example, an ANOVA could test mean perception (Q9) scores for statistically significant differences between divers, anglers, and general participation in coastal recreation activities (Q1). If there are significant differences, Tukey’s post-hoc tests will assess pairwise differences between each sub-group.</w:t>
      </w:r>
      <w:r>
        <w:t xml:space="preserve"> </w:t>
      </w:r>
      <w:r>
        <w:rPr>
          <w:sz w:val="24"/>
          <w:szCs w:val="24"/>
        </w:rPr>
        <w:t xml:space="preserve">This type of information on different user groups could inform local jurisdictional management on differing social values or motivations, and how to target communication and outreach to stakeholder groups (Loomis et al., 2008a, 2008b, 2008c; Petty &amp; Cacioppo, 1986). </w:t>
      </w:r>
    </w:p>
    <w:p w:rsidR="00D10A31" w14:paraId="18802215" w14:textId="77777777">
      <w:pPr>
        <w:rPr>
          <w:sz w:val="24"/>
          <w:szCs w:val="24"/>
        </w:rPr>
      </w:pPr>
    </w:p>
    <w:p w:rsidR="00D10A31" w14:paraId="06A84FA8" w14:textId="77777777">
      <w:pPr>
        <w:rPr>
          <w:sz w:val="24"/>
          <w:szCs w:val="24"/>
        </w:rPr>
      </w:pPr>
      <w:r>
        <w:rPr>
          <w:b/>
          <w:sz w:val="24"/>
          <w:szCs w:val="24"/>
        </w:rPr>
        <w:t>Regressions</w:t>
      </w:r>
    </w:p>
    <w:p w:rsidR="00D10A31" w14:paraId="02049336" w14:textId="77777777">
      <w:pPr>
        <w:rPr>
          <w:sz w:val="24"/>
          <w:szCs w:val="24"/>
        </w:rPr>
      </w:pPr>
      <w:r>
        <w:rPr>
          <w:sz w:val="24"/>
          <w:szCs w:val="24"/>
        </w:rPr>
        <w:t xml:space="preserve">Multiple Regression is one example of a test that could be used to examine the effects of independent variables (e.g., values, perceptions, and attitudes) on a dependent variable (e.g., </w:t>
      </w:r>
      <w:r>
        <w:rPr>
          <w:sz w:val="24"/>
          <w:szCs w:val="24"/>
        </w:rPr>
        <w:t>participation in pro-environmental behavior). This type of analysis could show the links between these constructs that are grounded in the theory of planned behavior (Ajzen &amp; Fishbein, 1980) and cognitive hierarchy (</w:t>
      </w:r>
      <w:r>
        <w:rPr>
          <w:sz w:val="24"/>
          <w:szCs w:val="24"/>
        </w:rPr>
        <w:t>Vaske</w:t>
      </w:r>
      <w:r>
        <w:rPr>
          <w:sz w:val="24"/>
          <w:szCs w:val="24"/>
        </w:rPr>
        <w:t xml:space="preserve"> &amp; Donnelly, 1999). The basic regression model is:</w:t>
      </w:r>
    </w:p>
    <w:p w:rsidR="00D10A31" w14:paraId="0490346B" w14:textId="77777777">
      <w:pPr>
        <w:jc w:val="center"/>
        <w:rPr>
          <w:sz w:val="24"/>
          <w:szCs w:val="24"/>
        </w:rPr>
      </w:pPr>
    </w:p>
    <w:p w:rsidR="00D10A31" w14:paraId="2B37B063" w14:textId="77777777">
      <w:pPr>
        <w:jc w:val="center"/>
        <w:rPr>
          <w:rFonts w:ascii="Cambria Math" w:eastAsia="Cambria Math" w:hAnsi="Cambria Math" w:cs="Cambria Math"/>
        </w:rPr>
      </w:pPr>
      <m:oMathPara>
        <m:oMath>
          <m:acc>
            <m:accPr>
              <m:ctrlPr>
                <w:rPr>
                  <w:rFonts w:ascii="Cambria Math" w:eastAsia="Cambria Math" w:hAnsi="Cambria Math" w:cs="Cambria Math"/>
                </w:rPr>
              </m:ctrlPr>
            </m:accPr>
            <m:e>
              <m:r>
                <w:rPr>
                  <w:rFonts w:ascii="Cambria Math" w:eastAsia="Cambria Math" w:hAnsi="Cambria Math" w:cs="Cambria Math"/>
                </w:rPr>
                <m:t>Y</m:t>
              </m:r>
            </m:e>
          </m:acc>
          <m:r>
            <w:rPr>
              <w:rFonts w:ascii="Cambria Math" w:eastAsia="Cambria Math" w:hAnsi="Cambria Math" w:cs="Cambria Math"/>
            </w:rPr>
            <m:t>=a+</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1</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2</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2</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p</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p</m:t>
              </m:r>
            </m:sub>
          </m:sSub>
          <m:r>
            <w:rPr>
              <w:rFonts w:ascii="Cambria Math" w:eastAsia="Cambria Math" w:hAnsi="Cambria Math" w:cs="Cambria Math"/>
            </w:rPr>
            <m:t>+ε</m:t>
          </m:r>
        </m:oMath>
      </m:oMathPara>
    </w:p>
    <w:p w:rsidR="00D10A31" w14:paraId="12768353" w14:textId="77777777">
      <w:pPr>
        <w:rPr>
          <w:sz w:val="24"/>
          <w:szCs w:val="24"/>
        </w:rPr>
      </w:pPr>
    </w:p>
    <w:p w:rsidR="00D10A31" w14:paraId="6798C8AD" w14:textId="77777777">
      <w:pPr>
        <w:rPr>
          <w:sz w:val="24"/>
          <w:szCs w:val="24"/>
        </w:rPr>
      </w:pPr>
      <w:r>
        <w:rPr>
          <w:sz w:val="24"/>
          <w:szCs w:val="24"/>
        </w:rPr>
        <w:t xml:space="preserve">where: </w:t>
      </w:r>
      <w:r>
        <w:rPr>
          <w:noProof/>
          <w:sz w:val="24"/>
          <w:szCs w:val="24"/>
        </w:rPr>
        <w:drawing>
          <wp:inline distT="0" distB="0" distL="114300" distR="114300">
            <wp:extent cx="82550" cy="158750"/>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12"/>
                    <a:stretch>
                      <a:fillRect/>
                    </a:stretch>
                  </pic:blipFill>
                  <pic:spPr>
                    <a:xfrm>
                      <a:off x="0" y="0"/>
                      <a:ext cx="82550" cy="158750"/>
                    </a:xfrm>
                    <a:prstGeom prst="rect">
                      <a:avLst/>
                    </a:prstGeom>
                  </pic:spPr>
                </pic:pic>
              </a:graphicData>
            </a:graphic>
          </wp:inline>
        </w:drawing>
      </w:r>
      <w:r>
        <w:rPr>
          <w:sz w:val="24"/>
          <w:szCs w:val="24"/>
        </w:rPr>
        <w:t xml:space="preserve"> = the predicted value of the dependent variable,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 </w:t>
      </w:r>
      <w:r>
        <w:rPr>
          <w:i/>
          <w:sz w:val="24"/>
          <w:szCs w:val="24"/>
        </w:rPr>
        <w:t>p</w:t>
      </w:r>
      <w:r>
        <w:rPr>
          <w:sz w:val="24"/>
          <w:szCs w:val="24"/>
        </w:rPr>
        <w:t xml:space="preserve"> distinct independent or predictor variables, </w:t>
      </w:r>
      <w:r>
        <w:rPr>
          <w:i/>
          <w:sz w:val="24"/>
          <w:szCs w:val="24"/>
        </w:rPr>
        <w:t>a</w:t>
      </w:r>
      <w:r>
        <w:rPr>
          <w:sz w:val="24"/>
          <w:szCs w:val="24"/>
        </w:rPr>
        <w:t xml:space="preserve"> = the value of </w:t>
      </w:r>
      <w:r>
        <w:rPr>
          <w:i/>
          <w:sz w:val="24"/>
          <w:szCs w:val="24"/>
        </w:rPr>
        <w:t>Y</w:t>
      </w:r>
      <w:r>
        <w:rPr>
          <w:sz w:val="24"/>
          <w:szCs w:val="24"/>
        </w:rPr>
        <w:t xml:space="preserve"> when all of the independent variables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are equal to zero, </w:t>
      </w:r>
      <w:r>
        <w:rPr>
          <w:i/>
          <w:sz w:val="24"/>
          <w:szCs w:val="24"/>
        </w:rPr>
        <w:t>b</w:t>
      </w:r>
      <w:r>
        <w:rPr>
          <w:i/>
          <w:sz w:val="24"/>
          <w:szCs w:val="24"/>
          <w:vertAlign w:val="subscript"/>
        </w:rPr>
        <w:t>1</w:t>
      </w:r>
      <w:r>
        <w:rPr>
          <w:sz w:val="24"/>
          <w:szCs w:val="24"/>
        </w:rPr>
        <w:t xml:space="preserve"> through </w:t>
      </w:r>
      <w:r>
        <w:rPr>
          <w:i/>
          <w:sz w:val="24"/>
          <w:szCs w:val="24"/>
        </w:rPr>
        <w:t>b</w:t>
      </w:r>
      <w:r>
        <w:rPr>
          <w:i/>
          <w:sz w:val="24"/>
          <w:szCs w:val="24"/>
          <w:vertAlign w:val="subscript"/>
        </w:rPr>
        <w:t>p</w:t>
      </w:r>
      <w:r>
        <w:rPr>
          <w:sz w:val="24"/>
          <w:szCs w:val="24"/>
        </w:rPr>
        <w:t xml:space="preserve"> = the estimated regression coefficients, and </w:t>
      </w:r>
      <w:r>
        <w:rPr>
          <w:i/>
          <w:sz w:val="24"/>
          <w:szCs w:val="24"/>
        </w:rPr>
        <w:t>ε</w:t>
      </w:r>
      <w:r>
        <w:rPr>
          <w:sz w:val="24"/>
          <w:szCs w:val="24"/>
        </w:rPr>
        <w:t xml:space="preserve"> = the error term.</w:t>
      </w:r>
    </w:p>
    <w:p w:rsidR="00D10A31" w14:paraId="6B577BE9" w14:textId="77777777">
      <w:pPr>
        <w:rPr>
          <w:sz w:val="24"/>
          <w:szCs w:val="24"/>
        </w:rPr>
      </w:pPr>
      <w:r>
        <w:rPr>
          <w:sz w:val="24"/>
          <w:szCs w:val="24"/>
        </w:rPr>
        <w:t xml:space="preserve">Other models, such as Poisson or Negative Binomial models, may also be used depending on the types of variables (categorical, binomial, or continuous) and how they are measured, and what information is needed. </w:t>
      </w:r>
    </w:p>
    <w:p w:rsidR="00D10A31" w14:paraId="163980C0" w14:textId="77777777">
      <w:pPr>
        <w:rPr>
          <w:sz w:val="24"/>
          <w:szCs w:val="24"/>
        </w:rPr>
      </w:pPr>
    </w:p>
    <w:p w:rsidR="00D10A31" w14:paraId="370CF6D4" w14:textId="77777777">
      <w:pPr>
        <w:widowControl/>
        <w:pBdr>
          <w:top w:val="nil"/>
          <w:left w:val="nil"/>
          <w:bottom w:val="nil"/>
          <w:right w:val="nil"/>
          <w:between w:val="nil"/>
        </w:pBdr>
        <w:rPr>
          <w:color w:val="000000"/>
          <w:sz w:val="24"/>
          <w:szCs w:val="24"/>
        </w:rPr>
      </w:pPr>
      <w:r>
        <w:rPr>
          <w:b/>
          <w:color w:val="000000"/>
          <w:sz w:val="24"/>
          <w:szCs w:val="24"/>
        </w:rPr>
        <w:t>Indicator Scores</w:t>
      </w:r>
    </w:p>
    <w:p w:rsidR="00D10A31" w14:paraId="0765FBE2" w14:textId="77777777">
      <w:pPr>
        <w:widowControl/>
        <w:pBdr>
          <w:top w:val="nil"/>
          <w:left w:val="nil"/>
          <w:bottom w:val="nil"/>
          <w:right w:val="nil"/>
          <w:between w:val="nil"/>
        </w:pBdr>
        <w:rPr>
          <w:color w:val="000000"/>
          <w:sz w:val="24"/>
          <w:szCs w:val="24"/>
        </w:rPr>
      </w:pPr>
      <w:r>
        <w:rPr>
          <w:color w:val="000000"/>
          <w:sz w:val="24"/>
          <w:szCs w:val="24"/>
        </w:rPr>
        <w:t>Finally, the data will be used to measure pre-defined indicators of human use of coral reef resources, knowledge, attitudes, and perceptions of coral reefs and management. Indicator scores will be calculated based on indices developed for each indicator component (grouped survey questions). There are several different ways to create an index, but the most appropriate method will depend on how the component was measured and the types of variables used. For example, Q11 could be used to develop an overall index of reef importance to ecosystem services. The index could be derived by adding up responses to the seven items asked in Q11, respectively, then normalizing to a 0-100 scale using the minimum-maximum scaling method defined by the following equation:</w:t>
      </w:r>
    </w:p>
    <w:p w:rsidR="00D10A31" w14:paraId="6E7CD0E9" w14:textId="77777777">
      <w:pPr>
        <w:widowControl/>
        <w:pBdr>
          <w:top w:val="nil"/>
          <w:left w:val="nil"/>
          <w:bottom w:val="nil"/>
          <w:right w:val="nil"/>
          <w:between w:val="nil"/>
        </w:pBdr>
        <w:jc w:val="center"/>
        <w:rPr>
          <w:color w:val="000000"/>
          <w:sz w:val="24"/>
          <w:szCs w:val="24"/>
        </w:rPr>
      </w:pPr>
      <w:r>
        <w:rPr>
          <w:noProof/>
          <w:color w:val="000000"/>
          <w:sz w:val="24"/>
          <w:szCs w:val="24"/>
        </w:rPr>
        <w:drawing>
          <wp:inline distT="0" distB="0" distL="114300" distR="114300">
            <wp:extent cx="1193800" cy="488950"/>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13" name="image9.png"/>
                    <pic:cNvPicPr/>
                  </pic:nvPicPr>
                  <pic:blipFill>
                    <a:blip xmlns:r="http://schemas.openxmlformats.org/officeDocument/2006/relationships" r:embed="rId13"/>
                    <a:stretch>
                      <a:fillRect/>
                    </a:stretch>
                  </pic:blipFill>
                  <pic:spPr>
                    <a:xfrm>
                      <a:off x="0" y="0"/>
                      <a:ext cx="1193800" cy="488950"/>
                    </a:xfrm>
                    <a:prstGeom prst="rect">
                      <a:avLst/>
                    </a:prstGeom>
                  </pic:spPr>
                </pic:pic>
              </a:graphicData>
            </a:graphic>
          </wp:inline>
        </w:drawing>
      </w:r>
    </w:p>
    <w:p w:rsidR="00D10A31" w14:paraId="4567633F" w14:textId="77777777">
      <w:pPr>
        <w:widowControl/>
        <w:pBdr>
          <w:top w:val="nil"/>
          <w:left w:val="nil"/>
          <w:bottom w:val="nil"/>
          <w:right w:val="nil"/>
          <w:between w:val="nil"/>
        </w:pBdr>
        <w:spacing w:after="240"/>
        <w:rPr>
          <w:color w:val="000000"/>
          <w:sz w:val="24"/>
          <w:szCs w:val="24"/>
        </w:rPr>
      </w:pPr>
      <w:r>
        <w:rPr>
          <w:color w:val="000000"/>
          <w:sz w:val="24"/>
          <w:szCs w:val="24"/>
        </w:rPr>
        <w:t xml:space="preserve">where: </w:t>
      </w:r>
      <w:r>
        <w:rPr>
          <w:i/>
          <w:color w:val="000000"/>
          <w:sz w:val="24"/>
          <w:szCs w:val="24"/>
        </w:rPr>
        <w:t xml:space="preserve">x </w:t>
      </w:r>
      <w:r>
        <w:rPr>
          <w:color w:val="000000"/>
          <w:sz w:val="24"/>
          <w:szCs w:val="24"/>
        </w:rPr>
        <w:t xml:space="preserve">is the value of a given variable, </w:t>
      </w:r>
      <w:r>
        <w:rPr>
          <w:i/>
          <w:color w:val="000000"/>
          <w:sz w:val="24"/>
          <w:szCs w:val="24"/>
        </w:rPr>
        <w:t>min</w:t>
      </w:r>
      <w:r>
        <w:rPr>
          <w:color w:val="000000"/>
          <w:sz w:val="24"/>
          <w:szCs w:val="24"/>
        </w:rPr>
        <w:t xml:space="preserve"> is the minimum value in the distribution, and </w:t>
      </w:r>
      <w:r>
        <w:rPr>
          <w:i/>
          <w:color w:val="000000"/>
          <w:sz w:val="24"/>
          <w:szCs w:val="24"/>
        </w:rPr>
        <w:t>max</w:t>
      </w:r>
      <w:r>
        <w:rPr>
          <w:color w:val="000000"/>
          <w:sz w:val="24"/>
          <w:szCs w:val="24"/>
        </w:rPr>
        <w:t xml:space="preserve"> is the maximum value in the distribution. </w:t>
      </w:r>
    </w:p>
    <w:p w:rsidR="00D10A31" w14:paraId="2A57313E" w14:textId="77777777">
      <w:pPr>
        <w:widowControl/>
        <w:pBdr>
          <w:top w:val="nil"/>
          <w:left w:val="nil"/>
          <w:bottom w:val="nil"/>
          <w:right w:val="nil"/>
          <w:between w:val="nil"/>
        </w:pBdr>
        <w:spacing w:after="240"/>
        <w:rPr>
          <w:color w:val="000000"/>
          <w:sz w:val="24"/>
          <w:szCs w:val="24"/>
        </w:rPr>
      </w:pPr>
      <w:bookmarkStart w:id="17" w:name="_44sinio" w:colFirst="0" w:colLast="0"/>
      <w:bookmarkEnd w:id="17"/>
      <w:r>
        <w:rPr>
          <w:color w:val="000000"/>
          <w:sz w:val="24"/>
          <w:szCs w:val="24"/>
        </w:rPr>
        <w:t>Per indicator development following the first round of NCRMP monitoring, a respondent needed to have answered every question contained in the index to receive an index value and answers of “not sure” are considered missing when constructing the additive index (</w:t>
      </w:r>
      <w:r>
        <w:rPr>
          <w:color w:val="000000"/>
          <w:sz w:val="24"/>
          <w:szCs w:val="24"/>
        </w:rPr>
        <w:t>Abt</w:t>
      </w:r>
      <w:r>
        <w:rPr>
          <w:color w:val="000000"/>
          <w:sz w:val="24"/>
          <w:szCs w:val="24"/>
        </w:rPr>
        <w:t xml:space="preserve"> Assoc., 2019). The average indicator value is then calculated. </w:t>
      </w:r>
      <w:r>
        <w:rPr>
          <w:color w:val="000000"/>
          <w:sz w:val="24"/>
          <w:szCs w:val="24"/>
          <w:vertAlign w:val="superscript"/>
        </w:rPr>
        <w:footnoteReference w:id="9"/>
      </w:r>
      <w:r>
        <w:rPr>
          <w:color w:val="000000"/>
          <w:sz w:val="24"/>
          <w:szCs w:val="24"/>
        </w:rPr>
        <w:t xml:space="preserve"> At the end of every monitoring cycle, primary and secondary data will be used in combination to update the scores of the 13 socioeconomic indicators for NCRMP. The secondary data analysis plan can be found in the 2019 Indicator Development Report.</w:t>
      </w:r>
    </w:p>
    <w:p w:rsidR="00D10A31" w14:paraId="6E08EAB1" w14:textId="77777777">
      <w:pPr>
        <w:pStyle w:val="Heading2"/>
        <w:spacing w:before="280"/>
      </w:pPr>
      <w:r>
        <w:t>5.  Provide the name and telephone number of individuals consulted on the statistical aspects of the design, and the name of the agency unit, contractor(s), grantee(s), or other person(s) who will actually collect and/or analyze the information for the agency.</w:t>
      </w:r>
    </w:p>
    <w:p w:rsidR="00D10A31" w14:paraId="672079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C72F4" w14:paraId="027A69BE" w14:textId="2D3748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Individuals consulted on the statistical aspects of the design: </w:t>
      </w:r>
    </w:p>
    <w:p w:rsidR="00D10A31" w14:paraId="413950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 English, Ph.D.</w:t>
      </w:r>
    </w:p>
    <w:p w:rsidR="00D10A31" w14:paraId="4ED8C1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National Visitor Use Monitoring Program Manager</w:t>
      </w:r>
    </w:p>
    <w:p w:rsidR="00D10A31" w14:paraId="6C8933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USDA Forest Service</w:t>
      </w:r>
    </w:p>
    <w:p w:rsidR="00D10A31" w14:paraId="669AD1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202-205-9595</w:t>
      </w:r>
    </w:p>
    <w:p w:rsidR="00D10A31" w14:paraId="5C6EE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Don.English@usda.gov</w:t>
      </w:r>
    </w:p>
    <w:p w:rsidR="00D10A31" w14:paraId="252FF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D10A31" w14:paraId="3D24853C" w14:textId="77777777">
      <w:pPr>
        <w:rPr>
          <w:sz w:val="24"/>
          <w:szCs w:val="24"/>
        </w:rPr>
      </w:pPr>
      <w:r>
        <w:rPr>
          <w:sz w:val="24"/>
          <w:szCs w:val="24"/>
        </w:rPr>
        <w:t xml:space="preserve">Mary Allen and Chloe Fleming will supervise data collection, with Sarah </w:t>
      </w:r>
      <w:r>
        <w:rPr>
          <w:sz w:val="24"/>
          <w:szCs w:val="24"/>
        </w:rPr>
        <w:t>Gonyo</w:t>
      </w:r>
      <w:r>
        <w:rPr>
          <w:sz w:val="24"/>
          <w:szCs w:val="24"/>
        </w:rPr>
        <w:t xml:space="preserve"> serving as a statistical consultant. Survey vendors will be secured prior to start of each jurisdiction’s data collection and have not yet been assigned. Data analysis will be completed by Amanda Alva.</w:t>
      </w:r>
    </w:p>
    <w:p w:rsidR="00D10A31" w14:paraId="3D181408" w14:textId="77777777">
      <w:pPr>
        <w:rPr>
          <w:sz w:val="24"/>
          <w:szCs w:val="24"/>
        </w:rPr>
      </w:pPr>
    </w:p>
    <w:p w:rsidR="00D10A31" w14:paraId="5FC54A73" w14:textId="77777777">
      <w:pPr>
        <w:rPr>
          <w:color w:val="000000"/>
          <w:sz w:val="24"/>
          <w:szCs w:val="24"/>
        </w:rPr>
      </w:pPr>
      <w:r>
        <w:rPr>
          <w:color w:val="000000"/>
          <w:sz w:val="24"/>
          <w:szCs w:val="24"/>
        </w:rPr>
        <w:t>Mary Allen, Ph.D.</w:t>
      </w:r>
    </w:p>
    <w:p w:rsidR="00D10A31" w14:paraId="2EC60BEC" w14:textId="77777777">
      <w:pPr>
        <w:rPr>
          <w:color w:val="000000"/>
          <w:sz w:val="24"/>
          <w:szCs w:val="24"/>
        </w:rPr>
      </w:pPr>
      <w:r>
        <w:rPr>
          <w:color w:val="000000"/>
          <w:sz w:val="24"/>
          <w:szCs w:val="24"/>
        </w:rPr>
        <w:t xml:space="preserve">Socioeconomics Coordinator </w:t>
      </w:r>
    </w:p>
    <w:p w:rsidR="00D10A31" w14:paraId="7EC43705" w14:textId="77777777">
      <w:pPr>
        <w:rPr>
          <w:color w:val="000000"/>
          <w:sz w:val="24"/>
          <w:szCs w:val="24"/>
        </w:rPr>
      </w:pPr>
      <w:r>
        <w:rPr>
          <w:color w:val="000000"/>
          <w:sz w:val="24"/>
          <w:szCs w:val="24"/>
        </w:rPr>
        <w:t xml:space="preserve">Lynker, under contract to NOAA </w:t>
      </w:r>
    </w:p>
    <w:p w:rsidR="00D10A31" w14:paraId="487FB64C" w14:textId="77777777">
      <w:pPr>
        <w:rPr>
          <w:color w:val="000000"/>
          <w:sz w:val="24"/>
          <w:szCs w:val="24"/>
        </w:rPr>
      </w:pPr>
      <w:r>
        <w:rPr>
          <w:color w:val="000000"/>
          <w:sz w:val="24"/>
          <w:szCs w:val="24"/>
        </w:rPr>
        <w:t xml:space="preserve">Coral Reef Conservation Program </w:t>
      </w:r>
    </w:p>
    <w:p w:rsidR="00D10A31" w14:paraId="668168A2" w14:textId="77777777">
      <w:pPr>
        <w:rPr>
          <w:color w:val="000000"/>
          <w:sz w:val="24"/>
          <w:szCs w:val="24"/>
        </w:rPr>
      </w:pPr>
      <w:r>
        <w:rPr>
          <w:color w:val="000000"/>
          <w:sz w:val="24"/>
          <w:szCs w:val="24"/>
        </w:rPr>
        <w:t>NOAA National Ocean Service, Office for Coastal Management</w:t>
      </w:r>
    </w:p>
    <w:p w:rsidR="00D10A31" w14:paraId="0D9805B1" w14:textId="77777777">
      <w:pPr>
        <w:rPr>
          <w:color w:val="000000"/>
          <w:sz w:val="24"/>
          <w:szCs w:val="24"/>
        </w:rPr>
      </w:pPr>
      <w:r>
        <w:rPr>
          <w:color w:val="000000"/>
          <w:sz w:val="24"/>
          <w:szCs w:val="24"/>
        </w:rPr>
        <w:t>1305 East West Highway</w:t>
      </w:r>
    </w:p>
    <w:p w:rsidR="00D10A31" w14:paraId="1C1F0DED" w14:textId="77777777">
      <w:pPr>
        <w:rPr>
          <w:color w:val="000000"/>
          <w:sz w:val="24"/>
          <w:szCs w:val="24"/>
        </w:rPr>
      </w:pPr>
      <w:r>
        <w:rPr>
          <w:color w:val="000000"/>
          <w:sz w:val="24"/>
          <w:szCs w:val="24"/>
        </w:rPr>
        <w:t>Silver Spring, MD, 20910</w:t>
      </w:r>
    </w:p>
    <w:p w:rsidR="00D10A31" w14:paraId="6E660088" w14:textId="77777777">
      <w:pPr>
        <w:rPr>
          <w:color w:val="000000"/>
          <w:sz w:val="24"/>
          <w:szCs w:val="24"/>
        </w:rPr>
      </w:pPr>
      <w:r>
        <w:rPr>
          <w:color w:val="000000"/>
          <w:sz w:val="24"/>
          <w:szCs w:val="24"/>
        </w:rPr>
        <w:t>240-528-8151 </w:t>
      </w:r>
    </w:p>
    <w:p w:rsidR="00D10A31" w14:paraId="5A2F4D87" w14:textId="77777777">
      <w:pPr>
        <w:rPr>
          <w:sz w:val="24"/>
          <w:szCs w:val="24"/>
        </w:rPr>
      </w:pPr>
      <w:r>
        <w:rPr>
          <w:sz w:val="24"/>
          <w:szCs w:val="24"/>
        </w:rPr>
        <w:t>Mary.Allen@noaa.gov</w:t>
      </w:r>
    </w:p>
    <w:p w:rsidR="00D10A31" w14:paraId="63BE1213" w14:textId="77777777">
      <w:pPr>
        <w:rPr>
          <w:sz w:val="24"/>
          <w:szCs w:val="24"/>
        </w:rPr>
      </w:pPr>
    </w:p>
    <w:p w:rsidR="00D10A31" w14:paraId="0DC86189" w14:textId="77777777">
      <w:pPr>
        <w:rPr>
          <w:sz w:val="24"/>
          <w:szCs w:val="24"/>
        </w:rPr>
      </w:pPr>
      <w:r>
        <w:rPr>
          <w:sz w:val="24"/>
          <w:szCs w:val="24"/>
        </w:rPr>
        <w:t>Chloe Fleming, MPS</w:t>
      </w:r>
    </w:p>
    <w:p w:rsidR="00D10A31" w14:paraId="5B527732" w14:textId="77777777">
      <w:pPr>
        <w:rPr>
          <w:sz w:val="24"/>
          <w:szCs w:val="24"/>
        </w:rPr>
      </w:pPr>
      <w:r>
        <w:rPr>
          <w:sz w:val="24"/>
          <w:szCs w:val="24"/>
        </w:rPr>
        <w:t>Coastal and Marine Social Scientist &amp; Policy Specialist</w:t>
      </w:r>
    </w:p>
    <w:p w:rsidR="00D10A31" w14:paraId="05B39C5F" w14:textId="77777777">
      <w:pPr>
        <w:rPr>
          <w:sz w:val="24"/>
          <w:szCs w:val="24"/>
        </w:rPr>
      </w:pPr>
      <w:r>
        <w:rPr>
          <w:sz w:val="24"/>
          <w:szCs w:val="24"/>
        </w:rPr>
        <w:t>CSS, under contract to NOAA</w:t>
      </w:r>
    </w:p>
    <w:p w:rsidR="00D10A31" w14:paraId="5682AEDE" w14:textId="77777777">
      <w:pPr>
        <w:rPr>
          <w:sz w:val="24"/>
          <w:szCs w:val="24"/>
        </w:rPr>
      </w:pPr>
      <w:r>
        <w:rPr>
          <w:sz w:val="24"/>
          <w:szCs w:val="24"/>
        </w:rPr>
        <w:t>NOAA National Ocean Service, National Centers for Coastal Ocean Science</w:t>
      </w:r>
    </w:p>
    <w:p w:rsidR="00D10A31" w14:paraId="6E7B69FD" w14:textId="77777777">
      <w:pPr>
        <w:rPr>
          <w:sz w:val="24"/>
          <w:szCs w:val="24"/>
        </w:rPr>
      </w:pPr>
      <w:r>
        <w:rPr>
          <w:sz w:val="24"/>
          <w:szCs w:val="24"/>
        </w:rPr>
        <w:t>Hollings Marine Laboratory</w:t>
      </w:r>
    </w:p>
    <w:p w:rsidR="00D10A31" w14:paraId="0F9E0BF8" w14:textId="77777777">
      <w:pPr>
        <w:rPr>
          <w:sz w:val="24"/>
          <w:szCs w:val="24"/>
        </w:rPr>
      </w:pPr>
      <w:r>
        <w:rPr>
          <w:sz w:val="24"/>
          <w:szCs w:val="24"/>
        </w:rPr>
        <w:t>Charleston, SC</w:t>
      </w:r>
    </w:p>
    <w:p w:rsidR="00D10A31" w14:paraId="3D3DE2B7" w14:textId="77777777">
      <w:pPr>
        <w:rPr>
          <w:sz w:val="24"/>
          <w:szCs w:val="24"/>
        </w:rPr>
      </w:pPr>
      <w:r>
        <w:rPr>
          <w:sz w:val="24"/>
          <w:szCs w:val="24"/>
        </w:rPr>
        <w:t>843-481-0445</w:t>
      </w:r>
    </w:p>
    <w:p w:rsidR="00D10A31" w14:paraId="0A2F541C" w14:textId="77777777">
      <w:pPr>
        <w:rPr>
          <w:sz w:val="24"/>
          <w:szCs w:val="24"/>
        </w:rPr>
      </w:pPr>
      <w:r>
        <w:rPr>
          <w:sz w:val="24"/>
          <w:szCs w:val="24"/>
        </w:rPr>
        <w:t>Chloe.Fleming@noaa.gov</w:t>
      </w:r>
    </w:p>
    <w:p w:rsidR="00D10A31" w14:paraId="54BA708A" w14:textId="77777777">
      <w:pPr>
        <w:rPr>
          <w:sz w:val="24"/>
          <w:szCs w:val="24"/>
        </w:rPr>
      </w:pPr>
    </w:p>
    <w:p w:rsidR="00D10A31" w14:paraId="0F7C4B15" w14:textId="77777777">
      <w:pPr>
        <w:rPr>
          <w:sz w:val="24"/>
          <w:szCs w:val="24"/>
        </w:rPr>
      </w:pPr>
      <w:r>
        <w:rPr>
          <w:sz w:val="24"/>
          <w:szCs w:val="24"/>
        </w:rPr>
        <w:t xml:space="preserve">Sarah </w:t>
      </w:r>
      <w:r>
        <w:rPr>
          <w:sz w:val="24"/>
          <w:szCs w:val="24"/>
        </w:rPr>
        <w:t>Gonyo</w:t>
      </w:r>
      <w:r>
        <w:rPr>
          <w:sz w:val="24"/>
          <w:szCs w:val="24"/>
        </w:rPr>
        <w:t>, Ph.D.</w:t>
      </w:r>
    </w:p>
    <w:p w:rsidR="00D10A31" w14:paraId="2E591C27" w14:textId="77777777">
      <w:pPr>
        <w:rPr>
          <w:sz w:val="24"/>
          <w:szCs w:val="24"/>
        </w:rPr>
      </w:pPr>
      <w:r>
        <w:rPr>
          <w:sz w:val="24"/>
          <w:szCs w:val="24"/>
        </w:rPr>
        <w:t>Economist</w:t>
      </w:r>
    </w:p>
    <w:p w:rsidR="00D10A31" w14:paraId="2B99CE80" w14:textId="77777777">
      <w:pPr>
        <w:rPr>
          <w:sz w:val="24"/>
          <w:szCs w:val="24"/>
        </w:rPr>
      </w:pPr>
      <w:r>
        <w:rPr>
          <w:sz w:val="24"/>
          <w:szCs w:val="24"/>
        </w:rPr>
        <w:t>Biogeography Branch, Marine Spatial Ecology Division</w:t>
      </w:r>
    </w:p>
    <w:p w:rsidR="00D10A31" w14:paraId="4693BF2B" w14:textId="77777777">
      <w:pPr>
        <w:rPr>
          <w:sz w:val="24"/>
          <w:szCs w:val="24"/>
        </w:rPr>
      </w:pPr>
      <w:r>
        <w:rPr>
          <w:sz w:val="24"/>
          <w:szCs w:val="24"/>
        </w:rPr>
        <w:t>National Centers for Coastal Ocean Science</w:t>
      </w:r>
    </w:p>
    <w:p w:rsidR="00D10A31" w14:paraId="2D19B714" w14:textId="77777777">
      <w:pPr>
        <w:rPr>
          <w:sz w:val="24"/>
          <w:szCs w:val="24"/>
        </w:rPr>
      </w:pPr>
      <w:r>
        <w:rPr>
          <w:sz w:val="24"/>
          <w:szCs w:val="24"/>
        </w:rPr>
        <w:t xml:space="preserve">NOAA National Ocean Service  </w:t>
      </w:r>
    </w:p>
    <w:p w:rsidR="00D10A31" w14:paraId="4E9147AA" w14:textId="77777777">
      <w:pPr>
        <w:rPr>
          <w:sz w:val="24"/>
          <w:szCs w:val="24"/>
        </w:rPr>
      </w:pPr>
      <w:r>
        <w:rPr>
          <w:sz w:val="24"/>
          <w:szCs w:val="24"/>
        </w:rPr>
        <w:t>1305 East-West Highway</w:t>
      </w:r>
    </w:p>
    <w:p w:rsidR="00D10A31" w14:paraId="367736F3" w14:textId="77777777">
      <w:pPr>
        <w:rPr>
          <w:sz w:val="24"/>
          <w:szCs w:val="24"/>
        </w:rPr>
      </w:pPr>
      <w:r>
        <w:rPr>
          <w:sz w:val="24"/>
          <w:szCs w:val="24"/>
        </w:rPr>
        <w:t>Silver Spring, MD 20910</w:t>
      </w:r>
    </w:p>
    <w:p w:rsidR="00D10A31" w14:paraId="1683DB3A" w14:textId="77777777">
      <w:pPr>
        <w:rPr>
          <w:sz w:val="24"/>
          <w:szCs w:val="24"/>
        </w:rPr>
      </w:pPr>
      <w:r>
        <w:rPr>
          <w:sz w:val="24"/>
          <w:szCs w:val="24"/>
        </w:rPr>
        <w:t>240-533-0382</w:t>
      </w:r>
    </w:p>
    <w:p w:rsidR="00D10A31" w14:paraId="5B7DF678" w14:textId="77777777">
      <w:pPr>
        <w:rPr>
          <w:sz w:val="24"/>
          <w:szCs w:val="24"/>
        </w:rPr>
      </w:pPr>
      <w:r>
        <w:rPr>
          <w:sz w:val="24"/>
          <w:szCs w:val="24"/>
        </w:rPr>
        <w:t>Sarah.Gonyo@noaa.gov</w:t>
      </w:r>
    </w:p>
    <w:p w:rsidR="00D10A31" w14:paraId="0A652E7E" w14:textId="77777777">
      <w:pPr>
        <w:rPr>
          <w:sz w:val="24"/>
          <w:szCs w:val="24"/>
        </w:rPr>
      </w:pPr>
    </w:p>
    <w:p w:rsidR="00D10A31" w14:paraId="66B54388" w14:textId="77777777">
      <w:pPr>
        <w:rPr>
          <w:sz w:val="24"/>
          <w:szCs w:val="24"/>
        </w:rPr>
      </w:pPr>
      <w:r>
        <w:rPr>
          <w:sz w:val="24"/>
          <w:szCs w:val="24"/>
        </w:rPr>
        <w:t>Amanda Alva</w:t>
      </w:r>
    </w:p>
    <w:p w:rsidR="00D10A31" w14:paraId="52EC953E" w14:textId="77777777">
      <w:pPr>
        <w:rPr>
          <w:sz w:val="24"/>
          <w:szCs w:val="24"/>
        </w:rPr>
      </w:pPr>
      <w:r>
        <w:rPr>
          <w:sz w:val="24"/>
          <w:szCs w:val="24"/>
        </w:rPr>
        <w:t>Social Science Research Analyst</w:t>
      </w:r>
    </w:p>
    <w:p w:rsidR="00D10A31" w14:paraId="59264762" w14:textId="77777777">
      <w:pPr>
        <w:rPr>
          <w:sz w:val="24"/>
          <w:szCs w:val="24"/>
        </w:rPr>
      </w:pPr>
      <w:r>
        <w:rPr>
          <w:sz w:val="24"/>
          <w:szCs w:val="24"/>
        </w:rPr>
        <w:t>CSS, under contract to NOAA</w:t>
      </w:r>
    </w:p>
    <w:p w:rsidR="00D10A31" w14:paraId="2C8D6EF7" w14:textId="77777777">
      <w:pPr>
        <w:rPr>
          <w:sz w:val="24"/>
          <w:szCs w:val="24"/>
        </w:rPr>
      </w:pPr>
      <w:r>
        <w:rPr>
          <w:sz w:val="24"/>
          <w:szCs w:val="24"/>
        </w:rPr>
        <w:t>National Centers for Coastal Ocean Science</w:t>
      </w:r>
    </w:p>
    <w:p w:rsidR="00D10A31" w14:paraId="48E6D6F1" w14:textId="77777777">
      <w:pPr>
        <w:rPr>
          <w:sz w:val="24"/>
          <w:szCs w:val="24"/>
        </w:rPr>
      </w:pPr>
      <w:r>
        <w:rPr>
          <w:sz w:val="24"/>
          <w:szCs w:val="24"/>
        </w:rPr>
        <w:t>NOAA National Ocean Service</w:t>
      </w:r>
    </w:p>
    <w:p w:rsidR="00D10A31" w14:paraId="5AD0B3E4" w14:textId="77777777">
      <w:pPr>
        <w:rPr>
          <w:sz w:val="24"/>
          <w:szCs w:val="24"/>
        </w:rPr>
      </w:pPr>
      <w:r>
        <w:rPr>
          <w:sz w:val="24"/>
          <w:szCs w:val="24"/>
        </w:rPr>
        <w:t>1305 East-West Highway</w:t>
      </w:r>
    </w:p>
    <w:p w:rsidR="00D10A31" w14:paraId="13921197" w14:textId="77777777">
      <w:pPr>
        <w:rPr>
          <w:sz w:val="24"/>
          <w:szCs w:val="24"/>
        </w:rPr>
      </w:pPr>
      <w:r>
        <w:rPr>
          <w:sz w:val="24"/>
          <w:szCs w:val="24"/>
        </w:rPr>
        <w:t>Silver Spring, MD 20910</w:t>
      </w:r>
    </w:p>
    <w:p w:rsidR="00D10A31" w14:paraId="65B98693" w14:textId="77777777">
      <w:pPr>
        <w:rPr>
          <w:sz w:val="24"/>
          <w:szCs w:val="24"/>
        </w:rPr>
      </w:pPr>
      <w:r>
        <w:rPr>
          <w:sz w:val="24"/>
          <w:szCs w:val="24"/>
        </w:rPr>
        <w:t>202-936-5856</w:t>
      </w:r>
    </w:p>
    <w:p w:rsidR="00D10A31" w14:paraId="0DD527E4" w14:textId="149F409E">
      <w:pPr>
        <w:rPr>
          <w:sz w:val="24"/>
          <w:szCs w:val="24"/>
        </w:rPr>
      </w:pPr>
      <w:bookmarkStart w:id="18" w:name="_2jxsxqh" w:colFirst="0" w:colLast="0"/>
      <w:bookmarkEnd w:id="18"/>
      <w:r>
        <w:rPr>
          <w:sz w:val="24"/>
          <w:szCs w:val="24"/>
        </w:rPr>
        <w:t>Amanda.Alva@noaa.gov</w:t>
      </w:r>
    </w:p>
    <w:p w:rsidR="00D10A31" w14:paraId="4568184A" w14:textId="77777777">
      <w:pPr>
        <w:pStyle w:val="Heading2"/>
        <w:spacing w:before="280"/>
      </w:pPr>
      <w:r>
        <w:t>References</w:t>
      </w:r>
    </w:p>
    <w:p w:rsidR="00D10A31" w14:paraId="4578AD25" w14:textId="77777777">
      <w:pPr>
        <w:rPr>
          <w:sz w:val="24"/>
          <w:szCs w:val="24"/>
        </w:rPr>
      </w:pPr>
    </w:p>
    <w:p w:rsidR="00D10A31" w14:paraId="41972B40" w14:textId="77777777">
      <w:pPr>
        <w:ind w:left="720" w:hanging="720"/>
        <w:rPr>
          <w:sz w:val="24"/>
          <w:szCs w:val="24"/>
        </w:rPr>
      </w:pPr>
      <w:r>
        <w:rPr>
          <w:sz w:val="24"/>
          <w:szCs w:val="24"/>
        </w:rPr>
        <w:t>Abt</w:t>
      </w:r>
      <w:r>
        <w:rPr>
          <w:sz w:val="24"/>
          <w:szCs w:val="24"/>
        </w:rPr>
        <w:t xml:space="preserve"> Associates, Inc. (2019). National Coral Reef Monitoring Program: Socioeconomic Indicator </w:t>
      </w:r>
    </w:p>
    <w:p w:rsidR="00D10A31" w14:paraId="5F6302AD" w14:textId="77777777">
      <w:pPr>
        <w:ind w:left="720"/>
        <w:rPr>
          <w:sz w:val="24"/>
          <w:szCs w:val="24"/>
        </w:rPr>
      </w:pPr>
      <w:r>
        <w:rPr>
          <w:sz w:val="24"/>
          <w:szCs w:val="24"/>
        </w:rPr>
        <w:t>Development. Final report submitted to NOAA’s Office for Coastal Management. 142 p.</w:t>
      </w:r>
    </w:p>
    <w:p w:rsidR="00D10A31" w14:paraId="746A8B2C" w14:textId="77777777">
      <w:pPr>
        <w:widowControl/>
        <w:pBdr>
          <w:top w:val="nil"/>
          <w:left w:val="nil"/>
          <w:bottom w:val="nil"/>
          <w:right w:val="nil"/>
          <w:between w:val="nil"/>
        </w:pBdr>
        <w:spacing w:before="120"/>
        <w:ind w:left="720" w:hanging="720"/>
        <w:rPr>
          <w:color w:val="000000"/>
          <w:sz w:val="24"/>
          <w:szCs w:val="24"/>
        </w:rPr>
      </w:pPr>
      <w:r>
        <w:rPr>
          <w:color w:val="000000"/>
          <w:sz w:val="24"/>
          <w:szCs w:val="24"/>
        </w:rPr>
        <w:t xml:space="preserve">Ajzen, I., &amp; Fishbein, M. (1980). </w:t>
      </w:r>
      <w:r>
        <w:rPr>
          <w:i/>
          <w:color w:val="000000"/>
          <w:sz w:val="24"/>
          <w:szCs w:val="24"/>
        </w:rPr>
        <w:t>Understanding attitudes and predicting social behavior</w:t>
      </w:r>
      <w:r>
        <w:rPr>
          <w:color w:val="000000"/>
          <w:sz w:val="24"/>
          <w:szCs w:val="24"/>
        </w:rPr>
        <w:t>. Englewood Cliffs, NJ: Prentice-Hall.</w:t>
      </w:r>
    </w:p>
    <w:p w:rsidR="00D10A31" w14:paraId="366A1F81" w14:textId="77777777">
      <w:pPr>
        <w:spacing w:before="120"/>
        <w:ind w:left="720" w:hanging="720"/>
        <w:rPr>
          <w:sz w:val="24"/>
          <w:szCs w:val="24"/>
        </w:rPr>
      </w:pPr>
      <w:r>
        <w:rPr>
          <w:sz w:val="24"/>
          <w:szCs w:val="24"/>
        </w:rPr>
        <w:t xml:space="preserve">Alessa, L., </w:t>
      </w:r>
      <w:r>
        <w:rPr>
          <w:sz w:val="24"/>
          <w:szCs w:val="24"/>
        </w:rPr>
        <w:t>Kliskey</w:t>
      </w:r>
      <w:r>
        <w:rPr>
          <w:sz w:val="24"/>
          <w:szCs w:val="24"/>
        </w:rPr>
        <w:t xml:space="preserve">, A., &amp; Brown, G. (2008). Social-ecological hotspots mapping: A spatial approach for identifying coupled social-ecological space. </w:t>
      </w:r>
      <w:r>
        <w:rPr>
          <w:i/>
          <w:sz w:val="24"/>
          <w:szCs w:val="24"/>
        </w:rPr>
        <w:t>Landscape and Urban Planning</w:t>
      </w:r>
      <w:r>
        <w:rPr>
          <w:sz w:val="24"/>
          <w:szCs w:val="24"/>
        </w:rPr>
        <w:t xml:space="preserve">, </w:t>
      </w:r>
      <w:r>
        <w:rPr>
          <w:i/>
          <w:sz w:val="24"/>
          <w:szCs w:val="24"/>
        </w:rPr>
        <w:t>85</w:t>
      </w:r>
      <w:r>
        <w:rPr>
          <w:sz w:val="24"/>
          <w:szCs w:val="24"/>
        </w:rPr>
        <w:t>, 27-39.</w:t>
      </w:r>
    </w:p>
    <w:p w:rsidR="00D10A31" w14:paraId="20476FE8" w14:textId="77777777">
      <w:pPr>
        <w:tabs>
          <w:tab w:val="left" w:pos="90"/>
        </w:tabs>
        <w:spacing w:before="120"/>
        <w:ind w:left="720" w:hanging="720"/>
        <w:rPr>
          <w:sz w:val="24"/>
          <w:szCs w:val="24"/>
        </w:rPr>
      </w:pPr>
      <w:r>
        <w:rPr>
          <w:sz w:val="24"/>
          <w:szCs w:val="24"/>
        </w:rPr>
        <w:t>American Samoa Department of Health. (2007). American Samoa NCD Risk Factors STEPS Report. American Samoa Government and World Health Organization. 63 pp.</w:t>
      </w:r>
    </w:p>
    <w:p w:rsidR="00D10A31" w14:paraId="6F9CDB2A" w14:textId="77777777">
      <w:pPr>
        <w:spacing w:before="120"/>
        <w:ind w:left="720" w:hanging="720"/>
        <w:rPr>
          <w:sz w:val="24"/>
          <w:szCs w:val="24"/>
        </w:rPr>
      </w:pPr>
      <w:r>
        <w:rPr>
          <w:sz w:val="24"/>
          <w:szCs w:val="24"/>
        </w:rPr>
        <w:t xml:space="preserve">Andrew, R.G., Burns, R.C., &amp; Allen, M.E. (2019). The influence of location on water quality perceptions across a geographic and socioeconomic gradient in Appalachia. </w:t>
      </w:r>
      <w:r>
        <w:rPr>
          <w:i/>
          <w:sz w:val="24"/>
          <w:szCs w:val="24"/>
        </w:rPr>
        <w:t>Journal of Water</w:t>
      </w:r>
      <w:r>
        <w:rPr>
          <w:sz w:val="24"/>
          <w:szCs w:val="24"/>
        </w:rPr>
        <w:t xml:space="preserve">, </w:t>
      </w:r>
      <w:r>
        <w:rPr>
          <w:i/>
          <w:sz w:val="24"/>
          <w:szCs w:val="24"/>
        </w:rPr>
        <w:t>11</w:t>
      </w:r>
      <w:r>
        <w:rPr>
          <w:sz w:val="24"/>
          <w:szCs w:val="24"/>
        </w:rPr>
        <w:t>, 2225.</w:t>
      </w:r>
    </w:p>
    <w:p w:rsidR="00D10A31" w14:paraId="6F90C9D3" w14:textId="77777777">
      <w:pPr>
        <w:spacing w:before="120"/>
        <w:ind w:left="720" w:hanging="720"/>
        <w:rPr>
          <w:sz w:val="24"/>
          <w:szCs w:val="24"/>
        </w:rPr>
      </w:pPr>
      <w:r>
        <w:rPr>
          <w:sz w:val="24"/>
          <w:szCs w:val="24"/>
        </w:rPr>
        <w:t xml:space="preserve">Baker, B.O., </w:t>
      </w:r>
      <w:r>
        <w:rPr>
          <w:sz w:val="24"/>
          <w:szCs w:val="24"/>
        </w:rPr>
        <w:t>Hardyck</w:t>
      </w:r>
      <w:r>
        <w:rPr>
          <w:sz w:val="24"/>
          <w:szCs w:val="24"/>
        </w:rPr>
        <w:t xml:space="preserve">, C.D., &amp; </w:t>
      </w:r>
      <w:r>
        <w:rPr>
          <w:sz w:val="24"/>
          <w:szCs w:val="24"/>
        </w:rPr>
        <w:t>Petrinovich</w:t>
      </w:r>
      <w:r>
        <w:rPr>
          <w:sz w:val="24"/>
          <w:szCs w:val="24"/>
        </w:rPr>
        <w:t xml:space="preserve">, L.F. (1966). Weak measurements vs. strong statistics: An empirical critique of S. S. Steven’s proscriptions on statistics. </w:t>
      </w:r>
      <w:r>
        <w:rPr>
          <w:i/>
          <w:sz w:val="24"/>
          <w:szCs w:val="24"/>
        </w:rPr>
        <w:t>Educational and Psychological Measurement</w:t>
      </w:r>
      <w:r>
        <w:rPr>
          <w:sz w:val="24"/>
          <w:szCs w:val="24"/>
        </w:rPr>
        <w:t xml:space="preserve">, </w:t>
      </w:r>
      <w:r>
        <w:rPr>
          <w:i/>
          <w:sz w:val="24"/>
          <w:szCs w:val="24"/>
        </w:rPr>
        <w:t>26</w:t>
      </w:r>
      <w:r>
        <w:rPr>
          <w:sz w:val="24"/>
          <w:szCs w:val="24"/>
        </w:rPr>
        <w:t>, 291-309.</w:t>
      </w:r>
    </w:p>
    <w:p w:rsidR="00D10A31" w14:paraId="209B8F54" w14:textId="77777777">
      <w:pPr>
        <w:spacing w:before="120"/>
        <w:rPr>
          <w:sz w:val="24"/>
          <w:szCs w:val="24"/>
        </w:rPr>
      </w:pPr>
      <w:r>
        <w:rPr>
          <w:sz w:val="24"/>
          <w:szCs w:val="24"/>
        </w:rPr>
        <w:t>Borgatta</w:t>
      </w:r>
      <w:r>
        <w:rPr>
          <w:sz w:val="24"/>
          <w:szCs w:val="24"/>
        </w:rPr>
        <w:t xml:space="preserve">, E.F., &amp; </w:t>
      </w:r>
      <w:r>
        <w:rPr>
          <w:sz w:val="24"/>
          <w:szCs w:val="24"/>
        </w:rPr>
        <w:t>Bohrnstedt</w:t>
      </w:r>
      <w:r>
        <w:rPr>
          <w:sz w:val="24"/>
          <w:szCs w:val="24"/>
        </w:rPr>
        <w:t xml:space="preserve">, G.W. (1980). Level of measurement: Once over again. </w:t>
      </w:r>
    </w:p>
    <w:p w:rsidR="00D10A31" w14:paraId="0AD63DBF" w14:textId="77777777">
      <w:pPr>
        <w:ind w:firstLine="720"/>
        <w:rPr>
          <w:sz w:val="24"/>
          <w:szCs w:val="24"/>
        </w:rPr>
      </w:pPr>
      <w:r>
        <w:rPr>
          <w:i/>
          <w:sz w:val="24"/>
          <w:szCs w:val="24"/>
        </w:rPr>
        <w:t>Sociological Methods &amp; Research, 9</w:t>
      </w:r>
      <w:r>
        <w:rPr>
          <w:sz w:val="24"/>
          <w:szCs w:val="24"/>
        </w:rPr>
        <w:t>(2), 147-160.</w:t>
      </w:r>
    </w:p>
    <w:p w:rsidR="00D10A31" w14:paraId="580B6CA7" w14:textId="77777777">
      <w:pPr>
        <w:spacing w:before="120"/>
        <w:ind w:left="720" w:hanging="720"/>
        <w:rPr>
          <w:sz w:val="24"/>
          <w:szCs w:val="24"/>
        </w:rPr>
      </w:pPr>
      <w:r>
        <w:rPr>
          <w:sz w:val="24"/>
          <w:szCs w:val="24"/>
        </w:rPr>
        <w:t xml:space="preserve">Brown, G. (2005). Mapping spatial attributes in survey research for natural resource management: Methods and applications. </w:t>
      </w:r>
      <w:r>
        <w:rPr>
          <w:i/>
          <w:sz w:val="24"/>
          <w:szCs w:val="24"/>
        </w:rPr>
        <w:t>Society and Natural Resources</w:t>
      </w:r>
      <w:r>
        <w:rPr>
          <w:sz w:val="24"/>
          <w:szCs w:val="24"/>
        </w:rPr>
        <w:t xml:space="preserve">, </w:t>
      </w:r>
      <w:r>
        <w:rPr>
          <w:i/>
          <w:sz w:val="24"/>
          <w:szCs w:val="24"/>
        </w:rPr>
        <w:t>18</w:t>
      </w:r>
      <w:r>
        <w:rPr>
          <w:sz w:val="24"/>
          <w:szCs w:val="24"/>
        </w:rPr>
        <w:t>(1), 1-23.</w:t>
      </w:r>
    </w:p>
    <w:p w:rsidR="00D10A31" w14:paraId="49541936" w14:textId="77777777">
      <w:pPr>
        <w:spacing w:before="120"/>
        <w:ind w:left="720" w:hanging="720"/>
        <w:rPr>
          <w:sz w:val="24"/>
          <w:szCs w:val="24"/>
        </w:rPr>
      </w:pPr>
      <w:r>
        <w:rPr>
          <w:sz w:val="24"/>
          <w:szCs w:val="24"/>
        </w:rPr>
        <w:t xml:space="preserve">Cochran, W.G. (1977). </w:t>
      </w:r>
      <w:r>
        <w:rPr>
          <w:i/>
          <w:sz w:val="24"/>
          <w:szCs w:val="24"/>
        </w:rPr>
        <w:t>Sampling techniques</w:t>
      </w:r>
      <w:r>
        <w:rPr>
          <w:sz w:val="24"/>
          <w:szCs w:val="24"/>
        </w:rPr>
        <w:t>, 3</w:t>
      </w:r>
      <w:r>
        <w:rPr>
          <w:sz w:val="24"/>
          <w:szCs w:val="24"/>
          <w:vertAlign w:val="superscript"/>
        </w:rPr>
        <w:t>rd</w:t>
      </w:r>
      <w:r>
        <w:rPr>
          <w:sz w:val="24"/>
          <w:szCs w:val="24"/>
        </w:rPr>
        <w:t xml:space="preserve"> edition. New York: John Wiley &amp; Sons.</w:t>
      </w:r>
    </w:p>
    <w:p w:rsidR="00D10A31" w14:paraId="3A57FE97" w14:textId="77777777">
      <w:pPr>
        <w:spacing w:before="120"/>
        <w:ind w:left="720" w:hanging="720"/>
        <w:rPr>
          <w:sz w:val="24"/>
          <w:szCs w:val="24"/>
        </w:rPr>
      </w:pPr>
      <w:r>
        <w:rPr>
          <w:sz w:val="24"/>
          <w:szCs w:val="24"/>
        </w:rPr>
        <w:t xml:space="preserve">Cohen, J. (1988). </w:t>
      </w:r>
      <w:r>
        <w:rPr>
          <w:i/>
          <w:sz w:val="24"/>
          <w:szCs w:val="24"/>
        </w:rPr>
        <w:t>Statistical power analysis for the behavioral sciences</w:t>
      </w:r>
      <w:r>
        <w:rPr>
          <w:sz w:val="24"/>
          <w:szCs w:val="24"/>
        </w:rPr>
        <w:t>. Second Edition. Hillsdale, NJ: Lawrence Erlbaum Associates, Publishers.</w:t>
      </w:r>
    </w:p>
    <w:p w:rsidR="00D10A31" w14:paraId="5CCEB5C1" w14:textId="77777777">
      <w:pPr>
        <w:spacing w:before="120"/>
        <w:ind w:left="720" w:hanging="720"/>
        <w:rPr>
          <w:sz w:val="24"/>
          <w:szCs w:val="24"/>
        </w:rPr>
      </w:pPr>
      <w:r>
        <w:rPr>
          <w:sz w:val="24"/>
          <w:szCs w:val="24"/>
        </w:rPr>
        <w:t xml:space="preserve">Dalton, T., Thompson, R., &amp; </w:t>
      </w:r>
      <w:r>
        <w:rPr>
          <w:sz w:val="24"/>
          <w:szCs w:val="24"/>
        </w:rPr>
        <w:t>Jin</w:t>
      </w:r>
      <w:r>
        <w:rPr>
          <w:sz w:val="24"/>
          <w:szCs w:val="24"/>
        </w:rPr>
        <w:t xml:space="preserve">, D. (2010). Mapping human dimensions in marine spatial planning: An example from Narragansett Bay, Rhode Island. </w:t>
      </w:r>
      <w:r>
        <w:rPr>
          <w:i/>
          <w:sz w:val="24"/>
          <w:szCs w:val="24"/>
        </w:rPr>
        <w:t>Marine Policy</w:t>
      </w:r>
      <w:r>
        <w:rPr>
          <w:sz w:val="24"/>
          <w:szCs w:val="24"/>
        </w:rPr>
        <w:t xml:space="preserve">, </w:t>
      </w:r>
      <w:r>
        <w:rPr>
          <w:i/>
          <w:sz w:val="24"/>
          <w:szCs w:val="24"/>
        </w:rPr>
        <w:t>34</w:t>
      </w:r>
      <w:r>
        <w:rPr>
          <w:sz w:val="24"/>
          <w:szCs w:val="24"/>
        </w:rPr>
        <w:t>, 309-319.</w:t>
      </w:r>
    </w:p>
    <w:p w:rsidR="00D10A31" w14:paraId="011F9139" w14:textId="77777777">
      <w:pPr>
        <w:pBdr>
          <w:top w:val="nil"/>
          <w:left w:val="nil"/>
          <w:bottom w:val="nil"/>
          <w:right w:val="nil"/>
          <w:between w:val="nil"/>
        </w:pBdr>
        <w:spacing w:before="120"/>
        <w:ind w:left="720" w:hanging="720"/>
        <w:rPr>
          <w:color w:val="000000"/>
          <w:sz w:val="24"/>
          <w:szCs w:val="24"/>
        </w:rPr>
      </w:pPr>
      <w:r>
        <w:rPr>
          <w:color w:val="000000"/>
          <w:sz w:val="24"/>
          <w:szCs w:val="24"/>
        </w:rPr>
        <w:t>Dillman</w:t>
      </w:r>
      <w:r>
        <w:rPr>
          <w:color w:val="000000"/>
          <w:sz w:val="24"/>
          <w:szCs w:val="24"/>
        </w:rPr>
        <w:t xml:space="preserve">, D. A. (2000). </w:t>
      </w:r>
      <w:r>
        <w:rPr>
          <w:i/>
          <w:color w:val="000000"/>
          <w:sz w:val="24"/>
          <w:szCs w:val="24"/>
        </w:rPr>
        <w:t>Mail and Internet surveys: The total design method</w:t>
      </w:r>
      <w:r>
        <w:rPr>
          <w:color w:val="000000"/>
          <w:sz w:val="24"/>
          <w:szCs w:val="24"/>
        </w:rPr>
        <w:t xml:space="preserve"> (2nd ed.). New York: Wiley. </w:t>
      </w:r>
    </w:p>
    <w:p w:rsidR="00D10A31" w14:paraId="3312DE99" w14:textId="77777777">
      <w:pPr>
        <w:pBdr>
          <w:top w:val="nil"/>
          <w:left w:val="nil"/>
          <w:bottom w:val="nil"/>
          <w:right w:val="nil"/>
          <w:between w:val="nil"/>
        </w:pBdr>
        <w:spacing w:before="120"/>
        <w:ind w:left="720" w:hanging="720"/>
        <w:rPr>
          <w:color w:val="000000"/>
          <w:sz w:val="24"/>
          <w:szCs w:val="24"/>
        </w:rPr>
      </w:pPr>
      <w:r>
        <w:rPr>
          <w:color w:val="000000"/>
          <w:sz w:val="24"/>
          <w:szCs w:val="24"/>
        </w:rPr>
        <w:t>Dillman</w:t>
      </w:r>
      <w:r>
        <w:rPr>
          <w:color w:val="000000"/>
          <w:sz w:val="24"/>
          <w:szCs w:val="24"/>
        </w:rPr>
        <w:t xml:space="preserve">, D. A., Smyth, J., &amp; Christian, L. (2014) </w:t>
      </w:r>
      <w:r>
        <w:rPr>
          <w:i/>
          <w:color w:val="000000"/>
          <w:sz w:val="24"/>
          <w:szCs w:val="24"/>
        </w:rPr>
        <w:t>Internet, Mail and Mixed‐Mode Surveys: The Tailored Design Method</w:t>
      </w:r>
      <w:r>
        <w:rPr>
          <w:color w:val="000000"/>
          <w:sz w:val="24"/>
          <w:szCs w:val="24"/>
        </w:rPr>
        <w:t>. New York: John Wiley &amp; Sons.</w:t>
      </w:r>
    </w:p>
    <w:p w:rsidR="00D10A31" w14:paraId="75F25179" w14:textId="77777777">
      <w:pPr>
        <w:widowControl/>
        <w:spacing w:before="120"/>
        <w:ind w:left="720" w:hanging="720"/>
        <w:rPr>
          <w:sz w:val="24"/>
          <w:szCs w:val="24"/>
        </w:rPr>
      </w:pPr>
      <w:r>
        <w:rPr>
          <w:sz w:val="24"/>
          <w:szCs w:val="24"/>
        </w:rPr>
        <w:t xml:space="preserve">Ditton, R., Loomis, D., &amp; Choi, S. (1992). Recreation specialization: reconceptualization from a social world's perspective. </w:t>
      </w:r>
      <w:r>
        <w:rPr>
          <w:i/>
          <w:sz w:val="24"/>
          <w:szCs w:val="24"/>
        </w:rPr>
        <w:t>Journal of Leisure Research</w:t>
      </w:r>
      <w:r>
        <w:rPr>
          <w:sz w:val="24"/>
          <w:szCs w:val="24"/>
        </w:rPr>
        <w:t xml:space="preserve">, </w:t>
      </w:r>
      <w:r>
        <w:rPr>
          <w:i/>
          <w:sz w:val="24"/>
          <w:szCs w:val="24"/>
        </w:rPr>
        <w:t>24</w:t>
      </w:r>
      <w:r>
        <w:rPr>
          <w:sz w:val="24"/>
          <w:szCs w:val="24"/>
        </w:rPr>
        <w:t>, 33-51. </w:t>
      </w:r>
    </w:p>
    <w:p w:rsidR="00D10A31" w14:paraId="6C2C75A5" w14:textId="77777777">
      <w:pPr>
        <w:spacing w:before="120"/>
        <w:ind w:left="720" w:hanging="720"/>
        <w:rPr>
          <w:sz w:val="24"/>
          <w:szCs w:val="24"/>
        </w:rPr>
      </w:pPr>
      <w:r>
        <w:rPr>
          <w:sz w:val="24"/>
          <w:szCs w:val="24"/>
        </w:rPr>
        <w:t xml:space="preserve">English, D., </w:t>
      </w:r>
      <w:r>
        <w:rPr>
          <w:sz w:val="24"/>
          <w:szCs w:val="24"/>
        </w:rPr>
        <w:t>Kocis</w:t>
      </w:r>
      <w:r>
        <w:rPr>
          <w:sz w:val="24"/>
          <w:szCs w:val="24"/>
        </w:rPr>
        <w:t xml:space="preserve">, S.M., </w:t>
      </w:r>
      <w:r>
        <w:rPr>
          <w:sz w:val="24"/>
          <w:szCs w:val="24"/>
        </w:rPr>
        <w:t>Zarnoch</w:t>
      </w:r>
      <w:r>
        <w:rPr>
          <w:sz w:val="24"/>
          <w:szCs w:val="24"/>
        </w:rPr>
        <w:t>, S.J., &amp; Arnold, J.R. (2001). Forest Service National Visitor Use Monitoring Process: Research method documentation. Gen. Tech. Rep. SRS-57. Asheville, NC: U.S. Department of Agriculture Forest Service, Southern Research Station. 14 p.</w:t>
      </w:r>
    </w:p>
    <w:p w:rsidR="00D10A31" w14:paraId="00AA25B8" w14:textId="77777777">
      <w:pPr>
        <w:spacing w:before="120"/>
        <w:rPr>
          <w:sz w:val="24"/>
          <w:szCs w:val="24"/>
        </w:rPr>
      </w:pPr>
      <w:r>
        <w:rPr>
          <w:sz w:val="24"/>
          <w:szCs w:val="24"/>
        </w:rPr>
        <w:t>Fiaui</w:t>
      </w:r>
      <w:r>
        <w:rPr>
          <w:sz w:val="24"/>
          <w:szCs w:val="24"/>
        </w:rPr>
        <w:t xml:space="preserve">, P.A., &amp; </w:t>
      </w:r>
      <w:r>
        <w:rPr>
          <w:sz w:val="24"/>
          <w:szCs w:val="24"/>
        </w:rPr>
        <w:t>Hishinuma</w:t>
      </w:r>
      <w:r>
        <w:rPr>
          <w:sz w:val="24"/>
          <w:szCs w:val="24"/>
        </w:rPr>
        <w:t xml:space="preserve">, E.S. (2009). Samoan adolescents in American Samoa and Hawaii: </w:t>
      </w:r>
    </w:p>
    <w:p w:rsidR="00D10A31" w14:paraId="1A75B12E" w14:textId="77777777">
      <w:pPr>
        <w:ind w:left="720"/>
        <w:rPr>
          <w:sz w:val="24"/>
          <w:szCs w:val="24"/>
        </w:rPr>
      </w:pPr>
      <w:r>
        <w:rPr>
          <w:sz w:val="24"/>
          <w:szCs w:val="24"/>
        </w:rPr>
        <w:t xml:space="preserve">Comparison of youth violence and youth development indicators. A study by the Asian/Pacific Islander Youth Violence Prevention Center. </w:t>
      </w:r>
      <w:r>
        <w:rPr>
          <w:i/>
          <w:sz w:val="24"/>
          <w:szCs w:val="24"/>
        </w:rPr>
        <w:t>Aggression and Violent Behavior</w:t>
      </w:r>
      <w:r>
        <w:rPr>
          <w:sz w:val="24"/>
          <w:szCs w:val="24"/>
        </w:rPr>
        <w:t xml:space="preserve">, </w:t>
      </w:r>
      <w:r>
        <w:rPr>
          <w:i/>
          <w:sz w:val="24"/>
          <w:szCs w:val="24"/>
        </w:rPr>
        <w:t>14</w:t>
      </w:r>
      <w:r>
        <w:rPr>
          <w:sz w:val="24"/>
          <w:szCs w:val="24"/>
        </w:rPr>
        <w:t>(6), 478-487.</w:t>
      </w:r>
    </w:p>
    <w:p w:rsidR="00D10A31" w14:paraId="301AE111" w14:textId="77777777">
      <w:pPr>
        <w:spacing w:before="120"/>
        <w:rPr>
          <w:sz w:val="24"/>
          <w:szCs w:val="24"/>
        </w:rPr>
      </w:pPr>
      <w:r>
        <w:rPr>
          <w:sz w:val="24"/>
          <w:szCs w:val="24"/>
        </w:rPr>
        <w:t>Gaito</w:t>
      </w:r>
      <w:r>
        <w:rPr>
          <w:sz w:val="24"/>
          <w:szCs w:val="24"/>
        </w:rPr>
        <w:t xml:space="preserve">, J. (1980). Measurement scales and statistics: Resurgence of an old misconception. </w:t>
      </w:r>
    </w:p>
    <w:p w:rsidR="00D10A31" w14:paraId="123926BA" w14:textId="77777777">
      <w:pPr>
        <w:ind w:firstLine="720"/>
        <w:rPr>
          <w:sz w:val="24"/>
          <w:szCs w:val="24"/>
        </w:rPr>
      </w:pPr>
      <w:r>
        <w:rPr>
          <w:i/>
          <w:sz w:val="24"/>
          <w:szCs w:val="24"/>
        </w:rPr>
        <w:t>Psychological Bulletin, 84,</w:t>
      </w:r>
      <w:r>
        <w:rPr>
          <w:sz w:val="24"/>
          <w:szCs w:val="24"/>
        </w:rPr>
        <w:t xml:space="preserve"> 564-567.</w:t>
      </w:r>
    </w:p>
    <w:p w:rsidR="00D10A31" w14:paraId="358F6BB9" w14:textId="77777777">
      <w:pPr>
        <w:tabs>
          <w:tab w:val="left" w:pos="360"/>
        </w:tabs>
        <w:spacing w:before="120"/>
        <w:ind w:left="720" w:hanging="720"/>
        <w:rPr>
          <w:sz w:val="24"/>
          <w:szCs w:val="24"/>
        </w:rPr>
      </w:pPr>
      <w:r>
        <w:rPr>
          <w:sz w:val="24"/>
          <w:szCs w:val="24"/>
        </w:rPr>
        <w:t>Gravlee</w:t>
      </w:r>
      <w:r>
        <w:rPr>
          <w:sz w:val="24"/>
          <w:szCs w:val="24"/>
        </w:rPr>
        <w:t xml:space="preserve">, C.C., &amp; Dressler, W.W. (2005). Skin pigmentation, self-perceived color, and arterial blood pressure in Puerto Rico. </w:t>
      </w:r>
      <w:r>
        <w:rPr>
          <w:i/>
          <w:sz w:val="24"/>
          <w:szCs w:val="24"/>
        </w:rPr>
        <w:t xml:space="preserve">American Journal of Human Biology, 17, </w:t>
      </w:r>
      <w:r>
        <w:rPr>
          <w:sz w:val="24"/>
          <w:szCs w:val="24"/>
        </w:rPr>
        <w:t>195 – 206.</w:t>
      </w:r>
    </w:p>
    <w:p w:rsidR="00D10A31" w14:paraId="5A24789A" w14:textId="77777777">
      <w:pPr>
        <w:tabs>
          <w:tab w:val="left" w:pos="360"/>
        </w:tabs>
        <w:spacing w:before="120"/>
        <w:ind w:left="720" w:hanging="720"/>
        <w:rPr>
          <w:sz w:val="24"/>
          <w:szCs w:val="24"/>
        </w:rPr>
      </w:pPr>
      <w:r>
        <w:rPr>
          <w:sz w:val="24"/>
          <w:szCs w:val="24"/>
        </w:rPr>
        <w:t xml:space="preserve">Groves, R.M. (2006). Nonresponse rates and nonresponse bias in household surveys. </w:t>
      </w:r>
      <w:r>
        <w:rPr>
          <w:i/>
          <w:sz w:val="24"/>
          <w:szCs w:val="24"/>
        </w:rPr>
        <w:t>The Public Opinion Quarterly</w:t>
      </w:r>
      <w:r>
        <w:rPr>
          <w:sz w:val="24"/>
          <w:szCs w:val="24"/>
        </w:rPr>
        <w:t xml:space="preserve">, </w:t>
      </w:r>
      <w:r>
        <w:rPr>
          <w:i/>
          <w:sz w:val="24"/>
          <w:szCs w:val="24"/>
        </w:rPr>
        <w:t>70</w:t>
      </w:r>
      <w:r>
        <w:rPr>
          <w:sz w:val="24"/>
          <w:szCs w:val="24"/>
        </w:rPr>
        <w:t>(5), 646-675.</w:t>
      </w:r>
    </w:p>
    <w:p w:rsidR="00D10A31" w14:paraId="44338CC1" w14:textId="77777777">
      <w:pPr>
        <w:tabs>
          <w:tab w:val="left" w:pos="360"/>
        </w:tabs>
        <w:spacing w:before="120"/>
        <w:ind w:left="720" w:hanging="720"/>
        <w:rPr>
          <w:sz w:val="24"/>
          <w:szCs w:val="24"/>
        </w:rPr>
      </w:pPr>
      <w:r>
        <w:rPr>
          <w:sz w:val="24"/>
          <w:szCs w:val="24"/>
        </w:rPr>
        <w:t xml:space="preserve">Groves, R.M., &amp; Couper, M.P. (1998). </w:t>
      </w:r>
      <w:r>
        <w:rPr>
          <w:i/>
          <w:sz w:val="24"/>
          <w:szCs w:val="24"/>
        </w:rPr>
        <w:t>Nonresponse in household interview surveys</w:t>
      </w:r>
      <w:r>
        <w:rPr>
          <w:sz w:val="24"/>
          <w:szCs w:val="24"/>
        </w:rPr>
        <w:t>. New York: John Wiley &amp; Sons, Inc.</w:t>
      </w:r>
    </w:p>
    <w:p w:rsidR="00D10A31" w14:paraId="08AB95AB" w14:textId="77777777">
      <w:pPr>
        <w:spacing w:before="120"/>
        <w:rPr>
          <w:sz w:val="24"/>
          <w:szCs w:val="24"/>
        </w:rPr>
      </w:pPr>
      <w:r>
        <w:rPr>
          <w:sz w:val="24"/>
          <w:szCs w:val="24"/>
        </w:rPr>
        <w:t xml:space="preserve">Guerrero, R.T.L., Novotny, R., Wilkens, L.R., Chong, M., White, K.K., </w:t>
      </w:r>
      <w:r>
        <w:rPr>
          <w:sz w:val="24"/>
          <w:szCs w:val="24"/>
        </w:rPr>
        <w:t>Shvetsov</w:t>
      </w:r>
      <w:r>
        <w:rPr>
          <w:sz w:val="24"/>
          <w:szCs w:val="24"/>
        </w:rPr>
        <w:t xml:space="preserve">, Y.B., </w:t>
      </w:r>
      <w:r>
        <w:rPr>
          <w:sz w:val="24"/>
          <w:szCs w:val="24"/>
        </w:rPr>
        <w:t>Buyum</w:t>
      </w:r>
      <w:r>
        <w:rPr>
          <w:sz w:val="24"/>
          <w:szCs w:val="24"/>
        </w:rPr>
        <w:t xml:space="preserve">, </w:t>
      </w:r>
    </w:p>
    <w:p w:rsidR="00D10A31" w14:paraId="39997486" w14:textId="77777777">
      <w:pPr>
        <w:ind w:left="720"/>
        <w:rPr>
          <w:sz w:val="24"/>
          <w:szCs w:val="24"/>
        </w:rPr>
      </w:pPr>
      <w:r>
        <w:rPr>
          <w:sz w:val="24"/>
          <w:szCs w:val="24"/>
        </w:rPr>
        <w:t xml:space="preserve">A., </w:t>
      </w:r>
      <w:r>
        <w:rPr>
          <w:sz w:val="24"/>
          <w:szCs w:val="24"/>
        </w:rPr>
        <w:t>Badowski</w:t>
      </w:r>
      <w:r>
        <w:rPr>
          <w:sz w:val="24"/>
          <w:szCs w:val="24"/>
        </w:rPr>
        <w:t>, G., &amp; Blas-</w:t>
      </w:r>
      <w:r>
        <w:rPr>
          <w:sz w:val="24"/>
          <w:szCs w:val="24"/>
        </w:rPr>
        <w:t>Laguana</w:t>
      </w:r>
      <w:r>
        <w:rPr>
          <w:sz w:val="24"/>
          <w:szCs w:val="24"/>
        </w:rPr>
        <w:t xml:space="preserve">, M. (2017). Risk factors for breast cancer in the breast cancer risk model study of Guam and Saipan. </w:t>
      </w:r>
      <w:r>
        <w:rPr>
          <w:i/>
          <w:sz w:val="24"/>
          <w:szCs w:val="24"/>
        </w:rPr>
        <w:t xml:space="preserve">Cancer Epidemiology, 50, </w:t>
      </w:r>
      <w:r>
        <w:rPr>
          <w:sz w:val="24"/>
          <w:szCs w:val="24"/>
        </w:rPr>
        <w:t>221 – 233.</w:t>
      </w:r>
    </w:p>
    <w:p w:rsidR="00D10A31" w14:paraId="4F180362" w14:textId="77777777">
      <w:pPr>
        <w:spacing w:before="120"/>
        <w:rPr>
          <w:sz w:val="24"/>
          <w:szCs w:val="24"/>
        </w:rPr>
      </w:pPr>
      <w:r>
        <w:rPr>
          <w:sz w:val="24"/>
          <w:szCs w:val="24"/>
        </w:rPr>
        <w:t xml:space="preserve">Havlicek, J.E., &amp; Peterson, N.L. (1977). Effect of the violation of assumptions upon significance </w:t>
      </w:r>
    </w:p>
    <w:p w:rsidR="00D10A31" w14:paraId="6746A41C" w14:textId="77777777">
      <w:pPr>
        <w:ind w:firstLine="720"/>
        <w:rPr>
          <w:sz w:val="24"/>
          <w:szCs w:val="24"/>
        </w:rPr>
      </w:pPr>
      <w:r>
        <w:rPr>
          <w:sz w:val="24"/>
          <w:szCs w:val="24"/>
        </w:rPr>
        <w:t xml:space="preserve">levels of the Pearson </w:t>
      </w:r>
      <w:r>
        <w:rPr>
          <w:i/>
          <w:sz w:val="24"/>
          <w:szCs w:val="24"/>
        </w:rPr>
        <w:t xml:space="preserve">r. Psychological Bulletin, 84, </w:t>
      </w:r>
      <w:r>
        <w:rPr>
          <w:sz w:val="24"/>
          <w:szCs w:val="24"/>
        </w:rPr>
        <w:t>373-377.</w:t>
      </w:r>
    </w:p>
    <w:p w:rsidR="00D10A31" w14:paraId="1C12BA63" w14:textId="77777777">
      <w:pPr>
        <w:spacing w:before="120"/>
        <w:rPr>
          <w:sz w:val="24"/>
          <w:szCs w:val="24"/>
        </w:rPr>
      </w:pPr>
      <w:r>
        <w:rPr>
          <w:sz w:val="24"/>
          <w:szCs w:val="24"/>
        </w:rPr>
        <w:t xml:space="preserve">Kempthorne, O. (1955). The randomization theory of experimental inference. </w:t>
      </w:r>
      <w:r>
        <w:rPr>
          <w:i/>
          <w:sz w:val="24"/>
          <w:szCs w:val="24"/>
        </w:rPr>
        <w:t xml:space="preserve">Journal of the </w:t>
      </w:r>
    </w:p>
    <w:p w:rsidR="00D10A31" w14:paraId="1585373E" w14:textId="77777777">
      <w:pPr>
        <w:ind w:firstLine="720"/>
        <w:rPr>
          <w:sz w:val="24"/>
          <w:szCs w:val="24"/>
        </w:rPr>
      </w:pPr>
      <w:r>
        <w:rPr>
          <w:i/>
          <w:sz w:val="24"/>
          <w:szCs w:val="24"/>
        </w:rPr>
        <w:t>American Statistical Association</w:t>
      </w:r>
      <w:r>
        <w:rPr>
          <w:sz w:val="24"/>
          <w:szCs w:val="24"/>
        </w:rPr>
        <w:t>,</w:t>
      </w:r>
      <w:r>
        <w:rPr>
          <w:i/>
          <w:sz w:val="24"/>
          <w:szCs w:val="24"/>
        </w:rPr>
        <w:t xml:space="preserve"> 50</w:t>
      </w:r>
      <w:r>
        <w:rPr>
          <w:sz w:val="24"/>
          <w:szCs w:val="24"/>
        </w:rPr>
        <w:t>, 946-967.</w:t>
      </w:r>
    </w:p>
    <w:p w:rsidR="00D10A31" w14:paraId="32A4FFBE" w14:textId="77777777">
      <w:pPr>
        <w:spacing w:before="120"/>
        <w:ind w:left="720" w:hanging="720"/>
        <w:rPr>
          <w:sz w:val="24"/>
          <w:szCs w:val="24"/>
        </w:rPr>
      </w:pPr>
      <w:r>
        <w:rPr>
          <w:sz w:val="24"/>
          <w:szCs w:val="24"/>
        </w:rPr>
        <w:t xml:space="preserve">Kish L. (1949). A procedure for objective respondent selection within the household. </w:t>
      </w:r>
      <w:r>
        <w:rPr>
          <w:i/>
          <w:sz w:val="24"/>
          <w:szCs w:val="24"/>
        </w:rPr>
        <w:t>Journal of the American statistical Association, 44</w:t>
      </w:r>
      <w:r>
        <w:rPr>
          <w:sz w:val="24"/>
          <w:szCs w:val="24"/>
        </w:rPr>
        <w:t xml:space="preserve">(247), 380–387. </w:t>
      </w:r>
    </w:p>
    <w:p w:rsidR="00D10A31" w14:paraId="7EF3FB07" w14:textId="77777777">
      <w:pPr>
        <w:spacing w:before="120"/>
        <w:ind w:left="720" w:hanging="720"/>
        <w:rPr>
          <w:sz w:val="24"/>
          <w:szCs w:val="24"/>
        </w:rPr>
      </w:pPr>
      <w:r>
        <w:rPr>
          <w:sz w:val="24"/>
          <w:szCs w:val="24"/>
        </w:rPr>
        <w:t>Krenzkle</w:t>
      </w:r>
      <w:r>
        <w:rPr>
          <w:sz w:val="24"/>
          <w:szCs w:val="24"/>
        </w:rPr>
        <w:t xml:space="preserve">, T., Li, L., &amp; Rust, K. (2010). Evaluating within household selection rules under a multi-stage design. </w:t>
      </w:r>
      <w:r>
        <w:rPr>
          <w:i/>
          <w:sz w:val="24"/>
          <w:szCs w:val="24"/>
        </w:rPr>
        <w:t>Survey Methodology</w:t>
      </w:r>
      <w:r>
        <w:rPr>
          <w:sz w:val="24"/>
          <w:szCs w:val="24"/>
        </w:rPr>
        <w:t xml:space="preserve">, </w:t>
      </w:r>
      <w:r>
        <w:rPr>
          <w:i/>
          <w:sz w:val="24"/>
          <w:szCs w:val="24"/>
        </w:rPr>
        <w:t>36</w:t>
      </w:r>
      <w:r>
        <w:rPr>
          <w:sz w:val="24"/>
          <w:szCs w:val="24"/>
        </w:rPr>
        <w:t>(1), 111-119.</w:t>
      </w:r>
    </w:p>
    <w:p w:rsidR="00D10A31" w14:paraId="70F24808" w14:textId="77777777">
      <w:pPr>
        <w:spacing w:before="120"/>
        <w:ind w:left="720" w:hanging="720"/>
        <w:rPr>
          <w:sz w:val="24"/>
          <w:szCs w:val="24"/>
        </w:rPr>
      </w:pPr>
      <w:r>
        <w:rPr>
          <w:sz w:val="24"/>
          <w:szCs w:val="24"/>
        </w:rPr>
        <w:t>Leeworthy</w:t>
      </w:r>
      <w:r>
        <w:rPr>
          <w:sz w:val="24"/>
          <w:szCs w:val="24"/>
        </w:rPr>
        <w:t xml:space="preserve">, V.R., </w:t>
      </w:r>
      <w:r>
        <w:rPr>
          <w:sz w:val="24"/>
          <w:szCs w:val="24"/>
        </w:rPr>
        <w:t>Schwarzmann</w:t>
      </w:r>
      <w:r>
        <w:rPr>
          <w:sz w:val="24"/>
          <w:szCs w:val="24"/>
        </w:rPr>
        <w:t xml:space="preserve">, D., </w:t>
      </w:r>
      <w:r>
        <w:rPr>
          <w:sz w:val="24"/>
          <w:szCs w:val="24"/>
        </w:rPr>
        <w:t>Goedeke</w:t>
      </w:r>
      <w:r>
        <w:rPr>
          <w:sz w:val="24"/>
          <w:szCs w:val="24"/>
        </w:rPr>
        <w:t xml:space="preserve">, T.L., </w:t>
      </w:r>
      <w:r>
        <w:rPr>
          <w:sz w:val="24"/>
          <w:szCs w:val="24"/>
        </w:rPr>
        <w:t>Gonyo</w:t>
      </w:r>
      <w:r>
        <w:rPr>
          <w:sz w:val="24"/>
          <w:szCs w:val="24"/>
        </w:rPr>
        <w:t xml:space="preserve">, S.B., &amp; Bauer, L.J. (2018). Recreation use and spatial distribution of use by Washington households on the outer coast of Washington. </w:t>
      </w:r>
      <w:r>
        <w:rPr>
          <w:i/>
          <w:sz w:val="24"/>
          <w:szCs w:val="24"/>
        </w:rPr>
        <w:t>Journal of Park and Recreation Administration</w:t>
      </w:r>
      <w:r>
        <w:rPr>
          <w:sz w:val="24"/>
          <w:szCs w:val="24"/>
        </w:rPr>
        <w:t xml:space="preserve">, </w:t>
      </w:r>
      <w:r>
        <w:rPr>
          <w:i/>
          <w:sz w:val="24"/>
          <w:szCs w:val="24"/>
        </w:rPr>
        <w:t>36</w:t>
      </w:r>
      <w:r>
        <w:rPr>
          <w:sz w:val="24"/>
          <w:szCs w:val="24"/>
        </w:rPr>
        <w:t>, 56-68.</w:t>
      </w:r>
    </w:p>
    <w:p w:rsidR="00D10A31" w14:paraId="19C24AED" w14:textId="77777777">
      <w:pPr>
        <w:spacing w:before="120"/>
        <w:ind w:left="720" w:hanging="720"/>
        <w:rPr>
          <w:sz w:val="24"/>
          <w:szCs w:val="24"/>
        </w:rPr>
      </w:pPr>
      <w:r>
        <w:rPr>
          <w:sz w:val="24"/>
          <w:szCs w:val="24"/>
        </w:rPr>
        <w:t>Leong, K.M., Torres, A., Wise, S., &amp; Hospital, J. (2020). Beyond recreation: When fishing motivations are more than sport or pleasure. NOAA Admin Rep. H-20-05, 57 p. doi:10.25923/k5hk-x319.</w:t>
      </w:r>
    </w:p>
    <w:p w:rsidR="00D10A31" w14:paraId="4DC12EDA" w14:textId="77777777">
      <w:pPr>
        <w:spacing w:before="120"/>
        <w:ind w:left="720" w:hanging="720"/>
        <w:rPr>
          <w:sz w:val="24"/>
          <w:szCs w:val="24"/>
        </w:rPr>
      </w:pPr>
      <w:r>
        <w:rPr>
          <w:sz w:val="24"/>
          <w:szCs w:val="24"/>
        </w:rPr>
        <w:t xml:space="preserve">Link, M.W., Battaglia, M.P., Frankel, M.R., Osborn, L., &amp; </w:t>
      </w:r>
      <w:r>
        <w:rPr>
          <w:sz w:val="24"/>
          <w:szCs w:val="24"/>
        </w:rPr>
        <w:t>Mokdad</w:t>
      </w:r>
      <w:r>
        <w:rPr>
          <w:sz w:val="24"/>
          <w:szCs w:val="24"/>
        </w:rPr>
        <w:t xml:space="preserve">, A.H. (2008). Comparison of address-based sampling (ABS) versus random digit dialing (RDD) for general population surveys. </w:t>
      </w:r>
      <w:r>
        <w:rPr>
          <w:i/>
          <w:sz w:val="24"/>
          <w:szCs w:val="24"/>
        </w:rPr>
        <w:t>Public Opinion Quarterly</w:t>
      </w:r>
      <w:r>
        <w:rPr>
          <w:sz w:val="24"/>
          <w:szCs w:val="24"/>
        </w:rPr>
        <w:t xml:space="preserve">, </w:t>
      </w:r>
      <w:r>
        <w:rPr>
          <w:i/>
          <w:sz w:val="24"/>
          <w:szCs w:val="24"/>
        </w:rPr>
        <w:t>72</w:t>
      </w:r>
      <w:r>
        <w:rPr>
          <w:sz w:val="24"/>
          <w:szCs w:val="24"/>
        </w:rPr>
        <w:t xml:space="preserve">(1), 6-27. </w:t>
      </w:r>
    </w:p>
    <w:p w:rsidR="00D10A31" w14:paraId="072F4959" w14:textId="77777777">
      <w:pPr>
        <w:spacing w:before="120"/>
        <w:ind w:left="720" w:hanging="720"/>
        <w:rPr>
          <w:sz w:val="24"/>
          <w:szCs w:val="24"/>
        </w:rPr>
      </w:pPr>
      <w:r>
        <w:rPr>
          <w:sz w:val="24"/>
          <w:szCs w:val="24"/>
        </w:rPr>
        <w:t xml:space="preserve">Loomis, D.K., &amp; Paterson, S.K. (2014). The human dimensions of coastal ecosystem services: Managing for social values. </w:t>
      </w:r>
      <w:r>
        <w:rPr>
          <w:i/>
          <w:sz w:val="24"/>
          <w:szCs w:val="24"/>
        </w:rPr>
        <w:t>Ecological Indicators</w:t>
      </w:r>
      <w:r>
        <w:rPr>
          <w:sz w:val="24"/>
          <w:szCs w:val="24"/>
        </w:rPr>
        <w:t xml:space="preserve">, </w:t>
      </w:r>
      <w:r>
        <w:rPr>
          <w:i/>
          <w:sz w:val="24"/>
          <w:szCs w:val="24"/>
        </w:rPr>
        <w:t>44</w:t>
      </w:r>
      <w:r>
        <w:rPr>
          <w:sz w:val="24"/>
          <w:szCs w:val="24"/>
        </w:rPr>
        <w:t>, 6 – 10.</w:t>
      </w:r>
    </w:p>
    <w:p w:rsidR="00D10A31" w14:paraId="3C1DA13E" w14:textId="77777777">
      <w:pPr>
        <w:widowControl/>
        <w:spacing w:before="120" w:line="259" w:lineRule="auto"/>
        <w:ind w:left="720" w:hanging="720"/>
        <w:rPr>
          <w:sz w:val="24"/>
          <w:szCs w:val="24"/>
        </w:rPr>
      </w:pPr>
      <w:r>
        <w:rPr>
          <w:sz w:val="24"/>
          <w:szCs w:val="24"/>
        </w:rPr>
        <w:t>Loomis, D.K., Anderson, L.E., Hawkins, C., &amp; Paterson, S.K. (2008a). Understanding coral reef use: SCUBA diving in the Florida Keys by residents and non-residents during 2006-2007. The Florida Reef Resilience Program, (p. 141).</w:t>
      </w:r>
    </w:p>
    <w:p w:rsidR="00D10A31" w14:paraId="57BF8D0E" w14:textId="77777777">
      <w:pPr>
        <w:widowControl/>
        <w:spacing w:before="120" w:line="259" w:lineRule="auto"/>
        <w:ind w:left="720" w:hanging="720"/>
        <w:rPr>
          <w:sz w:val="24"/>
          <w:szCs w:val="24"/>
        </w:rPr>
      </w:pPr>
      <w:r>
        <w:rPr>
          <w:sz w:val="24"/>
          <w:szCs w:val="24"/>
        </w:rPr>
        <w:t>Loomis, D.K., Anderson, L.E., Hawkins, C., &amp; Paterson, S.K. (2008b). Understanding coral reef use: recreational fishing in the Florida Keys by residents and non-residents during 2006-2007. The Florida Reef Resilience Program, (p. 119).</w:t>
      </w:r>
    </w:p>
    <w:p w:rsidR="00D10A31" w14:paraId="6A934181" w14:textId="77777777">
      <w:pPr>
        <w:spacing w:before="120"/>
        <w:ind w:left="720" w:hanging="720"/>
        <w:rPr>
          <w:sz w:val="24"/>
          <w:szCs w:val="24"/>
        </w:rPr>
      </w:pPr>
      <w:r>
        <w:rPr>
          <w:sz w:val="24"/>
          <w:szCs w:val="24"/>
        </w:rPr>
        <w:t>Loomis, D.K., Anderson, L.E., Hawkins, C., &amp; Paterson, S.K. (2008c). Understanding coral reef use: snorkeling in the Florida Keys by residents and non-residents during 2006-2007. The Florida Reef Resilience Program, (p. 135).</w:t>
      </w:r>
    </w:p>
    <w:p w:rsidR="00D10A31" w14:paraId="2E44CF86" w14:textId="77777777">
      <w:pPr>
        <w:spacing w:before="120"/>
        <w:ind w:left="720" w:hanging="720"/>
        <w:rPr>
          <w:sz w:val="24"/>
          <w:szCs w:val="24"/>
        </w:rPr>
      </w:pPr>
      <w:r>
        <w:rPr>
          <w:sz w:val="24"/>
          <w:szCs w:val="24"/>
        </w:rPr>
        <w:t xml:space="preserve">Messer, B.L., &amp; </w:t>
      </w:r>
      <w:r>
        <w:rPr>
          <w:sz w:val="24"/>
          <w:szCs w:val="24"/>
        </w:rPr>
        <w:t>Dillman</w:t>
      </w:r>
      <w:r>
        <w:rPr>
          <w:sz w:val="24"/>
          <w:szCs w:val="24"/>
        </w:rPr>
        <w:t xml:space="preserve">, D.A. (2011). Surveying the general public over the internet using address-based sampling and mail contact procedures. </w:t>
      </w:r>
      <w:r>
        <w:rPr>
          <w:i/>
          <w:sz w:val="24"/>
          <w:szCs w:val="24"/>
        </w:rPr>
        <w:t>The Public Opinion Quarterly</w:t>
      </w:r>
      <w:r>
        <w:rPr>
          <w:sz w:val="24"/>
          <w:szCs w:val="24"/>
        </w:rPr>
        <w:t xml:space="preserve">, </w:t>
      </w:r>
      <w:r>
        <w:rPr>
          <w:i/>
          <w:sz w:val="24"/>
          <w:szCs w:val="24"/>
        </w:rPr>
        <w:t>75</w:t>
      </w:r>
      <w:r>
        <w:rPr>
          <w:sz w:val="24"/>
          <w:szCs w:val="24"/>
        </w:rPr>
        <w:t>(3), 429-457.</w:t>
      </w:r>
    </w:p>
    <w:p w:rsidR="00D10A31" w14:paraId="20DA2378" w14:textId="77777777">
      <w:pPr>
        <w:widowControl/>
        <w:pBdr>
          <w:top w:val="nil"/>
          <w:left w:val="nil"/>
          <w:bottom w:val="nil"/>
          <w:right w:val="nil"/>
          <w:between w:val="nil"/>
        </w:pBdr>
        <w:spacing w:before="120"/>
        <w:ind w:left="720" w:hanging="720"/>
        <w:rPr>
          <w:color w:val="000000"/>
          <w:sz w:val="24"/>
          <w:szCs w:val="24"/>
        </w:rPr>
      </w:pPr>
      <w:r>
        <w:rPr>
          <w:color w:val="000000"/>
          <w:sz w:val="24"/>
          <w:szCs w:val="24"/>
        </w:rPr>
        <w:t xml:space="preserve">Morgan, G.A., </w:t>
      </w:r>
      <w:r>
        <w:rPr>
          <w:color w:val="000000"/>
          <w:sz w:val="24"/>
          <w:szCs w:val="24"/>
        </w:rPr>
        <w:t>Gliner</w:t>
      </w:r>
      <w:r>
        <w:rPr>
          <w:color w:val="000000"/>
          <w:sz w:val="24"/>
          <w:szCs w:val="24"/>
        </w:rPr>
        <w:t xml:space="preserve">, J.A., &amp; Harmon, R.J. with Kraemer, H.C., Leech, N.L., &amp; </w:t>
      </w:r>
      <w:r>
        <w:rPr>
          <w:color w:val="000000"/>
          <w:sz w:val="24"/>
          <w:szCs w:val="24"/>
        </w:rPr>
        <w:t>Vaske</w:t>
      </w:r>
      <w:r>
        <w:rPr>
          <w:color w:val="000000"/>
          <w:sz w:val="24"/>
          <w:szCs w:val="24"/>
        </w:rPr>
        <w:t xml:space="preserve">, J.J. (2006). </w:t>
      </w:r>
      <w:r>
        <w:rPr>
          <w:i/>
          <w:color w:val="000000"/>
          <w:sz w:val="24"/>
          <w:szCs w:val="24"/>
        </w:rPr>
        <w:t>Understanding and evaluating research in applied and clinical settings</w:t>
      </w:r>
      <w:r>
        <w:rPr>
          <w:color w:val="000000"/>
          <w:sz w:val="24"/>
          <w:szCs w:val="24"/>
        </w:rPr>
        <w:t>. Mahwah, NJ: Lawrence Erlbaum Associates.</w:t>
      </w:r>
    </w:p>
    <w:p w:rsidR="00D10A31" w14:paraId="6B8F79A0" w14:textId="77777777">
      <w:pPr>
        <w:spacing w:before="120"/>
        <w:ind w:left="720" w:hanging="720"/>
        <w:rPr>
          <w:sz w:val="24"/>
          <w:szCs w:val="24"/>
        </w:rPr>
      </w:pPr>
      <w:r>
        <w:rPr>
          <w:sz w:val="24"/>
          <w:szCs w:val="24"/>
        </w:rPr>
        <w:t xml:space="preserve">Peng, T. K., Peterson, M. F., &amp; </w:t>
      </w:r>
      <w:r>
        <w:rPr>
          <w:sz w:val="24"/>
          <w:szCs w:val="24"/>
        </w:rPr>
        <w:t>Shyi</w:t>
      </w:r>
      <w:r>
        <w:rPr>
          <w:sz w:val="24"/>
          <w:szCs w:val="24"/>
        </w:rPr>
        <w:t>, Y. P. (1991). Quantitative Methods in Cross-National Management Research: Trends and Equivalence Issues. </w:t>
      </w:r>
      <w:r>
        <w:rPr>
          <w:i/>
          <w:sz w:val="24"/>
          <w:szCs w:val="24"/>
        </w:rPr>
        <w:t>Journal of Organizational Behavior</w:t>
      </w:r>
      <w:r>
        <w:rPr>
          <w:sz w:val="24"/>
          <w:szCs w:val="24"/>
        </w:rPr>
        <w:t>, 12(2), 87-107.</w:t>
      </w:r>
    </w:p>
    <w:p w:rsidR="00D10A31" w14:paraId="7A39D074" w14:textId="77777777">
      <w:pPr>
        <w:spacing w:before="120"/>
        <w:ind w:left="720" w:hanging="720"/>
        <w:rPr>
          <w:sz w:val="24"/>
          <w:szCs w:val="24"/>
        </w:rPr>
      </w:pPr>
      <w:r>
        <w:rPr>
          <w:sz w:val="24"/>
          <w:szCs w:val="24"/>
        </w:rPr>
        <w:t xml:space="preserve">Perez, C.M., Guzman, M., Ortiz, A.P., Estrella, M., Valle, Y., Perez, N., Haddock, L., &amp; Suarez, E. (2008). Prevalence of the metabolic syndrome in San Juan, Puerto Rico. </w:t>
      </w:r>
      <w:r>
        <w:rPr>
          <w:i/>
          <w:sz w:val="24"/>
          <w:szCs w:val="24"/>
        </w:rPr>
        <w:t>Ethnicity and Disease</w:t>
      </w:r>
      <w:r>
        <w:rPr>
          <w:sz w:val="24"/>
          <w:szCs w:val="24"/>
        </w:rPr>
        <w:t xml:space="preserve">, </w:t>
      </w:r>
      <w:r>
        <w:rPr>
          <w:i/>
          <w:sz w:val="24"/>
          <w:szCs w:val="24"/>
        </w:rPr>
        <w:t>18</w:t>
      </w:r>
      <w:r>
        <w:rPr>
          <w:sz w:val="24"/>
          <w:szCs w:val="24"/>
        </w:rPr>
        <w:t>(4), 434 – 441.</w:t>
      </w:r>
    </w:p>
    <w:p w:rsidR="00D10A31" w14:paraId="16FEF08C" w14:textId="77777777">
      <w:pPr>
        <w:spacing w:before="120"/>
        <w:ind w:left="720" w:hanging="720"/>
        <w:rPr>
          <w:sz w:val="24"/>
          <w:szCs w:val="24"/>
        </w:rPr>
      </w:pPr>
      <w:r>
        <w:rPr>
          <w:sz w:val="24"/>
          <w:szCs w:val="24"/>
        </w:rPr>
        <w:t xml:space="preserve">Petty, R.E., &amp; Cacioppo, J.T. (1986). </w:t>
      </w:r>
      <w:r>
        <w:rPr>
          <w:i/>
          <w:sz w:val="24"/>
          <w:szCs w:val="24"/>
        </w:rPr>
        <w:t>Communication and persuasion: Central and peripheral routes to attitude change</w:t>
      </w:r>
      <w:r>
        <w:rPr>
          <w:sz w:val="24"/>
          <w:szCs w:val="24"/>
        </w:rPr>
        <w:t>. New York: Springer-Verlag.</w:t>
      </w:r>
    </w:p>
    <w:p w:rsidR="00D10A31" w14:paraId="4D5EEED2" w14:textId="77777777">
      <w:pPr>
        <w:pBdr>
          <w:top w:val="nil"/>
          <w:left w:val="nil"/>
          <w:bottom w:val="nil"/>
          <w:right w:val="nil"/>
          <w:between w:val="nil"/>
        </w:pBdr>
        <w:spacing w:before="120"/>
        <w:ind w:left="720" w:hanging="720"/>
        <w:rPr>
          <w:color w:val="000000"/>
          <w:sz w:val="24"/>
          <w:szCs w:val="24"/>
        </w:rPr>
      </w:pPr>
      <w:r>
        <w:rPr>
          <w:color w:val="000000"/>
          <w:sz w:val="24"/>
          <w:szCs w:val="24"/>
        </w:rPr>
        <w:t xml:space="preserve">Revilla, M. A., Saris, W. E., &amp; Krosnick, J. A. (2014). Choosing the Number of Categories in Agree-Disagree Scales. </w:t>
      </w:r>
      <w:r>
        <w:rPr>
          <w:i/>
          <w:color w:val="000000"/>
          <w:sz w:val="24"/>
          <w:szCs w:val="24"/>
        </w:rPr>
        <w:t>Sociological Methods &amp; Research</w:t>
      </w:r>
      <w:r>
        <w:rPr>
          <w:color w:val="000000"/>
          <w:sz w:val="24"/>
          <w:szCs w:val="24"/>
        </w:rPr>
        <w:t xml:space="preserve">, </w:t>
      </w:r>
      <w:r>
        <w:rPr>
          <w:i/>
          <w:color w:val="000000"/>
          <w:sz w:val="24"/>
          <w:szCs w:val="24"/>
        </w:rPr>
        <w:t>43</w:t>
      </w:r>
      <w:r>
        <w:rPr>
          <w:color w:val="000000"/>
          <w:sz w:val="24"/>
          <w:szCs w:val="24"/>
        </w:rPr>
        <w:t xml:space="preserve">(1), 73–97. </w:t>
      </w:r>
    </w:p>
    <w:p w:rsidR="00D10A31" w14:paraId="4DFCBE76" w14:textId="77777777">
      <w:pPr>
        <w:spacing w:before="120"/>
        <w:rPr>
          <w:sz w:val="24"/>
          <w:szCs w:val="24"/>
        </w:rPr>
      </w:pPr>
      <w:r>
        <w:rPr>
          <w:sz w:val="24"/>
          <w:szCs w:val="24"/>
        </w:rPr>
        <w:t xml:space="preserve">Rosenthal, R. (1994). Parametric measures of effect size. In H. Cooper &amp; L. Hedges (Eds.), </w:t>
      </w:r>
      <w:r>
        <w:rPr>
          <w:i/>
          <w:sz w:val="24"/>
          <w:szCs w:val="24"/>
        </w:rPr>
        <w:t xml:space="preserve">The </w:t>
      </w:r>
    </w:p>
    <w:p w:rsidR="00D10A31" w14:paraId="74239C57" w14:textId="77777777">
      <w:pPr>
        <w:ind w:firstLine="720"/>
        <w:rPr>
          <w:sz w:val="24"/>
          <w:szCs w:val="24"/>
        </w:rPr>
      </w:pPr>
      <w:r>
        <w:rPr>
          <w:i/>
          <w:sz w:val="24"/>
          <w:szCs w:val="24"/>
        </w:rPr>
        <w:t xml:space="preserve">handbook of research synthesis </w:t>
      </w:r>
      <w:r>
        <w:rPr>
          <w:sz w:val="24"/>
          <w:szCs w:val="24"/>
        </w:rPr>
        <w:t>(pp. 231-244). New York, NY: Russell Sage Foundation.</w:t>
      </w:r>
    </w:p>
    <w:p w:rsidR="00D10A31" w14:paraId="1531AFE4" w14:textId="77777777">
      <w:pPr>
        <w:spacing w:before="120"/>
        <w:rPr>
          <w:sz w:val="24"/>
          <w:szCs w:val="24"/>
        </w:rPr>
      </w:pPr>
      <w:r>
        <w:rPr>
          <w:sz w:val="24"/>
          <w:szCs w:val="24"/>
        </w:rPr>
        <w:t xml:space="preserve">Rosenthal, R., </w:t>
      </w:r>
      <w:r>
        <w:rPr>
          <w:sz w:val="24"/>
          <w:szCs w:val="24"/>
        </w:rPr>
        <w:t>Rosnow</w:t>
      </w:r>
      <w:r>
        <w:rPr>
          <w:sz w:val="24"/>
          <w:szCs w:val="24"/>
        </w:rPr>
        <w:t xml:space="preserve">, R.L., &amp; Rubin, D.B. (2000). </w:t>
      </w:r>
      <w:r>
        <w:rPr>
          <w:i/>
          <w:sz w:val="24"/>
          <w:szCs w:val="24"/>
        </w:rPr>
        <w:t xml:space="preserve">Contrasts and effect sizes in behavioral </w:t>
      </w:r>
    </w:p>
    <w:p w:rsidR="00D10A31" w14:paraId="2E358217" w14:textId="77777777">
      <w:pPr>
        <w:ind w:firstLine="720"/>
        <w:rPr>
          <w:sz w:val="24"/>
          <w:szCs w:val="24"/>
        </w:rPr>
      </w:pPr>
      <w:r>
        <w:rPr>
          <w:i/>
          <w:sz w:val="24"/>
          <w:szCs w:val="24"/>
        </w:rPr>
        <w:t xml:space="preserve">research: A correlational approach. </w:t>
      </w:r>
      <w:r>
        <w:rPr>
          <w:sz w:val="24"/>
          <w:szCs w:val="24"/>
        </w:rPr>
        <w:t>Cambridge, UK: Cambridge University Press.</w:t>
      </w:r>
    </w:p>
    <w:p w:rsidR="00D10A31" w14:paraId="55CC720A" w14:textId="77777777">
      <w:pPr>
        <w:pBdr>
          <w:top w:val="nil"/>
          <w:left w:val="nil"/>
          <w:bottom w:val="nil"/>
          <w:right w:val="nil"/>
          <w:between w:val="nil"/>
        </w:pBdr>
        <w:spacing w:before="120"/>
        <w:ind w:left="720" w:hanging="720"/>
        <w:rPr>
          <w:color w:val="000000"/>
          <w:sz w:val="24"/>
          <w:szCs w:val="24"/>
        </w:rPr>
      </w:pPr>
      <w:r>
        <w:rPr>
          <w:color w:val="000000"/>
          <w:sz w:val="24"/>
          <w:szCs w:val="24"/>
        </w:rPr>
        <w:t>Singh, J. (1995). Measurement Issues in Cross-Cultural Research. </w:t>
      </w:r>
      <w:r>
        <w:rPr>
          <w:i/>
          <w:color w:val="000000"/>
          <w:sz w:val="24"/>
          <w:szCs w:val="24"/>
        </w:rPr>
        <w:t>Journal of International Business Studies</w:t>
      </w:r>
      <w:r>
        <w:rPr>
          <w:color w:val="000000"/>
          <w:sz w:val="24"/>
          <w:szCs w:val="24"/>
        </w:rPr>
        <w:t>, 26(3), 597-619.</w:t>
      </w:r>
    </w:p>
    <w:p w:rsidR="00D10A31" w14:paraId="1F3FC0A0" w14:textId="77777777">
      <w:pPr>
        <w:spacing w:before="120"/>
        <w:rPr>
          <w:sz w:val="24"/>
          <w:szCs w:val="24"/>
        </w:rPr>
      </w:pPr>
      <w:r>
        <w:rPr>
          <w:sz w:val="24"/>
          <w:szCs w:val="24"/>
        </w:rPr>
        <w:t>Vaske</w:t>
      </w:r>
      <w:r>
        <w:rPr>
          <w:sz w:val="24"/>
          <w:szCs w:val="24"/>
        </w:rPr>
        <w:t xml:space="preserve">, J.J. (2008). </w:t>
      </w:r>
      <w:r>
        <w:rPr>
          <w:i/>
          <w:sz w:val="24"/>
          <w:szCs w:val="24"/>
        </w:rPr>
        <w:t xml:space="preserve">Survey research and analysis: Applications in parks, recreation and human </w:t>
      </w:r>
    </w:p>
    <w:p w:rsidR="00D10A31" w14:paraId="6BCD8F8A" w14:textId="77777777">
      <w:pPr>
        <w:ind w:firstLine="720"/>
        <w:rPr>
          <w:sz w:val="24"/>
          <w:szCs w:val="24"/>
        </w:rPr>
      </w:pPr>
      <w:r>
        <w:rPr>
          <w:i/>
          <w:sz w:val="24"/>
          <w:szCs w:val="24"/>
        </w:rPr>
        <w:t>dimensions</w:t>
      </w:r>
      <w:r>
        <w:rPr>
          <w:sz w:val="24"/>
          <w:szCs w:val="24"/>
        </w:rPr>
        <w:t>. State College, PA: Venture Publishing.</w:t>
      </w:r>
    </w:p>
    <w:p w:rsidR="00D10A31" w14:paraId="4808A408" w14:textId="77777777">
      <w:pPr>
        <w:spacing w:before="120"/>
        <w:ind w:left="720" w:hanging="720"/>
        <w:rPr>
          <w:sz w:val="24"/>
          <w:szCs w:val="24"/>
        </w:rPr>
      </w:pPr>
      <w:r>
        <w:rPr>
          <w:sz w:val="24"/>
          <w:szCs w:val="24"/>
        </w:rPr>
        <w:t>Vaske</w:t>
      </w:r>
      <w:r>
        <w:rPr>
          <w:sz w:val="24"/>
          <w:szCs w:val="24"/>
        </w:rPr>
        <w:t xml:space="preserve">, J.J., &amp; Donnelly, M.P. (1999). A value-attitude-behavior model predicting wildland preservation voting intentions. </w:t>
      </w:r>
      <w:r>
        <w:rPr>
          <w:i/>
          <w:sz w:val="24"/>
          <w:szCs w:val="24"/>
        </w:rPr>
        <w:t>Society and Natural Resources</w:t>
      </w:r>
      <w:r>
        <w:rPr>
          <w:sz w:val="24"/>
          <w:szCs w:val="24"/>
        </w:rPr>
        <w:t xml:space="preserve">, </w:t>
      </w:r>
      <w:r>
        <w:rPr>
          <w:i/>
          <w:sz w:val="24"/>
          <w:szCs w:val="24"/>
        </w:rPr>
        <w:t>12</w:t>
      </w:r>
      <w:r>
        <w:rPr>
          <w:sz w:val="24"/>
          <w:szCs w:val="24"/>
        </w:rPr>
        <w:t>, 523 – 537.</w:t>
      </w:r>
    </w:p>
    <w:p w:rsidR="00D10A31" w14:paraId="0E89AD56" w14:textId="77777777">
      <w:pPr>
        <w:ind w:left="720" w:hanging="720"/>
        <w:rPr>
          <w:sz w:val="24"/>
          <w:szCs w:val="24"/>
        </w:rPr>
      </w:pPr>
    </w:p>
    <w:p w:rsidR="00D10A31" w14:paraId="52CB7B55" w14:textId="77777777">
      <w:pPr>
        <w:rPr>
          <w:sz w:val="24"/>
          <w:szCs w:val="24"/>
        </w:rPr>
      </w:pPr>
    </w:p>
    <w:sectPr>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2D291988"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5908EE08"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3E5E51">
      <w:rPr>
        <w:noProof/>
        <w:color w:val="000000"/>
      </w:rPr>
      <w:t>1</w:t>
    </w:r>
    <w:r>
      <w:rPr>
        <w:color w:val="000000"/>
      </w:rPr>
      <w:fldChar w:fldCharType="end"/>
    </w:r>
  </w:p>
  <w:p w:rsidR="00D10A31" w14:paraId="46A08B83" w14:textId="7777777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04DC53E2"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B528B" w14:paraId="5BD17567" w14:textId="77777777">
      <w:r>
        <w:separator/>
      </w:r>
    </w:p>
  </w:footnote>
  <w:footnote w:type="continuationSeparator" w:id="1">
    <w:p w:rsidR="001B528B" w14:paraId="2D0357E9" w14:textId="77777777">
      <w:r>
        <w:continuationSeparator/>
      </w:r>
    </w:p>
  </w:footnote>
  <w:footnote w:id="2">
    <w:p w:rsidR="00D10A31" w14:paraId="756A3047"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1">
        <w:r>
          <w:rPr>
            <w:color w:val="0000FF"/>
            <w:u w:val="single"/>
          </w:rPr>
          <w:t>https://www.census.gov/quickfacts/fact/table/PR/PST045222</w:t>
        </w:r>
      </w:hyperlink>
      <w:r>
        <w:rPr>
          <w:color w:val="000000"/>
        </w:rPr>
        <w:t xml:space="preserve"> [Census Total Population]</w:t>
      </w:r>
    </w:p>
  </w:footnote>
  <w:footnote w:id="3">
    <w:p w:rsidR="00D10A31" w14:paraId="05CB0444"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2">
        <w:r>
          <w:rPr>
            <w:color w:val="0000FF"/>
            <w:u w:val="single"/>
          </w:rPr>
          <w:t>https://www.census.gov/library/stories/state-by-state/florida-population-change-between-census-decade.html</w:t>
        </w:r>
      </w:hyperlink>
      <w:r>
        <w:t xml:space="preserve"> </w:t>
      </w:r>
      <w:r>
        <w:rPr>
          <w:color w:val="000000"/>
        </w:rPr>
        <w:t xml:space="preserve"> [Census Total Population for five counties]</w:t>
      </w:r>
    </w:p>
  </w:footnote>
  <w:footnote w:id="4">
    <w:p w:rsidR="00D10A31" w14:paraId="586F4A8A"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3">
        <w:r>
          <w:rPr>
            <w:color w:val="0000FF"/>
            <w:u w:val="single"/>
          </w:rPr>
          <w:t>https://www.census.gov/data/tables/2020/dec/2020-us-virgin-islands.html</w:t>
        </w:r>
      </w:hyperlink>
      <w:r>
        <w:rPr>
          <w:color w:val="000000"/>
        </w:rPr>
        <w:t xml:space="preserve"> [Census Total Population for three islands only]</w:t>
      </w:r>
    </w:p>
  </w:footnote>
  <w:footnote w:id="5">
    <w:p w:rsidR="00D10A31" w14:paraId="408B85EC"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4">
        <w:r>
          <w:rPr>
            <w:color w:val="0000FF"/>
            <w:u w:val="single"/>
          </w:rPr>
          <w:t>https://www.census.gov/data/tables/2020/dec/2020-guam.html</w:t>
        </w:r>
      </w:hyperlink>
      <w:r>
        <w:t xml:space="preserve"> </w:t>
      </w:r>
      <w:r>
        <w:rPr>
          <w:color w:val="000000"/>
        </w:rPr>
        <w:t>[Census Total Population]</w:t>
      </w:r>
    </w:p>
  </w:footnote>
  <w:footnote w:id="6">
    <w:p w:rsidR="00D10A31" w14:paraId="439D76E4"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5">
        <w:r>
          <w:rPr>
            <w:color w:val="0000FF"/>
            <w:u w:val="single"/>
          </w:rPr>
          <w:t>https://www.census.gov/data/tables/2020/dec/2020-american-samoa.html</w:t>
        </w:r>
      </w:hyperlink>
      <w:r>
        <w:t xml:space="preserve"> </w:t>
      </w:r>
      <w:r>
        <w:rPr>
          <w:color w:val="000000"/>
        </w:rPr>
        <w:t xml:space="preserve">[Census Total Population for Eastern &amp; Western Districts; </w:t>
      </w:r>
      <w:r>
        <w:rPr>
          <w:color w:val="000000"/>
        </w:rPr>
        <w:t>Ofu</w:t>
      </w:r>
      <w:r>
        <w:rPr>
          <w:color w:val="000000"/>
        </w:rPr>
        <w:t xml:space="preserve">, </w:t>
      </w:r>
      <w:r>
        <w:rPr>
          <w:color w:val="000000"/>
        </w:rPr>
        <w:t>Olosega</w:t>
      </w:r>
      <w:r>
        <w:rPr>
          <w:color w:val="000000"/>
        </w:rPr>
        <w:t>, Tau Counties]</w:t>
      </w:r>
    </w:p>
  </w:footnote>
  <w:footnote w:id="7">
    <w:p w:rsidR="00D10A31" w14:paraId="0AE6DF99"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6">
        <w:r>
          <w:rPr>
            <w:color w:val="0000FF"/>
            <w:u w:val="single"/>
          </w:rPr>
          <w:t>https://census.hawaii.gov/census_2020/data/</w:t>
        </w:r>
      </w:hyperlink>
      <w:r>
        <w:t xml:space="preserve"> </w:t>
      </w:r>
      <w:r>
        <w:rPr>
          <w:color w:val="000000"/>
        </w:rPr>
        <w:t>[Census Total Population for Hawai’i, Honolulu, Kauai, and Maui Counties]</w:t>
      </w:r>
    </w:p>
  </w:footnote>
  <w:footnote w:id="8">
    <w:p w:rsidR="00D10A31" w14:paraId="561CB118" w14:textId="77777777">
      <w:pPr>
        <w:pBdr>
          <w:top w:val="nil"/>
          <w:left w:val="nil"/>
          <w:bottom w:val="nil"/>
          <w:right w:val="nil"/>
          <w:between w:val="nil"/>
        </w:pBdr>
        <w:rPr>
          <w:color w:val="000000"/>
        </w:rPr>
      </w:pPr>
      <w:r>
        <w:rPr>
          <w:vertAlign w:val="superscript"/>
        </w:rPr>
        <w:footnoteRef/>
      </w:r>
      <w:r>
        <w:rPr>
          <w:color w:val="000000"/>
        </w:rPr>
        <w:t xml:space="preserve"> </w:t>
      </w:r>
      <w:hyperlink r:id="rId7">
        <w:r>
          <w:rPr>
            <w:color w:val="0000FF"/>
            <w:u w:val="single"/>
          </w:rPr>
          <w:t>https://www.census.gov/data/tables/2020/dec/2020-commonwealth-northern-mariana-islands.html</w:t>
        </w:r>
      </w:hyperlink>
      <w:r>
        <w:t xml:space="preserve"> </w:t>
      </w:r>
      <w:r>
        <w:rPr>
          <w:color w:val="000000"/>
        </w:rPr>
        <w:t>[Census Total Population for Saipan, Tinian, Rota]</w:t>
      </w:r>
    </w:p>
  </w:footnote>
  <w:footnote w:id="9">
    <w:p w:rsidR="00D10A31" w14:paraId="25C2CE9F" w14:textId="77777777">
      <w:pPr>
        <w:pBdr>
          <w:top w:val="nil"/>
          <w:left w:val="nil"/>
          <w:bottom w:val="nil"/>
          <w:right w:val="nil"/>
          <w:between w:val="nil"/>
        </w:pBdr>
        <w:rPr>
          <w:color w:val="000000"/>
        </w:rPr>
      </w:pPr>
      <w:r>
        <w:rPr>
          <w:vertAlign w:val="superscript"/>
        </w:rPr>
        <w:footnoteRef/>
      </w:r>
      <w:r>
        <w:rPr>
          <w:color w:val="000000"/>
        </w:rPr>
        <w:t xml:space="preserve"> The NCRMP socioeconomics team is exploring modification to this approach for handling missing data (e.g., multiple imputation).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40FA62E3"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6D40774A"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78119D0B"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EA3638"/>
    <w:multiLevelType w:val="multilevel"/>
    <w:tmpl w:val="8C9827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2AB77BAA"/>
    <w:multiLevelType w:val="multilevel"/>
    <w:tmpl w:val="F782BCA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376D1EDE"/>
    <w:multiLevelType w:val="multilevel"/>
    <w:tmpl w:val="D2825C3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45BA421D"/>
    <w:multiLevelType w:val="multilevel"/>
    <w:tmpl w:val="4C1ACF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nsid w:val="7ED90D2F"/>
    <w:multiLevelType w:val="multilevel"/>
    <w:tmpl w:val="D1589B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31"/>
    <w:rsid w:val="000C72F4"/>
    <w:rsid w:val="001B528B"/>
    <w:rsid w:val="00273D57"/>
    <w:rsid w:val="002A18A0"/>
    <w:rsid w:val="003031A8"/>
    <w:rsid w:val="003E5E51"/>
    <w:rsid w:val="00D10A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6AAA26"/>
  <w15:docId w15:val="{F84A01EA-F0DB-4383-A6C4-08E7D6DE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24"/>
      <w:szCs w:val="24"/>
    </w:rPr>
  </w:style>
  <w:style w:type="paragraph" w:styleId="Heading2">
    <w:name w:val="heading 2"/>
    <w:basedOn w:val="Normal"/>
    <w:next w:val="Normal"/>
    <w:uiPriority w:val="9"/>
    <w:unhideWhenUsed/>
    <w:qFormat/>
    <w:pPr>
      <w:keepNext/>
      <w:widowControl/>
      <w:spacing w:after="60"/>
      <w:outlineLvl w:val="1"/>
    </w:pPr>
    <w:rPr>
      <w:b/>
      <w:sz w:val="24"/>
      <w:szCs w:val="24"/>
      <w:u w:val="single"/>
    </w:rPr>
  </w:style>
  <w:style w:type="paragraph" w:styleId="Heading3">
    <w:name w:val="heading 3"/>
    <w:basedOn w:val="Normal"/>
    <w:next w:val="Normal"/>
    <w:uiPriority w:val="9"/>
    <w:unhideWhenUsed/>
    <w:qFormat/>
    <w:pPr>
      <w:keepNext/>
      <w:keepLines/>
      <w:widowControl/>
      <w:spacing w:before="200"/>
      <w:jc w:val="both"/>
      <w:outlineLvl w:val="2"/>
    </w:pPr>
    <w:rPr>
      <w:b/>
      <w:sz w:val="24"/>
      <w:szCs w:val="24"/>
    </w:rPr>
  </w:style>
  <w:style w:type="paragraph" w:styleId="Heading4">
    <w:name w:val="heading 4"/>
    <w:basedOn w:val="Normal"/>
    <w:next w:val="Normal"/>
    <w:uiPriority w:val="9"/>
    <w:semiHidden/>
    <w:unhideWhenUsed/>
    <w:qFormat/>
    <w:pPr>
      <w:keepNext/>
      <w:widowControl/>
      <w:spacing w:after="60"/>
      <w:ind w:left="864" w:hanging="864"/>
      <w:outlineLvl w:val="3"/>
    </w:pPr>
    <w:rPr>
      <w:sz w:val="24"/>
      <w:szCs w:val="24"/>
      <w:u w:val="single"/>
    </w:rPr>
  </w:style>
  <w:style w:type="paragraph" w:styleId="Heading5">
    <w:name w:val="heading 5"/>
    <w:basedOn w:val="Normal"/>
    <w:next w:val="Normal"/>
    <w:uiPriority w:val="9"/>
    <w:semiHidden/>
    <w:unhideWhenUsed/>
    <w:qFormat/>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uiPriority w:val="9"/>
    <w:semiHidden/>
    <w:unhideWhenUsed/>
    <w:qFormat/>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spacing w:before="960" w:after="120"/>
    </w:pPr>
    <w:rPr>
      <w:rFonts w:ascii="Calibri" w:eastAsia="Calibri" w:hAnsi="Calibri" w:cs="Calibri"/>
      <w:b/>
      <w:color w:val="333399"/>
      <w:sz w:val="56"/>
      <w:szCs w:val="56"/>
    </w:rPr>
  </w:style>
  <w:style w:type="paragraph" w:styleId="Subtitle">
    <w:name w:val="Subtitle"/>
    <w:basedOn w:val="Normal"/>
    <w:next w:val="Normal"/>
    <w:uiPriority w:val="11"/>
    <w:qFormat/>
    <w:pPr>
      <w:widowControl/>
      <w:pBdr>
        <w:top w:val="single" w:sz="24" w:space="6" w:color="808080"/>
      </w:pBdr>
      <w:spacing w:after="60"/>
    </w:pPr>
    <w:rPr>
      <w:rFonts w:ascii="Calibri" w:eastAsia="Calibri" w:hAnsi="Calibri" w:cs="Calibri"/>
      <w:b/>
      <w:color w:val="333399"/>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notes.xml.rels><?xml version="1.0" encoding="utf-8" standalone="yes"?><Relationships xmlns="http://schemas.openxmlformats.org/package/2006/relationships"><Relationship Id="rId1" Type="http://schemas.openxmlformats.org/officeDocument/2006/relationships/hyperlink" Target="http://factfinder2.census.gov/faces/nav/jsf/pages/index.xhtml" TargetMode="External" /><Relationship Id="rId2" Type="http://schemas.openxmlformats.org/officeDocument/2006/relationships/hyperlink" Target="https://www.census.gov/library/stories/state-by-state/florida-population-change-between-census-decade.html" TargetMode="External" /><Relationship Id="rId3" Type="http://schemas.openxmlformats.org/officeDocument/2006/relationships/hyperlink" Target="https://www.census.gov/data/tables/2020/dec/2020-us-virgin-islands.html" TargetMode="External" /><Relationship Id="rId4" Type="http://schemas.openxmlformats.org/officeDocument/2006/relationships/hyperlink" Target="https://www.census.gov/data/tables/2020/dec/2020-guam.html" TargetMode="External" /><Relationship Id="rId5" Type="http://schemas.openxmlformats.org/officeDocument/2006/relationships/hyperlink" Target="https://www.census.gov/data/tables/2020/dec/2020-american-samoa.html" TargetMode="External" /><Relationship Id="rId6" Type="http://schemas.openxmlformats.org/officeDocument/2006/relationships/hyperlink" Target="https://census.hawaii.gov/census_2020/data/" TargetMode="External" /><Relationship Id="rId7" Type="http://schemas.openxmlformats.org/officeDocument/2006/relationships/hyperlink" Target="https://www.census.gov/data/tables/2020/dec/2020-commonwealth-northern-mariana-island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6572</Words>
  <Characters>37465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Tadesse Wodajo</dc:creator>
  <cp:lastModifiedBy>Adrienne.Thomas</cp:lastModifiedBy>
  <cp:revision>2</cp:revision>
  <dcterms:created xsi:type="dcterms:W3CDTF">2024-04-09T18:24:00Z</dcterms:created>
  <dcterms:modified xsi:type="dcterms:W3CDTF">2024-04-09T18:24:00Z</dcterms:modified>
</cp:coreProperties>
</file>