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07EB" w:rsidRPr="00B701E8" w:rsidP="006207EB" w14:paraId="75101597" w14:textId="77777777">
      <w:pPr>
        <w:tabs>
          <w:tab w:val="left" w:pos="540"/>
        </w:tabs>
        <w:ind w:left="540" w:hanging="540"/>
        <w:jc w:val="center"/>
        <w:rPr>
          <w:b/>
        </w:rPr>
      </w:pPr>
      <w:r w:rsidRPr="00B701E8">
        <w:rPr>
          <w:b/>
        </w:rPr>
        <w:t>SUPPORTING STATEMENT</w:t>
      </w:r>
    </w:p>
    <w:p w:rsidR="006207EB" w:rsidRPr="00B701E8" w:rsidP="006207EB" w14:paraId="05193579" w14:textId="77777777">
      <w:pPr>
        <w:tabs>
          <w:tab w:val="left" w:pos="540"/>
        </w:tabs>
        <w:ind w:left="540" w:hanging="540"/>
        <w:jc w:val="center"/>
        <w:rPr>
          <w:b/>
        </w:rPr>
      </w:pPr>
      <w:r w:rsidRPr="00B701E8">
        <w:rPr>
          <w:b/>
        </w:rPr>
        <w:t>U.S. Department of Commerce</w:t>
      </w:r>
    </w:p>
    <w:p w:rsidR="006207EB" w:rsidRPr="00B701E8" w:rsidP="006207EB" w14:paraId="332520ED" w14:textId="77777777">
      <w:pPr>
        <w:tabs>
          <w:tab w:val="left" w:pos="540"/>
        </w:tabs>
        <w:ind w:left="540" w:hanging="540"/>
        <w:jc w:val="center"/>
        <w:rPr>
          <w:b/>
        </w:rPr>
      </w:pPr>
      <w:r w:rsidRPr="00B701E8">
        <w:rPr>
          <w:b/>
        </w:rPr>
        <w:t>National Oceanic &amp; Atmospheric Administration</w:t>
      </w:r>
    </w:p>
    <w:p w:rsidR="003A1E11" w:rsidP="00A44248" w14:paraId="76BD4A84" w14:textId="54DD3FC5">
      <w:pPr>
        <w:pStyle w:val="Default"/>
        <w:jc w:val="center"/>
        <w:rPr>
          <w:rFonts w:ascii="Times New Roman" w:hAnsi="Times New Roman" w:cs="Times New Roman"/>
          <w:b/>
          <w:bCs/>
        </w:rPr>
      </w:pPr>
      <w:r>
        <w:rPr>
          <w:rFonts w:ascii="Times New Roman" w:hAnsi="Times New Roman" w:cs="Times New Roman"/>
          <w:b/>
          <w:bCs/>
        </w:rPr>
        <w:t>Marine Mammal Stranding Report</w:t>
      </w:r>
      <w:r w:rsidR="007D4156">
        <w:rPr>
          <w:rFonts w:ascii="Times New Roman" w:hAnsi="Times New Roman" w:cs="Times New Roman"/>
          <w:b/>
          <w:bCs/>
        </w:rPr>
        <w:t xml:space="preserve">s </w:t>
      </w:r>
      <w:r>
        <w:rPr>
          <w:rFonts w:ascii="Times New Roman" w:hAnsi="Times New Roman" w:cs="Times New Roman"/>
          <w:b/>
          <w:bCs/>
        </w:rPr>
        <w:t>/</w:t>
      </w:r>
      <w:r w:rsidR="007D4156">
        <w:rPr>
          <w:rFonts w:ascii="Times New Roman" w:hAnsi="Times New Roman" w:cs="Times New Roman"/>
          <w:b/>
          <w:bCs/>
        </w:rPr>
        <w:t xml:space="preserve"> </w:t>
      </w:r>
      <w:r>
        <w:rPr>
          <w:rFonts w:ascii="Times New Roman" w:hAnsi="Times New Roman" w:cs="Times New Roman"/>
          <w:b/>
          <w:bCs/>
        </w:rPr>
        <w:t>Marine Mammal Rehabilitation</w:t>
      </w:r>
    </w:p>
    <w:p w:rsidR="00E253D1" w:rsidRPr="00E253D1" w:rsidP="00A44248" w14:paraId="1529FB6A" w14:textId="63372B63">
      <w:pPr>
        <w:pStyle w:val="Default"/>
        <w:jc w:val="center"/>
        <w:rPr>
          <w:rFonts w:ascii="Times New Roman" w:hAnsi="Times New Roman" w:cs="Times New Roman"/>
          <w:b/>
          <w:bCs/>
        </w:rPr>
      </w:pPr>
      <w:r>
        <w:rPr>
          <w:rFonts w:ascii="Times New Roman" w:hAnsi="Times New Roman" w:cs="Times New Roman"/>
          <w:b/>
          <w:bCs/>
        </w:rPr>
        <w:t>Disposition Report</w:t>
      </w:r>
      <w:r w:rsidR="007D4156">
        <w:rPr>
          <w:rFonts w:ascii="Times New Roman" w:hAnsi="Times New Roman" w:cs="Times New Roman"/>
          <w:b/>
          <w:bCs/>
        </w:rPr>
        <w:t xml:space="preserve"> </w:t>
      </w:r>
      <w:r>
        <w:rPr>
          <w:rFonts w:ascii="Times New Roman" w:hAnsi="Times New Roman" w:cs="Times New Roman"/>
          <w:b/>
          <w:bCs/>
        </w:rPr>
        <w:t>/</w:t>
      </w:r>
      <w:r w:rsidR="007D4156">
        <w:rPr>
          <w:rFonts w:ascii="Times New Roman" w:hAnsi="Times New Roman" w:cs="Times New Roman"/>
          <w:b/>
          <w:bCs/>
        </w:rPr>
        <w:t xml:space="preserve"> </w:t>
      </w:r>
      <w:r>
        <w:rPr>
          <w:rFonts w:ascii="Times New Roman" w:hAnsi="Times New Roman" w:cs="Times New Roman"/>
          <w:b/>
          <w:bCs/>
        </w:rPr>
        <w:t>Human Interaction Data Sheet</w:t>
      </w:r>
    </w:p>
    <w:p w:rsidR="00C2777B" w:rsidRPr="00E253D1" w:rsidP="00A44248" w14:paraId="069EBE78" w14:textId="2477AE23">
      <w:pPr>
        <w:pStyle w:val="Default"/>
        <w:jc w:val="center"/>
        <w:rPr>
          <w:rFonts w:ascii="Times New Roman" w:hAnsi="Times New Roman" w:cs="Times New Roman"/>
          <w:b/>
          <w:bCs/>
        </w:rPr>
      </w:pPr>
      <w:r w:rsidRPr="00E253D1">
        <w:rPr>
          <w:rFonts w:ascii="Times New Roman" w:hAnsi="Times New Roman" w:cs="Times New Roman"/>
          <w:b/>
          <w:bCs/>
        </w:rPr>
        <w:t xml:space="preserve">OMB </w:t>
      </w:r>
      <w:r w:rsidR="007B47CD">
        <w:rPr>
          <w:rFonts w:ascii="Times New Roman" w:hAnsi="Times New Roman" w:cs="Times New Roman"/>
          <w:b/>
          <w:bCs/>
        </w:rPr>
        <w:t>Control No</w:t>
      </w:r>
      <w:r w:rsidRPr="00E253D1">
        <w:rPr>
          <w:rFonts w:ascii="Times New Roman" w:hAnsi="Times New Roman" w:cs="Times New Roman"/>
          <w:b/>
          <w:bCs/>
        </w:rPr>
        <w:t>. 0648-0178</w:t>
      </w:r>
    </w:p>
    <w:p w:rsidR="00E253D1" w:rsidRPr="00E253D1" w:rsidP="00A44248" w14:paraId="12FDB479" w14:textId="77777777">
      <w:pPr>
        <w:pStyle w:val="Default"/>
        <w:jc w:val="center"/>
        <w:rPr>
          <w:rFonts w:ascii="Times New Roman" w:hAnsi="Times New Roman" w:cs="Times New Roman"/>
          <w:color w:val="auto"/>
        </w:rPr>
      </w:pPr>
    </w:p>
    <w:p w:rsidR="007B47CD" w14:paraId="198F83A8" w14:textId="3BDA22F5">
      <w:pPr>
        <w:pStyle w:val="CM10"/>
        <w:spacing w:line="280" w:lineRule="atLeast"/>
        <w:rPr>
          <w:rFonts w:ascii="Times New Roman" w:hAnsi="Times New Roman"/>
          <w:b/>
          <w:bCs/>
          <w:u w:val="single"/>
        </w:rPr>
      </w:pPr>
      <w:r w:rsidRPr="007B47CD">
        <w:rPr>
          <w:rFonts w:ascii="Times New Roman" w:hAnsi="Times New Roman"/>
          <w:b/>
          <w:bCs/>
          <w:u w:val="single"/>
        </w:rPr>
        <w:t>Abstract</w:t>
      </w:r>
    </w:p>
    <w:p w:rsidR="007B47CD" w:rsidRPr="007B47CD" w:rsidP="007B47CD" w14:paraId="3E85B6CC" w14:textId="77777777">
      <w:pPr>
        <w:pStyle w:val="CM10"/>
        <w:spacing w:after="0"/>
        <w:ind w:firstLine="720"/>
        <w:rPr>
          <w:rFonts w:ascii="Times New Roman" w:hAnsi="Times New Roman"/>
        </w:rPr>
      </w:pPr>
      <w:r w:rsidRPr="007B47CD">
        <w:rPr>
          <w:rFonts w:ascii="Times New Roman" w:hAnsi="Times New Roman"/>
        </w:rPr>
        <w:t xml:space="preserve">This request is for a 1 year extension of this previously approved data collection. An extension is requested in order to provide time for the program office to address revisions to the collection pursuant to a recent law. Under the </w:t>
      </w:r>
      <w:hyperlink r:id="rId5" w:history="1">
        <w:r w:rsidRPr="007B47CD">
          <w:rPr>
            <w:rStyle w:val="Hyperlink"/>
            <w:rFonts w:ascii="Times New Roman" w:hAnsi="Times New Roman"/>
          </w:rPr>
          <w:t>Marine Mammal Protection Act</w:t>
        </w:r>
      </w:hyperlink>
      <w:r w:rsidRPr="007B47CD">
        <w:rPr>
          <w:rFonts w:ascii="Times New Roman" w:hAnsi="Times New Roman"/>
        </w:rPr>
        <w:t xml:space="preserve"> (MMPA), the Secretary of Commerce (Secretary), who has delegated responsibility under this Act to the National Oceanic and Atmospheric Administration (NOAA) Assistant Administrator for Fisheries, is charged with the protection and management of marine mammals and is responsible for collecting information on marine mammal strandings, which will be compiled and analyzed, by region, to monitor species, numbers, conditions, and causes of illnesses and deaths of stranded animals. The Secretary is also responsible for collection of information on other life history and reference level data, including marine mammal tissue analyses, that would allow comparison of the causes of illness and deaths in stranded marine mammals by physical, chemical, and biological environmental parameters. </w:t>
      </w:r>
    </w:p>
    <w:p w:rsidR="007B47CD" w:rsidRPr="007B47CD" w:rsidP="007B47CD" w14:paraId="3A7BE825" w14:textId="77777777">
      <w:pPr>
        <w:pStyle w:val="Default"/>
      </w:pPr>
    </w:p>
    <w:p w:rsidR="00C2777B" w:rsidRPr="00E253D1" w14:paraId="2A01463F" w14:textId="7455C5BB">
      <w:pPr>
        <w:pStyle w:val="CM10"/>
        <w:spacing w:line="280" w:lineRule="atLeast"/>
        <w:rPr>
          <w:rFonts w:ascii="Times New Roman" w:hAnsi="Times New Roman"/>
        </w:rPr>
      </w:pPr>
      <w:r>
        <w:rPr>
          <w:rFonts w:ascii="Times New Roman" w:hAnsi="Times New Roman"/>
          <w:b/>
          <w:bCs/>
        </w:rPr>
        <w:t>A.</w:t>
      </w:r>
      <w:r>
        <w:rPr>
          <w:rFonts w:ascii="Times New Roman" w:hAnsi="Times New Roman"/>
          <w:b/>
          <w:bCs/>
        </w:rPr>
        <w:tab/>
      </w:r>
      <w:r w:rsidRPr="00E253D1">
        <w:rPr>
          <w:rFonts w:ascii="Times New Roman" w:hAnsi="Times New Roman"/>
          <w:b/>
          <w:bCs/>
        </w:rPr>
        <w:t>Justification</w:t>
      </w:r>
    </w:p>
    <w:p w:rsidR="00EA14CB" w:rsidP="00EA14CB" w14:paraId="361DEB2A" w14:textId="5B2B1B4E">
      <w:pPr>
        <w:pStyle w:val="NormalWeb"/>
        <w:numPr>
          <w:ilvl w:val="0"/>
          <w:numId w:val="3"/>
        </w:numPr>
        <w:spacing w:before="182" w:beforeAutospacing="0" w:after="0" w:afterAutospacing="0"/>
        <w:ind w:left="360"/>
        <w:textAlignment w:val="baseline"/>
        <w:rPr>
          <w:b/>
          <w:bCs/>
          <w:color w:val="000000"/>
        </w:rPr>
      </w:pPr>
      <w:r>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14CB" w:rsidP="00772E58" w14:paraId="2682AB07" w14:textId="77777777">
      <w:pPr>
        <w:pStyle w:val="CM10"/>
        <w:spacing w:after="0"/>
        <w:ind w:firstLine="720"/>
        <w:rPr>
          <w:rFonts w:ascii="Times New Roman" w:hAnsi="Times New Roman"/>
        </w:rPr>
      </w:pPr>
    </w:p>
    <w:p w:rsidR="00C2777B" w:rsidRPr="00E253D1" w14:paraId="5B88A571" w14:textId="5566ADE9">
      <w:pPr>
        <w:pStyle w:val="CM10"/>
        <w:spacing w:line="280" w:lineRule="atLeast"/>
        <w:rPr>
          <w:rFonts w:ascii="Times New Roman" w:hAnsi="Times New Roman"/>
        </w:rPr>
      </w:pPr>
      <w:r w:rsidRPr="00E253D1">
        <w:rPr>
          <w:rFonts w:ascii="Times New Roman" w:hAnsi="Times New Roman"/>
        </w:rPr>
        <w:t xml:space="preserve">Under the </w:t>
      </w:r>
      <w:hyperlink r:id="rId5" w:history="1">
        <w:r w:rsidRPr="007D66F6">
          <w:rPr>
            <w:rStyle w:val="Hyperlink"/>
            <w:rFonts w:ascii="Times New Roman" w:hAnsi="Times New Roman"/>
          </w:rPr>
          <w:t>Marine Mammal P</w:t>
        </w:r>
        <w:r w:rsidRPr="007D66F6" w:rsidR="008E4F0D">
          <w:rPr>
            <w:rStyle w:val="Hyperlink"/>
            <w:rFonts w:ascii="Times New Roman" w:hAnsi="Times New Roman"/>
          </w:rPr>
          <w:t>rotection Act</w:t>
        </w:r>
      </w:hyperlink>
      <w:r w:rsidRPr="00E253D1" w:rsidR="008E4F0D">
        <w:rPr>
          <w:rFonts w:ascii="Times New Roman" w:hAnsi="Times New Roman"/>
        </w:rPr>
        <w:t xml:space="preserve"> (MMPA)</w:t>
      </w:r>
      <w:r w:rsidRPr="00E253D1">
        <w:rPr>
          <w:rFonts w:ascii="Times New Roman" w:hAnsi="Times New Roman"/>
        </w:rPr>
        <w:t xml:space="preserve">, the Secretary (i.e., Secretary of Commerce, who has delegated responsibility under this Act to the </w:t>
      </w:r>
      <w:r w:rsidRPr="00E253D1" w:rsidR="00A44248">
        <w:rPr>
          <w:rFonts w:ascii="Times New Roman" w:hAnsi="Times New Roman"/>
        </w:rPr>
        <w:t>National Oceanic and Atmospheric Administration (</w:t>
      </w:r>
      <w:r w:rsidRPr="00E253D1">
        <w:rPr>
          <w:rFonts w:ascii="Times New Roman" w:hAnsi="Times New Roman"/>
        </w:rPr>
        <w:t>NOAA</w:t>
      </w:r>
      <w:r w:rsidRPr="00E253D1" w:rsidR="00A44248">
        <w:rPr>
          <w:rFonts w:ascii="Times New Roman" w:hAnsi="Times New Roman"/>
        </w:rPr>
        <w:t>)</w:t>
      </w:r>
      <w:r w:rsidRPr="00E253D1">
        <w:rPr>
          <w:rFonts w:ascii="Times New Roman" w:hAnsi="Times New Roman"/>
        </w:rPr>
        <w:t xml:space="preserve"> Assistant Administrator for Fisheries</w:t>
      </w:r>
      <w:r w:rsidRPr="00E253D1" w:rsidR="00A44248">
        <w:rPr>
          <w:rFonts w:ascii="Times New Roman" w:hAnsi="Times New Roman"/>
        </w:rPr>
        <w:t>)</w:t>
      </w:r>
      <w:r w:rsidRPr="00E253D1">
        <w:rPr>
          <w:rFonts w:ascii="Times New Roman" w:hAnsi="Times New Roman"/>
        </w:rPr>
        <w:t xml:space="preserve"> is</w:t>
      </w:r>
      <w:r w:rsidRPr="00E253D1" w:rsidR="008E4F0D">
        <w:rPr>
          <w:rFonts w:ascii="Times New Roman" w:hAnsi="Times New Roman"/>
        </w:rPr>
        <w:t xml:space="preserve"> charged with the protection and management of marine mammals </w:t>
      </w:r>
      <w:r w:rsidR="00BB4724">
        <w:rPr>
          <w:rFonts w:ascii="Times New Roman" w:hAnsi="Times New Roman"/>
        </w:rPr>
        <w:t xml:space="preserve">(cetaceans and pinnipeds excluding walrus) </w:t>
      </w:r>
      <w:r w:rsidRPr="00E253D1" w:rsidR="008E4F0D">
        <w:rPr>
          <w:rFonts w:ascii="Times New Roman" w:hAnsi="Times New Roman"/>
        </w:rPr>
        <w:t>and is</w:t>
      </w:r>
      <w:r w:rsidRPr="00E253D1">
        <w:rPr>
          <w:rFonts w:ascii="Times New Roman" w:hAnsi="Times New Roman"/>
        </w:rPr>
        <w:t xml:space="preserve"> responsible for collecting information on </w:t>
      </w:r>
      <w:r w:rsidRPr="00E253D1" w:rsidR="00A44248">
        <w:rPr>
          <w:rFonts w:ascii="Times New Roman" w:hAnsi="Times New Roman"/>
        </w:rPr>
        <w:t xml:space="preserve">marine mammal </w:t>
      </w:r>
      <w:r w:rsidRPr="00E253D1">
        <w:rPr>
          <w:rFonts w:ascii="Times New Roman" w:hAnsi="Times New Roman"/>
        </w:rPr>
        <w:t>strandings</w:t>
      </w:r>
      <w:r w:rsidRPr="00E253D1" w:rsidR="00A44248">
        <w:rPr>
          <w:rFonts w:ascii="Times New Roman" w:hAnsi="Times New Roman"/>
        </w:rPr>
        <w:t xml:space="preserve">, </w:t>
      </w:r>
      <w:r w:rsidRPr="00E253D1">
        <w:rPr>
          <w:rFonts w:ascii="Times New Roman" w:hAnsi="Times New Roman"/>
        </w:rPr>
        <w:t xml:space="preserve">which </w:t>
      </w:r>
      <w:r w:rsidRPr="00E253D1" w:rsidR="00A44248">
        <w:rPr>
          <w:rFonts w:ascii="Times New Roman" w:hAnsi="Times New Roman"/>
        </w:rPr>
        <w:t>will be compiled and analyzed</w:t>
      </w:r>
      <w:r w:rsidRPr="00E253D1">
        <w:rPr>
          <w:rFonts w:ascii="Times New Roman" w:hAnsi="Times New Roman"/>
        </w:rPr>
        <w:t xml:space="preserve">, by region, to monitor species, numbers, conditions, and causes of illnesses and deaths of stranded </w:t>
      </w:r>
      <w:r w:rsidRPr="00E253D1" w:rsidR="00A44248">
        <w:rPr>
          <w:rFonts w:ascii="Times New Roman" w:hAnsi="Times New Roman"/>
        </w:rPr>
        <w:t>animals</w:t>
      </w:r>
      <w:r w:rsidR="00C013B8">
        <w:rPr>
          <w:rFonts w:ascii="Times New Roman" w:hAnsi="Times New Roman"/>
        </w:rPr>
        <w:t xml:space="preserve">. </w:t>
      </w:r>
      <w:r w:rsidRPr="00E253D1">
        <w:rPr>
          <w:rFonts w:ascii="Times New Roman" w:hAnsi="Times New Roman"/>
        </w:rPr>
        <w:t xml:space="preserve">The Secretary is also responsible for collection of information on other life history and reference level data, including marine mammal tissue analyses, that would allow comparison of the causes of illness and deaths in stranded marine mammals </w:t>
      </w:r>
      <w:r w:rsidRPr="00E253D1" w:rsidR="00A44248">
        <w:rPr>
          <w:rFonts w:ascii="Times New Roman" w:hAnsi="Times New Roman"/>
        </w:rPr>
        <w:t>by</w:t>
      </w:r>
      <w:r w:rsidRPr="00E253D1">
        <w:rPr>
          <w:rFonts w:ascii="Times New Roman" w:hAnsi="Times New Roman"/>
        </w:rPr>
        <w:t xml:space="preserve"> physical, chemical, and biological environmental parameters. </w:t>
      </w:r>
    </w:p>
    <w:p w:rsidR="00C2777B" w:rsidRPr="00E253D1" w14:paraId="243FB76B" w14:textId="77777777">
      <w:pPr>
        <w:pStyle w:val="CM10"/>
        <w:spacing w:line="280" w:lineRule="atLeast"/>
        <w:rPr>
          <w:rFonts w:ascii="Times New Roman" w:hAnsi="Times New Roman"/>
        </w:rPr>
      </w:pPr>
      <w:r w:rsidRPr="00E253D1">
        <w:rPr>
          <w:rFonts w:ascii="Times New Roman" w:hAnsi="Times New Roman"/>
        </w:rPr>
        <w:t>In addition, determinations must be made on the sustainability of population stocks, on the impact of fisheries and other human activities on marine mammals and endangered species, and on the health of marine mammals and related environmental considerations</w:t>
      </w:r>
      <w:r w:rsidR="00C013B8">
        <w:rPr>
          <w:rFonts w:ascii="Times New Roman" w:hAnsi="Times New Roman"/>
        </w:rPr>
        <w:t xml:space="preserve">. </w:t>
      </w:r>
      <w:r w:rsidRPr="00E253D1" w:rsidR="005B2AAD">
        <w:rPr>
          <w:rFonts w:ascii="Times New Roman" w:hAnsi="Times New Roman"/>
        </w:rPr>
        <w:t>NOAA’s National Marine Fisheries Service (NMFS)</w:t>
      </w:r>
      <w:r w:rsidRPr="00E253D1">
        <w:rPr>
          <w:rFonts w:ascii="Times New Roman" w:hAnsi="Times New Roman"/>
        </w:rPr>
        <w:t xml:space="preserve"> has the responsibility to carry out these mandates</w:t>
      </w:r>
      <w:r w:rsidR="00C013B8">
        <w:rPr>
          <w:rFonts w:ascii="Times New Roman" w:hAnsi="Times New Roman"/>
        </w:rPr>
        <w:t xml:space="preserve">. </w:t>
      </w:r>
    </w:p>
    <w:p w:rsidR="00C2777B" w:rsidRPr="00E253D1" w14:paraId="3B6C55C5" w14:textId="77777777">
      <w:pPr>
        <w:pStyle w:val="CM10"/>
        <w:spacing w:line="280" w:lineRule="atLeast"/>
        <w:rPr>
          <w:rFonts w:ascii="Times New Roman" w:hAnsi="Times New Roman"/>
        </w:rPr>
      </w:pPr>
      <w:r w:rsidRPr="00E253D1">
        <w:rPr>
          <w:rFonts w:ascii="Times New Roman" w:hAnsi="Times New Roman"/>
        </w:rPr>
        <w:t xml:space="preserve">Section 402(b) of the MMPA (16 U.S.C. 1421a) requires the Secretary to collect and update information on </w:t>
      </w:r>
      <w:r w:rsidR="00BB4724">
        <w:rPr>
          <w:rFonts w:ascii="Times New Roman" w:hAnsi="Times New Roman"/>
        </w:rPr>
        <w:t xml:space="preserve">marine mammal </w:t>
      </w:r>
      <w:r w:rsidRPr="00E253D1">
        <w:rPr>
          <w:rFonts w:ascii="Times New Roman" w:hAnsi="Times New Roman"/>
        </w:rPr>
        <w:t>strandings</w:t>
      </w:r>
      <w:r w:rsidR="00C013B8">
        <w:rPr>
          <w:rFonts w:ascii="Times New Roman" w:hAnsi="Times New Roman"/>
        </w:rPr>
        <w:t xml:space="preserve">. </w:t>
      </w:r>
      <w:r w:rsidRPr="00E253D1">
        <w:rPr>
          <w:rFonts w:ascii="Times New Roman" w:hAnsi="Times New Roman"/>
        </w:rPr>
        <w:t>It further provides that the Secretary shall compile and analyze, by region, the species, numbers, conditions, and causes of illnesses and deaths in stranded marine mammals</w:t>
      </w:r>
      <w:r w:rsidR="00C013B8">
        <w:rPr>
          <w:rFonts w:ascii="Times New Roman" w:hAnsi="Times New Roman"/>
        </w:rPr>
        <w:t xml:space="preserve">. </w:t>
      </w:r>
      <w:r w:rsidRPr="00E253D1">
        <w:rPr>
          <w:rFonts w:ascii="Times New Roman" w:hAnsi="Times New Roman"/>
        </w:rPr>
        <w:t xml:space="preserve">Section 404 (a) of the MMPA (16 U.S.C. 1421c) mandates that the Secretary respond to </w:t>
      </w:r>
      <w:r w:rsidRPr="00E253D1">
        <w:rPr>
          <w:rFonts w:ascii="Times New Roman" w:hAnsi="Times New Roman"/>
        </w:rPr>
        <w:t>unusual marine mammal mortality events</w:t>
      </w:r>
      <w:r w:rsidR="00C013B8">
        <w:rPr>
          <w:rFonts w:ascii="Times New Roman" w:hAnsi="Times New Roman"/>
        </w:rPr>
        <w:t xml:space="preserve">. </w:t>
      </w:r>
      <w:r w:rsidRPr="00E253D1">
        <w:rPr>
          <w:rFonts w:ascii="Times New Roman" w:hAnsi="Times New Roman"/>
        </w:rPr>
        <w:t>Without a historical baseline provided by marine mammal information collected from strandings, detection of such events could be difficult and the investigation could be impeded</w:t>
      </w:r>
      <w:r w:rsidR="00C013B8">
        <w:rPr>
          <w:rFonts w:ascii="Times New Roman" w:hAnsi="Times New Roman"/>
        </w:rPr>
        <w:t xml:space="preserve">. </w:t>
      </w:r>
      <w:r w:rsidRPr="00E253D1">
        <w:rPr>
          <w:rFonts w:ascii="Times New Roman" w:hAnsi="Times New Roman"/>
        </w:rPr>
        <w:t>Section 401 (b) of the MMPA (16 U.S.C. 1421) requires NMFS to facilitate the collection and dissemination of reference data on the health of marine mammal populations in the wild and to correlate health with physical, chemical, and biological environmental parameters</w:t>
      </w:r>
      <w:r w:rsidR="00C013B8">
        <w:rPr>
          <w:rFonts w:ascii="Times New Roman" w:hAnsi="Times New Roman"/>
        </w:rPr>
        <w:t xml:space="preserve">. </w:t>
      </w:r>
      <w:r w:rsidRPr="00E253D1">
        <w:rPr>
          <w:rFonts w:ascii="Times New Roman" w:hAnsi="Times New Roman"/>
        </w:rPr>
        <w:t xml:space="preserve">In order to perform this function, NMFS must standardize data collection protocols for health and correlations. Data and samples collected from stranded animals are a critical part of the implementation of this mandate of the MMPA. </w:t>
      </w:r>
    </w:p>
    <w:p w:rsidR="00C2777B" w:rsidRPr="00E253D1" w14:paraId="46232E7F" w14:textId="77777777">
      <w:pPr>
        <w:pStyle w:val="CM10"/>
        <w:spacing w:line="280" w:lineRule="atLeast"/>
        <w:rPr>
          <w:rFonts w:ascii="Times New Roman" w:hAnsi="Times New Roman"/>
        </w:rPr>
      </w:pPr>
      <w:r w:rsidRPr="00E253D1">
        <w:rPr>
          <w:rFonts w:ascii="Times New Roman" w:hAnsi="Times New Roman"/>
        </w:rPr>
        <w:t>Specifically, the data from the Marine Mammal Stranding Report forms provide NMFS with information on the morphology, life history, biology, general health, health and stranding trends, causes of mortality, and distribution of marine mammal species</w:t>
      </w:r>
      <w:r w:rsidR="00C013B8">
        <w:rPr>
          <w:rFonts w:ascii="Times New Roman" w:hAnsi="Times New Roman"/>
        </w:rPr>
        <w:t xml:space="preserve">. </w:t>
      </w:r>
      <w:r w:rsidRPr="00E253D1">
        <w:rPr>
          <w:rFonts w:ascii="Times New Roman" w:hAnsi="Times New Roman"/>
        </w:rPr>
        <w:t xml:space="preserve">These data provide reference information necessary to detect epizootic diseases such as the </w:t>
      </w:r>
      <w:r w:rsidR="00BB4724">
        <w:rPr>
          <w:rFonts w:ascii="Times New Roman" w:hAnsi="Times New Roman"/>
        </w:rPr>
        <w:t>morbillivirus epizootic in</w:t>
      </w:r>
      <w:r w:rsidRPr="00E253D1">
        <w:rPr>
          <w:rFonts w:ascii="Times New Roman" w:hAnsi="Times New Roman"/>
        </w:rPr>
        <w:t xml:space="preserve"> bottlenose dolphin</w:t>
      </w:r>
      <w:r w:rsidR="00BB4724">
        <w:rPr>
          <w:rFonts w:ascii="Times New Roman" w:hAnsi="Times New Roman"/>
        </w:rPr>
        <w:t>s</w:t>
      </w:r>
      <w:r w:rsidRPr="00E253D1">
        <w:rPr>
          <w:rFonts w:ascii="Times New Roman" w:hAnsi="Times New Roman"/>
        </w:rPr>
        <w:t xml:space="preserve"> in </w:t>
      </w:r>
      <w:r w:rsidR="00BB4724">
        <w:rPr>
          <w:rFonts w:ascii="Times New Roman" w:hAnsi="Times New Roman"/>
        </w:rPr>
        <w:t>2013 or</w:t>
      </w:r>
      <w:r w:rsidRPr="00E253D1">
        <w:rPr>
          <w:rFonts w:ascii="Times New Roman" w:hAnsi="Times New Roman"/>
        </w:rPr>
        <w:t xml:space="preserve"> the </w:t>
      </w:r>
      <w:r w:rsidR="00BB4724">
        <w:rPr>
          <w:rFonts w:ascii="Times New Roman" w:hAnsi="Times New Roman"/>
        </w:rPr>
        <w:t xml:space="preserve">periodic </w:t>
      </w:r>
      <w:r w:rsidRPr="00E253D1">
        <w:rPr>
          <w:rFonts w:ascii="Times New Roman" w:hAnsi="Times New Roman"/>
        </w:rPr>
        <w:t>leptospirosis outbreak</w:t>
      </w:r>
      <w:r w:rsidR="00BB4724">
        <w:rPr>
          <w:rFonts w:ascii="Times New Roman" w:hAnsi="Times New Roman"/>
        </w:rPr>
        <w:t xml:space="preserve">s experienced by </w:t>
      </w:r>
      <w:r w:rsidRPr="00E253D1">
        <w:rPr>
          <w:rFonts w:ascii="Times New Roman" w:hAnsi="Times New Roman"/>
        </w:rPr>
        <w:t xml:space="preserve">California sea lions </w:t>
      </w:r>
      <w:r w:rsidR="00BB4724">
        <w:rPr>
          <w:rFonts w:ascii="Times New Roman" w:hAnsi="Times New Roman"/>
        </w:rPr>
        <w:t>since at least</w:t>
      </w:r>
      <w:r w:rsidRPr="00E253D1">
        <w:rPr>
          <w:rFonts w:ascii="Times New Roman" w:hAnsi="Times New Roman"/>
        </w:rPr>
        <w:t xml:space="preserve"> 1984</w:t>
      </w:r>
      <w:r w:rsidR="00C013B8">
        <w:rPr>
          <w:rFonts w:ascii="Times New Roman" w:hAnsi="Times New Roman"/>
        </w:rPr>
        <w:t xml:space="preserve">. </w:t>
      </w:r>
      <w:r w:rsidRPr="00E253D1">
        <w:rPr>
          <w:rFonts w:ascii="Times New Roman" w:hAnsi="Times New Roman"/>
        </w:rPr>
        <w:t>These data also provide information which may help in making assessments on the status of population stocks. Recording data on gross mortalities may serve as an indicator that a particular population is impacted, threatened or at increased risk, and when provided in a timely manner, aid in dynamic management practices</w:t>
      </w:r>
      <w:r w:rsidR="00C013B8">
        <w:rPr>
          <w:rFonts w:ascii="Times New Roman" w:hAnsi="Times New Roman"/>
        </w:rPr>
        <w:t xml:space="preserve">. </w:t>
      </w:r>
      <w:r w:rsidRPr="00E253D1">
        <w:rPr>
          <w:rFonts w:ascii="Times New Roman" w:hAnsi="Times New Roman"/>
        </w:rPr>
        <w:t>Changes in sex ratios, age composition, or age at sexual maturity may also indicate stressed populations and can be detected with stranding data</w:t>
      </w:r>
      <w:r w:rsidR="00C013B8">
        <w:rPr>
          <w:rFonts w:ascii="Times New Roman" w:hAnsi="Times New Roman"/>
        </w:rPr>
        <w:t xml:space="preserve">. </w:t>
      </w:r>
      <w:r w:rsidRPr="00E253D1">
        <w:rPr>
          <w:rFonts w:ascii="Times New Roman" w:hAnsi="Times New Roman"/>
        </w:rPr>
        <w:t xml:space="preserve">Stranding data also provide an important baseline for detecting and monitoring the impacts of environmental phenomena, such as El Niño, seen in California sea lions and gray whales in 1998, and Harmful Algal Blooms (HABs) such as domoic acid (repeatedly detected in California) and brevetoxin or red tide </w:t>
      </w:r>
      <w:r w:rsidRPr="00E253D1" w:rsidR="00823EF3">
        <w:rPr>
          <w:rFonts w:ascii="Times New Roman" w:hAnsi="Times New Roman"/>
        </w:rPr>
        <w:t xml:space="preserve">impacting </w:t>
      </w:r>
      <w:r w:rsidRPr="00E253D1">
        <w:rPr>
          <w:rFonts w:ascii="Times New Roman" w:hAnsi="Times New Roman"/>
        </w:rPr>
        <w:t>bottlenose dolphin</w:t>
      </w:r>
      <w:r w:rsidR="00A651F3">
        <w:rPr>
          <w:rFonts w:ascii="Times New Roman" w:hAnsi="Times New Roman"/>
        </w:rPr>
        <w:t>s</w:t>
      </w:r>
      <w:r w:rsidRPr="00E253D1">
        <w:rPr>
          <w:rFonts w:ascii="Times New Roman" w:hAnsi="Times New Roman"/>
        </w:rPr>
        <w:t xml:space="preserve"> </w:t>
      </w:r>
      <w:r w:rsidR="00A651F3">
        <w:rPr>
          <w:rFonts w:ascii="Times New Roman" w:hAnsi="Times New Roman"/>
        </w:rPr>
        <w:t>in Florida</w:t>
      </w:r>
      <w:r w:rsidRPr="00E253D1">
        <w:rPr>
          <w:rFonts w:ascii="Times New Roman" w:hAnsi="Times New Roman"/>
        </w:rPr>
        <w:t xml:space="preserve">. </w:t>
      </w:r>
    </w:p>
    <w:p w:rsidR="00C2777B" w:rsidRPr="00E253D1" w14:paraId="4EBBA65D" w14:textId="77777777">
      <w:pPr>
        <w:pStyle w:val="CM10"/>
        <w:spacing w:line="280" w:lineRule="atLeast"/>
        <w:rPr>
          <w:rFonts w:ascii="Times New Roman" w:hAnsi="Times New Roman"/>
        </w:rPr>
      </w:pPr>
      <w:r w:rsidRPr="00E253D1">
        <w:rPr>
          <w:rFonts w:ascii="Times New Roman" w:hAnsi="Times New Roman"/>
        </w:rPr>
        <w:t xml:space="preserve">Stranding records can be a tool for alerting management personnel to changes in incidental mortality of marine mammals due to human </w:t>
      </w:r>
      <w:r w:rsidRPr="00E253D1" w:rsidR="005B2AAD">
        <w:rPr>
          <w:rFonts w:ascii="Times New Roman" w:hAnsi="Times New Roman"/>
        </w:rPr>
        <w:t>activities such as fisheries by</w:t>
      </w:r>
      <w:r w:rsidRPr="00E253D1">
        <w:rPr>
          <w:rFonts w:ascii="Times New Roman" w:hAnsi="Times New Roman"/>
        </w:rPr>
        <w:t>catch</w:t>
      </w:r>
      <w:r w:rsidR="00C013B8">
        <w:rPr>
          <w:rFonts w:ascii="Times New Roman" w:hAnsi="Times New Roman"/>
        </w:rPr>
        <w:t xml:space="preserve">. </w:t>
      </w:r>
      <w:r w:rsidRPr="00E253D1">
        <w:rPr>
          <w:rFonts w:ascii="Times New Roman" w:hAnsi="Times New Roman"/>
        </w:rPr>
        <w:t>Evidence of significant harbor porpoise mortalities due to gill net fisheries off the mid-Atlantic coast was provided by the Stranding Network in early 1993. This provided fishery managers with clues to seasonal and geographical information on fishery impact. Information obtained from strandings can also provide indications of enforcement problems</w:t>
      </w:r>
      <w:r w:rsidR="00C013B8">
        <w:rPr>
          <w:rFonts w:ascii="Times New Roman" w:hAnsi="Times New Roman"/>
        </w:rPr>
        <w:t xml:space="preserve">. </w:t>
      </w:r>
      <w:r w:rsidRPr="00E253D1">
        <w:rPr>
          <w:rFonts w:ascii="Times New Roman" w:hAnsi="Times New Roman"/>
        </w:rPr>
        <w:t xml:space="preserve">As an example, in March 1993, large numbers of dead pinnipeds </w:t>
      </w:r>
      <w:r w:rsidR="00BB4724">
        <w:rPr>
          <w:rFonts w:ascii="Times New Roman" w:hAnsi="Times New Roman"/>
        </w:rPr>
        <w:t>were discovered along</w:t>
      </w:r>
      <w:r w:rsidRPr="00E253D1">
        <w:rPr>
          <w:rFonts w:ascii="Times New Roman" w:hAnsi="Times New Roman"/>
        </w:rPr>
        <w:t xml:space="preserve"> the central Washington coast</w:t>
      </w:r>
      <w:r w:rsidR="00C013B8">
        <w:rPr>
          <w:rFonts w:ascii="Times New Roman" w:hAnsi="Times New Roman"/>
        </w:rPr>
        <w:t xml:space="preserve">. </w:t>
      </w:r>
      <w:r w:rsidRPr="00E253D1">
        <w:rPr>
          <w:rFonts w:ascii="Times New Roman" w:hAnsi="Times New Roman"/>
        </w:rPr>
        <w:t xml:space="preserve">Stranding Network information provided proof that over half of the animals had been shot. </w:t>
      </w:r>
    </w:p>
    <w:p w:rsidR="00C2777B" w:rsidP="005B2AAD" w14:paraId="0FEA0AAA" w14:textId="455F9F3A">
      <w:pPr>
        <w:pStyle w:val="CM1"/>
        <w:rPr>
          <w:rFonts w:ascii="Times New Roman" w:hAnsi="Times New Roman"/>
        </w:rPr>
      </w:pPr>
      <w:r w:rsidRPr="00E253D1">
        <w:rPr>
          <w:rFonts w:ascii="Times New Roman" w:hAnsi="Times New Roman"/>
        </w:rPr>
        <w:t xml:space="preserve">Registration of tissues retained from strandings is mandatory under </w:t>
      </w:r>
      <w:hyperlink r:id="rId6" w:history="1">
        <w:r w:rsidRPr="007D66F6">
          <w:rPr>
            <w:rStyle w:val="Hyperlink"/>
            <w:rFonts w:ascii="Times New Roman" w:hAnsi="Times New Roman"/>
          </w:rPr>
          <w:t>50 CFR 216.22(c)</w:t>
        </w:r>
      </w:hyperlink>
      <w:r w:rsidR="00C013B8">
        <w:rPr>
          <w:rFonts w:ascii="Times New Roman" w:hAnsi="Times New Roman"/>
        </w:rPr>
        <w:t xml:space="preserve">. </w:t>
      </w:r>
      <w:r w:rsidRPr="00E253D1">
        <w:rPr>
          <w:rFonts w:ascii="Times New Roman" w:hAnsi="Times New Roman"/>
        </w:rPr>
        <w:t>With limited exceptions, the MMPA prohibits the purchase or sale of marine mammals or marine mammal parts</w:t>
      </w:r>
      <w:r w:rsidR="00C013B8">
        <w:rPr>
          <w:rFonts w:ascii="Times New Roman" w:hAnsi="Times New Roman"/>
        </w:rPr>
        <w:t xml:space="preserve">. </w:t>
      </w:r>
      <w:r w:rsidRPr="00E253D1">
        <w:rPr>
          <w:rFonts w:ascii="Times New Roman" w:hAnsi="Times New Roman"/>
        </w:rPr>
        <w:t>It also prohibits the possession of marine mammals or marine mammal parts taken in violation of the Act</w:t>
      </w:r>
      <w:r w:rsidR="00C013B8">
        <w:rPr>
          <w:rFonts w:ascii="Times New Roman" w:hAnsi="Times New Roman"/>
        </w:rPr>
        <w:t xml:space="preserve">. </w:t>
      </w:r>
      <w:r w:rsidRPr="00E253D1">
        <w:rPr>
          <w:rFonts w:ascii="Times New Roman" w:hAnsi="Times New Roman"/>
        </w:rPr>
        <w:t xml:space="preserve">In order to provide adequate enforcement of the Act while still allowing legitimate activities, it is necessary to document the inventory of tissues that are legally held. The Marine Mammal Stranding Report form provides information which may be used for registration of marine mammal parts taken under stranding authority and for tracking of such legally obtained samples. The use of these forms assists </w:t>
      </w:r>
      <w:r w:rsidR="00D37708">
        <w:rPr>
          <w:rFonts w:ascii="Times New Roman" w:hAnsi="Times New Roman"/>
        </w:rPr>
        <w:t xml:space="preserve">NMFS </w:t>
      </w:r>
      <w:r w:rsidRPr="00E253D1">
        <w:rPr>
          <w:rFonts w:ascii="Times New Roman" w:hAnsi="Times New Roman"/>
        </w:rPr>
        <w:t xml:space="preserve">in standardizing this procedure. </w:t>
      </w:r>
    </w:p>
    <w:p w:rsidR="006D6ABE" w:rsidP="006D6ABE" w14:paraId="006C4B84" w14:textId="4D2D4E38">
      <w:pPr>
        <w:pStyle w:val="Default"/>
      </w:pPr>
    </w:p>
    <w:p w:rsidR="00C2777B" w:rsidRPr="00E253D1" w14:paraId="62DCAA6A" w14:textId="77777777">
      <w:pPr>
        <w:pStyle w:val="CM10"/>
        <w:spacing w:line="280" w:lineRule="atLeast"/>
        <w:rPr>
          <w:rFonts w:ascii="Times New Roman" w:hAnsi="Times New Roman"/>
        </w:rPr>
      </w:pPr>
      <w:r w:rsidRPr="00E253D1">
        <w:rPr>
          <w:rFonts w:ascii="Times New Roman" w:hAnsi="Times New Roman"/>
        </w:rPr>
        <w:t>Under MMPA section 104(c</w:t>
      </w:r>
      <w:r w:rsidRPr="00E253D1">
        <w:rPr>
          <w:rFonts w:ascii="Times New Roman" w:hAnsi="Times New Roman"/>
        </w:rPr>
        <w:t>)(</w:t>
      </w:r>
      <w:r w:rsidRPr="00E253D1">
        <w:rPr>
          <w:rFonts w:ascii="Times New Roman" w:hAnsi="Times New Roman"/>
        </w:rPr>
        <w:t>10) [16 U.S.C. 1374(c)(10)], NMFS is required to maintain an inventory of live marine mammals held under permits for rehabilitation or captive display</w:t>
      </w:r>
      <w:r w:rsidR="00C013B8">
        <w:rPr>
          <w:rFonts w:ascii="Times New Roman" w:hAnsi="Times New Roman"/>
        </w:rPr>
        <w:t xml:space="preserve">. </w:t>
      </w:r>
      <w:r w:rsidRPr="00E253D1">
        <w:rPr>
          <w:rFonts w:ascii="Times New Roman" w:hAnsi="Times New Roman"/>
        </w:rPr>
        <w:t>The data in the Marine Mammal Rehabilitation Disposition report are required to monitor and track animals during rehabilitation and during transfer to permanent-permitted status</w:t>
      </w:r>
      <w:r w:rsidR="00C013B8">
        <w:rPr>
          <w:rFonts w:ascii="Times New Roman" w:hAnsi="Times New Roman"/>
        </w:rPr>
        <w:t xml:space="preserve">. </w:t>
      </w:r>
      <w:r w:rsidRPr="00E253D1">
        <w:rPr>
          <w:rFonts w:ascii="Times New Roman" w:hAnsi="Times New Roman"/>
        </w:rPr>
        <w:t>For public display facilities which participate in the program as a rehabilitation center, reporting becomes a critical record if the animal is retained and put on display</w:t>
      </w:r>
      <w:r w:rsidR="00C013B8">
        <w:rPr>
          <w:rFonts w:ascii="Times New Roman" w:hAnsi="Times New Roman"/>
        </w:rPr>
        <w:t xml:space="preserve">. </w:t>
      </w:r>
      <w:r w:rsidRPr="00E253D1">
        <w:rPr>
          <w:rFonts w:ascii="Times New Roman" w:hAnsi="Times New Roman"/>
        </w:rPr>
        <w:t>If that happens, report</w:t>
      </w:r>
      <w:r w:rsidRPr="00E253D1" w:rsidR="005B2AAD">
        <w:rPr>
          <w:rFonts w:ascii="Times New Roman" w:hAnsi="Times New Roman"/>
        </w:rPr>
        <w:t xml:space="preserve">ing requirements transfer to those mandated under </w:t>
      </w:r>
      <w:r w:rsidRPr="00E253D1" w:rsidR="005B2AAD">
        <w:rPr>
          <w:rFonts w:ascii="Times New Roman" w:hAnsi="Times New Roman"/>
        </w:rPr>
        <w:t>OMB Control No. 0648-</w:t>
      </w:r>
      <w:r w:rsidRPr="00E253D1">
        <w:rPr>
          <w:rFonts w:ascii="Times New Roman" w:hAnsi="Times New Roman"/>
        </w:rPr>
        <w:t xml:space="preserve">0084. </w:t>
      </w:r>
    </w:p>
    <w:p w:rsidR="00C2777B" w14:paraId="46827EA5" w14:textId="77C791BB">
      <w:pPr>
        <w:pStyle w:val="CM10"/>
        <w:spacing w:line="280" w:lineRule="atLeast"/>
        <w:rPr>
          <w:rFonts w:ascii="Times New Roman" w:hAnsi="Times New Roman"/>
        </w:rPr>
      </w:pPr>
      <w:r w:rsidRPr="00E253D1">
        <w:rPr>
          <w:rFonts w:ascii="Times New Roman" w:hAnsi="Times New Roman"/>
        </w:rPr>
        <w:t>The Marine Mammal Rehabilitation Disposition Report provides NMFS with information on the disposition of animals brought in for rehabilitation, the success of medical treatment, and the number of animals released</w:t>
      </w:r>
      <w:r w:rsidR="00C013B8">
        <w:rPr>
          <w:rFonts w:ascii="Times New Roman" w:hAnsi="Times New Roman"/>
        </w:rPr>
        <w:t xml:space="preserve">. </w:t>
      </w:r>
      <w:r w:rsidRPr="00E253D1">
        <w:rPr>
          <w:rFonts w:ascii="Times New Roman" w:hAnsi="Times New Roman"/>
        </w:rPr>
        <w:t>This information will assist the Agency in tracking marine mammals that move into captive display and in the monitoring of rehabilitation and release</w:t>
      </w:r>
      <w:r w:rsidR="00C013B8">
        <w:rPr>
          <w:rFonts w:ascii="Times New Roman" w:hAnsi="Times New Roman"/>
        </w:rPr>
        <w:t xml:space="preserve">. </w:t>
      </w:r>
      <w:r w:rsidRPr="00E253D1">
        <w:rPr>
          <w:rFonts w:ascii="Times New Roman" w:hAnsi="Times New Roman"/>
        </w:rPr>
        <w:t>The data will also be used to assess the burden on stranding network centers. This form will be filled out only in the case of live-stranded marine mammals</w:t>
      </w:r>
      <w:r w:rsidR="00C013B8">
        <w:rPr>
          <w:rFonts w:ascii="Times New Roman" w:hAnsi="Times New Roman"/>
        </w:rPr>
        <w:t xml:space="preserve">. </w:t>
      </w:r>
      <w:r w:rsidRPr="00E253D1">
        <w:rPr>
          <w:rFonts w:ascii="Times New Roman" w:hAnsi="Times New Roman"/>
        </w:rPr>
        <w:t xml:space="preserve">The form </w:t>
      </w:r>
      <w:r w:rsidR="00A651F3">
        <w:rPr>
          <w:rFonts w:ascii="Times New Roman" w:hAnsi="Times New Roman"/>
        </w:rPr>
        <w:t>is</w:t>
      </w:r>
      <w:r w:rsidRPr="00E253D1">
        <w:rPr>
          <w:rFonts w:ascii="Times New Roman" w:hAnsi="Times New Roman"/>
        </w:rPr>
        <w:t xml:space="preserve"> required in all five NMFS Regions</w:t>
      </w:r>
      <w:r w:rsidR="00C013B8">
        <w:rPr>
          <w:rFonts w:ascii="Times New Roman" w:hAnsi="Times New Roman"/>
        </w:rPr>
        <w:t xml:space="preserve">. </w:t>
      </w:r>
      <w:r w:rsidRPr="00E253D1">
        <w:rPr>
          <w:rFonts w:ascii="Times New Roman" w:hAnsi="Times New Roman"/>
        </w:rPr>
        <w:t>Each of the NMFS regions approves and issues a Letter of Agreement or other form of agreement to marine mammal rehabilitation centers under §112(c) of the MMPA, which allows the Secretary to enter into agreements in order to fulfill the general purposes of the Act, and under §403 of the MMPA, which provides specific authority to enter into such stranding response agreements</w:t>
      </w:r>
      <w:r w:rsidR="00C013B8">
        <w:rPr>
          <w:rFonts w:ascii="Times New Roman" w:hAnsi="Times New Roman"/>
        </w:rPr>
        <w:t xml:space="preserve">. </w:t>
      </w:r>
      <w:r w:rsidRPr="00E253D1">
        <w:rPr>
          <w:rFonts w:ascii="Times New Roman" w:hAnsi="Times New Roman"/>
        </w:rPr>
        <w:t xml:space="preserve">These data will be monitored as part of the </w:t>
      </w:r>
      <w:r w:rsidRPr="00314097">
        <w:rPr>
          <w:rFonts w:ascii="Times New Roman" w:hAnsi="Times New Roman"/>
        </w:rPr>
        <w:t xml:space="preserve">Rehabilitation Facilities Inspection program. </w:t>
      </w:r>
    </w:p>
    <w:p w:rsidR="00777488" w:rsidP="00777488" w14:paraId="17416D7D" w14:textId="0AE695BF">
      <w:pPr>
        <w:autoSpaceDE w:val="0"/>
        <w:autoSpaceDN w:val="0"/>
        <w:adjustRightInd w:val="0"/>
      </w:pPr>
      <w:r w:rsidRPr="00314097">
        <w:t xml:space="preserve">The </w:t>
      </w:r>
      <w:r w:rsidRPr="00314097" w:rsidR="006C3099">
        <w:t xml:space="preserve">Protocol for Examining Marine Mammals for Signs of Human Interaction </w:t>
      </w:r>
      <w:r w:rsidRPr="00314097">
        <w:t>provide</w:t>
      </w:r>
      <w:r w:rsidR="00A651F3">
        <w:t>s</w:t>
      </w:r>
      <w:r w:rsidRPr="00314097">
        <w:t xml:space="preserve"> NMFS with consistent and detailed information on signs of human interaction in stranded marine mammals</w:t>
      </w:r>
      <w:r w:rsidRPr="00314097" w:rsidR="00C013B8">
        <w:t xml:space="preserve">. </w:t>
      </w:r>
      <w:r w:rsidRPr="00314097">
        <w:t>This form also includes a subjective section that allows the examiner to evaluate the likelihood that human interaction contributed to the stranding of the animal</w:t>
      </w:r>
      <w:r w:rsidRPr="00314097" w:rsidR="00C013B8">
        <w:t xml:space="preserve">. </w:t>
      </w:r>
      <w:r w:rsidRPr="00314097">
        <w:t>This information will assist the Agency in tracking resource conflicts and will provide a solid scientific foundation for conservation and management of marine mammals</w:t>
      </w:r>
      <w:r w:rsidRPr="00314097" w:rsidR="00C013B8">
        <w:t xml:space="preserve">. </w:t>
      </w:r>
      <w:r w:rsidRPr="00314097" w:rsidR="00483919">
        <w:t>With a better understanding of interactions, appropriate measures ca</w:t>
      </w:r>
      <w:r w:rsidRPr="00314097" w:rsidR="002D05CA">
        <w:t>n be taken to resolve conflicts and</w:t>
      </w:r>
      <w:r w:rsidRPr="00314097" w:rsidR="00483919">
        <w:t xml:space="preserve"> stranding data are the best source of information regarding the occurrence of different types of human interaction.</w:t>
      </w:r>
      <w:r w:rsidRPr="00314097" w:rsidR="002D05CA">
        <w:t xml:space="preserve"> </w:t>
      </w:r>
      <w:r w:rsidRPr="00314097">
        <w:t xml:space="preserve">This form </w:t>
      </w:r>
      <w:r w:rsidR="00A651F3">
        <w:t>is</w:t>
      </w:r>
      <w:r w:rsidRPr="00314097">
        <w:t xml:space="preserve"> filled out </w:t>
      </w:r>
      <w:r w:rsidRPr="00314097" w:rsidR="00314097">
        <w:t xml:space="preserve">for all stranded </w:t>
      </w:r>
      <w:r w:rsidR="00A651F3">
        <w:t>marine mammals</w:t>
      </w:r>
      <w:r w:rsidRPr="00314097" w:rsidR="00314097">
        <w:t xml:space="preserve"> determined to be code 1, 2, or 3</w:t>
      </w:r>
      <w:r w:rsidR="00BB4724">
        <w:t xml:space="preserve"> when the stranding has been “Confirmed by Network</w:t>
      </w:r>
      <w:r w:rsidRPr="00314097" w:rsidR="00C013B8">
        <w:t>.</w:t>
      </w:r>
      <w:r w:rsidR="00BB4724">
        <w:t>”</w:t>
      </w:r>
      <w:r w:rsidRPr="00314097" w:rsidR="00C013B8">
        <w:t xml:space="preserve"> </w:t>
      </w:r>
    </w:p>
    <w:p w:rsidR="00314927" w:rsidP="00777488" w14:paraId="4B0B71B0" w14:textId="16628AA7">
      <w:pPr>
        <w:autoSpaceDE w:val="0"/>
        <w:autoSpaceDN w:val="0"/>
        <w:adjustRightInd w:val="0"/>
      </w:pPr>
    </w:p>
    <w:p w:rsidR="00777488" w:rsidRPr="00777488" w:rsidP="00777488" w14:paraId="44121D51" w14:textId="77777777">
      <w:pPr>
        <w:autoSpaceDE w:val="0"/>
        <w:autoSpaceDN w:val="0"/>
        <w:adjustRightInd w:val="0"/>
      </w:pPr>
    </w:p>
    <w:p w:rsidR="00C2777B" w:rsidP="00EA14CB" w14:paraId="05FB7C27" w14:textId="2164E3A2">
      <w:pPr>
        <w:pStyle w:val="NormalWeb"/>
        <w:numPr>
          <w:ilvl w:val="0"/>
          <w:numId w:val="3"/>
        </w:numPr>
        <w:spacing w:before="182" w:beforeAutospacing="0" w:after="0" w:afterAutospacing="0"/>
        <w:ind w:left="360"/>
        <w:textAlignment w:val="baseline"/>
        <w:rPr>
          <w:b/>
          <w:bCs/>
          <w:color w:val="000000"/>
        </w:rPr>
      </w:pPr>
      <w:r w:rsidRPr="00EA14CB">
        <w:rPr>
          <w:b/>
          <w:bCs/>
          <w:color w:val="000000"/>
        </w:rPr>
        <w:t>Indicate how, by whom, and for what purpose the information is to be used. Except for a new collection, indicate the actual use the agency has made of the information received from the current collection.</w:t>
      </w:r>
    </w:p>
    <w:p w:rsidR="00C2777B" w:rsidRPr="00E253D1" w:rsidP="00EA14CB" w14:paraId="1BD6A1D6" w14:textId="0587EDDB">
      <w:pPr>
        <w:pStyle w:val="CM10"/>
        <w:spacing w:before="240" w:line="280" w:lineRule="atLeast"/>
        <w:rPr>
          <w:rFonts w:ascii="Times New Roman" w:hAnsi="Times New Roman"/>
        </w:rPr>
      </w:pPr>
      <w:r w:rsidRPr="00E253D1">
        <w:rPr>
          <w:rFonts w:ascii="Times New Roman" w:hAnsi="Times New Roman"/>
        </w:rPr>
        <w:t xml:space="preserve">The Marine Mammal Stranding Network (Network) is made up of </w:t>
      </w:r>
      <w:r w:rsidRPr="00E253D1" w:rsidR="00816BFB">
        <w:rPr>
          <w:rFonts w:ascii="Times New Roman" w:hAnsi="Times New Roman"/>
        </w:rPr>
        <w:t xml:space="preserve">over 100 organizations </w:t>
      </w:r>
      <w:r w:rsidRPr="00E253D1">
        <w:rPr>
          <w:rFonts w:ascii="Times New Roman" w:hAnsi="Times New Roman"/>
        </w:rPr>
        <w:t xml:space="preserve">authorized by </w:t>
      </w:r>
      <w:r w:rsidRPr="00E253D1" w:rsidR="00240B42">
        <w:rPr>
          <w:rFonts w:ascii="Times New Roman" w:hAnsi="Times New Roman"/>
        </w:rPr>
        <w:t xml:space="preserve">National Marine Fisheries Service </w:t>
      </w:r>
      <w:r w:rsidRPr="00E253D1">
        <w:rPr>
          <w:rFonts w:ascii="Times New Roman" w:hAnsi="Times New Roman"/>
        </w:rPr>
        <w:t xml:space="preserve">[i.e., via </w:t>
      </w:r>
      <w:r w:rsidRPr="00E253D1" w:rsidR="00273F2E">
        <w:rPr>
          <w:rFonts w:ascii="Times New Roman" w:hAnsi="Times New Roman"/>
        </w:rPr>
        <w:t xml:space="preserve">Stranding </w:t>
      </w:r>
      <w:r w:rsidRPr="00E253D1">
        <w:rPr>
          <w:rFonts w:ascii="Times New Roman" w:hAnsi="Times New Roman"/>
        </w:rPr>
        <w:t xml:space="preserve"> Agreement (</w:t>
      </w:r>
      <w:r w:rsidRPr="00E253D1" w:rsidR="00273F2E">
        <w:rPr>
          <w:rFonts w:ascii="Times New Roman" w:hAnsi="Times New Roman"/>
        </w:rPr>
        <w:t>S</w:t>
      </w:r>
      <w:r w:rsidRPr="00E253D1">
        <w:rPr>
          <w:rFonts w:ascii="Times New Roman" w:hAnsi="Times New Roman"/>
        </w:rPr>
        <w:t>A) under §112(c) of the MMPA which allows the Secretary to enter into agreements in order to fulfill the general purposes of the Act] to collect scientific data and specimens, record information on stranding events with the NMFS Regional Coordinator, and assist local and Federal authorities in the response to stranded marine mammals under §109(h)of the MMPA</w:t>
      </w:r>
      <w:r w:rsidR="00C013B8">
        <w:rPr>
          <w:rFonts w:ascii="Times New Roman" w:hAnsi="Times New Roman"/>
        </w:rPr>
        <w:t xml:space="preserve">. </w:t>
      </w:r>
      <w:r w:rsidRPr="00E253D1">
        <w:rPr>
          <w:rFonts w:ascii="Times New Roman" w:hAnsi="Times New Roman"/>
        </w:rPr>
        <w:t>The</w:t>
      </w:r>
      <w:r w:rsidR="00D37708">
        <w:rPr>
          <w:rFonts w:ascii="Times New Roman" w:hAnsi="Times New Roman"/>
        </w:rPr>
        <w:t xml:space="preserve"> Network</w:t>
      </w:r>
      <w:r w:rsidRPr="00E253D1">
        <w:rPr>
          <w:rFonts w:ascii="Times New Roman" w:hAnsi="Times New Roman"/>
        </w:rPr>
        <w:t xml:space="preserve"> are also authorized </w:t>
      </w:r>
      <w:r w:rsidRPr="00E253D1" w:rsidR="00816BFB">
        <w:rPr>
          <w:rFonts w:ascii="Times New Roman" w:hAnsi="Times New Roman"/>
        </w:rPr>
        <w:t xml:space="preserve">to assist </w:t>
      </w:r>
      <w:r w:rsidRPr="00E253D1">
        <w:rPr>
          <w:rFonts w:ascii="Times New Roman" w:hAnsi="Times New Roman"/>
        </w:rPr>
        <w:t xml:space="preserve">with detection and investigation of marine mammal </w:t>
      </w:r>
      <w:r w:rsidRPr="00E253D1" w:rsidR="00816BFB">
        <w:rPr>
          <w:rFonts w:ascii="Times New Roman" w:hAnsi="Times New Roman"/>
        </w:rPr>
        <w:t xml:space="preserve">unusual </w:t>
      </w:r>
      <w:r w:rsidRPr="00E253D1">
        <w:rPr>
          <w:rFonts w:ascii="Times New Roman" w:hAnsi="Times New Roman"/>
        </w:rPr>
        <w:t>mortality events</w:t>
      </w:r>
      <w:r w:rsidR="00C013B8">
        <w:rPr>
          <w:rFonts w:ascii="Times New Roman" w:hAnsi="Times New Roman"/>
        </w:rPr>
        <w:t xml:space="preserve">. </w:t>
      </w:r>
      <w:r w:rsidRPr="00E253D1">
        <w:rPr>
          <w:rFonts w:ascii="Times New Roman" w:hAnsi="Times New Roman"/>
        </w:rPr>
        <w:t xml:space="preserve">The majority of Network </w:t>
      </w:r>
      <w:r w:rsidRPr="00E253D1" w:rsidR="005607EC">
        <w:rPr>
          <w:rFonts w:ascii="Times New Roman" w:hAnsi="Times New Roman"/>
        </w:rPr>
        <w:t xml:space="preserve">organizations </w:t>
      </w:r>
      <w:r w:rsidRPr="00E253D1">
        <w:rPr>
          <w:rFonts w:ascii="Times New Roman" w:hAnsi="Times New Roman"/>
        </w:rPr>
        <w:t xml:space="preserve">are affiliated with </w:t>
      </w:r>
      <w:r w:rsidR="006E75ED">
        <w:rPr>
          <w:rFonts w:ascii="Times New Roman" w:hAnsi="Times New Roman"/>
        </w:rPr>
        <w:t xml:space="preserve">non-profit organizations, </w:t>
      </w:r>
      <w:r w:rsidRPr="00E253D1">
        <w:rPr>
          <w:rFonts w:ascii="Times New Roman" w:hAnsi="Times New Roman"/>
        </w:rPr>
        <w:t xml:space="preserve">academic institutions, aquaria, rehabilitation centers, or state, federal, </w:t>
      </w:r>
      <w:r w:rsidR="00A651F3">
        <w:rPr>
          <w:rFonts w:ascii="Times New Roman" w:hAnsi="Times New Roman"/>
        </w:rPr>
        <w:t xml:space="preserve">tribal, </w:t>
      </w:r>
      <w:r w:rsidRPr="00E253D1">
        <w:rPr>
          <w:rFonts w:ascii="Times New Roman" w:hAnsi="Times New Roman"/>
        </w:rPr>
        <w:t xml:space="preserve">and local agencies. Members are requested to submit basic data </w:t>
      </w:r>
      <w:r w:rsidRPr="00E253D1" w:rsidR="005607EC">
        <w:rPr>
          <w:rFonts w:ascii="Times New Roman" w:hAnsi="Times New Roman"/>
        </w:rPr>
        <w:t>(i.e., Level A data)</w:t>
      </w:r>
      <w:r w:rsidRPr="00E253D1" w:rsidR="002521DE">
        <w:rPr>
          <w:rFonts w:ascii="Times New Roman" w:hAnsi="Times New Roman"/>
        </w:rPr>
        <w:t xml:space="preserve"> on the Marine Mammal Stranding Report form, for</w:t>
      </w:r>
      <w:r w:rsidRPr="00E253D1">
        <w:rPr>
          <w:rFonts w:ascii="Times New Roman" w:hAnsi="Times New Roman"/>
        </w:rPr>
        <w:t xml:space="preserve"> all strandings including date and location, species, condition of animal, sex of animal, length, disposition of the animal and tissues or specimens, and any personal observations</w:t>
      </w:r>
      <w:r w:rsidR="00C013B8">
        <w:rPr>
          <w:rFonts w:ascii="Times New Roman" w:hAnsi="Times New Roman"/>
        </w:rPr>
        <w:t xml:space="preserve">. </w:t>
      </w:r>
      <w:r w:rsidRPr="00E253D1" w:rsidR="00240B42">
        <w:rPr>
          <w:rFonts w:ascii="Times New Roman" w:hAnsi="Times New Roman"/>
        </w:rPr>
        <w:t xml:space="preserve">As </w:t>
      </w:r>
      <w:r w:rsidRPr="00E253D1" w:rsidR="00D77522">
        <w:rPr>
          <w:rFonts w:ascii="Times New Roman" w:hAnsi="Times New Roman"/>
        </w:rPr>
        <w:t>authorized</w:t>
      </w:r>
      <w:r w:rsidRPr="00E253D1" w:rsidR="00240B42">
        <w:rPr>
          <w:rFonts w:ascii="Times New Roman" w:hAnsi="Times New Roman"/>
        </w:rPr>
        <w:t xml:space="preserve"> (i.e</w:t>
      </w:r>
      <w:r w:rsidRPr="00E253D1" w:rsidR="00823EF3">
        <w:rPr>
          <w:rFonts w:ascii="Times New Roman" w:hAnsi="Times New Roman"/>
        </w:rPr>
        <w:t>.</w:t>
      </w:r>
      <w:r w:rsidRPr="00E253D1" w:rsidR="00240B42">
        <w:rPr>
          <w:rFonts w:ascii="Times New Roman" w:hAnsi="Times New Roman"/>
        </w:rPr>
        <w:t>, typically within 30 days or more frequent</w:t>
      </w:r>
      <w:r w:rsidRPr="00E253D1" w:rsidR="00D77522">
        <w:rPr>
          <w:rFonts w:ascii="Times New Roman" w:hAnsi="Times New Roman"/>
        </w:rPr>
        <w:t>ly depending on type of case), m</w:t>
      </w:r>
      <w:r w:rsidRPr="00E253D1" w:rsidR="00240B42">
        <w:rPr>
          <w:rFonts w:ascii="Times New Roman" w:hAnsi="Times New Roman"/>
        </w:rPr>
        <w:t xml:space="preserve">embers of the </w:t>
      </w:r>
      <w:r w:rsidRPr="00E253D1">
        <w:rPr>
          <w:rFonts w:ascii="Times New Roman" w:hAnsi="Times New Roman"/>
        </w:rPr>
        <w:t>Network complete</w:t>
      </w:r>
      <w:r w:rsidRPr="00E253D1" w:rsidR="00823EF3">
        <w:rPr>
          <w:rFonts w:ascii="Times New Roman" w:hAnsi="Times New Roman"/>
        </w:rPr>
        <w:t xml:space="preserve"> </w:t>
      </w:r>
      <w:r w:rsidRPr="00E253D1">
        <w:rPr>
          <w:rFonts w:ascii="Times New Roman" w:hAnsi="Times New Roman"/>
        </w:rPr>
        <w:t>the stranding form</w:t>
      </w:r>
      <w:r w:rsidRPr="00E253D1" w:rsidR="00240B42">
        <w:rPr>
          <w:rFonts w:ascii="Times New Roman" w:hAnsi="Times New Roman"/>
        </w:rPr>
        <w:t>s and forward to their NMFS Regional Stranding Coordinator in a specified time</w:t>
      </w:r>
      <w:r w:rsidRPr="00E253D1">
        <w:rPr>
          <w:rFonts w:ascii="Times New Roman" w:hAnsi="Times New Roman"/>
        </w:rPr>
        <w:t xml:space="preserve"> </w:t>
      </w:r>
      <w:r w:rsidRPr="00E253D1" w:rsidR="005607EC">
        <w:rPr>
          <w:rFonts w:ascii="Times New Roman" w:hAnsi="Times New Roman"/>
        </w:rPr>
        <w:t xml:space="preserve">and/or </w:t>
      </w:r>
      <w:r w:rsidRPr="00E253D1" w:rsidR="00240B42">
        <w:rPr>
          <w:rFonts w:ascii="Times New Roman" w:hAnsi="Times New Roman"/>
        </w:rPr>
        <w:t xml:space="preserve">can </w:t>
      </w:r>
      <w:r w:rsidRPr="00E253D1" w:rsidR="005607EC">
        <w:rPr>
          <w:rFonts w:ascii="Times New Roman" w:hAnsi="Times New Roman"/>
        </w:rPr>
        <w:t>electronically enter data into the NMFS Marine Mammal Health and Stranding Response Stranding Database</w:t>
      </w:r>
      <w:r w:rsidRPr="00E253D1">
        <w:rPr>
          <w:rFonts w:ascii="Times New Roman" w:hAnsi="Times New Roman"/>
        </w:rPr>
        <w:t xml:space="preserve">. </w:t>
      </w:r>
      <w:r w:rsidR="00A651F3">
        <w:rPr>
          <w:rFonts w:ascii="Times New Roman" w:hAnsi="Times New Roman"/>
        </w:rPr>
        <w:t>Direct</w:t>
      </w:r>
      <w:r w:rsidR="00977422">
        <w:rPr>
          <w:rFonts w:ascii="Times New Roman" w:hAnsi="Times New Roman"/>
        </w:rPr>
        <w:t xml:space="preserve"> electronic entry is </w:t>
      </w:r>
      <w:r w:rsidR="00A651F3">
        <w:rPr>
          <w:rFonts w:ascii="Times New Roman" w:hAnsi="Times New Roman"/>
        </w:rPr>
        <w:t xml:space="preserve">also </w:t>
      </w:r>
      <w:r w:rsidR="00977422">
        <w:rPr>
          <w:rFonts w:ascii="Times New Roman" w:hAnsi="Times New Roman"/>
        </w:rPr>
        <w:t xml:space="preserve">possible for the </w:t>
      </w:r>
      <w:r w:rsidR="006E75ED">
        <w:rPr>
          <w:rFonts w:ascii="Times New Roman" w:hAnsi="Times New Roman"/>
        </w:rPr>
        <w:t xml:space="preserve">Rehabilitation Disposition and </w:t>
      </w:r>
      <w:r w:rsidR="00977422">
        <w:rPr>
          <w:rFonts w:ascii="Times New Roman" w:hAnsi="Times New Roman"/>
        </w:rPr>
        <w:t>Human Interaction data sheet</w:t>
      </w:r>
      <w:r w:rsidR="006E75ED">
        <w:rPr>
          <w:rFonts w:ascii="Times New Roman" w:hAnsi="Times New Roman"/>
        </w:rPr>
        <w:t>s</w:t>
      </w:r>
      <w:r w:rsidR="00977422">
        <w:rPr>
          <w:rFonts w:ascii="Times New Roman" w:hAnsi="Times New Roman"/>
        </w:rPr>
        <w:t>.</w:t>
      </w:r>
    </w:p>
    <w:p w:rsidR="00C2777B" w:rsidRPr="00E253D1" w14:paraId="140B5507" w14:textId="00E9D8A6">
      <w:pPr>
        <w:pStyle w:val="CM4"/>
        <w:ind w:right="230"/>
        <w:rPr>
          <w:rFonts w:ascii="Times New Roman" w:hAnsi="Times New Roman"/>
        </w:rPr>
      </w:pPr>
      <w:r w:rsidRPr="00E253D1">
        <w:rPr>
          <w:rFonts w:ascii="Times New Roman" w:hAnsi="Times New Roman"/>
        </w:rPr>
        <w:t>Stranding network participants benefit by gaining access to information, data exchange</w:t>
      </w:r>
      <w:r w:rsidR="00D37708">
        <w:rPr>
          <w:rFonts w:ascii="Times New Roman" w:hAnsi="Times New Roman"/>
        </w:rPr>
        <w:t>,</w:t>
      </w:r>
      <w:r w:rsidRPr="00E253D1">
        <w:rPr>
          <w:rFonts w:ascii="Times New Roman" w:hAnsi="Times New Roman"/>
        </w:rPr>
        <w:t xml:space="preserve"> and tissue </w:t>
      </w:r>
      <w:r w:rsidRPr="00E253D1">
        <w:rPr>
          <w:rFonts w:ascii="Times New Roman" w:hAnsi="Times New Roman"/>
        </w:rPr>
        <w:t>samples which might otherwise not be available</w:t>
      </w:r>
      <w:r w:rsidR="00C013B8">
        <w:rPr>
          <w:rFonts w:ascii="Times New Roman" w:hAnsi="Times New Roman"/>
        </w:rPr>
        <w:t xml:space="preserve">. </w:t>
      </w:r>
      <w:r w:rsidRPr="00E253D1">
        <w:rPr>
          <w:rFonts w:ascii="Times New Roman" w:hAnsi="Times New Roman"/>
        </w:rPr>
        <w:t xml:space="preserve">Analyses </w:t>
      </w:r>
      <w:r w:rsidRPr="00E253D1" w:rsidR="00D37708">
        <w:rPr>
          <w:rFonts w:ascii="Times New Roman" w:hAnsi="Times New Roman"/>
        </w:rPr>
        <w:t xml:space="preserve">by the Network and research laboratories </w:t>
      </w:r>
      <w:r w:rsidRPr="00E253D1">
        <w:rPr>
          <w:rFonts w:ascii="Times New Roman" w:hAnsi="Times New Roman"/>
        </w:rPr>
        <w:t xml:space="preserve">of tissues from strandings have significantly contributed to the body of knowledge on which management decisions are made and enhanced our understanding of marine mammal health. Non-scientists participating in the Network receive the satisfaction of aiding wildlife, enhancing wildlife conservation, and furthering scientific understanding of these species. Stranding network members also provide important expertise and involvement in Unusual Mortality Event investigations, when an unusual number of animals are found stranded and an official investigation is launched to determine the factors involved. </w:t>
      </w:r>
    </w:p>
    <w:p w:rsidR="00C2777B" w:rsidRPr="00E253D1" w:rsidP="00C2777B" w14:paraId="11C9AF8F" w14:textId="77777777">
      <w:pPr>
        <w:pStyle w:val="Default"/>
        <w:rPr>
          <w:rFonts w:ascii="Times New Roman" w:hAnsi="Times New Roman" w:cs="Times New Roman"/>
        </w:rPr>
      </w:pPr>
    </w:p>
    <w:p w:rsidR="00806001" w:rsidRPr="00806001" w:rsidP="00806001" w14:paraId="0160B567" w14:textId="4D028415">
      <w:pPr>
        <w:pStyle w:val="CM10"/>
        <w:spacing w:line="280" w:lineRule="atLeast"/>
        <w:rPr>
          <w:rFonts w:ascii="Times New Roman" w:hAnsi="Times New Roman"/>
        </w:rPr>
      </w:pPr>
      <w:r w:rsidRPr="00E253D1">
        <w:rPr>
          <w:rFonts w:ascii="Times New Roman" w:hAnsi="Times New Roman"/>
        </w:rPr>
        <w:t>As indicated above, the information is used by the Agency in making resource management decisions and in fulfilling responsibilities under the MMPA. In addition to detecting serious pathogens, diseases, pollution loads, evidence of anthropogenic impacts on marine mammals, investigations into</w:t>
      </w:r>
      <w:r w:rsidRPr="00E253D1" w:rsidR="00D77522">
        <w:rPr>
          <w:rFonts w:ascii="Times New Roman" w:hAnsi="Times New Roman"/>
        </w:rPr>
        <w:t xml:space="preserve"> unusual mortality events (</w:t>
      </w:r>
      <w:r w:rsidRPr="00E253D1">
        <w:rPr>
          <w:rFonts w:ascii="Times New Roman" w:hAnsi="Times New Roman"/>
        </w:rPr>
        <w:t>UMEs</w:t>
      </w:r>
      <w:r w:rsidRPr="00E253D1" w:rsidR="00D77522">
        <w:rPr>
          <w:rFonts w:ascii="Times New Roman" w:hAnsi="Times New Roman"/>
        </w:rPr>
        <w:t>)</w:t>
      </w:r>
      <w:r w:rsidRPr="00E253D1">
        <w:rPr>
          <w:rFonts w:ascii="Times New Roman" w:hAnsi="Times New Roman"/>
        </w:rPr>
        <w:t>, and providing life history information about marine mammal stocks, records of mortalities due to fishery by-catch are used in implementing the fisheries management regime in §118 of the MMPA</w:t>
      </w:r>
      <w:r w:rsidR="00C013B8">
        <w:rPr>
          <w:rFonts w:ascii="Times New Roman" w:hAnsi="Times New Roman"/>
        </w:rPr>
        <w:t xml:space="preserve">. </w:t>
      </w:r>
      <w:r w:rsidRPr="00E253D1">
        <w:rPr>
          <w:rFonts w:ascii="Times New Roman" w:hAnsi="Times New Roman"/>
        </w:rPr>
        <w:t xml:space="preserve">This </w:t>
      </w:r>
      <w:r w:rsidR="006E75ED">
        <w:rPr>
          <w:rFonts w:ascii="Times New Roman" w:hAnsi="Times New Roman"/>
        </w:rPr>
        <w:t xml:space="preserve">Section </w:t>
      </w:r>
      <w:r w:rsidRPr="00E253D1">
        <w:rPr>
          <w:rFonts w:ascii="Times New Roman" w:hAnsi="Times New Roman"/>
        </w:rPr>
        <w:t>mandates that mortality levels be below the potential biological removal level of the marine mammal stock</w:t>
      </w:r>
      <w:r w:rsidR="00C013B8">
        <w:rPr>
          <w:rFonts w:ascii="Times New Roman" w:hAnsi="Times New Roman"/>
        </w:rPr>
        <w:t xml:space="preserve">. </w:t>
      </w:r>
      <w:r w:rsidRPr="00E253D1">
        <w:rPr>
          <w:rFonts w:ascii="Times New Roman" w:hAnsi="Times New Roman"/>
        </w:rPr>
        <w:t xml:space="preserve">As an example of the value of such information, stranding reports alerted the Agency to a potentially serious interaction between harbor porpoise and coastal gillnet fisheries in the Mid-Atlantic region. In addition, the Agency is continuing to monitor strandings in the Mid-Atlantic to guide observer placement on fisheries. Prior to the receipt of stranding information, NMFS was unaware of the problem. </w:t>
      </w:r>
    </w:p>
    <w:p w:rsidR="00806001" w:rsidP="00806001" w14:paraId="761BE996" w14:textId="77777777">
      <w:pPr>
        <w:pStyle w:val="Default"/>
      </w:pPr>
      <w:r>
        <w:t xml:space="preserve">While the information provided in the current </w:t>
      </w:r>
      <w:r w:rsidRPr="00E253D1">
        <w:rPr>
          <w:rFonts w:ascii="Times New Roman" w:hAnsi="Times New Roman"/>
        </w:rPr>
        <w:t>Marine Mammal Stranding Report form</w:t>
      </w:r>
      <w:r>
        <w:t xml:space="preserve"> is valuable, the previous example </w:t>
      </w:r>
      <w:r w:rsidR="00A651F3">
        <w:t xml:space="preserve">also </w:t>
      </w:r>
      <w:r>
        <w:t xml:space="preserve">highlights the need for </w:t>
      </w:r>
      <w:r w:rsidR="00A651F3">
        <w:t xml:space="preserve">the </w:t>
      </w:r>
      <w:r>
        <w:t xml:space="preserve">more detailed human interaction data. The Human Interaction Data Sheet </w:t>
      </w:r>
      <w:r w:rsidR="00A651F3">
        <w:t>allows</w:t>
      </w:r>
      <w:r>
        <w:t xml:space="preserve"> NMFS to collect more detailed data in a standardized manner that is consistent across all regions. These data </w:t>
      </w:r>
      <w:r w:rsidR="00A651F3">
        <w:t>help</w:t>
      </w:r>
      <w:r>
        <w:t xml:space="preserve"> the Agency to better monitor and respond to resource conflicts, before they become a widespread problem</w:t>
      </w:r>
      <w:r w:rsidR="00C013B8">
        <w:t xml:space="preserve">. </w:t>
      </w:r>
    </w:p>
    <w:p w:rsidR="00806001" w:rsidRPr="00806001" w:rsidP="00806001" w14:paraId="27DD100A" w14:textId="77777777">
      <w:pPr>
        <w:pStyle w:val="Default"/>
      </w:pPr>
    </w:p>
    <w:p w:rsidR="008050EF" w:rsidRPr="00806001" w:rsidP="00806001" w14:paraId="66BD07E7" w14:textId="77777777">
      <w:pPr>
        <w:pStyle w:val="CM10"/>
        <w:spacing w:line="280" w:lineRule="atLeast"/>
        <w:ind w:right="230"/>
        <w:rPr>
          <w:rFonts w:ascii="Times New Roman" w:hAnsi="Times New Roman"/>
        </w:rPr>
      </w:pPr>
      <w:r w:rsidRPr="00E253D1">
        <w:rPr>
          <w:rFonts w:ascii="Times New Roman" w:hAnsi="Times New Roman"/>
        </w:rPr>
        <w:t>Section 118 of the MMPA generally provides that Take Reduction Plans be developed through Take Reduction Teams for strategic stocks of marine mammal that interact with Category I fisheries (those with frequent incidental mortality and serious injury of marine mammals) and Category II fisheries (occasional incidental mortality and serious injury of marine mammals)</w:t>
      </w:r>
      <w:r w:rsidR="00C013B8">
        <w:rPr>
          <w:rFonts w:ascii="Times New Roman" w:hAnsi="Times New Roman"/>
        </w:rPr>
        <w:t xml:space="preserve">. </w:t>
      </w:r>
      <w:r w:rsidRPr="00E253D1">
        <w:rPr>
          <w:rFonts w:ascii="Times New Roman" w:hAnsi="Times New Roman"/>
        </w:rPr>
        <w:t xml:space="preserve">The data provided by Marine Mammal Stranding Reports </w:t>
      </w:r>
      <w:r w:rsidR="00806001">
        <w:rPr>
          <w:rFonts w:ascii="Times New Roman" w:hAnsi="Times New Roman"/>
        </w:rPr>
        <w:t xml:space="preserve">and the </w:t>
      </w:r>
      <w:r w:rsidR="00806001">
        <w:t xml:space="preserve">Human Interaction Data Sheet </w:t>
      </w:r>
      <w:r w:rsidRPr="00E253D1">
        <w:rPr>
          <w:rFonts w:ascii="Times New Roman" w:hAnsi="Times New Roman"/>
        </w:rPr>
        <w:t>may be used by the Take Reduction Teams to identify gear types, seasons, and geographical locations in which fisheries impact marine mammals</w:t>
      </w:r>
      <w:r w:rsidR="00C013B8">
        <w:rPr>
          <w:rFonts w:ascii="Times New Roman" w:hAnsi="Times New Roman"/>
        </w:rPr>
        <w:t xml:space="preserve">. </w:t>
      </w:r>
    </w:p>
    <w:p w:rsidR="00C2777B" w:rsidRPr="000F5ED6" w14:paraId="7CE51290" w14:textId="77777777">
      <w:pPr>
        <w:pStyle w:val="CM10"/>
        <w:spacing w:line="280" w:lineRule="atLeast"/>
        <w:rPr>
          <w:rFonts w:ascii="Times New Roman" w:hAnsi="Times New Roman"/>
        </w:rPr>
      </w:pPr>
      <w:r w:rsidRPr="000F5ED6">
        <w:rPr>
          <w:rFonts w:ascii="Times New Roman" w:hAnsi="Times New Roman"/>
        </w:rPr>
        <w:t>The information and tissues collected in conjunction with response to stranding events have been used by scientists, state management agencies, and conservation organizations</w:t>
      </w:r>
      <w:r w:rsidRPr="000F5ED6" w:rsidR="00C013B8">
        <w:rPr>
          <w:rFonts w:ascii="Times New Roman" w:hAnsi="Times New Roman"/>
        </w:rPr>
        <w:t xml:space="preserve">. </w:t>
      </w:r>
      <w:r w:rsidRPr="000F5ED6">
        <w:rPr>
          <w:rFonts w:ascii="Times New Roman" w:hAnsi="Times New Roman"/>
        </w:rPr>
        <w:t xml:space="preserve">A substantial number of publications have resulted from stranding data to include information on basic morphology and distribution of marine mammals, biochemistry, diseases of marine mammals, and on the potential for interaction with fisheries. </w:t>
      </w:r>
    </w:p>
    <w:p w:rsidR="00C2777B" w:rsidRPr="00E253D1" w14:paraId="7B0622DB" w14:textId="6E904A29">
      <w:pPr>
        <w:pStyle w:val="CM1"/>
        <w:rPr>
          <w:rFonts w:ascii="Times New Roman" w:hAnsi="Times New Roman"/>
        </w:rPr>
      </w:pPr>
      <w:r w:rsidRPr="000F5ED6">
        <w:rPr>
          <w:rFonts w:ascii="Times New Roman" w:hAnsi="Times New Roman"/>
        </w:rPr>
        <w:t>From 2006 through 2018</w:t>
      </w:r>
      <w:r w:rsidRPr="000F5ED6" w:rsidR="001928CE">
        <w:rPr>
          <w:rFonts w:ascii="Times New Roman" w:hAnsi="Times New Roman"/>
        </w:rPr>
        <w:t>, t</w:t>
      </w:r>
      <w:r w:rsidRPr="000F5ED6" w:rsidR="00273F2E">
        <w:rPr>
          <w:rFonts w:ascii="Times New Roman" w:hAnsi="Times New Roman"/>
        </w:rPr>
        <w:t>he Network</w:t>
      </w:r>
      <w:r w:rsidRPr="000F5ED6" w:rsidR="001928CE">
        <w:rPr>
          <w:rFonts w:ascii="Times New Roman" w:hAnsi="Times New Roman"/>
        </w:rPr>
        <w:t xml:space="preserve"> responded to </w:t>
      </w:r>
      <w:r w:rsidRPr="000F5ED6">
        <w:rPr>
          <w:rFonts w:ascii="Times New Roman" w:hAnsi="Times New Roman"/>
        </w:rPr>
        <w:t>82,504</w:t>
      </w:r>
      <w:r w:rsidRPr="000F5ED6" w:rsidR="00273F2E">
        <w:rPr>
          <w:rFonts w:ascii="Times New Roman" w:hAnsi="Times New Roman"/>
        </w:rPr>
        <w:t xml:space="preserve"> stra</w:t>
      </w:r>
      <w:r w:rsidRPr="000F5ED6" w:rsidR="001928CE">
        <w:rPr>
          <w:rFonts w:ascii="Times New Roman" w:hAnsi="Times New Roman"/>
        </w:rPr>
        <w:t>nded marine mammals</w:t>
      </w:r>
      <w:r w:rsidRPr="000F5ED6" w:rsidR="009A6DC3">
        <w:rPr>
          <w:rFonts w:ascii="Times New Roman" w:hAnsi="Times New Roman"/>
        </w:rPr>
        <w:t>,</w:t>
      </w:r>
      <w:r w:rsidRPr="000F5ED6" w:rsidR="001928CE">
        <w:rPr>
          <w:rFonts w:ascii="Times New Roman" w:hAnsi="Times New Roman"/>
        </w:rPr>
        <w:t xml:space="preserve"> representing </w:t>
      </w:r>
      <w:r w:rsidRPr="000F5ED6" w:rsidR="00314097">
        <w:rPr>
          <w:rFonts w:ascii="Times New Roman" w:hAnsi="Times New Roman"/>
        </w:rPr>
        <w:t>2</w:t>
      </w:r>
      <w:r w:rsidRPr="000F5ED6">
        <w:rPr>
          <w:rFonts w:ascii="Times New Roman" w:hAnsi="Times New Roman"/>
        </w:rPr>
        <w:t>0</w:t>
      </w:r>
      <w:r w:rsidRPr="000F5ED6" w:rsidR="00314097">
        <w:rPr>
          <w:rFonts w:ascii="Times New Roman" w:hAnsi="Times New Roman"/>
        </w:rPr>
        <w:t>,</w:t>
      </w:r>
      <w:r w:rsidRPr="000F5ED6">
        <w:rPr>
          <w:rFonts w:ascii="Times New Roman" w:hAnsi="Times New Roman"/>
        </w:rPr>
        <w:t>682</w:t>
      </w:r>
      <w:r w:rsidRPr="000F5ED6" w:rsidR="001928CE">
        <w:rPr>
          <w:rFonts w:ascii="Times New Roman" w:hAnsi="Times New Roman"/>
        </w:rPr>
        <w:t xml:space="preserve"> cetaceans and </w:t>
      </w:r>
      <w:r w:rsidRPr="000F5ED6" w:rsidR="00314097">
        <w:rPr>
          <w:rFonts w:ascii="Times New Roman" w:hAnsi="Times New Roman"/>
        </w:rPr>
        <w:t>6</w:t>
      </w:r>
      <w:r w:rsidRPr="000F5ED6">
        <w:rPr>
          <w:rFonts w:ascii="Times New Roman" w:hAnsi="Times New Roman"/>
        </w:rPr>
        <w:t>1</w:t>
      </w:r>
      <w:r w:rsidRPr="000F5ED6" w:rsidR="00314097">
        <w:rPr>
          <w:rFonts w:ascii="Times New Roman" w:hAnsi="Times New Roman"/>
        </w:rPr>
        <w:t>,</w:t>
      </w:r>
      <w:r w:rsidRPr="000F5ED6">
        <w:rPr>
          <w:rFonts w:ascii="Times New Roman" w:hAnsi="Times New Roman"/>
        </w:rPr>
        <w:t>822</w:t>
      </w:r>
      <w:r w:rsidRPr="000F5ED6" w:rsidR="00273F2E">
        <w:rPr>
          <w:rFonts w:ascii="Times New Roman" w:hAnsi="Times New Roman"/>
        </w:rPr>
        <w:t xml:space="preserve"> pinnipeds (excluding walrus). </w:t>
      </w:r>
      <w:r w:rsidR="00430B2D">
        <w:rPr>
          <w:rFonts w:ascii="Times New Roman" w:hAnsi="Times New Roman"/>
        </w:rPr>
        <w:t>A port</w:t>
      </w:r>
      <w:r w:rsidRPr="000F5ED6" w:rsidR="00B06D14">
        <w:rPr>
          <w:rFonts w:ascii="Times New Roman" w:hAnsi="Times New Roman"/>
        </w:rPr>
        <w:t xml:space="preserve">ion </w:t>
      </w:r>
      <w:r w:rsidRPr="000F5ED6" w:rsidR="004C4280">
        <w:rPr>
          <w:rFonts w:ascii="Times New Roman" w:hAnsi="Times New Roman"/>
        </w:rPr>
        <w:t xml:space="preserve">of </w:t>
      </w:r>
      <w:r w:rsidRPr="000F5ED6" w:rsidR="00C24007">
        <w:rPr>
          <w:rFonts w:ascii="Times New Roman" w:hAnsi="Times New Roman"/>
        </w:rPr>
        <w:t xml:space="preserve">marine mammals </w:t>
      </w:r>
      <w:r w:rsidRPr="000F5ED6" w:rsidR="00314097">
        <w:rPr>
          <w:rFonts w:ascii="Times New Roman" w:hAnsi="Times New Roman"/>
        </w:rPr>
        <w:t xml:space="preserve">that </w:t>
      </w:r>
      <w:r w:rsidRPr="000F5ED6" w:rsidR="00B06D14">
        <w:rPr>
          <w:rFonts w:ascii="Times New Roman" w:hAnsi="Times New Roman"/>
        </w:rPr>
        <w:t>strand alive</w:t>
      </w:r>
      <w:r w:rsidRPr="000F5ED6" w:rsidR="002A1AD7">
        <w:rPr>
          <w:rFonts w:ascii="Times New Roman" w:hAnsi="Times New Roman"/>
        </w:rPr>
        <w:t xml:space="preserve"> </w:t>
      </w:r>
      <w:r w:rsidRPr="000F5ED6" w:rsidR="00B06D14">
        <w:rPr>
          <w:rFonts w:ascii="Times New Roman" w:hAnsi="Times New Roman"/>
        </w:rPr>
        <w:t>are deemed appropriate candidates for rehabilitation and the Network completes the</w:t>
      </w:r>
      <w:r w:rsidRPr="000F5ED6">
        <w:rPr>
          <w:rFonts w:ascii="Times New Roman" w:hAnsi="Times New Roman"/>
        </w:rPr>
        <w:t xml:space="preserve"> Marine Mammal Rehabilitation Disposition Report</w:t>
      </w:r>
      <w:r w:rsidRPr="000F5ED6" w:rsidR="00C013B8">
        <w:rPr>
          <w:rFonts w:ascii="Times New Roman" w:hAnsi="Times New Roman"/>
        </w:rPr>
        <w:t xml:space="preserve">. </w:t>
      </w:r>
      <w:r w:rsidRPr="000F5ED6" w:rsidR="00B06D14">
        <w:rPr>
          <w:rFonts w:ascii="Times New Roman" w:hAnsi="Times New Roman"/>
        </w:rPr>
        <w:t>This report</w:t>
      </w:r>
      <w:r w:rsidRPr="00314097" w:rsidR="00B06D14">
        <w:rPr>
          <w:rFonts w:ascii="Times New Roman" w:hAnsi="Times New Roman"/>
        </w:rPr>
        <w:t xml:space="preserve"> </w:t>
      </w:r>
      <w:r w:rsidRPr="00314097">
        <w:rPr>
          <w:rFonts w:ascii="Times New Roman" w:hAnsi="Times New Roman"/>
        </w:rPr>
        <w:t>provides NMFS with information on the disposition of animals brought in for rehabilitation, types of disease and other health related issues upon admission, types of and response to medical treatment, and the number of animals released</w:t>
      </w:r>
      <w:r w:rsidRPr="00314097" w:rsidR="00C013B8">
        <w:rPr>
          <w:rFonts w:ascii="Times New Roman" w:hAnsi="Times New Roman"/>
        </w:rPr>
        <w:t xml:space="preserve">. </w:t>
      </w:r>
      <w:r w:rsidRPr="00314097">
        <w:rPr>
          <w:rFonts w:ascii="Times New Roman" w:hAnsi="Times New Roman"/>
        </w:rPr>
        <w:t xml:space="preserve">This </w:t>
      </w:r>
      <w:r w:rsidRPr="00314097">
        <w:rPr>
          <w:rFonts w:ascii="Times New Roman" w:hAnsi="Times New Roman"/>
        </w:rPr>
        <w:t>information assists the Agency in tracking marine mammals that are transferred to captive display facilities following a determination of non</w:t>
      </w:r>
      <w:r w:rsidRPr="00314097" w:rsidR="009A6DC3">
        <w:rPr>
          <w:rFonts w:ascii="Times New Roman" w:hAnsi="Times New Roman"/>
        </w:rPr>
        <w:t>-</w:t>
      </w:r>
      <w:r w:rsidRPr="00314097">
        <w:rPr>
          <w:rFonts w:ascii="Times New Roman" w:hAnsi="Times New Roman"/>
        </w:rPr>
        <w:t>releasability and in the monitoring of rehabilitation facilities and release protocols</w:t>
      </w:r>
      <w:r w:rsidRPr="00314097" w:rsidR="00C013B8">
        <w:rPr>
          <w:rFonts w:ascii="Times New Roman" w:hAnsi="Times New Roman"/>
        </w:rPr>
        <w:t>.</w:t>
      </w:r>
      <w:r w:rsidR="00C013B8">
        <w:rPr>
          <w:rFonts w:ascii="Times New Roman" w:hAnsi="Times New Roman"/>
        </w:rPr>
        <w:t xml:space="preserve"> </w:t>
      </w:r>
    </w:p>
    <w:p w:rsidR="00B06D14" w:rsidRPr="00E253D1" w:rsidP="00B06D14" w14:paraId="35743833" w14:textId="77777777">
      <w:pPr>
        <w:pStyle w:val="Default"/>
        <w:rPr>
          <w:rFonts w:ascii="Times New Roman" w:hAnsi="Times New Roman" w:cs="Times New Roman"/>
        </w:rPr>
      </w:pPr>
    </w:p>
    <w:p w:rsidR="00C2777B" w:rsidRPr="00E253D1" w:rsidP="00A955B7" w14:paraId="469CD41E" w14:textId="77777777">
      <w:pPr>
        <w:pStyle w:val="CM12"/>
        <w:spacing w:after="0" w:line="280" w:lineRule="atLeast"/>
        <w:rPr>
          <w:rFonts w:ascii="Times New Roman" w:hAnsi="Times New Roman"/>
        </w:rPr>
      </w:pPr>
      <w:r w:rsidRPr="00E253D1">
        <w:rPr>
          <w:rFonts w:ascii="Times New Roman" w:hAnsi="Times New Roman"/>
        </w:rPr>
        <w:t xml:space="preserve">The </w:t>
      </w:r>
      <w:r w:rsidRPr="00E253D1" w:rsidR="00B06D14">
        <w:rPr>
          <w:rFonts w:ascii="Times New Roman" w:hAnsi="Times New Roman"/>
        </w:rPr>
        <w:t>Age</w:t>
      </w:r>
      <w:r w:rsidRPr="00E253D1" w:rsidR="00385A1D">
        <w:rPr>
          <w:rFonts w:ascii="Times New Roman" w:hAnsi="Times New Roman"/>
        </w:rPr>
        <w:t>n</w:t>
      </w:r>
      <w:r w:rsidRPr="00E253D1" w:rsidR="00B06D14">
        <w:rPr>
          <w:rFonts w:ascii="Times New Roman" w:hAnsi="Times New Roman"/>
        </w:rPr>
        <w:t>cy</w:t>
      </w:r>
      <w:r w:rsidRPr="00E253D1">
        <w:rPr>
          <w:rFonts w:ascii="Times New Roman" w:hAnsi="Times New Roman"/>
        </w:rPr>
        <w:t xml:space="preserve"> will retain control over the information and safeguard it from improper access, modification, and destruction, consistent with NOAA standards for confidentiality, privacy, and electronic information</w:t>
      </w:r>
      <w:r w:rsidR="00C013B8">
        <w:rPr>
          <w:rFonts w:ascii="Times New Roman" w:hAnsi="Times New Roman"/>
        </w:rPr>
        <w:t xml:space="preserve">. </w:t>
      </w:r>
      <w:r w:rsidRPr="00E253D1">
        <w:rPr>
          <w:rFonts w:ascii="Times New Roman" w:hAnsi="Times New Roman"/>
        </w:rPr>
        <w:t xml:space="preserve">As stated in the “Data Access” section found on the </w:t>
      </w:r>
      <w:r w:rsidRPr="00E253D1" w:rsidR="00385A1D">
        <w:rPr>
          <w:rFonts w:ascii="Times New Roman" w:hAnsi="Times New Roman"/>
        </w:rPr>
        <w:t xml:space="preserve">back page </w:t>
      </w:r>
      <w:r w:rsidRPr="00E253D1">
        <w:rPr>
          <w:rFonts w:ascii="Times New Roman" w:hAnsi="Times New Roman"/>
        </w:rPr>
        <w:t>of the forms, upon written request (including under the Freedom of Information Act), certain fields of both reports will be provided to the requestor provided that credit is given to the Marine Mammal Stranding Network and the NMFS</w:t>
      </w:r>
      <w:r w:rsidR="00C013B8">
        <w:rPr>
          <w:rFonts w:ascii="Times New Roman" w:hAnsi="Times New Roman"/>
        </w:rPr>
        <w:t xml:space="preserve">. </w:t>
      </w:r>
      <w:r w:rsidRPr="00E253D1">
        <w:rPr>
          <w:rFonts w:ascii="Times New Roman" w:hAnsi="Times New Roman"/>
        </w:rPr>
        <w:t>The privacy standards under FOIA, preventing the release of personal information including home ph</w:t>
      </w:r>
      <w:r w:rsidR="00E253D1">
        <w:rPr>
          <w:rFonts w:ascii="Times New Roman" w:hAnsi="Times New Roman"/>
        </w:rPr>
        <w:t xml:space="preserve">one numbers and addresses, </w:t>
      </w:r>
      <w:r w:rsidR="006E75ED">
        <w:rPr>
          <w:rFonts w:ascii="Times New Roman" w:hAnsi="Times New Roman"/>
        </w:rPr>
        <w:t xml:space="preserve">dictates that certain data fields which are collected for government use </w:t>
      </w:r>
      <w:r w:rsidR="00E253D1">
        <w:rPr>
          <w:rFonts w:ascii="Times New Roman" w:hAnsi="Times New Roman"/>
        </w:rPr>
        <w:t>will</w:t>
      </w:r>
      <w:r w:rsidRPr="00E253D1">
        <w:rPr>
          <w:rFonts w:ascii="Times New Roman" w:hAnsi="Times New Roman"/>
        </w:rPr>
        <w:t xml:space="preserve"> </w:t>
      </w:r>
      <w:r w:rsidRPr="00E253D1" w:rsidR="00385A1D">
        <w:rPr>
          <w:rFonts w:ascii="Times New Roman" w:hAnsi="Times New Roman"/>
        </w:rPr>
        <w:t>not be released</w:t>
      </w:r>
      <w:r w:rsidR="006E75ED">
        <w:rPr>
          <w:rFonts w:ascii="Times New Roman" w:hAnsi="Times New Roman"/>
        </w:rPr>
        <w:t xml:space="preserve"> to the public</w:t>
      </w:r>
      <w:r w:rsidRPr="00E253D1">
        <w:rPr>
          <w:rFonts w:ascii="Times New Roman" w:hAnsi="Times New Roman"/>
        </w:rPr>
        <w:t xml:space="preserve">. See response </w:t>
      </w:r>
      <w:r w:rsidRPr="00E253D1" w:rsidR="009A6DC3">
        <w:rPr>
          <w:rFonts w:ascii="Times New Roman" w:hAnsi="Times New Roman"/>
        </w:rPr>
        <w:t>to Question</w:t>
      </w:r>
      <w:r w:rsidR="007E2E32">
        <w:rPr>
          <w:rFonts w:ascii="Times New Roman" w:hAnsi="Times New Roman"/>
        </w:rPr>
        <w:t xml:space="preserve"> </w:t>
      </w:r>
      <w:r w:rsidRPr="00E253D1">
        <w:rPr>
          <w:rFonts w:ascii="Times New Roman" w:hAnsi="Times New Roman"/>
        </w:rPr>
        <w:t>10 of this Supporting Statement for more information on confidentiality and privacy</w:t>
      </w:r>
      <w:r w:rsidR="00C013B8">
        <w:rPr>
          <w:rFonts w:ascii="Times New Roman" w:hAnsi="Times New Roman"/>
        </w:rPr>
        <w:t xml:space="preserve">. </w:t>
      </w:r>
      <w:r w:rsidRPr="00E253D1">
        <w:rPr>
          <w:rFonts w:ascii="Times New Roman" w:hAnsi="Times New Roman"/>
        </w:rPr>
        <w:t>The information collection is designed to yield data that meets all applicable information quality guidelines</w:t>
      </w:r>
      <w:r w:rsidR="00C013B8">
        <w:rPr>
          <w:rFonts w:ascii="Times New Roman" w:hAnsi="Times New Roman"/>
        </w:rPr>
        <w:t xml:space="preserve">. </w:t>
      </w:r>
      <w:r w:rsidRPr="00E253D1">
        <w:rPr>
          <w:rFonts w:ascii="Times New Roman" w:hAnsi="Times New Roman"/>
        </w:rPr>
        <w:t xml:space="preserve">Prior to dissemination, the information will be subjected to quality control measures and a pre-dissemination review pursuant to </w:t>
      </w:r>
      <w:hyperlink r:id="rId7" w:history="1">
        <w:r w:rsidRPr="007D66F6">
          <w:rPr>
            <w:rStyle w:val="Hyperlink"/>
            <w:rFonts w:ascii="Times New Roman" w:hAnsi="Times New Roman"/>
          </w:rPr>
          <w:t>Section 515 of Public Law 106-554</w:t>
        </w:r>
      </w:hyperlink>
      <w:r w:rsidRPr="00E253D1">
        <w:rPr>
          <w:rFonts w:ascii="Times New Roman" w:hAnsi="Times New Roman"/>
        </w:rPr>
        <w:t xml:space="preserve">. </w:t>
      </w:r>
    </w:p>
    <w:p w:rsidR="00A955B7" w:rsidRPr="00E253D1" w:rsidP="00A955B7" w14:paraId="098269B4" w14:textId="77777777">
      <w:pPr>
        <w:pStyle w:val="Default"/>
        <w:rPr>
          <w:rFonts w:ascii="Times New Roman" w:hAnsi="Times New Roman" w:cs="Times New Roman"/>
        </w:rPr>
      </w:pPr>
    </w:p>
    <w:p w:rsidR="00C2777B" w:rsidRPr="00660972" w:rsidP="00660972" w14:paraId="6B1DD9F5" w14:textId="02E2F747">
      <w:pPr>
        <w:pStyle w:val="NormalWeb"/>
        <w:numPr>
          <w:ilvl w:val="0"/>
          <w:numId w:val="3"/>
        </w:numPr>
        <w:spacing w:before="182" w:beforeAutospacing="0" w:after="0" w:afterAutospacing="0"/>
        <w:ind w:left="360"/>
        <w:textAlignment w:val="baseline"/>
        <w:rPr>
          <w:b/>
          <w:bCs/>
          <w:color w:val="000000"/>
        </w:rPr>
      </w:pPr>
      <w:r>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5B7" w:rsidRPr="00E253D1" w:rsidP="00A955B7" w14:paraId="733F755A" w14:textId="77777777">
      <w:pPr>
        <w:pStyle w:val="Default"/>
        <w:rPr>
          <w:rFonts w:ascii="Times New Roman" w:hAnsi="Times New Roman" w:cs="Times New Roman"/>
        </w:rPr>
      </w:pPr>
    </w:p>
    <w:p w:rsidR="00C2777B" w:rsidRPr="00E253D1" w:rsidP="00A955B7" w14:paraId="6485E685" w14:textId="77777777">
      <w:pPr>
        <w:pStyle w:val="CM12"/>
        <w:spacing w:after="0" w:line="280" w:lineRule="atLeast"/>
        <w:ind w:right="75"/>
        <w:rPr>
          <w:rFonts w:ascii="Times New Roman" w:hAnsi="Times New Roman"/>
        </w:rPr>
      </w:pPr>
      <w:r w:rsidRPr="00E253D1">
        <w:rPr>
          <w:rFonts w:ascii="Times New Roman" w:hAnsi="Times New Roman"/>
        </w:rPr>
        <w:t xml:space="preserve">Stranding Network organizations can enter Level A </w:t>
      </w:r>
      <w:r w:rsidRPr="00E253D1" w:rsidR="00C57F70">
        <w:rPr>
          <w:rFonts w:ascii="Times New Roman" w:hAnsi="Times New Roman"/>
        </w:rPr>
        <w:t xml:space="preserve">data </w:t>
      </w:r>
      <w:r w:rsidRPr="00E253D1">
        <w:rPr>
          <w:rFonts w:ascii="Times New Roman" w:hAnsi="Times New Roman"/>
        </w:rPr>
        <w:t xml:space="preserve">from </w:t>
      </w:r>
      <w:r w:rsidR="007E2E32">
        <w:rPr>
          <w:rFonts w:ascii="Times New Roman" w:hAnsi="Times New Roman"/>
        </w:rPr>
        <w:t>all</w:t>
      </w:r>
      <w:r w:rsidRPr="00E253D1">
        <w:rPr>
          <w:rFonts w:ascii="Times New Roman" w:hAnsi="Times New Roman"/>
        </w:rPr>
        <w:t xml:space="preserve"> forms </w:t>
      </w:r>
      <w:r w:rsidR="007E2E32">
        <w:rPr>
          <w:rFonts w:ascii="Times New Roman" w:hAnsi="Times New Roman"/>
        </w:rPr>
        <w:t xml:space="preserve">in the data collection (Marine Mammal Stranding Report, Marine Mammal Rehabilitation Disposition Report, and the Human Interaction Data Sheet) </w:t>
      </w:r>
      <w:r w:rsidRPr="00E253D1">
        <w:rPr>
          <w:rFonts w:ascii="Times New Roman" w:hAnsi="Times New Roman"/>
        </w:rPr>
        <w:t>to the Marine Mammal Health and Stranding Response Program National Database</w:t>
      </w:r>
      <w:r w:rsidR="00C013B8">
        <w:rPr>
          <w:rFonts w:ascii="Times New Roman" w:hAnsi="Times New Roman"/>
        </w:rPr>
        <w:t xml:space="preserve">. </w:t>
      </w:r>
      <w:r w:rsidRPr="00E253D1" w:rsidR="00385A1D">
        <w:rPr>
          <w:rFonts w:ascii="Times New Roman" w:hAnsi="Times New Roman"/>
        </w:rPr>
        <w:t>The databas</w:t>
      </w:r>
      <w:r w:rsidRPr="00E253D1">
        <w:rPr>
          <w:rFonts w:ascii="Times New Roman" w:hAnsi="Times New Roman"/>
        </w:rPr>
        <w:t>e</w:t>
      </w:r>
      <w:r w:rsidRPr="00E253D1" w:rsidR="00385A1D">
        <w:rPr>
          <w:rFonts w:ascii="Times New Roman" w:hAnsi="Times New Roman"/>
        </w:rPr>
        <w:t xml:space="preserve"> is password prote</w:t>
      </w:r>
      <w:r w:rsidR="007E2E32">
        <w:rPr>
          <w:rFonts w:ascii="Times New Roman" w:hAnsi="Times New Roman"/>
        </w:rPr>
        <w:t>cted and access is limited to Stranding</w:t>
      </w:r>
      <w:r w:rsidRPr="00E253D1" w:rsidR="00385A1D">
        <w:rPr>
          <w:rFonts w:ascii="Times New Roman" w:hAnsi="Times New Roman"/>
        </w:rPr>
        <w:t xml:space="preserve"> Network organizations</w:t>
      </w:r>
      <w:r w:rsidR="00C013B8">
        <w:rPr>
          <w:rFonts w:ascii="Times New Roman" w:hAnsi="Times New Roman"/>
        </w:rPr>
        <w:t xml:space="preserve">. </w:t>
      </w:r>
      <w:r w:rsidRPr="00E253D1">
        <w:rPr>
          <w:rFonts w:ascii="Times New Roman" w:hAnsi="Times New Roman"/>
        </w:rPr>
        <w:t xml:space="preserve">Stranding organizations </w:t>
      </w:r>
      <w:r w:rsidRPr="00E253D1" w:rsidR="00A90633">
        <w:rPr>
          <w:rFonts w:ascii="Times New Roman" w:hAnsi="Times New Roman"/>
        </w:rPr>
        <w:t xml:space="preserve">do have access to </w:t>
      </w:r>
      <w:r w:rsidR="006E75ED">
        <w:rPr>
          <w:rFonts w:ascii="Times New Roman" w:hAnsi="Times New Roman"/>
        </w:rPr>
        <w:t xml:space="preserve">view </w:t>
      </w:r>
      <w:r w:rsidRPr="00E253D1" w:rsidR="00A90633">
        <w:rPr>
          <w:rFonts w:ascii="Times New Roman" w:hAnsi="Times New Roman"/>
        </w:rPr>
        <w:t>regional data (i.e., within their own region)</w:t>
      </w:r>
      <w:r w:rsidR="00C013B8">
        <w:rPr>
          <w:rFonts w:ascii="Times New Roman" w:hAnsi="Times New Roman"/>
        </w:rPr>
        <w:t xml:space="preserve">. </w:t>
      </w:r>
      <w:r w:rsidRPr="00E253D1">
        <w:rPr>
          <w:rFonts w:ascii="Times New Roman" w:hAnsi="Times New Roman"/>
        </w:rPr>
        <w:t xml:space="preserve">NMFS may also require paper copies be submitted to the NMFS Regional Stranding Coordinators in a timely manner as </w:t>
      </w:r>
      <w:r w:rsidRPr="00E253D1" w:rsidR="009A6DC3">
        <w:rPr>
          <w:rFonts w:ascii="Times New Roman" w:hAnsi="Times New Roman"/>
        </w:rPr>
        <w:t>detailed in their SAs</w:t>
      </w:r>
      <w:r w:rsidR="00C013B8">
        <w:rPr>
          <w:rFonts w:ascii="Times New Roman" w:hAnsi="Times New Roman"/>
        </w:rPr>
        <w:t xml:space="preserve">. </w:t>
      </w:r>
      <w:r w:rsidRPr="00E253D1" w:rsidR="009A6DC3">
        <w:rPr>
          <w:rFonts w:ascii="Times New Roman" w:hAnsi="Times New Roman"/>
        </w:rPr>
        <w:t xml:space="preserve">This </w:t>
      </w:r>
      <w:r w:rsidRPr="00E253D1">
        <w:rPr>
          <w:rFonts w:ascii="Times New Roman" w:hAnsi="Times New Roman"/>
        </w:rPr>
        <w:t>requirement has been useful for periodic data validation</w:t>
      </w:r>
      <w:r w:rsidR="00C013B8">
        <w:rPr>
          <w:rFonts w:ascii="Times New Roman" w:hAnsi="Times New Roman"/>
        </w:rPr>
        <w:t xml:space="preserve">. </w:t>
      </w:r>
      <w:r w:rsidRPr="00E253D1" w:rsidR="00C24007">
        <w:rPr>
          <w:rFonts w:ascii="Times New Roman" w:hAnsi="Times New Roman"/>
        </w:rPr>
        <w:t xml:space="preserve">The forms are </w:t>
      </w:r>
      <w:r w:rsidRPr="00E253D1" w:rsidR="00C57F70">
        <w:rPr>
          <w:rFonts w:ascii="Times New Roman" w:hAnsi="Times New Roman"/>
        </w:rPr>
        <w:t xml:space="preserve">also </w:t>
      </w:r>
      <w:r w:rsidRPr="00E253D1" w:rsidR="00C24007">
        <w:rPr>
          <w:rFonts w:ascii="Times New Roman" w:hAnsi="Times New Roman"/>
        </w:rPr>
        <w:t>located on the NOAA Fisheries Office of Protected Resources Website</w:t>
      </w:r>
      <w:r w:rsidR="006E75ED">
        <w:rPr>
          <w:rFonts w:ascii="Times New Roman" w:hAnsi="Times New Roman"/>
        </w:rPr>
        <w:t xml:space="preserve"> at</w:t>
      </w:r>
      <w:r w:rsidR="007E2E32">
        <w:rPr>
          <w:rFonts w:ascii="Times New Roman" w:hAnsi="Times New Roman"/>
        </w:rPr>
        <w:t xml:space="preserve"> </w:t>
      </w:r>
      <w:hyperlink r:id="rId8" w:history="1">
        <w:r w:rsidR="007E2E32">
          <w:rPr>
            <w:rStyle w:val="Hyperlink"/>
          </w:rPr>
          <w:t>https://www.fisheries.noaa.gov/national/marine-mammal-protection/level-data-collection-marine-mammal-stranding-events</w:t>
        </w:r>
      </w:hyperlink>
      <w:r w:rsidRPr="00E253D1" w:rsidR="00C24007">
        <w:rPr>
          <w:rFonts w:ascii="Times New Roman" w:hAnsi="Times New Roman"/>
        </w:rPr>
        <w:t>.</w:t>
      </w:r>
    </w:p>
    <w:p w:rsidR="00A955B7" w:rsidRPr="00E253D1" w:rsidP="00A955B7" w14:paraId="7FE95AA6" w14:textId="77777777">
      <w:pPr>
        <w:pStyle w:val="Default"/>
        <w:rPr>
          <w:rFonts w:ascii="Times New Roman" w:hAnsi="Times New Roman" w:cs="Times New Roman"/>
        </w:rPr>
      </w:pPr>
    </w:p>
    <w:p w:rsidR="00C2777B" w:rsidRPr="00660972" w:rsidP="00660972" w14:paraId="36478672" w14:textId="11AC777E">
      <w:pPr>
        <w:pStyle w:val="NormalWeb"/>
        <w:numPr>
          <w:ilvl w:val="0"/>
          <w:numId w:val="3"/>
        </w:numPr>
        <w:spacing w:before="182" w:beforeAutospacing="0" w:after="0" w:afterAutospacing="0"/>
        <w:ind w:left="360"/>
        <w:textAlignment w:val="baseline"/>
        <w:rPr>
          <w:b/>
          <w:bCs/>
          <w:color w:val="000000"/>
        </w:rPr>
      </w:pPr>
      <w:r>
        <w:rPr>
          <w:b/>
          <w:bCs/>
          <w:color w:val="000000"/>
        </w:rPr>
        <w:t>Describe efforts to identify duplication. Show specifically why any similar information already available cannot be used or modified for use for the purposes described in Question 2</w:t>
      </w:r>
      <w:r w:rsidRPr="00660972" w:rsidR="001571B6">
        <w:rPr>
          <w:b/>
          <w:bCs/>
          <w:color w:val="000000"/>
        </w:rPr>
        <w:t xml:space="preserve">. </w:t>
      </w:r>
    </w:p>
    <w:p w:rsidR="00A955B7" w:rsidRPr="00E253D1" w:rsidP="00A955B7" w14:paraId="70FD8BDE" w14:textId="77777777">
      <w:pPr>
        <w:pStyle w:val="Default"/>
        <w:rPr>
          <w:rFonts w:ascii="Times New Roman" w:hAnsi="Times New Roman" w:cs="Times New Roman"/>
        </w:rPr>
      </w:pPr>
    </w:p>
    <w:p w:rsidR="00A955B7" w:rsidRPr="00E253D1" w:rsidP="00A955B7" w14:paraId="49EBB64A" w14:textId="4AA6E1AF">
      <w:pPr>
        <w:pStyle w:val="CM13"/>
        <w:spacing w:after="0"/>
        <w:ind w:right="358"/>
        <w:rPr>
          <w:rFonts w:ascii="Times New Roman" w:hAnsi="Times New Roman"/>
        </w:rPr>
      </w:pPr>
      <w:r w:rsidRPr="00E253D1">
        <w:rPr>
          <w:rFonts w:ascii="Times New Roman" w:hAnsi="Times New Roman"/>
        </w:rPr>
        <w:t>Although some duplication of reporting (multiple users reporting the same event) may result from the large number of stranding network members responding to and reporting stranding events, it has not been a problem to date</w:t>
      </w:r>
      <w:r w:rsidR="00C013B8">
        <w:rPr>
          <w:rFonts w:ascii="Times New Roman" w:hAnsi="Times New Roman"/>
        </w:rPr>
        <w:t xml:space="preserve">. </w:t>
      </w:r>
      <w:r w:rsidRPr="00E253D1">
        <w:rPr>
          <w:rFonts w:ascii="Times New Roman" w:hAnsi="Times New Roman"/>
        </w:rPr>
        <w:t xml:space="preserve">Any duplication is eliminated during data entry and </w:t>
      </w:r>
      <w:r w:rsidR="006E75ED">
        <w:rPr>
          <w:rFonts w:ascii="Times New Roman" w:hAnsi="Times New Roman"/>
        </w:rPr>
        <w:t xml:space="preserve">review </w:t>
      </w:r>
      <w:r w:rsidRPr="00E253D1">
        <w:rPr>
          <w:rFonts w:ascii="Times New Roman" w:hAnsi="Times New Roman"/>
        </w:rPr>
        <w:t>by regional NMFS personnel. Centralizing the data in the National Database provide</w:t>
      </w:r>
      <w:r w:rsidRPr="00E253D1" w:rsidR="004C7235">
        <w:rPr>
          <w:rFonts w:ascii="Times New Roman" w:hAnsi="Times New Roman"/>
        </w:rPr>
        <w:t>s</w:t>
      </w:r>
      <w:r w:rsidRPr="00E253D1">
        <w:rPr>
          <w:rFonts w:ascii="Times New Roman" w:hAnsi="Times New Roman"/>
        </w:rPr>
        <w:t xml:space="preserve"> the most efficient means to distribute information upon requests from other Federal agencies (e.g., Navy, Smithsonian Institute, etc.), Network members, state and local managers</w:t>
      </w:r>
      <w:r w:rsidR="000F5ED6">
        <w:rPr>
          <w:rFonts w:ascii="Times New Roman" w:hAnsi="Times New Roman"/>
        </w:rPr>
        <w:t>, and the public</w:t>
      </w:r>
      <w:r w:rsidRPr="00E253D1">
        <w:rPr>
          <w:rFonts w:ascii="Times New Roman" w:hAnsi="Times New Roman"/>
        </w:rPr>
        <w:t xml:space="preserve">. </w:t>
      </w:r>
      <w:r w:rsidR="006A2838">
        <w:rPr>
          <w:rFonts w:ascii="Times New Roman" w:hAnsi="Times New Roman"/>
        </w:rPr>
        <w:t>To our knowledge, s</w:t>
      </w:r>
      <w:r w:rsidR="006207EB">
        <w:rPr>
          <w:rFonts w:ascii="Times New Roman" w:hAnsi="Times New Roman"/>
        </w:rPr>
        <w:t>tate or other federal agencies do not collect these data</w:t>
      </w:r>
      <w:r w:rsidR="006A2838">
        <w:rPr>
          <w:rFonts w:ascii="Times New Roman" w:hAnsi="Times New Roman"/>
        </w:rPr>
        <w:t>.</w:t>
      </w:r>
    </w:p>
    <w:p w:rsidR="00A955B7" w:rsidRPr="00E253D1" w:rsidP="00A955B7" w14:paraId="72BD0B6C" w14:textId="77777777">
      <w:pPr>
        <w:pStyle w:val="Default"/>
        <w:rPr>
          <w:rFonts w:ascii="Times New Roman" w:hAnsi="Times New Roman" w:cs="Times New Roman"/>
        </w:rPr>
      </w:pPr>
    </w:p>
    <w:p w:rsidR="00C2777B" w:rsidRPr="00660972" w:rsidP="00660972" w14:paraId="596C2691" w14:textId="554877D4">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If the collection of information involves small businesses or other small entities, describe the methods used to minimize burden. </w:t>
      </w:r>
    </w:p>
    <w:p w:rsidR="006B6646" w:rsidRPr="00E253D1" w:rsidP="00A955B7" w14:paraId="25107E17" w14:textId="77777777">
      <w:pPr>
        <w:pStyle w:val="CM12"/>
        <w:spacing w:after="0" w:line="280" w:lineRule="atLeast"/>
        <w:rPr>
          <w:rFonts w:ascii="Times New Roman" w:hAnsi="Times New Roman"/>
        </w:rPr>
      </w:pPr>
    </w:p>
    <w:p w:rsidR="00C2777B" w:rsidRPr="00E253D1" w:rsidP="00A955B7" w14:paraId="04C20409" w14:textId="1327D1F9">
      <w:pPr>
        <w:pStyle w:val="CM12"/>
        <w:spacing w:after="0" w:line="280" w:lineRule="atLeast"/>
        <w:rPr>
          <w:rFonts w:ascii="Times New Roman" w:hAnsi="Times New Roman"/>
        </w:rPr>
      </w:pPr>
      <w:r w:rsidRPr="00E253D1">
        <w:rPr>
          <w:rFonts w:ascii="Times New Roman" w:hAnsi="Times New Roman"/>
        </w:rPr>
        <w:t>Collection and centralization of data across areas involving small entities (i.e., typically not-for</w:t>
      </w:r>
      <w:r w:rsidRPr="00E253D1" w:rsidR="004C7235">
        <w:rPr>
          <w:rFonts w:ascii="Times New Roman" w:hAnsi="Times New Roman"/>
        </w:rPr>
        <w:t>-</w:t>
      </w:r>
      <w:r w:rsidRPr="00E253D1">
        <w:rPr>
          <w:rFonts w:ascii="Times New Roman" w:hAnsi="Times New Roman"/>
        </w:rPr>
        <w:t xml:space="preserve">profit organizations) should minimize the burden of each organization building and maintaining their own independent databases. Since stranding network members can view data from other groups in a centralized database, communication and cooperation between the Network members should increase. </w:t>
      </w:r>
    </w:p>
    <w:p w:rsidR="00A955B7" w:rsidRPr="00E253D1" w:rsidP="00A955B7" w14:paraId="22219248" w14:textId="77777777">
      <w:pPr>
        <w:pStyle w:val="Default"/>
        <w:rPr>
          <w:rFonts w:ascii="Times New Roman" w:hAnsi="Times New Roman" w:cs="Times New Roman"/>
        </w:rPr>
      </w:pPr>
    </w:p>
    <w:p w:rsidR="00C2777B" w:rsidRPr="00660972" w:rsidP="00660972" w14:paraId="7CF592CB" w14:textId="7EC86651">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Describe the consequences to the Federal program or policy activities if the collection is not conducted or is conducted less frequently. </w:t>
      </w:r>
    </w:p>
    <w:p w:rsidR="00C2777B" w:rsidRPr="00E253D1" w:rsidP="00A955B7" w14:paraId="740D7040" w14:textId="77777777">
      <w:pPr>
        <w:pStyle w:val="CM1"/>
        <w:rPr>
          <w:rFonts w:ascii="Times New Roman" w:hAnsi="Times New Roman"/>
        </w:rPr>
      </w:pPr>
      <w:r w:rsidRPr="00E253D1">
        <w:rPr>
          <w:rFonts w:ascii="Times New Roman" w:hAnsi="Times New Roman"/>
        </w:rPr>
        <w:t>If the information collection was not conducted by NMFS, either another Federal agency or private organization would need to act in its place as coordinator for the data. If the material and data were not collected, the U.S. Government would not be able to implement Title IV of the MMPA and meet the requirements of the MMPA outlined in response to number 1</w:t>
      </w:r>
      <w:r w:rsidR="00C013B8">
        <w:rPr>
          <w:rFonts w:ascii="Times New Roman" w:hAnsi="Times New Roman"/>
        </w:rPr>
        <w:t xml:space="preserve">. </w:t>
      </w:r>
      <w:r w:rsidRPr="00E253D1">
        <w:rPr>
          <w:rFonts w:ascii="Times New Roman" w:hAnsi="Times New Roman"/>
        </w:rPr>
        <w:t xml:space="preserve">In addition, U.S. Government decisions on the management of marine mammals and the management of fisheries would not be made from the best available information. </w:t>
      </w:r>
    </w:p>
    <w:p w:rsidR="00A955B7" w:rsidRPr="00E253D1" w:rsidP="00A955B7" w14:paraId="429846DA" w14:textId="77777777">
      <w:pPr>
        <w:pStyle w:val="Default"/>
        <w:rPr>
          <w:rFonts w:ascii="Times New Roman" w:hAnsi="Times New Roman" w:cs="Times New Roman"/>
        </w:rPr>
      </w:pPr>
    </w:p>
    <w:p w:rsidR="00C2777B" w:rsidRPr="00E253D1" w:rsidP="00A955B7" w14:paraId="66E2FFEC" w14:textId="07230B4B">
      <w:pPr>
        <w:pStyle w:val="CM12"/>
        <w:spacing w:after="0" w:line="280" w:lineRule="atLeast"/>
        <w:rPr>
          <w:rFonts w:ascii="Times New Roman" w:hAnsi="Times New Roman"/>
        </w:rPr>
      </w:pPr>
      <w:r w:rsidRPr="00E253D1">
        <w:rPr>
          <w:rFonts w:ascii="Times New Roman" w:hAnsi="Times New Roman"/>
        </w:rPr>
        <w:t>Section 404 of the MMPA mandates that the Secretary respond to unusual marine mortality events. Response time is critical</w:t>
      </w:r>
      <w:r w:rsidR="006E75ED">
        <w:rPr>
          <w:rFonts w:ascii="Times New Roman" w:hAnsi="Times New Roman"/>
        </w:rPr>
        <w:t>,</w:t>
      </w:r>
      <w:r w:rsidRPr="00E253D1">
        <w:rPr>
          <w:rFonts w:ascii="Times New Roman" w:hAnsi="Times New Roman"/>
        </w:rPr>
        <w:t xml:space="preserve"> especially in the instance of an unusual mortality event</w:t>
      </w:r>
      <w:r w:rsidR="00C013B8">
        <w:rPr>
          <w:rFonts w:ascii="Times New Roman" w:hAnsi="Times New Roman"/>
        </w:rPr>
        <w:t xml:space="preserve">. </w:t>
      </w:r>
      <w:r w:rsidRPr="00E253D1">
        <w:rPr>
          <w:rFonts w:ascii="Times New Roman" w:hAnsi="Times New Roman"/>
        </w:rPr>
        <w:t>The NMFS regional stranding coordinators require near real</w:t>
      </w:r>
      <w:r w:rsidR="00015277">
        <w:rPr>
          <w:rFonts w:ascii="Times New Roman" w:hAnsi="Times New Roman"/>
        </w:rPr>
        <w:t>-</w:t>
      </w:r>
      <w:r w:rsidRPr="00E253D1">
        <w:rPr>
          <w:rFonts w:ascii="Times New Roman" w:hAnsi="Times New Roman"/>
        </w:rPr>
        <w:t>time data to alert NMFS when an unusual mortality event is occurring</w:t>
      </w:r>
      <w:r w:rsidR="00C013B8">
        <w:rPr>
          <w:rFonts w:ascii="Times New Roman" w:hAnsi="Times New Roman"/>
        </w:rPr>
        <w:t xml:space="preserve">. </w:t>
      </w:r>
      <w:r w:rsidRPr="00E253D1">
        <w:rPr>
          <w:rFonts w:ascii="Times New Roman" w:hAnsi="Times New Roman"/>
        </w:rPr>
        <w:t xml:space="preserve">Also, without a historical baseline provided by information collected from strandings, detection and investigation of such events is more difficult. </w:t>
      </w:r>
    </w:p>
    <w:p w:rsidR="00A955B7" w:rsidRPr="00E253D1" w:rsidP="00A955B7" w14:paraId="2D80DBB3" w14:textId="77777777">
      <w:pPr>
        <w:pStyle w:val="Default"/>
        <w:rPr>
          <w:rFonts w:ascii="Times New Roman" w:hAnsi="Times New Roman" w:cs="Times New Roman"/>
        </w:rPr>
      </w:pPr>
    </w:p>
    <w:p w:rsidR="00C2777B" w:rsidRPr="00660972" w:rsidP="00660972" w14:paraId="43792922" w14:textId="7C0891F0">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Explain any special circumstances that require the collection to be conducted in a manner inconsistent with OMB guidelines. </w:t>
      </w:r>
    </w:p>
    <w:p w:rsidR="00C2777B" w:rsidRPr="00E253D1" w:rsidP="00C2777B" w14:paraId="1A2BE5A8" w14:textId="77777777">
      <w:pPr>
        <w:pStyle w:val="Default"/>
        <w:rPr>
          <w:rFonts w:ascii="Times New Roman" w:hAnsi="Times New Roman" w:cs="Times New Roman"/>
          <w:b/>
          <w:bCs/>
          <w:color w:val="auto"/>
        </w:rPr>
      </w:pPr>
    </w:p>
    <w:p w:rsidR="00F32F81" w:rsidP="00F32F81" w14:paraId="21160B84" w14:textId="77777777">
      <w:pPr>
        <w:pStyle w:val="Default"/>
        <w:spacing w:line="280" w:lineRule="atLeast"/>
        <w:ind w:right="650"/>
        <w:rPr>
          <w:rFonts w:ascii="Times New Roman" w:hAnsi="Times New Roman" w:cs="Times New Roman"/>
          <w:color w:val="auto"/>
        </w:rPr>
      </w:pPr>
      <w:r w:rsidRPr="00E253D1">
        <w:rPr>
          <w:rFonts w:ascii="Times New Roman" w:hAnsi="Times New Roman" w:cs="Times New Roman"/>
          <w:color w:val="auto"/>
        </w:rPr>
        <w:t xml:space="preserve">Because detection and response to mortality events or other problems having an impact on marine mammals is extremely time sensitive, quarterly reporting is not a viable option. </w:t>
      </w:r>
    </w:p>
    <w:p w:rsidR="00F32F81" w:rsidP="00F32F81" w14:paraId="65C4843E" w14:textId="77777777">
      <w:pPr>
        <w:pStyle w:val="Default"/>
        <w:spacing w:line="280" w:lineRule="atLeast"/>
        <w:ind w:right="650"/>
        <w:rPr>
          <w:rFonts w:ascii="Times New Roman" w:hAnsi="Times New Roman" w:cs="Times New Roman"/>
          <w:color w:val="auto"/>
        </w:rPr>
      </w:pPr>
    </w:p>
    <w:p w:rsidR="00C2777B" w:rsidRPr="00660972" w:rsidP="00660972" w14:paraId="379612EB" w14:textId="1CBFFAE2">
      <w:pPr>
        <w:pStyle w:val="NormalWeb"/>
        <w:numPr>
          <w:ilvl w:val="0"/>
          <w:numId w:val="3"/>
        </w:numPr>
        <w:spacing w:before="182" w:beforeAutospacing="0" w:after="0" w:afterAutospacing="0"/>
        <w:ind w:left="360"/>
        <w:textAlignment w:val="baseline"/>
        <w:rPr>
          <w:b/>
          <w:bCs/>
          <w:color w:val="000000"/>
        </w:rPr>
      </w:pPr>
      <w:r>
        <w:rPr>
          <w:b/>
          <w:bCs/>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0972" w:rsidP="00620C9A" w14:paraId="3BDD940A" w14:textId="77777777">
      <w:pPr>
        <w:pStyle w:val="CM12"/>
        <w:spacing w:after="0" w:line="280" w:lineRule="atLeast"/>
        <w:ind w:right="138"/>
        <w:rPr>
          <w:rFonts w:ascii="Times New Roman" w:hAnsi="Times New Roman"/>
        </w:rPr>
      </w:pPr>
    </w:p>
    <w:p w:rsidR="00620C9A" w:rsidP="00620C9A" w14:paraId="13609A50" w14:textId="0C087783">
      <w:pPr>
        <w:pStyle w:val="CM12"/>
        <w:spacing w:after="0" w:line="280" w:lineRule="atLeast"/>
        <w:ind w:right="138"/>
        <w:rPr>
          <w:rFonts w:ascii="Times New Roman" w:hAnsi="Times New Roman"/>
        </w:rPr>
      </w:pPr>
      <w:r w:rsidRPr="00E253D1">
        <w:rPr>
          <w:rFonts w:ascii="Times New Roman" w:hAnsi="Times New Roman"/>
        </w:rPr>
        <w:t xml:space="preserve">A Federal Register Notice published on </w:t>
      </w:r>
      <w:r w:rsidR="00B62317">
        <w:rPr>
          <w:rFonts w:ascii="Times New Roman" w:hAnsi="Times New Roman"/>
        </w:rPr>
        <w:t>February</w:t>
      </w:r>
      <w:r>
        <w:rPr>
          <w:rFonts w:ascii="Times New Roman" w:hAnsi="Times New Roman"/>
        </w:rPr>
        <w:t xml:space="preserve"> </w:t>
      </w:r>
      <w:r w:rsidR="00B62317">
        <w:rPr>
          <w:rFonts w:ascii="Times New Roman" w:hAnsi="Times New Roman"/>
        </w:rPr>
        <w:t>7</w:t>
      </w:r>
      <w:r>
        <w:rPr>
          <w:rFonts w:ascii="Times New Roman" w:hAnsi="Times New Roman"/>
        </w:rPr>
        <w:t>, 2</w:t>
      </w:r>
      <w:r w:rsidR="00B62317">
        <w:rPr>
          <w:rFonts w:ascii="Times New Roman" w:hAnsi="Times New Roman"/>
        </w:rPr>
        <w:t>024</w:t>
      </w:r>
      <w:r w:rsidRPr="00E253D1">
        <w:rPr>
          <w:rFonts w:ascii="Times New Roman" w:hAnsi="Times New Roman"/>
        </w:rPr>
        <w:t xml:space="preserve"> (</w:t>
      </w:r>
      <w:hyperlink r:id="rId9" w:history="1">
        <w:r w:rsidRPr="00B62317" w:rsidR="00B62317">
          <w:rPr>
            <w:rStyle w:val="Hyperlink"/>
            <w:rFonts w:ascii="Times New Roman" w:hAnsi="Times New Roman"/>
          </w:rPr>
          <w:t>89</w:t>
        </w:r>
        <w:r w:rsidRPr="00B62317">
          <w:rPr>
            <w:rStyle w:val="Hyperlink"/>
            <w:rFonts w:ascii="Times New Roman" w:hAnsi="Times New Roman"/>
          </w:rPr>
          <w:t xml:space="preserve"> FR </w:t>
        </w:r>
        <w:r w:rsidRPr="00B62317" w:rsidR="00B62317">
          <w:rPr>
            <w:rStyle w:val="Hyperlink"/>
            <w:rFonts w:ascii="Times New Roman" w:hAnsi="Times New Roman"/>
          </w:rPr>
          <w:t>8413</w:t>
        </w:r>
      </w:hyperlink>
      <w:r w:rsidRPr="00E253D1">
        <w:rPr>
          <w:rFonts w:ascii="Times New Roman" w:hAnsi="Times New Roman"/>
        </w:rPr>
        <w:t xml:space="preserve">) solicited public comment </w:t>
      </w:r>
      <w:r w:rsidR="00A07E11">
        <w:rPr>
          <w:rFonts w:ascii="Times New Roman" w:hAnsi="Times New Roman"/>
        </w:rPr>
        <w:t xml:space="preserve">on this proposed </w:t>
      </w:r>
      <w:r w:rsidR="00B62317">
        <w:rPr>
          <w:rFonts w:ascii="Times New Roman" w:hAnsi="Times New Roman"/>
        </w:rPr>
        <w:t>extension</w:t>
      </w:r>
      <w:r w:rsidR="00A07E11">
        <w:rPr>
          <w:rFonts w:ascii="Times New Roman" w:hAnsi="Times New Roman"/>
        </w:rPr>
        <w:t xml:space="preserve">. </w:t>
      </w:r>
      <w:r>
        <w:rPr>
          <w:rFonts w:ascii="Times New Roman" w:hAnsi="Times New Roman"/>
        </w:rPr>
        <w:t>During the 60-day comment</w:t>
      </w:r>
      <w:r w:rsidR="00B62317">
        <w:rPr>
          <w:rFonts w:ascii="Times New Roman" w:hAnsi="Times New Roman"/>
        </w:rPr>
        <w:t xml:space="preserve"> period, one comment was received. </w:t>
      </w:r>
    </w:p>
    <w:p w:rsidR="00620C9A" w:rsidP="001742AE" w14:paraId="7C0CB9D6" w14:textId="77777777">
      <w:pPr>
        <w:pStyle w:val="CM12"/>
        <w:spacing w:after="0" w:line="280" w:lineRule="atLeast"/>
        <w:ind w:right="138"/>
        <w:rPr>
          <w:b/>
        </w:rPr>
      </w:pPr>
    </w:p>
    <w:p w:rsidR="00EE1842" w:rsidRPr="00EE1842" w:rsidP="00EE1842" w14:paraId="35C89009" w14:textId="77777777">
      <w:pPr>
        <w:autoSpaceDE w:val="0"/>
        <w:autoSpaceDN w:val="0"/>
        <w:adjustRightInd w:val="0"/>
        <w:rPr>
          <w:color w:val="000000"/>
          <w:sz w:val="22"/>
          <w:szCs w:val="22"/>
        </w:rPr>
      </w:pPr>
      <w:r w:rsidRPr="00EE1842">
        <w:rPr>
          <w:i/>
          <w:sz w:val="22"/>
          <w:szCs w:val="22"/>
        </w:rPr>
        <w:t>Comment</w:t>
      </w:r>
      <w:r w:rsidRPr="00EE1842">
        <w:rPr>
          <w:sz w:val="22"/>
          <w:szCs w:val="22"/>
        </w:rPr>
        <w:t xml:space="preserve">: </w:t>
      </w:r>
      <w:r w:rsidRPr="00EE1842">
        <w:rPr>
          <w:color w:val="000000"/>
          <w:sz w:val="22"/>
          <w:szCs w:val="22"/>
        </w:rPr>
        <w:t>I have been an activist for animals for the past four years and recently I have been informing others about the risks of polluting, encouraging others to make more environmentally friendly swaps, I have gone under 1000 eyes training which teaches the various types of pollutions, the importance of speaking out if anything seems out of place, and the impact of human activities on the environment. Additionally, having taken multiple rigorous biology courses such as Marine Biology and I have an understanding about general knowledge in regards to information surrounding this topic. The purpose of this notice issued by the National Oceanic &amp; Atmospheric Administration (NOAA) is to request a 1-year extension of this previously approved data collection to address revisions resulting from a recent law.</w:t>
      </w:r>
    </w:p>
    <w:p w:rsidR="00EE1842" w:rsidRPr="00EE1842" w:rsidP="00EE1842" w14:paraId="473E5EB9" w14:textId="77777777">
      <w:pPr>
        <w:autoSpaceDE w:val="0"/>
        <w:autoSpaceDN w:val="0"/>
        <w:adjustRightInd w:val="0"/>
        <w:rPr>
          <w:b/>
          <w:bCs/>
          <w:color w:val="000000"/>
          <w:sz w:val="22"/>
          <w:szCs w:val="22"/>
        </w:rPr>
      </w:pPr>
      <w:r w:rsidRPr="00EE1842">
        <w:rPr>
          <w:b/>
          <w:bCs/>
          <w:color w:val="000000"/>
          <w:sz w:val="22"/>
          <w:szCs w:val="22"/>
        </w:rPr>
        <w:t>Background Information</w:t>
      </w:r>
    </w:p>
    <w:p w:rsidR="00EE1842" w:rsidRPr="00EE1842" w:rsidP="00EE1842" w14:paraId="3EC4C124" w14:textId="77777777">
      <w:pPr>
        <w:autoSpaceDE w:val="0"/>
        <w:autoSpaceDN w:val="0"/>
        <w:adjustRightInd w:val="0"/>
        <w:rPr>
          <w:color w:val="000000"/>
          <w:sz w:val="22"/>
          <w:szCs w:val="22"/>
        </w:rPr>
      </w:pPr>
      <w:r w:rsidRPr="00EE1842">
        <w:rPr>
          <w:color w:val="000000"/>
          <w:sz w:val="22"/>
          <w:szCs w:val="22"/>
        </w:rPr>
        <w:t>The Marine Mammal Protection Act came out in the early 1970s and it focused on protecting the habitats of marine species to keep marine animals safe. Another purpose of this act is to keep the marine mammal population from declining along with facilitating scientific research to analyze their behaviors and identify potential threats. The implementation of this policy is vital to ensure the security of marine mammals and to gain accurate data that could provide further scientific knowledge in order to benefit marine life.</w:t>
      </w:r>
    </w:p>
    <w:p w:rsidR="00EE1842" w:rsidRPr="00EE1842" w:rsidP="00EE1842" w14:paraId="1D324511" w14:textId="77777777">
      <w:pPr>
        <w:autoSpaceDE w:val="0"/>
        <w:autoSpaceDN w:val="0"/>
        <w:adjustRightInd w:val="0"/>
        <w:rPr>
          <w:b/>
          <w:bCs/>
          <w:color w:val="000000"/>
          <w:sz w:val="22"/>
          <w:szCs w:val="22"/>
        </w:rPr>
      </w:pPr>
    </w:p>
    <w:p w:rsidR="00EE1842" w:rsidRPr="00EE1842" w:rsidP="00EE1842" w14:paraId="2C905F7D" w14:textId="77777777">
      <w:pPr>
        <w:autoSpaceDE w:val="0"/>
        <w:autoSpaceDN w:val="0"/>
        <w:adjustRightInd w:val="0"/>
        <w:rPr>
          <w:b/>
          <w:bCs/>
          <w:color w:val="000000"/>
          <w:sz w:val="22"/>
          <w:szCs w:val="22"/>
        </w:rPr>
      </w:pPr>
      <w:r w:rsidRPr="00EE1842">
        <w:rPr>
          <w:b/>
          <w:bCs/>
          <w:color w:val="000000"/>
          <w:sz w:val="22"/>
          <w:szCs w:val="22"/>
        </w:rPr>
        <w:t>I. Validating the Extension</w:t>
      </w:r>
    </w:p>
    <w:p w:rsidR="00EE1842" w:rsidRPr="00EE1842" w:rsidP="00EE1842" w14:paraId="39AC0EBC" w14:textId="77777777">
      <w:pPr>
        <w:autoSpaceDE w:val="0"/>
        <w:autoSpaceDN w:val="0"/>
        <w:adjustRightInd w:val="0"/>
        <w:rPr>
          <w:color w:val="000000"/>
          <w:sz w:val="22"/>
          <w:szCs w:val="22"/>
        </w:rPr>
      </w:pPr>
      <w:r w:rsidRPr="00EE1842">
        <w:rPr>
          <w:color w:val="000000"/>
          <w:sz w:val="22"/>
          <w:szCs w:val="22"/>
        </w:rPr>
        <w:t xml:space="preserve">This request for a year extension of an already approved data collection should be granted because the NOAA is responsible for managing and protecting marine animals and being granted enough time to ensure the wellbeing of marine mammals aligns with their ability to properly execute regulations. The abstract emphasizes how the NOAA is charged with “the protection and management of marine mammals and is responsible for collecting information on marine mammal strandings, which will be compiled and analyzed, by region, to monitor species, numbers, conditions, and causes of illnesses and deaths of stranded animals.” (NOAA, 2024). For example, the population of whales has been declining for years due to human activities such as commercial whaling, oil spills which are toxic to whales, leaving fishing tools unattended which can result in entanglement and the various types of pollution like plastics that whales may consume mistaking it for food. However, thanks to the NOAA they can identify factors that are killing off marine </w:t>
      </w:r>
      <w:r w:rsidRPr="00EE1842">
        <w:rPr>
          <w:color w:val="000000"/>
          <w:sz w:val="22"/>
          <w:szCs w:val="22"/>
        </w:rPr>
        <w:t>mammals</w:t>
      </w:r>
      <w:r w:rsidRPr="00EE1842">
        <w:rPr>
          <w:color w:val="000000"/>
          <w:sz w:val="22"/>
          <w:szCs w:val="22"/>
        </w:rPr>
        <w:t xml:space="preserve"> populations by keeping a close eye on trends and taking action to prevent populations from becoming closer to extinction.</w:t>
      </w:r>
    </w:p>
    <w:p w:rsidR="00EE1842" w:rsidRPr="00EE1842" w:rsidP="00EE1842" w14:paraId="18BE1159" w14:textId="77777777">
      <w:pPr>
        <w:autoSpaceDE w:val="0"/>
        <w:autoSpaceDN w:val="0"/>
        <w:adjustRightInd w:val="0"/>
        <w:rPr>
          <w:b/>
          <w:bCs/>
          <w:color w:val="000000"/>
          <w:sz w:val="22"/>
          <w:szCs w:val="22"/>
        </w:rPr>
      </w:pPr>
    </w:p>
    <w:p w:rsidR="00EE1842" w:rsidRPr="00EE1842" w:rsidP="00EE1842" w14:paraId="4EAC4F02" w14:textId="77777777">
      <w:pPr>
        <w:autoSpaceDE w:val="0"/>
        <w:autoSpaceDN w:val="0"/>
        <w:adjustRightInd w:val="0"/>
        <w:rPr>
          <w:b/>
          <w:bCs/>
          <w:color w:val="000000"/>
          <w:sz w:val="22"/>
          <w:szCs w:val="22"/>
        </w:rPr>
      </w:pPr>
      <w:r w:rsidRPr="00EE1842">
        <w:rPr>
          <w:b/>
          <w:bCs/>
          <w:color w:val="000000"/>
          <w:sz w:val="22"/>
          <w:szCs w:val="22"/>
        </w:rPr>
        <w:t>II. Population Stock/Stock Assessment Report</w:t>
      </w:r>
    </w:p>
    <w:p w:rsidR="00EE1842" w:rsidRPr="00EE1842" w:rsidP="00EE1842" w14:paraId="435FEB19" w14:textId="77777777">
      <w:pPr>
        <w:autoSpaceDE w:val="0"/>
        <w:autoSpaceDN w:val="0"/>
        <w:adjustRightInd w:val="0"/>
        <w:rPr>
          <w:color w:val="000000"/>
          <w:sz w:val="22"/>
          <w:szCs w:val="22"/>
        </w:rPr>
      </w:pPr>
      <w:r w:rsidRPr="00EE1842">
        <w:rPr>
          <w:color w:val="000000"/>
          <w:sz w:val="22"/>
          <w:szCs w:val="22"/>
        </w:rPr>
        <w:t xml:space="preserve">Stock assessment reports are an essential part of the MMPA and its processes. Once a stock assessment report is completed, it must be reviewed within 3 years or when new information is discovered. Before a stock assessment is published it must be revised by a scientific review group which offers expertise on stock identification, abundance, and productivity; along with any issues the agency or group regards appropriate. The information of these reports consists of current population trends, current and maximum net productivity rates, status of stock, and serious injury by source along with other factors that negatively impact strategic stocks. </w:t>
      </w:r>
    </w:p>
    <w:p w:rsidR="00EE1842" w:rsidRPr="00EE1842" w:rsidP="00EE1842" w14:paraId="51CB0316" w14:textId="77777777">
      <w:pPr>
        <w:autoSpaceDE w:val="0"/>
        <w:autoSpaceDN w:val="0"/>
        <w:adjustRightInd w:val="0"/>
        <w:rPr>
          <w:color w:val="000000"/>
          <w:sz w:val="22"/>
          <w:szCs w:val="22"/>
        </w:rPr>
      </w:pPr>
    </w:p>
    <w:p w:rsidR="00EE1842" w:rsidRPr="00EE1842" w:rsidP="00EE1842" w14:paraId="74423722" w14:textId="77777777">
      <w:pPr>
        <w:autoSpaceDE w:val="0"/>
        <w:autoSpaceDN w:val="0"/>
        <w:adjustRightInd w:val="0"/>
        <w:rPr>
          <w:color w:val="000000"/>
          <w:sz w:val="22"/>
          <w:szCs w:val="22"/>
        </w:rPr>
      </w:pPr>
      <w:r w:rsidRPr="00EE1842">
        <w:rPr>
          <w:color w:val="000000"/>
          <w:sz w:val="22"/>
          <w:szCs w:val="22"/>
        </w:rPr>
        <w:t>Additionally, the impact of human activities and fisheries on marine mammals must be analyzed in order to properly evaluate their status. It is the responsibility of the NOAA's to not only carry out rules, but to also take conservation measures. “Section 402(b) of the MMPA requires the Secretary to collect and update information on strandings” (NOAA, 2024). On top of that they are tasked with gathering general information about marine mammals and relating their health conditions to things that could impact them such as weather, air quality, ocean temperatures, water quality, sea levels, food sources, and other factors. When it comes to the unusual death of marine mammals they are tasked with taking action in order to monitor and stabilize populations. However, all of this is not possible without previous information that has been stored in records to base their current collections off of in order to compare and contrast any important data that could be vital to identifying elements resulting in a negative impact on marine mammals.</w:t>
      </w:r>
    </w:p>
    <w:p w:rsidR="00EE1842" w:rsidRPr="00EE1842" w:rsidP="00EE1842" w14:paraId="2B4A12E2" w14:textId="77777777">
      <w:pPr>
        <w:autoSpaceDE w:val="0"/>
        <w:autoSpaceDN w:val="0"/>
        <w:adjustRightInd w:val="0"/>
        <w:rPr>
          <w:color w:val="000000"/>
          <w:sz w:val="22"/>
          <w:szCs w:val="22"/>
        </w:rPr>
      </w:pPr>
    </w:p>
    <w:p w:rsidR="00EE1842" w:rsidRPr="00EE1842" w:rsidP="00EE1842" w14:paraId="53C32192" w14:textId="77777777">
      <w:pPr>
        <w:autoSpaceDE w:val="0"/>
        <w:autoSpaceDN w:val="0"/>
        <w:adjustRightInd w:val="0"/>
        <w:rPr>
          <w:color w:val="000000"/>
          <w:sz w:val="22"/>
          <w:szCs w:val="22"/>
        </w:rPr>
      </w:pPr>
      <w:r w:rsidRPr="00EE1842">
        <w:rPr>
          <w:color w:val="000000"/>
          <w:sz w:val="22"/>
          <w:szCs w:val="22"/>
        </w:rPr>
        <w:t>To maintain their responsibilities as an agency the NOAA has to “regulate data collection protocols for health and correlations. Data and samples collected from stranded animals are a critical part of the implementation of the MMPA” (NOAA, 2024). Without sufficient time to collect samples, monitor their behaviors, and record data it is not possible for this agency to uphold their responsibilities.</w:t>
      </w:r>
    </w:p>
    <w:p w:rsidR="00EE1842" w:rsidRPr="00EE1842" w:rsidP="00EE1842" w14:paraId="7FEBC416" w14:textId="77777777">
      <w:pPr>
        <w:autoSpaceDE w:val="0"/>
        <w:autoSpaceDN w:val="0"/>
        <w:adjustRightInd w:val="0"/>
        <w:rPr>
          <w:color w:val="000000"/>
          <w:sz w:val="22"/>
          <w:szCs w:val="22"/>
        </w:rPr>
      </w:pPr>
    </w:p>
    <w:p w:rsidR="00EE1842" w:rsidRPr="00EE1842" w:rsidP="00EE1842" w14:paraId="12CE8F55" w14:textId="77777777">
      <w:pPr>
        <w:autoSpaceDE w:val="0"/>
        <w:autoSpaceDN w:val="0"/>
        <w:adjustRightInd w:val="0"/>
        <w:rPr>
          <w:color w:val="000000"/>
          <w:sz w:val="22"/>
          <w:szCs w:val="22"/>
        </w:rPr>
      </w:pPr>
      <w:r w:rsidRPr="00EE1842">
        <w:rPr>
          <w:color w:val="000000"/>
          <w:sz w:val="22"/>
          <w:szCs w:val="22"/>
        </w:rPr>
        <w:t>Data collection through Marine Mammal Stranding Reports is one of the best ways to collect information on health, causes of death, and history in terms of marine mammals along with utilizing information provided by weather stations, satellites, scientists, etc.</w:t>
      </w:r>
    </w:p>
    <w:p w:rsidR="00EE1842" w:rsidRPr="00EE1842" w:rsidP="00EE1842" w14:paraId="195D75CA" w14:textId="77777777">
      <w:pPr>
        <w:autoSpaceDE w:val="0"/>
        <w:autoSpaceDN w:val="0"/>
        <w:adjustRightInd w:val="0"/>
        <w:rPr>
          <w:color w:val="000000"/>
          <w:sz w:val="22"/>
          <w:szCs w:val="22"/>
        </w:rPr>
      </w:pPr>
    </w:p>
    <w:p w:rsidR="00EE1842" w:rsidRPr="00EE1842" w:rsidP="00EE1842" w14:paraId="317C8BEB" w14:textId="77777777">
      <w:pPr>
        <w:autoSpaceDE w:val="0"/>
        <w:autoSpaceDN w:val="0"/>
        <w:adjustRightInd w:val="0"/>
        <w:rPr>
          <w:sz w:val="22"/>
          <w:szCs w:val="22"/>
        </w:rPr>
      </w:pPr>
      <w:r w:rsidRPr="00EE1842">
        <w:rPr>
          <w:color w:val="000000"/>
          <w:sz w:val="22"/>
          <w:szCs w:val="22"/>
        </w:rPr>
        <w:t xml:space="preserve">Taking a closer look at mortality in a population stock (stranding data) can assist in population stock assessments and it can give insight into where a certain species is being impacted and what environmental elements are in that area that could possibly be hurting marine mammals. The only way to better data collection could be to encourage volunteers to reach out if they notice any obscure marine mammal sightings. Granting this request of </w:t>
      </w:r>
      <w:r w:rsidRPr="00EE1842">
        <w:rPr>
          <w:color w:val="000000"/>
          <w:sz w:val="22"/>
          <w:szCs w:val="22"/>
        </w:rPr>
        <w:t>an already approved data collection is a step in the right direction of ensuring that each step taken is done with the necessary precautions and accuracy</w:t>
      </w:r>
    </w:p>
    <w:p w:rsidR="00620C9A" w:rsidP="000065F8" w14:paraId="12DE873B" w14:textId="53D1E199">
      <w:pPr>
        <w:pStyle w:val="Default"/>
      </w:pPr>
    </w:p>
    <w:p w:rsidR="00620C9A" w:rsidP="00620C9A" w14:paraId="77BF5EDD" w14:textId="6CA7EED4">
      <w:pPr>
        <w:pStyle w:val="Default"/>
      </w:pPr>
      <w:r>
        <w:rPr>
          <w:i/>
        </w:rPr>
        <w:t>Response</w:t>
      </w:r>
      <w:r>
        <w:t xml:space="preserve">: Our program office acknowledge the commenter’s response and encouragement of the importance of the collection and </w:t>
      </w:r>
      <w:r w:rsidR="00BF5B17">
        <w:t>its</w:t>
      </w:r>
      <w:r>
        <w:t xml:space="preserve"> extension.</w:t>
      </w:r>
    </w:p>
    <w:p w:rsidR="00BF5B17" w:rsidP="00620C9A" w14:paraId="22A9E1AE" w14:textId="77777777">
      <w:pPr>
        <w:pStyle w:val="Default"/>
      </w:pPr>
    </w:p>
    <w:p w:rsidR="00BF5B17" w:rsidP="00620C9A" w14:paraId="35F8C9B9" w14:textId="12954302">
      <w:pPr>
        <w:pStyle w:val="Default"/>
      </w:pPr>
      <w:r w:rsidRPr="00BF5B17">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w:t>
      </w:r>
      <w:r>
        <w:t xml:space="preserve">. </w:t>
      </w:r>
      <w:r w:rsidR="00660972">
        <w:t>No comments were received.</w:t>
      </w:r>
    </w:p>
    <w:p w:rsidR="002E7ADA" w:rsidRPr="00406839" w:rsidP="00406839" w14:paraId="43683206" w14:textId="77777777">
      <w:pPr>
        <w:pStyle w:val="Default"/>
      </w:pPr>
    </w:p>
    <w:p w:rsidR="00C2777B" w:rsidRPr="00660972" w:rsidP="00660972" w14:paraId="0F53DA23" w14:textId="387844A1">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Explain any decisions to provide payments or gifts to respondents, other than remuneration of contractors or grantees. </w:t>
      </w:r>
    </w:p>
    <w:p w:rsidR="00A955B7" w:rsidRPr="00E253D1" w:rsidP="00A955B7" w14:paraId="1EE42EE8" w14:textId="77777777">
      <w:pPr>
        <w:pStyle w:val="Default"/>
        <w:rPr>
          <w:rFonts w:ascii="Times New Roman" w:hAnsi="Times New Roman" w:cs="Times New Roman"/>
        </w:rPr>
      </w:pPr>
    </w:p>
    <w:p w:rsidR="00C2777B" w:rsidRPr="00E253D1" w:rsidP="00A955B7" w14:paraId="32E84AFB" w14:textId="77777777">
      <w:pPr>
        <w:pStyle w:val="CM12"/>
        <w:spacing w:after="0" w:line="280" w:lineRule="atLeast"/>
        <w:rPr>
          <w:rFonts w:ascii="Times New Roman" w:hAnsi="Times New Roman"/>
        </w:rPr>
      </w:pPr>
      <w:r w:rsidRPr="00E253D1">
        <w:rPr>
          <w:rFonts w:ascii="Times New Roman" w:hAnsi="Times New Roman"/>
        </w:rPr>
        <w:t xml:space="preserve">No payments or gifts are provided to respondents. </w:t>
      </w:r>
    </w:p>
    <w:p w:rsidR="00A955B7" w:rsidRPr="00E253D1" w:rsidP="00A955B7" w14:paraId="14914AB7" w14:textId="77777777">
      <w:pPr>
        <w:pStyle w:val="Default"/>
        <w:rPr>
          <w:rFonts w:ascii="Times New Roman" w:hAnsi="Times New Roman" w:cs="Times New Roman"/>
        </w:rPr>
      </w:pPr>
    </w:p>
    <w:p w:rsidR="00C2777B" w:rsidRPr="00660972" w:rsidP="00660972" w14:paraId="24EC058E" w14:textId="1C6782FF">
      <w:pPr>
        <w:pStyle w:val="NormalWeb"/>
        <w:numPr>
          <w:ilvl w:val="0"/>
          <w:numId w:val="3"/>
        </w:numPr>
        <w:spacing w:before="182" w:beforeAutospacing="0" w:after="0" w:afterAutospacing="0"/>
        <w:ind w:left="360"/>
        <w:textAlignment w:val="baseline"/>
        <w:rPr>
          <w:b/>
          <w:bCs/>
          <w:color w:val="000000"/>
        </w:rPr>
      </w:pPr>
      <w:r>
        <w:rPr>
          <w:b/>
          <w:bCs/>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B6646" w:rsidRPr="00E253D1" w:rsidP="00A955B7" w14:paraId="0D9DDF79" w14:textId="77777777">
      <w:pPr>
        <w:pStyle w:val="CM12"/>
        <w:spacing w:after="0" w:line="280" w:lineRule="atLeast"/>
        <w:rPr>
          <w:rFonts w:ascii="Times New Roman" w:hAnsi="Times New Roman"/>
        </w:rPr>
      </w:pPr>
    </w:p>
    <w:p w:rsidR="00C2777B" w:rsidRPr="00E253D1" w:rsidP="00A955B7" w14:paraId="7C92D1FC" w14:textId="77777777">
      <w:pPr>
        <w:pStyle w:val="CM12"/>
        <w:spacing w:after="0" w:line="280" w:lineRule="atLeast"/>
        <w:rPr>
          <w:rFonts w:ascii="Times New Roman" w:hAnsi="Times New Roman"/>
        </w:rPr>
      </w:pPr>
      <w:r w:rsidRPr="00E253D1">
        <w:rPr>
          <w:rFonts w:ascii="Times New Roman" w:hAnsi="Times New Roman"/>
        </w:rPr>
        <w:t>The respondents are instructed to not include personal information including phone numbers and e-mail addresses</w:t>
      </w:r>
      <w:r w:rsidR="00C013B8">
        <w:rPr>
          <w:rFonts w:ascii="Times New Roman" w:hAnsi="Times New Roman"/>
        </w:rPr>
        <w:t xml:space="preserve">. </w:t>
      </w:r>
      <w:r w:rsidRPr="00E253D1">
        <w:rPr>
          <w:rFonts w:ascii="Times New Roman" w:hAnsi="Times New Roman"/>
        </w:rPr>
        <w:t xml:space="preserve">In accordance with the </w:t>
      </w:r>
      <w:hyperlink r:id="rId10" w:history="1">
        <w:r w:rsidRPr="007D66F6">
          <w:rPr>
            <w:rStyle w:val="Hyperlink"/>
            <w:rFonts w:ascii="Times New Roman" w:hAnsi="Times New Roman"/>
          </w:rPr>
          <w:t>Freedom of Information Act</w:t>
        </w:r>
      </w:hyperlink>
      <w:r w:rsidRPr="00E253D1">
        <w:rPr>
          <w:rFonts w:ascii="Times New Roman" w:hAnsi="Times New Roman"/>
        </w:rPr>
        <w:t xml:space="preserve"> and </w:t>
      </w:r>
      <w:hyperlink r:id="rId11" w:history="1">
        <w:r w:rsidRPr="007D66F6">
          <w:rPr>
            <w:rStyle w:val="Hyperlink"/>
            <w:rFonts w:ascii="Times New Roman" w:hAnsi="Times New Roman"/>
          </w:rPr>
          <w:t>Privacy Act</w:t>
        </w:r>
      </w:hyperlink>
      <w:r w:rsidRPr="00E253D1">
        <w:rPr>
          <w:rFonts w:ascii="Times New Roman" w:hAnsi="Times New Roman"/>
        </w:rPr>
        <w:t>, any personal information inadvertently included may be redacted from a response to a request for information by another party depending on the information and circumstances</w:t>
      </w:r>
      <w:r w:rsidR="00C013B8">
        <w:rPr>
          <w:rFonts w:ascii="Times New Roman" w:hAnsi="Times New Roman"/>
        </w:rPr>
        <w:t xml:space="preserve">. </w:t>
      </w:r>
      <w:r w:rsidRPr="00E253D1">
        <w:rPr>
          <w:rFonts w:ascii="Times New Roman" w:hAnsi="Times New Roman"/>
        </w:rPr>
        <w:t xml:space="preserve">No assurances of confidentiality are necessary or provided to respondents. </w:t>
      </w:r>
    </w:p>
    <w:p w:rsidR="00A955B7" w:rsidRPr="00E253D1" w:rsidP="00A955B7" w14:paraId="278EB71F" w14:textId="77777777">
      <w:pPr>
        <w:pStyle w:val="Default"/>
        <w:rPr>
          <w:rFonts w:ascii="Times New Roman" w:hAnsi="Times New Roman" w:cs="Times New Roman"/>
        </w:rPr>
      </w:pPr>
    </w:p>
    <w:p w:rsidR="00C2777B" w:rsidRPr="00E56EE2" w:rsidP="00E56EE2" w14:paraId="2913DC6E" w14:textId="539DE5C1">
      <w:pPr>
        <w:pStyle w:val="NormalWeb"/>
        <w:numPr>
          <w:ilvl w:val="0"/>
          <w:numId w:val="3"/>
        </w:numPr>
        <w:tabs>
          <w:tab w:val="clear" w:pos="720"/>
        </w:tabs>
        <w:spacing w:before="80" w:beforeAutospacing="0" w:after="0" w:afterAutospacing="0"/>
        <w:ind w:left="360"/>
        <w:textAlignment w:val="baseline"/>
        <w:rPr>
          <w:b/>
          <w:bCs/>
          <w:color w:val="000000"/>
        </w:rPr>
      </w:pPr>
      <w:r>
        <w:rPr>
          <w:b/>
          <w:bCs/>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955B7" w:rsidRPr="00E253D1" w:rsidP="00A955B7" w14:paraId="79FC3C54" w14:textId="77777777">
      <w:pPr>
        <w:pStyle w:val="Default"/>
        <w:rPr>
          <w:rFonts w:ascii="Times New Roman" w:hAnsi="Times New Roman" w:cs="Times New Roman"/>
        </w:rPr>
      </w:pPr>
    </w:p>
    <w:p w:rsidR="00C2777B" w:rsidRPr="00E253D1" w14:paraId="5CA35095" w14:textId="77777777">
      <w:pPr>
        <w:pStyle w:val="CM1"/>
        <w:rPr>
          <w:rFonts w:ascii="Times New Roman" w:hAnsi="Times New Roman"/>
        </w:rPr>
      </w:pPr>
      <w:r w:rsidRPr="00E253D1">
        <w:rPr>
          <w:rFonts w:ascii="Times New Roman" w:hAnsi="Times New Roman"/>
        </w:rPr>
        <w:t xml:space="preserve">The information collection does not require the submission of information of a sensitive nature. </w:t>
      </w:r>
    </w:p>
    <w:p w:rsidR="00C2777B" w:rsidRPr="00E253D1" w:rsidP="00C2777B" w14:paraId="00575DE4" w14:textId="77777777">
      <w:pPr>
        <w:pStyle w:val="Default"/>
        <w:rPr>
          <w:rFonts w:ascii="Times New Roman" w:hAnsi="Times New Roman" w:cs="Times New Roman"/>
        </w:rPr>
      </w:pPr>
    </w:p>
    <w:p w:rsidR="00C2777B" w:rsidRPr="00660972" w:rsidP="00660972" w14:paraId="32B9ADAD" w14:textId="24C6D065">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Provide an estimate in hours of the burden of the collection of information. </w:t>
      </w:r>
    </w:p>
    <w:p w:rsidR="00A955B7" w:rsidRPr="00E253D1" w:rsidP="00A955B7" w14:paraId="18488205" w14:textId="77777777">
      <w:pPr>
        <w:pStyle w:val="Default"/>
        <w:rPr>
          <w:rFonts w:ascii="Times New Roman" w:hAnsi="Times New Roman" w:cs="Times New Roman"/>
        </w:rPr>
      </w:pPr>
    </w:p>
    <w:p w:rsidR="00ED14C2" w:rsidP="00A955B7" w14:paraId="30B0B636" w14:textId="77777777">
      <w:pPr>
        <w:pStyle w:val="CM10"/>
        <w:spacing w:after="0" w:line="280" w:lineRule="atLeast"/>
        <w:rPr>
          <w:rFonts w:ascii="Times New Roman" w:hAnsi="Times New Roman"/>
        </w:rPr>
      </w:pPr>
      <w:r w:rsidRPr="00B02244">
        <w:rPr>
          <w:rFonts w:ascii="Times New Roman" w:hAnsi="Times New Roman"/>
        </w:rPr>
        <w:t>There are three</w:t>
      </w:r>
      <w:r w:rsidRPr="00E253D1">
        <w:rPr>
          <w:rFonts w:ascii="Times New Roman" w:hAnsi="Times New Roman"/>
        </w:rPr>
        <w:t xml:space="preserve"> required forms: the Marine Mammal Stranding Report</w:t>
      </w:r>
      <w:r>
        <w:rPr>
          <w:rFonts w:ascii="Times New Roman" w:hAnsi="Times New Roman"/>
        </w:rPr>
        <w:t>,</w:t>
      </w:r>
      <w:r w:rsidRPr="00E253D1">
        <w:rPr>
          <w:rFonts w:ascii="Times New Roman" w:hAnsi="Times New Roman"/>
        </w:rPr>
        <w:t xml:space="preserve"> the Marine Mammal Rehabilitation Disposition Report</w:t>
      </w:r>
      <w:r>
        <w:rPr>
          <w:rFonts w:ascii="Times New Roman" w:hAnsi="Times New Roman"/>
        </w:rPr>
        <w:t>, and the Human Interaction Data Sheet</w:t>
      </w:r>
      <w:r w:rsidRPr="00E253D1">
        <w:rPr>
          <w:rFonts w:ascii="Times New Roman" w:hAnsi="Times New Roman"/>
        </w:rPr>
        <w:t>. These forms are required nationwide; however, the Marine Mammal Rehabilitation Disposition Report is required only for live animal strandings</w:t>
      </w:r>
      <w:r>
        <w:rPr>
          <w:rFonts w:ascii="Times New Roman" w:hAnsi="Times New Roman"/>
        </w:rPr>
        <w:t xml:space="preserve">, and the Human Interaction Data Sheet is </w:t>
      </w:r>
      <w:r w:rsidRPr="00BA76C9">
        <w:rPr>
          <w:rFonts w:ascii="Times New Roman" w:hAnsi="Times New Roman"/>
        </w:rPr>
        <w:t xml:space="preserve">required for all </w:t>
      </w:r>
      <w:r>
        <w:rPr>
          <w:rFonts w:ascii="Times New Roman" w:hAnsi="Times New Roman"/>
        </w:rPr>
        <w:t xml:space="preserve">strandings that involve </w:t>
      </w:r>
      <w:r w:rsidRPr="00BA76C9">
        <w:rPr>
          <w:rFonts w:ascii="Times New Roman" w:hAnsi="Times New Roman"/>
        </w:rPr>
        <w:t xml:space="preserve">code 1-3 </w:t>
      </w:r>
      <w:r>
        <w:rPr>
          <w:rFonts w:ascii="Times New Roman" w:hAnsi="Times New Roman"/>
        </w:rPr>
        <w:t>animals</w:t>
      </w:r>
      <w:r w:rsidR="00430B2D">
        <w:rPr>
          <w:rFonts w:ascii="Times New Roman" w:hAnsi="Times New Roman"/>
        </w:rPr>
        <w:t xml:space="preserve"> that are confirmed by a network member</w:t>
      </w:r>
      <w:r>
        <w:rPr>
          <w:rFonts w:ascii="Times New Roman" w:hAnsi="Times New Roman"/>
        </w:rPr>
        <w:t>.</w:t>
      </w:r>
    </w:p>
    <w:p w:rsidR="00ED14C2" w:rsidRPr="00ED14C2" w:rsidP="00ED14C2" w14:paraId="064AF888" w14:textId="77777777">
      <w:pPr>
        <w:pStyle w:val="Default"/>
      </w:pPr>
    </w:p>
    <w:p w:rsidR="00C2777B" w:rsidP="00A955B7" w14:paraId="316FFB1B" w14:textId="00C3CA83">
      <w:pPr>
        <w:pStyle w:val="CM12"/>
        <w:spacing w:after="0" w:line="280" w:lineRule="atLeast"/>
        <w:rPr>
          <w:rFonts w:ascii="Times New Roman" w:hAnsi="Times New Roman"/>
        </w:rPr>
      </w:pPr>
      <w:r>
        <w:rPr>
          <w:rFonts w:ascii="Times New Roman" w:hAnsi="Times New Roman"/>
        </w:rPr>
        <w:t xml:space="preserve">Most of these forms will be filled out by volunteers/unpaid interns/students, however, some may be filled out by paid staff. Therefore, NMFS used </w:t>
      </w:r>
      <w:r w:rsidRPr="00E253D1" w:rsidR="00A2332C">
        <w:rPr>
          <w:rFonts w:ascii="Times New Roman" w:hAnsi="Times New Roman"/>
        </w:rPr>
        <w:t>an average wage rate of $1</w:t>
      </w:r>
      <w:r w:rsidRPr="00E253D1">
        <w:rPr>
          <w:rFonts w:ascii="Times New Roman" w:hAnsi="Times New Roman"/>
        </w:rPr>
        <w:t>0/hour</w:t>
      </w:r>
      <w:r>
        <w:rPr>
          <w:rFonts w:ascii="Times New Roman" w:hAnsi="Times New Roman"/>
        </w:rPr>
        <w:t xml:space="preserve">. </w:t>
      </w:r>
    </w:p>
    <w:p w:rsidR="00D4643A" w:rsidP="0050143C" w14:paraId="4E5C1884" w14:textId="77777777">
      <w:pPr>
        <w:jc w:val="center"/>
        <w:rPr>
          <w:rFonts w:ascii="Calibri" w:hAnsi="Calibri" w:cs="Calibri"/>
          <w:b/>
          <w:bCs/>
          <w:color w:val="000000"/>
          <w:sz w:val="18"/>
          <w:szCs w:val="18"/>
        </w:rPr>
        <w:sectPr w:rsidSect="00660972">
          <w:type w:val="continuous"/>
          <w:pgSz w:w="12240" w:h="15840"/>
          <w:pgMar w:top="1420" w:right="900" w:bottom="1170" w:left="1300" w:header="720" w:footer="720" w:gutter="0"/>
          <w:cols w:space="720"/>
          <w:noEndnote/>
        </w:sectPr>
      </w:pPr>
    </w:p>
    <w:tbl>
      <w:tblPr>
        <w:tblW w:w="14390" w:type="dxa"/>
        <w:tblLayout w:type="fixed"/>
        <w:tblLook w:val="04A0"/>
      </w:tblPr>
      <w:tblGrid>
        <w:gridCol w:w="2060"/>
        <w:gridCol w:w="1440"/>
        <w:gridCol w:w="1260"/>
        <w:gridCol w:w="1440"/>
        <w:gridCol w:w="1530"/>
        <w:gridCol w:w="1350"/>
        <w:gridCol w:w="1620"/>
        <w:gridCol w:w="2070"/>
        <w:gridCol w:w="1620"/>
      </w:tblGrid>
      <w:tr w14:paraId="1EFC49EC" w14:textId="77777777" w:rsidTr="00AD0DB5">
        <w:tblPrEx>
          <w:tblW w:w="14390" w:type="dxa"/>
          <w:tblLayout w:type="fixed"/>
          <w:tblLook w:val="04A0"/>
        </w:tblPrEx>
        <w:trPr>
          <w:trHeight w:val="885"/>
        </w:trPr>
        <w:tc>
          <w:tcPr>
            <w:tcW w:w="2060" w:type="dxa"/>
            <w:tcBorders>
              <w:top w:val="single" w:sz="8" w:space="0" w:color="auto"/>
              <w:left w:val="single" w:sz="8" w:space="0" w:color="auto"/>
              <w:bottom w:val="single" w:sz="8" w:space="0" w:color="auto"/>
              <w:right w:val="single" w:sz="8" w:space="0" w:color="000000"/>
            </w:tcBorders>
            <w:shd w:val="clear" w:color="auto" w:fill="5B9BD5"/>
            <w:vAlign w:val="center"/>
            <w:hideMark/>
          </w:tcPr>
          <w:p w:rsidR="003E4BA9" w:rsidRPr="00AD0DB5" w:rsidP="0050143C" w14:paraId="0B66E49E" w14:textId="5270D9B0">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Information Collection</w:t>
            </w:r>
          </w:p>
        </w:tc>
        <w:tc>
          <w:tcPr>
            <w:tcW w:w="1440" w:type="dxa"/>
            <w:tcBorders>
              <w:top w:val="single" w:sz="8" w:space="0" w:color="auto"/>
              <w:left w:val="nil"/>
              <w:bottom w:val="single" w:sz="8" w:space="0" w:color="auto"/>
              <w:right w:val="single" w:sz="8" w:space="0" w:color="000000"/>
            </w:tcBorders>
            <w:shd w:val="clear" w:color="auto" w:fill="5B9BD5"/>
            <w:vAlign w:val="center"/>
            <w:hideMark/>
          </w:tcPr>
          <w:p w:rsidR="003E4BA9" w:rsidRPr="00AD0DB5" w:rsidP="0050143C" w14:paraId="055D2777"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Type of Respondent (Occupational Title)</w:t>
            </w:r>
          </w:p>
        </w:tc>
        <w:tc>
          <w:tcPr>
            <w:tcW w:w="1260" w:type="dxa"/>
            <w:tcBorders>
              <w:top w:val="single" w:sz="8" w:space="0" w:color="auto"/>
              <w:left w:val="nil"/>
              <w:bottom w:val="single" w:sz="8" w:space="0" w:color="auto"/>
              <w:right w:val="single" w:sz="8" w:space="0" w:color="000000"/>
            </w:tcBorders>
            <w:shd w:val="clear" w:color="auto" w:fill="5B9BD5"/>
            <w:vAlign w:val="center"/>
            <w:hideMark/>
          </w:tcPr>
          <w:p w:rsidR="003E4BA9" w:rsidRPr="00AD0DB5" w:rsidP="0050143C" w14:paraId="61BFBE32"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of Respondents</w:t>
            </w:r>
          </w:p>
          <w:p w:rsidR="003E4BA9" w:rsidRPr="00AD0DB5" w:rsidP="0050143C" w14:paraId="13F06653"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w:t>
            </w:r>
          </w:p>
        </w:tc>
        <w:tc>
          <w:tcPr>
            <w:tcW w:w="144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08922FAF"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Annual # of Responses / Respondent</w:t>
            </w:r>
          </w:p>
          <w:p w:rsidR="003E4BA9" w:rsidRPr="00AD0DB5" w:rsidP="0050143C" w14:paraId="6B3C028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(b)</w:t>
            </w:r>
          </w:p>
        </w:tc>
        <w:tc>
          <w:tcPr>
            <w:tcW w:w="153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7839A020"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 Total # of Annual Responses</w:t>
            </w:r>
          </w:p>
          <w:p w:rsidR="003E4BA9" w:rsidRPr="00AD0DB5" w:rsidP="0050143C" w14:paraId="55C0D68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 = (a) x (b)</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61F39A7D"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Burden Hrs / Response</w:t>
            </w:r>
          </w:p>
          <w:p w:rsidR="003E4BA9" w:rsidRPr="00AD0DB5" w:rsidP="0050143C" w14:paraId="597AA140"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(d)</w:t>
            </w:r>
          </w:p>
        </w:tc>
        <w:tc>
          <w:tcPr>
            <w:tcW w:w="162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5088E70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 Annual Burden Hrs</w:t>
            </w:r>
          </w:p>
          <w:p w:rsidR="003E4BA9" w:rsidRPr="00AD0DB5" w:rsidP="0050143C" w14:paraId="2F14862F"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(e) = (c) x (d)</w:t>
            </w:r>
          </w:p>
        </w:tc>
        <w:tc>
          <w:tcPr>
            <w:tcW w:w="207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416C9636"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Mean Hourly Wage Rate  (for Type of Respondent)</w:t>
            </w:r>
          </w:p>
          <w:p w:rsidR="003E4BA9" w:rsidRPr="00AD0DB5" w:rsidP="0050143C" w14:paraId="7DCB66F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(f)</w:t>
            </w:r>
          </w:p>
        </w:tc>
        <w:tc>
          <w:tcPr>
            <w:tcW w:w="162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7F3ADBC9"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 Annual Wage Burden Costs</w:t>
            </w:r>
          </w:p>
          <w:p w:rsidR="003E4BA9" w:rsidRPr="00AD0DB5" w:rsidP="0050143C" w14:paraId="100EB32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(g) = (e) x (f)</w:t>
            </w:r>
          </w:p>
        </w:tc>
      </w:tr>
      <w:tr w14:paraId="6F9C5C7A" w14:textId="77777777" w:rsidTr="00AD0DB5">
        <w:tblPrEx>
          <w:tblW w:w="14390" w:type="dxa"/>
          <w:tblLayout w:type="fixed"/>
          <w:tblLook w:val="04A0"/>
        </w:tblPrEx>
        <w:trPr>
          <w:trHeight w:val="233"/>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3E4BA9" w:rsidRPr="00AD0DB5" w:rsidP="0050143C" w14:paraId="4FAC9948"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Stranding Report</w:t>
            </w:r>
          </w:p>
        </w:tc>
        <w:tc>
          <w:tcPr>
            <w:tcW w:w="1440" w:type="dxa"/>
            <w:tcBorders>
              <w:top w:val="nil"/>
              <w:left w:val="nil"/>
              <w:bottom w:val="single" w:sz="4" w:space="0" w:color="auto"/>
              <w:right w:val="single" w:sz="4" w:space="0" w:color="auto"/>
            </w:tcBorders>
            <w:shd w:val="clear" w:color="auto" w:fill="auto"/>
            <w:vAlign w:val="bottom"/>
            <w:hideMark/>
          </w:tcPr>
          <w:p w:rsidR="003E4BA9" w:rsidRPr="00AD0DB5" w:rsidP="0050143C" w14:paraId="2B8141FD" w14:textId="45CEBA50">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w:t>
            </w:r>
          </w:p>
        </w:tc>
        <w:tc>
          <w:tcPr>
            <w:tcW w:w="1260" w:type="dxa"/>
            <w:tcBorders>
              <w:top w:val="nil"/>
              <w:left w:val="nil"/>
              <w:bottom w:val="single" w:sz="4" w:space="0" w:color="auto"/>
              <w:right w:val="single" w:sz="4" w:space="0" w:color="auto"/>
            </w:tcBorders>
            <w:shd w:val="clear" w:color="auto" w:fill="auto"/>
            <w:vAlign w:val="bottom"/>
            <w:hideMark/>
          </w:tcPr>
          <w:p w:rsidR="003E4BA9" w:rsidRPr="00AD0DB5" w:rsidP="0050143C" w14:paraId="18CD50CB"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sz="4" w:space="0" w:color="auto"/>
              <w:right w:val="single" w:sz="4" w:space="0" w:color="auto"/>
            </w:tcBorders>
            <w:shd w:val="clear" w:color="auto" w:fill="auto"/>
            <w:vAlign w:val="bottom"/>
          </w:tcPr>
          <w:p w:rsidR="003E4BA9" w:rsidRPr="00AD0DB5" w:rsidP="0050143C" w14:paraId="17A132F9" w14:textId="44B7A83F">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15.75</w:t>
            </w:r>
          </w:p>
        </w:tc>
        <w:tc>
          <w:tcPr>
            <w:tcW w:w="1530" w:type="dxa"/>
            <w:tcBorders>
              <w:top w:val="nil"/>
              <w:left w:val="nil"/>
              <w:bottom w:val="single" w:sz="4" w:space="0" w:color="auto"/>
              <w:right w:val="single" w:sz="4" w:space="0" w:color="auto"/>
            </w:tcBorders>
            <w:shd w:val="clear" w:color="auto" w:fill="auto"/>
            <w:vAlign w:val="bottom"/>
            <w:hideMark/>
          </w:tcPr>
          <w:p w:rsidR="003E4BA9" w:rsidRPr="00AD0DB5" w:rsidP="0050143C" w14:paraId="1E2D28EA"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6,300 </w:t>
            </w:r>
          </w:p>
        </w:tc>
        <w:tc>
          <w:tcPr>
            <w:tcW w:w="1350" w:type="dxa"/>
            <w:tcBorders>
              <w:top w:val="nil"/>
              <w:left w:val="nil"/>
              <w:bottom w:val="single" w:sz="4" w:space="0" w:color="auto"/>
              <w:right w:val="single" w:sz="4" w:space="0" w:color="auto"/>
            </w:tcBorders>
            <w:shd w:val="clear" w:color="auto" w:fill="auto"/>
            <w:vAlign w:val="bottom"/>
            <w:hideMark/>
          </w:tcPr>
          <w:p w:rsidR="003E4BA9" w:rsidRPr="00AD0DB5" w:rsidP="0050143C" w14:paraId="4587642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30 min </w:t>
            </w:r>
          </w:p>
        </w:tc>
        <w:tc>
          <w:tcPr>
            <w:tcW w:w="1620" w:type="dxa"/>
            <w:tcBorders>
              <w:top w:val="nil"/>
              <w:left w:val="nil"/>
              <w:bottom w:val="single" w:sz="4" w:space="0" w:color="auto"/>
              <w:right w:val="single" w:sz="4" w:space="0" w:color="auto"/>
            </w:tcBorders>
            <w:shd w:val="clear" w:color="auto" w:fill="auto"/>
            <w:vAlign w:val="bottom"/>
            <w:hideMark/>
          </w:tcPr>
          <w:p w:rsidR="003E4BA9" w:rsidRPr="00AD0DB5" w:rsidP="0050143C" w14:paraId="761A59D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3,150 </w:t>
            </w:r>
          </w:p>
        </w:tc>
        <w:tc>
          <w:tcPr>
            <w:tcW w:w="2070" w:type="dxa"/>
            <w:tcBorders>
              <w:top w:val="nil"/>
              <w:left w:val="nil"/>
              <w:bottom w:val="single" w:sz="4" w:space="0" w:color="auto"/>
              <w:right w:val="single" w:sz="4" w:space="0" w:color="auto"/>
            </w:tcBorders>
            <w:shd w:val="clear" w:color="auto" w:fill="auto"/>
            <w:noWrap/>
            <w:vAlign w:val="bottom"/>
            <w:hideMark/>
          </w:tcPr>
          <w:p w:rsidR="003E4BA9" w:rsidRPr="00AD0DB5" w:rsidP="0050143C" w14:paraId="6BF5DBAE" w14:textId="6F3D2E0B">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Pr>
                <w:rFonts w:asciiTheme="minorHAnsi" w:hAnsiTheme="minorHAnsi" w:cstheme="minorHAnsi"/>
                <w:color w:val="000000"/>
                <w:sz w:val="18"/>
                <w:szCs w:val="18"/>
              </w:rPr>
              <w:t> </w:t>
            </w:r>
          </w:p>
        </w:tc>
        <w:tc>
          <w:tcPr>
            <w:tcW w:w="1620" w:type="dxa"/>
            <w:tcBorders>
              <w:top w:val="nil"/>
              <w:left w:val="nil"/>
              <w:bottom w:val="single" w:sz="4" w:space="0" w:color="auto"/>
              <w:right w:val="single" w:sz="8" w:space="0" w:color="auto"/>
            </w:tcBorders>
            <w:shd w:val="clear" w:color="auto" w:fill="auto"/>
            <w:noWrap/>
            <w:vAlign w:val="bottom"/>
            <w:hideMark/>
          </w:tcPr>
          <w:p w:rsidR="003E4BA9" w:rsidRPr="00AD0DB5" w:rsidP="00AD0DB5" w14:paraId="51F99A2C" w14:textId="06EA0ED0">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$31,500</w:t>
            </w:r>
          </w:p>
        </w:tc>
      </w:tr>
      <w:tr w14:paraId="2F2972C8" w14:textId="77777777" w:rsidTr="00AD0DB5">
        <w:tblPrEx>
          <w:tblW w:w="14390" w:type="dxa"/>
          <w:tblLayout w:type="fixed"/>
          <w:tblLook w:val="04A0"/>
        </w:tblPrEx>
        <w:trPr>
          <w:trHeight w:val="233"/>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3E4BA9" w:rsidRPr="00AD0DB5" w:rsidP="0050143C" w14:paraId="5C94B3FF"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Rehabilitation Disposition Report</w:t>
            </w:r>
          </w:p>
        </w:tc>
        <w:tc>
          <w:tcPr>
            <w:tcW w:w="1440" w:type="dxa"/>
            <w:tcBorders>
              <w:top w:val="nil"/>
              <w:left w:val="nil"/>
              <w:bottom w:val="single" w:sz="4" w:space="0" w:color="auto"/>
              <w:right w:val="single" w:sz="4" w:space="0" w:color="auto"/>
            </w:tcBorders>
            <w:shd w:val="clear" w:color="auto" w:fill="auto"/>
            <w:vAlign w:val="bottom"/>
            <w:hideMark/>
          </w:tcPr>
          <w:p w:rsidR="003E4BA9" w:rsidRPr="00AD0DB5" w:rsidP="0050143C" w14:paraId="4FCA2B42" w14:textId="53631B2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 </w:t>
            </w:r>
          </w:p>
        </w:tc>
        <w:tc>
          <w:tcPr>
            <w:tcW w:w="1260" w:type="dxa"/>
            <w:tcBorders>
              <w:top w:val="nil"/>
              <w:left w:val="nil"/>
              <w:bottom w:val="single" w:sz="4" w:space="0" w:color="auto"/>
              <w:right w:val="single" w:sz="4" w:space="0" w:color="auto"/>
            </w:tcBorders>
            <w:shd w:val="clear" w:color="auto" w:fill="auto"/>
            <w:vAlign w:val="bottom"/>
            <w:hideMark/>
          </w:tcPr>
          <w:p w:rsidR="003E4BA9" w:rsidRPr="00AD0DB5" w:rsidP="0050143C" w14:paraId="19EA52DA"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sz="4" w:space="0" w:color="auto"/>
              <w:right w:val="single" w:sz="4" w:space="0" w:color="auto"/>
            </w:tcBorders>
            <w:shd w:val="clear" w:color="auto" w:fill="auto"/>
            <w:vAlign w:val="bottom"/>
          </w:tcPr>
          <w:p w:rsidR="003E4BA9" w:rsidRPr="00AD0DB5" w:rsidP="0050143C" w14:paraId="4D7940CC" w14:textId="247DA0C6">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7</w:t>
            </w:r>
          </w:p>
        </w:tc>
        <w:tc>
          <w:tcPr>
            <w:tcW w:w="1530" w:type="dxa"/>
            <w:tcBorders>
              <w:top w:val="nil"/>
              <w:left w:val="nil"/>
              <w:bottom w:val="single" w:sz="4" w:space="0" w:color="auto"/>
              <w:right w:val="single" w:sz="4" w:space="0" w:color="auto"/>
            </w:tcBorders>
            <w:shd w:val="clear" w:color="auto" w:fill="auto"/>
            <w:vAlign w:val="bottom"/>
            <w:hideMark/>
          </w:tcPr>
          <w:p w:rsidR="003E4BA9" w:rsidRPr="00AD0DB5" w:rsidP="0050143C" w14:paraId="3FB7B683"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2,800 </w:t>
            </w:r>
          </w:p>
        </w:tc>
        <w:tc>
          <w:tcPr>
            <w:tcW w:w="1350" w:type="dxa"/>
            <w:tcBorders>
              <w:top w:val="nil"/>
              <w:left w:val="nil"/>
              <w:bottom w:val="single" w:sz="4" w:space="0" w:color="auto"/>
              <w:right w:val="single" w:sz="4" w:space="0" w:color="auto"/>
            </w:tcBorders>
            <w:shd w:val="clear" w:color="auto" w:fill="auto"/>
            <w:vAlign w:val="bottom"/>
            <w:hideMark/>
          </w:tcPr>
          <w:p w:rsidR="003E4BA9" w:rsidRPr="00AD0DB5" w:rsidP="0050143C" w14:paraId="05E1A8B8"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30 min </w:t>
            </w:r>
          </w:p>
        </w:tc>
        <w:tc>
          <w:tcPr>
            <w:tcW w:w="1620" w:type="dxa"/>
            <w:tcBorders>
              <w:top w:val="nil"/>
              <w:left w:val="nil"/>
              <w:bottom w:val="single" w:sz="4" w:space="0" w:color="auto"/>
              <w:right w:val="single" w:sz="4" w:space="0" w:color="auto"/>
            </w:tcBorders>
            <w:shd w:val="clear" w:color="auto" w:fill="auto"/>
            <w:vAlign w:val="bottom"/>
            <w:hideMark/>
          </w:tcPr>
          <w:p w:rsidR="003E4BA9" w:rsidRPr="00AD0DB5" w:rsidP="0050143C" w14:paraId="3D124840"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1,400 </w:t>
            </w:r>
          </w:p>
        </w:tc>
        <w:tc>
          <w:tcPr>
            <w:tcW w:w="2070" w:type="dxa"/>
            <w:tcBorders>
              <w:top w:val="nil"/>
              <w:left w:val="nil"/>
              <w:bottom w:val="single" w:sz="4" w:space="0" w:color="auto"/>
              <w:right w:val="single" w:sz="4" w:space="0" w:color="auto"/>
            </w:tcBorders>
            <w:shd w:val="clear" w:color="auto" w:fill="auto"/>
            <w:noWrap/>
            <w:vAlign w:val="bottom"/>
            <w:hideMark/>
          </w:tcPr>
          <w:p w:rsidR="003E4BA9" w:rsidRPr="00AD0DB5" w:rsidP="0050143C" w14:paraId="016A9BF1" w14:textId="7CFDCE27">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Pr>
                <w:rFonts w:asciiTheme="minorHAnsi" w:hAnsiTheme="minorHAnsi" w:cstheme="minorHAnsi"/>
                <w:color w:val="000000"/>
                <w:sz w:val="18"/>
                <w:szCs w:val="18"/>
              </w:rPr>
              <w:t> </w:t>
            </w:r>
          </w:p>
        </w:tc>
        <w:tc>
          <w:tcPr>
            <w:tcW w:w="1620" w:type="dxa"/>
            <w:tcBorders>
              <w:top w:val="nil"/>
              <w:left w:val="nil"/>
              <w:bottom w:val="single" w:sz="4" w:space="0" w:color="auto"/>
              <w:right w:val="single" w:sz="8" w:space="0" w:color="auto"/>
            </w:tcBorders>
            <w:shd w:val="clear" w:color="auto" w:fill="auto"/>
            <w:noWrap/>
            <w:vAlign w:val="bottom"/>
            <w:hideMark/>
          </w:tcPr>
          <w:p w:rsidR="003E4BA9" w:rsidRPr="00AD0DB5" w:rsidP="0050143C" w14:paraId="71ED141C" w14:textId="6F04BE84">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$14,000 </w:t>
            </w:r>
          </w:p>
        </w:tc>
      </w:tr>
      <w:tr w14:paraId="508AD5C2" w14:textId="77777777" w:rsidTr="00AD0DB5">
        <w:tblPrEx>
          <w:tblW w:w="14390" w:type="dxa"/>
          <w:tblLayout w:type="fixed"/>
          <w:tblLook w:val="04A0"/>
        </w:tblPrEx>
        <w:trPr>
          <w:trHeight w:val="233"/>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3E4BA9" w:rsidRPr="00AD0DB5" w:rsidP="0050143C" w14:paraId="6425245E"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Human Interaction Data Sheet</w:t>
            </w:r>
          </w:p>
        </w:tc>
        <w:tc>
          <w:tcPr>
            <w:tcW w:w="1440" w:type="dxa"/>
            <w:tcBorders>
              <w:top w:val="nil"/>
              <w:left w:val="nil"/>
              <w:bottom w:val="single" w:sz="4" w:space="0" w:color="auto"/>
              <w:right w:val="single" w:sz="4" w:space="0" w:color="auto"/>
            </w:tcBorders>
            <w:shd w:val="clear" w:color="auto" w:fill="auto"/>
            <w:vAlign w:val="bottom"/>
            <w:hideMark/>
          </w:tcPr>
          <w:p w:rsidR="003E4BA9" w:rsidRPr="00AD0DB5" w:rsidP="0050143C" w14:paraId="7FF10F73" w14:textId="7C81D9A1">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 </w:t>
            </w:r>
          </w:p>
        </w:tc>
        <w:tc>
          <w:tcPr>
            <w:tcW w:w="1260" w:type="dxa"/>
            <w:tcBorders>
              <w:top w:val="nil"/>
              <w:left w:val="nil"/>
              <w:bottom w:val="single" w:sz="4" w:space="0" w:color="auto"/>
              <w:right w:val="single" w:sz="4" w:space="0" w:color="auto"/>
            </w:tcBorders>
            <w:shd w:val="clear" w:color="auto" w:fill="auto"/>
            <w:vAlign w:val="bottom"/>
            <w:hideMark/>
          </w:tcPr>
          <w:p w:rsidR="003E4BA9" w:rsidRPr="00AD0DB5" w:rsidP="0050143C" w14:paraId="5DEA9ECB"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sz="4" w:space="0" w:color="auto"/>
              <w:right w:val="single" w:sz="4" w:space="0" w:color="auto"/>
            </w:tcBorders>
            <w:shd w:val="clear" w:color="auto" w:fill="auto"/>
            <w:vAlign w:val="bottom"/>
          </w:tcPr>
          <w:p w:rsidR="003E4BA9" w:rsidRPr="00AD0DB5" w:rsidP="0050143C" w14:paraId="0CDAC0DE" w14:textId="63F5D49D">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13.75</w:t>
            </w:r>
          </w:p>
        </w:tc>
        <w:tc>
          <w:tcPr>
            <w:tcW w:w="1530" w:type="dxa"/>
            <w:tcBorders>
              <w:top w:val="nil"/>
              <w:left w:val="nil"/>
              <w:bottom w:val="single" w:sz="4" w:space="0" w:color="auto"/>
              <w:right w:val="single" w:sz="4" w:space="0" w:color="auto"/>
            </w:tcBorders>
            <w:shd w:val="clear" w:color="auto" w:fill="auto"/>
            <w:vAlign w:val="bottom"/>
            <w:hideMark/>
          </w:tcPr>
          <w:p w:rsidR="003E4BA9" w:rsidRPr="00AD0DB5" w:rsidP="0050143C" w14:paraId="3F25C670"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5,500 </w:t>
            </w:r>
          </w:p>
        </w:tc>
        <w:tc>
          <w:tcPr>
            <w:tcW w:w="1350" w:type="dxa"/>
            <w:tcBorders>
              <w:top w:val="nil"/>
              <w:left w:val="nil"/>
              <w:bottom w:val="single" w:sz="4" w:space="0" w:color="auto"/>
              <w:right w:val="single" w:sz="4" w:space="0" w:color="auto"/>
            </w:tcBorders>
            <w:shd w:val="clear" w:color="auto" w:fill="auto"/>
            <w:vAlign w:val="bottom"/>
            <w:hideMark/>
          </w:tcPr>
          <w:p w:rsidR="003E4BA9" w:rsidRPr="00AD0DB5" w:rsidP="0050143C" w14:paraId="273A7C9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45 min </w:t>
            </w:r>
          </w:p>
        </w:tc>
        <w:tc>
          <w:tcPr>
            <w:tcW w:w="1620" w:type="dxa"/>
            <w:tcBorders>
              <w:top w:val="nil"/>
              <w:left w:val="nil"/>
              <w:bottom w:val="single" w:sz="4" w:space="0" w:color="auto"/>
              <w:right w:val="single" w:sz="4" w:space="0" w:color="auto"/>
            </w:tcBorders>
            <w:shd w:val="clear" w:color="auto" w:fill="auto"/>
            <w:vAlign w:val="bottom"/>
            <w:hideMark/>
          </w:tcPr>
          <w:p w:rsidR="003E4BA9" w:rsidRPr="00AD0DB5" w:rsidP="0050143C" w14:paraId="09CABF1E"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4,125 </w:t>
            </w:r>
          </w:p>
        </w:tc>
        <w:tc>
          <w:tcPr>
            <w:tcW w:w="2070" w:type="dxa"/>
            <w:tcBorders>
              <w:top w:val="nil"/>
              <w:left w:val="nil"/>
              <w:bottom w:val="single" w:sz="4" w:space="0" w:color="auto"/>
              <w:right w:val="single" w:sz="4" w:space="0" w:color="auto"/>
            </w:tcBorders>
            <w:shd w:val="clear" w:color="auto" w:fill="auto"/>
            <w:noWrap/>
            <w:vAlign w:val="bottom"/>
            <w:hideMark/>
          </w:tcPr>
          <w:p w:rsidR="003E4BA9" w:rsidRPr="00AD0DB5" w:rsidP="0050143C" w14:paraId="4212AAF4" w14:textId="44D3BC64">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Pr>
                <w:rFonts w:asciiTheme="minorHAnsi" w:hAnsiTheme="minorHAnsi" w:cstheme="minorHAnsi"/>
                <w:color w:val="000000"/>
                <w:sz w:val="18"/>
                <w:szCs w:val="18"/>
              </w:rPr>
              <w:t> </w:t>
            </w:r>
          </w:p>
        </w:tc>
        <w:tc>
          <w:tcPr>
            <w:tcW w:w="1620" w:type="dxa"/>
            <w:tcBorders>
              <w:top w:val="nil"/>
              <w:left w:val="nil"/>
              <w:bottom w:val="single" w:sz="4" w:space="0" w:color="auto"/>
              <w:right w:val="single" w:sz="8" w:space="0" w:color="auto"/>
            </w:tcBorders>
            <w:shd w:val="clear" w:color="auto" w:fill="auto"/>
            <w:noWrap/>
            <w:vAlign w:val="bottom"/>
            <w:hideMark/>
          </w:tcPr>
          <w:p w:rsidR="003E4BA9" w:rsidRPr="00AD0DB5" w:rsidP="0050143C" w14:paraId="6135304D" w14:textId="113E6F2B">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$41,250 </w:t>
            </w:r>
          </w:p>
        </w:tc>
      </w:tr>
      <w:tr w14:paraId="6669523B" w14:textId="77777777" w:rsidTr="00AD0DB5">
        <w:tblPrEx>
          <w:tblW w:w="14390" w:type="dxa"/>
          <w:tblLayout w:type="fixed"/>
          <w:tblLook w:val="04A0"/>
        </w:tblPrEx>
        <w:trPr>
          <w:trHeight w:val="244"/>
        </w:trPr>
        <w:tc>
          <w:tcPr>
            <w:tcW w:w="2060" w:type="dxa"/>
            <w:tcBorders>
              <w:top w:val="single" w:sz="4" w:space="0" w:color="auto"/>
              <w:left w:val="single" w:sz="8" w:space="0" w:color="auto"/>
              <w:bottom w:val="single" w:sz="4" w:space="0" w:color="auto"/>
              <w:right w:val="single" w:sz="8" w:space="0" w:color="auto"/>
            </w:tcBorders>
            <w:shd w:val="clear" w:color="000000" w:fill="BDD7EE"/>
            <w:noWrap/>
            <w:vAlign w:val="bottom"/>
            <w:hideMark/>
          </w:tcPr>
          <w:p w:rsidR="003E4BA9" w:rsidRPr="00AD0DB5" w:rsidP="0050143C" w14:paraId="793760DE"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Totals</w:t>
            </w:r>
          </w:p>
        </w:tc>
        <w:tc>
          <w:tcPr>
            <w:tcW w:w="1440" w:type="dxa"/>
            <w:tcBorders>
              <w:top w:val="single" w:sz="4" w:space="0" w:color="auto"/>
              <w:left w:val="nil"/>
              <w:bottom w:val="single" w:sz="4" w:space="0" w:color="auto"/>
              <w:right w:val="single" w:sz="8" w:space="0" w:color="auto"/>
            </w:tcBorders>
            <w:shd w:val="clear" w:color="000000" w:fill="000000"/>
            <w:noWrap/>
            <w:vAlign w:val="bottom"/>
            <w:hideMark/>
          </w:tcPr>
          <w:p w:rsidR="003E4BA9" w:rsidRPr="00AD0DB5" w:rsidP="0050143C" w14:paraId="5C8C2C58"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260" w:type="dxa"/>
            <w:tcBorders>
              <w:top w:val="single" w:sz="4" w:space="0" w:color="auto"/>
              <w:left w:val="nil"/>
              <w:bottom w:val="single" w:sz="4" w:space="0" w:color="auto"/>
              <w:right w:val="single" w:sz="8" w:space="0" w:color="auto"/>
            </w:tcBorders>
            <w:shd w:val="clear" w:color="000000" w:fill="000000"/>
            <w:noWrap/>
            <w:vAlign w:val="bottom"/>
            <w:hideMark/>
          </w:tcPr>
          <w:p w:rsidR="003E4BA9" w:rsidRPr="00AD0DB5" w:rsidP="0050143C" w14:paraId="088E0403"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40" w:type="dxa"/>
            <w:tcBorders>
              <w:top w:val="single" w:sz="4" w:space="0" w:color="auto"/>
              <w:left w:val="nil"/>
              <w:bottom w:val="single" w:sz="4" w:space="0" w:color="auto"/>
              <w:right w:val="single" w:sz="8" w:space="0" w:color="auto"/>
            </w:tcBorders>
            <w:shd w:val="clear" w:color="000000" w:fill="000000"/>
            <w:noWrap/>
            <w:vAlign w:val="bottom"/>
            <w:hideMark/>
          </w:tcPr>
          <w:p w:rsidR="003E4BA9" w:rsidRPr="00AD0DB5" w:rsidP="0050143C" w14:paraId="4B3CAAF9"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530" w:type="dxa"/>
            <w:tcBorders>
              <w:top w:val="single" w:sz="4" w:space="0" w:color="auto"/>
              <w:left w:val="nil"/>
              <w:bottom w:val="single" w:sz="4" w:space="0" w:color="auto"/>
              <w:right w:val="single" w:sz="8" w:space="0" w:color="auto"/>
            </w:tcBorders>
            <w:shd w:val="clear" w:color="000000" w:fill="BDD7EE"/>
            <w:noWrap/>
            <w:vAlign w:val="bottom"/>
            <w:hideMark/>
          </w:tcPr>
          <w:p w:rsidR="003E4BA9" w:rsidRPr="00AD0DB5" w:rsidP="00AD0DB5" w14:paraId="71780206" w14:textId="3566B50E">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14,600</w:t>
            </w:r>
          </w:p>
        </w:tc>
        <w:tc>
          <w:tcPr>
            <w:tcW w:w="1350" w:type="dxa"/>
            <w:tcBorders>
              <w:top w:val="single" w:sz="4" w:space="0" w:color="auto"/>
              <w:left w:val="nil"/>
              <w:bottom w:val="single" w:sz="4" w:space="0" w:color="auto"/>
              <w:right w:val="single" w:sz="8" w:space="0" w:color="auto"/>
            </w:tcBorders>
            <w:shd w:val="clear" w:color="000000" w:fill="000000"/>
            <w:noWrap/>
            <w:vAlign w:val="bottom"/>
            <w:hideMark/>
          </w:tcPr>
          <w:p w:rsidR="003E4BA9" w:rsidRPr="00AD0DB5" w:rsidP="0050143C" w14:paraId="23F28BC7"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620" w:type="dxa"/>
            <w:tcBorders>
              <w:top w:val="single" w:sz="4" w:space="0" w:color="auto"/>
              <w:left w:val="nil"/>
              <w:bottom w:val="single" w:sz="4" w:space="0" w:color="auto"/>
              <w:right w:val="single" w:sz="8" w:space="0" w:color="auto"/>
            </w:tcBorders>
            <w:shd w:val="clear" w:color="000000" w:fill="BDD7EE"/>
            <w:noWrap/>
            <w:vAlign w:val="bottom"/>
            <w:hideMark/>
          </w:tcPr>
          <w:p w:rsidR="003E4BA9" w:rsidRPr="00AD0DB5" w:rsidP="00AD0DB5" w14:paraId="2AE924D7" w14:textId="5DAF52B3">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8,675</w:t>
            </w:r>
          </w:p>
        </w:tc>
        <w:tc>
          <w:tcPr>
            <w:tcW w:w="2070" w:type="dxa"/>
            <w:tcBorders>
              <w:top w:val="single" w:sz="4" w:space="0" w:color="auto"/>
              <w:left w:val="nil"/>
              <w:bottom w:val="single" w:sz="4" w:space="0" w:color="auto"/>
              <w:right w:val="single" w:sz="8" w:space="0" w:color="auto"/>
            </w:tcBorders>
            <w:shd w:val="clear" w:color="000000" w:fill="000000"/>
            <w:noWrap/>
            <w:vAlign w:val="bottom"/>
            <w:hideMark/>
          </w:tcPr>
          <w:p w:rsidR="003E4BA9" w:rsidRPr="00AD0DB5" w:rsidP="0050143C" w14:paraId="4D3713E3"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620" w:type="dxa"/>
            <w:tcBorders>
              <w:top w:val="single" w:sz="4" w:space="0" w:color="auto"/>
              <w:left w:val="nil"/>
              <w:bottom w:val="single" w:sz="4" w:space="0" w:color="auto"/>
              <w:right w:val="single" w:sz="8" w:space="0" w:color="auto"/>
            </w:tcBorders>
            <w:shd w:val="clear" w:color="000000" w:fill="BDD7EE"/>
            <w:noWrap/>
            <w:vAlign w:val="bottom"/>
            <w:hideMark/>
          </w:tcPr>
          <w:p w:rsidR="003E4BA9" w:rsidRPr="00AD0DB5" w:rsidP="0050143C" w14:paraId="5502C5C1" w14:textId="49ABF030">
            <w:pPr>
              <w:rPr>
                <w:rFonts w:asciiTheme="minorHAnsi" w:hAnsiTheme="minorHAnsi" w:cstheme="minorHAnsi"/>
                <w:b/>
                <w:bCs/>
                <w:color w:val="000000"/>
                <w:sz w:val="18"/>
                <w:szCs w:val="18"/>
              </w:rPr>
            </w:pPr>
            <w:r>
              <w:rPr>
                <w:rFonts w:asciiTheme="minorHAnsi" w:hAnsiTheme="minorHAnsi" w:cstheme="minorHAnsi"/>
                <w:b/>
                <w:bCs/>
                <w:color w:val="000000"/>
                <w:sz w:val="18"/>
                <w:szCs w:val="18"/>
              </w:rPr>
              <w:t>$86,750.00</w:t>
            </w:r>
          </w:p>
        </w:tc>
      </w:tr>
    </w:tbl>
    <w:p w:rsidR="00D4643A" w:rsidP="003E4BA9" w14:paraId="36B7C8F3" w14:textId="77777777">
      <w:pPr>
        <w:pStyle w:val="Default"/>
        <w:sectPr w:rsidSect="00D4643A">
          <w:type w:val="continuous"/>
          <w:pgSz w:w="15840" w:h="12240" w:orient="landscape"/>
          <w:pgMar w:top="1296" w:right="1426" w:bottom="907" w:left="994" w:header="720" w:footer="720" w:gutter="0"/>
          <w:cols w:space="720"/>
          <w:noEndnote/>
        </w:sectPr>
      </w:pPr>
    </w:p>
    <w:p w:rsidR="00C2777B" w:rsidRPr="00660972" w:rsidP="00660972" w14:paraId="32CA29C4" w14:textId="2C42FA65">
      <w:pPr>
        <w:pStyle w:val="NormalWeb"/>
        <w:numPr>
          <w:ilvl w:val="0"/>
          <w:numId w:val="3"/>
        </w:numPr>
        <w:spacing w:before="182" w:beforeAutospacing="0" w:after="0" w:afterAutospacing="0"/>
        <w:ind w:left="360"/>
        <w:textAlignment w:val="baseline"/>
        <w:rPr>
          <w:b/>
          <w:bCs/>
          <w:color w:val="000000"/>
        </w:rPr>
      </w:pPr>
      <w:r>
        <w:rPr>
          <w:b/>
          <w:bCs/>
          <w:color w:val="000000"/>
        </w:rPr>
        <w:t>Provide an estimate for the total annual cost burden to respondents or record keepers resulting from the collection of information. (Do not include the cost of any hour burden already reflected on the burden worksheet).</w:t>
      </w:r>
    </w:p>
    <w:p w:rsidR="00C2777B" w:rsidRPr="00E253D1" w:rsidP="00C2777B" w14:paraId="10B107F1" w14:textId="77777777">
      <w:pPr>
        <w:pStyle w:val="Default"/>
        <w:rPr>
          <w:rFonts w:ascii="Times New Roman" w:hAnsi="Times New Roman" w:cs="Times New Roman"/>
        </w:rPr>
      </w:pPr>
    </w:p>
    <w:p w:rsidR="00A31FC9" w:rsidRPr="00E253D1" w:rsidP="00A31FC9" w14:paraId="59CB9CFF" w14:textId="56E50884">
      <w:pPr>
        <w:pStyle w:val="CM12"/>
        <w:spacing w:after="0" w:line="280" w:lineRule="atLeast"/>
        <w:rPr>
          <w:rFonts w:ascii="Times New Roman" w:hAnsi="Times New Roman"/>
        </w:rPr>
      </w:pPr>
      <w:r w:rsidRPr="00E253D1">
        <w:rPr>
          <w:rFonts w:ascii="Times New Roman" w:hAnsi="Times New Roman"/>
        </w:rPr>
        <w:t>There should be no additional cost to respondents in terms of capital and start-up costs</w:t>
      </w:r>
      <w:r w:rsidR="00C013B8">
        <w:rPr>
          <w:rFonts w:ascii="Times New Roman" w:hAnsi="Times New Roman"/>
        </w:rPr>
        <w:t xml:space="preserve">. </w:t>
      </w:r>
      <w:r w:rsidRPr="00E253D1">
        <w:rPr>
          <w:rFonts w:ascii="Times New Roman" w:hAnsi="Times New Roman"/>
        </w:rPr>
        <w:t>The sole cost for operations would involve the cost</w:t>
      </w:r>
      <w:r w:rsidR="00BA76C9">
        <w:rPr>
          <w:rFonts w:ascii="Times New Roman" w:hAnsi="Times New Roman"/>
        </w:rPr>
        <w:t xml:space="preserve"> of reproducing the paper Stranding Report form</w:t>
      </w:r>
      <w:r w:rsidRPr="00E253D1">
        <w:rPr>
          <w:rFonts w:ascii="Times New Roman" w:hAnsi="Times New Roman"/>
        </w:rPr>
        <w:t xml:space="preserve"> and postage for mailing the </w:t>
      </w:r>
      <w:r w:rsidRPr="00A73DC4">
        <w:rPr>
          <w:rFonts w:ascii="Times New Roman" w:hAnsi="Times New Roman"/>
        </w:rPr>
        <w:t xml:space="preserve">completed </w:t>
      </w:r>
      <w:r w:rsidRPr="00C80EF1">
        <w:rPr>
          <w:rFonts w:ascii="Times New Roman" w:hAnsi="Times New Roman"/>
        </w:rPr>
        <w:t>reports to the appropriate NMFS Regional Office</w:t>
      </w:r>
      <w:r w:rsidRPr="00C80EF1" w:rsidR="00BA76C9">
        <w:rPr>
          <w:rFonts w:ascii="Times New Roman" w:hAnsi="Times New Roman"/>
        </w:rPr>
        <w:t xml:space="preserve"> (if the stranding network does not submit the data electronically)</w:t>
      </w:r>
      <w:r w:rsidRPr="00C80EF1" w:rsidR="00C013B8">
        <w:rPr>
          <w:rFonts w:ascii="Times New Roman" w:hAnsi="Times New Roman"/>
        </w:rPr>
        <w:t xml:space="preserve">. </w:t>
      </w:r>
      <w:r w:rsidRPr="00C80EF1" w:rsidR="00BA76C9">
        <w:rPr>
          <w:rFonts w:ascii="Times New Roman" w:hAnsi="Times New Roman"/>
        </w:rPr>
        <w:t>The</w:t>
      </w:r>
      <w:r w:rsidRPr="00C80EF1">
        <w:rPr>
          <w:rFonts w:ascii="Times New Roman" w:hAnsi="Times New Roman"/>
        </w:rPr>
        <w:t xml:space="preserve"> cost </w:t>
      </w:r>
      <w:r w:rsidRPr="00C80EF1" w:rsidR="00BA76C9">
        <w:rPr>
          <w:rFonts w:ascii="Times New Roman" w:hAnsi="Times New Roman"/>
        </w:rPr>
        <w:t xml:space="preserve">of reproducing the paper form and mailing the forms </w:t>
      </w:r>
      <w:r w:rsidRPr="00C80EF1">
        <w:rPr>
          <w:rFonts w:ascii="Times New Roman" w:hAnsi="Times New Roman"/>
        </w:rPr>
        <w:t>is esti</w:t>
      </w:r>
      <w:r w:rsidRPr="00C80EF1" w:rsidR="008239E4">
        <w:rPr>
          <w:rFonts w:ascii="Times New Roman" w:hAnsi="Times New Roman"/>
        </w:rPr>
        <w:t>mated to be approximately $</w:t>
      </w:r>
      <w:r w:rsidR="00C80EF1">
        <w:rPr>
          <w:rFonts w:ascii="Times New Roman" w:hAnsi="Times New Roman"/>
        </w:rPr>
        <w:t>203.</w:t>
      </w:r>
      <w:r w:rsidR="00AD0DB5">
        <w:rPr>
          <w:rFonts w:ascii="Times New Roman" w:hAnsi="Times New Roman"/>
        </w:rPr>
        <w:t>10</w:t>
      </w:r>
      <w:r w:rsidRPr="00A73DC4">
        <w:rPr>
          <w:rFonts w:ascii="Times New Roman" w:hAnsi="Times New Roman"/>
        </w:rPr>
        <w:t xml:space="preserve"> annually for the entire network</w:t>
      </w:r>
      <w:r w:rsidRPr="00A73DC4" w:rsidR="00C013B8">
        <w:rPr>
          <w:rFonts w:ascii="Times New Roman" w:hAnsi="Times New Roman"/>
        </w:rPr>
        <w:t xml:space="preserve">. </w:t>
      </w:r>
      <w:r w:rsidRPr="00A73DC4" w:rsidR="003746E6">
        <w:rPr>
          <w:rFonts w:ascii="Times New Roman" w:hAnsi="Times New Roman"/>
        </w:rPr>
        <w:t xml:space="preserve">This cost was calculated using </w:t>
      </w:r>
      <w:r w:rsidRPr="00A73DC4" w:rsidR="00383D02">
        <w:rPr>
          <w:rFonts w:ascii="Times New Roman" w:hAnsi="Times New Roman"/>
        </w:rPr>
        <w:t>6</w:t>
      </w:r>
      <w:r w:rsidRPr="00A73DC4" w:rsidR="004F3726">
        <w:rPr>
          <w:rFonts w:ascii="Times New Roman" w:hAnsi="Times New Roman"/>
        </w:rPr>
        <w:t>,</w:t>
      </w:r>
      <w:r w:rsidRPr="00A73DC4" w:rsidR="00383D02">
        <w:rPr>
          <w:rFonts w:ascii="Times New Roman" w:hAnsi="Times New Roman"/>
        </w:rPr>
        <w:t>3</w:t>
      </w:r>
      <w:r w:rsidRPr="00A73DC4" w:rsidR="004F3726">
        <w:rPr>
          <w:rFonts w:ascii="Times New Roman" w:hAnsi="Times New Roman"/>
        </w:rPr>
        <w:t>00</w:t>
      </w:r>
      <w:r w:rsidRPr="00A73DC4">
        <w:rPr>
          <w:rFonts w:ascii="Times New Roman" w:hAnsi="Times New Roman"/>
        </w:rPr>
        <w:t xml:space="preserve"> </w:t>
      </w:r>
      <w:r w:rsidRPr="00A73DC4" w:rsidR="004F3726">
        <w:rPr>
          <w:rFonts w:ascii="Times New Roman" w:hAnsi="Times New Roman"/>
        </w:rPr>
        <w:t xml:space="preserve">Stranding Report </w:t>
      </w:r>
      <w:r w:rsidRPr="00A73DC4">
        <w:rPr>
          <w:rFonts w:ascii="Times New Roman" w:hAnsi="Times New Roman"/>
        </w:rPr>
        <w:t>forms</w:t>
      </w:r>
      <w:r w:rsidRPr="00A73DC4" w:rsidR="00EC3C6C">
        <w:rPr>
          <w:rFonts w:ascii="Times New Roman" w:hAnsi="Times New Roman"/>
        </w:rPr>
        <w:t xml:space="preserve"> where</w:t>
      </w:r>
      <w:r w:rsidRPr="00E253D1" w:rsidR="00EC3C6C">
        <w:rPr>
          <w:rFonts w:ascii="Times New Roman" w:hAnsi="Times New Roman"/>
        </w:rPr>
        <w:t xml:space="preserve"> </w:t>
      </w:r>
      <w:r w:rsidRPr="00A73DC4" w:rsidR="00A73DC4">
        <w:rPr>
          <w:rFonts w:ascii="Times New Roman" w:hAnsi="Times New Roman"/>
        </w:rPr>
        <w:t>3</w:t>
      </w:r>
      <w:r w:rsidRPr="00A73DC4" w:rsidR="008239E4">
        <w:rPr>
          <w:rFonts w:ascii="Times New Roman" w:hAnsi="Times New Roman"/>
        </w:rPr>
        <w:t>% are submitted</w:t>
      </w:r>
      <w:r w:rsidRPr="00A73DC4" w:rsidR="00EC3C6C">
        <w:rPr>
          <w:rFonts w:ascii="Times New Roman" w:hAnsi="Times New Roman"/>
        </w:rPr>
        <w:t xml:space="preserve"> by mail and </w:t>
      </w:r>
      <w:r w:rsidRPr="00A73DC4" w:rsidR="00A73DC4">
        <w:rPr>
          <w:rFonts w:ascii="Times New Roman" w:hAnsi="Times New Roman"/>
        </w:rPr>
        <w:t>97</w:t>
      </w:r>
      <w:r w:rsidRPr="00A73DC4" w:rsidR="00EC3C6C">
        <w:rPr>
          <w:rFonts w:ascii="Times New Roman" w:hAnsi="Times New Roman"/>
        </w:rPr>
        <w:t xml:space="preserve">% </w:t>
      </w:r>
      <w:r w:rsidRPr="00A73DC4" w:rsidR="00383D02">
        <w:rPr>
          <w:rFonts w:ascii="Times New Roman" w:hAnsi="Times New Roman"/>
        </w:rPr>
        <w:t xml:space="preserve">are </w:t>
      </w:r>
      <w:r w:rsidRPr="00A73DC4" w:rsidR="00EC3C6C">
        <w:rPr>
          <w:rFonts w:ascii="Times New Roman" w:hAnsi="Times New Roman"/>
        </w:rPr>
        <w:t>online electronic submission</w:t>
      </w:r>
      <w:r w:rsidRPr="00A73DC4" w:rsidR="00383D02">
        <w:rPr>
          <w:rFonts w:ascii="Times New Roman" w:hAnsi="Times New Roman"/>
        </w:rPr>
        <w:t>s</w:t>
      </w:r>
      <w:r w:rsidRPr="00A73DC4" w:rsidR="00C013B8">
        <w:rPr>
          <w:rFonts w:ascii="Times New Roman" w:hAnsi="Times New Roman"/>
        </w:rPr>
        <w:t xml:space="preserve">. </w:t>
      </w:r>
      <w:r w:rsidRPr="00A73DC4" w:rsidR="00383D02">
        <w:rPr>
          <w:rFonts w:ascii="Times New Roman" w:hAnsi="Times New Roman"/>
        </w:rPr>
        <w:t>All Rehabilitation Disposition forms are submitted electronically</w:t>
      </w:r>
      <w:r w:rsidR="00BA76C9">
        <w:rPr>
          <w:rFonts w:ascii="Times New Roman" w:hAnsi="Times New Roman"/>
        </w:rPr>
        <w:t>, so there are no additional costs associated with this form</w:t>
      </w:r>
      <w:r w:rsidRPr="00A73DC4" w:rsidR="00383D02">
        <w:rPr>
          <w:rFonts w:ascii="Times New Roman" w:hAnsi="Times New Roman"/>
        </w:rPr>
        <w:t xml:space="preserve">. </w:t>
      </w:r>
      <w:r>
        <w:rPr>
          <w:rFonts w:ascii="Times New Roman" w:hAnsi="Times New Roman"/>
        </w:rPr>
        <w:t xml:space="preserve">Similar to the </w:t>
      </w:r>
      <w:r w:rsidRPr="00A73DC4">
        <w:rPr>
          <w:rFonts w:ascii="Times New Roman" w:hAnsi="Times New Roman"/>
        </w:rPr>
        <w:t>Stranding Report</w:t>
      </w:r>
      <w:r>
        <w:rPr>
          <w:rFonts w:ascii="Times New Roman" w:hAnsi="Times New Roman"/>
        </w:rPr>
        <w:t>, we estimate that for the</w:t>
      </w:r>
      <w:r w:rsidRPr="00A73DC4">
        <w:rPr>
          <w:rFonts w:ascii="Times New Roman" w:hAnsi="Times New Roman"/>
        </w:rPr>
        <w:t xml:space="preserve"> Human Interaction </w:t>
      </w:r>
      <w:r>
        <w:rPr>
          <w:rFonts w:ascii="Times New Roman" w:hAnsi="Times New Roman"/>
        </w:rPr>
        <w:t xml:space="preserve">Data Sheet, </w:t>
      </w:r>
      <w:r w:rsidRPr="00A73DC4">
        <w:rPr>
          <w:rFonts w:ascii="Times New Roman" w:hAnsi="Times New Roman"/>
        </w:rPr>
        <w:t xml:space="preserve">3% are submitted by mail and 97% are online electronic submissions. </w:t>
      </w:r>
    </w:p>
    <w:p w:rsidR="00C2777B" w:rsidP="00A955B7" w14:paraId="728A63D1" w14:textId="2F4088C4">
      <w:pPr>
        <w:pStyle w:val="CM12"/>
        <w:spacing w:after="0" w:line="280" w:lineRule="atLeast"/>
        <w:rPr>
          <w:rFonts w:ascii="Times New Roman" w:hAnsi="Times New Roman"/>
        </w:rPr>
      </w:pPr>
    </w:p>
    <w:tbl>
      <w:tblPr>
        <w:tblW w:w="9738" w:type="dxa"/>
        <w:tblLook w:val="04A0"/>
      </w:tblPr>
      <w:tblGrid>
        <w:gridCol w:w="2060"/>
        <w:gridCol w:w="1260"/>
        <w:gridCol w:w="1440"/>
        <w:gridCol w:w="1530"/>
        <w:gridCol w:w="1980"/>
        <w:gridCol w:w="1468"/>
      </w:tblGrid>
      <w:tr w14:paraId="38FD2893" w14:textId="77777777" w:rsidTr="00367570">
        <w:tblPrEx>
          <w:tblW w:w="9738" w:type="dxa"/>
          <w:tblLook w:val="04A0"/>
        </w:tblPrEx>
        <w:trPr>
          <w:trHeight w:val="567"/>
        </w:trPr>
        <w:tc>
          <w:tcPr>
            <w:tcW w:w="2060" w:type="dxa"/>
            <w:tcBorders>
              <w:top w:val="single" w:sz="8" w:space="0" w:color="auto"/>
              <w:left w:val="single" w:sz="8" w:space="0" w:color="auto"/>
              <w:bottom w:val="single" w:sz="8" w:space="0" w:color="auto"/>
              <w:right w:val="single" w:sz="8" w:space="0" w:color="auto"/>
            </w:tcBorders>
            <w:shd w:val="clear" w:color="auto" w:fill="5B9BD5"/>
            <w:vAlign w:val="center"/>
            <w:hideMark/>
          </w:tcPr>
          <w:p w:rsidR="003E4BA9" w:rsidRPr="00AD0DB5" w:rsidP="0050143C" w14:paraId="6288DB12"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3749333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of Respondents</w:t>
            </w:r>
          </w:p>
          <w:p w:rsidR="003E4BA9" w:rsidRPr="00AD0DB5" w:rsidP="0050143C" w14:paraId="0E3E40CA"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w:t>
            </w:r>
          </w:p>
        </w:tc>
        <w:tc>
          <w:tcPr>
            <w:tcW w:w="144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0548324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Annual # of Responses / Respondent</w:t>
            </w:r>
          </w:p>
          <w:p w:rsidR="003E4BA9" w:rsidRPr="00AD0DB5" w:rsidP="0050143C" w14:paraId="3DBD2CFA"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(b)</w:t>
            </w:r>
          </w:p>
        </w:tc>
        <w:tc>
          <w:tcPr>
            <w:tcW w:w="153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1D73373B"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 Total # of Annual Responses</w:t>
            </w:r>
          </w:p>
          <w:p w:rsidR="003E4BA9" w:rsidRPr="00AD0DB5" w:rsidP="0050143C" w14:paraId="681AA60D"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(c)=(a) x (b)</w:t>
            </w:r>
          </w:p>
        </w:tc>
        <w:tc>
          <w:tcPr>
            <w:tcW w:w="1980"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616135D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Cost Burden / Response</w:t>
            </w:r>
          </w:p>
          <w:p w:rsidR="003E4BA9" w:rsidRPr="00AD0DB5" w:rsidP="0050143C" w14:paraId="695B28E8"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(h)</w:t>
            </w:r>
          </w:p>
        </w:tc>
        <w:tc>
          <w:tcPr>
            <w:tcW w:w="1468" w:type="dxa"/>
            <w:tcBorders>
              <w:top w:val="single" w:sz="8" w:space="0" w:color="auto"/>
              <w:left w:val="nil"/>
              <w:bottom w:val="single" w:sz="8" w:space="0" w:color="auto"/>
              <w:right w:val="single" w:sz="8" w:space="0" w:color="auto"/>
            </w:tcBorders>
            <w:shd w:val="clear" w:color="auto" w:fill="5B9BD5"/>
            <w:vAlign w:val="center"/>
            <w:hideMark/>
          </w:tcPr>
          <w:p w:rsidR="003E4BA9" w:rsidRPr="00AD0DB5" w:rsidP="0050143C" w14:paraId="693D4823"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 Annual Cost Burden</w:t>
            </w:r>
          </w:p>
          <w:p w:rsidR="003E4BA9" w:rsidRPr="00AD0DB5" w:rsidP="0050143C" w14:paraId="6F054A38"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(i) = (c) x (h)</w:t>
            </w:r>
          </w:p>
        </w:tc>
      </w:tr>
      <w:tr w14:paraId="141599AD" w14:textId="77777777" w:rsidTr="00E60D69">
        <w:tblPrEx>
          <w:tblW w:w="9738" w:type="dxa"/>
          <w:tblLook w:val="04A0"/>
        </w:tblPrEx>
        <w:trPr>
          <w:trHeight w:val="246"/>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AD0DB5" w:rsidRPr="00AD0DB5" w:rsidP="00AD0DB5" w14:paraId="630A6E56"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Stranding Report</w:t>
            </w:r>
          </w:p>
        </w:tc>
        <w:tc>
          <w:tcPr>
            <w:tcW w:w="1260" w:type="dxa"/>
            <w:tcBorders>
              <w:top w:val="nil"/>
              <w:left w:val="nil"/>
              <w:bottom w:val="single" w:sz="4" w:space="0" w:color="auto"/>
              <w:right w:val="single" w:sz="4" w:space="0" w:color="auto"/>
            </w:tcBorders>
            <w:shd w:val="clear" w:color="000000" w:fill="FFFFFF"/>
            <w:vAlign w:val="center"/>
            <w:hideMark/>
          </w:tcPr>
          <w:p w:rsidR="00AD0DB5" w:rsidRPr="00AD0DB5" w:rsidP="00AD0DB5" w14:paraId="2237B86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sz="4" w:space="0" w:color="auto"/>
              <w:right w:val="single" w:sz="4" w:space="0" w:color="auto"/>
            </w:tcBorders>
            <w:shd w:val="clear" w:color="000000" w:fill="FFFFFF"/>
            <w:vAlign w:val="center"/>
          </w:tcPr>
          <w:p w:rsidR="00AD0DB5" w:rsidRPr="00AD0DB5" w:rsidP="00E60D69" w14:paraId="4EAA151E" w14:textId="65CD2AC3">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15.75</w:t>
            </w:r>
          </w:p>
        </w:tc>
        <w:tc>
          <w:tcPr>
            <w:tcW w:w="1530" w:type="dxa"/>
            <w:tcBorders>
              <w:top w:val="nil"/>
              <w:left w:val="nil"/>
              <w:bottom w:val="single" w:sz="4" w:space="0" w:color="auto"/>
              <w:right w:val="single" w:sz="4" w:space="0" w:color="auto"/>
            </w:tcBorders>
            <w:shd w:val="clear" w:color="000000" w:fill="FFFFFF"/>
            <w:vAlign w:val="center"/>
            <w:hideMark/>
          </w:tcPr>
          <w:p w:rsidR="00AD0DB5" w:rsidRPr="00AD0DB5" w:rsidP="00AD0DB5" w14:paraId="6DF9079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6,300</w:t>
            </w:r>
          </w:p>
        </w:tc>
        <w:tc>
          <w:tcPr>
            <w:tcW w:w="1980" w:type="dxa"/>
            <w:tcBorders>
              <w:top w:val="nil"/>
              <w:left w:val="nil"/>
              <w:bottom w:val="single" w:sz="4" w:space="0" w:color="auto"/>
              <w:right w:val="single" w:sz="4" w:space="0" w:color="auto"/>
            </w:tcBorders>
            <w:shd w:val="clear" w:color="000000" w:fill="FFFFFF"/>
            <w:vAlign w:val="center"/>
            <w:hideMark/>
          </w:tcPr>
          <w:p w:rsidR="00AD0DB5" w:rsidRPr="00AD0DB5" w:rsidP="00AD0DB5" w14:paraId="05A5616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.65 for each submitted on paper (189)</w:t>
            </w:r>
          </w:p>
        </w:tc>
        <w:tc>
          <w:tcPr>
            <w:tcW w:w="1468" w:type="dxa"/>
            <w:tcBorders>
              <w:top w:val="nil"/>
              <w:left w:val="nil"/>
              <w:bottom w:val="single" w:sz="4" w:space="0" w:color="auto"/>
              <w:right w:val="single" w:sz="8" w:space="0" w:color="auto"/>
            </w:tcBorders>
            <w:shd w:val="clear" w:color="000000" w:fill="FFFFFF"/>
            <w:vAlign w:val="center"/>
            <w:hideMark/>
          </w:tcPr>
          <w:p w:rsidR="00AD0DB5" w:rsidRPr="00AD0DB5" w:rsidP="00AD0DB5" w14:paraId="3496B11E"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$122.85</w:t>
            </w:r>
          </w:p>
        </w:tc>
      </w:tr>
      <w:tr w14:paraId="1C80584B" w14:textId="77777777" w:rsidTr="00E60D69">
        <w:tblPrEx>
          <w:tblW w:w="9738" w:type="dxa"/>
          <w:tblLook w:val="04A0"/>
        </w:tblPrEx>
        <w:trPr>
          <w:trHeight w:val="246"/>
        </w:trPr>
        <w:tc>
          <w:tcPr>
            <w:tcW w:w="2060" w:type="dxa"/>
            <w:tcBorders>
              <w:top w:val="nil"/>
              <w:left w:val="single" w:sz="4" w:space="0" w:color="auto"/>
              <w:bottom w:val="single" w:sz="4" w:space="0" w:color="auto"/>
              <w:right w:val="single" w:sz="4" w:space="0" w:color="auto"/>
            </w:tcBorders>
            <w:shd w:val="clear" w:color="auto" w:fill="auto"/>
            <w:vAlign w:val="bottom"/>
          </w:tcPr>
          <w:p w:rsidR="00AD0DB5" w:rsidRPr="00AD0DB5" w:rsidP="00AD0DB5" w14:paraId="1BB54A28"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Rehabilitation Disposition Report</w:t>
            </w:r>
          </w:p>
        </w:tc>
        <w:tc>
          <w:tcPr>
            <w:tcW w:w="1260" w:type="dxa"/>
            <w:tcBorders>
              <w:top w:val="nil"/>
              <w:left w:val="nil"/>
              <w:bottom w:val="single" w:sz="4" w:space="0" w:color="auto"/>
              <w:right w:val="single" w:sz="4" w:space="0" w:color="auto"/>
            </w:tcBorders>
            <w:shd w:val="clear" w:color="000000" w:fill="FFFFFF"/>
            <w:vAlign w:val="center"/>
          </w:tcPr>
          <w:p w:rsidR="00AD0DB5" w:rsidRPr="00AD0DB5" w:rsidP="00AD0DB5" w14:paraId="14EA9EE0"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sz="4" w:space="0" w:color="auto"/>
              <w:right w:val="single" w:sz="4" w:space="0" w:color="auto"/>
            </w:tcBorders>
            <w:shd w:val="clear" w:color="000000" w:fill="FFFFFF"/>
            <w:vAlign w:val="center"/>
          </w:tcPr>
          <w:p w:rsidR="00AD0DB5" w:rsidRPr="00AD0DB5" w:rsidP="00E60D69" w14:paraId="07DDAFA6" w14:textId="0AEE68EA">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7</w:t>
            </w:r>
          </w:p>
        </w:tc>
        <w:tc>
          <w:tcPr>
            <w:tcW w:w="1530" w:type="dxa"/>
            <w:tcBorders>
              <w:top w:val="nil"/>
              <w:left w:val="nil"/>
              <w:bottom w:val="single" w:sz="4" w:space="0" w:color="auto"/>
              <w:right w:val="single" w:sz="4" w:space="0" w:color="auto"/>
            </w:tcBorders>
            <w:shd w:val="clear" w:color="000000" w:fill="FFFFFF"/>
            <w:vAlign w:val="center"/>
          </w:tcPr>
          <w:p w:rsidR="00AD0DB5" w:rsidRPr="00AD0DB5" w:rsidP="00AD0DB5" w14:paraId="5EA8369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2,800</w:t>
            </w:r>
          </w:p>
        </w:tc>
        <w:tc>
          <w:tcPr>
            <w:tcW w:w="1980" w:type="dxa"/>
            <w:tcBorders>
              <w:top w:val="nil"/>
              <w:left w:val="nil"/>
              <w:bottom w:val="single" w:sz="4" w:space="0" w:color="auto"/>
              <w:right w:val="single" w:sz="4" w:space="0" w:color="auto"/>
            </w:tcBorders>
            <w:shd w:val="clear" w:color="000000" w:fill="FFFFFF"/>
            <w:vAlign w:val="center"/>
          </w:tcPr>
          <w:p w:rsidR="00AD0DB5" w:rsidRPr="00AD0DB5" w:rsidP="00AD0DB5" w14:paraId="76431D0A"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0</w:t>
            </w:r>
          </w:p>
        </w:tc>
        <w:tc>
          <w:tcPr>
            <w:tcW w:w="1468" w:type="dxa"/>
            <w:tcBorders>
              <w:top w:val="nil"/>
              <w:left w:val="nil"/>
              <w:bottom w:val="single" w:sz="4" w:space="0" w:color="auto"/>
              <w:right w:val="single" w:sz="8" w:space="0" w:color="auto"/>
            </w:tcBorders>
            <w:shd w:val="clear" w:color="000000" w:fill="FFFFFF"/>
            <w:vAlign w:val="center"/>
          </w:tcPr>
          <w:p w:rsidR="00AD0DB5" w:rsidRPr="00AD0DB5" w:rsidP="00AD0DB5" w14:paraId="07BDEED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0</w:t>
            </w:r>
          </w:p>
        </w:tc>
      </w:tr>
      <w:tr w14:paraId="12740DB7" w14:textId="77777777" w:rsidTr="00E60D69">
        <w:tblPrEx>
          <w:tblW w:w="9738" w:type="dxa"/>
          <w:tblLook w:val="04A0"/>
        </w:tblPrEx>
        <w:trPr>
          <w:trHeight w:val="246"/>
        </w:trPr>
        <w:tc>
          <w:tcPr>
            <w:tcW w:w="2060" w:type="dxa"/>
            <w:tcBorders>
              <w:top w:val="nil"/>
              <w:left w:val="single" w:sz="4" w:space="0" w:color="auto"/>
              <w:bottom w:val="single" w:sz="4" w:space="0" w:color="auto"/>
              <w:right w:val="single" w:sz="4" w:space="0" w:color="auto"/>
            </w:tcBorders>
            <w:shd w:val="clear" w:color="auto" w:fill="auto"/>
            <w:vAlign w:val="bottom"/>
          </w:tcPr>
          <w:p w:rsidR="00AD0DB5" w:rsidRPr="00AD0DB5" w:rsidP="00AD0DB5" w14:paraId="02C7F2D7"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Human Interaction Data Sheet</w:t>
            </w:r>
          </w:p>
        </w:tc>
        <w:tc>
          <w:tcPr>
            <w:tcW w:w="1260" w:type="dxa"/>
            <w:tcBorders>
              <w:top w:val="nil"/>
              <w:left w:val="nil"/>
              <w:bottom w:val="single" w:sz="4" w:space="0" w:color="auto"/>
              <w:right w:val="single" w:sz="4" w:space="0" w:color="auto"/>
            </w:tcBorders>
            <w:shd w:val="clear" w:color="000000" w:fill="FFFFFF"/>
            <w:vAlign w:val="center"/>
          </w:tcPr>
          <w:p w:rsidR="00AD0DB5" w:rsidRPr="00AD0DB5" w:rsidP="00AD0DB5" w14:paraId="4BBBE16B"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sz="4" w:space="0" w:color="auto"/>
              <w:right w:val="single" w:sz="4" w:space="0" w:color="auto"/>
            </w:tcBorders>
            <w:shd w:val="clear" w:color="000000" w:fill="FFFFFF"/>
            <w:vAlign w:val="center"/>
          </w:tcPr>
          <w:p w:rsidR="00AD0DB5" w:rsidRPr="00AD0DB5" w:rsidP="00E60D69" w14:paraId="01C3B260" w14:textId="773B85F6">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13.75</w:t>
            </w:r>
          </w:p>
        </w:tc>
        <w:tc>
          <w:tcPr>
            <w:tcW w:w="1530" w:type="dxa"/>
            <w:tcBorders>
              <w:top w:val="nil"/>
              <w:left w:val="nil"/>
              <w:bottom w:val="single" w:sz="4" w:space="0" w:color="auto"/>
              <w:right w:val="single" w:sz="4" w:space="0" w:color="auto"/>
            </w:tcBorders>
            <w:shd w:val="clear" w:color="000000" w:fill="FFFFFF"/>
            <w:vAlign w:val="center"/>
          </w:tcPr>
          <w:p w:rsidR="00AD0DB5" w:rsidRPr="00AD0DB5" w:rsidP="00AD0DB5" w14:paraId="4B9EB19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5,500</w:t>
            </w:r>
          </w:p>
        </w:tc>
        <w:tc>
          <w:tcPr>
            <w:tcW w:w="1980" w:type="dxa"/>
            <w:tcBorders>
              <w:top w:val="nil"/>
              <w:left w:val="nil"/>
              <w:bottom w:val="single" w:sz="4" w:space="0" w:color="auto"/>
              <w:right w:val="single" w:sz="4" w:space="0" w:color="auto"/>
            </w:tcBorders>
            <w:shd w:val="clear" w:color="000000" w:fill="FFFFFF"/>
            <w:vAlign w:val="center"/>
          </w:tcPr>
          <w:p w:rsidR="00AD0DB5" w:rsidRPr="00AD0DB5" w:rsidP="00AD0DB5" w14:paraId="220FC7D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.65 for each submitted on paper (165)</w:t>
            </w:r>
          </w:p>
        </w:tc>
        <w:tc>
          <w:tcPr>
            <w:tcW w:w="1468" w:type="dxa"/>
            <w:tcBorders>
              <w:top w:val="nil"/>
              <w:left w:val="nil"/>
              <w:bottom w:val="single" w:sz="4" w:space="0" w:color="auto"/>
              <w:right w:val="single" w:sz="8" w:space="0" w:color="auto"/>
            </w:tcBorders>
            <w:shd w:val="clear" w:color="000000" w:fill="FFFFFF"/>
            <w:vAlign w:val="center"/>
          </w:tcPr>
          <w:p w:rsidR="00AD0DB5" w:rsidRPr="00AD0DB5" w:rsidP="00AD0DB5" w14:paraId="5272A014"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$107.25</w:t>
            </w:r>
          </w:p>
        </w:tc>
      </w:tr>
      <w:tr w14:paraId="06368742" w14:textId="77777777" w:rsidTr="00367570">
        <w:tblPrEx>
          <w:tblW w:w="9738" w:type="dxa"/>
          <w:tblLook w:val="04A0"/>
        </w:tblPrEx>
        <w:trPr>
          <w:trHeight w:val="259"/>
        </w:trPr>
        <w:tc>
          <w:tcPr>
            <w:tcW w:w="2060" w:type="dxa"/>
            <w:tcBorders>
              <w:top w:val="single" w:sz="8" w:space="0" w:color="auto"/>
              <w:left w:val="single" w:sz="8" w:space="0" w:color="auto"/>
              <w:bottom w:val="single" w:sz="8" w:space="0" w:color="auto"/>
              <w:right w:val="single" w:sz="4" w:space="0" w:color="auto"/>
            </w:tcBorders>
            <w:shd w:val="clear" w:color="auto" w:fill="BDD6EE"/>
            <w:vAlign w:val="center"/>
            <w:hideMark/>
          </w:tcPr>
          <w:p w:rsidR="003E4BA9" w:rsidRPr="00AD0DB5" w:rsidP="0050143C" w14:paraId="093ECEEB"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TOTALS</w:t>
            </w:r>
          </w:p>
        </w:tc>
        <w:tc>
          <w:tcPr>
            <w:tcW w:w="1260" w:type="dxa"/>
            <w:tcBorders>
              <w:top w:val="single" w:sz="8" w:space="0" w:color="auto"/>
              <w:left w:val="nil"/>
              <w:bottom w:val="single" w:sz="8" w:space="0" w:color="auto"/>
              <w:right w:val="single" w:sz="4" w:space="0" w:color="auto"/>
            </w:tcBorders>
            <w:shd w:val="clear" w:color="auto" w:fill="000000"/>
            <w:vAlign w:val="center"/>
            <w:hideMark/>
          </w:tcPr>
          <w:p w:rsidR="003E4BA9" w:rsidRPr="00AD0DB5" w:rsidP="0050143C" w14:paraId="4994D201"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40" w:type="dxa"/>
            <w:tcBorders>
              <w:top w:val="single" w:sz="8" w:space="0" w:color="auto"/>
              <w:left w:val="nil"/>
              <w:bottom w:val="single" w:sz="8" w:space="0" w:color="auto"/>
              <w:right w:val="single" w:sz="4" w:space="0" w:color="auto"/>
            </w:tcBorders>
            <w:shd w:val="clear" w:color="auto" w:fill="000000"/>
            <w:vAlign w:val="center"/>
            <w:hideMark/>
          </w:tcPr>
          <w:p w:rsidR="003E4BA9" w:rsidRPr="00AD0DB5" w:rsidP="0050143C" w14:paraId="6D4958E3"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530" w:type="dxa"/>
            <w:tcBorders>
              <w:top w:val="single" w:sz="8" w:space="0" w:color="auto"/>
              <w:left w:val="nil"/>
              <w:bottom w:val="single" w:sz="8" w:space="0" w:color="auto"/>
              <w:right w:val="single" w:sz="4" w:space="0" w:color="auto"/>
            </w:tcBorders>
            <w:shd w:val="clear" w:color="auto" w:fill="BDD6EE"/>
            <w:vAlign w:val="center"/>
          </w:tcPr>
          <w:p w:rsidR="003E4BA9" w:rsidRPr="00AD0DB5" w:rsidP="00367570" w14:paraId="31E3E537" w14:textId="19089D02">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14,600</w:t>
            </w:r>
          </w:p>
        </w:tc>
        <w:tc>
          <w:tcPr>
            <w:tcW w:w="1980" w:type="dxa"/>
            <w:tcBorders>
              <w:top w:val="single" w:sz="8" w:space="0" w:color="auto"/>
              <w:left w:val="nil"/>
              <w:bottom w:val="single" w:sz="8" w:space="0" w:color="auto"/>
              <w:right w:val="single" w:sz="4" w:space="0" w:color="auto"/>
            </w:tcBorders>
            <w:shd w:val="clear" w:color="auto" w:fill="000000"/>
            <w:vAlign w:val="center"/>
            <w:hideMark/>
          </w:tcPr>
          <w:p w:rsidR="003E4BA9" w:rsidRPr="00AD0DB5" w:rsidP="0050143C" w14:paraId="0EDD466D"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68" w:type="dxa"/>
            <w:tcBorders>
              <w:top w:val="single" w:sz="8" w:space="0" w:color="auto"/>
              <w:left w:val="nil"/>
              <w:bottom w:val="single" w:sz="8" w:space="0" w:color="auto"/>
              <w:right w:val="single" w:sz="8" w:space="0" w:color="auto"/>
            </w:tcBorders>
            <w:shd w:val="clear" w:color="auto" w:fill="BDD6EE"/>
            <w:vAlign w:val="center"/>
            <w:hideMark/>
          </w:tcPr>
          <w:p w:rsidR="003E4BA9" w:rsidRPr="00AD0DB5" w:rsidP="00367570" w14:paraId="59E37619" w14:textId="24D05646">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$230</w:t>
            </w:r>
            <w:r w:rsidRPr="00AD0DB5" w:rsidR="00A1121A">
              <w:rPr>
                <w:rFonts w:asciiTheme="minorHAnsi" w:hAnsiTheme="minorHAnsi" w:cstheme="minorHAnsi"/>
                <w:b/>
                <w:bCs/>
                <w:color w:val="000000"/>
                <w:sz w:val="18"/>
                <w:szCs w:val="18"/>
              </w:rPr>
              <w:t>.10</w:t>
            </w:r>
          </w:p>
        </w:tc>
      </w:tr>
    </w:tbl>
    <w:p w:rsidR="00A955B7" w:rsidRPr="00E253D1" w:rsidP="00A955B7" w14:paraId="42243CC4" w14:textId="77777777">
      <w:pPr>
        <w:pStyle w:val="Default"/>
        <w:rPr>
          <w:rFonts w:ascii="Times New Roman" w:hAnsi="Times New Roman" w:cs="Times New Roman"/>
        </w:rPr>
      </w:pPr>
    </w:p>
    <w:p w:rsidR="00E56EE2" w:rsidP="00E56EE2" w14:paraId="168E30D7" w14:textId="77777777">
      <w:pPr>
        <w:pStyle w:val="NormalWeb"/>
        <w:numPr>
          <w:ilvl w:val="0"/>
          <w:numId w:val="3"/>
        </w:numPr>
        <w:tabs>
          <w:tab w:val="clear" w:pos="720"/>
        </w:tabs>
        <w:spacing w:before="80" w:beforeAutospacing="0" w:after="0" w:afterAutospacing="0"/>
        <w:ind w:left="360"/>
        <w:textAlignment w:val="baseline"/>
        <w:rPr>
          <w:b/>
          <w:bCs/>
          <w:color w:val="000000"/>
        </w:rPr>
      </w:pPr>
      <w:r>
        <w:rPr>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955B7" w:rsidRPr="00E253D1" w:rsidP="00A955B7" w14:paraId="2F91D491" w14:textId="77777777">
      <w:pPr>
        <w:pStyle w:val="Default"/>
        <w:rPr>
          <w:rFonts w:ascii="Times New Roman" w:hAnsi="Times New Roman" w:cs="Times New Roman"/>
        </w:rPr>
      </w:pPr>
    </w:p>
    <w:p w:rsidR="00C2777B" w:rsidP="00367570" w14:paraId="61CBA53A" w14:textId="5226D0E1">
      <w:pPr>
        <w:pStyle w:val="CM14"/>
        <w:spacing w:line="280" w:lineRule="atLeast"/>
        <w:rPr>
          <w:rFonts w:ascii="Times New Roman" w:hAnsi="Times New Roman"/>
        </w:rPr>
      </w:pPr>
      <w:r w:rsidRPr="00E253D1">
        <w:rPr>
          <w:rFonts w:ascii="Times New Roman" w:hAnsi="Times New Roman"/>
        </w:rPr>
        <w:t>It is estimated that ten staff months are involved in data processing and analysis</w:t>
      </w:r>
      <w:r w:rsidR="00C013B8">
        <w:rPr>
          <w:rFonts w:ascii="Times New Roman" w:hAnsi="Times New Roman"/>
        </w:rPr>
        <w:t xml:space="preserve">. </w:t>
      </w:r>
      <w:r w:rsidRPr="00E253D1">
        <w:rPr>
          <w:rFonts w:ascii="Times New Roman" w:hAnsi="Times New Roman"/>
        </w:rPr>
        <w:t xml:space="preserve">An estimate of </w:t>
      </w:r>
      <w:r w:rsidR="002069BC">
        <w:rPr>
          <w:rFonts w:ascii="Times New Roman" w:hAnsi="Times New Roman"/>
        </w:rPr>
        <w:t>3</w:t>
      </w:r>
      <w:r w:rsidRPr="00E253D1">
        <w:rPr>
          <w:rFonts w:ascii="Times New Roman" w:hAnsi="Times New Roman"/>
        </w:rPr>
        <w:t xml:space="preserve"> staff months was provided by the </w:t>
      </w:r>
      <w:r w:rsidR="002069BC">
        <w:rPr>
          <w:rFonts w:ascii="Times New Roman" w:hAnsi="Times New Roman"/>
        </w:rPr>
        <w:t>California (CA) stranding coordinator</w:t>
      </w:r>
      <w:r w:rsidRPr="00E253D1">
        <w:rPr>
          <w:rFonts w:ascii="Times New Roman" w:hAnsi="Times New Roman"/>
        </w:rPr>
        <w:t xml:space="preserve"> which has the highest number of strandings. Two staff months has</w:t>
      </w:r>
      <w:r w:rsidR="00223A8A">
        <w:rPr>
          <w:rFonts w:ascii="Times New Roman" w:hAnsi="Times New Roman"/>
        </w:rPr>
        <w:t xml:space="preserve"> been applied to the Greater Atlantic (GAR)</w:t>
      </w:r>
      <w:r w:rsidR="002069BC">
        <w:rPr>
          <w:rFonts w:ascii="Times New Roman" w:hAnsi="Times New Roman"/>
        </w:rPr>
        <w:t xml:space="preserve"> and </w:t>
      </w:r>
      <w:r w:rsidRPr="00E253D1">
        <w:rPr>
          <w:rFonts w:ascii="Times New Roman" w:hAnsi="Times New Roman"/>
        </w:rPr>
        <w:t xml:space="preserve">Southeast </w:t>
      </w:r>
      <w:r w:rsidR="00223A8A">
        <w:rPr>
          <w:rFonts w:ascii="Times New Roman" w:hAnsi="Times New Roman"/>
        </w:rPr>
        <w:t>(SER)</w:t>
      </w:r>
      <w:r w:rsidR="002069BC">
        <w:rPr>
          <w:rFonts w:ascii="Times New Roman" w:hAnsi="Times New Roman"/>
        </w:rPr>
        <w:t xml:space="preserve"> regions and the Washington/Oregon (WA-OR) stranding coordinator</w:t>
      </w:r>
      <w:r w:rsidRPr="00E253D1">
        <w:rPr>
          <w:rFonts w:ascii="Times New Roman" w:hAnsi="Times New Roman"/>
        </w:rPr>
        <w:t xml:space="preserve">. An estimate of one staff month has been applied to Alaska </w:t>
      </w:r>
      <w:r w:rsidR="00223A8A">
        <w:rPr>
          <w:rFonts w:ascii="Times New Roman" w:hAnsi="Times New Roman"/>
        </w:rPr>
        <w:t xml:space="preserve">(AKR) </w:t>
      </w:r>
      <w:r w:rsidRPr="00E253D1">
        <w:rPr>
          <w:rFonts w:ascii="Times New Roman" w:hAnsi="Times New Roman"/>
        </w:rPr>
        <w:t xml:space="preserve">and the Pacific Islands </w:t>
      </w:r>
      <w:r w:rsidR="00223A8A">
        <w:rPr>
          <w:rFonts w:ascii="Times New Roman" w:hAnsi="Times New Roman"/>
        </w:rPr>
        <w:t xml:space="preserve">(PIR) </w:t>
      </w:r>
      <w:r w:rsidRPr="00E253D1">
        <w:rPr>
          <w:rFonts w:ascii="Times New Roman" w:hAnsi="Times New Roman"/>
        </w:rPr>
        <w:t>Regions, where the total number of reports are considerably less than in other Regions</w:t>
      </w:r>
      <w:r w:rsidR="00C013B8">
        <w:rPr>
          <w:rFonts w:ascii="Times New Roman" w:hAnsi="Times New Roman"/>
        </w:rPr>
        <w:t xml:space="preserve">. </w:t>
      </w:r>
      <w:r w:rsidRPr="00E253D1">
        <w:rPr>
          <w:rFonts w:ascii="Times New Roman" w:hAnsi="Times New Roman"/>
        </w:rPr>
        <w:t>Two staff month</w:t>
      </w:r>
      <w:r w:rsidRPr="00E253D1" w:rsidR="00B50AB3">
        <w:rPr>
          <w:rFonts w:ascii="Times New Roman" w:hAnsi="Times New Roman"/>
        </w:rPr>
        <w:t>s</w:t>
      </w:r>
      <w:r w:rsidRPr="00E253D1">
        <w:rPr>
          <w:rFonts w:ascii="Times New Roman" w:hAnsi="Times New Roman"/>
        </w:rPr>
        <w:t xml:space="preserve"> have been estimated for headquarters</w:t>
      </w:r>
      <w:r w:rsidR="00223A8A">
        <w:rPr>
          <w:rFonts w:ascii="Times New Roman" w:hAnsi="Times New Roman"/>
        </w:rPr>
        <w:t xml:space="preserve"> (HQ)</w:t>
      </w:r>
      <w:r w:rsidRPr="00E253D1">
        <w:rPr>
          <w:rFonts w:ascii="Times New Roman" w:hAnsi="Times New Roman"/>
        </w:rPr>
        <w:t xml:space="preserve"> staff</w:t>
      </w:r>
      <w:r w:rsidR="00C013B8">
        <w:rPr>
          <w:rFonts w:ascii="Times New Roman" w:hAnsi="Times New Roman"/>
        </w:rPr>
        <w:t xml:space="preserve">. </w:t>
      </w:r>
      <w:r w:rsidRPr="00E253D1">
        <w:rPr>
          <w:rFonts w:ascii="Times New Roman" w:hAnsi="Times New Roman"/>
        </w:rPr>
        <w:t>The total cost to the Federal gover</w:t>
      </w:r>
      <w:r w:rsidR="00383D02">
        <w:rPr>
          <w:rFonts w:ascii="Times New Roman" w:hAnsi="Times New Roman"/>
        </w:rPr>
        <w:t>nment is estimated at $</w:t>
      </w:r>
      <w:r w:rsidR="00804882">
        <w:rPr>
          <w:rFonts w:ascii="Times New Roman" w:hAnsi="Times New Roman"/>
        </w:rPr>
        <w:t>117,538</w:t>
      </w:r>
      <w:bookmarkStart w:id="0" w:name="_GoBack"/>
      <w:bookmarkEnd w:id="0"/>
      <w:r w:rsidR="00C013B8">
        <w:rPr>
          <w:rFonts w:ascii="Times New Roman" w:hAnsi="Times New Roman"/>
        </w:rPr>
        <w:t xml:space="preserve">. </w:t>
      </w:r>
    </w:p>
    <w:tbl>
      <w:tblPr>
        <w:tblW w:w="8551" w:type="dxa"/>
        <w:jc w:val="center"/>
        <w:tblLook w:val="04A0"/>
      </w:tblPr>
      <w:tblGrid>
        <w:gridCol w:w="1688"/>
        <w:gridCol w:w="1388"/>
        <w:gridCol w:w="1311"/>
        <w:gridCol w:w="925"/>
        <w:gridCol w:w="1542"/>
        <w:gridCol w:w="1697"/>
      </w:tblGrid>
      <w:tr w14:paraId="0516C356" w14:textId="77777777" w:rsidTr="003E4BA9">
        <w:tblPrEx>
          <w:tblW w:w="8551" w:type="dxa"/>
          <w:jc w:val="center"/>
          <w:tblLook w:val="04A0"/>
        </w:tblPrEx>
        <w:trPr>
          <w:trHeight w:val="412"/>
          <w:jc w:val="center"/>
        </w:trPr>
        <w:tc>
          <w:tcPr>
            <w:tcW w:w="1688" w:type="dxa"/>
            <w:tcBorders>
              <w:top w:val="single" w:sz="8" w:space="0" w:color="auto"/>
              <w:left w:val="single" w:sz="8" w:space="0" w:color="auto"/>
              <w:bottom w:val="nil"/>
              <w:right w:val="single" w:sz="8" w:space="0" w:color="auto"/>
            </w:tcBorders>
            <w:shd w:val="clear" w:color="auto" w:fill="5B9BD5"/>
            <w:vAlign w:val="center"/>
            <w:hideMark/>
          </w:tcPr>
          <w:p w:rsidR="003E4BA9" w:rsidRPr="00F37052" w:rsidP="0050143C" w14:paraId="243EE5B2"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388" w:type="dxa"/>
            <w:tcBorders>
              <w:top w:val="single" w:sz="8" w:space="0" w:color="auto"/>
              <w:left w:val="nil"/>
              <w:bottom w:val="nil"/>
              <w:right w:val="single" w:sz="8" w:space="0" w:color="auto"/>
            </w:tcBorders>
            <w:shd w:val="clear" w:color="auto" w:fill="5B9BD5"/>
            <w:vAlign w:val="center"/>
            <w:hideMark/>
          </w:tcPr>
          <w:p w:rsidR="003E4BA9" w:rsidRPr="00F37052" w:rsidP="0050143C" w14:paraId="1BFE9124"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311" w:type="dxa"/>
            <w:tcBorders>
              <w:top w:val="single" w:sz="8" w:space="0" w:color="auto"/>
              <w:left w:val="nil"/>
              <w:bottom w:val="nil"/>
              <w:right w:val="single" w:sz="8" w:space="0" w:color="auto"/>
            </w:tcBorders>
            <w:shd w:val="clear" w:color="auto" w:fill="5B9BD5"/>
            <w:vAlign w:val="center"/>
            <w:hideMark/>
          </w:tcPr>
          <w:p w:rsidR="003E4BA9" w:rsidRPr="00F37052" w:rsidP="0050143C" w14:paraId="1012E3C1"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925" w:type="dxa"/>
            <w:tcBorders>
              <w:top w:val="single" w:sz="8" w:space="0" w:color="auto"/>
              <w:left w:val="nil"/>
              <w:bottom w:val="nil"/>
              <w:right w:val="single" w:sz="8" w:space="0" w:color="auto"/>
            </w:tcBorders>
            <w:shd w:val="clear" w:color="auto" w:fill="5B9BD5"/>
            <w:vAlign w:val="center"/>
            <w:hideMark/>
          </w:tcPr>
          <w:p w:rsidR="003E4BA9" w:rsidRPr="00F37052" w:rsidP="0050143C" w14:paraId="3FB81624"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542" w:type="dxa"/>
            <w:tcBorders>
              <w:top w:val="single" w:sz="8" w:space="0" w:color="auto"/>
              <w:left w:val="nil"/>
              <w:bottom w:val="nil"/>
              <w:right w:val="single" w:sz="8" w:space="0" w:color="auto"/>
            </w:tcBorders>
            <w:shd w:val="clear" w:color="auto" w:fill="5B9BD5"/>
            <w:vAlign w:val="center"/>
            <w:hideMark/>
          </w:tcPr>
          <w:p w:rsidR="003E4BA9" w:rsidRPr="00F37052" w:rsidP="0050143C" w14:paraId="1436314E"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697" w:type="dxa"/>
            <w:tcBorders>
              <w:top w:val="single" w:sz="8" w:space="0" w:color="auto"/>
              <w:left w:val="nil"/>
              <w:bottom w:val="nil"/>
              <w:right w:val="single" w:sz="8" w:space="0" w:color="auto"/>
            </w:tcBorders>
            <w:shd w:val="clear" w:color="auto" w:fill="5B9BD5"/>
            <w:vAlign w:val="center"/>
            <w:hideMark/>
          </w:tcPr>
          <w:p w:rsidR="003E4BA9" w:rsidRPr="00F37052" w:rsidP="0050143C" w14:paraId="7E0E4916"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25A5C66A" w14:textId="77777777" w:rsidTr="003E4BA9">
        <w:tblPrEx>
          <w:tblW w:w="8551" w:type="dxa"/>
          <w:jc w:val="center"/>
          <w:tblLook w:val="04A0"/>
        </w:tblPrEx>
        <w:trPr>
          <w:trHeight w:val="274"/>
          <w:jc w:val="center"/>
        </w:trPr>
        <w:tc>
          <w:tcPr>
            <w:tcW w:w="1688"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3E4BA9" w:rsidRPr="00F37052" w:rsidP="0050143C" w14:paraId="555074E9" w14:textId="2EFEFE0D">
            <w:pPr>
              <w:rPr>
                <w:rFonts w:ascii="Calibri" w:hAnsi="Calibri" w:cs="Calibri"/>
                <w:b/>
                <w:bCs/>
                <w:color w:val="000000"/>
                <w:sz w:val="16"/>
                <w:szCs w:val="16"/>
              </w:rPr>
            </w:pPr>
            <w:r>
              <w:rPr>
                <w:rFonts w:ascii="Calibri" w:hAnsi="Calibri" w:cs="Calibri"/>
                <w:b/>
                <w:bCs/>
                <w:color w:val="000000"/>
                <w:sz w:val="16"/>
                <w:szCs w:val="16"/>
              </w:rPr>
              <w:t xml:space="preserve">HQ </w:t>
            </w:r>
            <w:r w:rsidRPr="00F37052">
              <w:rPr>
                <w:rFonts w:ascii="Calibri" w:hAnsi="Calibri" w:cs="Calibri"/>
                <w:b/>
                <w:bCs/>
                <w:color w:val="000000"/>
                <w:sz w:val="16"/>
                <w:szCs w:val="16"/>
              </w:rPr>
              <w:t>Oversight</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3E4BA9" w:rsidRPr="00F37052" w:rsidP="0050143C" w14:paraId="0AA1F11B" w14:textId="0CAFA586">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sidR="002069BC">
              <w:rPr>
                <w:rFonts w:ascii="Calibri" w:hAnsi="Calibri" w:cs="Calibri"/>
                <w:color w:val="000000"/>
                <w:sz w:val="16"/>
                <w:szCs w:val="16"/>
              </w:rPr>
              <w:t>-01</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3E4BA9" w:rsidRPr="00F37052" w:rsidP="0050143C" w14:paraId="01AB3FDA" w14:textId="753F6DA2">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3E4BA9" w:rsidRPr="00F37052" w:rsidP="0050143C" w14:paraId="21BD33A9" w14:textId="3B8EFDA2">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single" w:sz="4" w:space="0" w:color="auto"/>
              <w:left w:val="nil"/>
              <w:bottom w:val="single" w:sz="4" w:space="0" w:color="auto"/>
              <w:right w:val="single" w:sz="4" w:space="0" w:color="auto"/>
            </w:tcBorders>
            <w:shd w:val="clear" w:color="000000" w:fill="808080"/>
            <w:noWrap/>
            <w:vAlign w:val="bottom"/>
            <w:hideMark/>
          </w:tcPr>
          <w:p w:rsidR="003E4BA9" w:rsidRPr="00F37052" w:rsidP="0050143C" w14:paraId="7273AD57"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single" w:sz="4" w:space="0" w:color="auto"/>
              <w:left w:val="nil"/>
              <w:bottom w:val="single" w:sz="4" w:space="0" w:color="auto"/>
              <w:right w:val="single" w:sz="8" w:space="0" w:color="auto"/>
            </w:tcBorders>
            <w:shd w:val="clear" w:color="auto" w:fill="auto"/>
            <w:noWrap/>
            <w:vAlign w:val="bottom"/>
            <w:hideMark/>
          </w:tcPr>
          <w:p w:rsidR="003E4BA9" w:rsidRPr="00F37052" w:rsidP="0050143C" w14:paraId="5ACDD65E" w14:textId="639CFADC">
            <w:pPr>
              <w:jc w:val="right"/>
              <w:rPr>
                <w:rFonts w:ascii="Calibri" w:hAnsi="Calibri" w:cs="Calibri"/>
                <w:color w:val="000000"/>
                <w:sz w:val="16"/>
                <w:szCs w:val="16"/>
              </w:rPr>
            </w:pPr>
            <w:r>
              <w:rPr>
                <w:rFonts w:ascii="Calibri" w:hAnsi="Calibri" w:cs="Calibri"/>
                <w:color w:val="000000"/>
                <w:sz w:val="16"/>
                <w:szCs w:val="16"/>
              </w:rPr>
              <w:t>$18,066</w:t>
            </w:r>
            <w:r w:rsidRPr="00F37052">
              <w:rPr>
                <w:rFonts w:ascii="Calibri" w:hAnsi="Calibri" w:cs="Calibri"/>
                <w:color w:val="000000"/>
                <w:sz w:val="16"/>
                <w:szCs w:val="16"/>
              </w:rPr>
              <w:t> </w:t>
            </w:r>
          </w:p>
        </w:tc>
      </w:tr>
      <w:tr w14:paraId="18F804DB"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hideMark/>
          </w:tcPr>
          <w:p w:rsidR="003E4BA9" w:rsidRPr="00F37052" w:rsidP="0050143C" w14:paraId="63B9AA6B" w14:textId="01748B72">
            <w:pPr>
              <w:rPr>
                <w:rFonts w:ascii="Calibri" w:hAnsi="Calibri" w:cs="Calibri"/>
                <w:color w:val="000000"/>
                <w:sz w:val="16"/>
                <w:szCs w:val="16"/>
              </w:rPr>
            </w:pPr>
            <w:r>
              <w:rPr>
                <w:rFonts w:ascii="Calibri" w:hAnsi="Calibri" w:cs="Calibri"/>
                <w:color w:val="000000"/>
                <w:sz w:val="16"/>
                <w:szCs w:val="16"/>
              </w:rPr>
              <w:t>CA</w:t>
            </w:r>
            <w:r w:rsidR="00223A8A">
              <w:rPr>
                <w:rFonts w:ascii="Calibri" w:hAnsi="Calibri" w:cs="Calibri"/>
                <w:color w:val="000000"/>
                <w:sz w:val="16"/>
                <w:szCs w:val="16"/>
              </w:rPr>
              <w:t xml:space="preserve"> Oversight</w:t>
            </w:r>
          </w:p>
        </w:tc>
        <w:tc>
          <w:tcPr>
            <w:tcW w:w="1388" w:type="dxa"/>
            <w:tcBorders>
              <w:top w:val="nil"/>
              <w:left w:val="nil"/>
              <w:bottom w:val="single" w:sz="4" w:space="0" w:color="auto"/>
              <w:right w:val="single" w:sz="4" w:space="0" w:color="auto"/>
            </w:tcBorders>
            <w:shd w:val="clear" w:color="auto" w:fill="auto"/>
            <w:noWrap/>
            <w:vAlign w:val="bottom"/>
            <w:hideMark/>
          </w:tcPr>
          <w:p w:rsidR="003E4BA9" w:rsidRPr="00F37052" w:rsidP="0050143C" w14:paraId="64CBC9DF" w14:textId="1901BD7E">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sidR="002069BC">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hideMark/>
          </w:tcPr>
          <w:p w:rsidR="003E4BA9" w:rsidRPr="00F37052" w:rsidP="0050143C" w14:paraId="790C6BA4" w14:textId="0F65A7E8">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hideMark/>
          </w:tcPr>
          <w:p w:rsidR="003E4BA9" w:rsidRPr="00F37052" w:rsidP="0050143C" w14:paraId="6C8A678A" w14:textId="239A5906">
            <w:pPr>
              <w:jc w:val="right"/>
              <w:rPr>
                <w:rFonts w:ascii="Calibri" w:hAnsi="Calibri" w:cs="Calibri"/>
                <w:color w:val="000000"/>
                <w:sz w:val="16"/>
                <w:szCs w:val="16"/>
              </w:rPr>
            </w:pPr>
            <w:r>
              <w:rPr>
                <w:rFonts w:ascii="Calibri" w:hAnsi="Calibri" w:cs="Calibri"/>
                <w:color w:val="000000"/>
                <w:sz w:val="16"/>
                <w:szCs w:val="16"/>
              </w:rPr>
              <w:t>25.0%</w:t>
            </w: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hideMark/>
          </w:tcPr>
          <w:p w:rsidR="003E4BA9" w:rsidRPr="00F37052" w:rsidP="0050143C" w14:paraId="14B307CE"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3E4BA9" w:rsidRPr="00F37052" w:rsidP="0050143C" w14:paraId="333F2841" w14:textId="52885D8E">
            <w:pPr>
              <w:jc w:val="right"/>
              <w:rPr>
                <w:rFonts w:ascii="Calibri" w:hAnsi="Calibri" w:cs="Calibri"/>
                <w:color w:val="000000"/>
                <w:sz w:val="16"/>
                <w:szCs w:val="16"/>
              </w:rPr>
            </w:pPr>
            <w:r>
              <w:rPr>
                <w:rFonts w:ascii="Calibri" w:hAnsi="Calibri" w:cs="Calibri"/>
                <w:color w:val="000000"/>
                <w:sz w:val="16"/>
                <w:szCs w:val="16"/>
              </w:rPr>
              <w:t>$27,208</w:t>
            </w:r>
            <w:r w:rsidRPr="00F37052">
              <w:rPr>
                <w:rFonts w:ascii="Calibri" w:hAnsi="Calibri" w:cs="Calibri"/>
                <w:color w:val="000000"/>
                <w:sz w:val="16"/>
                <w:szCs w:val="16"/>
              </w:rPr>
              <w:t> </w:t>
            </w:r>
          </w:p>
        </w:tc>
      </w:tr>
      <w:tr w14:paraId="0976EC62"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tcPr>
          <w:p w:rsidR="002069BC" w:rsidP="002069BC" w14:paraId="0D061EC5" w14:textId="0D4BF8D7">
            <w:pPr>
              <w:rPr>
                <w:rFonts w:ascii="Calibri" w:hAnsi="Calibri" w:cs="Calibri"/>
                <w:color w:val="000000"/>
                <w:sz w:val="16"/>
                <w:szCs w:val="16"/>
              </w:rPr>
            </w:pPr>
            <w:r>
              <w:rPr>
                <w:rFonts w:ascii="Calibri" w:hAnsi="Calibri" w:cs="Calibri"/>
                <w:color w:val="000000"/>
                <w:sz w:val="16"/>
                <w:szCs w:val="16"/>
              </w:rPr>
              <w:t>WA-OR Oversight</w:t>
            </w:r>
          </w:p>
        </w:tc>
        <w:tc>
          <w:tcPr>
            <w:tcW w:w="1388" w:type="dxa"/>
            <w:tcBorders>
              <w:top w:val="nil"/>
              <w:left w:val="nil"/>
              <w:bottom w:val="single" w:sz="4" w:space="0" w:color="auto"/>
              <w:right w:val="single" w:sz="4" w:space="0" w:color="auto"/>
            </w:tcBorders>
            <w:shd w:val="clear" w:color="auto" w:fill="auto"/>
            <w:noWrap/>
            <w:vAlign w:val="bottom"/>
          </w:tcPr>
          <w:p w:rsidR="002069BC" w:rsidP="002069BC" w14:paraId="3ED7147A" w14:textId="43819DB7">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tcPr>
          <w:p w:rsidR="002069BC" w:rsidP="002069BC" w14:paraId="5C396CE7" w14:textId="428F2543">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tcPr>
          <w:p w:rsidR="002069BC" w:rsidP="002069BC" w14:paraId="2213B8EE" w14:textId="47A0B067">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tcPr>
          <w:p w:rsidR="002069BC" w:rsidRPr="00F37052" w:rsidP="002069BC" w14:paraId="69AA4239" w14:textId="77777777">
            <w:pPr>
              <w:jc w:val="right"/>
              <w:rPr>
                <w:rFonts w:ascii="Calibri" w:hAnsi="Calibri" w:cs="Calibri"/>
                <w:color w:val="000000"/>
                <w:sz w:val="16"/>
                <w:szCs w:val="16"/>
              </w:rPr>
            </w:pPr>
          </w:p>
        </w:tc>
        <w:tc>
          <w:tcPr>
            <w:tcW w:w="1697" w:type="dxa"/>
            <w:tcBorders>
              <w:top w:val="nil"/>
              <w:left w:val="nil"/>
              <w:bottom w:val="single" w:sz="4" w:space="0" w:color="auto"/>
              <w:right w:val="single" w:sz="8" w:space="0" w:color="auto"/>
            </w:tcBorders>
            <w:shd w:val="clear" w:color="auto" w:fill="auto"/>
            <w:noWrap/>
            <w:vAlign w:val="bottom"/>
          </w:tcPr>
          <w:p w:rsidR="002069BC" w:rsidRPr="00F37052" w:rsidP="002069BC" w14:paraId="43BB74A6" w14:textId="21BDF7CE">
            <w:pPr>
              <w:jc w:val="right"/>
              <w:rPr>
                <w:rFonts w:ascii="Calibri" w:hAnsi="Calibri" w:cs="Calibri"/>
                <w:color w:val="000000"/>
                <w:sz w:val="16"/>
                <w:szCs w:val="16"/>
              </w:rPr>
            </w:pPr>
            <w:r>
              <w:rPr>
                <w:rFonts w:ascii="Calibri" w:hAnsi="Calibri" w:cs="Calibri"/>
                <w:color w:val="000000"/>
                <w:sz w:val="16"/>
                <w:szCs w:val="16"/>
              </w:rPr>
              <w:t>$18,066</w:t>
            </w:r>
            <w:r w:rsidRPr="00F37052">
              <w:rPr>
                <w:rFonts w:ascii="Calibri" w:hAnsi="Calibri" w:cs="Calibri"/>
                <w:color w:val="000000"/>
                <w:sz w:val="16"/>
                <w:szCs w:val="16"/>
              </w:rPr>
              <w:t> </w:t>
            </w:r>
          </w:p>
        </w:tc>
      </w:tr>
      <w:tr w14:paraId="2E172B34"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hideMark/>
          </w:tcPr>
          <w:p w:rsidR="002069BC" w:rsidRPr="00F37052" w:rsidP="002069BC" w14:paraId="7DDF04B8" w14:textId="3942C954">
            <w:pPr>
              <w:rPr>
                <w:rFonts w:ascii="Calibri" w:hAnsi="Calibri" w:cs="Calibri"/>
                <w:color w:val="000000"/>
                <w:sz w:val="16"/>
                <w:szCs w:val="16"/>
              </w:rPr>
            </w:pPr>
            <w:r>
              <w:rPr>
                <w:rFonts w:ascii="Calibri" w:hAnsi="Calibri" w:cs="Calibri"/>
                <w:color w:val="000000"/>
                <w:sz w:val="16"/>
                <w:szCs w:val="16"/>
              </w:rPr>
              <w:t>GAR Oversight</w:t>
            </w:r>
          </w:p>
        </w:tc>
        <w:tc>
          <w:tcPr>
            <w:tcW w:w="1388"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6FC50BC4" w14:textId="58AC60B2">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75614108" w14:textId="63593E3C">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2F08C03A" w14:textId="581C4DD8">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7DC32F55"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2069BC" w:rsidRPr="00F37052" w:rsidP="002069BC" w14:paraId="43FBCDE9" w14:textId="7BB29E59">
            <w:pPr>
              <w:jc w:val="right"/>
              <w:rPr>
                <w:rFonts w:ascii="Calibri" w:hAnsi="Calibri" w:cs="Calibri"/>
                <w:color w:val="000000"/>
                <w:sz w:val="16"/>
                <w:szCs w:val="16"/>
              </w:rPr>
            </w:pPr>
            <w:r>
              <w:rPr>
                <w:rFonts w:ascii="Calibri" w:hAnsi="Calibri" w:cs="Calibri"/>
                <w:color w:val="000000"/>
                <w:sz w:val="16"/>
                <w:szCs w:val="16"/>
              </w:rPr>
              <w:t>$18,066</w:t>
            </w:r>
            <w:r w:rsidRPr="00F37052">
              <w:rPr>
                <w:rFonts w:ascii="Calibri" w:hAnsi="Calibri" w:cs="Calibri"/>
                <w:color w:val="000000"/>
                <w:sz w:val="16"/>
                <w:szCs w:val="16"/>
              </w:rPr>
              <w:t> </w:t>
            </w:r>
          </w:p>
        </w:tc>
      </w:tr>
      <w:tr w14:paraId="5CE0AB57"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hideMark/>
          </w:tcPr>
          <w:p w:rsidR="002069BC" w:rsidRPr="00F37052" w:rsidP="002069BC" w14:paraId="49E12F46" w14:textId="2C154731">
            <w:pPr>
              <w:rPr>
                <w:rFonts w:ascii="Calibri" w:hAnsi="Calibri" w:cs="Calibri"/>
                <w:color w:val="000000"/>
                <w:sz w:val="16"/>
                <w:szCs w:val="16"/>
              </w:rPr>
            </w:pPr>
            <w:r>
              <w:rPr>
                <w:rFonts w:ascii="Calibri" w:hAnsi="Calibri" w:cs="Calibri"/>
                <w:color w:val="000000"/>
                <w:sz w:val="16"/>
                <w:szCs w:val="16"/>
              </w:rPr>
              <w:t>SER Oversight</w:t>
            </w:r>
          </w:p>
        </w:tc>
        <w:tc>
          <w:tcPr>
            <w:tcW w:w="1388"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5EDF71E9" w14:textId="60DD0AEC">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3D21DD8C" w14:textId="59C13AC0">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573D1EE5" w14:textId="3E5CB616">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5ED72BA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2069BC" w:rsidRPr="00F37052" w:rsidP="002069BC" w14:paraId="7FB1A3AA" w14:textId="3A217F20">
            <w:pPr>
              <w:jc w:val="right"/>
              <w:rPr>
                <w:rFonts w:ascii="Calibri" w:hAnsi="Calibri" w:cs="Calibri"/>
                <w:color w:val="000000"/>
                <w:sz w:val="16"/>
                <w:szCs w:val="16"/>
              </w:rPr>
            </w:pPr>
            <w:r>
              <w:rPr>
                <w:rFonts w:ascii="Calibri" w:hAnsi="Calibri" w:cs="Calibri"/>
                <w:color w:val="000000"/>
                <w:sz w:val="16"/>
                <w:szCs w:val="16"/>
              </w:rPr>
              <w:t>$18,066</w:t>
            </w:r>
            <w:r w:rsidRPr="00F37052">
              <w:rPr>
                <w:rFonts w:ascii="Calibri" w:hAnsi="Calibri" w:cs="Calibri"/>
                <w:color w:val="000000"/>
                <w:sz w:val="16"/>
                <w:szCs w:val="16"/>
              </w:rPr>
              <w:t> </w:t>
            </w:r>
          </w:p>
        </w:tc>
      </w:tr>
      <w:tr w14:paraId="43AF00A0"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tcPr>
          <w:p w:rsidR="002069BC" w:rsidRPr="00F37052" w:rsidP="002069BC" w14:paraId="3271BAB4" w14:textId="148156A8">
            <w:pPr>
              <w:rPr>
                <w:rFonts w:ascii="Calibri" w:hAnsi="Calibri" w:cs="Calibri"/>
                <w:color w:val="000000"/>
                <w:sz w:val="16"/>
                <w:szCs w:val="16"/>
              </w:rPr>
            </w:pPr>
            <w:r>
              <w:rPr>
                <w:rFonts w:ascii="Calibri" w:hAnsi="Calibri" w:cs="Calibri"/>
                <w:color w:val="000000"/>
                <w:sz w:val="16"/>
                <w:szCs w:val="16"/>
              </w:rPr>
              <w:t>AKR Oversight</w:t>
            </w:r>
          </w:p>
        </w:tc>
        <w:tc>
          <w:tcPr>
            <w:tcW w:w="1388" w:type="dxa"/>
            <w:tcBorders>
              <w:top w:val="nil"/>
              <w:left w:val="nil"/>
              <w:bottom w:val="single" w:sz="4" w:space="0" w:color="auto"/>
              <w:right w:val="single" w:sz="4" w:space="0" w:color="auto"/>
            </w:tcBorders>
            <w:shd w:val="clear" w:color="auto" w:fill="auto"/>
            <w:noWrap/>
            <w:vAlign w:val="bottom"/>
          </w:tcPr>
          <w:p w:rsidR="002069BC" w:rsidRPr="00F37052" w:rsidP="002069BC" w14:paraId="5014653B" w14:textId="111E55AE">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tcPr>
          <w:p w:rsidR="002069BC" w:rsidRPr="00F37052" w:rsidP="002069BC" w14:paraId="397C5A1B" w14:textId="10449E6C">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tcPr>
          <w:p w:rsidR="002069BC" w:rsidRPr="00F37052" w:rsidP="002069BC" w14:paraId="72999732" w14:textId="6EAACFC5">
            <w:pPr>
              <w:jc w:val="right"/>
              <w:rPr>
                <w:rFonts w:ascii="Calibri" w:hAnsi="Calibri" w:cs="Calibri"/>
                <w:color w:val="000000"/>
                <w:sz w:val="16"/>
                <w:szCs w:val="16"/>
              </w:rPr>
            </w:pPr>
            <w:r>
              <w:rPr>
                <w:rFonts w:ascii="Calibri" w:hAnsi="Calibri" w:cs="Calibri"/>
                <w:color w:val="000000"/>
                <w:sz w:val="16"/>
                <w:szCs w:val="16"/>
              </w:rPr>
              <w:t>8.3%</w:t>
            </w:r>
          </w:p>
        </w:tc>
        <w:tc>
          <w:tcPr>
            <w:tcW w:w="1542" w:type="dxa"/>
            <w:tcBorders>
              <w:top w:val="nil"/>
              <w:left w:val="nil"/>
              <w:bottom w:val="single" w:sz="4" w:space="0" w:color="auto"/>
              <w:right w:val="single" w:sz="4" w:space="0" w:color="auto"/>
            </w:tcBorders>
            <w:shd w:val="clear" w:color="000000" w:fill="808080"/>
            <w:noWrap/>
            <w:vAlign w:val="bottom"/>
          </w:tcPr>
          <w:p w:rsidR="002069BC" w:rsidRPr="00F37052" w:rsidP="002069BC" w14:paraId="094A4DC2" w14:textId="77777777">
            <w:pPr>
              <w:jc w:val="right"/>
              <w:rPr>
                <w:rFonts w:ascii="Calibri" w:hAnsi="Calibri" w:cs="Calibri"/>
                <w:color w:val="000000"/>
                <w:sz w:val="16"/>
                <w:szCs w:val="16"/>
              </w:rPr>
            </w:pPr>
          </w:p>
        </w:tc>
        <w:tc>
          <w:tcPr>
            <w:tcW w:w="1697" w:type="dxa"/>
            <w:tcBorders>
              <w:top w:val="nil"/>
              <w:left w:val="nil"/>
              <w:bottom w:val="single" w:sz="4" w:space="0" w:color="auto"/>
              <w:right w:val="single" w:sz="8" w:space="0" w:color="auto"/>
            </w:tcBorders>
            <w:shd w:val="clear" w:color="auto" w:fill="auto"/>
            <w:noWrap/>
            <w:vAlign w:val="bottom"/>
          </w:tcPr>
          <w:p w:rsidR="002069BC" w:rsidRPr="00F37052" w:rsidP="00385F53" w14:paraId="0295B0DF" w14:textId="44E7ED06">
            <w:pPr>
              <w:jc w:val="right"/>
              <w:rPr>
                <w:rFonts w:ascii="Calibri" w:hAnsi="Calibri" w:cs="Calibri"/>
                <w:color w:val="000000"/>
                <w:sz w:val="16"/>
                <w:szCs w:val="16"/>
              </w:rPr>
            </w:pPr>
            <w:r>
              <w:rPr>
                <w:rFonts w:ascii="Calibri" w:hAnsi="Calibri" w:cs="Calibri"/>
                <w:color w:val="000000"/>
                <w:sz w:val="16"/>
                <w:szCs w:val="16"/>
              </w:rPr>
              <w:t>$9,033</w:t>
            </w:r>
          </w:p>
        </w:tc>
      </w:tr>
      <w:tr w14:paraId="4493362A"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tcPr>
          <w:p w:rsidR="002069BC" w:rsidRPr="00F37052" w:rsidP="002069BC" w14:paraId="2BB7DB03" w14:textId="4FD72FA1">
            <w:pPr>
              <w:rPr>
                <w:rFonts w:ascii="Calibri" w:hAnsi="Calibri" w:cs="Calibri"/>
                <w:color w:val="000000"/>
                <w:sz w:val="16"/>
                <w:szCs w:val="16"/>
              </w:rPr>
            </w:pPr>
            <w:r>
              <w:rPr>
                <w:rFonts w:ascii="Calibri" w:hAnsi="Calibri" w:cs="Calibri"/>
                <w:color w:val="000000"/>
                <w:sz w:val="16"/>
                <w:szCs w:val="16"/>
              </w:rPr>
              <w:t>PIR Oversight</w:t>
            </w:r>
          </w:p>
        </w:tc>
        <w:tc>
          <w:tcPr>
            <w:tcW w:w="1388" w:type="dxa"/>
            <w:tcBorders>
              <w:top w:val="nil"/>
              <w:left w:val="nil"/>
              <w:bottom w:val="single" w:sz="4" w:space="0" w:color="auto"/>
              <w:right w:val="single" w:sz="4" w:space="0" w:color="auto"/>
            </w:tcBorders>
            <w:shd w:val="clear" w:color="auto" w:fill="auto"/>
            <w:noWrap/>
            <w:vAlign w:val="bottom"/>
          </w:tcPr>
          <w:p w:rsidR="002069BC" w:rsidRPr="00F37052" w:rsidP="002069BC" w14:paraId="4759C740" w14:textId="70781924">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sz="4" w:space="0" w:color="auto"/>
              <w:right w:val="single" w:sz="4" w:space="0" w:color="auto"/>
            </w:tcBorders>
            <w:shd w:val="clear" w:color="auto" w:fill="auto"/>
            <w:noWrap/>
            <w:vAlign w:val="bottom"/>
          </w:tcPr>
          <w:p w:rsidR="002069BC" w:rsidRPr="00F37052" w:rsidP="002069BC" w14:paraId="5A3DAED3" w14:textId="1186DF76">
            <w:pPr>
              <w:jc w:val="right"/>
              <w:rPr>
                <w:rFonts w:ascii="Calibri" w:hAnsi="Calibri" w:cs="Calibri"/>
                <w:color w:val="000000"/>
                <w:sz w:val="16"/>
                <w:szCs w:val="16"/>
              </w:rPr>
            </w:pPr>
            <w:r>
              <w:rPr>
                <w:rFonts w:ascii="Calibri" w:hAnsi="Calibri" w:cs="Calibri"/>
                <w:color w:val="000000"/>
                <w:sz w:val="16"/>
                <w:szCs w:val="16"/>
              </w:rPr>
              <w:t>$108,830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tcPr>
          <w:p w:rsidR="002069BC" w:rsidRPr="00F37052" w:rsidP="002069BC" w14:paraId="0B68C6EC" w14:textId="4C954037">
            <w:pPr>
              <w:jc w:val="right"/>
              <w:rPr>
                <w:rFonts w:ascii="Calibri" w:hAnsi="Calibri" w:cs="Calibri"/>
                <w:color w:val="000000"/>
                <w:sz w:val="16"/>
                <w:szCs w:val="16"/>
              </w:rPr>
            </w:pPr>
            <w:r>
              <w:rPr>
                <w:rFonts w:ascii="Calibri" w:hAnsi="Calibri" w:cs="Calibri"/>
                <w:color w:val="000000"/>
                <w:sz w:val="16"/>
                <w:szCs w:val="16"/>
              </w:rPr>
              <w:t>8.3%</w:t>
            </w:r>
          </w:p>
        </w:tc>
        <w:tc>
          <w:tcPr>
            <w:tcW w:w="1542" w:type="dxa"/>
            <w:tcBorders>
              <w:top w:val="nil"/>
              <w:left w:val="nil"/>
              <w:bottom w:val="single" w:sz="4" w:space="0" w:color="auto"/>
              <w:right w:val="single" w:sz="4" w:space="0" w:color="auto"/>
            </w:tcBorders>
            <w:shd w:val="clear" w:color="000000" w:fill="808080"/>
            <w:noWrap/>
            <w:vAlign w:val="bottom"/>
          </w:tcPr>
          <w:p w:rsidR="002069BC" w:rsidRPr="00F37052" w:rsidP="002069BC" w14:paraId="4DA3FF49" w14:textId="77777777">
            <w:pPr>
              <w:jc w:val="right"/>
              <w:rPr>
                <w:rFonts w:ascii="Calibri" w:hAnsi="Calibri" w:cs="Calibri"/>
                <w:color w:val="000000"/>
                <w:sz w:val="16"/>
                <w:szCs w:val="16"/>
              </w:rPr>
            </w:pPr>
          </w:p>
        </w:tc>
        <w:tc>
          <w:tcPr>
            <w:tcW w:w="1697" w:type="dxa"/>
            <w:tcBorders>
              <w:top w:val="nil"/>
              <w:left w:val="nil"/>
              <w:bottom w:val="single" w:sz="4" w:space="0" w:color="auto"/>
              <w:right w:val="single" w:sz="8" w:space="0" w:color="auto"/>
            </w:tcBorders>
            <w:shd w:val="clear" w:color="auto" w:fill="auto"/>
            <w:noWrap/>
            <w:vAlign w:val="bottom"/>
          </w:tcPr>
          <w:p w:rsidR="002069BC" w:rsidRPr="00F37052" w:rsidP="002069BC" w14:paraId="27856C29" w14:textId="317A2771">
            <w:pPr>
              <w:jc w:val="right"/>
              <w:rPr>
                <w:rFonts w:ascii="Calibri" w:hAnsi="Calibri" w:cs="Calibri"/>
                <w:color w:val="000000"/>
                <w:sz w:val="16"/>
                <w:szCs w:val="16"/>
              </w:rPr>
            </w:pPr>
            <w:r>
              <w:rPr>
                <w:rFonts w:ascii="Calibri" w:hAnsi="Calibri" w:cs="Calibri"/>
                <w:color w:val="000000"/>
                <w:sz w:val="16"/>
                <w:szCs w:val="16"/>
              </w:rPr>
              <w:t>$9,033</w:t>
            </w:r>
          </w:p>
        </w:tc>
      </w:tr>
      <w:tr w14:paraId="3262F25B"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vAlign w:val="bottom"/>
            <w:hideMark/>
          </w:tcPr>
          <w:p w:rsidR="002069BC" w:rsidRPr="00F37052" w:rsidP="002069BC" w14:paraId="321A08BD" w14:textId="77777777">
            <w:pPr>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388"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2BCE1639"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1C376133" w14:textId="2709B64C">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1398A8DD" w14:textId="448EF240">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auto" w:fill="auto"/>
            <w:noWrap/>
            <w:vAlign w:val="bottom"/>
            <w:hideMark/>
          </w:tcPr>
          <w:p w:rsidR="002069BC" w:rsidRPr="00F37052" w:rsidP="002069BC" w14:paraId="6292D6C3" w14:textId="50BC883A">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2069BC" w:rsidRPr="00F37052" w:rsidP="002069BC" w14:paraId="3645E4B0" w14:textId="63B52989">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7B92170C"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hideMark/>
          </w:tcPr>
          <w:p w:rsidR="002069BC" w:rsidRPr="00F37052" w:rsidP="002069BC" w14:paraId="3D4E02E1" w14:textId="77777777">
            <w:pPr>
              <w:rPr>
                <w:rFonts w:ascii="Calibri" w:hAnsi="Calibri" w:cs="Calibri"/>
                <w:b/>
                <w:bCs/>
                <w:color w:val="000000"/>
                <w:sz w:val="16"/>
                <w:szCs w:val="16"/>
              </w:rPr>
            </w:pPr>
            <w:r w:rsidRPr="00F37052">
              <w:rPr>
                <w:rFonts w:ascii="Calibri" w:hAnsi="Calibri" w:cs="Calibri"/>
                <w:b/>
                <w:bCs/>
                <w:color w:val="000000"/>
                <w:sz w:val="16"/>
                <w:szCs w:val="16"/>
              </w:rPr>
              <w:t>Travel</w:t>
            </w:r>
          </w:p>
        </w:tc>
        <w:tc>
          <w:tcPr>
            <w:tcW w:w="1388"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74D15205"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1D44735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6608BAAC"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77EE46ED"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2069BC" w:rsidRPr="00F37052" w:rsidP="002069BC" w14:paraId="0B23E843" w14:textId="044817F3">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5E4B82DD" w14:textId="77777777" w:rsidTr="003E4BA9">
        <w:tblPrEx>
          <w:tblW w:w="8551" w:type="dxa"/>
          <w:jc w:val="center"/>
          <w:tblLook w:val="04A0"/>
        </w:tblPrEx>
        <w:trPr>
          <w:trHeight w:val="274"/>
          <w:jc w:val="center"/>
        </w:trPr>
        <w:tc>
          <w:tcPr>
            <w:tcW w:w="1688" w:type="dxa"/>
            <w:tcBorders>
              <w:top w:val="nil"/>
              <w:left w:val="single" w:sz="8" w:space="0" w:color="auto"/>
              <w:bottom w:val="single" w:sz="4" w:space="0" w:color="auto"/>
              <w:right w:val="single" w:sz="8" w:space="0" w:color="auto"/>
            </w:tcBorders>
            <w:shd w:val="clear" w:color="auto" w:fill="auto"/>
            <w:noWrap/>
            <w:vAlign w:val="bottom"/>
            <w:hideMark/>
          </w:tcPr>
          <w:p w:rsidR="002069BC" w:rsidRPr="00F37052" w:rsidP="002069BC" w14:paraId="2E8B16DB" w14:textId="77777777">
            <w:pPr>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388"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28F88DD3"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6265AF5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925"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7203A43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542" w:type="dxa"/>
            <w:tcBorders>
              <w:top w:val="nil"/>
              <w:left w:val="nil"/>
              <w:bottom w:val="single" w:sz="4" w:space="0" w:color="auto"/>
              <w:right w:val="single" w:sz="4" w:space="0" w:color="auto"/>
            </w:tcBorders>
            <w:shd w:val="clear" w:color="000000" w:fill="808080"/>
            <w:noWrap/>
            <w:vAlign w:val="bottom"/>
            <w:hideMark/>
          </w:tcPr>
          <w:p w:rsidR="002069BC" w:rsidRPr="00F37052" w:rsidP="002069BC" w14:paraId="10BEEFFA"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sz="4" w:space="0" w:color="auto"/>
              <w:right w:val="single" w:sz="8" w:space="0" w:color="auto"/>
            </w:tcBorders>
            <w:shd w:val="clear" w:color="auto" w:fill="auto"/>
            <w:noWrap/>
            <w:vAlign w:val="bottom"/>
            <w:hideMark/>
          </w:tcPr>
          <w:p w:rsidR="002069BC" w:rsidRPr="00F37052" w:rsidP="002069BC" w14:paraId="08090D2F" w14:textId="207F086D">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3B406392" w14:textId="77777777" w:rsidTr="003E4BA9">
        <w:tblPrEx>
          <w:tblW w:w="8551" w:type="dxa"/>
          <w:jc w:val="center"/>
          <w:tblLook w:val="04A0"/>
        </w:tblPrEx>
        <w:trPr>
          <w:trHeight w:val="288"/>
          <w:jc w:val="center"/>
        </w:trPr>
        <w:tc>
          <w:tcPr>
            <w:tcW w:w="1688" w:type="dxa"/>
            <w:tcBorders>
              <w:top w:val="single" w:sz="8" w:space="0" w:color="auto"/>
              <w:left w:val="single" w:sz="8" w:space="0" w:color="auto"/>
              <w:bottom w:val="single" w:sz="8" w:space="0" w:color="auto"/>
              <w:right w:val="single" w:sz="8" w:space="0" w:color="auto"/>
            </w:tcBorders>
            <w:shd w:val="clear" w:color="auto" w:fill="BDD6EE"/>
            <w:noWrap/>
            <w:vAlign w:val="bottom"/>
            <w:hideMark/>
          </w:tcPr>
          <w:p w:rsidR="002069BC" w:rsidRPr="00F37052" w:rsidP="002069BC" w14:paraId="6A307792" w14:textId="77777777">
            <w:pPr>
              <w:rPr>
                <w:rFonts w:ascii="Calibri" w:hAnsi="Calibri" w:cs="Calibri"/>
                <w:b/>
                <w:bCs/>
                <w:color w:val="000000"/>
                <w:sz w:val="16"/>
                <w:szCs w:val="16"/>
              </w:rPr>
            </w:pPr>
            <w:r w:rsidRPr="00F37052">
              <w:rPr>
                <w:rFonts w:ascii="Calibri" w:hAnsi="Calibri" w:cs="Calibri"/>
                <w:b/>
                <w:bCs/>
                <w:color w:val="000000"/>
                <w:sz w:val="16"/>
                <w:szCs w:val="16"/>
              </w:rPr>
              <w:t>TOTAL</w:t>
            </w:r>
          </w:p>
        </w:tc>
        <w:tc>
          <w:tcPr>
            <w:tcW w:w="1388" w:type="dxa"/>
            <w:tcBorders>
              <w:top w:val="single" w:sz="8" w:space="0" w:color="auto"/>
              <w:left w:val="nil"/>
              <w:bottom w:val="single" w:sz="8" w:space="0" w:color="auto"/>
              <w:right w:val="single" w:sz="8" w:space="0" w:color="auto"/>
            </w:tcBorders>
            <w:shd w:val="clear" w:color="000000" w:fill="808080"/>
            <w:noWrap/>
            <w:vAlign w:val="bottom"/>
            <w:hideMark/>
          </w:tcPr>
          <w:p w:rsidR="002069BC" w:rsidRPr="00F37052" w:rsidP="002069BC" w14:paraId="6068085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311" w:type="dxa"/>
            <w:tcBorders>
              <w:top w:val="single" w:sz="8" w:space="0" w:color="auto"/>
              <w:left w:val="nil"/>
              <w:bottom w:val="single" w:sz="8" w:space="0" w:color="auto"/>
              <w:right w:val="single" w:sz="8" w:space="0" w:color="auto"/>
            </w:tcBorders>
            <w:shd w:val="clear" w:color="auto" w:fill="BDD6EE"/>
            <w:noWrap/>
            <w:vAlign w:val="bottom"/>
            <w:hideMark/>
          </w:tcPr>
          <w:p w:rsidR="002069BC" w:rsidRPr="00F37052" w:rsidP="002069BC" w14:paraId="1213C19A"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925" w:type="dxa"/>
            <w:tcBorders>
              <w:top w:val="single" w:sz="8" w:space="0" w:color="auto"/>
              <w:left w:val="nil"/>
              <w:bottom w:val="single" w:sz="8" w:space="0" w:color="auto"/>
              <w:right w:val="single" w:sz="8" w:space="0" w:color="auto"/>
            </w:tcBorders>
            <w:shd w:val="clear" w:color="000000" w:fill="757171"/>
            <w:noWrap/>
            <w:vAlign w:val="bottom"/>
            <w:hideMark/>
          </w:tcPr>
          <w:p w:rsidR="002069BC" w:rsidRPr="00F37052" w:rsidP="002069BC" w14:paraId="1AF6F0F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542" w:type="dxa"/>
            <w:tcBorders>
              <w:top w:val="single" w:sz="8" w:space="0" w:color="auto"/>
              <w:left w:val="nil"/>
              <w:bottom w:val="single" w:sz="8" w:space="0" w:color="auto"/>
              <w:right w:val="single" w:sz="8" w:space="0" w:color="auto"/>
            </w:tcBorders>
            <w:shd w:val="clear" w:color="auto" w:fill="BDD6EE"/>
            <w:noWrap/>
            <w:vAlign w:val="bottom"/>
            <w:hideMark/>
          </w:tcPr>
          <w:p w:rsidR="002069BC" w:rsidRPr="00F37052" w:rsidP="002069BC" w14:paraId="0E85DF5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697" w:type="dxa"/>
            <w:tcBorders>
              <w:top w:val="single" w:sz="8" w:space="0" w:color="auto"/>
              <w:left w:val="nil"/>
              <w:bottom w:val="single" w:sz="8" w:space="0" w:color="auto"/>
              <w:right w:val="single" w:sz="8" w:space="0" w:color="auto"/>
            </w:tcBorders>
            <w:shd w:val="clear" w:color="auto" w:fill="BDD6EE"/>
            <w:noWrap/>
            <w:vAlign w:val="bottom"/>
            <w:hideMark/>
          </w:tcPr>
          <w:p w:rsidR="002069BC" w:rsidRPr="00F37052" w:rsidP="002069BC" w14:paraId="40D4B569" w14:textId="080DA200">
            <w:pPr>
              <w:jc w:val="right"/>
              <w:rPr>
                <w:rFonts w:ascii="Calibri" w:hAnsi="Calibri" w:cs="Calibri"/>
                <w:b/>
                <w:color w:val="000000"/>
                <w:sz w:val="16"/>
                <w:szCs w:val="16"/>
              </w:rPr>
            </w:pPr>
            <w:r w:rsidRPr="00F37052">
              <w:rPr>
                <w:rFonts w:ascii="Calibri" w:hAnsi="Calibri" w:cs="Calibri"/>
                <w:b/>
                <w:color w:val="000000"/>
                <w:sz w:val="16"/>
                <w:szCs w:val="16"/>
              </w:rPr>
              <w:t> </w:t>
            </w:r>
            <w:r w:rsidR="00385F53">
              <w:rPr>
                <w:rFonts w:ascii="Calibri" w:hAnsi="Calibri" w:cs="Calibri"/>
                <w:b/>
                <w:color w:val="000000"/>
                <w:sz w:val="16"/>
                <w:szCs w:val="16"/>
              </w:rPr>
              <w:t>$</w:t>
            </w:r>
            <w:r>
              <w:rPr>
                <w:rFonts w:ascii="Calibri" w:hAnsi="Calibri" w:cs="Calibri"/>
                <w:b/>
                <w:color w:val="000000"/>
                <w:sz w:val="16"/>
                <w:szCs w:val="16"/>
              </w:rPr>
              <w:t>117,538</w:t>
            </w:r>
          </w:p>
        </w:tc>
      </w:tr>
    </w:tbl>
    <w:p w:rsidR="003E4BA9" w:rsidRPr="003E4BA9" w:rsidP="003E4BA9" w14:paraId="4E5BD8E9" w14:textId="77777777">
      <w:pPr>
        <w:pStyle w:val="Default"/>
      </w:pPr>
    </w:p>
    <w:p w:rsidR="00A955B7" w:rsidRPr="00E253D1" w:rsidP="00A955B7" w14:paraId="5C8E965C" w14:textId="77777777">
      <w:pPr>
        <w:pStyle w:val="Default"/>
        <w:rPr>
          <w:rFonts w:ascii="Times New Roman" w:hAnsi="Times New Roman" w:cs="Times New Roman"/>
        </w:rPr>
      </w:pPr>
    </w:p>
    <w:p w:rsidR="00C2777B" w:rsidRPr="00660972" w:rsidP="00660972" w14:paraId="652B1DAA" w14:textId="7AC21C10">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Explain the reasons for any program changes or adjustments reported. </w:t>
      </w:r>
    </w:p>
    <w:p w:rsidR="00A955B7" w:rsidRPr="00E253D1" w:rsidP="00A955B7" w14:paraId="421DDF38" w14:textId="77777777">
      <w:pPr>
        <w:pStyle w:val="Default"/>
        <w:rPr>
          <w:rFonts w:ascii="Times New Roman" w:hAnsi="Times New Roman" w:cs="Times New Roman"/>
        </w:rPr>
      </w:pPr>
    </w:p>
    <w:p w:rsidR="00B40069" w:rsidP="00A955B7" w14:paraId="3E146899" w14:textId="1BB4B9CF">
      <w:pPr>
        <w:pStyle w:val="Default"/>
        <w:rPr>
          <w:rFonts w:ascii="Times New Roman" w:hAnsi="Times New Roman" w:cs="Times New Roman"/>
        </w:rPr>
      </w:pPr>
      <w:r>
        <w:rPr>
          <w:rFonts w:ascii="Times New Roman" w:hAnsi="Times New Roman" w:cs="Times New Roman"/>
        </w:rPr>
        <w:t>There are no changes to this information collection.</w:t>
      </w:r>
    </w:p>
    <w:p w:rsidR="003E4BA9" w:rsidP="00B40069" w14:paraId="41DA7B82" w14:textId="6EE5E416">
      <w:pPr>
        <w:pStyle w:val="Default"/>
        <w:rPr>
          <w:rFonts w:ascii="Times New Roman" w:hAnsi="Times New Roman" w:cs="Times New Roman"/>
        </w:rPr>
      </w:pPr>
    </w:p>
    <w:p w:rsidR="00C2777B" w:rsidRPr="00660972" w:rsidP="00660972" w14:paraId="11677179" w14:textId="5EE9FECB">
      <w:pPr>
        <w:pStyle w:val="NormalWeb"/>
        <w:numPr>
          <w:ilvl w:val="0"/>
          <w:numId w:val="3"/>
        </w:numPr>
        <w:spacing w:before="182" w:beforeAutospacing="0" w:after="0" w:afterAutospacing="0"/>
        <w:ind w:left="360"/>
        <w:textAlignment w:val="baseline"/>
        <w:rPr>
          <w:b/>
          <w:bCs/>
          <w:color w:val="000000"/>
        </w:rPr>
      </w:pPr>
      <w:r>
        <w:rPr>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55B7" w:rsidRPr="00E253D1" w:rsidP="00A955B7" w14:paraId="4878DAF1" w14:textId="77777777">
      <w:pPr>
        <w:pStyle w:val="Default"/>
        <w:rPr>
          <w:rFonts w:ascii="Times New Roman" w:hAnsi="Times New Roman" w:cs="Times New Roman"/>
        </w:rPr>
      </w:pPr>
    </w:p>
    <w:p w:rsidR="00C2777B" w:rsidRPr="00E253D1" w:rsidP="00A955B7" w14:paraId="5F741AED" w14:textId="77777777">
      <w:pPr>
        <w:pStyle w:val="CM12"/>
        <w:spacing w:after="0" w:line="280" w:lineRule="atLeast"/>
        <w:ind w:right="230"/>
        <w:rPr>
          <w:rFonts w:ascii="Times New Roman" w:hAnsi="Times New Roman"/>
        </w:rPr>
      </w:pPr>
      <w:r w:rsidRPr="00E253D1">
        <w:rPr>
          <w:rFonts w:ascii="Times New Roman" w:hAnsi="Times New Roman"/>
        </w:rPr>
        <w:t>Data from the Marine Mammal Stranding form and the Marine Mammal Disposition form will be entered into the database, reviewed by the NMFS regional stranding coordinators, summarized, and compiled</w:t>
      </w:r>
      <w:r w:rsidR="00C013B8">
        <w:rPr>
          <w:rFonts w:ascii="Times New Roman" w:hAnsi="Times New Roman"/>
        </w:rPr>
        <w:t xml:space="preserve">. </w:t>
      </w:r>
      <w:r w:rsidRPr="00E253D1">
        <w:rPr>
          <w:rFonts w:ascii="Times New Roman" w:hAnsi="Times New Roman"/>
        </w:rPr>
        <w:t xml:space="preserve">The regional stranding coordinators will summarize and provide data upon written request. Information may also be used as baselines for comparisons of die-offs and may be included in official NMFS </w:t>
      </w:r>
      <w:r w:rsidRPr="00E253D1" w:rsidR="004C4280">
        <w:rPr>
          <w:rFonts w:ascii="Times New Roman" w:hAnsi="Times New Roman"/>
        </w:rPr>
        <w:t>technical</w:t>
      </w:r>
      <w:r w:rsidRPr="00E253D1">
        <w:rPr>
          <w:rFonts w:ascii="Times New Roman" w:hAnsi="Times New Roman"/>
        </w:rPr>
        <w:t xml:space="preserve"> memos, peer reviewed publications, and posted on the NMFS </w:t>
      </w:r>
      <w:r w:rsidRPr="00E253D1" w:rsidR="009A6DC3">
        <w:rPr>
          <w:rFonts w:ascii="Times New Roman" w:hAnsi="Times New Roman"/>
        </w:rPr>
        <w:t>Web site:</w:t>
      </w:r>
      <w:r w:rsidR="003472C4">
        <w:rPr>
          <w:rFonts w:ascii="Times New Roman" w:hAnsi="Times New Roman"/>
        </w:rPr>
        <w:t xml:space="preserve"> </w:t>
      </w:r>
      <w:hyperlink r:id="rId12" w:history="1">
        <w:r w:rsidRPr="00E253D1" w:rsidR="00C24007">
          <w:rPr>
            <w:rStyle w:val="Hyperlink"/>
            <w:rFonts w:ascii="Times New Roman" w:hAnsi="Times New Roman"/>
          </w:rPr>
          <w:t>http://www.nmfs.noaa.gov/pr/health/publications.htm</w:t>
        </w:r>
      </w:hyperlink>
      <w:r w:rsidRPr="00E253D1" w:rsidR="00C24007">
        <w:rPr>
          <w:rFonts w:ascii="Times New Roman" w:hAnsi="Times New Roman"/>
        </w:rPr>
        <w:t xml:space="preserve"> .</w:t>
      </w:r>
    </w:p>
    <w:p w:rsidR="00A955B7" w:rsidRPr="00E253D1" w:rsidP="00A955B7" w14:paraId="0439EBF7" w14:textId="77777777">
      <w:pPr>
        <w:pStyle w:val="Default"/>
        <w:rPr>
          <w:rFonts w:ascii="Times New Roman" w:hAnsi="Times New Roman" w:cs="Times New Roman"/>
        </w:rPr>
      </w:pPr>
    </w:p>
    <w:p w:rsidR="00C2777B" w:rsidRPr="00660972" w:rsidP="00660972" w14:paraId="3D1E0B7E" w14:textId="42A1F80F">
      <w:pPr>
        <w:pStyle w:val="NormalWeb"/>
        <w:numPr>
          <w:ilvl w:val="0"/>
          <w:numId w:val="3"/>
        </w:numPr>
        <w:spacing w:before="182" w:beforeAutospacing="0" w:after="0" w:afterAutospacing="0"/>
        <w:ind w:left="360"/>
        <w:textAlignment w:val="baseline"/>
        <w:rPr>
          <w:b/>
          <w:bCs/>
          <w:color w:val="000000"/>
        </w:rPr>
      </w:pPr>
      <w:r w:rsidRPr="00660972">
        <w:rPr>
          <w:b/>
          <w:bCs/>
          <w:color w:val="000000"/>
        </w:rPr>
        <w:t xml:space="preserve">If seeking approval to not display the expiration date for OMB approval of the information collection, explain the reasons why display would be inappropriate. </w:t>
      </w:r>
    </w:p>
    <w:p w:rsidR="00A955B7" w:rsidRPr="00E253D1" w:rsidP="00A955B7" w14:paraId="44ABB36B" w14:textId="77777777">
      <w:pPr>
        <w:pStyle w:val="Default"/>
        <w:rPr>
          <w:rFonts w:ascii="Times New Roman" w:hAnsi="Times New Roman" w:cs="Times New Roman"/>
        </w:rPr>
      </w:pPr>
    </w:p>
    <w:p w:rsidR="00593981" w:rsidP="00593981" w14:paraId="66B2E4A7" w14:textId="75B8E573">
      <w:r>
        <w:t xml:space="preserve">NMFS is not seeking approval to not display the expiration date. </w:t>
      </w:r>
    </w:p>
    <w:p w:rsidR="00A955B7" w:rsidRPr="00E253D1" w:rsidP="00A955B7" w14:paraId="7B2B45A3" w14:textId="77777777">
      <w:pPr>
        <w:pStyle w:val="Default"/>
        <w:rPr>
          <w:rFonts w:ascii="Times New Roman" w:hAnsi="Times New Roman" w:cs="Times New Roman"/>
        </w:rPr>
      </w:pPr>
    </w:p>
    <w:p w:rsidR="00C2777B" w:rsidRPr="00660972" w:rsidP="00660972" w14:paraId="461B7533" w14:textId="7C4AF706">
      <w:pPr>
        <w:pStyle w:val="NormalWeb"/>
        <w:numPr>
          <w:ilvl w:val="0"/>
          <w:numId w:val="3"/>
        </w:numPr>
        <w:spacing w:before="182" w:beforeAutospacing="0" w:after="0" w:afterAutospacing="0"/>
        <w:ind w:left="360"/>
        <w:textAlignment w:val="baseline"/>
        <w:rPr>
          <w:b/>
          <w:bCs/>
          <w:color w:val="000000"/>
        </w:rPr>
      </w:pPr>
      <w:r>
        <w:rPr>
          <w:b/>
          <w:bCs/>
          <w:color w:val="000000"/>
        </w:rPr>
        <w:t>Explain each exception to the certification statement identified in “Certification for Paperwork Reduction Act Submissions."</w:t>
      </w:r>
    </w:p>
    <w:p w:rsidR="00A955B7" w:rsidRPr="00E253D1" w:rsidP="00A955B7" w14:paraId="266C1074" w14:textId="77777777">
      <w:pPr>
        <w:pStyle w:val="Default"/>
        <w:rPr>
          <w:rFonts w:ascii="Times New Roman" w:hAnsi="Times New Roman" w:cs="Times New Roman"/>
        </w:rPr>
      </w:pPr>
    </w:p>
    <w:p w:rsidR="00593981" w:rsidP="00593981" w14:paraId="02A71840" w14:textId="196440F6">
      <w:r w:rsidRPr="00B71B56">
        <w:t>The agency certifies compliance with 5 CFR 1320.9 and the related provisions of 5 CFR 1320.8(b)(3).</w:t>
      </w:r>
    </w:p>
    <w:p w:rsidR="00C2777B" w14:paraId="5000C2C0" w14:textId="77777777">
      <w:pPr>
        <w:pStyle w:val="Default"/>
        <w:rPr>
          <w:rFonts w:ascii="Times New Roman" w:hAnsi="Times New Roman" w:cs="Times New Roman"/>
          <w:color w:val="auto"/>
        </w:rPr>
      </w:pPr>
    </w:p>
    <w:p w:rsidR="00535127" w:rsidRPr="00E253D1" w14:paraId="483C16AB" w14:textId="77777777">
      <w:pPr>
        <w:pStyle w:val="Default"/>
        <w:rPr>
          <w:rFonts w:ascii="Times New Roman" w:hAnsi="Times New Roman" w:cs="Times New Roman"/>
          <w:color w:val="auto"/>
        </w:rPr>
      </w:pPr>
    </w:p>
    <w:p w:rsidR="00C2777B" w:rsidRPr="00E253D1" w:rsidP="00C2777B" w14:paraId="29D7FDB3" w14:textId="7A4672CE">
      <w:pPr>
        <w:pStyle w:val="Default"/>
        <w:rPr>
          <w:rFonts w:ascii="Times New Roman" w:hAnsi="Times New Roman" w:cs="Times New Roman"/>
          <w:color w:val="auto"/>
        </w:rPr>
      </w:pPr>
    </w:p>
    <w:sectPr w:rsidSect="00D4643A">
      <w:pgSz w:w="12240" w:h="15840"/>
      <w:pgMar w:top="1420" w:right="900" w:bottom="100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GJE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A559533"/>
    <w:multiLevelType w:val="hybridMultilevel"/>
    <w:tmpl w:val="83FAB72B"/>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17C50383"/>
    <w:multiLevelType w:val="multilevel"/>
    <w:tmpl w:val="C756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D6C2A"/>
    <w:multiLevelType w:val="multilevel"/>
    <w:tmpl w:val="C756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7111A5"/>
    <w:multiLevelType w:val="hybridMultilevel"/>
    <w:tmpl w:val="39024A26"/>
    <w:lvl w:ilvl="0">
      <w:start w:val="1"/>
      <w:numFmt w:val="bullet"/>
      <w:lvlText w:val=""/>
      <w:lvlJc w:val="left"/>
      <w:pPr>
        <w:ind w:left="780" w:hanging="4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AF7116"/>
    <w:multiLevelType w:val="multilevel"/>
    <w:tmpl w:val="C756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7B"/>
    <w:rsid w:val="000065F8"/>
    <w:rsid w:val="00015277"/>
    <w:rsid w:val="00031E66"/>
    <w:rsid w:val="000626F6"/>
    <w:rsid w:val="000729A3"/>
    <w:rsid w:val="00086F6C"/>
    <w:rsid w:val="00087B58"/>
    <w:rsid w:val="0009456A"/>
    <w:rsid w:val="000E31E8"/>
    <w:rsid w:val="000F5ED6"/>
    <w:rsid w:val="0013293C"/>
    <w:rsid w:val="0013340E"/>
    <w:rsid w:val="001511AA"/>
    <w:rsid w:val="001571B6"/>
    <w:rsid w:val="00167B01"/>
    <w:rsid w:val="00173373"/>
    <w:rsid w:val="001742AE"/>
    <w:rsid w:val="0018025E"/>
    <w:rsid w:val="00181272"/>
    <w:rsid w:val="001928CE"/>
    <w:rsid w:val="001C1D9C"/>
    <w:rsid w:val="001C2182"/>
    <w:rsid w:val="001D34B4"/>
    <w:rsid w:val="001E4B40"/>
    <w:rsid w:val="001F2981"/>
    <w:rsid w:val="00200B5A"/>
    <w:rsid w:val="002069BC"/>
    <w:rsid w:val="002239AC"/>
    <w:rsid w:val="00223A8A"/>
    <w:rsid w:val="00234605"/>
    <w:rsid w:val="00240B42"/>
    <w:rsid w:val="002521DE"/>
    <w:rsid w:val="00273F2E"/>
    <w:rsid w:val="00285192"/>
    <w:rsid w:val="002A069D"/>
    <w:rsid w:val="002A1AD7"/>
    <w:rsid w:val="002C4D0D"/>
    <w:rsid w:val="002D05CA"/>
    <w:rsid w:val="002E7ADA"/>
    <w:rsid w:val="002F0361"/>
    <w:rsid w:val="002F62E2"/>
    <w:rsid w:val="00314097"/>
    <w:rsid w:val="00314927"/>
    <w:rsid w:val="003472C4"/>
    <w:rsid w:val="0034770F"/>
    <w:rsid w:val="00367570"/>
    <w:rsid w:val="003746E6"/>
    <w:rsid w:val="00383D02"/>
    <w:rsid w:val="00385A1D"/>
    <w:rsid w:val="00385F53"/>
    <w:rsid w:val="00392EB4"/>
    <w:rsid w:val="003A1E11"/>
    <w:rsid w:val="003E4BA9"/>
    <w:rsid w:val="00406839"/>
    <w:rsid w:val="00413E2D"/>
    <w:rsid w:val="00430B2D"/>
    <w:rsid w:val="0046102E"/>
    <w:rsid w:val="004747DD"/>
    <w:rsid w:val="004803CF"/>
    <w:rsid w:val="00483919"/>
    <w:rsid w:val="00487F6A"/>
    <w:rsid w:val="004C4280"/>
    <w:rsid w:val="004C7235"/>
    <w:rsid w:val="004D2360"/>
    <w:rsid w:val="004D2DE9"/>
    <w:rsid w:val="004F3726"/>
    <w:rsid w:val="0050143C"/>
    <w:rsid w:val="005130D9"/>
    <w:rsid w:val="00535127"/>
    <w:rsid w:val="005607EC"/>
    <w:rsid w:val="00585E8F"/>
    <w:rsid w:val="00593981"/>
    <w:rsid w:val="00595B50"/>
    <w:rsid w:val="005963DA"/>
    <w:rsid w:val="005A0D51"/>
    <w:rsid w:val="005B087C"/>
    <w:rsid w:val="005B2AAD"/>
    <w:rsid w:val="005C6C01"/>
    <w:rsid w:val="005D009F"/>
    <w:rsid w:val="005E1083"/>
    <w:rsid w:val="005F4311"/>
    <w:rsid w:val="006207EB"/>
    <w:rsid w:val="0062080F"/>
    <w:rsid w:val="00620C9A"/>
    <w:rsid w:val="00626242"/>
    <w:rsid w:val="00634DC1"/>
    <w:rsid w:val="00641792"/>
    <w:rsid w:val="00653C97"/>
    <w:rsid w:val="00655FF9"/>
    <w:rsid w:val="00660972"/>
    <w:rsid w:val="0068184C"/>
    <w:rsid w:val="006838DD"/>
    <w:rsid w:val="006A2838"/>
    <w:rsid w:val="006A6FB0"/>
    <w:rsid w:val="006B6646"/>
    <w:rsid w:val="006C22F3"/>
    <w:rsid w:val="006C3099"/>
    <w:rsid w:val="006D0F59"/>
    <w:rsid w:val="006D5525"/>
    <w:rsid w:val="006D6ABE"/>
    <w:rsid w:val="006D6C16"/>
    <w:rsid w:val="006E75ED"/>
    <w:rsid w:val="006F1C13"/>
    <w:rsid w:val="006F7E9C"/>
    <w:rsid w:val="0070614C"/>
    <w:rsid w:val="00710A33"/>
    <w:rsid w:val="00721B66"/>
    <w:rsid w:val="0075359C"/>
    <w:rsid w:val="00767C48"/>
    <w:rsid w:val="00772E58"/>
    <w:rsid w:val="00777488"/>
    <w:rsid w:val="0079052D"/>
    <w:rsid w:val="007978D6"/>
    <w:rsid w:val="007A6947"/>
    <w:rsid w:val="007B0086"/>
    <w:rsid w:val="007B47CD"/>
    <w:rsid w:val="007B562F"/>
    <w:rsid w:val="007C09F7"/>
    <w:rsid w:val="007C5BCE"/>
    <w:rsid w:val="007D0ECE"/>
    <w:rsid w:val="007D4156"/>
    <w:rsid w:val="007D66F6"/>
    <w:rsid w:val="007D78B0"/>
    <w:rsid w:val="007E2E32"/>
    <w:rsid w:val="007F34D9"/>
    <w:rsid w:val="00804882"/>
    <w:rsid w:val="00804FCF"/>
    <w:rsid w:val="008050EF"/>
    <w:rsid w:val="00806001"/>
    <w:rsid w:val="008106AA"/>
    <w:rsid w:val="00816BFB"/>
    <w:rsid w:val="008234C9"/>
    <w:rsid w:val="008239E4"/>
    <w:rsid w:val="00823EF3"/>
    <w:rsid w:val="00825787"/>
    <w:rsid w:val="008372EE"/>
    <w:rsid w:val="00842219"/>
    <w:rsid w:val="00857E52"/>
    <w:rsid w:val="00870F8F"/>
    <w:rsid w:val="00877E87"/>
    <w:rsid w:val="0088755D"/>
    <w:rsid w:val="0088755F"/>
    <w:rsid w:val="008A28AA"/>
    <w:rsid w:val="008E4F0D"/>
    <w:rsid w:val="008F78D1"/>
    <w:rsid w:val="00912DF9"/>
    <w:rsid w:val="00913984"/>
    <w:rsid w:val="00947EC0"/>
    <w:rsid w:val="00963701"/>
    <w:rsid w:val="00964048"/>
    <w:rsid w:val="00965F5E"/>
    <w:rsid w:val="009746F3"/>
    <w:rsid w:val="00977422"/>
    <w:rsid w:val="00981192"/>
    <w:rsid w:val="00990A28"/>
    <w:rsid w:val="009A6DC3"/>
    <w:rsid w:val="009B0E56"/>
    <w:rsid w:val="009E263C"/>
    <w:rsid w:val="009E34C6"/>
    <w:rsid w:val="009F5AB3"/>
    <w:rsid w:val="009F6841"/>
    <w:rsid w:val="009F7D90"/>
    <w:rsid w:val="00A07E11"/>
    <w:rsid w:val="00A1121A"/>
    <w:rsid w:val="00A2332C"/>
    <w:rsid w:val="00A31FC9"/>
    <w:rsid w:val="00A37866"/>
    <w:rsid w:val="00A44248"/>
    <w:rsid w:val="00A577A6"/>
    <w:rsid w:val="00A60B3B"/>
    <w:rsid w:val="00A645E7"/>
    <w:rsid w:val="00A651F3"/>
    <w:rsid w:val="00A73DC4"/>
    <w:rsid w:val="00A90633"/>
    <w:rsid w:val="00A955B7"/>
    <w:rsid w:val="00AB3ABD"/>
    <w:rsid w:val="00AD0DB5"/>
    <w:rsid w:val="00AE3830"/>
    <w:rsid w:val="00AE4DBE"/>
    <w:rsid w:val="00B02244"/>
    <w:rsid w:val="00B06D14"/>
    <w:rsid w:val="00B07ECD"/>
    <w:rsid w:val="00B10DB9"/>
    <w:rsid w:val="00B40069"/>
    <w:rsid w:val="00B430CF"/>
    <w:rsid w:val="00B50AB3"/>
    <w:rsid w:val="00B62317"/>
    <w:rsid w:val="00B6774D"/>
    <w:rsid w:val="00B701E8"/>
    <w:rsid w:val="00B71B56"/>
    <w:rsid w:val="00B72724"/>
    <w:rsid w:val="00B976DA"/>
    <w:rsid w:val="00BA76C9"/>
    <w:rsid w:val="00BB4117"/>
    <w:rsid w:val="00BB4724"/>
    <w:rsid w:val="00BC3E15"/>
    <w:rsid w:val="00BD2DD5"/>
    <w:rsid w:val="00BD4D7E"/>
    <w:rsid w:val="00BF5B17"/>
    <w:rsid w:val="00C013B8"/>
    <w:rsid w:val="00C0440A"/>
    <w:rsid w:val="00C0786D"/>
    <w:rsid w:val="00C24007"/>
    <w:rsid w:val="00C2777B"/>
    <w:rsid w:val="00C37507"/>
    <w:rsid w:val="00C376C7"/>
    <w:rsid w:val="00C57F70"/>
    <w:rsid w:val="00C76143"/>
    <w:rsid w:val="00C80EF1"/>
    <w:rsid w:val="00C863EC"/>
    <w:rsid w:val="00C94C51"/>
    <w:rsid w:val="00CE1035"/>
    <w:rsid w:val="00CE435A"/>
    <w:rsid w:val="00CE637E"/>
    <w:rsid w:val="00D05099"/>
    <w:rsid w:val="00D069A2"/>
    <w:rsid w:val="00D11689"/>
    <w:rsid w:val="00D34871"/>
    <w:rsid w:val="00D37708"/>
    <w:rsid w:val="00D4643A"/>
    <w:rsid w:val="00D5377F"/>
    <w:rsid w:val="00D74934"/>
    <w:rsid w:val="00D77522"/>
    <w:rsid w:val="00D8211A"/>
    <w:rsid w:val="00DA3DFC"/>
    <w:rsid w:val="00DB2ADF"/>
    <w:rsid w:val="00DE307A"/>
    <w:rsid w:val="00DF5A8E"/>
    <w:rsid w:val="00E01149"/>
    <w:rsid w:val="00E253D1"/>
    <w:rsid w:val="00E279C3"/>
    <w:rsid w:val="00E46FD1"/>
    <w:rsid w:val="00E56EE2"/>
    <w:rsid w:val="00E60D69"/>
    <w:rsid w:val="00E93123"/>
    <w:rsid w:val="00EA14CB"/>
    <w:rsid w:val="00EC3C6C"/>
    <w:rsid w:val="00ED14C2"/>
    <w:rsid w:val="00ED42B9"/>
    <w:rsid w:val="00EE1842"/>
    <w:rsid w:val="00F2287D"/>
    <w:rsid w:val="00F255C4"/>
    <w:rsid w:val="00F3035B"/>
    <w:rsid w:val="00F32F81"/>
    <w:rsid w:val="00F37052"/>
    <w:rsid w:val="00F74EE0"/>
    <w:rsid w:val="00F92544"/>
    <w:rsid w:val="00F947E5"/>
    <w:rsid w:val="00FB5C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CEB237"/>
  <w15:chartTrackingRefBased/>
  <w15:docId w15:val="{B7F6F6FA-D2EB-4482-AA42-B6EE2F36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3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D2360"/>
    <w:pPr>
      <w:widowControl w:val="0"/>
      <w:autoSpaceDE w:val="0"/>
      <w:autoSpaceDN w:val="0"/>
      <w:adjustRightInd w:val="0"/>
    </w:pPr>
    <w:rPr>
      <w:rFonts w:ascii="ABGJED+TimesNewRoman,Bold" w:hAnsi="ABGJED+TimesNewRoman,Bold" w:cs="ABGJED+TimesNewRoman,Bold"/>
      <w:color w:val="000000"/>
      <w:sz w:val="24"/>
      <w:szCs w:val="24"/>
    </w:rPr>
  </w:style>
  <w:style w:type="paragraph" w:customStyle="1" w:styleId="CM9">
    <w:name w:val="CM9"/>
    <w:basedOn w:val="Default"/>
    <w:next w:val="Default"/>
    <w:uiPriority w:val="99"/>
    <w:rsid w:val="004D2360"/>
    <w:pPr>
      <w:spacing w:after="538"/>
    </w:pPr>
    <w:rPr>
      <w:rFonts w:cs="Times New Roman"/>
      <w:color w:val="auto"/>
    </w:rPr>
  </w:style>
  <w:style w:type="paragraph" w:customStyle="1" w:styleId="CM1">
    <w:name w:val="CM1"/>
    <w:basedOn w:val="Default"/>
    <w:next w:val="Default"/>
    <w:uiPriority w:val="99"/>
    <w:rsid w:val="004D2360"/>
    <w:pPr>
      <w:spacing w:line="280" w:lineRule="atLeast"/>
    </w:pPr>
    <w:rPr>
      <w:rFonts w:cs="Times New Roman"/>
      <w:color w:val="auto"/>
    </w:rPr>
  </w:style>
  <w:style w:type="paragraph" w:customStyle="1" w:styleId="CM10">
    <w:name w:val="CM10"/>
    <w:basedOn w:val="Default"/>
    <w:next w:val="Default"/>
    <w:uiPriority w:val="99"/>
    <w:rsid w:val="004D2360"/>
    <w:pPr>
      <w:spacing w:after="278"/>
    </w:pPr>
    <w:rPr>
      <w:rFonts w:cs="Times New Roman"/>
      <w:color w:val="auto"/>
    </w:rPr>
  </w:style>
  <w:style w:type="paragraph" w:customStyle="1" w:styleId="CM3">
    <w:name w:val="CM3"/>
    <w:basedOn w:val="Default"/>
    <w:next w:val="Default"/>
    <w:uiPriority w:val="99"/>
    <w:rsid w:val="004D2360"/>
    <w:pPr>
      <w:spacing w:line="280" w:lineRule="atLeast"/>
    </w:pPr>
    <w:rPr>
      <w:rFonts w:cs="Times New Roman"/>
      <w:color w:val="auto"/>
    </w:rPr>
  </w:style>
  <w:style w:type="paragraph" w:customStyle="1" w:styleId="CM4">
    <w:name w:val="CM4"/>
    <w:basedOn w:val="Default"/>
    <w:next w:val="Default"/>
    <w:uiPriority w:val="99"/>
    <w:rsid w:val="004D2360"/>
    <w:pPr>
      <w:spacing w:line="280" w:lineRule="atLeast"/>
    </w:pPr>
    <w:rPr>
      <w:rFonts w:cs="Times New Roman"/>
      <w:color w:val="auto"/>
    </w:rPr>
  </w:style>
  <w:style w:type="paragraph" w:customStyle="1" w:styleId="CM12">
    <w:name w:val="CM12"/>
    <w:basedOn w:val="Default"/>
    <w:next w:val="Default"/>
    <w:uiPriority w:val="99"/>
    <w:rsid w:val="004D2360"/>
    <w:pPr>
      <w:spacing w:after="480"/>
    </w:pPr>
    <w:rPr>
      <w:rFonts w:cs="Times New Roman"/>
      <w:color w:val="auto"/>
    </w:rPr>
  </w:style>
  <w:style w:type="paragraph" w:customStyle="1" w:styleId="CM2">
    <w:name w:val="CM2"/>
    <w:basedOn w:val="Default"/>
    <w:next w:val="Default"/>
    <w:uiPriority w:val="99"/>
    <w:rsid w:val="004D2360"/>
    <w:pPr>
      <w:spacing w:line="280" w:lineRule="atLeast"/>
    </w:pPr>
    <w:rPr>
      <w:rFonts w:cs="Times New Roman"/>
      <w:color w:val="auto"/>
    </w:rPr>
  </w:style>
  <w:style w:type="paragraph" w:customStyle="1" w:styleId="CM13">
    <w:name w:val="CM13"/>
    <w:basedOn w:val="Default"/>
    <w:next w:val="Default"/>
    <w:uiPriority w:val="99"/>
    <w:rsid w:val="004D2360"/>
    <w:pPr>
      <w:spacing w:after="863"/>
    </w:pPr>
    <w:rPr>
      <w:rFonts w:cs="Times New Roman"/>
      <w:color w:val="auto"/>
    </w:rPr>
  </w:style>
  <w:style w:type="paragraph" w:customStyle="1" w:styleId="CM5">
    <w:name w:val="CM5"/>
    <w:basedOn w:val="Default"/>
    <w:next w:val="Default"/>
    <w:uiPriority w:val="99"/>
    <w:rsid w:val="004D2360"/>
    <w:pPr>
      <w:spacing w:line="280" w:lineRule="atLeast"/>
    </w:pPr>
    <w:rPr>
      <w:rFonts w:cs="Times New Roman"/>
      <w:color w:val="auto"/>
    </w:rPr>
  </w:style>
  <w:style w:type="paragraph" w:customStyle="1" w:styleId="CM6">
    <w:name w:val="CM6"/>
    <w:basedOn w:val="Default"/>
    <w:next w:val="Default"/>
    <w:uiPriority w:val="99"/>
    <w:rsid w:val="004D2360"/>
    <w:pPr>
      <w:spacing w:line="280" w:lineRule="atLeast"/>
    </w:pPr>
    <w:rPr>
      <w:rFonts w:cs="Times New Roman"/>
      <w:color w:val="auto"/>
    </w:rPr>
  </w:style>
  <w:style w:type="paragraph" w:customStyle="1" w:styleId="CM14">
    <w:name w:val="CM14"/>
    <w:basedOn w:val="Default"/>
    <w:next w:val="Default"/>
    <w:uiPriority w:val="99"/>
    <w:rsid w:val="004D2360"/>
    <w:pPr>
      <w:spacing w:after="100"/>
    </w:pPr>
    <w:rPr>
      <w:rFonts w:cs="Times New Roman"/>
      <w:color w:val="auto"/>
    </w:rPr>
  </w:style>
  <w:style w:type="paragraph" w:customStyle="1" w:styleId="CM7">
    <w:name w:val="CM7"/>
    <w:basedOn w:val="Default"/>
    <w:next w:val="Default"/>
    <w:uiPriority w:val="99"/>
    <w:rsid w:val="004D2360"/>
    <w:pPr>
      <w:spacing w:line="280" w:lineRule="atLeast"/>
    </w:pPr>
    <w:rPr>
      <w:rFonts w:cs="Times New Roman"/>
      <w:color w:val="auto"/>
    </w:rPr>
  </w:style>
  <w:style w:type="paragraph" w:customStyle="1" w:styleId="CM15">
    <w:name w:val="CM15"/>
    <w:basedOn w:val="Default"/>
    <w:next w:val="Default"/>
    <w:uiPriority w:val="99"/>
    <w:rsid w:val="004D2360"/>
    <w:pPr>
      <w:spacing w:after="378"/>
    </w:pPr>
    <w:rPr>
      <w:rFonts w:cs="Times New Roman"/>
      <w:color w:val="auto"/>
    </w:rPr>
  </w:style>
  <w:style w:type="paragraph" w:customStyle="1" w:styleId="CM8">
    <w:name w:val="CM8"/>
    <w:basedOn w:val="Default"/>
    <w:next w:val="Default"/>
    <w:uiPriority w:val="99"/>
    <w:rsid w:val="004D2360"/>
    <w:pPr>
      <w:spacing w:line="383" w:lineRule="atLeast"/>
    </w:pPr>
    <w:rPr>
      <w:rFonts w:cs="Times New Roman"/>
      <w:color w:val="auto"/>
    </w:rPr>
  </w:style>
  <w:style w:type="character" w:styleId="CommentReference">
    <w:name w:val="annotation reference"/>
    <w:uiPriority w:val="99"/>
    <w:semiHidden/>
    <w:unhideWhenUsed/>
    <w:rsid w:val="004803CF"/>
    <w:rPr>
      <w:sz w:val="16"/>
      <w:szCs w:val="16"/>
    </w:rPr>
  </w:style>
  <w:style w:type="paragraph" w:styleId="CommentText">
    <w:name w:val="annotation text"/>
    <w:basedOn w:val="Normal"/>
    <w:link w:val="CommentTextChar"/>
    <w:uiPriority w:val="99"/>
    <w:semiHidden/>
    <w:unhideWhenUsed/>
    <w:rsid w:val="004803CF"/>
    <w:rPr>
      <w:sz w:val="20"/>
      <w:szCs w:val="20"/>
    </w:rPr>
  </w:style>
  <w:style w:type="character" w:customStyle="1" w:styleId="CommentTextChar">
    <w:name w:val="Comment Text Char"/>
    <w:link w:val="CommentText"/>
    <w:uiPriority w:val="99"/>
    <w:semiHidden/>
    <w:rsid w:val="004803CF"/>
    <w:rPr>
      <w:sz w:val="20"/>
      <w:szCs w:val="20"/>
    </w:rPr>
  </w:style>
  <w:style w:type="paragraph" w:styleId="CommentSubject">
    <w:name w:val="annotation subject"/>
    <w:basedOn w:val="CommentText"/>
    <w:next w:val="CommentText"/>
    <w:link w:val="CommentSubjectChar"/>
    <w:uiPriority w:val="99"/>
    <w:semiHidden/>
    <w:unhideWhenUsed/>
    <w:rsid w:val="004803CF"/>
    <w:rPr>
      <w:b/>
      <w:bCs/>
    </w:rPr>
  </w:style>
  <w:style w:type="character" w:customStyle="1" w:styleId="CommentSubjectChar">
    <w:name w:val="Comment Subject Char"/>
    <w:link w:val="CommentSubject"/>
    <w:uiPriority w:val="99"/>
    <w:semiHidden/>
    <w:rsid w:val="004803CF"/>
    <w:rPr>
      <w:b/>
      <w:bCs/>
      <w:sz w:val="20"/>
      <w:szCs w:val="20"/>
    </w:rPr>
  </w:style>
  <w:style w:type="paragraph" w:styleId="BalloonText">
    <w:name w:val="Balloon Text"/>
    <w:basedOn w:val="Normal"/>
    <w:link w:val="BalloonTextChar"/>
    <w:uiPriority w:val="99"/>
    <w:semiHidden/>
    <w:unhideWhenUsed/>
    <w:rsid w:val="004803CF"/>
    <w:rPr>
      <w:rFonts w:ascii="Tahoma" w:hAnsi="Tahoma" w:cs="Tahoma"/>
      <w:sz w:val="16"/>
      <w:szCs w:val="16"/>
    </w:rPr>
  </w:style>
  <w:style w:type="character" w:customStyle="1" w:styleId="BalloonTextChar">
    <w:name w:val="Balloon Text Char"/>
    <w:link w:val="BalloonText"/>
    <w:uiPriority w:val="99"/>
    <w:semiHidden/>
    <w:rsid w:val="004803CF"/>
    <w:rPr>
      <w:rFonts w:ascii="Tahoma" w:hAnsi="Tahoma" w:cs="Tahoma"/>
      <w:sz w:val="16"/>
      <w:szCs w:val="16"/>
    </w:rPr>
  </w:style>
  <w:style w:type="character" w:styleId="Hyperlink">
    <w:name w:val="Hyperlink"/>
    <w:uiPriority w:val="99"/>
    <w:unhideWhenUsed/>
    <w:rsid w:val="00C24007"/>
    <w:rPr>
      <w:color w:val="0000FF"/>
      <w:u w:val="single"/>
    </w:rPr>
  </w:style>
  <w:style w:type="paragraph" w:styleId="ListParagraph">
    <w:name w:val="List Paragraph"/>
    <w:basedOn w:val="Normal"/>
    <w:uiPriority w:val="34"/>
    <w:qFormat/>
    <w:rsid w:val="001742A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253D1"/>
    <w:pPr>
      <w:tabs>
        <w:tab w:val="center" w:pos="4680"/>
        <w:tab w:val="right" w:pos="9360"/>
      </w:tabs>
    </w:pPr>
  </w:style>
  <w:style w:type="character" w:customStyle="1" w:styleId="HeaderChar">
    <w:name w:val="Header Char"/>
    <w:link w:val="Header"/>
    <w:uiPriority w:val="99"/>
    <w:rsid w:val="00E253D1"/>
    <w:rPr>
      <w:sz w:val="24"/>
      <w:szCs w:val="24"/>
    </w:rPr>
  </w:style>
  <w:style w:type="paragraph" w:styleId="Footer">
    <w:name w:val="footer"/>
    <w:basedOn w:val="Normal"/>
    <w:link w:val="FooterChar"/>
    <w:uiPriority w:val="99"/>
    <w:unhideWhenUsed/>
    <w:rsid w:val="00E253D1"/>
    <w:pPr>
      <w:tabs>
        <w:tab w:val="center" w:pos="4680"/>
        <w:tab w:val="right" w:pos="9360"/>
      </w:tabs>
    </w:pPr>
  </w:style>
  <w:style w:type="character" w:customStyle="1" w:styleId="FooterChar">
    <w:name w:val="Footer Char"/>
    <w:link w:val="Footer"/>
    <w:uiPriority w:val="99"/>
    <w:rsid w:val="00E253D1"/>
    <w:rPr>
      <w:sz w:val="24"/>
      <w:szCs w:val="24"/>
    </w:rPr>
  </w:style>
  <w:style w:type="character" w:styleId="FollowedHyperlink">
    <w:name w:val="FollowedHyperlink"/>
    <w:uiPriority w:val="99"/>
    <w:semiHidden/>
    <w:unhideWhenUsed/>
    <w:rsid w:val="007E2E32"/>
    <w:rPr>
      <w:color w:val="954F72"/>
      <w:u w:val="single"/>
    </w:rPr>
  </w:style>
  <w:style w:type="paragraph" w:styleId="NormalWeb">
    <w:name w:val="Normal (Web)"/>
    <w:basedOn w:val="Normal"/>
    <w:uiPriority w:val="99"/>
    <w:semiHidden/>
    <w:unhideWhenUsed/>
    <w:rsid w:val="00EA14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text/5/552" TargetMode="External" /><Relationship Id="rId11" Type="http://schemas.openxmlformats.org/officeDocument/2006/relationships/hyperlink" Target="http://en.wikisource.org/wiki/Public_Law_93-579" TargetMode="External" /><Relationship Id="rId12" Type="http://schemas.openxmlformats.org/officeDocument/2006/relationships/hyperlink" Target="http://www.nmfs.noaa.gov/pr/health/publications.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pr/laws/mmpa/text.htm" TargetMode="External" /><Relationship Id="rId6" Type="http://schemas.openxmlformats.org/officeDocument/2006/relationships/hyperlink" Target="http://www.ecfr.gov/cgi-bin/text-idx?SID=d7d86c1d85c665e3cb0a8de1222cc1a3&amp;node=50:10.0.1.3.1.3.1.2&amp;rgn=div8"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www.fisheries.noaa.gov/national/marine-mammal-protection/level-data-collection-marine-mammal-stranding-events" TargetMode="External" /><Relationship Id="rId9" Type="http://schemas.openxmlformats.org/officeDocument/2006/relationships/hyperlink" Target="file:///G:\GPEA-PRA\PRA%20Docs\0100-0199\0178\2024\0648-0178%2060-%20Day%2089%20FR%208413%202024%20-%2002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7C3E-AA32-47C3-AA5D-24EB4039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C:I pre-ps.WP6.wpd</vt:lpstr>
    </vt:vector>
  </TitlesOfParts>
  <Company>NMFS NOAA</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Jazmin.Williams</cp:lastModifiedBy>
  <cp:revision>6</cp:revision>
  <cp:lastPrinted>2013-12-06T15:36:00Z</cp:lastPrinted>
  <dcterms:created xsi:type="dcterms:W3CDTF">2024-04-10T13:57:00Z</dcterms:created>
  <dcterms:modified xsi:type="dcterms:W3CDTF">2024-04-10T14:49:00Z</dcterms:modified>
</cp:coreProperties>
</file>