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02EB8" w:rsidRPr="000E402C" w:rsidP="007A1A4E">
      <w:pPr>
        <w:tabs>
          <w:tab w:val="center" w:pos="4680"/>
          <w:tab w:val="left" w:pos="5040"/>
          <w:tab w:val="left" w:pos="5760"/>
          <w:tab w:val="left" w:pos="6480"/>
          <w:tab w:val="left" w:pos="7200"/>
          <w:tab w:val="left" w:pos="7920"/>
          <w:tab w:val="left" w:pos="8640"/>
          <w:tab w:val="right" w:pos="9360"/>
        </w:tabs>
        <w:jc w:val="center"/>
        <w:rPr>
          <w:b/>
        </w:rPr>
      </w:pPr>
      <w:bookmarkStart w:id="0" w:name="_GoBack"/>
      <w:bookmarkEnd w:id="0"/>
      <w:r w:rsidRPr="000E402C">
        <w:rPr>
          <w:b/>
        </w:rPr>
        <w:t>SUPPORTING STATEMENT</w:t>
      </w:r>
    </w:p>
    <w:p w:rsidR="000E402C" w:rsidRPr="000E402C" w:rsidP="000E402C">
      <w:pPr>
        <w:tabs>
          <w:tab w:val="center" w:pos="4680"/>
          <w:tab w:val="left" w:pos="5040"/>
          <w:tab w:val="left" w:pos="5760"/>
          <w:tab w:val="left" w:pos="6480"/>
          <w:tab w:val="left" w:pos="7200"/>
          <w:tab w:val="left" w:pos="7920"/>
          <w:tab w:val="left" w:pos="8640"/>
          <w:tab w:val="right" w:pos="9360"/>
        </w:tabs>
        <w:jc w:val="center"/>
        <w:rPr>
          <w:b/>
        </w:rPr>
      </w:pPr>
      <w:r w:rsidRPr="000E402C">
        <w:rPr>
          <w:b/>
        </w:rPr>
        <w:t>U.S. Department of Commerce</w:t>
      </w:r>
    </w:p>
    <w:p w:rsidR="000E402C" w:rsidP="000E402C">
      <w:pPr>
        <w:tabs>
          <w:tab w:val="center" w:pos="4680"/>
          <w:tab w:val="left" w:pos="5040"/>
          <w:tab w:val="left" w:pos="5760"/>
          <w:tab w:val="left" w:pos="6480"/>
          <w:tab w:val="left" w:pos="7200"/>
          <w:tab w:val="left" w:pos="7920"/>
          <w:tab w:val="left" w:pos="8640"/>
          <w:tab w:val="right" w:pos="9360"/>
        </w:tabs>
        <w:jc w:val="center"/>
        <w:rPr>
          <w:b/>
        </w:rPr>
      </w:pPr>
      <w:r w:rsidRPr="000E402C">
        <w:rPr>
          <w:b/>
        </w:rPr>
        <w:t>National Oceanic &amp; Atmospheric Administration</w:t>
      </w:r>
    </w:p>
    <w:p w:rsidR="000E402C" w:rsidRPr="000E402C" w:rsidP="009F331C">
      <w:pPr>
        <w:tabs>
          <w:tab w:val="center" w:pos="4680"/>
          <w:tab w:val="left" w:pos="5040"/>
          <w:tab w:val="left" w:pos="5760"/>
          <w:tab w:val="left" w:pos="6480"/>
          <w:tab w:val="left" w:pos="7200"/>
          <w:tab w:val="left" w:pos="7920"/>
          <w:tab w:val="left" w:pos="8640"/>
          <w:tab w:val="right" w:pos="9360"/>
        </w:tabs>
        <w:jc w:val="center"/>
        <w:rPr>
          <w:b/>
        </w:rPr>
      </w:pPr>
      <w:r>
        <w:rPr>
          <w:b/>
        </w:rPr>
        <w:t>West Coast Region Groundfish Trawl Fishery Monitoring and Catch Accounting Program</w:t>
      </w:r>
    </w:p>
    <w:p w:rsidR="007A1A4E" w:rsidRPr="000E402C" w:rsidP="00893DD7">
      <w:pPr>
        <w:tabs>
          <w:tab w:val="center" w:pos="4680"/>
          <w:tab w:val="left" w:pos="5040"/>
          <w:tab w:val="left" w:pos="5760"/>
          <w:tab w:val="left" w:pos="6480"/>
          <w:tab w:val="left" w:pos="7200"/>
          <w:tab w:val="left" w:pos="7920"/>
          <w:tab w:val="left" w:pos="8640"/>
          <w:tab w:val="right" w:pos="9360"/>
        </w:tabs>
        <w:jc w:val="center"/>
        <w:rPr>
          <w:b/>
        </w:rPr>
      </w:pPr>
      <w:r w:rsidRPr="000E402C">
        <w:rPr>
          <w:b/>
        </w:rPr>
        <w:t xml:space="preserve">OMB </w:t>
      </w:r>
      <w:r w:rsidR="000E402C">
        <w:rPr>
          <w:b/>
        </w:rPr>
        <w:t>Control No</w:t>
      </w:r>
      <w:r w:rsidRPr="000E402C">
        <w:rPr>
          <w:b/>
        </w:rPr>
        <w:t>. 0648-</w:t>
      </w:r>
      <w:r w:rsidRPr="000E402C" w:rsidR="004E6884">
        <w:rPr>
          <w:b/>
        </w:rPr>
        <w:t>0619</w:t>
      </w:r>
    </w:p>
    <w:p w:rsidR="007A1A4E" w:rsidRPr="000E402C" w:rsidP="002B39F6">
      <w:pPr>
        <w:jc w:val="center"/>
        <w:rPr>
          <w:b/>
          <w:color w:val="000000"/>
        </w:rPr>
      </w:pPr>
    </w:p>
    <w:p w:rsidR="008C6AE0" w:rsidRPr="000E402C" w:rsidP="008C6A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color w:val="000000"/>
        </w:rPr>
      </w:pPr>
      <w:r>
        <w:rPr>
          <w:b/>
          <w:color w:val="000000"/>
        </w:rPr>
        <w:t>Abstract</w:t>
      </w:r>
    </w:p>
    <w:p w:rsidR="008C6AE0" w:rsidRPr="000E402C" w:rsidP="008C6A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973ED9" w:rsidRPr="000E402C" w:rsidP="005D223B">
      <w:r w:rsidRPr="000E402C">
        <w:t xml:space="preserve">This request is for </w:t>
      </w:r>
      <w:r w:rsidRPr="000E402C" w:rsidR="00BC70FC">
        <w:t>extension of</w:t>
      </w:r>
      <w:r w:rsidRPr="000E402C">
        <w:t xml:space="preserve"> the current collection for the </w:t>
      </w:r>
      <w:r w:rsidRPr="000E402C" w:rsidR="00D42873">
        <w:t xml:space="preserve">West Coast </w:t>
      </w:r>
      <w:r w:rsidRPr="000E402C">
        <w:t xml:space="preserve">Region Groundfish Trawl Fishery Monitoring </w:t>
      </w:r>
      <w:r w:rsidRPr="000E402C" w:rsidR="00E15113">
        <w:t>a</w:t>
      </w:r>
      <w:r w:rsidRPr="000E402C" w:rsidR="00BC70FC">
        <w:t>nd Catch Accounting Program.</w:t>
      </w:r>
    </w:p>
    <w:p w:rsidR="00BC70FC" w:rsidRPr="000E402C" w:rsidP="005D223B">
      <w:pPr>
        <w:rPr>
          <w:highlight w:val="yellow"/>
        </w:rPr>
      </w:pPr>
    </w:p>
    <w:p w:rsidR="00BC70FC" w:rsidRPr="000E402C" w:rsidP="00BC70FC">
      <w:pPr>
        <w:autoSpaceDE w:val="0"/>
        <w:autoSpaceDN w:val="0"/>
        <w:adjustRightInd w:val="0"/>
      </w:pPr>
      <w:r w:rsidRPr="000E402C">
        <w:t xml:space="preserve">In January 2011, the National Oceanic and Atmospheric Administration’s (NOAA) National Marine Fisheries Service (NMFS) implemented a trawl rationalization program, a catch share program, for the Pacific coast groundfish fishery’s trawl fleet. The program was developed through Amendment 20 to the Groundfish Fishery Management Plan (FMP), under the authority of the Magnuson-Stevens Fishery Conservation and Management Act (16 U.S.C. 1801 </w:t>
      </w:r>
      <w:r w:rsidRPr="000E402C">
        <w:rPr>
          <w:i/>
          <w:iCs/>
        </w:rPr>
        <w:t>et seq.</w:t>
      </w:r>
      <w:r w:rsidRPr="000E402C">
        <w:t>) and consists of an individual fishing quota (IFQ) program for the shorebased trawl fleet (including whiting and non-whiting fisheries); and cooperative (coop) programs for the at</w:t>
      </w:r>
      <w:r w:rsidRPr="000E402C" w:rsidR="00185521">
        <w:t>-</w:t>
      </w:r>
      <w:r w:rsidRPr="000E402C">
        <w:t>sea mothership (MS) and catcher/ processor (C/P) trawl fleets (whiting only). Fixed allocations to the limited entry trawl fleet were developed through a parallel process with Amendment 21 to the FMP. The regulations implementing the program were effective January 1, 2011; all of the necessary tracking systems to make the program operational became active on January 11, 2011, the date fishing began under the new program. Since that time, the Council and NMFS have been addressing implementation issues as they arise. To achieve individual accountability for catch and bycatch and track total catch, the shorebased IFQ Program is subject to 100 percent monitoring both at-sea and dockside. In addition to 100 percent monitoring at</w:t>
      </w:r>
      <w:r w:rsidRPr="000E402C" w:rsidR="00185521">
        <w:t>-</w:t>
      </w:r>
      <w:r w:rsidRPr="000E402C">
        <w:t>sea, motherships and catcher/processors are subject to flow scale requirements that include daily testing, reporting, and an annual inspection.</w:t>
      </w:r>
    </w:p>
    <w:p w:rsidR="007A71D9" w:rsidRPr="000E402C" w:rsidP="00BC70FC">
      <w:pPr>
        <w:autoSpaceDE w:val="0"/>
        <w:autoSpaceDN w:val="0"/>
        <w:adjustRightInd w:val="0"/>
      </w:pPr>
    </w:p>
    <w:p w:rsidR="00ED369E" w:rsidRPr="000E402C" w:rsidP="00893DD7">
      <w:pPr>
        <w:autoSpaceDE w:val="0"/>
        <w:autoSpaceDN w:val="0"/>
        <w:adjustRightInd w:val="0"/>
        <w:rPr>
          <w:b/>
          <w:bCs/>
          <w:color w:val="000000"/>
        </w:rPr>
      </w:pPr>
      <w:r w:rsidRPr="000E402C">
        <w:rPr>
          <w:b/>
          <w:bCs/>
          <w:color w:val="000000"/>
        </w:rPr>
        <w:t>A.</w:t>
      </w:r>
      <w:r w:rsidRPr="000E402C">
        <w:rPr>
          <w:b/>
          <w:bCs/>
          <w:color w:val="000000"/>
        </w:rPr>
        <w:tab/>
        <w:t>JUSTIFICATION</w:t>
      </w:r>
    </w:p>
    <w:p w:rsidR="00A511D9" w:rsidRPr="000E402C" w:rsidP="00ED369E">
      <w:pPr>
        <w:autoSpaceDE w:val="0"/>
        <w:autoSpaceDN w:val="0"/>
        <w:adjustRightInd w:val="0"/>
        <w:rPr>
          <w:b/>
          <w:bCs/>
          <w:color w:val="1F497D"/>
        </w:rPr>
      </w:pPr>
    </w:p>
    <w:p w:rsidR="00ED369E" w:rsidRPr="000E402C" w:rsidP="00893DD7">
      <w:pPr>
        <w:autoSpaceDE w:val="0"/>
        <w:autoSpaceDN w:val="0"/>
        <w:adjustRightInd w:val="0"/>
        <w:rPr>
          <w:color w:val="000000"/>
        </w:rPr>
      </w:pPr>
      <w:r w:rsidRPr="000E402C">
        <w:rPr>
          <w:b/>
          <w:bCs/>
          <w:color w:val="000000"/>
        </w:rPr>
        <w:t xml:space="preserve">1.  </w:t>
      </w:r>
      <w:r w:rsidRPr="000E402C" w:rsidR="000E402C">
        <w:rPr>
          <w:b/>
          <w:bCs/>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D369E" w:rsidRPr="000E402C" w:rsidP="00ED369E">
      <w:pPr>
        <w:autoSpaceDE w:val="0"/>
        <w:autoSpaceDN w:val="0"/>
        <w:adjustRightInd w:val="0"/>
        <w:rPr>
          <w:color w:val="000000"/>
        </w:rPr>
      </w:pPr>
    </w:p>
    <w:p w:rsidR="005B3148" w:rsidRPr="000E402C" w:rsidP="00ED369E">
      <w:pPr>
        <w:autoSpaceDE w:val="0"/>
        <w:autoSpaceDN w:val="0"/>
        <w:adjustRightInd w:val="0"/>
      </w:pPr>
      <w:r w:rsidRPr="000E402C">
        <w:t xml:space="preserve">In order to ensure the individual accountability for catch and bycatch under the trawl rationalization program, a combination of at-sea and dockside monitoring as well as the use of flow scales are required for participants in the </w:t>
      </w:r>
      <w:r w:rsidR="00922246">
        <w:t>Shorebased IFQ Program and the C</w:t>
      </w:r>
      <w:r w:rsidRPr="000E402C">
        <w:t xml:space="preserve">oop </w:t>
      </w:r>
      <w:r w:rsidR="00922246">
        <w:t>programs for the at-sea sector.</w:t>
      </w:r>
    </w:p>
    <w:p w:rsidR="005839C7" w:rsidP="0021652C">
      <w:pPr>
        <w:autoSpaceDE w:val="0"/>
        <w:autoSpaceDN w:val="0"/>
        <w:adjustRightInd w:val="0"/>
        <w:rPr>
          <w:b/>
          <w:bCs/>
          <w:color w:val="000000"/>
          <w:highlight w:val="yellow"/>
        </w:rPr>
      </w:pPr>
    </w:p>
    <w:p w:rsidR="00922246" w:rsidRPr="00922246" w:rsidP="00922246">
      <w:pPr>
        <w:autoSpaceDE w:val="0"/>
        <w:autoSpaceDN w:val="0"/>
        <w:adjustRightInd w:val="0"/>
        <w:rPr>
          <w:bCs/>
          <w:u w:val="single"/>
        </w:rPr>
      </w:pPr>
      <w:r w:rsidRPr="00922246">
        <w:rPr>
          <w:bCs/>
          <w:u w:val="single"/>
        </w:rPr>
        <w:t xml:space="preserve">For catch monitor </w:t>
      </w:r>
      <w:r w:rsidR="004E29CF">
        <w:rPr>
          <w:bCs/>
          <w:u w:val="single"/>
        </w:rPr>
        <w:t xml:space="preserve">and observer </w:t>
      </w:r>
      <w:r w:rsidRPr="00922246">
        <w:rPr>
          <w:bCs/>
          <w:u w:val="single"/>
        </w:rPr>
        <w:t>service providers</w:t>
      </w:r>
    </w:p>
    <w:p w:rsidR="00922246" w:rsidRPr="00922246" w:rsidP="004F38C4">
      <w:pPr>
        <w:numPr>
          <w:ilvl w:val="0"/>
          <w:numId w:val="27"/>
        </w:numPr>
        <w:autoSpaceDE w:val="0"/>
        <w:autoSpaceDN w:val="0"/>
        <w:adjustRightInd w:val="0"/>
        <w:rPr>
          <w:bCs/>
          <w:u w:val="single"/>
        </w:rPr>
      </w:pPr>
      <w:r w:rsidRPr="00922246">
        <w:rPr>
          <w:bCs/>
        </w:rPr>
        <w:t>The preparation and submission of an application to be a certified catch monitor provide</w:t>
      </w:r>
      <w:r w:rsidR="004E29CF">
        <w:rPr>
          <w:bCs/>
        </w:rPr>
        <w:t>r and/or an observer service provide</w:t>
      </w:r>
      <w:r w:rsidRPr="00922246">
        <w:rPr>
          <w:bCs/>
        </w:rPr>
        <w:t>r.</w:t>
      </w:r>
      <w:r w:rsidRPr="004F38C4" w:rsidR="004F38C4">
        <w:t xml:space="preserve"> </w:t>
      </w:r>
      <w:r w:rsidRPr="004F38C4" w:rsidR="004F38C4">
        <w:rPr>
          <w:bCs/>
        </w:rPr>
        <w:t>A copy of the regulations regarding</w:t>
      </w:r>
      <w:r w:rsidR="004F38C4">
        <w:rPr>
          <w:bCs/>
        </w:rPr>
        <w:t xml:space="preserve"> </w:t>
      </w:r>
      <w:r w:rsidR="004F38C4">
        <w:rPr>
          <w:bCs/>
        </w:rPr>
        <w:t>how to obtain</w:t>
      </w:r>
      <w:r w:rsidRPr="004F38C4" w:rsidR="004F38C4">
        <w:rPr>
          <w:bCs/>
        </w:rPr>
        <w:t xml:space="preserve"> </w:t>
      </w:r>
      <w:r w:rsidR="004F38C4">
        <w:rPr>
          <w:bCs/>
        </w:rPr>
        <w:t xml:space="preserve">provider permits is provided at the end of the document as Attachment 1 </w:t>
      </w:r>
      <w:r w:rsidRPr="004F38C4" w:rsidR="004F38C4">
        <w:rPr>
          <w:bCs/>
        </w:rPr>
        <w:t>(§660.18 Observer and catch monitor provider permits and endorsements)</w:t>
      </w:r>
      <w:r w:rsidR="004F38C4">
        <w:rPr>
          <w:bCs/>
        </w:rPr>
        <w:t>.</w:t>
      </w:r>
    </w:p>
    <w:p w:rsidR="00922246" w:rsidRPr="00922246" w:rsidP="00922246">
      <w:pPr>
        <w:numPr>
          <w:ilvl w:val="0"/>
          <w:numId w:val="27"/>
        </w:numPr>
        <w:autoSpaceDE w:val="0"/>
        <w:autoSpaceDN w:val="0"/>
        <w:adjustRightInd w:val="0"/>
        <w:rPr>
          <w:bCs/>
          <w:u w:val="single"/>
        </w:rPr>
      </w:pPr>
      <w:r w:rsidRPr="00922246">
        <w:rPr>
          <w:bCs/>
        </w:rPr>
        <w:t>Appeals submissions by businesses not issued certifications or decertified.</w:t>
      </w:r>
      <w:r w:rsidRPr="00922246">
        <w:t xml:space="preserve"> </w:t>
      </w:r>
      <w:r w:rsidRPr="004F38C4" w:rsidR="004F38C4">
        <w:rPr>
          <w:bCs/>
        </w:rPr>
        <w:t xml:space="preserve">A copy of the regulations </w:t>
      </w:r>
      <w:r w:rsidR="004F38C4">
        <w:rPr>
          <w:bCs/>
        </w:rPr>
        <w:t xml:space="preserve">regarding appeals </w:t>
      </w:r>
      <w:r w:rsidRPr="004F38C4" w:rsidR="004F38C4">
        <w:rPr>
          <w:bCs/>
        </w:rPr>
        <w:t>is provided at the end of the document</w:t>
      </w:r>
      <w:r w:rsidR="004F38C4">
        <w:rPr>
          <w:bCs/>
        </w:rPr>
        <w:t xml:space="preserve"> as Attachment 2 </w:t>
      </w:r>
      <w:r w:rsidRPr="004F38C4" w:rsidR="004F38C4">
        <w:rPr>
          <w:bCs/>
        </w:rPr>
        <w:t>(§660.19 Appeals process for catch monitors, observers, and provider permits)</w:t>
      </w:r>
      <w:r w:rsidR="004F38C4">
        <w:rPr>
          <w:bCs/>
        </w:rPr>
        <w:t>.</w:t>
      </w:r>
    </w:p>
    <w:p w:rsidR="00922246" w:rsidRPr="00922246" w:rsidP="00922246">
      <w:pPr>
        <w:autoSpaceDE w:val="0"/>
        <w:autoSpaceDN w:val="0"/>
        <w:adjustRightInd w:val="0"/>
        <w:rPr>
          <w:bCs/>
        </w:rPr>
      </w:pPr>
    </w:p>
    <w:p w:rsidR="00922246" w:rsidRPr="00922246" w:rsidP="00922246">
      <w:pPr>
        <w:autoSpaceDE w:val="0"/>
        <w:autoSpaceDN w:val="0"/>
        <w:adjustRightInd w:val="0"/>
        <w:rPr>
          <w:bCs/>
          <w:u w:val="single"/>
        </w:rPr>
      </w:pPr>
      <w:r w:rsidRPr="00922246">
        <w:rPr>
          <w:bCs/>
          <w:u w:val="single"/>
        </w:rPr>
        <w:t>For catch monitors</w:t>
      </w:r>
    </w:p>
    <w:p w:rsidR="00922246" w:rsidRPr="00922246" w:rsidP="00922246">
      <w:pPr>
        <w:numPr>
          <w:ilvl w:val="0"/>
          <w:numId w:val="28"/>
        </w:numPr>
        <w:autoSpaceDE w:val="0"/>
        <w:autoSpaceDN w:val="0"/>
        <w:adjustRightInd w:val="0"/>
        <w:rPr>
          <w:bCs/>
          <w:u w:val="single"/>
        </w:rPr>
      </w:pPr>
      <w:r w:rsidRPr="00922246">
        <w:rPr>
          <w:bCs/>
        </w:rPr>
        <w:t>The preparation and submission of an application to be a certified catch monitor (submitted to the service provider only and not counted as a burden for this information collection).</w:t>
      </w:r>
    </w:p>
    <w:p w:rsidR="00922246" w:rsidRPr="00922246" w:rsidP="00922246">
      <w:pPr>
        <w:numPr>
          <w:ilvl w:val="0"/>
          <w:numId w:val="28"/>
        </w:numPr>
        <w:autoSpaceDE w:val="0"/>
        <w:autoSpaceDN w:val="0"/>
        <w:adjustRightInd w:val="0"/>
        <w:rPr>
          <w:bCs/>
          <w:u w:val="single"/>
        </w:rPr>
      </w:pPr>
      <w:r w:rsidRPr="00922246">
        <w:rPr>
          <w:bCs/>
        </w:rPr>
        <w:t>Appeals submissions by individuals not issued certifications or decertified.</w:t>
      </w:r>
      <w:r w:rsidR="004F38C4">
        <w:rPr>
          <w:bCs/>
        </w:rPr>
        <w:t xml:space="preserve"> </w:t>
      </w:r>
      <w:r w:rsidRPr="00EA29FC" w:rsidR="00EA29FC">
        <w:rPr>
          <w:bCs/>
        </w:rPr>
        <w:t>A copy of the regulations regarding appeals is provided at the end of the document as Attachment 2 (§660.19 Appeals process for catch monitors, observers, and provider permits).</w:t>
      </w:r>
    </w:p>
    <w:p w:rsidR="00922246" w:rsidRPr="00922246" w:rsidP="00922246">
      <w:pPr>
        <w:autoSpaceDE w:val="0"/>
        <w:autoSpaceDN w:val="0"/>
        <w:adjustRightInd w:val="0"/>
        <w:rPr>
          <w:bCs/>
        </w:rPr>
      </w:pPr>
    </w:p>
    <w:p w:rsidR="00922246" w:rsidRPr="00922246" w:rsidP="00922246">
      <w:pPr>
        <w:autoSpaceDE w:val="0"/>
        <w:autoSpaceDN w:val="0"/>
        <w:adjustRightInd w:val="0"/>
        <w:rPr>
          <w:bCs/>
          <w:u w:val="single"/>
        </w:rPr>
      </w:pPr>
      <w:r w:rsidRPr="00922246">
        <w:rPr>
          <w:bCs/>
          <w:u w:val="single"/>
        </w:rPr>
        <w:t>For at-sea processors (MS and C/P)</w:t>
      </w:r>
    </w:p>
    <w:p w:rsidR="00922246" w:rsidRPr="00922246" w:rsidP="00922246">
      <w:pPr>
        <w:numPr>
          <w:ilvl w:val="0"/>
          <w:numId w:val="29"/>
        </w:numPr>
        <w:autoSpaceDE w:val="0"/>
        <w:autoSpaceDN w:val="0"/>
        <w:adjustRightInd w:val="0"/>
        <w:rPr>
          <w:bCs/>
        </w:rPr>
      </w:pPr>
      <w:r w:rsidRPr="00922246">
        <w:rPr>
          <w:bCs/>
        </w:rPr>
        <w:t>The requirement to have an approved scale for weighing catch at sea, a printed record of catch weight and cumulative weights, and a printed record of daily scale tests.</w:t>
      </w:r>
      <w:r>
        <w:rPr>
          <w:bCs/>
        </w:rPr>
        <w:t xml:space="preserve"> </w:t>
      </w:r>
      <w:r w:rsidRPr="00922246">
        <w:rPr>
          <w:bCs/>
        </w:rPr>
        <w:t>A copy of the regulations mandating collection of information related to scales is attac</w:t>
      </w:r>
      <w:r w:rsidR="00EA29FC">
        <w:rPr>
          <w:bCs/>
        </w:rPr>
        <w:t xml:space="preserve">hed at the end of this document as Attachment 3 </w:t>
      </w:r>
      <w:r w:rsidRPr="00EA29FC" w:rsidR="00EA29FC">
        <w:rPr>
          <w:bCs/>
        </w:rPr>
        <w:t>(§6</w:t>
      </w:r>
      <w:r w:rsidR="00545E61">
        <w:rPr>
          <w:bCs/>
        </w:rPr>
        <w:t xml:space="preserve">60.15 </w:t>
      </w:r>
      <w:r w:rsidRPr="00EA29FC" w:rsidR="00EA29FC">
        <w:rPr>
          <w:bCs/>
        </w:rPr>
        <w:t>Equipment requirements)</w:t>
      </w:r>
      <w:r w:rsidR="00EA29FC">
        <w:rPr>
          <w:bCs/>
        </w:rPr>
        <w:t>.</w:t>
      </w:r>
    </w:p>
    <w:p w:rsidR="00922246" w:rsidRPr="000E402C" w:rsidP="0021652C">
      <w:pPr>
        <w:autoSpaceDE w:val="0"/>
        <w:autoSpaceDN w:val="0"/>
        <w:adjustRightInd w:val="0"/>
        <w:rPr>
          <w:b/>
          <w:bCs/>
          <w:color w:val="000000"/>
          <w:highlight w:val="yellow"/>
        </w:rPr>
      </w:pPr>
    </w:p>
    <w:p w:rsidR="00545E61" w:rsidP="0021652C">
      <w:pPr>
        <w:autoSpaceDE w:val="0"/>
        <w:autoSpaceDN w:val="0"/>
        <w:adjustRightInd w:val="0"/>
        <w:rPr>
          <w:rFonts w:eastAsia="Arial"/>
          <w:b/>
          <w:sz w:val="22"/>
          <w:szCs w:val="22"/>
          <w:lang w:bidi="en-US"/>
        </w:rPr>
      </w:pPr>
      <w:r w:rsidRPr="000E402C">
        <w:rPr>
          <w:b/>
          <w:bCs/>
          <w:color w:val="000000"/>
        </w:rPr>
        <w:t xml:space="preserve">2. </w:t>
      </w:r>
      <w:r w:rsidRPr="000E402C" w:rsidR="0021652C">
        <w:rPr>
          <w:b/>
          <w:bCs/>
          <w:color w:val="000000"/>
        </w:rPr>
        <w:t xml:space="preserve"> </w:t>
      </w:r>
      <w:r w:rsidRPr="006C0F48" w:rsidR="006C0F48">
        <w:rPr>
          <w:rFonts w:eastAsia="Arial"/>
          <w:b/>
          <w:sz w:val="22"/>
          <w:szCs w:val="22"/>
          <w:lang w:bidi="en-US"/>
        </w:rPr>
        <w:t>Indicate how, by whom, and for what purpose the information is to be used. Except for a new collection, indicate the actual use the agency has made of the information received from the current</w:t>
      </w:r>
      <w:r w:rsidRPr="006C0F48" w:rsidR="006C0F48">
        <w:rPr>
          <w:rFonts w:eastAsia="Arial"/>
          <w:b/>
          <w:spacing w:val="-1"/>
          <w:sz w:val="22"/>
          <w:szCs w:val="22"/>
          <w:lang w:bidi="en-US"/>
        </w:rPr>
        <w:t xml:space="preserve"> </w:t>
      </w:r>
      <w:r w:rsidRPr="006C0F48" w:rsidR="006C0F48">
        <w:rPr>
          <w:rFonts w:eastAsia="Arial"/>
          <w:b/>
          <w:sz w:val="22"/>
          <w:szCs w:val="22"/>
          <w:lang w:bidi="en-US"/>
        </w:rPr>
        <w:t>collection.</w:t>
      </w:r>
    </w:p>
    <w:p w:rsidR="006C0F48" w:rsidP="0021652C">
      <w:pPr>
        <w:autoSpaceDE w:val="0"/>
        <w:autoSpaceDN w:val="0"/>
        <w:adjustRightInd w:val="0"/>
        <w:rPr>
          <w:b/>
          <w:bCs/>
          <w:color w:val="000000"/>
        </w:rPr>
      </w:pPr>
    </w:p>
    <w:p w:rsidR="00620B7C" w:rsidRPr="000E402C" w:rsidP="00620B7C">
      <w:pPr>
        <w:autoSpaceDE w:val="0"/>
        <w:autoSpaceDN w:val="0"/>
        <w:adjustRightInd w:val="0"/>
      </w:pPr>
      <w:r w:rsidRPr="000E402C">
        <w:rPr>
          <w:color w:val="000000"/>
          <w:u w:val="single"/>
        </w:rPr>
        <w:t xml:space="preserve">Provider </w:t>
      </w:r>
      <w:r>
        <w:rPr>
          <w:color w:val="000000"/>
          <w:u w:val="single"/>
        </w:rPr>
        <w:t xml:space="preserve">permit </w:t>
      </w:r>
      <w:r w:rsidRPr="000E402C">
        <w:rPr>
          <w:color w:val="000000"/>
          <w:u w:val="single"/>
        </w:rPr>
        <w:t>applications.</w:t>
      </w:r>
      <w:r w:rsidRPr="000E402C">
        <w:rPr>
          <w:color w:val="000000"/>
        </w:rPr>
        <w:t xml:space="preserve">  New and existing providers for observers and catch monitors are required to submit an application form to NMFS Fisheries Permit Office.  NMFS has established a review board to review the application and to determine if a business can provide adequate services to support certified observers and/or catch monitors. </w:t>
      </w:r>
      <w:r w:rsidR="00741224">
        <w:rPr>
          <w:color w:val="000000"/>
        </w:rPr>
        <w:t xml:space="preserve">Information provided includes: </w:t>
      </w:r>
      <w:r w:rsidRPr="000E402C">
        <w:rPr>
          <w:color w:val="000000"/>
        </w:rPr>
        <w:t xml:space="preserve">a statement indicating which endorsement the applicant is seeking, identification of the management, organizational structure, and ownership structure of the applicant's business, provider contact information, a statement describing relevant prior experience, a description of the applicants ability to carry out the required responsibilities and duties, a statement signed under penalty of perjury from the owner, or owners, board members, and officers if a corporation, that they have no conflict of interest, and a statement on conflict of interest, </w:t>
      </w:r>
      <w:r w:rsidRPr="000E402C">
        <w:t>and</w:t>
      </w:r>
      <w:r w:rsidRPr="000E402C">
        <w:rPr>
          <w:bCs/>
        </w:rPr>
        <w:t xml:space="preserve"> a statement describing any criminal convictions, Federal contracts they have had and the performance rating they received on the contract, and previous decertification action while working as an observer, observer provider, or catch monitor provider. A new provider could apply anytime during the year however, all permits issued in a given year will expire on December 31.</w:t>
      </w:r>
      <w:r>
        <w:rPr>
          <w:bCs/>
        </w:rPr>
        <w:t xml:space="preserve"> Fewer than two new provider applications are expected in a calendar year.</w:t>
      </w:r>
    </w:p>
    <w:p w:rsidR="00620B7C" w:rsidRPr="000E402C" w:rsidP="00620B7C">
      <w:pPr>
        <w:tabs>
          <w:tab w:val="num" w:pos="360"/>
        </w:tabs>
        <w:autoSpaceDE w:val="0"/>
        <w:autoSpaceDN w:val="0"/>
        <w:adjustRightInd w:val="0"/>
        <w:ind w:left="720" w:hanging="720"/>
      </w:pPr>
    </w:p>
    <w:p w:rsidR="00620B7C" w:rsidRPr="000E402C" w:rsidP="00620B7C">
      <w:pPr>
        <w:tabs>
          <w:tab w:val="num" w:pos="360"/>
        </w:tabs>
        <w:autoSpaceDE w:val="0"/>
        <w:autoSpaceDN w:val="0"/>
        <w:adjustRightInd w:val="0"/>
        <w:rPr>
          <w:color w:val="000000"/>
        </w:rPr>
      </w:pPr>
      <w:r w:rsidRPr="000E402C">
        <w:rPr>
          <w:color w:val="000000"/>
          <w:u w:val="single"/>
        </w:rPr>
        <w:t>Provider permit renewals</w:t>
      </w:r>
      <w:r w:rsidRPr="000E402C">
        <w:rPr>
          <w:color w:val="000000"/>
        </w:rPr>
        <w:t xml:space="preserve">.  Existing permits are renewed annually to ensure that the business information was current.  Pre-filled renewal forms are mailed to </w:t>
      </w:r>
      <w:r w:rsidRPr="000E402C" w:rsidR="009F331C">
        <w:rPr>
          <w:color w:val="000000"/>
        </w:rPr>
        <w:t>permit</w:t>
      </w:r>
      <w:r w:rsidR="00F60302">
        <w:rPr>
          <w:color w:val="000000"/>
        </w:rPr>
        <w:t xml:space="preserve"> </w:t>
      </w:r>
      <w:r w:rsidRPr="000E402C">
        <w:rPr>
          <w:color w:val="000000"/>
        </w:rPr>
        <w:t>providers approximately three months prio</w:t>
      </w:r>
      <w:r w:rsidR="009F331C">
        <w:rPr>
          <w:color w:val="000000"/>
        </w:rPr>
        <w:t>r to the permit expiration date,</w:t>
      </w:r>
      <w:r w:rsidRPr="000E402C">
        <w:rPr>
          <w:color w:val="000000"/>
        </w:rPr>
        <w:t xml:space="preserve"> if all information is correct, the form </w:t>
      </w:r>
      <w:r w:rsidR="009F331C">
        <w:rPr>
          <w:color w:val="000000"/>
        </w:rPr>
        <w:t>can</w:t>
      </w:r>
      <w:r w:rsidRPr="000E402C">
        <w:rPr>
          <w:color w:val="000000"/>
        </w:rPr>
        <w:t xml:space="preserve"> be signed and returned.  Information on the renewal form includes: Identification of the management, organizational structure, and ownership structure of the applicant's business, provider contact information, a statement signed under penalty of perjury from each owner, or owners, board members, and officers </w:t>
      </w:r>
      <w:r>
        <w:rPr>
          <w:color w:val="000000"/>
        </w:rPr>
        <w:t>o</w:t>
      </w:r>
      <w:r w:rsidRPr="000E402C">
        <w:rPr>
          <w:color w:val="000000"/>
        </w:rPr>
        <w:t xml:space="preserve">f a corporation, that they have no conflict of interest, and a statement on conflict of interest, </w:t>
      </w:r>
      <w:r w:rsidRPr="000E402C">
        <w:t>and</w:t>
      </w:r>
      <w:r w:rsidRPr="000E402C">
        <w:rPr>
          <w:bCs/>
        </w:rPr>
        <w:t xml:space="preserve"> a statement describing any criminal convictions.  If the renewal application is complete and submitted timely, NMFS would issue a permit effective January 1 of the following year. </w:t>
      </w:r>
      <w:r>
        <w:rPr>
          <w:bCs/>
        </w:rPr>
        <w:t>Fewer than five applications are expected each year.</w:t>
      </w:r>
    </w:p>
    <w:p w:rsidR="00620B7C" w:rsidRPr="000E402C" w:rsidP="00620B7C">
      <w:pPr>
        <w:autoSpaceDE w:val="0"/>
        <w:autoSpaceDN w:val="0"/>
        <w:adjustRightInd w:val="0"/>
        <w:rPr>
          <w:color w:val="000000"/>
        </w:rPr>
      </w:pPr>
    </w:p>
    <w:p w:rsidR="00620B7C" w:rsidRPr="000E402C" w:rsidP="00620B7C">
      <w:pPr>
        <w:autoSpaceDE w:val="0"/>
        <w:autoSpaceDN w:val="0"/>
        <w:adjustRightInd w:val="0"/>
        <w:rPr>
          <w:color w:val="000000"/>
        </w:rPr>
      </w:pPr>
      <w:r w:rsidRPr="000E402C">
        <w:rPr>
          <w:color w:val="000000"/>
          <w:u w:val="single"/>
        </w:rPr>
        <w:t>Provider permit appeals submissions</w:t>
      </w:r>
      <w:r w:rsidRPr="000E402C">
        <w:rPr>
          <w:color w:val="000000"/>
        </w:rPr>
        <w:t xml:space="preserve"> are narratives that may be received from businesses whose permits or endorsements expired due to inactivity (no deployments for 12 months).  If NMFS disapproves a provider permit application or renewal, the agency will send a letter to the applicant detailing the reasons for its determination.  The applicant would have an opportunity to submit in writing to NMFS an appeal and must allege credible facts or circumstances that show that the application requirements have been met.  An appeal request must be requested no later than 60 calendar days after the date of the determination letter provided from NMFS.  The purpose of an appeals submission is to provide NMFS with information that may result in the business maintaining its permit.  One </w:t>
      </w:r>
      <w:r>
        <w:rPr>
          <w:color w:val="000000"/>
        </w:rPr>
        <w:t>appeals letter</w:t>
      </w:r>
      <w:r w:rsidRPr="000E402C">
        <w:rPr>
          <w:color w:val="000000"/>
        </w:rPr>
        <w:t xml:space="preserve"> is expected to be submitted annually.</w:t>
      </w:r>
    </w:p>
    <w:p w:rsidR="00620B7C" w:rsidP="0021652C">
      <w:pPr>
        <w:autoSpaceDE w:val="0"/>
        <w:autoSpaceDN w:val="0"/>
        <w:adjustRightInd w:val="0"/>
        <w:rPr>
          <w:b/>
          <w:bCs/>
          <w:color w:val="000000"/>
        </w:rPr>
      </w:pPr>
    </w:p>
    <w:p w:rsidR="00545E61" w:rsidRPr="00545E61" w:rsidP="00620B7C">
      <w:pPr>
        <w:autoSpaceDE w:val="0"/>
        <w:autoSpaceDN w:val="0"/>
        <w:adjustRightInd w:val="0"/>
        <w:rPr>
          <w:rFonts w:ascii="TimesNewRoman,Bold" w:hAnsi="TimesNewRoman,Bold" w:cs="TimesNewRoman,Bold"/>
          <w:b/>
          <w:bCs/>
          <w:color w:val="000000"/>
        </w:rPr>
      </w:pPr>
      <w:r w:rsidRPr="00545E61">
        <w:rPr>
          <w:rFonts w:ascii="TimesNewRoman,Bold" w:hAnsi="TimesNewRoman,Bold" w:cs="TimesNewRoman,Bold"/>
          <w:bCs/>
          <w:color w:val="000000"/>
          <w:u w:val="single"/>
        </w:rPr>
        <w:t>A catch monitor appeal</w:t>
      </w:r>
      <w:r w:rsidRPr="00545E61">
        <w:rPr>
          <w:rFonts w:ascii="TimesNewRoman,Bold" w:hAnsi="TimesNewRoman,Bold" w:cs="TimesNewRoman,Bold"/>
          <w:bCs/>
          <w:color w:val="000000"/>
        </w:rPr>
        <w:t xml:space="preserve"> is a narrative that NMFS may receive from individuals that were denied a catch monitor certification or that have been decertified. The purpose of an appeals submission is to provide NMFS with information that may result in the individual receiving a certification or not being decertified.</w:t>
      </w:r>
      <w:r>
        <w:rPr>
          <w:rFonts w:ascii="TimesNewRoman,Bold" w:hAnsi="TimesNewRoman,Bold" w:cs="TimesNewRoman,Bold"/>
          <w:bCs/>
          <w:color w:val="000000"/>
        </w:rPr>
        <w:t xml:space="preserve"> </w:t>
      </w:r>
      <w:r w:rsidRPr="00545E61">
        <w:rPr>
          <w:rFonts w:ascii="TimesNewRoman,Bold" w:hAnsi="TimesNewRoman,Bold" w:cs="TimesNewRoman,Bold"/>
          <w:bCs/>
          <w:color w:val="000000"/>
        </w:rPr>
        <w:t>Fewer than two letters are expected to be submitted annually.</w:t>
      </w:r>
    </w:p>
    <w:p w:rsidR="001736B4" w:rsidRPr="000E402C" w:rsidP="00D83CE6">
      <w:pPr>
        <w:pStyle w:val="BodyText"/>
        <w:tabs>
          <w:tab w:val="left" w:pos="1885"/>
        </w:tabs>
        <w:ind w:left="0" w:right="213"/>
        <w:rPr>
          <w:spacing w:val="-1"/>
          <w:u w:val="single" w:color="000000"/>
        </w:rPr>
      </w:pPr>
    </w:p>
    <w:p w:rsidR="00D83CE6" w:rsidRPr="000E402C" w:rsidP="00D83CE6">
      <w:pPr>
        <w:pStyle w:val="BodyText"/>
        <w:tabs>
          <w:tab w:val="left" w:pos="1885"/>
        </w:tabs>
        <w:ind w:left="0" w:right="213"/>
        <w:rPr>
          <w:spacing w:val="-1"/>
          <w:u w:val="single" w:color="000000"/>
        </w:rPr>
      </w:pPr>
      <w:r w:rsidRPr="000E402C">
        <w:rPr>
          <w:spacing w:val="-1"/>
          <w:u w:val="single" w:color="000000"/>
        </w:rPr>
        <w:t>At-sea</w:t>
      </w:r>
      <w:r w:rsidRPr="000E402C">
        <w:rPr>
          <w:u w:val="single" w:color="000000"/>
        </w:rPr>
        <w:t xml:space="preserve"> </w:t>
      </w:r>
      <w:r w:rsidRPr="000E402C">
        <w:rPr>
          <w:spacing w:val="-1"/>
          <w:u w:val="single" w:color="000000"/>
        </w:rPr>
        <w:t>scales</w:t>
      </w:r>
      <w:r w:rsidRPr="000E402C">
        <w:rPr>
          <w:spacing w:val="1"/>
          <w:u w:val="single" w:color="000000"/>
        </w:rPr>
        <w:t xml:space="preserve"> </w:t>
      </w:r>
      <w:r w:rsidRPr="000E402C" w:rsidR="00532ADF">
        <w:rPr>
          <w:spacing w:val="1"/>
          <w:u w:val="single" w:color="000000"/>
        </w:rPr>
        <w:t>for mothership and catcher/processor vessels that weigh catch at-sea.</w:t>
      </w:r>
      <w:r w:rsidRPr="000E402C">
        <w:rPr>
          <w:spacing w:val="-1"/>
          <w:u w:val="single" w:color="000000"/>
        </w:rPr>
        <w:t xml:space="preserve"> </w:t>
      </w:r>
    </w:p>
    <w:p w:rsidR="001736B4" w:rsidRPr="000E402C" w:rsidP="00E037C3">
      <w:pPr>
        <w:autoSpaceDE w:val="0"/>
        <w:autoSpaceDN w:val="0"/>
        <w:adjustRightInd w:val="0"/>
      </w:pPr>
    </w:p>
    <w:p w:rsidR="00E037C3" w:rsidRPr="000E402C" w:rsidP="00E037C3">
      <w:pPr>
        <w:autoSpaceDE w:val="0"/>
        <w:autoSpaceDN w:val="0"/>
        <w:adjustRightInd w:val="0"/>
      </w:pPr>
      <w:r w:rsidRPr="000E402C">
        <w:t>The At-Sea Scale Program is dependent on two types of motion-compensated electronic scales.</w:t>
      </w:r>
    </w:p>
    <w:p w:rsidR="00E037C3" w:rsidRPr="000E402C" w:rsidP="00E037C3">
      <w:pPr>
        <w:numPr>
          <w:ilvl w:val="0"/>
          <w:numId w:val="26"/>
        </w:numPr>
        <w:autoSpaceDE w:val="0"/>
        <w:autoSpaceDN w:val="0"/>
        <w:adjustRightInd w:val="0"/>
      </w:pPr>
      <w:r w:rsidRPr="000E402C">
        <w:t>A platform scale with a capacity between 50 and 60 kg is used by NMFS-certified</w:t>
      </w:r>
    </w:p>
    <w:p w:rsidR="00E037C3" w:rsidRPr="000E402C" w:rsidP="00E037C3">
      <w:pPr>
        <w:autoSpaceDE w:val="0"/>
        <w:autoSpaceDN w:val="0"/>
        <w:adjustRightInd w:val="0"/>
        <w:ind w:left="720"/>
      </w:pPr>
      <w:r>
        <w:t>o</w:t>
      </w:r>
      <w:r w:rsidRPr="000E402C">
        <w:t xml:space="preserve">bservers as part of their sampling duties and to verify the accuracy of the flow scale. </w:t>
      </w:r>
    </w:p>
    <w:p w:rsidR="00E037C3" w:rsidRPr="000E402C" w:rsidP="00E037C3">
      <w:pPr>
        <w:numPr>
          <w:ilvl w:val="0"/>
          <w:numId w:val="26"/>
        </w:numPr>
        <w:autoSpaceDE w:val="0"/>
        <w:autoSpaceDN w:val="0"/>
        <w:adjustRightInd w:val="0"/>
        <w:rPr>
          <w:noProof/>
        </w:rPr>
      </w:pPr>
      <w:r w:rsidRPr="000E402C">
        <w:t>A flow scale, or self-contained belt scale, is capable of continuously weighing up to 100 metric tons (mt) of fish per hour and is used by the vessel to weigh either total catch or quota species.</w:t>
      </w:r>
    </w:p>
    <w:p w:rsidR="00D83CE6" w:rsidRPr="000E402C" w:rsidP="00D83CE6">
      <w:pPr>
        <w:pStyle w:val="BodyText"/>
        <w:tabs>
          <w:tab w:val="left" w:pos="1885"/>
        </w:tabs>
        <w:ind w:left="0" w:right="213"/>
        <w:rPr>
          <w:spacing w:val="-1"/>
          <w:u w:val="single" w:color="000000"/>
        </w:rPr>
      </w:pPr>
    </w:p>
    <w:p w:rsidR="00D83CE6" w:rsidRPr="000E402C" w:rsidP="00D83CE6">
      <w:pPr>
        <w:pStyle w:val="BodyText"/>
        <w:tabs>
          <w:tab w:val="left" w:pos="1885"/>
        </w:tabs>
        <w:ind w:left="0" w:right="213"/>
      </w:pPr>
      <w:r w:rsidRPr="000E402C">
        <w:rPr>
          <w:i/>
          <w:iCs/>
        </w:rPr>
        <w:t>Annual inspection.</w:t>
      </w:r>
      <w:r w:rsidRPr="000E402C">
        <w:t xml:space="preserve"> Once a scale is installed on a vessel and approved by NMFS for use to weigh fish at-sea, it must be </w:t>
      </w:r>
      <w:r w:rsidRPr="000E402C" w:rsidR="00637C7E">
        <w:t>re-</w:t>
      </w:r>
      <w:r w:rsidRPr="000E402C">
        <w:t xml:space="preserve">inspected every 12 months to ensure </w:t>
      </w:r>
      <w:r w:rsidRPr="000E402C">
        <w:rPr>
          <w:shd w:val="clear" w:color="auto" w:fill="FFFFFF"/>
        </w:rPr>
        <w:t>the scale meets all of the applicable performance and technical requirements</w:t>
      </w:r>
      <w:r w:rsidRPr="000E402C" w:rsidR="004131C2">
        <w:rPr>
          <w:shd w:val="clear" w:color="auto" w:fill="FFFFFF"/>
        </w:rPr>
        <w:t>.  The Alaska Region conduct</w:t>
      </w:r>
      <w:r w:rsidRPr="000E402C" w:rsidR="009A0D6B">
        <w:rPr>
          <w:shd w:val="clear" w:color="auto" w:fill="FFFFFF"/>
        </w:rPr>
        <w:t>s</w:t>
      </w:r>
      <w:r w:rsidRPr="000E402C" w:rsidR="004131C2">
        <w:rPr>
          <w:shd w:val="clear" w:color="auto" w:fill="FFFFFF"/>
        </w:rPr>
        <w:t xml:space="preserve"> the </w:t>
      </w:r>
      <w:r w:rsidRPr="000E402C" w:rsidR="009A0D6B">
        <w:rPr>
          <w:shd w:val="clear" w:color="auto" w:fill="FFFFFF"/>
        </w:rPr>
        <w:t>inspections</w:t>
      </w:r>
      <w:r w:rsidRPr="000E402C" w:rsidR="004131C2">
        <w:rPr>
          <w:shd w:val="clear" w:color="auto" w:fill="FFFFFF"/>
        </w:rPr>
        <w:t xml:space="preserve"> for the affected vessels. Therefore, t</w:t>
      </w:r>
      <w:r w:rsidRPr="000E402C" w:rsidR="002C4273">
        <w:t xml:space="preserve">he burden </w:t>
      </w:r>
      <w:r w:rsidRPr="000E402C" w:rsidR="004F5CCE">
        <w:t>hours associated with th</w:t>
      </w:r>
      <w:r w:rsidRPr="000E402C" w:rsidR="004131C2">
        <w:t>e inspections are</w:t>
      </w:r>
      <w:r w:rsidRPr="000E402C" w:rsidR="002C4273">
        <w:t xml:space="preserve"> covered by the Alaska collection </w:t>
      </w:r>
      <w:r w:rsidRPr="000E402C" w:rsidR="004131C2">
        <w:t>OMB control no. 0648-</w:t>
      </w:r>
      <w:r w:rsidRPr="000E402C" w:rsidR="002C4273">
        <w:t>0330</w:t>
      </w:r>
      <w:r w:rsidRPr="000E402C" w:rsidR="004131C2">
        <w:t>.</w:t>
      </w:r>
    </w:p>
    <w:p w:rsidR="004131C2" w:rsidRPr="000E402C" w:rsidP="00D83CE6">
      <w:pPr>
        <w:pStyle w:val="BodyText"/>
        <w:tabs>
          <w:tab w:val="left" w:pos="1885"/>
        </w:tabs>
        <w:ind w:left="0" w:right="213"/>
      </w:pPr>
    </w:p>
    <w:p w:rsidR="002C4273" w:rsidRPr="000E402C" w:rsidP="00B37047">
      <w:pPr>
        <w:rPr>
          <w:color w:val="000000"/>
        </w:rPr>
      </w:pPr>
      <w:r w:rsidRPr="000E402C">
        <w:rPr>
          <w:i/>
        </w:rPr>
        <w:t xml:space="preserve">Daily </w:t>
      </w:r>
      <w:r w:rsidRPr="000E402C" w:rsidR="005121D7">
        <w:rPr>
          <w:i/>
        </w:rPr>
        <w:t xml:space="preserve">scale </w:t>
      </w:r>
      <w:r w:rsidRPr="000E402C">
        <w:rPr>
          <w:i/>
        </w:rPr>
        <w:t>testing</w:t>
      </w:r>
      <w:r w:rsidRPr="000E402C">
        <w:t xml:space="preserve">. </w:t>
      </w:r>
      <w:r w:rsidRPr="000E402C" w:rsidR="00B37047">
        <w:t xml:space="preserve"> Flow (b</w:t>
      </w:r>
      <w:r w:rsidRPr="000E402C" w:rsidR="005121D7">
        <w:t>elt</w:t>
      </w:r>
      <w:r w:rsidRPr="000E402C" w:rsidR="00B37047">
        <w:t xml:space="preserve">) </w:t>
      </w:r>
      <w:r w:rsidRPr="000E402C" w:rsidR="005121D7">
        <w:t xml:space="preserve">and platform </w:t>
      </w:r>
      <w:r w:rsidRPr="000E402C">
        <w:t>scale</w:t>
      </w:r>
      <w:r w:rsidRPr="000E402C" w:rsidR="0034138C">
        <w:t>s</w:t>
      </w:r>
      <w:r w:rsidRPr="000E402C">
        <w:t xml:space="preserve"> used to weigh fish </w:t>
      </w:r>
      <w:r w:rsidRPr="000E402C" w:rsidR="0034138C">
        <w:t xml:space="preserve">at-sea </w:t>
      </w:r>
      <w:r w:rsidRPr="000E402C">
        <w:t xml:space="preserve">must be tested </w:t>
      </w:r>
      <w:r w:rsidRPr="000E402C" w:rsidR="0034138C">
        <w:t>daily.</w:t>
      </w:r>
      <w:r w:rsidRPr="000E402C">
        <w:t xml:space="preserve"> </w:t>
      </w:r>
      <w:r w:rsidRPr="000E402C" w:rsidR="005121D7">
        <w:t xml:space="preserve"> </w:t>
      </w:r>
      <w:r w:rsidRPr="000E402C" w:rsidR="00D74B77">
        <w:t xml:space="preserve">The test information is reported on a </w:t>
      </w:r>
      <w:r w:rsidRPr="000E402C" w:rsidR="004131C2">
        <w:t xml:space="preserve">scale </w:t>
      </w:r>
      <w:r w:rsidRPr="000E402C" w:rsidR="00D74B77">
        <w:t xml:space="preserve">test </w:t>
      </w:r>
      <w:r w:rsidRPr="000E402C" w:rsidR="00253A8A">
        <w:t xml:space="preserve">report </w:t>
      </w:r>
      <w:r w:rsidRPr="000E402C" w:rsidR="00D74B77">
        <w:t>form</w:t>
      </w:r>
      <w:r w:rsidRPr="000E402C" w:rsidR="0034138C">
        <w:t xml:space="preserve"> which is used by NMFS to ensure scale accuracy.</w:t>
      </w:r>
      <w:r w:rsidRPr="000E402C" w:rsidR="00B37047">
        <w:t xml:space="preserve"> This is the only test that ensures the scale accuracy while the scale is in motion.</w:t>
      </w:r>
    </w:p>
    <w:p w:rsidR="002C4273" w:rsidRPr="000E402C" w:rsidP="002C4273">
      <w:pPr>
        <w:rPr>
          <w:color w:val="000000"/>
        </w:rPr>
      </w:pPr>
    </w:p>
    <w:p w:rsidR="00D74B77" w:rsidRPr="000E402C" w:rsidP="00D74B77">
      <w:pPr>
        <w:rPr>
          <w:i/>
          <w:iCs/>
          <w:color w:val="000000"/>
        </w:rPr>
      </w:pPr>
      <w:r w:rsidRPr="000E402C">
        <w:rPr>
          <w:i/>
          <w:color w:val="000000"/>
        </w:rPr>
        <w:t>Printed r</w:t>
      </w:r>
      <w:r w:rsidRPr="000E402C">
        <w:rPr>
          <w:i/>
          <w:iCs/>
          <w:color w:val="000000"/>
        </w:rPr>
        <w:t xml:space="preserve">eports </w:t>
      </w:r>
    </w:p>
    <w:p w:rsidR="00D74B77" w:rsidRPr="000E402C" w:rsidP="004D3F7D">
      <w:pPr>
        <w:numPr>
          <w:ilvl w:val="0"/>
          <w:numId w:val="26"/>
        </w:numPr>
        <w:autoSpaceDE w:val="0"/>
        <w:autoSpaceDN w:val="0"/>
        <w:adjustRightInd w:val="0"/>
        <w:rPr>
          <w:color w:val="000000"/>
        </w:rPr>
      </w:pPr>
      <w:r w:rsidRPr="000E402C">
        <w:rPr>
          <w:i/>
          <w:iCs/>
          <w:color w:val="000000"/>
        </w:rPr>
        <w:t>Daily c</w:t>
      </w:r>
      <w:r w:rsidRPr="000E402C" w:rsidR="002C4273">
        <w:rPr>
          <w:i/>
          <w:iCs/>
          <w:color w:val="000000"/>
        </w:rPr>
        <w:t>atch weight and cumulative weight.</w:t>
      </w:r>
      <w:r w:rsidRPr="000E402C" w:rsidR="002C4273">
        <w:rPr>
          <w:color w:val="000000"/>
        </w:rPr>
        <w:t xml:space="preserve">  </w:t>
      </w:r>
      <w:r w:rsidRPr="000E402C" w:rsidR="00E228A2">
        <w:rPr>
          <w:color w:val="000000"/>
        </w:rPr>
        <w:t>S</w:t>
      </w:r>
      <w:r w:rsidRPr="000E402C" w:rsidR="002C4273">
        <w:rPr>
          <w:color w:val="000000"/>
        </w:rPr>
        <w:t xml:space="preserve">cale </w:t>
      </w:r>
      <w:r w:rsidRPr="000E402C" w:rsidR="00E228A2">
        <w:rPr>
          <w:color w:val="000000"/>
        </w:rPr>
        <w:t>printouts</w:t>
      </w:r>
      <w:r w:rsidRPr="000E402C" w:rsidR="002C4273">
        <w:rPr>
          <w:color w:val="000000"/>
        </w:rPr>
        <w:t xml:space="preserve"> must be </w:t>
      </w:r>
      <w:r w:rsidRPr="000E402C" w:rsidR="00E228A2">
        <w:rPr>
          <w:color w:val="000000"/>
        </w:rPr>
        <w:t xml:space="preserve">produced </w:t>
      </w:r>
      <w:r w:rsidRPr="000E402C" w:rsidR="002C4273">
        <w:rPr>
          <w:color w:val="000000"/>
        </w:rPr>
        <w:t xml:space="preserve">at least </w:t>
      </w:r>
      <w:r w:rsidRPr="000E402C" w:rsidR="0034138C">
        <w:rPr>
          <w:color w:val="000000"/>
        </w:rPr>
        <w:t xml:space="preserve">daily </w:t>
      </w:r>
      <w:r w:rsidRPr="000E402C" w:rsidR="002C4273">
        <w:t>and</w:t>
      </w:r>
      <w:r w:rsidRPr="000E402C" w:rsidR="002C4273">
        <w:rPr>
          <w:color w:val="FF0000"/>
        </w:rPr>
        <w:t xml:space="preserve"> </w:t>
      </w:r>
      <w:r w:rsidRPr="000E402C" w:rsidR="002C4273">
        <w:rPr>
          <w:color w:val="000000"/>
        </w:rPr>
        <w:t>before any information stored in the scale</w:t>
      </w:r>
      <w:r w:rsidRPr="000E402C" w:rsidR="00E228A2">
        <w:rPr>
          <w:color w:val="000000"/>
        </w:rPr>
        <w:t>’s</w:t>
      </w:r>
      <w:r w:rsidRPr="000E402C" w:rsidR="002C4273">
        <w:rPr>
          <w:color w:val="000000"/>
        </w:rPr>
        <w:t xml:space="preserve"> memory is replaced. Scale printouts show: the vessel name and permit number; the date and time the information was printed; the haul number; the total weight of the haul; and, the total cumulative weight of all fish and other material weighed on the scale since the last annual inspection.</w:t>
      </w:r>
      <w:r w:rsidRPr="000E402C">
        <w:rPr>
          <w:color w:val="000000"/>
        </w:rPr>
        <w:t xml:space="preserve">   </w:t>
      </w:r>
      <w:r w:rsidRPr="000E402C" w:rsidR="004D3F7D">
        <w:t xml:space="preserve">The printed output of scale weights is used by NMFS staff, observers, and </w:t>
      </w:r>
      <w:r w:rsidRPr="000E402C" w:rsidR="00AE11B4">
        <w:t>e</w:t>
      </w:r>
      <w:r w:rsidRPr="000E402C" w:rsidR="004D3F7D">
        <w:t>nforcement</w:t>
      </w:r>
      <w:r w:rsidRPr="000E402C" w:rsidR="00AE11B4">
        <w:t xml:space="preserve"> </w:t>
      </w:r>
      <w:r w:rsidRPr="000E402C" w:rsidR="004D3F7D">
        <w:t>personnel to maintain accurate records of catch and to ensure compliance with quotas. The scale printout also forms the basis of an audit trail for each haul that can be used to resolve inconsistencies in catch reports submitted by the observer and the vessel or processor. These printouts are not submitted to NMFS. The printed report must be provided to the authorized scale inspector at each scale inspection and must also be printed at any time during the fishing year upon request of the observer, the scale inspector, NMFS staff, or an authorized officer. The printed reports must be retained by the vessel owner for three years after the test occurred.</w:t>
      </w:r>
    </w:p>
    <w:p w:rsidR="00D74B77" w:rsidRPr="000E402C" w:rsidP="00D74B77">
      <w:pPr>
        <w:rPr>
          <w:color w:val="000000"/>
        </w:rPr>
      </w:pPr>
    </w:p>
    <w:p w:rsidR="00F14B6C" w:rsidRPr="000E402C" w:rsidP="00F14B6C">
      <w:pPr>
        <w:numPr>
          <w:ilvl w:val="0"/>
          <w:numId w:val="25"/>
        </w:numPr>
        <w:autoSpaceDE w:val="0"/>
        <w:autoSpaceDN w:val="0"/>
        <w:adjustRightInd w:val="0"/>
      </w:pPr>
      <w:r w:rsidRPr="000E402C">
        <w:rPr>
          <w:i/>
          <w:iCs/>
          <w:color w:val="000000"/>
        </w:rPr>
        <w:t>A</w:t>
      </w:r>
      <w:r w:rsidRPr="000E402C" w:rsidR="002C4273">
        <w:rPr>
          <w:i/>
          <w:iCs/>
          <w:color w:val="000000"/>
        </w:rPr>
        <w:t>udit trail.</w:t>
      </w:r>
      <w:r w:rsidRPr="000E402C" w:rsidR="002C4273">
        <w:rPr>
          <w:color w:val="000000"/>
        </w:rPr>
        <w:t> </w:t>
      </w:r>
      <w:r w:rsidRPr="000E402C" w:rsidR="00E228A2">
        <w:rPr>
          <w:color w:val="000000"/>
        </w:rPr>
        <w:t xml:space="preserve"> </w:t>
      </w:r>
      <w:r w:rsidRPr="000E402C" w:rsidR="00AE11B4">
        <w:rPr>
          <w:color w:val="000000"/>
        </w:rPr>
        <w:t>Adjustments to the scale must be recorded in the form of an audit trail that can only be cleared by NMFS or other authorized personnel. Although scales may be recalibrated or tested at any time during the day, the audit trail is designed to record information that will be used to determine whether a scale had been incorrectly adjusted and then readjusted just prior to the scale test. An audit trail in the form of an event logger must be provided to document changes made using adjustable components</w:t>
      </w:r>
      <w:r w:rsidRPr="000E402C" w:rsidR="000F063C">
        <w:rPr>
          <w:color w:val="000000"/>
        </w:rPr>
        <w:t xml:space="preserve"> and</w:t>
      </w:r>
      <w:r w:rsidRPr="000E402C" w:rsidR="00AE11B4">
        <w:rPr>
          <w:color w:val="000000"/>
        </w:rPr>
        <w:t xml:space="preserve"> </w:t>
      </w:r>
      <w:r w:rsidRPr="000E402C" w:rsidR="000F063C">
        <w:rPr>
          <w:color w:val="000000"/>
        </w:rPr>
        <w:t>cannot be changed or erased by the scale operator, can be printed at any time, and can be cleared by the scale manufacturer’s representative upon direction by NMFS or by an authorized scale inspector.</w:t>
      </w:r>
    </w:p>
    <w:p w:rsidR="00F14B6C" w:rsidRPr="000E402C" w:rsidP="00F14B6C">
      <w:pPr>
        <w:autoSpaceDE w:val="0"/>
        <w:autoSpaceDN w:val="0"/>
        <w:adjustRightInd w:val="0"/>
        <w:rPr>
          <w:color w:val="000000"/>
        </w:rPr>
      </w:pPr>
    </w:p>
    <w:p w:rsidR="00F14B6C" w:rsidRPr="000E402C" w:rsidP="00F14B6C">
      <w:pPr>
        <w:autoSpaceDE w:val="0"/>
        <w:autoSpaceDN w:val="0"/>
        <w:adjustRightInd w:val="0"/>
        <w:ind w:left="720"/>
        <w:rPr>
          <w:highlight w:val="red"/>
        </w:rPr>
      </w:pPr>
      <w:r w:rsidRPr="000E402C">
        <w:rPr>
          <w:i/>
        </w:rPr>
        <w:t>Calibration log</w:t>
      </w:r>
      <w:r w:rsidRPr="000E402C">
        <w:t xml:space="preserve">. The vessel operator must print the calibration log on request by NMFS staff or an authorized officer, or person authorized by NMFS. Because of improvements made to scale electronics, it is now possible to record the magnitude and direction of a calibration relative to the previous calibration. It is also possible to record the time a calibration occurred. Requiring the retention and reporting of calibration data could be used to detect purposeful mis-calibration, thereby reducing the likelihood of underreporting of catch. NMFS would require vessel operators to print and retain a calibration log that records the last 1,000 calibrations or all calibrations since the scale electronics were first put into service, whichever is less. The limit of 1,000 faults and 1,000 calibrations would be expected to accommodate the total number of calibrations likely to occur between annual scale inspections.  The calibration log must be printed and retained by the vessel owner before any information stored in the scale computer </w:t>
      </w:r>
      <w:r w:rsidRPr="000E402C">
        <w:t>memory is replaced. NMFS would not require submission of the printed record of the scale calibration log but would collect and review those data at the time of the annual scale inspection. Those data must also be available to OLE in cases where scale tampering is suspected. The calibration log must be printed on request by NMFS staff or NMFS authorized personnel and must also be printed and retained by the vessel owner before any information stored in the scale computer memory is replaced.</w:t>
      </w:r>
    </w:p>
    <w:p w:rsidR="00C01266" w:rsidRPr="000E402C" w:rsidP="00C01266">
      <w:pPr>
        <w:ind w:left="720"/>
      </w:pPr>
    </w:p>
    <w:p w:rsidR="00C01266" w:rsidRPr="000E402C" w:rsidP="00E037C3">
      <w:pPr>
        <w:numPr>
          <w:ilvl w:val="0"/>
          <w:numId w:val="25"/>
        </w:numPr>
      </w:pPr>
      <w:r w:rsidRPr="000E402C">
        <w:rPr>
          <w:i/>
        </w:rPr>
        <w:t>Fault log</w:t>
      </w:r>
      <w:r w:rsidRPr="000E402C">
        <w:t xml:space="preserve">. </w:t>
      </w:r>
      <w:r w:rsidRPr="000E402C" w:rsidR="00E037C3">
        <w:t>The operator must ensure that each scale is tested as specified in regulation and that the information from all scale tests, including failed tests, is reported. The reporting of failed tests will result in less bias in overall test results and will improve the ability to monitor scale results. In addition, better consistency in reporting through time will result.</w:t>
      </w:r>
    </w:p>
    <w:p w:rsidR="002C4273" w:rsidRPr="000E402C" w:rsidP="00D83CE6"/>
    <w:p w:rsidR="00B96A13" w:rsidRPr="000E402C" w:rsidP="00D83CE6">
      <w:r w:rsidRPr="000E402C">
        <w:rPr>
          <w:i/>
        </w:rPr>
        <w:t xml:space="preserve">Notify Observer of flow scale test.  </w:t>
      </w:r>
      <w:r w:rsidRPr="000E402C">
        <w:t>Each vessel operator must notify the observer at least 15 minutes before the time that a scale test will be conducted and must conduct the test while the observer is present. No form exists for this notice; vessel personnel verbally inform the observer that a scale test is scheduled.</w:t>
      </w:r>
      <w:r w:rsidRPr="000E402C" w:rsidR="0095752B">
        <w:t xml:space="preserve"> </w:t>
      </w:r>
    </w:p>
    <w:p w:rsidR="00C01266" w:rsidRPr="000E402C" w:rsidP="00D83CE6"/>
    <w:p w:rsidR="00D83CE6" w:rsidRPr="000E402C" w:rsidP="00D83CE6">
      <w:r w:rsidRPr="000E402C">
        <w:rPr>
          <w:i/>
        </w:rPr>
        <w:t>Video monitoring of flow scale area.</w:t>
      </w:r>
      <w:r w:rsidRPr="000E402C">
        <w:t xml:space="preserve"> Vessels required to weigh catch at-sea must provide video monitoring of fish entering, moving across, and leaving the weighing platform of the scale. </w:t>
      </w:r>
      <w:r w:rsidRPr="000E402C" w:rsidR="003F4D39">
        <w:t>Vessels are also required to provide</w:t>
      </w:r>
      <w:r w:rsidRPr="000E402C">
        <w:t xml:space="preserve"> video monitoring of all access panels allowing adjustments to the scale, and of crew activities in these areas. The scale display head and the light showing when the scale is in fault mode would need to be within the camera view. </w:t>
      </w:r>
      <w:r w:rsidRPr="000E402C" w:rsidR="002A3FFC">
        <w:t>The video allow</w:t>
      </w:r>
      <w:r w:rsidRPr="000E402C" w:rsidR="003F4D39">
        <w:t>s</w:t>
      </w:r>
      <w:r w:rsidRPr="000E402C" w:rsidR="002A3FFC">
        <w:t xml:space="preserve"> </w:t>
      </w:r>
      <w:r w:rsidRPr="000E402C">
        <w:t>NMFS to verify that all catch is being weighed, that no one is tampering with the scale, and that the scale is operating correctly</w:t>
      </w:r>
      <w:r w:rsidRPr="000E402C" w:rsidR="002A3FFC">
        <w:t>.</w:t>
      </w:r>
    </w:p>
    <w:p w:rsidR="004F5CCE" w:rsidRPr="000E402C" w:rsidP="00D83CE6"/>
    <w:p w:rsidR="005974C2" w:rsidRPr="000E402C" w:rsidP="005974C2">
      <w:pPr>
        <w:rPr>
          <w:color w:val="222222"/>
          <w:highlight w:val="yellow"/>
          <w:shd w:val="clear" w:color="auto" w:fill="FFFFFF"/>
        </w:rPr>
      </w:pPr>
      <w:r w:rsidRPr="000E402C">
        <w:rPr>
          <w:color w:val="222222"/>
          <w:u w:val="single"/>
          <w:shd w:val="clear" w:color="auto" w:fill="FFFFFF"/>
        </w:rPr>
        <w:t xml:space="preserve">Maximized retention records </w:t>
      </w:r>
      <w:r w:rsidRPr="000E402C" w:rsidR="00532ADF">
        <w:rPr>
          <w:color w:val="222222"/>
          <w:u w:val="single"/>
          <w:shd w:val="clear" w:color="auto" w:fill="FFFFFF"/>
        </w:rPr>
        <w:t>from Pacific whiting first receivers</w:t>
      </w:r>
      <w:r w:rsidRPr="000E402C" w:rsidR="00532ADF">
        <w:rPr>
          <w:color w:val="222222"/>
          <w:shd w:val="clear" w:color="auto" w:fill="FFFFFF"/>
        </w:rPr>
        <w:t>.</w:t>
      </w:r>
    </w:p>
    <w:p w:rsidR="005974C2" w:rsidRPr="000E402C" w:rsidP="005974C2">
      <w:pPr>
        <w:rPr>
          <w:color w:val="222222"/>
          <w:highlight w:val="yellow"/>
          <w:shd w:val="clear" w:color="auto" w:fill="FFFFFF"/>
        </w:rPr>
      </w:pPr>
    </w:p>
    <w:p w:rsidR="002A3FFC" w:rsidRPr="000E402C" w:rsidP="002A3FFC">
      <w:pPr>
        <w:rPr>
          <w:color w:val="222222"/>
          <w:shd w:val="clear" w:color="auto" w:fill="FFFFFF"/>
        </w:rPr>
      </w:pPr>
      <w:r w:rsidRPr="000E402C">
        <w:rPr>
          <w:color w:val="222222"/>
          <w:shd w:val="clear" w:color="auto" w:fill="FFFFFF"/>
        </w:rPr>
        <w:t xml:space="preserve">There are currently </w:t>
      </w:r>
      <w:r w:rsidR="008902FA">
        <w:rPr>
          <w:color w:val="222222"/>
          <w:shd w:val="clear" w:color="auto" w:fill="FFFFFF"/>
        </w:rPr>
        <w:t>45</w:t>
      </w:r>
      <w:r w:rsidRPr="00741224">
        <w:rPr>
          <w:color w:val="222222"/>
          <w:shd w:val="clear" w:color="auto" w:fill="FFFFFF"/>
        </w:rPr>
        <w:t xml:space="preserve"> Pacific whiting first receivers.</w:t>
      </w:r>
      <w:r w:rsidRPr="000E402C">
        <w:rPr>
          <w:color w:val="222222"/>
          <w:shd w:val="clear" w:color="auto" w:fill="FFFFFF"/>
        </w:rPr>
        <w:t xml:space="preserve">  The types of records we expect them to retain may include, but are not limited to: receipts from charitable organizations that include the organization’s name and amount of catch donated; cargo manifests setting forth the origin, weight, and destination of all prohibited species; or disposal receipts identifying the recipient organization and amount disposed.  These are typical business records for fish processing businesses.  Any such records must be retained for no less than three years after the date of disposal and such records must be provided to OLE upon request.  An average of 2 disposal receipts could be expected per year for protected species (marine mammals) and </w:t>
      </w:r>
      <w:r w:rsidR="00D615F0">
        <w:rPr>
          <w:color w:val="222222"/>
          <w:shd w:val="clear" w:color="auto" w:fill="FFFFFF"/>
        </w:rPr>
        <w:t>338</w:t>
      </w:r>
      <w:r w:rsidRPr="000E402C">
        <w:rPr>
          <w:color w:val="222222"/>
          <w:shd w:val="clear" w:color="auto" w:fill="FFFFFF"/>
        </w:rPr>
        <w:t xml:space="preserve"> for prohibited species (each of the </w:t>
      </w:r>
      <w:r w:rsidR="00D615F0">
        <w:rPr>
          <w:color w:val="222222"/>
          <w:shd w:val="clear" w:color="auto" w:fill="FFFFFF"/>
        </w:rPr>
        <w:t>13</w:t>
      </w:r>
      <w:r w:rsidRPr="000E402C">
        <w:rPr>
          <w:color w:val="222222"/>
          <w:shd w:val="clear" w:color="auto" w:fill="FFFFFF"/>
        </w:rPr>
        <w:t xml:space="preserve"> first receivers would have one record per week for 26 weeks).  At one minute per record, the </w:t>
      </w:r>
      <w:r w:rsidR="00620B7C">
        <w:rPr>
          <w:color w:val="222222"/>
          <w:shd w:val="clear" w:color="auto" w:fill="FFFFFF"/>
        </w:rPr>
        <w:t>reporting burden is</w:t>
      </w:r>
      <w:r w:rsidRPr="000E402C">
        <w:rPr>
          <w:color w:val="222222"/>
          <w:shd w:val="clear" w:color="auto" w:fill="FFFFFF"/>
        </w:rPr>
        <w:t xml:space="preserve"> </w:t>
      </w:r>
      <w:r w:rsidR="00D615F0">
        <w:rPr>
          <w:color w:val="222222"/>
          <w:shd w:val="clear" w:color="auto" w:fill="FFFFFF"/>
        </w:rPr>
        <w:t>3</w:t>
      </w:r>
      <w:r w:rsidR="00DA507E">
        <w:rPr>
          <w:color w:val="222222"/>
          <w:shd w:val="clear" w:color="auto" w:fill="FFFFFF"/>
        </w:rPr>
        <w:t>40</w:t>
      </w:r>
      <w:r w:rsidRPr="000E402C">
        <w:rPr>
          <w:color w:val="222222"/>
          <w:shd w:val="clear" w:color="auto" w:fill="FFFFFF"/>
        </w:rPr>
        <w:t xml:space="preserve"> minutes per year. </w:t>
      </w:r>
    </w:p>
    <w:p w:rsidR="00112898" w:rsidP="00112898">
      <w:pPr>
        <w:pStyle w:val="ListParagraph"/>
        <w:widowControl w:val="0"/>
        <w:tabs>
          <w:tab w:val="left" w:pos="360"/>
        </w:tabs>
        <w:autoSpaceDE w:val="0"/>
        <w:autoSpaceDN w:val="0"/>
        <w:spacing w:before="199"/>
        <w:ind w:left="0"/>
        <w:rPr>
          <w:rFonts w:eastAsia="Arial"/>
          <w:b/>
          <w:lang w:bidi="en-US"/>
        </w:rPr>
      </w:pPr>
      <w:r w:rsidRPr="000E402C">
        <w:rPr>
          <w:b/>
          <w:bCs/>
          <w:color w:val="000000"/>
        </w:rPr>
        <w:t xml:space="preserve">3. </w:t>
      </w:r>
      <w:r w:rsidRPr="00112898">
        <w:rPr>
          <w:rFonts w:eastAsia="Arial"/>
          <w:b/>
          <w:lang w:bidi="en-U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112898">
        <w:rPr>
          <w:rFonts w:eastAsia="Arial"/>
          <w:b/>
          <w:spacing w:val="-6"/>
          <w:lang w:bidi="en-US"/>
        </w:rPr>
        <w:t xml:space="preserve"> </w:t>
      </w:r>
      <w:r w:rsidRPr="00112898">
        <w:rPr>
          <w:rFonts w:eastAsia="Arial"/>
          <w:b/>
          <w:lang w:bidi="en-US"/>
        </w:rPr>
        <w:t>burden.</w:t>
      </w:r>
    </w:p>
    <w:p w:rsidR="00D07B43" w:rsidRPr="000E402C" w:rsidP="00F60302">
      <w:pPr>
        <w:pStyle w:val="ListParagraph"/>
        <w:widowControl w:val="0"/>
        <w:tabs>
          <w:tab w:val="left" w:pos="360"/>
        </w:tabs>
        <w:autoSpaceDE w:val="0"/>
        <w:autoSpaceDN w:val="0"/>
        <w:spacing w:before="199"/>
        <w:ind w:left="0"/>
        <w:rPr>
          <w:color w:val="000000"/>
        </w:rPr>
      </w:pPr>
      <w:r w:rsidRPr="000E402C">
        <w:t>Printed report</w:t>
      </w:r>
      <w:r w:rsidRPr="000E402C" w:rsidR="00306C22">
        <w:t>s</w:t>
      </w:r>
      <w:r w:rsidRPr="000E402C">
        <w:t xml:space="preserve"> of groundfish catch weight</w:t>
      </w:r>
      <w:r w:rsidRPr="000E402C" w:rsidR="00306C22">
        <w:t>,</w:t>
      </w:r>
      <w:r w:rsidRPr="000E402C">
        <w:t xml:space="preserve"> audit trail</w:t>
      </w:r>
      <w:r w:rsidRPr="000E402C" w:rsidR="00306C22">
        <w:t>,</w:t>
      </w:r>
      <w:r w:rsidRPr="000E402C">
        <w:t xml:space="preserve"> calibration log</w:t>
      </w:r>
      <w:r w:rsidRPr="000E402C" w:rsidR="00306C22">
        <w:t>, fault</w:t>
      </w:r>
      <w:r w:rsidRPr="000E402C">
        <w:t xml:space="preserve"> log</w:t>
      </w:r>
      <w:r w:rsidRPr="000E402C" w:rsidR="00306C22">
        <w:t xml:space="preserve"> and v</w:t>
      </w:r>
      <w:r w:rsidRPr="000E402C">
        <w:t xml:space="preserve">ideo monitoring of flow scale area </w:t>
      </w:r>
      <w:r w:rsidRPr="000E402C" w:rsidR="00306C22">
        <w:t xml:space="preserve">are </w:t>
      </w:r>
      <w:r w:rsidRPr="000E402C" w:rsidR="004B6DDD">
        <w:t xml:space="preserve">all </w:t>
      </w:r>
      <w:r w:rsidRPr="000E402C">
        <w:t>automated.</w:t>
      </w:r>
      <w:r w:rsidR="00F60302">
        <w:t xml:space="preserve"> </w:t>
      </w:r>
      <w:r w:rsidR="00112898">
        <w:t>The permits branch can send, receive, and process Provider Permit Applications electronically via secure email.</w:t>
      </w:r>
      <w:r w:rsidR="00F60302">
        <w:t xml:space="preserve"> </w:t>
      </w:r>
      <w:r w:rsidRPr="000E402C">
        <w:t xml:space="preserve">Fish tickets </w:t>
      </w:r>
      <w:r w:rsidRPr="000E402C" w:rsidR="004C312A">
        <w:t>must</w:t>
      </w:r>
      <w:r w:rsidRPr="000E402C">
        <w:t xml:space="preserve"> be submitted electronically. </w:t>
      </w:r>
      <w:r w:rsidRPr="00620B7C" w:rsidR="00620B7C">
        <w:t xml:space="preserve">NMFS </w:t>
      </w:r>
      <w:r w:rsidR="00620B7C">
        <w:t>placed</w:t>
      </w:r>
      <w:r w:rsidRPr="00620B7C" w:rsidR="00620B7C">
        <w:t xml:space="preserve"> the electronic fish ticket information collection in OMB Control Number 0738.</w:t>
      </w:r>
    </w:p>
    <w:p w:rsidR="00112898" w:rsidP="00112898">
      <w:pPr>
        <w:pStyle w:val="ListParagraph"/>
        <w:widowControl w:val="0"/>
        <w:tabs>
          <w:tab w:val="left" w:pos="360"/>
        </w:tabs>
        <w:autoSpaceDE w:val="0"/>
        <w:autoSpaceDN w:val="0"/>
        <w:spacing w:before="80"/>
        <w:ind w:left="0"/>
        <w:rPr>
          <w:b/>
          <w:color w:val="000000"/>
        </w:rPr>
      </w:pPr>
    </w:p>
    <w:p w:rsidR="006036B9" w:rsidRPr="000E402C" w:rsidP="00112898">
      <w:pPr>
        <w:pStyle w:val="ListParagraph"/>
        <w:widowControl w:val="0"/>
        <w:tabs>
          <w:tab w:val="left" w:pos="360"/>
        </w:tabs>
        <w:autoSpaceDE w:val="0"/>
        <w:autoSpaceDN w:val="0"/>
        <w:spacing w:before="80"/>
        <w:ind w:left="0"/>
        <w:rPr>
          <w:b/>
          <w:bCs/>
          <w:color w:val="000000"/>
        </w:rPr>
      </w:pPr>
      <w:r w:rsidRPr="000E402C">
        <w:rPr>
          <w:b/>
          <w:bCs/>
          <w:color w:val="000000"/>
        </w:rPr>
        <w:t xml:space="preserve">4. </w:t>
      </w:r>
      <w:r w:rsidRPr="00112898" w:rsidR="00112898">
        <w:rPr>
          <w:rFonts w:eastAsia="Arial"/>
          <w:b/>
          <w:lang w:bidi="en-US"/>
        </w:rPr>
        <w:t>Describe efforts to identify duplication. Show specifically why any similar information already available cannot be used or modified for use for the purposes described in Question</w:t>
      </w:r>
      <w:r w:rsidRPr="00112898" w:rsidR="00112898">
        <w:rPr>
          <w:rFonts w:eastAsia="Arial"/>
          <w:b/>
          <w:spacing w:val="-42"/>
          <w:lang w:bidi="en-US"/>
        </w:rPr>
        <w:t xml:space="preserve"> </w:t>
      </w:r>
      <w:r w:rsidRPr="00112898" w:rsidR="00112898">
        <w:rPr>
          <w:rFonts w:eastAsia="Arial"/>
          <w:b/>
          <w:lang w:bidi="en-US"/>
        </w:rPr>
        <w:t>2</w:t>
      </w:r>
      <w:r w:rsidR="00112898">
        <w:rPr>
          <w:rFonts w:eastAsia="Arial"/>
          <w:b/>
          <w:lang w:bidi="en-US"/>
        </w:rPr>
        <w:t>.</w:t>
      </w:r>
    </w:p>
    <w:p w:rsidR="00B368AB" w:rsidRPr="000E402C" w:rsidP="004B6DDD">
      <w:pPr>
        <w:autoSpaceDE w:val="0"/>
        <w:autoSpaceDN w:val="0"/>
        <w:adjustRightInd w:val="0"/>
      </w:pPr>
    </w:p>
    <w:p w:rsidR="004B6DDD" w:rsidRPr="000E402C" w:rsidP="004B6DDD">
      <w:pPr>
        <w:autoSpaceDE w:val="0"/>
        <w:autoSpaceDN w:val="0"/>
        <w:adjustRightInd w:val="0"/>
        <w:rPr>
          <w:b/>
          <w:color w:val="000000"/>
        </w:rPr>
      </w:pPr>
      <w:r>
        <w:t>The</w:t>
      </w:r>
      <w:r w:rsidRPr="000E402C">
        <w:t xml:space="preserve"> use of at-sea motion compensating scales and video monitoring is part of a specialized and technical program designed for the Alask</w:t>
      </w:r>
      <w:r w:rsidRPr="000E402C" w:rsidR="009550F4">
        <w:t xml:space="preserve">a groundfish fishery.  All the </w:t>
      </w:r>
      <w:r w:rsidRPr="000E402C">
        <w:t>affected vessels fish in the Alaska groundfish fishery where the</w:t>
      </w:r>
      <w:r w:rsidRPr="000E402C" w:rsidR="00B368AB">
        <w:t xml:space="preserve">y already meet the scale and video requirements.  Maintaining similar equipment and performance requirements and using a single annual scale inspection for both fisheries </w:t>
      </w:r>
      <w:r w:rsidRPr="000E402C">
        <w:t>reduces duplication</w:t>
      </w:r>
      <w:r w:rsidRPr="000E402C" w:rsidR="009550F4">
        <w:t xml:space="preserve">. </w:t>
      </w:r>
      <w:r w:rsidRPr="000E402C">
        <w:t xml:space="preserve"> </w:t>
      </w:r>
    </w:p>
    <w:p w:rsidR="006036B9" w:rsidRPr="000E402C" w:rsidP="002321C0">
      <w:pPr>
        <w:autoSpaceDE w:val="0"/>
        <w:autoSpaceDN w:val="0"/>
        <w:adjustRightInd w:val="0"/>
        <w:rPr>
          <w:color w:val="000000"/>
          <w:highlight w:val="yellow"/>
        </w:rPr>
      </w:pPr>
    </w:p>
    <w:p w:rsidR="006036B9" w:rsidRPr="000E402C" w:rsidP="00991E0A">
      <w:pPr>
        <w:keepNext/>
        <w:autoSpaceDE w:val="0"/>
        <w:autoSpaceDN w:val="0"/>
        <w:adjustRightInd w:val="0"/>
        <w:rPr>
          <w:b/>
          <w:bCs/>
          <w:color w:val="000000"/>
        </w:rPr>
      </w:pPr>
      <w:r w:rsidRPr="000E402C">
        <w:rPr>
          <w:b/>
          <w:bCs/>
          <w:color w:val="000000"/>
        </w:rPr>
        <w:t>5.</w:t>
      </w:r>
      <w:r w:rsidRPr="000E402C" w:rsidR="006A6340">
        <w:rPr>
          <w:b/>
          <w:bCs/>
          <w:color w:val="000000"/>
        </w:rPr>
        <w:t xml:space="preserve"> </w:t>
      </w:r>
      <w:r w:rsidRPr="000E402C">
        <w:rPr>
          <w:b/>
          <w:bCs/>
          <w:color w:val="000000"/>
        </w:rPr>
        <w:t xml:space="preserve"> If the collection of information involves small businesses or other small entities, describe the methods used to minimize burden.</w:t>
      </w:r>
    </w:p>
    <w:p w:rsidR="006036B9" w:rsidRPr="000E402C" w:rsidP="00991E0A">
      <w:pPr>
        <w:keepNext/>
        <w:autoSpaceDE w:val="0"/>
        <w:autoSpaceDN w:val="0"/>
        <w:adjustRightInd w:val="0"/>
        <w:rPr>
          <w:b/>
          <w:bCs/>
          <w:color w:val="000000"/>
        </w:rPr>
      </w:pPr>
    </w:p>
    <w:p w:rsidR="00A87540" w:rsidRPr="000E402C" w:rsidP="00991E0A">
      <w:pPr>
        <w:keepNext/>
        <w:tabs>
          <w:tab w:val="left" w:pos="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0E402C">
        <w:t>The companies that provide observers and catch monitors are generally small businesses. Given the relatively small numbers of these respondents, separate requirements based on size of business have not been developed. Only the minimum data required to meet the objectives of the overall monitoring program are requested from all applicants. For the at-sea vessels, i</w:t>
      </w:r>
      <w:r w:rsidRPr="000E402C" w:rsidR="00D46E1E">
        <w:t>n addition to revenue in the Pacific Coast groundfish fishery, w</w:t>
      </w:r>
      <w:r w:rsidRPr="000E402C" w:rsidR="00B368AB">
        <w:t>hen considering the revenue from Alaska, none of the motherships or catcher/processors would be considered small businesses (79 FR 54590; September 12, 2014).</w:t>
      </w:r>
      <w:r w:rsidRPr="000E402C" w:rsidR="00AA26E0">
        <w:t xml:space="preserve"> </w:t>
      </w:r>
    </w:p>
    <w:p w:rsidR="00B368AB" w:rsidRPr="000E402C" w:rsidP="00991E0A">
      <w:pPr>
        <w:tabs>
          <w:tab w:val="left" w:pos="0"/>
          <w:tab w:val="left" w:pos="2160"/>
          <w:tab w:val="left" w:pos="2880"/>
          <w:tab w:val="left" w:pos="3600"/>
          <w:tab w:val="left" w:pos="4320"/>
          <w:tab w:val="left" w:pos="5040"/>
          <w:tab w:val="left" w:pos="5760"/>
          <w:tab w:val="left" w:pos="6480"/>
          <w:tab w:val="left" w:pos="7200"/>
          <w:tab w:val="left" w:pos="7920"/>
          <w:tab w:val="left" w:pos="8640"/>
          <w:tab w:val="right" w:pos="9360"/>
        </w:tabs>
        <w:rPr>
          <w:color w:val="1F497D"/>
          <w:highlight w:val="yellow"/>
        </w:rPr>
      </w:pPr>
    </w:p>
    <w:p w:rsidR="006036B9" w:rsidRPr="000E402C" w:rsidP="006036B9">
      <w:pPr>
        <w:autoSpaceDE w:val="0"/>
        <w:autoSpaceDN w:val="0"/>
        <w:adjustRightInd w:val="0"/>
        <w:rPr>
          <w:b/>
          <w:bCs/>
          <w:color w:val="000000"/>
        </w:rPr>
      </w:pPr>
      <w:r w:rsidRPr="000E402C">
        <w:rPr>
          <w:b/>
          <w:bCs/>
          <w:color w:val="000000"/>
        </w:rPr>
        <w:t>6.</w:t>
      </w:r>
      <w:r w:rsidRPr="000E402C" w:rsidR="006A6340">
        <w:rPr>
          <w:b/>
          <w:bCs/>
          <w:color w:val="000000"/>
        </w:rPr>
        <w:t xml:space="preserve"> </w:t>
      </w:r>
      <w:r w:rsidRPr="000E402C">
        <w:rPr>
          <w:b/>
          <w:bCs/>
          <w:color w:val="000000"/>
        </w:rPr>
        <w:t xml:space="preserve"> Describe the consequences to the Federal program or policy activities if the collection is not conducted or is conducted less frequently</w:t>
      </w:r>
      <w:r w:rsidR="00112898">
        <w:rPr>
          <w:b/>
          <w:bCs/>
          <w:color w:val="000000"/>
        </w:rPr>
        <w:t xml:space="preserve">, </w:t>
      </w:r>
      <w:r w:rsidRPr="00112898" w:rsidR="00112898">
        <w:rPr>
          <w:rFonts w:eastAsia="Arial"/>
          <w:b/>
          <w:lang w:bidi="en-US"/>
        </w:rPr>
        <w:t>as well as any technical or legal obstacles to reducing burden.</w:t>
      </w:r>
    </w:p>
    <w:p w:rsidR="00570F39" w:rsidRPr="000E402C" w:rsidP="00570F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1F497D"/>
          <w:highlight w:val="yellow"/>
        </w:rPr>
      </w:pPr>
    </w:p>
    <w:p w:rsidR="00CD3C45" w:rsidRPr="000E402C" w:rsidP="00CD3C45">
      <w:pPr>
        <w:autoSpaceDE w:val="0"/>
        <w:autoSpaceDN w:val="0"/>
        <w:adjustRightInd w:val="0"/>
      </w:pPr>
      <w:r w:rsidRPr="000E402C">
        <w:t xml:space="preserve">Data collected by certified observers and catch monitors </w:t>
      </w:r>
      <w:r w:rsidRPr="000E402C" w:rsidR="00827426">
        <w:t xml:space="preserve">as well as from at-sea flow scales </w:t>
      </w:r>
      <w:r w:rsidRPr="000E402C">
        <w:t>are necessary for the conservation and management of the Pacific Coast groundfish fishery. Maintaining the integrity of the data collections is an important aspect of the trawl rationalization program and assuring that individual catch accountability is maintained. The trawl fishery is a multispecies fishery in which the allowable harvest levels for some stocks (potentially including overfished species) constrain access to harvest of the full allocations of many targeted stocks. If the integrity of the monitorin</w:t>
      </w:r>
      <w:r w:rsidR="00DA507E">
        <w:t>g program is not maintained, individual accountability would be eliminated from the fishery</w:t>
      </w:r>
      <w:r w:rsidRPr="000E402C">
        <w:t>. The high level of quality monitoring under the trawl rationalization program has helped the fleet make</w:t>
      </w:r>
      <w:r w:rsidR="00DA507E">
        <w:t xml:space="preserve"> tremendous bycatch reductions. Many species have been removed from overfished status. One hundred percent coverage by catch monitors and observers has been an integral part of rebuilding those stocks and decreasing bycatch.</w:t>
      </w:r>
    </w:p>
    <w:p w:rsidR="00CD3C45" w:rsidRPr="000E402C" w:rsidP="00CD3C45">
      <w:pPr>
        <w:autoSpaceDE w:val="0"/>
        <w:autoSpaceDN w:val="0"/>
        <w:adjustRightInd w:val="0"/>
      </w:pPr>
    </w:p>
    <w:p w:rsidR="00CD3C45" w:rsidRPr="000E402C" w:rsidP="00CD3C45">
      <w:pPr>
        <w:autoSpaceDE w:val="0"/>
        <w:autoSpaceDN w:val="0"/>
        <w:adjustRightInd w:val="0"/>
      </w:pPr>
      <w:r w:rsidRPr="000E402C">
        <w:t xml:space="preserve">The intent of provider permits is to allow only qualified business to provide catch monitor and observer services so the integrity of the data collections are maintained. In </w:t>
      </w:r>
      <w:r w:rsidRPr="000E402C">
        <w:t xml:space="preserve">addition, assuring that the businesses are qualified to provide aids in ensuring the wellbeing of individuals deployed as observers and catch monitors. The application and renewal process for new providers and the annual renewal </w:t>
      </w:r>
      <w:r w:rsidR="00DA507E">
        <w:t>are</w:t>
      </w:r>
      <w:r w:rsidRPr="000E402C">
        <w:t xml:space="preserve"> used to verify that providers are free of conflict</w:t>
      </w:r>
      <w:r w:rsidR="00DA507E">
        <w:t>s of interest</w:t>
      </w:r>
      <w:r w:rsidRPr="000E402C">
        <w:t>, or state or federal criminal convictions</w:t>
      </w:r>
      <w:r w:rsidR="00DA507E">
        <w:t>,</w:t>
      </w:r>
      <w:r w:rsidRPr="000E402C">
        <w:t xml:space="preserve"> that could undermine the integrity of data or affect the wellbeing of observers or catch monitors.</w:t>
      </w:r>
    </w:p>
    <w:p w:rsidR="00CD3C45" w:rsidRPr="000E402C" w:rsidP="00CD3C45">
      <w:pPr>
        <w:autoSpaceDE w:val="0"/>
        <w:autoSpaceDN w:val="0"/>
        <w:adjustRightInd w:val="0"/>
        <w:rPr>
          <w:noProof/>
        </w:rPr>
      </w:pPr>
    </w:p>
    <w:p w:rsidR="006036B9" w:rsidRPr="000E402C" w:rsidP="006036B9">
      <w:pPr>
        <w:autoSpaceDE w:val="0"/>
        <w:autoSpaceDN w:val="0"/>
        <w:adjustRightInd w:val="0"/>
        <w:rPr>
          <w:b/>
          <w:bCs/>
          <w:color w:val="000000"/>
        </w:rPr>
      </w:pPr>
      <w:r w:rsidRPr="000E402C">
        <w:rPr>
          <w:b/>
          <w:bCs/>
          <w:color w:val="000000"/>
        </w:rPr>
        <w:t xml:space="preserve">7. </w:t>
      </w:r>
      <w:r w:rsidRPr="000E402C" w:rsidR="00893DD7">
        <w:rPr>
          <w:b/>
          <w:bCs/>
          <w:color w:val="000000"/>
        </w:rPr>
        <w:t xml:space="preserve"> </w:t>
      </w:r>
      <w:r w:rsidRPr="000E402C">
        <w:rPr>
          <w:b/>
          <w:bCs/>
          <w:color w:val="000000"/>
        </w:rPr>
        <w:t>Explain any special circumstances that require the collection to be conducted in a</w:t>
      </w:r>
      <w:r w:rsidR="009F331C">
        <w:rPr>
          <w:b/>
          <w:bCs/>
          <w:color w:val="000000"/>
        </w:rPr>
        <w:t xml:space="preserve"> </w:t>
      </w:r>
      <w:r w:rsidRPr="000E402C">
        <w:rPr>
          <w:b/>
          <w:bCs/>
          <w:color w:val="000000"/>
        </w:rPr>
        <w:t>manner inconsistent with OMB guidelines.</w:t>
      </w:r>
    </w:p>
    <w:p w:rsidR="008527FF" w:rsidRPr="000E402C" w:rsidP="006036B9">
      <w:pPr>
        <w:autoSpaceDE w:val="0"/>
        <w:autoSpaceDN w:val="0"/>
        <w:adjustRightInd w:val="0"/>
        <w:rPr>
          <w:b/>
          <w:bCs/>
          <w:color w:val="1F497D"/>
        </w:rPr>
      </w:pPr>
    </w:p>
    <w:p w:rsidR="00112898" w:rsidRPr="00112898" w:rsidP="00112898">
      <w:pPr>
        <w:widowControl w:val="0"/>
        <w:autoSpaceDE w:val="0"/>
        <w:autoSpaceDN w:val="0"/>
        <w:spacing w:before="120"/>
        <w:rPr>
          <w:rFonts w:eastAsia="Arial"/>
          <w:lang w:bidi="en-US"/>
        </w:rPr>
      </w:pPr>
      <w:r>
        <w:rPr>
          <w:rFonts w:eastAsia="Arial"/>
          <w:lang w:bidi="en-US"/>
        </w:rPr>
        <w:t>This collection will be conducted in a manner consistent with OMB guidelines.</w:t>
      </w:r>
    </w:p>
    <w:p w:rsidR="00112898" w:rsidP="00112898">
      <w:pPr>
        <w:pStyle w:val="ListParagraph"/>
        <w:widowControl w:val="0"/>
        <w:tabs>
          <w:tab w:val="left" w:pos="360"/>
        </w:tabs>
        <w:autoSpaceDE w:val="0"/>
        <w:autoSpaceDN w:val="0"/>
        <w:spacing w:before="80"/>
        <w:ind w:left="0"/>
        <w:rPr>
          <w:b/>
          <w:bCs/>
          <w:color w:val="1F497D"/>
        </w:rPr>
      </w:pPr>
    </w:p>
    <w:p w:rsidR="00112898" w:rsidRPr="00112898" w:rsidP="00112898">
      <w:pPr>
        <w:pStyle w:val="ListParagraph"/>
        <w:widowControl w:val="0"/>
        <w:tabs>
          <w:tab w:val="left" w:pos="360"/>
        </w:tabs>
        <w:autoSpaceDE w:val="0"/>
        <w:autoSpaceDN w:val="0"/>
        <w:spacing w:before="80"/>
        <w:ind w:left="0"/>
        <w:rPr>
          <w:rFonts w:eastAsia="Arial"/>
          <w:b/>
          <w:lang w:bidi="en-US"/>
        </w:rPr>
      </w:pPr>
      <w:r w:rsidRPr="000E402C">
        <w:rPr>
          <w:b/>
          <w:bCs/>
          <w:color w:val="000000"/>
        </w:rPr>
        <w:t xml:space="preserve">8. </w:t>
      </w:r>
      <w:r w:rsidRPr="000E402C" w:rsidR="006A6340">
        <w:rPr>
          <w:b/>
          <w:bCs/>
          <w:color w:val="000000"/>
        </w:rPr>
        <w:t xml:space="preserve"> </w:t>
      </w:r>
      <w:r w:rsidRPr="00112898">
        <w:rPr>
          <w:rFonts w:eastAsia="Arial"/>
          <w:b/>
          <w:lang w:bidi="en-US"/>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6036B9" w:rsidRPr="000E402C" w:rsidP="006036B9">
      <w:pPr>
        <w:autoSpaceDE w:val="0"/>
        <w:autoSpaceDN w:val="0"/>
        <w:adjustRightInd w:val="0"/>
        <w:rPr>
          <w:b/>
          <w:bCs/>
          <w:color w:val="000000"/>
        </w:rPr>
      </w:pPr>
    </w:p>
    <w:p w:rsidR="00C6013C" w:rsidP="006C33F7">
      <w:pPr>
        <w:autoSpaceDE w:val="0"/>
        <w:autoSpaceDN w:val="0"/>
        <w:adjustRightInd w:val="0"/>
        <w:rPr>
          <w:color w:val="000000"/>
        </w:rPr>
      </w:pPr>
      <w:r w:rsidRPr="000E402C">
        <w:rPr>
          <w:color w:val="000000"/>
        </w:rPr>
        <w:t>A Federal Register notice published</w:t>
      </w:r>
      <w:r w:rsidRPr="000E402C" w:rsidR="009E4819">
        <w:rPr>
          <w:color w:val="000000"/>
        </w:rPr>
        <w:t xml:space="preserve"> on </w:t>
      </w:r>
      <w:r w:rsidR="00763632">
        <w:rPr>
          <w:color w:val="000000"/>
        </w:rPr>
        <w:t>February 9, 2024</w:t>
      </w:r>
      <w:r w:rsidRPr="000E402C" w:rsidR="009E4819">
        <w:rPr>
          <w:color w:val="000000"/>
        </w:rPr>
        <w:t xml:space="preserve"> (</w:t>
      </w:r>
      <w:hyperlink r:id="rId5" w:history="1">
        <w:r w:rsidRPr="007D20F8" w:rsidR="009E4819">
          <w:rPr>
            <w:rStyle w:val="Hyperlink"/>
          </w:rPr>
          <w:t>8</w:t>
        </w:r>
        <w:r w:rsidRPr="007D20F8" w:rsidR="00763632">
          <w:rPr>
            <w:rStyle w:val="Hyperlink"/>
          </w:rPr>
          <w:t>9</w:t>
        </w:r>
        <w:r w:rsidRPr="007D20F8" w:rsidR="009E4819">
          <w:rPr>
            <w:rStyle w:val="Hyperlink"/>
          </w:rPr>
          <w:t xml:space="preserve"> FR </w:t>
        </w:r>
        <w:r w:rsidRPr="007D20F8" w:rsidR="00763632">
          <w:rPr>
            <w:rStyle w:val="Hyperlink"/>
          </w:rPr>
          <w:t>9126</w:t>
        </w:r>
      </w:hyperlink>
      <w:r w:rsidRPr="000E402C" w:rsidR="009E4819">
        <w:rPr>
          <w:color w:val="000000"/>
        </w:rPr>
        <w:t>)</w:t>
      </w:r>
      <w:r w:rsidR="003B126F">
        <w:rPr>
          <w:color w:val="000000"/>
        </w:rPr>
        <w:t>, soliciting</w:t>
      </w:r>
      <w:r w:rsidRPr="000E402C">
        <w:rPr>
          <w:color w:val="000000"/>
        </w:rPr>
        <w:t xml:space="preserve"> public comments</w:t>
      </w:r>
      <w:r w:rsidRPr="000E402C" w:rsidR="009E4819">
        <w:rPr>
          <w:color w:val="000000"/>
        </w:rPr>
        <w:t xml:space="preserve">. </w:t>
      </w:r>
      <w:r w:rsidRPr="000E402C" w:rsidR="001010EB">
        <w:rPr>
          <w:color w:val="000000"/>
        </w:rPr>
        <w:t xml:space="preserve">We </w:t>
      </w:r>
      <w:r w:rsidRPr="00DA507E" w:rsidR="001010EB">
        <w:rPr>
          <w:color w:val="000000"/>
        </w:rPr>
        <w:t xml:space="preserve">received </w:t>
      </w:r>
      <w:r w:rsidRPr="00DA507E" w:rsidR="00DA507E">
        <w:rPr>
          <w:color w:val="000000"/>
        </w:rPr>
        <w:t xml:space="preserve">no </w:t>
      </w:r>
      <w:r w:rsidRPr="00DA507E" w:rsidR="001010EB">
        <w:rPr>
          <w:color w:val="000000"/>
        </w:rPr>
        <w:t>comment</w:t>
      </w:r>
      <w:r w:rsidRPr="00DA507E" w:rsidR="003B126F">
        <w:rPr>
          <w:color w:val="000000"/>
        </w:rPr>
        <w:t>s</w:t>
      </w:r>
      <w:r w:rsidRPr="000E402C" w:rsidR="001010EB">
        <w:rPr>
          <w:color w:val="000000"/>
        </w:rPr>
        <w:t xml:space="preserve"> </w:t>
      </w:r>
      <w:r w:rsidRPr="000E402C" w:rsidR="009E4819">
        <w:rPr>
          <w:color w:val="000000"/>
        </w:rPr>
        <w:t>on the information collection requirements.</w:t>
      </w:r>
      <w:r w:rsidRPr="000E402C" w:rsidR="001010EB">
        <w:rPr>
          <w:color w:val="000000"/>
        </w:rPr>
        <w:t xml:space="preserve"> </w:t>
      </w:r>
    </w:p>
    <w:p w:rsidR="00C6013C" w:rsidP="006C33F7">
      <w:pPr>
        <w:autoSpaceDE w:val="0"/>
        <w:autoSpaceDN w:val="0"/>
        <w:adjustRightInd w:val="0"/>
        <w:rPr>
          <w:color w:val="000000"/>
        </w:rPr>
      </w:pPr>
    </w:p>
    <w:p w:rsidR="005E642D" w:rsidRPr="000E402C" w:rsidP="006C33F7">
      <w:pPr>
        <w:autoSpaceDE w:val="0"/>
        <w:autoSpaceDN w:val="0"/>
        <w:adjustRightInd w:val="0"/>
        <w:rPr>
          <w:color w:val="000000"/>
        </w:rPr>
      </w:pPr>
      <w:r w:rsidRPr="007D20F8">
        <w:rPr>
          <w:color w:val="000000"/>
        </w:rPr>
        <w:t xml:space="preserve">In addition to the Federal Register notice, NMFS contacted stakeholders outside the agency to obtain their views on the availability of data, frequency of collection, the clarity of </w:t>
      </w:r>
      <w:r w:rsidRPr="007D20F8">
        <w:rPr>
          <w:color w:val="000000"/>
        </w:rPr>
        <w:t>instructions and recordkeeping, disclosure, or reporting format, and on the data elements to be recorded, disclosed, or reported.</w:t>
      </w:r>
      <w:r>
        <w:rPr>
          <w:color w:val="000000"/>
        </w:rPr>
        <w:t xml:space="preserve"> Again, no comments were received. </w:t>
      </w:r>
    </w:p>
    <w:p w:rsidR="003F7B75" w:rsidRPr="000E402C" w:rsidP="006C33F7">
      <w:pPr>
        <w:autoSpaceDE w:val="0"/>
        <w:autoSpaceDN w:val="0"/>
        <w:adjustRightInd w:val="0"/>
        <w:rPr>
          <w:color w:val="000000"/>
        </w:rPr>
      </w:pPr>
    </w:p>
    <w:p w:rsidR="005F0090" w:rsidRPr="000E402C" w:rsidP="005F0090">
      <w:pPr>
        <w:autoSpaceDE w:val="0"/>
        <w:autoSpaceDN w:val="0"/>
        <w:adjustRightInd w:val="0"/>
        <w:rPr>
          <w:b/>
          <w:bCs/>
          <w:color w:val="000000"/>
        </w:rPr>
      </w:pPr>
      <w:r w:rsidRPr="000E402C">
        <w:rPr>
          <w:b/>
          <w:bCs/>
          <w:color w:val="000000"/>
        </w:rPr>
        <w:t>9.</w:t>
      </w:r>
      <w:r w:rsidRPr="000E402C" w:rsidR="00893DD7">
        <w:rPr>
          <w:b/>
          <w:bCs/>
          <w:color w:val="000000"/>
        </w:rPr>
        <w:t xml:space="preserve"> </w:t>
      </w:r>
      <w:r w:rsidRPr="000E402C">
        <w:rPr>
          <w:b/>
          <w:bCs/>
          <w:color w:val="000000"/>
        </w:rPr>
        <w:t xml:space="preserve"> Explain any decisions to provide payments or gifts to respondents, other than</w:t>
      </w:r>
      <w:r w:rsidR="009F331C">
        <w:rPr>
          <w:b/>
          <w:bCs/>
          <w:color w:val="000000"/>
        </w:rPr>
        <w:t xml:space="preserve"> </w:t>
      </w:r>
      <w:r w:rsidRPr="000E402C">
        <w:rPr>
          <w:b/>
          <w:bCs/>
          <w:color w:val="000000"/>
        </w:rPr>
        <w:t>remuneration of contractors or grantees.</w:t>
      </w:r>
    </w:p>
    <w:p w:rsidR="005F0090" w:rsidRPr="000E402C" w:rsidP="005F0090">
      <w:pPr>
        <w:autoSpaceDE w:val="0"/>
        <w:autoSpaceDN w:val="0"/>
        <w:adjustRightInd w:val="0"/>
        <w:rPr>
          <w:color w:val="000000"/>
          <w:highlight w:val="yellow"/>
        </w:rPr>
      </w:pPr>
    </w:p>
    <w:p w:rsidR="005F0090" w:rsidRPr="000E402C" w:rsidP="005F0090">
      <w:pPr>
        <w:autoSpaceDE w:val="0"/>
        <w:autoSpaceDN w:val="0"/>
        <w:adjustRightInd w:val="0"/>
        <w:rPr>
          <w:color w:val="1F497D"/>
        </w:rPr>
      </w:pPr>
      <w:r w:rsidRPr="000E402C">
        <w:rPr>
          <w:color w:val="000000"/>
        </w:rPr>
        <w:t>No payments or gifts are provided</w:t>
      </w:r>
      <w:r w:rsidR="00DA507E">
        <w:rPr>
          <w:color w:val="000000"/>
        </w:rPr>
        <w:t xml:space="preserve"> to respondents</w:t>
      </w:r>
      <w:r w:rsidRPr="000E402C">
        <w:rPr>
          <w:color w:val="000000"/>
        </w:rPr>
        <w:t>.</w:t>
      </w:r>
    </w:p>
    <w:p w:rsidR="005F0090" w:rsidRPr="000E402C" w:rsidP="005F0090">
      <w:pPr>
        <w:autoSpaceDE w:val="0"/>
        <w:autoSpaceDN w:val="0"/>
        <w:adjustRightInd w:val="0"/>
        <w:rPr>
          <w:color w:val="1F497D"/>
          <w:highlight w:val="yellow"/>
        </w:rPr>
      </w:pPr>
    </w:p>
    <w:p w:rsidR="005F0090" w:rsidRPr="000E402C" w:rsidP="005F0090">
      <w:pPr>
        <w:autoSpaceDE w:val="0"/>
        <w:autoSpaceDN w:val="0"/>
        <w:adjustRightInd w:val="0"/>
        <w:rPr>
          <w:b/>
          <w:bCs/>
          <w:color w:val="000000"/>
        </w:rPr>
      </w:pPr>
      <w:r w:rsidRPr="000E402C">
        <w:rPr>
          <w:b/>
          <w:bCs/>
          <w:color w:val="000000"/>
        </w:rPr>
        <w:t xml:space="preserve">10. </w:t>
      </w:r>
      <w:r w:rsidRPr="000E402C" w:rsidR="00893DD7">
        <w:rPr>
          <w:b/>
          <w:bCs/>
          <w:color w:val="000000"/>
        </w:rPr>
        <w:t xml:space="preserve"> </w:t>
      </w:r>
      <w:r w:rsidRPr="003B126F" w:rsidR="003B126F">
        <w:rPr>
          <w:b/>
          <w:bCs/>
          <w:color w:val="000000"/>
          <w:lang w:bidi="en-US"/>
        </w:rPr>
        <w:t>Describe any assurance of confidentiality provided to respondents and the basis for the assurance in statute, regulation, or agency policy. If the collection requires a systems of</w:t>
      </w:r>
      <w:r w:rsidR="008B0A17">
        <w:rPr>
          <w:b/>
          <w:bCs/>
          <w:color w:val="000000"/>
          <w:lang w:bidi="en-US"/>
        </w:rPr>
        <w:t xml:space="preserve"> </w:t>
      </w:r>
      <w:r w:rsidRPr="008B0A17" w:rsidR="008B0A17">
        <w:rPr>
          <w:rFonts w:eastAsia="Arial"/>
          <w:b/>
          <w:lang w:bidi="en-US"/>
        </w:rPr>
        <w:t>records notice (SORN) or privacy impact assessment (PIA), those should be cited and described here.</w:t>
      </w:r>
    </w:p>
    <w:p w:rsidR="005F0090" w:rsidRPr="000E402C" w:rsidP="005F0090">
      <w:pPr>
        <w:autoSpaceDE w:val="0"/>
        <w:autoSpaceDN w:val="0"/>
        <w:adjustRightInd w:val="0"/>
        <w:rPr>
          <w:b/>
          <w:bCs/>
          <w:color w:val="000000"/>
          <w:highlight w:val="yellow"/>
        </w:rPr>
      </w:pPr>
    </w:p>
    <w:p w:rsidR="00527317" w:rsidRPr="00527317" w:rsidP="00527317">
      <w:pPr>
        <w:widowControl w:val="0"/>
        <w:autoSpaceDE w:val="0"/>
        <w:autoSpaceDN w:val="0"/>
        <w:adjustRightInd w:val="0"/>
        <w:rPr>
          <w:b/>
          <w:bCs/>
        </w:rPr>
      </w:pPr>
      <w:r w:rsidRPr="00527317">
        <w:t xml:space="preserve">Because the information collected is from commercial operations, under the Magnuson-Stevens Act (16 U.S.C. 1801 et seq.), all data submitted are treated in accordance with </w:t>
      </w:r>
      <w:hyperlink r:id="rId6" w:history="1">
        <w:r w:rsidRPr="00527317">
          <w:rPr>
            <w:rStyle w:val="Hyperlink"/>
          </w:rPr>
          <w:t>NOAA Administrative Order 216-100, Protection of Confidential Fisheries Statistics</w:t>
        </w:r>
      </w:hyperlink>
      <w:r w:rsidRPr="00527317">
        <w:t>.  The information collected under this regulatory package is managed by NMFS on a computer network in accordance with relevant IT security policies and regulations such as the standards set out in Appendix III, A Security of Automated Information Resources, to</w:t>
      </w:r>
      <w:r w:rsidRPr="00527317">
        <w:rPr>
          <w:u w:val="single"/>
        </w:rPr>
        <w:t xml:space="preserve"> </w:t>
      </w:r>
      <w:hyperlink r:id="rId7" w:history="1">
        <w:r w:rsidRPr="00527317">
          <w:rPr>
            <w:rStyle w:val="Hyperlink"/>
          </w:rPr>
          <w:t>OMB Circular A-130</w:t>
        </w:r>
      </w:hyperlink>
      <w:r w:rsidRPr="00527317">
        <w:t xml:space="preserve">; the </w:t>
      </w:r>
      <w:hyperlink r:id="rId8" w:history="1">
        <w:r w:rsidRPr="00527317">
          <w:rPr>
            <w:rStyle w:val="Hyperlink"/>
          </w:rPr>
          <w:t>Computer Security Act</w:t>
        </w:r>
      </w:hyperlink>
      <w:r w:rsidRPr="00527317">
        <w:t xml:space="preserve">; and the </w:t>
      </w:r>
      <w:hyperlink r:id="rId9" w:history="1">
        <w:r w:rsidRPr="00527317">
          <w:rPr>
            <w:rStyle w:val="Hyperlink"/>
          </w:rPr>
          <w:t>Government Information Security Reform Act</w:t>
        </w:r>
      </w:hyperlink>
      <w:r w:rsidRPr="00527317">
        <w:t>. These procedures have been implemented under the NMFS Operations Manual entitled, "Data Security Handbook for the Northwest-Alaska Region, National Marine Fisheries Service."</w:t>
      </w:r>
    </w:p>
    <w:p w:rsidR="00DC06F9" w:rsidRPr="00DC06F9" w:rsidP="00DC06F9">
      <w:pPr>
        <w:widowControl w:val="0"/>
        <w:autoSpaceDE w:val="0"/>
        <w:autoSpaceDN w:val="0"/>
        <w:adjustRightInd w:val="0"/>
      </w:pPr>
    </w:p>
    <w:p w:rsidR="00DC06F9" w:rsidP="00DC06F9">
      <w:pPr>
        <w:widowControl w:val="0"/>
        <w:autoSpaceDE w:val="0"/>
        <w:autoSpaceDN w:val="0"/>
        <w:adjustRightInd w:val="0"/>
      </w:pPr>
      <w:r w:rsidRPr="00DC06F9">
        <w:t>All collections of phone numbers, fax numbers, and email addresses are not released to the public. Transfer amount and price, tax identification number (TIN), date of birth (DOB), the names of individuals who have an OI in an entity and the percentage of ownership, and cooperative agreements provided with coop permit applications are considered business confidential information. DOB is also protected under the Privacy Act. A statement of the confidentiality of this inform</w:t>
      </w:r>
      <w:r>
        <w:t>ation is provided on each form.</w:t>
      </w:r>
    </w:p>
    <w:p w:rsidR="00DC06F9" w:rsidP="00DC06F9">
      <w:pPr>
        <w:widowControl w:val="0"/>
        <w:autoSpaceDE w:val="0"/>
        <w:autoSpaceDN w:val="0"/>
        <w:adjustRightInd w:val="0"/>
      </w:pPr>
    </w:p>
    <w:p w:rsidR="00DC06F9" w:rsidRPr="00DC06F9" w:rsidP="00DC06F9">
      <w:pPr>
        <w:widowControl w:val="0"/>
        <w:autoSpaceDE w:val="0"/>
        <w:autoSpaceDN w:val="0"/>
        <w:adjustRightInd w:val="0"/>
      </w:pPr>
      <w:r w:rsidRPr="00DC06F9">
        <w:t>The information collected is part of a Privacy Act System of Records (SORN), COMMERCE/NOAA #19, Permits and Registrations for United States Federally Regulated Fisheries. A notice was published in the Federal Register on April 17, 2008 (73 FR 20914) and became effective on June 11, 2008 (73 FR 33065). An amended SORN was published on August 7, 2015 (80 FR 47457) and became effective on September 15, 2015 (80 FR 55327).</w:t>
      </w:r>
    </w:p>
    <w:p w:rsidR="002A173C" w:rsidRPr="000E402C" w:rsidP="005F0090">
      <w:pPr>
        <w:autoSpaceDE w:val="0"/>
        <w:autoSpaceDN w:val="0"/>
        <w:adjustRightInd w:val="0"/>
        <w:rPr>
          <w:color w:val="000000"/>
          <w:highlight w:val="yellow"/>
        </w:rPr>
      </w:pPr>
    </w:p>
    <w:p w:rsidR="008B0A17" w:rsidRPr="008B0A17" w:rsidP="008B0A17">
      <w:pPr>
        <w:adjustRightInd w:val="0"/>
        <w:rPr>
          <w:b/>
          <w:bCs/>
          <w:color w:val="000000"/>
          <w:lang w:bidi="en-US"/>
        </w:rPr>
      </w:pPr>
      <w:r w:rsidRPr="000E402C">
        <w:rPr>
          <w:b/>
          <w:bCs/>
          <w:color w:val="000000"/>
        </w:rPr>
        <w:t xml:space="preserve">11. </w:t>
      </w:r>
      <w:r w:rsidRPr="000E402C" w:rsidR="00893DD7">
        <w:rPr>
          <w:b/>
          <w:bCs/>
          <w:color w:val="000000"/>
        </w:rPr>
        <w:t xml:space="preserve"> </w:t>
      </w:r>
      <w:r w:rsidRPr="008B0A17">
        <w:rPr>
          <w:b/>
          <w:bCs/>
          <w:color w:val="000000"/>
          <w:lang w:bidi="en-US"/>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F0090" w:rsidRPr="000E402C" w:rsidP="006036B9">
      <w:pPr>
        <w:rPr>
          <w:color w:val="000000"/>
          <w:highlight w:val="yellow"/>
        </w:rPr>
      </w:pPr>
    </w:p>
    <w:p w:rsidR="005F0090" w:rsidRPr="000E402C" w:rsidP="006036B9">
      <w:pPr>
        <w:rPr>
          <w:color w:val="000000"/>
        </w:rPr>
      </w:pPr>
      <w:r w:rsidRPr="000E402C">
        <w:rPr>
          <w:color w:val="000000"/>
        </w:rPr>
        <w:t>There are no questions of a sensitive nature being asked.</w:t>
      </w:r>
    </w:p>
    <w:p w:rsidR="005F0090" w:rsidRPr="000E402C" w:rsidP="006036B9">
      <w:pPr>
        <w:rPr>
          <w:color w:val="000000"/>
          <w:highlight w:val="yellow"/>
        </w:rPr>
      </w:pPr>
    </w:p>
    <w:p w:rsidR="008B0A17" w:rsidRPr="008B0A17" w:rsidP="008B0A17">
      <w:pPr>
        <w:adjustRightInd w:val="0"/>
        <w:rPr>
          <w:b/>
          <w:bCs/>
          <w:color w:val="000000"/>
          <w:lang w:bidi="en-US"/>
        </w:rPr>
      </w:pPr>
      <w:r w:rsidRPr="000E402C">
        <w:rPr>
          <w:b/>
          <w:bCs/>
          <w:color w:val="000000"/>
        </w:rPr>
        <w:t xml:space="preserve">12. </w:t>
      </w:r>
      <w:r w:rsidRPr="000E402C" w:rsidR="00893DD7">
        <w:rPr>
          <w:b/>
          <w:bCs/>
          <w:color w:val="000000"/>
        </w:rPr>
        <w:t xml:space="preserve"> </w:t>
      </w:r>
      <w:r w:rsidRPr="008B0A17">
        <w:rPr>
          <w:b/>
          <w:bCs/>
          <w:color w:val="000000"/>
          <w:lang w:bidi="en-US"/>
        </w:rPr>
        <w:t>Provide estimates of the hour burden of the collection of information.</w:t>
      </w:r>
    </w:p>
    <w:p w:rsidR="004E5E92" w:rsidRPr="000E402C" w:rsidP="00393A81">
      <w:pPr>
        <w:autoSpaceDE w:val="0"/>
        <w:autoSpaceDN w:val="0"/>
        <w:adjustRightInd w:val="0"/>
        <w:rPr>
          <w:rFonts w:eastAsia="Calibri"/>
          <w:b/>
          <w:bCs/>
          <w:highlight w:val="yellow"/>
        </w:rPr>
      </w:pPr>
    </w:p>
    <w:p w:rsidR="00393A81" w:rsidRPr="000E402C" w:rsidP="00393A81">
      <w:pPr>
        <w:autoSpaceDE w:val="0"/>
        <w:autoSpaceDN w:val="0"/>
        <w:adjustRightInd w:val="0"/>
        <w:rPr>
          <w:rFonts w:eastAsia="Calibri"/>
          <w:bCs/>
          <w:highlight w:val="yellow"/>
        </w:rPr>
      </w:pPr>
      <w:r w:rsidRPr="000E402C">
        <w:rPr>
          <w:rFonts w:eastAsia="Calibri"/>
          <w:bCs/>
        </w:rPr>
        <w:t>T</w:t>
      </w:r>
      <w:r w:rsidRPr="000E402C" w:rsidR="00DD08AF">
        <w:rPr>
          <w:rFonts w:eastAsia="Calibri"/>
          <w:bCs/>
        </w:rPr>
        <w:t xml:space="preserve">he total number of </w:t>
      </w:r>
      <w:r w:rsidRPr="000E402C">
        <w:rPr>
          <w:rFonts w:eastAsia="Calibri"/>
          <w:bCs/>
        </w:rPr>
        <w:t xml:space="preserve">unduplicated respondents </w:t>
      </w:r>
      <w:r w:rsidRPr="000E402C" w:rsidR="00DD08AF">
        <w:rPr>
          <w:rFonts w:eastAsia="Calibri"/>
          <w:bCs/>
        </w:rPr>
        <w:t>is</w:t>
      </w:r>
      <w:r w:rsidRPr="000E402C" w:rsidR="00A524F3">
        <w:rPr>
          <w:rFonts w:eastAsia="Calibri"/>
          <w:bCs/>
        </w:rPr>
        <w:t xml:space="preserve"> 15</w:t>
      </w:r>
      <w:r w:rsidRPr="000E402C" w:rsidR="00DD08AF">
        <w:rPr>
          <w:rFonts w:eastAsia="Calibri"/>
          <w:bCs/>
        </w:rPr>
        <w:t>3. T</w:t>
      </w:r>
      <w:r w:rsidR="006C517A">
        <w:rPr>
          <w:rFonts w:eastAsia="Calibri"/>
          <w:bCs/>
        </w:rPr>
        <w:t>here are 2,169 annual responses for a total of 44</w:t>
      </w:r>
      <w:r w:rsidRPr="000E402C" w:rsidR="000C763E">
        <w:rPr>
          <w:rFonts w:eastAsia="Calibri"/>
          <w:bCs/>
        </w:rPr>
        <w:t>7</w:t>
      </w:r>
      <w:r w:rsidR="006C517A">
        <w:rPr>
          <w:rFonts w:eastAsia="Calibri"/>
          <w:bCs/>
        </w:rPr>
        <w:t xml:space="preserve"> burden</w:t>
      </w:r>
      <w:r w:rsidRPr="000E402C" w:rsidR="0036353E">
        <w:rPr>
          <w:rFonts w:eastAsia="Calibri"/>
          <w:bCs/>
        </w:rPr>
        <w:t xml:space="preserve"> hours</w:t>
      </w:r>
      <w:r w:rsidR="006E5692">
        <w:rPr>
          <w:rFonts w:eastAsia="Calibri"/>
          <w:bCs/>
        </w:rPr>
        <w:t xml:space="preserve"> (Table 1A)</w:t>
      </w:r>
      <w:r w:rsidRPr="000E402C" w:rsidR="00893DD7">
        <w:rPr>
          <w:rFonts w:eastAsia="Calibri"/>
          <w:bCs/>
        </w:rPr>
        <w:t>.</w:t>
      </w:r>
      <w:r w:rsidRPr="000E402C" w:rsidR="00673E58">
        <w:rPr>
          <w:rFonts w:eastAsia="Calibri"/>
          <w:bCs/>
        </w:rPr>
        <w:t xml:space="preserve"> </w:t>
      </w:r>
      <w:r w:rsidRPr="00527317" w:rsidR="00527317">
        <w:rPr>
          <w:rFonts w:eastAsia="Calibri"/>
          <w:bCs/>
        </w:rPr>
        <w:t>The labor cost estimate of $28/hour comes from the BLS Occupational Outlook Handbook occupation code 45-1011 for “First-line supervisors of farming, fishing, and forestry workers”, who are paid a median wage of $27.56 per hour (</w:t>
      </w:r>
      <w:hyperlink r:id="rId10" w:history="1">
        <w:r w:rsidRPr="00527317" w:rsidR="00527317">
          <w:rPr>
            <w:rStyle w:val="Hyperlink"/>
            <w:rFonts w:eastAsia="Calibri"/>
            <w:bCs/>
          </w:rPr>
          <w:t>https://www.bls.gov/oes/current/oes451011.htm</w:t>
        </w:r>
      </w:hyperlink>
      <w:r w:rsidRPr="00527317" w:rsidR="00527317">
        <w:rPr>
          <w:rFonts w:eastAsia="Calibri"/>
          <w:bCs/>
        </w:rPr>
        <w:t xml:space="preserve">). </w:t>
      </w:r>
      <w:r w:rsidR="006C517A">
        <w:rPr>
          <w:rFonts w:eastAsia="Calibri"/>
          <w:bCs/>
        </w:rPr>
        <w:t>The estimated total labor cost is $</w:t>
      </w:r>
      <w:r w:rsidR="008902FA">
        <w:rPr>
          <w:rFonts w:eastAsia="Calibri"/>
          <w:bCs/>
        </w:rPr>
        <w:t>12,516</w:t>
      </w:r>
      <w:r w:rsidR="006C517A">
        <w:rPr>
          <w:rFonts w:eastAsia="Calibri"/>
          <w:bCs/>
        </w:rPr>
        <w:t>.</w:t>
      </w:r>
    </w:p>
    <w:p w:rsidR="00F60302">
      <w:pPr>
        <w:rPr>
          <w:color w:val="000000"/>
        </w:rPr>
      </w:pPr>
    </w:p>
    <w:p w:rsidR="00725509" w:rsidRPr="000E402C" w:rsidP="006E5692">
      <w:r>
        <w:rPr>
          <w:b/>
          <w:color w:val="000000"/>
        </w:rPr>
        <w:t>Table 1A</w:t>
      </w:r>
      <w:r w:rsidRPr="000E402C">
        <w:rPr>
          <w:b/>
          <w:color w:val="000000"/>
        </w:rPr>
        <w:t xml:space="preserve"> - Total Annual Burden Hours, Labor, and Related Costs</w:t>
      </w:r>
    </w:p>
    <w:tbl>
      <w:tblPr>
        <w:tblW w:w="10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45"/>
        <w:gridCol w:w="1306"/>
        <w:gridCol w:w="1143"/>
        <w:gridCol w:w="1151"/>
        <w:gridCol w:w="1385"/>
        <w:gridCol w:w="1260"/>
        <w:gridCol w:w="1170"/>
      </w:tblGrid>
      <w:tr w:rsidTr="00C6013C">
        <w:tblPrEx>
          <w:tblW w:w="10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150"/>
          <w:jc w:val="center"/>
        </w:trPr>
        <w:tc>
          <w:tcPr>
            <w:tcW w:w="2745" w:type="dxa"/>
            <w:tcBorders>
              <w:top w:val="single" w:sz="8" w:space="0" w:color="auto"/>
              <w:left w:val="single" w:sz="8" w:space="0" w:color="auto"/>
              <w:bottom w:val="single" w:sz="8" w:space="0" w:color="auto"/>
              <w:right w:val="single" w:sz="8" w:space="0" w:color="auto"/>
            </w:tcBorders>
            <w:shd w:val="clear" w:color="000000" w:fill="BDD7EE"/>
            <w:vAlign w:val="center"/>
          </w:tcPr>
          <w:p w:rsidR="00725509" w:rsidRPr="00725509" w:rsidP="00725509">
            <w:pPr>
              <w:jc w:val="center"/>
              <w:rPr>
                <w:rFonts w:ascii="Calibri" w:hAnsi="Calibri" w:cs="Calibri"/>
                <w:b/>
                <w:bCs/>
                <w:color w:val="000000"/>
                <w:sz w:val="16"/>
                <w:szCs w:val="16"/>
              </w:rPr>
            </w:pPr>
            <w:r w:rsidRPr="00725509">
              <w:rPr>
                <w:rFonts w:ascii="Calibri" w:hAnsi="Calibri" w:cs="Calibri"/>
                <w:b/>
                <w:bCs/>
                <w:color w:val="000000"/>
                <w:sz w:val="16"/>
                <w:szCs w:val="16"/>
              </w:rPr>
              <w:t>Information Collection</w:t>
            </w:r>
          </w:p>
        </w:tc>
        <w:tc>
          <w:tcPr>
            <w:tcW w:w="1306" w:type="dxa"/>
            <w:tcBorders>
              <w:top w:val="single" w:sz="8" w:space="0" w:color="auto"/>
              <w:left w:val="nil"/>
              <w:bottom w:val="single" w:sz="8" w:space="0" w:color="auto"/>
              <w:right w:val="single" w:sz="8" w:space="0" w:color="000000"/>
            </w:tcBorders>
            <w:shd w:val="clear" w:color="000000" w:fill="BDD7EE"/>
            <w:vAlign w:val="center"/>
          </w:tcPr>
          <w:p w:rsidR="00D20BAF" w:rsidP="00725509">
            <w:pPr>
              <w:jc w:val="center"/>
              <w:rPr>
                <w:rFonts w:ascii="Calibri" w:hAnsi="Calibri" w:cs="Calibri"/>
                <w:b/>
                <w:bCs/>
                <w:color w:val="000000"/>
                <w:sz w:val="16"/>
                <w:szCs w:val="16"/>
              </w:rPr>
            </w:pPr>
            <w:r w:rsidRPr="00725509">
              <w:rPr>
                <w:rFonts w:ascii="Calibri" w:hAnsi="Calibri" w:cs="Calibri"/>
                <w:b/>
                <w:bCs/>
                <w:color w:val="000000"/>
                <w:sz w:val="16"/>
                <w:szCs w:val="16"/>
              </w:rPr>
              <w:t># of Respondents</w:t>
            </w:r>
          </w:p>
          <w:p w:rsidR="00725509" w:rsidRPr="00725509" w:rsidP="00725509">
            <w:pPr>
              <w:jc w:val="center"/>
              <w:rPr>
                <w:rFonts w:ascii="Calibri" w:hAnsi="Calibri" w:cs="Calibri"/>
                <w:b/>
                <w:bCs/>
                <w:color w:val="000000"/>
                <w:sz w:val="16"/>
                <w:szCs w:val="16"/>
              </w:rPr>
            </w:pPr>
            <w:r w:rsidRPr="00725509">
              <w:rPr>
                <w:rFonts w:ascii="Calibri" w:hAnsi="Calibri" w:cs="Calibri"/>
                <w:b/>
                <w:bCs/>
                <w:color w:val="000000"/>
                <w:sz w:val="16"/>
                <w:szCs w:val="16"/>
              </w:rPr>
              <w:t>/year</w:t>
            </w:r>
            <w:r w:rsidRPr="00725509">
              <w:rPr>
                <w:rFonts w:ascii="Calibri" w:hAnsi="Calibri" w:cs="Calibri"/>
                <w:b/>
                <w:bCs/>
                <w:color w:val="000000"/>
                <w:sz w:val="16"/>
                <w:szCs w:val="16"/>
              </w:rPr>
              <w:br/>
              <w:t>(a)</w:t>
            </w:r>
          </w:p>
        </w:tc>
        <w:tc>
          <w:tcPr>
            <w:tcW w:w="1143" w:type="dxa"/>
            <w:tcBorders>
              <w:top w:val="single" w:sz="8" w:space="0" w:color="auto"/>
              <w:left w:val="nil"/>
              <w:bottom w:val="single" w:sz="8" w:space="0" w:color="auto"/>
              <w:right w:val="single" w:sz="8" w:space="0" w:color="auto"/>
            </w:tcBorders>
            <w:shd w:val="clear" w:color="000000" w:fill="BDD7EE"/>
            <w:vAlign w:val="center"/>
          </w:tcPr>
          <w:p w:rsidR="00725509" w:rsidRPr="00725509" w:rsidP="00725509">
            <w:pPr>
              <w:jc w:val="center"/>
              <w:rPr>
                <w:rFonts w:ascii="Calibri" w:hAnsi="Calibri" w:cs="Calibri"/>
                <w:b/>
                <w:bCs/>
                <w:color w:val="000000"/>
                <w:sz w:val="16"/>
                <w:szCs w:val="16"/>
              </w:rPr>
            </w:pPr>
            <w:r w:rsidRPr="00725509">
              <w:rPr>
                <w:rFonts w:ascii="Calibri" w:hAnsi="Calibri" w:cs="Calibri"/>
                <w:b/>
                <w:bCs/>
                <w:color w:val="000000"/>
                <w:sz w:val="16"/>
                <w:szCs w:val="16"/>
              </w:rPr>
              <w:t>Annual # of Responses / Respondent</w:t>
            </w:r>
            <w:r w:rsidRPr="00725509">
              <w:rPr>
                <w:rFonts w:ascii="Calibri" w:hAnsi="Calibri" w:cs="Calibri"/>
                <w:b/>
                <w:bCs/>
                <w:color w:val="000000"/>
                <w:sz w:val="16"/>
                <w:szCs w:val="16"/>
              </w:rPr>
              <w:br/>
              <w:t>(b)</w:t>
            </w:r>
          </w:p>
        </w:tc>
        <w:tc>
          <w:tcPr>
            <w:tcW w:w="1151" w:type="dxa"/>
            <w:tcBorders>
              <w:top w:val="single" w:sz="8" w:space="0" w:color="auto"/>
              <w:left w:val="nil"/>
              <w:bottom w:val="single" w:sz="8" w:space="0" w:color="auto"/>
              <w:right w:val="single" w:sz="8" w:space="0" w:color="auto"/>
            </w:tcBorders>
            <w:shd w:val="clear" w:color="000000" w:fill="BDD7EE"/>
            <w:vAlign w:val="center"/>
          </w:tcPr>
          <w:p w:rsidR="00725509" w:rsidRPr="00725509" w:rsidP="00725509">
            <w:pPr>
              <w:jc w:val="center"/>
              <w:rPr>
                <w:rFonts w:ascii="Calibri" w:hAnsi="Calibri" w:cs="Calibri"/>
                <w:b/>
                <w:bCs/>
                <w:color w:val="000000"/>
                <w:sz w:val="16"/>
                <w:szCs w:val="16"/>
              </w:rPr>
            </w:pPr>
            <w:r w:rsidRPr="00725509">
              <w:rPr>
                <w:rFonts w:ascii="Calibri" w:hAnsi="Calibri" w:cs="Calibri"/>
                <w:b/>
                <w:bCs/>
                <w:color w:val="000000"/>
                <w:sz w:val="16"/>
                <w:szCs w:val="16"/>
              </w:rPr>
              <w:t xml:space="preserve"> Total # of Annual Responses</w:t>
            </w:r>
            <w:r w:rsidRPr="00725509">
              <w:rPr>
                <w:rFonts w:ascii="Calibri" w:hAnsi="Calibri" w:cs="Calibri"/>
                <w:b/>
                <w:bCs/>
                <w:color w:val="000000"/>
                <w:sz w:val="16"/>
                <w:szCs w:val="16"/>
              </w:rPr>
              <w:br/>
              <w:t>(c) = (a) x (b)</w:t>
            </w:r>
          </w:p>
        </w:tc>
        <w:tc>
          <w:tcPr>
            <w:tcW w:w="1385" w:type="dxa"/>
            <w:tcBorders>
              <w:top w:val="single" w:sz="8" w:space="0" w:color="auto"/>
              <w:left w:val="nil"/>
              <w:bottom w:val="single" w:sz="8" w:space="0" w:color="auto"/>
              <w:right w:val="single" w:sz="8" w:space="0" w:color="auto"/>
            </w:tcBorders>
            <w:shd w:val="clear" w:color="000000" w:fill="BDD7EE"/>
            <w:vAlign w:val="center"/>
          </w:tcPr>
          <w:p w:rsidR="00725509" w:rsidP="00725509">
            <w:pPr>
              <w:jc w:val="center"/>
              <w:rPr>
                <w:rFonts w:ascii="Calibri" w:hAnsi="Calibri" w:cs="Calibri"/>
                <w:b/>
                <w:bCs/>
                <w:color w:val="000000"/>
                <w:sz w:val="16"/>
                <w:szCs w:val="16"/>
              </w:rPr>
            </w:pPr>
            <w:r>
              <w:rPr>
                <w:rFonts w:ascii="Calibri" w:hAnsi="Calibri" w:cs="Calibri"/>
                <w:b/>
                <w:bCs/>
                <w:color w:val="000000"/>
                <w:sz w:val="16"/>
                <w:szCs w:val="16"/>
              </w:rPr>
              <w:t xml:space="preserve">Burden </w:t>
            </w:r>
            <w:r w:rsidR="00D20BAF">
              <w:rPr>
                <w:rFonts w:ascii="Calibri" w:hAnsi="Calibri" w:cs="Calibri"/>
                <w:b/>
                <w:bCs/>
                <w:color w:val="000000"/>
                <w:sz w:val="16"/>
                <w:szCs w:val="16"/>
              </w:rPr>
              <w:t>per Response</w:t>
            </w:r>
          </w:p>
          <w:p w:rsidR="00D20BAF" w:rsidRPr="00725509" w:rsidP="00D20BAF">
            <w:pPr>
              <w:jc w:val="center"/>
              <w:rPr>
                <w:rFonts w:ascii="Calibri" w:hAnsi="Calibri" w:cs="Calibri"/>
                <w:b/>
                <w:bCs/>
                <w:color w:val="000000"/>
                <w:sz w:val="16"/>
                <w:szCs w:val="16"/>
              </w:rPr>
            </w:pPr>
            <w:r>
              <w:rPr>
                <w:rFonts w:ascii="Calibri" w:hAnsi="Calibri" w:cs="Calibri"/>
                <w:b/>
                <w:bCs/>
                <w:color w:val="000000"/>
                <w:sz w:val="16"/>
                <w:szCs w:val="16"/>
              </w:rPr>
              <w:t>(hours or minutes)</w:t>
            </w:r>
          </w:p>
        </w:tc>
        <w:tc>
          <w:tcPr>
            <w:tcW w:w="1260" w:type="dxa"/>
            <w:tcBorders>
              <w:top w:val="single" w:sz="8" w:space="0" w:color="auto"/>
              <w:left w:val="nil"/>
              <w:bottom w:val="single" w:sz="8" w:space="0" w:color="auto"/>
              <w:right w:val="single" w:sz="8" w:space="0" w:color="auto"/>
            </w:tcBorders>
            <w:shd w:val="clear" w:color="000000" w:fill="BDD7EE"/>
            <w:vAlign w:val="center"/>
          </w:tcPr>
          <w:p w:rsidR="00D20BAF" w:rsidP="00D20BAF">
            <w:pPr>
              <w:jc w:val="center"/>
              <w:rPr>
                <w:rFonts w:ascii="Calibri" w:hAnsi="Calibri" w:cs="Calibri"/>
                <w:b/>
                <w:bCs/>
                <w:color w:val="000000"/>
                <w:sz w:val="16"/>
                <w:szCs w:val="16"/>
              </w:rPr>
            </w:pPr>
            <w:r>
              <w:rPr>
                <w:rFonts w:ascii="Calibri" w:hAnsi="Calibri" w:cs="Calibri"/>
                <w:b/>
                <w:bCs/>
                <w:color w:val="000000"/>
                <w:sz w:val="16"/>
                <w:szCs w:val="16"/>
              </w:rPr>
              <w:t xml:space="preserve">Total </w:t>
            </w:r>
            <w:r w:rsidR="00D13DF7">
              <w:rPr>
                <w:rFonts w:ascii="Calibri" w:hAnsi="Calibri" w:cs="Calibri"/>
                <w:b/>
                <w:bCs/>
                <w:color w:val="000000"/>
                <w:sz w:val="16"/>
                <w:szCs w:val="16"/>
              </w:rPr>
              <w:t>Annual Burden</w:t>
            </w:r>
          </w:p>
          <w:p w:rsidR="00725509" w:rsidRPr="00725509" w:rsidP="00D20BAF">
            <w:pPr>
              <w:jc w:val="center"/>
              <w:rPr>
                <w:rFonts w:ascii="Calibri" w:hAnsi="Calibri" w:cs="Calibri"/>
                <w:b/>
                <w:bCs/>
                <w:color w:val="000000"/>
                <w:sz w:val="16"/>
                <w:szCs w:val="16"/>
              </w:rPr>
            </w:pPr>
            <w:r>
              <w:rPr>
                <w:rFonts w:ascii="Calibri" w:hAnsi="Calibri" w:cs="Calibri"/>
                <w:b/>
                <w:bCs/>
                <w:color w:val="000000"/>
                <w:sz w:val="16"/>
                <w:szCs w:val="16"/>
              </w:rPr>
              <w:t>(hours)</w:t>
            </w:r>
            <w:r w:rsidRPr="00D20BAF">
              <w:rPr>
                <w:rFonts w:ascii="Calibri" w:hAnsi="Calibri" w:cs="Calibri"/>
                <w:b/>
                <w:bCs/>
                <w:color w:val="000000"/>
                <w:sz w:val="16"/>
                <w:szCs w:val="16"/>
              </w:rPr>
              <w:br/>
              <w:t>(h)</w:t>
            </w:r>
          </w:p>
        </w:tc>
        <w:tc>
          <w:tcPr>
            <w:tcW w:w="1170" w:type="dxa"/>
            <w:tcBorders>
              <w:top w:val="single" w:sz="8" w:space="0" w:color="auto"/>
              <w:left w:val="single" w:sz="8" w:space="0" w:color="auto"/>
              <w:bottom w:val="single" w:sz="8" w:space="0" w:color="auto"/>
              <w:right w:val="single" w:sz="8" w:space="0" w:color="auto"/>
            </w:tcBorders>
            <w:shd w:val="clear" w:color="000000" w:fill="BDD7EE"/>
            <w:vAlign w:val="center"/>
          </w:tcPr>
          <w:p w:rsidR="00725509" w:rsidRPr="00725509" w:rsidP="00725509">
            <w:pPr>
              <w:jc w:val="center"/>
              <w:rPr>
                <w:rFonts w:ascii="Calibri" w:hAnsi="Calibri" w:cs="Calibri"/>
                <w:b/>
                <w:bCs/>
                <w:color w:val="000000"/>
                <w:sz w:val="16"/>
                <w:szCs w:val="16"/>
              </w:rPr>
            </w:pPr>
            <w:r w:rsidRPr="00D20BAF">
              <w:rPr>
                <w:rFonts w:ascii="Calibri" w:hAnsi="Calibri" w:cs="Calibri"/>
                <w:b/>
                <w:bCs/>
                <w:color w:val="000000"/>
                <w:sz w:val="16"/>
                <w:szCs w:val="16"/>
              </w:rPr>
              <w:t>T</w:t>
            </w:r>
            <w:r>
              <w:rPr>
                <w:rFonts w:ascii="Calibri" w:hAnsi="Calibri" w:cs="Calibri"/>
                <w:b/>
                <w:bCs/>
                <w:color w:val="000000"/>
                <w:sz w:val="16"/>
                <w:szCs w:val="16"/>
              </w:rPr>
              <w:t>otal Annua</w:t>
            </w:r>
            <w:r w:rsidR="008902FA">
              <w:rPr>
                <w:rFonts w:ascii="Calibri" w:hAnsi="Calibri" w:cs="Calibri"/>
                <w:b/>
                <w:bCs/>
                <w:color w:val="000000"/>
                <w:sz w:val="16"/>
                <w:szCs w:val="16"/>
              </w:rPr>
              <w:t>l Cost Burden</w:t>
            </w:r>
            <w:r w:rsidR="008902FA">
              <w:rPr>
                <w:rFonts w:ascii="Calibri" w:hAnsi="Calibri" w:cs="Calibri"/>
                <w:b/>
                <w:bCs/>
                <w:color w:val="000000"/>
                <w:sz w:val="16"/>
                <w:szCs w:val="16"/>
              </w:rPr>
              <w:br/>
              <w:t>(i) = (h) x $28</w:t>
            </w:r>
            <w:r>
              <w:rPr>
                <w:rFonts w:ascii="Calibri" w:hAnsi="Calibri" w:cs="Calibri"/>
                <w:b/>
                <w:bCs/>
                <w:color w:val="000000"/>
                <w:sz w:val="16"/>
                <w:szCs w:val="16"/>
              </w:rPr>
              <w:t>/hour</w:t>
            </w:r>
          </w:p>
        </w:tc>
      </w:tr>
      <w:tr w:rsidTr="00C6013C">
        <w:tblPrEx>
          <w:tblW w:w="10160" w:type="dxa"/>
          <w:jc w:val="center"/>
          <w:tblLayout w:type="fixed"/>
          <w:tblLook w:val="01E0"/>
        </w:tblPrEx>
        <w:trPr>
          <w:trHeight w:val="81"/>
          <w:jc w:val="center"/>
        </w:trPr>
        <w:tc>
          <w:tcPr>
            <w:tcW w:w="2745" w:type="dxa"/>
            <w:shd w:val="clear" w:color="auto" w:fill="FFFFFF" w:themeFill="background1"/>
          </w:tcPr>
          <w:p w:rsidR="00725509" w:rsidRPr="000E402C" w:rsidP="00725509">
            <w:pPr>
              <w:autoSpaceDE w:val="0"/>
              <w:autoSpaceDN w:val="0"/>
              <w:adjustRightInd w:val="0"/>
              <w:ind w:left="360" w:hanging="360"/>
              <w:rPr>
                <w:b/>
                <w:color w:val="000000"/>
              </w:rPr>
            </w:pPr>
            <w:bookmarkStart w:id="1" w:name="_Hlk185664387"/>
            <w:r>
              <w:rPr>
                <w:b/>
                <w:color w:val="000000"/>
              </w:rPr>
              <w:t>Observer/P</w:t>
            </w:r>
            <w:r w:rsidRPr="000E402C">
              <w:rPr>
                <w:b/>
                <w:color w:val="000000"/>
              </w:rPr>
              <w:t>rovider permits</w:t>
            </w:r>
          </w:p>
          <w:p w:rsidR="00725509" w:rsidRPr="000E402C" w:rsidP="00725509">
            <w:pPr>
              <w:autoSpaceDE w:val="0"/>
              <w:autoSpaceDN w:val="0"/>
              <w:adjustRightInd w:val="0"/>
              <w:ind w:left="360" w:hanging="360"/>
              <w:rPr>
                <w:color w:val="000000"/>
              </w:rPr>
            </w:pPr>
            <w:r w:rsidRPr="000E402C">
              <w:rPr>
                <w:color w:val="000000"/>
              </w:rPr>
              <w:t>Application preparation &amp; submission *</w:t>
            </w:r>
          </w:p>
          <w:p w:rsidR="00725509" w:rsidRPr="000E402C" w:rsidP="00725509">
            <w:pPr>
              <w:autoSpaceDE w:val="0"/>
              <w:autoSpaceDN w:val="0"/>
              <w:adjustRightInd w:val="0"/>
              <w:ind w:left="360" w:hanging="360"/>
              <w:rPr>
                <w:color w:val="000000"/>
              </w:rPr>
            </w:pPr>
          </w:p>
          <w:p w:rsidR="00725509" w:rsidRPr="000E402C" w:rsidP="00725509">
            <w:pPr>
              <w:autoSpaceDE w:val="0"/>
              <w:autoSpaceDN w:val="0"/>
              <w:adjustRightInd w:val="0"/>
              <w:ind w:left="360" w:hanging="360"/>
              <w:rPr>
                <w:color w:val="000000"/>
              </w:rPr>
            </w:pPr>
            <w:r w:rsidRPr="000E402C">
              <w:rPr>
                <w:color w:val="000000"/>
              </w:rPr>
              <w:t>Annual Renewal*</w:t>
            </w:r>
          </w:p>
          <w:p w:rsidR="00725509" w:rsidRPr="000E402C" w:rsidP="00C6013C">
            <w:pPr>
              <w:autoSpaceDE w:val="0"/>
              <w:autoSpaceDN w:val="0"/>
              <w:adjustRightInd w:val="0"/>
              <w:ind w:left="360" w:hanging="360"/>
              <w:rPr>
                <w:color w:val="000000"/>
              </w:rPr>
            </w:pPr>
            <w:r w:rsidRPr="000E402C">
              <w:rPr>
                <w:color w:val="000000"/>
              </w:rPr>
              <w:t>Appeals – written response &amp; submission</w:t>
            </w:r>
          </w:p>
        </w:tc>
        <w:tc>
          <w:tcPr>
            <w:tcW w:w="1306" w:type="dxa"/>
            <w:shd w:val="clear" w:color="auto" w:fill="FFFFFF" w:themeFill="background1"/>
          </w:tcPr>
          <w:p w:rsidR="00725509" w:rsidP="00725509">
            <w:pPr>
              <w:jc w:val="center"/>
              <w:rPr>
                <w:color w:val="000000"/>
              </w:rPr>
            </w:pPr>
          </w:p>
          <w:p w:rsidR="00BD42DD" w:rsidRPr="000E402C" w:rsidP="00725509">
            <w:pPr>
              <w:jc w:val="center"/>
              <w:rPr>
                <w:color w:val="000000"/>
              </w:rPr>
            </w:pPr>
          </w:p>
          <w:p w:rsidR="00725509" w:rsidRPr="000E402C" w:rsidP="00725509">
            <w:pPr>
              <w:jc w:val="center"/>
              <w:rPr>
                <w:color w:val="000000"/>
              </w:rPr>
            </w:pPr>
            <w:r w:rsidRPr="000E402C">
              <w:rPr>
                <w:color w:val="000000"/>
              </w:rPr>
              <w:t>1</w:t>
            </w:r>
          </w:p>
          <w:p w:rsidR="00725509" w:rsidRPr="000E402C" w:rsidP="00725509">
            <w:pPr>
              <w:jc w:val="center"/>
              <w:rPr>
                <w:color w:val="000000"/>
              </w:rPr>
            </w:pPr>
          </w:p>
          <w:p w:rsidR="00725509" w:rsidP="00725509">
            <w:pPr>
              <w:jc w:val="center"/>
              <w:rPr>
                <w:color w:val="000000"/>
              </w:rPr>
            </w:pPr>
          </w:p>
          <w:p w:rsidR="00725509" w:rsidRPr="000E402C" w:rsidP="00725509">
            <w:pPr>
              <w:jc w:val="center"/>
              <w:rPr>
                <w:color w:val="000000"/>
              </w:rPr>
            </w:pPr>
            <w:r w:rsidRPr="000E402C">
              <w:rPr>
                <w:color w:val="000000"/>
              </w:rPr>
              <w:t>5</w:t>
            </w:r>
          </w:p>
          <w:p w:rsidR="00725509" w:rsidRPr="000E402C" w:rsidP="00725509">
            <w:pPr>
              <w:jc w:val="center"/>
              <w:rPr>
                <w:color w:val="000000"/>
              </w:rPr>
            </w:pPr>
            <w:r w:rsidRPr="000E402C">
              <w:rPr>
                <w:color w:val="000000"/>
              </w:rPr>
              <w:t>1</w:t>
            </w:r>
          </w:p>
        </w:tc>
        <w:tc>
          <w:tcPr>
            <w:tcW w:w="1143" w:type="dxa"/>
            <w:shd w:val="clear" w:color="auto" w:fill="FFFFFF" w:themeFill="background1"/>
          </w:tcPr>
          <w:p w:rsidR="00725509" w:rsidP="00725509">
            <w:pPr>
              <w:jc w:val="center"/>
              <w:rPr>
                <w:color w:val="000000"/>
              </w:rPr>
            </w:pPr>
          </w:p>
          <w:p w:rsidR="00BD42DD" w:rsidRPr="000E402C" w:rsidP="00725509">
            <w:pPr>
              <w:jc w:val="center"/>
              <w:rPr>
                <w:color w:val="000000"/>
              </w:rPr>
            </w:pPr>
          </w:p>
          <w:p w:rsidR="00725509" w:rsidRPr="000E402C" w:rsidP="00725509">
            <w:pPr>
              <w:jc w:val="center"/>
              <w:rPr>
                <w:color w:val="000000"/>
              </w:rPr>
            </w:pPr>
            <w:r w:rsidRPr="000E402C">
              <w:rPr>
                <w:color w:val="000000"/>
              </w:rPr>
              <w:t>1</w:t>
            </w:r>
          </w:p>
          <w:p w:rsidR="00725509" w:rsidRPr="000E402C" w:rsidP="00725509">
            <w:pPr>
              <w:jc w:val="center"/>
              <w:rPr>
                <w:color w:val="000000"/>
              </w:rPr>
            </w:pPr>
          </w:p>
          <w:p w:rsidR="00725509" w:rsidP="00725509">
            <w:pPr>
              <w:jc w:val="center"/>
              <w:rPr>
                <w:color w:val="000000"/>
              </w:rPr>
            </w:pPr>
          </w:p>
          <w:p w:rsidR="00725509" w:rsidRPr="000E402C" w:rsidP="00725509">
            <w:pPr>
              <w:jc w:val="center"/>
              <w:rPr>
                <w:color w:val="000000"/>
              </w:rPr>
            </w:pPr>
            <w:r w:rsidRPr="000E402C">
              <w:rPr>
                <w:color w:val="000000"/>
              </w:rPr>
              <w:t>1</w:t>
            </w:r>
          </w:p>
          <w:p w:rsidR="00725509" w:rsidRPr="000E402C" w:rsidP="00725509">
            <w:pPr>
              <w:jc w:val="center"/>
              <w:rPr>
                <w:color w:val="000000"/>
              </w:rPr>
            </w:pPr>
            <w:r w:rsidRPr="000E402C">
              <w:rPr>
                <w:color w:val="000000"/>
              </w:rPr>
              <w:t>1</w:t>
            </w:r>
          </w:p>
        </w:tc>
        <w:tc>
          <w:tcPr>
            <w:tcW w:w="1151" w:type="dxa"/>
            <w:shd w:val="clear" w:color="auto" w:fill="FFFFFF" w:themeFill="background1"/>
          </w:tcPr>
          <w:p w:rsidR="00725509" w:rsidP="00725509">
            <w:pPr>
              <w:jc w:val="center"/>
              <w:rPr>
                <w:color w:val="000000"/>
              </w:rPr>
            </w:pPr>
          </w:p>
          <w:p w:rsidR="00BD42DD" w:rsidRPr="000E402C" w:rsidP="00725509">
            <w:pPr>
              <w:jc w:val="center"/>
              <w:rPr>
                <w:color w:val="000000"/>
              </w:rPr>
            </w:pPr>
          </w:p>
          <w:p w:rsidR="00725509" w:rsidRPr="000E402C" w:rsidP="00725509">
            <w:pPr>
              <w:jc w:val="center"/>
              <w:rPr>
                <w:color w:val="000000"/>
              </w:rPr>
            </w:pPr>
            <w:r w:rsidRPr="000E402C">
              <w:rPr>
                <w:color w:val="000000"/>
              </w:rPr>
              <w:t>1</w:t>
            </w:r>
          </w:p>
          <w:p w:rsidR="00725509" w:rsidRPr="000E402C" w:rsidP="00725509">
            <w:pPr>
              <w:jc w:val="center"/>
              <w:rPr>
                <w:color w:val="000000"/>
              </w:rPr>
            </w:pPr>
          </w:p>
          <w:p w:rsidR="00725509" w:rsidP="00725509">
            <w:pPr>
              <w:jc w:val="center"/>
              <w:rPr>
                <w:color w:val="000000"/>
              </w:rPr>
            </w:pPr>
          </w:p>
          <w:p w:rsidR="00725509" w:rsidRPr="000E402C" w:rsidP="00725509">
            <w:pPr>
              <w:jc w:val="center"/>
              <w:rPr>
                <w:color w:val="000000"/>
              </w:rPr>
            </w:pPr>
            <w:r w:rsidRPr="000E402C">
              <w:rPr>
                <w:color w:val="000000"/>
              </w:rPr>
              <w:t>5</w:t>
            </w:r>
          </w:p>
          <w:p w:rsidR="00725509" w:rsidRPr="000E402C" w:rsidP="00725509">
            <w:pPr>
              <w:jc w:val="center"/>
              <w:rPr>
                <w:color w:val="000000"/>
              </w:rPr>
            </w:pPr>
            <w:r w:rsidRPr="000E402C">
              <w:rPr>
                <w:color w:val="000000"/>
              </w:rPr>
              <w:t>1</w:t>
            </w:r>
          </w:p>
        </w:tc>
        <w:tc>
          <w:tcPr>
            <w:tcW w:w="1385" w:type="dxa"/>
            <w:shd w:val="clear" w:color="auto" w:fill="FFFFFF" w:themeFill="background1"/>
          </w:tcPr>
          <w:p w:rsidR="00725509" w:rsidP="00725509">
            <w:pPr>
              <w:jc w:val="center"/>
              <w:rPr>
                <w:color w:val="000000"/>
              </w:rPr>
            </w:pPr>
          </w:p>
          <w:p w:rsidR="00BD42DD" w:rsidRPr="000E402C" w:rsidP="00725509">
            <w:pPr>
              <w:jc w:val="center"/>
              <w:rPr>
                <w:color w:val="000000"/>
              </w:rPr>
            </w:pPr>
          </w:p>
          <w:p w:rsidR="00725509" w:rsidRPr="000E402C" w:rsidP="00725509">
            <w:pPr>
              <w:jc w:val="center"/>
              <w:rPr>
                <w:color w:val="000000"/>
              </w:rPr>
            </w:pPr>
            <w:r w:rsidRPr="000E402C">
              <w:rPr>
                <w:color w:val="000000"/>
              </w:rPr>
              <w:t>10</w:t>
            </w:r>
          </w:p>
          <w:p w:rsidR="00725509" w:rsidRPr="000E402C" w:rsidP="00725509">
            <w:pPr>
              <w:jc w:val="center"/>
              <w:rPr>
                <w:color w:val="000000"/>
              </w:rPr>
            </w:pPr>
          </w:p>
          <w:p w:rsidR="00725509" w:rsidP="00725509">
            <w:pPr>
              <w:jc w:val="center"/>
              <w:rPr>
                <w:color w:val="000000"/>
              </w:rPr>
            </w:pPr>
          </w:p>
          <w:p w:rsidR="00725509" w:rsidRPr="000E402C" w:rsidP="00725509">
            <w:pPr>
              <w:jc w:val="center"/>
              <w:rPr>
                <w:color w:val="000000"/>
              </w:rPr>
            </w:pPr>
            <w:r w:rsidRPr="000E402C">
              <w:rPr>
                <w:color w:val="000000"/>
              </w:rPr>
              <w:t>2</w:t>
            </w:r>
          </w:p>
          <w:p w:rsidR="00725509" w:rsidRPr="000E402C" w:rsidP="00725509">
            <w:pPr>
              <w:jc w:val="center"/>
              <w:rPr>
                <w:color w:val="000000"/>
              </w:rPr>
            </w:pPr>
            <w:r w:rsidRPr="000E402C">
              <w:rPr>
                <w:color w:val="000000"/>
              </w:rPr>
              <w:t>4</w:t>
            </w:r>
          </w:p>
        </w:tc>
        <w:tc>
          <w:tcPr>
            <w:tcW w:w="1260" w:type="dxa"/>
            <w:tcBorders>
              <w:right w:val="double" w:sz="4" w:space="0" w:color="auto"/>
            </w:tcBorders>
            <w:shd w:val="clear" w:color="auto" w:fill="FFFFFF" w:themeFill="background1"/>
          </w:tcPr>
          <w:p w:rsidR="00725509" w:rsidP="00725509">
            <w:pPr>
              <w:jc w:val="center"/>
              <w:rPr>
                <w:color w:val="000000"/>
              </w:rPr>
            </w:pPr>
          </w:p>
          <w:p w:rsidR="00BD42DD" w:rsidRPr="000E402C" w:rsidP="00725509">
            <w:pPr>
              <w:jc w:val="center"/>
              <w:rPr>
                <w:color w:val="000000"/>
              </w:rPr>
            </w:pPr>
          </w:p>
          <w:p w:rsidR="00725509" w:rsidRPr="000E402C" w:rsidP="00725509">
            <w:pPr>
              <w:jc w:val="center"/>
              <w:rPr>
                <w:color w:val="000000"/>
              </w:rPr>
            </w:pPr>
            <w:r w:rsidRPr="000E402C">
              <w:rPr>
                <w:color w:val="000000"/>
              </w:rPr>
              <w:t>10</w:t>
            </w:r>
          </w:p>
          <w:p w:rsidR="00725509" w:rsidRPr="000E402C" w:rsidP="00725509">
            <w:pPr>
              <w:jc w:val="center"/>
              <w:rPr>
                <w:color w:val="000000"/>
              </w:rPr>
            </w:pPr>
          </w:p>
          <w:p w:rsidR="00725509" w:rsidP="00725509">
            <w:pPr>
              <w:jc w:val="center"/>
              <w:rPr>
                <w:color w:val="000000"/>
              </w:rPr>
            </w:pPr>
          </w:p>
          <w:p w:rsidR="00725509" w:rsidRPr="000E402C" w:rsidP="00725509">
            <w:pPr>
              <w:jc w:val="center"/>
              <w:rPr>
                <w:color w:val="000000"/>
              </w:rPr>
            </w:pPr>
            <w:r w:rsidRPr="000E402C">
              <w:rPr>
                <w:color w:val="000000"/>
              </w:rPr>
              <w:t>10</w:t>
            </w:r>
          </w:p>
          <w:p w:rsidR="00725509" w:rsidRPr="000E402C" w:rsidP="00725509">
            <w:pPr>
              <w:jc w:val="center"/>
              <w:rPr>
                <w:color w:val="000000"/>
              </w:rPr>
            </w:pPr>
            <w:r w:rsidRPr="000E402C">
              <w:rPr>
                <w:color w:val="000000"/>
              </w:rPr>
              <w:t>4</w:t>
            </w:r>
          </w:p>
        </w:tc>
        <w:tc>
          <w:tcPr>
            <w:tcW w:w="1170" w:type="dxa"/>
            <w:shd w:val="clear" w:color="auto" w:fill="FFFFFF" w:themeFill="background1"/>
          </w:tcPr>
          <w:p w:rsidR="00725509" w:rsidP="00725509">
            <w:pPr>
              <w:jc w:val="center"/>
              <w:rPr>
                <w:color w:val="000000"/>
              </w:rPr>
            </w:pPr>
          </w:p>
          <w:p w:rsidR="00BD42DD" w:rsidRPr="000E402C" w:rsidP="00725509">
            <w:pPr>
              <w:jc w:val="center"/>
              <w:rPr>
                <w:color w:val="000000"/>
              </w:rPr>
            </w:pPr>
          </w:p>
          <w:p w:rsidR="00725509" w:rsidRPr="000E402C" w:rsidP="00725509">
            <w:pPr>
              <w:jc w:val="center"/>
              <w:rPr>
                <w:color w:val="000000"/>
              </w:rPr>
            </w:pPr>
            <w:r>
              <w:rPr>
                <w:color w:val="000000"/>
              </w:rPr>
              <w:t>$28</w:t>
            </w:r>
            <w:r w:rsidRPr="000E402C">
              <w:rPr>
                <w:color w:val="000000"/>
              </w:rPr>
              <w:t>0</w:t>
            </w:r>
          </w:p>
          <w:p w:rsidR="00725509" w:rsidRPr="000E402C" w:rsidP="00725509">
            <w:pPr>
              <w:jc w:val="center"/>
              <w:rPr>
                <w:color w:val="000000"/>
              </w:rPr>
            </w:pPr>
          </w:p>
          <w:p w:rsidR="00725509" w:rsidP="00725509">
            <w:pPr>
              <w:jc w:val="center"/>
              <w:rPr>
                <w:color w:val="000000"/>
              </w:rPr>
            </w:pPr>
          </w:p>
          <w:p w:rsidR="00725509" w:rsidRPr="000E402C" w:rsidP="00725509">
            <w:pPr>
              <w:jc w:val="center"/>
              <w:rPr>
                <w:color w:val="000000"/>
              </w:rPr>
            </w:pPr>
            <w:r w:rsidRPr="000E402C">
              <w:rPr>
                <w:color w:val="000000"/>
              </w:rPr>
              <w:t>$2</w:t>
            </w:r>
            <w:r w:rsidR="008902FA">
              <w:rPr>
                <w:color w:val="000000"/>
              </w:rPr>
              <w:t>8</w:t>
            </w:r>
            <w:r w:rsidRPr="000E402C">
              <w:rPr>
                <w:color w:val="000000"/>
              </w:rPr>
              <w:t>0</w:t>
            </w:r>
          </w:p>
          <w:p w:rsidR="00725509" w:rsidRPr="000E402C" w:rsidP="00725509">
            <w:pPr>
              <w:jc w:val="center"/>
              <w:rPr>
                <w:color w:val="000000"/>
              </w:rPr>
            </w:pPr>
            <w:r>
              <w:rPr>
                <w:color w:val="000000"/>
              </w:rPr>
              <w:t>$112</w:t>
            </w:r>
          </w:p>
        </w:tc>
      </w:tr>
      <w:tr w:rsidTr="00C6013C">
        <w:tblPrEx>
          <w:tblW w:w="10160" w:type="dxa"/>
          <w:jc w:val="center"/>
          <w:tblLayout w:type="fixed"/>
          <w:tblLook w:val="01E0"/>
        </w:tblPrEx>
        <w:trPr>
          <w:trHeight w:val="144"/>
          <w:jc w:val="center"/>
        </w:trPr>
        <w:tc>
          <w:tcPr>
            <w:tcW w:w="2745" w:type="dxa"/>
            <w:shd w:val="clear" w:color="auto" w:fill="FFFFFF" w:themeFill="background1"/>
          </w:tcPr>
          <w:p w:rsidR="00725509" w:rsidRPr="000E402C" w:rsidP="00725509">
            <w:pPr>
              <w:rPr>
                <w:b/>
                <w:color w:val="000000"/>
              </w:rPr>
            </w:pPr>
            <w:r>
              <w:rPr>
                <w:b/>
                <w:color w:val="000000"/>
              </w:rPr>
              <w:t>Catch M</w:t>
            </w:r>
            <w:r w:rsidR="00C6646C">
              <w:rPr>
                <w:b/>
                <w:color w:val="000000"/>
              </w:rPr>
              <w:t>onitor</w:t>
            </w:r>
          </w:p>
          <w:p w:rsidR="00725509" w:rsidRPr="000E402C" w:rsidP="00725509">
            <w:pPr>
              <w:rPr>
                <w:color w:val="000000"/>
              </w:rPr>
            </w:pPr>
            <w:r w:rsidRPr="000E402C">
              <w:rPr>
                <w:color w:val="000000"/>
              </w:rPr>
              <w:t>Qualifications</w:t>
            </w:r>
          </w:p>
          <w:p w:rsidR="00725509" w:rsidRPr="000E402C" w:rsidP="00725509">
            <w:pPr>
              <w:rPr>
                <w:color w:val="000000"/>
              </w:rPr>
            </w:pPr>
            <w:r w:rsidRPr="000E402C">
              <w:rPr>
                <w:color w:val="000000"/>
              </w:rPr>
              <w:t>Appeals- written response &amp; submission</w:t>
            </w:r>
          </w:p>
        </w:tc>
        <w:tc>
          <w:tcPr>
            <w:tcW w:w="1306" w:type="dxa"/>
            <w:shd w:val="clear" w:color="auto" w:fill="FFFFFF" w:themeFill="background1"/>
          </w:tcPr>
          <w:p w:rsidR="00725509" w:rsidRPr="000E402C" w:rsidP="00725509">
            <w:pPr>
              <w:jc w:val="center"/>
              <w:rPr>
                <w:color w:val="000000"/>
              </w:rPr>
            </w:pPr>
          </w:p>
          <w:p w:rsidR="00725509" w:rsidRPr="000E402C" w:rsidP="00725509">
            <w:pPr>
              <w:jc w:val="center"/>
              <w:rPr>
                <w:color w:val="000000"/>
              </w:rPr>
            </w:pPr>
            <w:r w:rsidRPr="000E402C">
              <w:rPr>
                <w:color w:val="000000"/>
              </w:rPr>
              <w:t>45</w:t>
            </w:r>
          </w:p>
          <w:p w:rsidR="00725509" w:rsidRPr="000E402C" w:rsidP="00725509">
            <w:pPr>
              <w:jc w:val="center"/>
              <w:rPr>
                <w:color w:val="000000"/>
              </w:rPr>
            </w:pPr>
            <w:r w:rsidRPr="000E402C">
              <w:rPr>
                <w:color w:val="000000"/>
              </w:rPr>
              <w:t>5</w:t>
            </w:r>
          </w:p>
        </w:tc>
        <w:tc>
          <w:tcPr>
            <w:tcW w:w="1143" w:type="dxa"/>
            <w:shd w:val="clear" w:color="auto" w:fill="FFFFFF" w:themeFill="background1"/>
          </w:tcPr>
          <w:p w:rsidR="00725509" w:rsidRPr="000E402C" w:rsidP="00725509">
            <w:pPr>
              <w:jc w:val="center"/>
              <w:rPr>
                <w:color w:val="000000"/>
              </w:rPr>
            </w:pPr>
          </w:p>
          <w:p w:rsidR="00725509" w:rsidRPr="000E402C" w:rsidP="00725509">
            <w:pPr>
              <w:jc w:val="center"/>
              <w:rPr>
                <w:color w:val="000000"/>
              </w:rPr>
            </w:pPr>
            <w:r w:rsidRPr="000E402C">
              <w:rPr>
                <w:color w:val="000000"/>
              </w:rPr>
              <w:t>1</w:t>
            </w:r>
          </w:p>
          <w:p w:rsidR="00725509" w:rsidRPr="000E402C" w:rsidP="00725509">
            <w:pPr>
              <w:jc w:val="center"/>
              <w:rPr>
                <w:color w:val="000000"/>
              </w:rPr>
            </w:pPr>
            <w:r w:rsidRPr="000E402C">
              <w:rPr>
                <w:color w:val="000000"/>
              </w:rPr>
              <w:t>1</w:t>
            </w:r>
          </w:p>
        </w:tc>
        <w:tc>
          <w:tcPr>
            <w:tcW w:w="1151" w:type="dxa"/>
            <w:shd w:val="clear" w:color="auto" w:fill="FFFFFF" w:themeFill="background1"/>
          </w:tcPr>
          <w:p w:rsidR="00725509" w:rsidRPr="000E402C" w:rsidP="00725509">
            <w:pPr>
              <w:jc w:val="center"/>
              <w:rPr>
                <w:color w:val="000000"/>
              </w:rPr>
            </w:pPr>
          </w:p>
          <w:p w:rsidR="00725509" w:rsidRPr="000E402C" w:rsidP="00725509">
            <w:pPr>
              <w:jc w:val="center"/>
              <w:rPr>
                <w:color w:val="000000"/>
              </w:rPr>
            </w:pPr>
            <w:r w:rsidRPr="000E402C">
              <w:rPr>
                <w:color w:val="000000"/>
              </w:rPr>
              <w:t>45</w:t>
            </w:r>
          </w:p>
          <w:p w:rsidR="00725509" w:rsidRPr="000E402C" w:rsidP="00725509">
            <w:pPr>
              <w:jc w:val="center"/>
              <w:rPr>
                <w:color w:val="000000"/>
              </w:rPr>
            </w:pPr>
            <w:r w:rsidRPr="000E402C">
              <w:rPr>
                <w:color w:val="000000"/>
              </w:rPr>
              <w:t>5</w:t>
            </w:r>
          </w:p>
        </w:tc>
        <w:tc>
          <w:tcPr>
            <w:tcW w:w="1385" w:type="dxa"/>
            <w:shd w:val="clear" w:color="auto" w:fill="FFFFFF" w:themeFill="background1"/>
          </w:tcPr>
          <w:p w:rsidR="00725509" w:rsidRPr="000E402C" w:rsidP="00725509">
            <w:pPr>
              <w:jc w:val="center"/>
              <w:rPr>
                <w:color w:val="000000"/>
              </w:rPr>
            </w:pPr>
          </w:p>
          <w:p w:rsidR="00725509" w:rsidRPr="000E402C" w:rsidP="00725509">
            <w:pPr>
              <w:jc w:val="center"/>
              <w:rPr>
                <w:color w:val="000000"/>
              </w:rPr>
            </w:pPr>
            <w:r w:rsidRPr="000E402C">
              <w:rPr>
                <w:color w:val="000000"/>
              </w:rPr>
              <w:t>1</w:t>
            </w:r>
          </w:p>
          <w:p w:rsidR="00725509" w:rsidRPr="000E402C" w:rsidP="00725509">
            <w:pPr>
              <w:jc w:val="center"/>
              <w:rPr>
                <w:color w:val="000000"/>
              </w:rPr>
            </w:pPr>
            <w:r w:rsidRPr="000E402C">
              <w:rPr>
                <w:color w:val="000000"/>
              </w:rPr>
              <w:t>4</w:t>
            </w:r>
          </w:p>
        </w:tc>
        <w:tc>
          <w:tcPr>
            <w:tcW w:w="1260" w:type="dxa"/>
            <w:tcBorders>
              <w:right w:val="double" w:sz="4" w:space="0" w:color="auto"/>
            </w:tcBorders>
            <w:shd w:val="clear" w:color="auto" w:fill="FFFFFF" w:themeFill="background1"/>
          </w:tcPr>
          <w:p w:rsidR="00725509" w:rsidRPr="000E402C" w:rsidP="00725509">
            <w:pPr>
              <w:jc w:val="center"/>
              <w:rPr>
                <w:color w:val="000000"/>
              </w:rPr>
            </w:pPr>
          </w:p>
          <w:p w:rsidR="00725509" w:rsidRPr="000E402C" w:rsidP="00725509">
            <w:pPr>
              <w:jc w:val="center"/>
              <w:rPr>
                <w:color w:val="000000"/>
              </w:rPr>
            </w:pPr>
            <w:r w:rsidRPr="000E402C">
              <w:rPr>
                <w:color w:val="000000"/>
              </w:rPr>
              <w:t>45</w:t>
            </w:r>
          </w:p>
          <w:p w:rsidR="00725509" w:rsidRPr="000E402C" w:rsidP="00725509">
            <w:pPr>
              <w:jc w:val="center"/>
              <w:rPr>
                <w:color w:val="000000"/>
              </w:rPr>
            </w:pPr>
            <w:r w:rsidRPr="000E402C">
              <w:rPr>
                <w:color w:val="000000"/>
              </w:rPr>
              <w:t>20</w:t>
            </w:r>
          </w:p>
        </w:tc>
        <w:tc>
          <w:tcPr>
            <w:tcW w:w="1170" w:type="dxa"/>
            <w:shd w:val="clear" w:color="auto" w:fill="FFFFFF" w:themeFill="background1"/>
          </w:tcPr>
          <w:p w:rsidR="00725509" w:rsidRPr="000E402C" w:rsidP="00725509">
            <w:pPr>
              <w:jc w:val="center"/>
              <w:rPr>
                <w:color w:val="000000"/>
              </w:rPr>
            </w:pPr>
          </w:p>
          <w:p w:rsidR="00725509" w:rsidRPr="000E402C" w:rsidP="00725509">
            <w:pPr>
              <w:jc w:val="center"/>
              <w:rPr>
                <w:color w:val="000000"/>
              </w:rPr>
            </w:pPr>
            <w:r>
              <w:rPr>
                <w:color w:val="000000"/>
              </w:rPr>
              <w:t>$1,260</w:t>
            </w:r>
          </w:p>
          <w:p w:rsidR="00725509" w:rsidRPr="000E402C" w:rsidP="00725509">
            <w:pPr>
              <w:jc w:val="center"/>
              <w:rPr>
                <w:color w:val="000000"/>
              </w:rPr>
            </w:pPr>
            <w:r>
              <w:rPr>
                <w:color w:val="000000"/>
              </w:rPr>
              <w:t>$56</w:t>
            </w:r>
            <w:r w:rsidRPr="000E402C">
              <w:rPr>
                <w:color w:val="000000"/>
              </w:rPr>
              <w:t>0</w:t>
            </w:r>
          </w:p>
        </w:tc>
      </w:tr>
      <w:bookmarkEnd w:id="1"/>
      <w:tr w:rsidTr="00C6013C">
        <w:tblPrEx>
          <w:tblW w:w="10160" w:type="dxa"/>
          <w:jc w:val="center"/>
          <w:tblLayout w:type="fixed"/>
          <w:tblLook w:val="01E0"/>
        </w:tblPrEx>
        <w:trPr>
          <w:trHeight w:val="287"/>
          <w:jc w:val="center"/>
        </w:trPr>
        <w:tc>
          <w:tcPr>
            <w:tcW w:w="2745" w:type="dxa"/>
            <w:shd w:val="clear" w:color="auto" w:fill="FFFFFF" w:themeFill="background1"/>
          </w:tcPr>
          <w:p w:rsidR="00725509" w:rsidRPr="000E402C" w:rsidP="00725509">
            <w:pPr>
              <w:tabs>
                <w:tab w:val="left" w:pos="9867"/>
              </w:tabs>
              <w:rPr>
                <w:b/>
                <w:color w:val="000000"/>
              </w:rPr>
            </w:pPr>
            <w:r w:rsidRPr="000E402C">
              <w:rPr>
                <w:b/>
                <w:color w:val="000000"/>
              </w:rPr>
              <w:t>At-sea scales (MS, C/P)</w:t>
            </w:r>
          </w:p>
          <w:p w:rsidR="00725509" w:rsidRPr="000E402C" w:rsidP="008E7008">
            <w:pPr>
              <w:shd w:val="clear" w:color="auto" w:fill="FFFFFF" w:themeFill="background1"/>
              <w:tabs>
                <w:tab w:val="left" w:pos="9867"/>
              </w:tabs>
              <w:rPr>
                <w:color w:val="000000"/>
              </w:rPr>
            </w:pPr>
            <w:r w:rsidRPr="000E402C">
              <w:rPr>
                <w:color w:val="000000"/>
              </w:rPr>
              <w:t>Daily testing reports</w:t>
            </w:r>
          </w:p>
          <w:p w:rsidR="00725509" w:rsidRPr="000E402C" w:rsidP="008E7008">
            <w:pPr>
              <w:shd w:val="clear" w:color="auto" w:fill="FFFFFF" w:themeFill="background1"/>
              <w:tabs>
                <w:tab w:val="left" w:pos="9867"/>
              </w:tabs>
              <w:rPr>
                <w:color w:val="000000"/>
              </w:rPr>
            </w:pPr>
            <w:r w:rsidRPr="000E402C">
              <w:rPr>
                <w:color w:val="000000"/>
              </w:rPr>
              <w:t>Daily catch and cumulative weight reports</w:t>
            </w:r>
          </w:p>
          <w:p w:rsidR="00725509" w:rsidRPr="000E402C" w:rsidP="00725509">
            <w:pPr>
              <w:tabs>
                <w:tab w:val="left" w:pos="9867"/>
              </w:tabs>
              <w:rPr>
                <w:color w:val="000000"/>
              </w:rPr>
            </w:pPr>
            <w:r w:rsidRPr="000E402C">
              <w:rPr>
                <w:color w:val="000000"/>
              </w:rPr>
              <w:t>Audit trail</w:t>
            </w:r>
          </w:p>
          <w:p w:rsidR="00725509" w:rsidRPr="000E402C" w:rsidP="00725509">
            <w:pPr>
              <w:tabs>
                <w:tab w:val="left" w:pos="9867"/>
              </w:tabs>
              <w:rPr>
                <w:color w:val="000000"/>
              </w:rPr>
            </w:pPr>
            <w:r w:rsidRPr="000E402C">
              <w:rPr>
                <w:color w:val="000000"/>
              </w:rPr>
              <w:t>Calibration log</w:t>
            </w:r>
          </w:p>
          <w:p w:rsidR="00725509" w:rsidRPr="000E402C" w:rsidP="00725509">
            <w:pPr>
              <w:tabs>
                <w:tab w:val="left" w:pos="9867"/>
              </w:tabs>
              <w:rPr>
                <w:color w:val="000000"/>
              </w:rPr>
            </w:pPr>
            <w:r w:rsidRPr="000E402C">
              <w:rPr>
                <w:color w:val="000000"/>
              </w:rPr>
              <w:t>Fault log</w:t>
            </w:r>
          </w:p>
          <w:p w:rsidR="00725509" w:rsidRPr="000E402C" w:rsidP="00725509">
            <w:pPr>
              <w:tabs>
                <w:tab w:val="left" w:pos="9867"/>
              </w:tabs>
              <w:rPr>
                <w:color w:val="000000"/>
              </w:rPr>
            </w:pPr>
            <w:r w:rsidRPr="008E7008">
              <w:rPr>
                <w:color w:val="000000"/>
                <w:shd w:val="clear" w:color="auto" w:fill="FFFFFF" w:themeFill="background1"/>
              </w:rPr>
              <w:t>Video monitoring</w:t>
            </w:r>
          </w:p>
        </w:tc>
        <w:tc>
          <w:tcPr>
            <w:tcW w:w="1306" w:type="dxa"/>
            <w:shd w:val="clear" w:color="auto" w:fill="FFFFFF" w:themeFill="background1"/>
          </w:tcPr>
          <w:p w:rsidR="00725509" w:rsidRPr="000E402C" w:rsidP="00725509">
            <w:pPr>
              <w:tabs>
                <w:tab w:val="left" w:pos="9867"/>
              </w:tabs>
              <w:jc w:val="center"/>
              <w:rPr>
                <w:color w:val="000000"/>
              </w:rPr>
            </w:pPr>
          </w:p>
          <w:p w:rsidR="00725509" w:rsidP="00725509">
            <w:pPr>
              <w:tabs>
                <w:tab w:val="left" w:pos="9867"/>
              </w:tabs>
              <w:jc w:val="center"/>
              <w:rPr>
                <w:color w:val="000000"/>
              </w:rPr>
            </w:pPr>
            <w:r w:rsidRPr="000E402C">
              <w:rPr>
                <w:color w:val="000000"/>
              </w:rPr>
              <w:t>16</w:t>
            </w:r>
          </w:p>
          <w:p w:rsidR="00725509" w:rsidP="00725509">
            <w:pPr>
              <w:tabs>
                <w:tab w:val="left" w:pos="9867"/>
              </w:tabs>
              <w:jc w:val="center"/>
              <w:rPr>
                <w:color w:val="000000"/>
              </w:rPr>
            </w:pPr>
            <w:r w:rsidRPr="000E402C">
              <w:rPr>
                <w:color w:val="000000"/>
              </w:rPr>
              <w:t>16</w:t>
            </w:r>
          </w:p>
          <w:p w:rsidR="00BD42DD" w:rsidRPr="000E402C" w:rsidP="00725509">
            <w:pPr>
              <w:tabs>
                <w:tab w:val="left" w:pos="9867"/>
              </w:tabs>
              <w:jc w:val="center"/>
              <w:rPr>
                <w:color w:val="000000"/>
              </w:rPr>
            </w:pPr>
          </w:p>
          <w:p w:rsidR="00725509" w:rsidRPr="000E402C" w:rsidP="00725509">
            <w:pPr>
              <w:tabs>
                <w:tab w:val="left" w:pos="9867"/>
              </w:tabs>
              <w:jc w:val="center"/>
              <w:rPr>
                <w:color w:val="000000"/>
              </w:rPr>
            </w:pPr>
            <w:r w:rsidRPr="000E402C">
              <w:rPr>
                <w:color w:val="000000"/>
              </w:rPr>
              <w:t>16</w:t>
            </w:r>
          </w:p>
          <w:p w:rsidR="00725509" w:rsidRPr="000E402C" w:rsidP="00725509">
            <w:pPr>
              <w:tabs>
                <w:tab w:val="left" w:pos="9867"/>
              </w:tabs>
              <w:jc w:val="center"/>
              <w:rPr>
                <w:color w:val="000000"/>
              </w:rPr>
            </w:pPr>
            <w:r w:rsidRPr="000E402C">
              <w:rPr>
                <w:color w:val="000000"/>
              </w:rPr>
              <w:t>16</w:t>
            </w:r>
          </w:p>
          <w:p w:rsidR="00725509" w:rsidRPr="000E402C" w:rsidP="00725509">
            <w:pPr>
              <w:tabs>
                <w:tab w:val="left" w:pos="9867"/>
              </w:tabs>
              <w:jc w:val="center"/>
              <w:rPr>
                <w:color w:val="000000"/>
              </w:rPr>
            </w:pPr>
            <w:r w:rsidRPr="000E402C">
              <w:rPr>
                <w:color w:val="000000"/>
              </w:rPr>
              <w:t>16</w:t>
            </w:r>
          </w:p>
          <w:p w:rsidR="00725509" w:rsidRPr="000E402C" w:rsidP="00725509">
            <w:pPr>
              <w:tabs>
                <w:tab w:val="left" w:pos="9867"/>
              </w:tabs>
              <w:jc w:val="center"/>
              <w:rPr>
                <w:color w:val="000000"/>
              </w:rPr>
            </w:pPr>
            <w:r w:rsidRPr="008E7008">
              <w:rPr>
                <w:color w:val="000000"/>
                <w:shd w:val="clear" w:color="auto" w:fill="FFFFFF" w:themeFill="background1"/>
              </w:rPr>
              <w:t>16</w:t>
            </w:r>
          </w:p>
        </w:tc>
        <w:tc>
          <w:tcPr>
            <w:tcW w:w="1143" w:type="dxa"/>
            <w:shd w:val="clear" w:color="auto" w:fill="FFFFFF" w:themeFill="background1"/>
          </w:tcPr>
          <w:p w:rsidR="00725509" w:rsidRPr="000E402C" w:rsidP="00725509">
            <w:pPr>
              <w:tabs>
                <w:tab w:val="left" w:pos="9867"/>
              </w:tabs>
              <w:jc w:val="center"/>
              <w:rPr>
                <w:color w:val="000000"/>
              </w:rPr>
            </w:pPr>
          </w:p>
          <w:p w:rsidR="00725509" w:rsidP="00725509">
            <w:pPr>
              <w:tabs>
                <w:tab w:val="left" w:pos="9867"/>
              </w:tabs>
              <w:jc w:val="center"/>
              <w:rPr>
                <w:color w:val="000000"/>
              </w:rPr>
            </w:pPr>
            <w:r w:rsidRPr="000E402C">
              <w:rPr>
                <w:color w:val="000000"/>
              </w:rPr>
              <w:t>30</w:t>
            </w:r>
          </w:p>
          <w:p w:rsidR="00725509" w:rsidP="00725509">
            <w:pPr>
              <w:tabs>
                <w:tab w:val="left" w:pos="9867"/>
              </w:tabs>
              <w:jc w:val="center"/>
              <w:rPr>
                <w:color w:val="000000"/>
              </w:rPr>
            </w:pPr>
            <w:r w:rsidRPr="000E402C">
              <w:rPr>
                <w:color w:val="000000"/>
              </w:rPr>
              <w:t>30</w:t>
            </w:r>
          </w:p>
          <w:p w:rsidR="00BD42DD" w:rsidRPr="000E402C" w:rsidP="00725509">
            <w:pPr>
              <w:tabs>
                <w:tab w:val="left" w:pos="9867"/>
              </w:tabs>
              <w:jc w:val="center"/>
              <w:rPr>
                <w:color w:val="000000"/>
              </w:rPr>
            </w:pPr>
          </w:p>
          <w:p w:rsidR="00725509" w:rsidRPr="000E402C" w:rsidP="00725509">
            <w:pPr>
              <w:tabs>
                <w:tab w:val="left" w:pos="9867"/>
              </w:tabs>
              <w:jc w:val="center"/>
              <w:rPr>
                <w:color w:val="000000"/>
              </w:rPr>
            </w:pPr>
            <w:r w:rsidRPr="000E402C">
              <w:rPr>
                <w:color w:val="000000"/>
              </w:rPr>
              <w:t>24</w:t>
            </w:r>
          </w:p>
          <w:p w:rsidR="00725509" w:rsidRPr="000E402C" w:rsidP="00725509">
            <w:pPr>
              <w:tabs>
                <w:tab w:val="left" w:pos="9867"/>
              </w:tabs>
              <w:jc w:val="center"/>
              <w:rPr>
                <w:color w:val="000000"/>
              </w:rPr>
            </w:pPr>
            <w:r w:rsidRPr="000E402C">
              <w:rPr>
                <w:color w:val="000000"/>
              </w:rPr>
              <w:t>24</w:t>
            </w:r>
          </w:p>
          <w:p w:rsidR="00725509" w:rsidRPr="000E402C" w:rsidP="00725509">
            <w:pPr>
              <w:tabs>
                <w:tab w:val="left" w:pos="9867"/>
              </w:tabs>
              <w:jc w:val="center"/>
              <w:rPr>
                <w:color w:val="000000"/>
              </w:rPr>
            </w:pPr>
            <w:r w:rsidRPr="000E402C">
              <w:rPr>
                <w:color w:val="000000"/>
              </w:rPr>
              <w:t>24</w:t>
            </w:r>
          </w:p>
          <w:p w:rsidR="00725509" w:rsidRPr="000E402C" w:rsidP="00725509">
            <w:pPr>
              <w:tabs>
                <w:tab w:val="left" w:pos="9867"/>
              </w:tabs>
              <w:jc w:val="center"/>
              <w:rPr>
                <w:color w:val="000000"/>
              </w:rPr>
            </w:pPr>
            <w:r w:rsidRPr="008E7008">
              <w:rPr>
                <w:color w:val="000000"/>
                <w:shd w:val="clear" w:color="auto" w:fill="FFFFFF" w:themeFill="background1"/>
              </w:rPr>
              <w:t>0</w:t>
            </w:r>
          </w:p>
        </w:tc>
        <w:tc>
          <w:tcPr>
            <w:tcW w:w="1151" w:type="dxa"/>
            <w:shd w:val="clear" w:color="auto" w:fill="FFFFFF" w:themeFill="background1"/>
          </w:tcPr>
          <w:p w:rsidR="00725509" w:rsidRPr="000E402C" w:rsidP="00725509">
            <w:pPr>
              <w:tabs>
                <w:tab w:val="left" w:pos="9867"/>
              </w:tabs>
              <w:jc w:val="center"/>
              <w:rPr>
                <w:color w:val="000000"/>
              </w:rPr>
            </w:pPr>
          </w:p>
          <w:p w:rsidR="00725509" w:rsidP="00725509">
            <w:pPr>
              <w:tabs>
                <w:tab w:val="left" w:pos="9867"/>
              </w:tabs>
              <w:jc w:val="center"/>
              <w:rPr>
                <w:color w:val="000000"/>
              </w:rPr>
            </w:pPr>
            <w:r w:rsidRPr="000E402C">
              <w:rPr>
                <w:color w:val="000000"/>
              </w:rPr>
              <w:t>480</w:t>
            </w:r>
          </w:p>
          <w:p w:rsidR="00725509" w:rsidP="00725509">
            <w:pPr>
              <w:tabs>
                <w:tab w:val="left" w:pos="9867"/>
              </w:tabs>
              <w:jc w:val="center"/>
              <w:rPr>
                <w:color w:val="000000"/>
              </w:rPr>
            </w:pPr>
            <w:r w:rsidRPr="000E402C">
              <w:rPr>
                <w:color w:val="000000"/>
              </w:rPr>
              <w:t>480</w:t>
            </w:r>
          </w:p>
          <w:p w:rsidR="00BD42DD" w:rsidRPr="000E402C" w:rsidP="00725509">
            <w:pPr>
              <w:tabs>
                <w:tab w:val="left" w:pos="9867"/>
              </w:tabs>
              <w:jc w:val="center"/>
              <w:rPr>
                <w:color w:val="000000"/>
              </w:rPr>
            </w:pPr>
          </w:p>
          <w:p w:rsidR="00725509" w:rsidRPr="000E402C" w:rsidP="00725509">
            <w:pPr>
              <w:tabs>
                <w:tab w:val="left" w:pos="9867"/>
              </w:tabs>
              <w:jc w:val="center"/>
              <w:rPr>
                <w:color w:val="000000"/>
              </w:rPr>
            </w:pPr>
            <w:r w:rsidRPr="000E402C">
              <w:rPr>
                <w:color w:val="000000"/>
              </w:rPr>
              <w:t>384</w:t>
            </w:r>
          </w:p>
          <w:p w:rsidR="00725509" w:rsidRPr="000E402C" w:rsidP="00725509">
            <w:pPr>
              <w:tabs>
                <w:tab w:val="left" w:pos="9867"/>
              </w:tabs>
              <w:jc w:val="center"/>
              <w:rPr>
                <w:color w:val="000000"/>
              </w:rPr>
            </w:pPr>
            <w:r w:rsidRPr="000E402C">
              <w:rPr>
                <w:color w:val="000000"/>
              </w:rPr>
              <w:t>384</w:t>
            </w:r>
          </w:p>
          <w:p w:rsidR="00725509" w:rsidRPr="000E402C" w:rsidP="00725509">
            <w:pPr>
              <w:tabs>
                <w:tab w:val="left" w:pos="9867"/>
              </w:tabs>
              <w:jc w:val="center"/>
              <w:rPr>
                <w:color w:val="000000"/>
              </w:rPr>
            </w:pPr>
            <w:r w:rsidRPr="000E402C">
              <w:rPr>
                <w:color w:val="000000"/>
              </w:rPr>
              <w:t>384</w:t>
            </w:r>
          </w:p>
          <w:p w:rsidR="00725509" w:rsidRPr="000E402C" w:rsidP="00725509">
            <w:pPr>
              <w:tabs>
                <w:tab w:val="left" w:pos="9867"/>
              </w:tabs>
              <w:jc w:val="center"/>
              <w:rPr>
                <w:color w:val="000000"/>
              </w:rPr>
            </w:pPr>
            <w:r w:rsidRPr="008E7008">
              <w:rPr>
                <w:color w:val="000000"/>
                <w:shd w:val="clear" w:color="auto" w:fill="FFFFFF" w:themeFill="background1"/>
              </w:rPr>
              <w:t>0</w:t>
            </w:r>
          </w:p>
        </w:tc>
        <w:tc>
          <w:tcPr>
            <w:tcW w:w="1385" w:type="dxa"/>
            <w:shd w:val="clear" w:color="auto" w:fill="FFFFFF" w:themeFill="background1"/>
          </w:tcPr>
          <w:p w:rsidR="00725509" w:rsidRPr="000E402C" w:rsidP="00725509">
            <w:pPr>
              <w:tabs>
                <w:tab w:val="left" w:pos="9867"/>
              </w:tabs>
              <w:jc w:val="center"/>
              <w:rPr>
                <w:color w:val="000000"/>
              </w:rPr>
            </w:pPr>
          </w:p>
          <w:p w:rsidR="00725509" w:rsidP="00725509">
            <w:pPr>
              <w:tabs>
                <w:tab w:val="left" w:pos="9867"/>
              </w:tabs>
              <w:jc w:val="center"/>
              <w:rPr>
                <w:color w:val="000000"/>
              </w:rPr>
            </w:pPr>
            <w:r w:rsidRPr="000E402C">
              <w:rPr>
                <w:color w:val="000000"/>
              </w:rPr>
              <w:t>30 min.</w:t>
            </w:r>
          </w:p>
          <w:p w:rsidR="00725509" w:rsidP="00725509">
            <w:pPr>
              <w:tabs>
                <w:tab w:val="left" w:pos="9867"/>
              </w:tabs>
              <w:jc w:val="center"/>
              <w:rPr>
                <w:color w:val="000000"/>
              </w:rPr>
            </w:pPr>
            <w:r w:rsidRPr="000E402C">
              <w:rPr>
                <w:color w:val="000000"/>
              </w:rPr>
              <w:t>10 min.</w:t>
            </w:r>
          </w:p>
          <w:p w:rsidR="00BD42DD" w:rsidRPr="000E402C" w:rsidP="00725509">
            <w:pPr>
              <w:tabs>
                <w:tab w:val="left" w:pos="9867"/>
              </w:tabs>
              <w:jc w:val="center"/>
              <w:rPr>
                <w:color w:val="000000"/>
              </w:rPr>
            </w:pPr>
          </w:p>
          <w:p w:rsidR="00725509" w:rsidRPr="000E402C" w:rsidP="00725509">
            <w:pPr>
              <w:tabs>
                <w:tab w:val="left" w:pos="9867"/>
              </w:tabs>
              <w:jc w:val="center"/>
              <w:rPr>
                <w:color w:val="000000"/>
              </w:rPr>
            </w:pPr>
            <w:r w:rsidRPr="000E402C">
              <w:rPr>
                <w:color w:val="000000"/>
              </w:rPr>
              <w:t>1 min.</w:t>
            </w:r>
          </w:p>
          <w:p w:rsidR="00725509" w:rsidRPr="000E402C" w:rsidP="00725509">
            <w:pPr>
              <w:tabs>
                <w:tab w:val="left" w:pos="9867"/>
              </w:tabs>
              <w:jc w:val="center"/>
              <w:rPr>
                <w:color w:val="000000"/>
              </w:rPr>
            </w:pPr>
            <w:r w:rsidRPr="000E402C">
              <w:rPr>
                <w:color w:val="000000"/>
              </w:rPr>
              <w:t>2 min.</w:t>
            </w:r>
          </w:p>
          <w:p w:rsidR="00725509" w:rsidRPr="000E402C" w:rsidP="00725509">
            <w:pPr>
              <w:tabs>
                <w:tab w:val="left" w:pos="9867"/>
              </w:tabs>
              <w:jc w:val="center"/>
              <w:rPr>
                <w:color w:val="000000"/>
              </w:rPr>
            </w:pPr>
            <w:r w:rsidRPr="000E402C">
              <w:rPr>
                <w:color w:val="000000"/>
              </w:rPr>
              <w:t>3 min.</w:t>
            </w:r>
          </w:p>
          <w:p w:rsidR="00725509" w:rsidRPr="000E402C" w:rsidP="00725509">
            <w:pPr>
              <w:tabs>
                <w:tab w:val="left" w:pos="9867"/>
              </w:tabs>
              <w:jc w:val="center"/>
              <w:rPr>
                <w:color w:val="000000"/>
              </w:rPr>
            </w:pPr>
            <w:r w:rsidRPr="008E7008">
              <w:rPr>
                <w:color w:val="000000"/>
                <w:shd w:val="clear" w:color="auto" w:fill="FFFFFF" w:themeFill="background1"/>
              </w:rPr>
              <w:t>0</w:t>
            </w:r>
          </w:p>
        </w:tc>
        <w:tc>
          <w:tcPr>
            <w:tcW w:w="1260" w:type="dxa"/>
            <w:tcBorders>
              <w:right w:val="double" w:sz="4" w:space="0" w:color="auto"/>
            </w:tcBorders>
            <w:shd w:val="clear" w:color="auto" w:fill="FFFFFF" w:themeFill="background1"/>
          </w:tcPr>
          <w:p w:rsidR="00725509" w:rsidRPr="000E402C" w:rsidP="00725509">
            <w:pPr>
              <w:tabs>
                <w:tab w:val="left" w:pos="9867"/>
              </w:tabs>
              <w:jc w:val="center"/>
              <w:rPr>
                <w:color w:val="000000"/>
              </w:rPr>
            </w:pPr>
          </w:p>
          <w:p w:rsidR="00725509" w:rsidP="00725509">
            <w:pPr>
              <w:tabs>
                <w:tab w:val="left" w:pos="9867"/>
              </w:tabs>
              <w:jc w:val="center"/>
              <w:rPr>
                <w:color w:val="000000"/>
              </w:rPr>
            </w:pPr>
            <w:r w:rsidRPr="000E402C">
              <w:rPr>
                <w:color w:val="000000"/>
              </w:rPr>
              <w:t>240</w:t>
            </w:r>
          </w:p>
          <w:p w:rsidR="00725509" w:rsidP="00725509">
            <w:pPr>
              <w:tabs>
                <w:tab w:val="left" w:pos="9867"/>
              </w:tabs>
              <w:jc w:val="center"/>
              <w:rPr>
                <w:color w:val="000000"/>
              </w:rPr>
            </w:pPr>
            <w:r w:rsidRPr="000E402C">
              <w:rPr>
                <w:color w:val="000000"/>
              </w:rPr>
              <w:t>80</w:t>
            </w:r>
          </w:p>
          <w:p w:rsidR="00BD42DD" w:rsidRPr="000E402C" w:rsidP="00725509">
            <w:pPr>
              <w:tabs>
                <w:tab w:val="left" w:pos="9867"/>
              </w:tabs>
              <w:jc w:val="center"/>
              <w:rPr>
                <w:color w:val="000000"/>
              </w:rPr>
            </w:pPr>
          </w:p>
          <w:p w:rsidR="00725509" w:rsidRPr="000E402C" w:rsidP="00725509">
            <w:pPr>
              <w:tabs>
                <w:tab w:val="left" w:pos="9867"/>
              </w:tabs>
              <w:jc w:val="center"/>
              <w:rPr>
                <w:color w:val="000000"/>
              </w:rPr>
            </w:pPr>
            <w:r w:rsidRPr="000E402C">
              <w:rPr>
                <w:color w:val="000000"/>
              </w:rPr>
              <w:t>6</w:t>
            </w:r>
          </w:p>
          <w:p w:rsidR="00725509" w:rsidRPr="000E402C" w:rsidP="00725509">
            <w:pPr>
              <w:tabs>
                <w:tab w:val="left" w:pos="9867"/>
              </w:tabs>
              <w:jc w:val="center"/>
              <w:rPr>
                <w:color w:val="000000"/>
              </w:rPr>
            </w:pPr>
            <w:r w:rsidRPr="000E402C">
              <w:rPr>
                <w:color w:val="000000"/>
              </w:rPr>
              <w:t>13</w:t>
            </w:r>
          </w:p>
          <w:p w:rsidR="00725509" w:rsidRPr="000E402C" w:rsidP="00725509">
            <w:pPr>
              <w:tabs>
                <w:tab w:val="left" w:pos="9867"/>
              </w:tabs>
              <w:jc w:val="center"/>
              <w:rPr>
                <w:color w:val="000000"/>
              </w:rPr>
            </w:pPr>
            <w:r w:rsidRPr="000E402C">
              <w:rPr>
                <w:color w:val="000000"/>
              </w:rPr>
              <w:t>19</w:t>
            </w:r>
          </w:p>
          <w:p w:rsidR="00725509" w:rsidRPr="000E402C" w:rsidP="00725509">
            <w:pPr>
              <w:tabs>
                <w:tab w:val="left" w:pos="9867"/>
              </w:tabs>
              <w:jc w:val="center"/>
              <w:rPr>
                <w:color w:val="000000"/>
              </w:rPr>
            </w:pPr>
            <w:r w:rsidRPr="008E7008">
              <w:rPr>
                <w:color w:val="000000"/>
                <w:shd w:val="clear" w:color="auto" w:fill="FFFFFF" w:themeFill="background1"/>
              </w:rPr>
              <w:t>0</w:t>
            </w:r>
          </w:p>
        </w:tc>
        <w:tc>
          <w:tcPr>
            <w:tcW w:w="1170" w:type="dxa"/>
            <w:shd w:val="clear" w:color="auto" w:fill="FFFFFF" w:themeFill="background1"/>
          </w:tcPr>
          <w:p w:rsidR="00725509" w:rsidRPr="000E402C" w:rsidP="00725509">
            <w:pPr>
              <w:tabs>
                <w:tab w:val="left" w:pos="9867"/>
              </w:tabs>
              <w:jc w:val="center"/>
              <w:rPr>
                <w:color w:val="000000"/>
              </w:rPr>
            </w:pPr>
          </w:p>
          <w:p w:rsidR="00725509" w:rsidP="00725509">
            <w:pPr>
              <w:tabs>
                <w:tab w:val="left" w:pos="9867"/>
              </w:tabs>
              <w:jc w:val="center"/>
              <w:rPr>
                <w:color w:val="000000"/>
              </w:rPr>
            </w:pPr>
            <w:r>
              <w:rPr>
                <w:color w:val="000000"/>
              </w:rPr>
              <w:t>$6,72</w:t>
            </w:r>
            <w:r w:rsidRPr="000E402C">
              <w:rPr>
                <w:color w:val="000000"/>
              </w:rPr>
              <w:t>0</w:t>
            </w:r>
          </w:p>
          <w:p w:rsidR="00725509" w:rsidP="00725509">
            <w:pPr>
              <w:tabs>
                <w:tab w:val="left" w:pos="9867"/>
              </w:tabs>
              <w:jc w:val="center"/>
              <w:rPr>
                <w:color w:val="000000"/>
              </w:rPr>
            </w:pPr>
            <w:r>
              <w:rPr>
                <w:color w:val="000000"/>
              </w:rPr>
              <w:t>$2,24</w:t>
            </w:r>
            <w:r w:rsidRPr="000E402C">
              <w:rPr>
                <w:color w:val="000000"/>
              </w:rPr>
              <w:t>0</w:t>
            </w:r>
          </w:p>
          <w:p w:rsidR="00BD42DD" w:rsidRPr="000E402C" w:rsidP="00725509">
            <w:pPr>
              <w:tabs>
                <w:tab w:val="left" w:pos="9867"/>
              </w:tabs>
              <w:jc w:val="center"/>
              <w:rPr>
                <w:color w:val="000000"/>
              </w:rPr>
            </w:pPr>
          </w:p>
          <w:p w:rsidR="00725509" w:rsidRPr="000E402C" w:rsidP="00725509">
            <w:pPr>
              <w:tabs>
                <w:tab w:val="left" w:pos="9867"/>
              </w:tabs>
              <w:jc w:val="center"/>
              <w:rPr>
                <w:color w:val="000000"/>
              </w:rPr>
            </w:pPr>
            <w:r>
              <w:rPr>
                <w:color w:val="000000"/>
              </w:rPr>
              <w:t>$168</w:t>
            </w:r>
          </w:p>
          <w:p w:rsidR="00725509" w:rsidRPr="000E402C" w:rsidP="00725509">
            <w:pPr>
              <w:tabs>
                <w:tab w:val="left" w:pos="9867"/>
              </w:tabs>
              <w:jc w:val="center"/>
              <w:rPr>
                <w:color w:val="000000"/>
              </w:rPr>
            </w:pPr>
            <w:r>
              <w:rPr>
                <w:color w:val="000000"/>
              </w:rPr>
              <w:t>$364</w:t>
            </w:r>
          </w:p>
          <w:p w:rsidR="00725509" w:rsidRPr="000E402C" w:rsidP="00725509">
            <w:pPr>
              <w:tabs>
                <w:tab w:val="left" w:pos="9867"/>
              </w:tabs>
              <w:jc w:val="center"/>
              <w:rPr>
                <w:color w:val="000000"/>
              </w:rPr>
            </w:pPr>
            <w:r>
              <w:rPr>
                <w:color w:val="000000"/>
              </w:rPr>
              <w:t>$532</w:t>
            </w:r>
          </w:p>
          <w:p w:rsidR="00725509" w:rsidRPr="000E402C" w:rsidP="00725509">
            <w:pPr>
              <w:tabs>
                <w:tab w:val="left" w:pos="9867"/>
              </w:tabs>
              <w:jc w:val="center"/>
              <w:rPr>
                <w:color w:val="000000"/>
              </w:rPr>
            </w:pPr>
            <w:r w:rsidRPr="008E7008">
              <w:rPr>
                <w:color w:val="000000"/>
                <w:shd w:val="clear" w:color="auto" w:fill="FFFFFF" w:themeFill="background1"/>
              </w:rPr>
              <w:t>0</w:t>
            </w:r>
          </w:p>
        </w:tc>
      </w:tr>
      <w:tr w:rsidTr="00C6013C">
        <w:tblPrEx>
          <w:tblW w:w="10160" w:type="dxa"/>
          <w:jc w:val="center"/>
          <w:tblLayout w:type="fixed"/>
          <w:tblLook w:val="01E0"/>
        </w:tblPrEx>
        <w:trPr>
          <w:trHeight w:val="108"/>
          <w:jc w:val="center"/>
        </w:trPr>
        <w:tc>
          <w:tcPr>
            <w:tcW w:w="2745" w:type="dxa"/>
            <w:shd w:val="clear" w:color="auto" w:fill="D9D9D9"/>
            <w:vAlign w:val="center"/>
          </w:tcPr>
          <w:p w:rsidR="00725509" w:rsidRPr="00F60302" w:rsidP="00F60302">
            <w:pPr>
              <w:tabs>
                <w:tab w:val="left" w:pos="9867"/>
              </w:tabs>
              <w:jc w:val="center"/>
              <w:rPr>
                <w:b/>
                <w:color w:val="000000"/>
              </w:rPr>
            </w:pPr>
          </w:p>
          <w:p w:rsidR="00725509" w:rsidRPr="00F60302" w:rsidP="00F60302">
            <w:pPr>
              <w:tabs>
                <w:tab w:val="left" w:pos="9867"/>
              </w:tabs>
              <w:jc w:val="center"/>
              <w:rPr>
                <w:b/>
                <w:color w:val="000000"/>
              </w:rPr>
            </w:pPr>
            <w:r w:rsidRPr="00F60302">
              <w:rPr>
                <w:b/>
                <w:color w:val="000000"/>
              </w:rPr>
              <w:t>Total for collection</w:t>
            </w:r>
          </w:p>
          <w:p w:rsidR="00725509" w:rsidRPr="00F60302" w:rsidP="00F60302">
            <w:pPr>
              <w:tabs>
                <w:tab w:val="left" w:pos="9867"/>
              </w:tabs>
              <w:jc w:val="center"/>
              <w:rPr>
                <w:b/>
                <w:color w:val="000000"/>
              </w:rPr>
            </w:pPr>
          </w:p>
        </w:tc>
        <w:tc>
          <w:tcPr>
            <w:tcW w:w="1306" w:type="dxa"/>
            <w:shd w:val="clear" w:color="auto" w:fill="D9D9D9"/>
            <w:vAlign w:val="center"/>
          </w:tcPr>
          <w:p w:rsidR="00725509" w:rsidRPr="00F60302" w:rsidP="00F60302">
            <w:pPr>
              <w:tabs>
                <w:tab w:val="left" w:pos="9867"/>
              </w:tabs>
              <w:jc w:val="center"/>
              <w:rPr>
                <w:b/>
                <w:color w:val="000000"/>
              </w:rPr>
            </w:pPr>
            <w:r w:rsidRPr="00F60302">
              <w:rPr>
                <w:b/>
                <w:color w:val="000000"/>
              </w:rPr>
              <w:t>153</w:t>
            </w:r>
          </w:p>
        </w:tc>
        <w:tc>
          <w:tcPr>
            <w:tcW w:w="1143" w:type="dxa"/>
            <w:shd w:val="clear" w:color="auto" w:fill="000000" w:themeFill="text1"/>
            <w:vAlign w:val="center"/>
          </w:tcPr>
          <w:p w:rsidR="00725509" w:rsidRPr="000E402C" w:rsidP="00F60302">
            <w:pPr>
              <w:tabs>
                <w:tab w:val="left" w:pos="9867"/>
              </w:tabs>
              <w:jc w:val="center"/>
              <w:rPr>
                <w:i/>
                <w:color w:val="000000"/>
              </w:rPr>
            </w:pPr>
          </w:p>
          <w:p w:rsidR="00725509" w:rsidRPr="000E402C" w:rsidP="00F60302">
            <w:pPr>
              <w:tabs>
                <w:tab w:val="left" w:pos="9867"/>
              </w:tabs>
              <w:jc w:val="center"/>
              <w:rPr>
                <w:i/>
                <w:color w:val="000000"/>
              </w:rPr>
            </w:pPr>
          </w:p>
        </w:tc>
        <w:tc>
          <w:tcPr>
            <w:tcW w:w="1151" w:type="dxa"/>
            <w:shd w:val="clear" w:color="auto" w:fill="D9D9D9"/>
            <w:vAlign w:val="center"/>
          </w:tcPr>
          <w:p w:rsidR="00725509" w:rsidRPr="000E402C" w:rsidP="00F60302">
            <w:pPr>
              <w:tabs>
                <w:tab w:val="left" w:pos="9867"/>
              </w:tabs>
              <w:jc w:val="center"/>
              <w:rPr>
                <w:b/>
                <w:i/>
                <w:color w:val="000000"/>
              </w:rPr>
            </w:pPr>
            <w:r w:rsidRPr="00F60302">
              <w:rPr>
                <w:b/>
                <w:color w:val="000000"/>
              </w:rPr>
              <w:t>2,169</w:t>
            </w:r>
          </w:p>
        </w:tc>
        <w:tc>
          <w:tcPr>
            <w:tcW w:w="1385" w:type="dxa"/>
            <w:shd w:val="clear" w:color="auto" w:fill="000000" w:themeFill="text1"/>
            <w:vAlign w:val="center"/>
          </w:tcPr>
          <w:p w:rsidR="00725509" w:rsidRPr="000E402C" w:rsidP="00F60302">
            <w:pPr>
              <w:tabs>
                <w:tab w:val="left" w:pos="9867"/>
              </w:tabs>
              <w:jc w:val="center"/>
              <w:rPr>
                <w:i/>
                <w:color w:val="000000"/>
              </w:rPr>
            </w:pPr>
          </w:p>
        </w:tc>
        <w:tc>
          <w:tcPr>
            <w:tcW w:w="1260" w:type="dxa"/>
            <w:tcBorders>
              <w:right w:val="double" w:sz="4" w:space="0" w:color="auto"/>
            </w:tcBorders>
            <w:shd w:val="clear" w:color="auto" w:fill="D9D9D9"/>
            <w:vAlign w:val="center"/>
          </w:tcPr>
          <w:p w:rsidR="00725509" w:rsidRPr="001C5E86" w:rsidP="00F60302">
            <w:pPr>
              <w:tabs>
                <w:tab w:val="left" w:pos="9867"/>
              </w:tabs>
              <w:jc w:val="center"/>
              <w:rPr>
                <w:b/>
                <w:color w:val="000000"/>
              </w:rPr>
            </w:pPr>
            <w:r w:rsidRPr="001C5E86">
              <w:rPr>
                <w:b/>
                <w:color w:val="000000"/>
              </w:rPr>
              <w:t>447</w:t>
            </w:r>
          </w:p>
        </w:tc>
        <w:tc>
          <w:tcPr>
            <w:tcW w:w="1170" w:type="dxa"/>
            <w:shd w:val="clear" w:color="auto" w:fill="D9D9D9"/>
            <w:vAlign w:val="center"/>
          </w:tcPr>
          <w:p w:rsidR="00725509" w:rsidRPr="00F60302" w:rsidP="00F60302">
            <w:pPr>
              <w:tabs>
                <w:tab w:val="left" w:pos="9867"/>
              </w:tabs>
              <w:jc w:val="center"/>
              <w:rPr>
                <w:b/>
                <w:color w:val="000000"/>
              </w:rPr>
            </w:pPr>
            <w:r>
              <w:rPr>
                <w:b/>
                <w:color w:val="000000"/>
              </w:rPr>
              <w:t>$12,516</w:t>
            </w:r>
          </w:p>
        </w:tc>
      </w:tr>
    </w:tbl>
    <w:p w:rsidR="00725509" w:rsidRPr="000E402C" w:rsidP="006E5692">
      <w:pPr>
        <w:ind w:left="-360" w:hanging="360"/>
        <w:rPr>
          <w:highlight w:val="yellow"/>
        </w:rPr>
      </w:pPr>
    </w:p>
    <w:p w:rsidR="00F60302">
      <w:pPr>
        <w:rPr>
          <w:b/>
          <w:color w:val="000000"/>
        </w:rPr>
      </w:pPr>
    </w:p>
    <w:p w:rsidR="00F60302" w:rsidRPr="00F60302" w:rsidP="00F60302">
      <w:pPr>
        <w:ind w:left="-360"/>
        <w:rPr>
          <w:b/>
          <w:bCs/>
          <w:color w:val="000000"/>
        </w:rPr>
      </w:pPr>
      <w:r w:rsidRPr="00F60302">
        <w:rPr>
          <w:b/>
          <w:bCs/>
          <w:color w:val="000000"/>
        </w:rPr>
        <w:t xml:space="preserve">13.  Provide an estimate of the total annual cost burden to the respondents or </w:t>
      </w:r>
      <w:r w:rsidRPr="00F60302" w:rsidR="00C6646C">
        <w:rPr>
          <w:b/>
          <w:bCs/>
          <w:color w:val="000000"/>
        </w:rPr>
        <w:t>record-keepers</w:t>
      </w:r>
      <w:r w:rsidRPr="00F60302">
        <w:rPr>
          <w:b/>
          <w:bCs/>
          <w:color w:val="000000"/>
        </w:rPr>
        <w:t xml:space="preserve"> resulting from the collection (excluding the value of the burden hours in Question 12 above).</w:t>
      </w:r>
    </w:p>
    <w:p w:rsidR="00F60302" w:rsidRPr="00F60302" w:rsidP="00F60302">
      <w:pPr>
        <w:ind w:left="-360"/>
        <w:rPr>
          <w:b/>
          <w:color w:val="000000"/>
        </w:rPr>
      </w:pPr>
    </w:p>
    <w:p w:rsidR="00F60302" w:rsidRPr="00F60302" w:rsidP="00F60302">
      <w:pPr>
        <w:ind w:left="-360"/>
        <w:rPr>
          <w:bCs/>
          <w:color w:val="000000"/>
        </w:rPr>
      </w:pPr>
      <w:r w:rsidRPr="00F60302">
        <w:rPr>
          <w:color w:val="000000"/>
        </w:rPr>
        <w:t>The total annual cost burden to the respondents or record</w:t>
      </w:r>
      <w:r w:rsidR="00642F97">
        <w:rPr>
          <w:color w:val="000000"/>
        </w:rPr>
        <w:t>-</w:t>
      </w:r>
      <w:r w:rsidRPr="00F60302">
        <w:rPr>
          <w:color w:val="000000"/>
        </w:rPr>
        <w:t>keepers resulting from this collection is $</w:t>
      </w:r>
      <w:r w:rsidR="00642F97">
        <w:rPr>
          <w:color w:val="000000"/>
        </w:rPr>
        <w:t>153 (Table 1B).</w:t>
      </w:r>
    </w:p>
    <w:p w:rsidR="00F60302" w:rsidP="006E5692">
      <w:pPr>
        <w:ind w:left="-360"/>
        <w:rPr>
          <w:b/>
          <w:color w:val="000000"/>
        </w:rPr>
      </w:pPr>
    </w:p>
    <w:p w:rsidR="00725509" w:rsidP="006E5692">
      <w:pPr>
        <w:ind w:left="-360"/>
        <w:rPr>
          <w:b/>
          <w:color w:val="000000"/>
        </w:rPr>
      </w:pPr>
      <w:r w:rsidRPr="000E402C">
        <w:rPr>
          <w:b/>
          <w:color w:val="000000"/>
        </w:rPr>
        <w:t xml:space="preserve">Table </w:t>
      </w:r>
      <w:r>
        <w:rPr>
          <w:b/>
          <w:color w:val="000000"/>
        </w:rPr>
        <w:t>1</w:t>
      </w:r>
      <w:r w:rsidRPr="000E402C">
        <w:rPr>
          <w:b/>
          <w:color w:val="000000"/>
        </w:rPr>
        <w:t>B - Total Annual Miscellaneous Costs</w:t>
      </w:r>
    </w:p>
    <w:tbl>
      <w:tblPr>
        <w:tblW w:w="9299"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04"/>
        <w:gridCol w:w="2106"/>
        <w:gridCol w:w="1524"/>
        <w:gridCol w:w="1965"/>
      </w:tblGrid>
      <w:tr w:rsidTr="00642F97">
        <w:tblPrEx>
          <w:tblW w:w="9299"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577"/>
        </w:trPr>
        <w:tc>
          <w:tcPr>
            <w:tcW w:w="3704" w:type="dxa"/>
            <w:shd w:val="clear" w:color="auto" w:fill="D9D9D9"/>
            <w:vAlign w:val="bottom"/>
          </w:tcPr>
          <w:p w:rsidR="00725509" w:rsidRPr="000E402C" w:rsidP="006E5692">
            <w:pPr>
              <w:ind w:left="1062" w:hanging="90"/>
              <w:jc w:val="center"/>
              <w:rPr>
                <w:color w:val="000000"/>
              </w:rPr>
            </w:pPr>
          </w:p>
        </w:tc>
        <w:tc>
          <w:tcPr>
            <w:tcW w:w="2106" w:type="dxa"/>
            <w:shd w:val="clear" w:color="auto" w:fill="D9D9D9"/>
            <w:vAlign w:val="bottom"/>
          </w:tcPr>
          <w:p w:rsidR="00725509" w:rsidRPr="000E402C" w:rsidP="007255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color w:val="000000"/>
              </w:rPr>
            </w:pPr>
            <w:r w:rsidRPr="000E402C">
              <w:rPr>
                <w:b/>
                <w:color w:val="000000"/>
              </w:rPr>
              <w:t>Total Annual Responses</w:t>
            </w:r>
          </w:p>
        </w:tc>
        <w:tc>
          <w:tcPr>
            <w:tcW w:w="1524" w:type="dxa"/>
            <w:shd w:val="clear" w:color="auto" w:fill="D9D9D9"/>
            <w:vAlign w:val="bottom"/>
          </w:tcPr>
          <w:p w:rsidR="00725509" w:rsidRPr="000E402C" w:rsidP="007255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color w:val="000000"/>
              </w:rPr>
            </w:pPr>
            <w:r w:rsidRPr="000E402C">
              <w:rPr>
                <w:b/>
                <w:color w:val="000000"/>
              </w:rPr>
              <w:t>Misc. costs per response</w:t>
            </w:r>
          </w:p>
        </w:tc>
        <w:tc>
          <w:tcPr>
            <w:tcW w:w="1965" w:type="dxa"/>
            <w:tcBorders>
              <w:bottom w:val="single" w:sz="4" w:space="0" w:color="auto"/>
            </w:tcBorders>
            <w:shd w:val="clear" w:color="auto" w:fill="D9D9D9"/>
            <w:vAlign w:val="bottom"/>
          </w:tcPr>
          <w:p w:rsidR="00725509" w:rsidRPr="000E402C" w:rsidP="007255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color w:val="000000"/>
              </w:rPr>
            </w:pPr>
            <w:r w:rsidRPr="000E402C">
              <w:rPr>
                <w:b/>
                <w:color w:val="000000"/>
              </w:rPr>
              <w:t>Total Misc. costs for  all respondents</w:t>
            </w:r>
          </w:p>
        </w:tc>
      </w:tr>
      <w:tr w:rsidTr="00642F97">
        <w:tblPrEx>
          <w:tblW w:w="9299" w:type="dxa"/>
          <w:tblInd w:w="-275" w:type="dxa"/>
          <w:tblLayout w:type="fixed"/>
          <w:tblLook w:val="01E0"/>
        </w:tblPrEx>
        <w:trPr>
          <w:trHeight w:val="584"/>
        </w:trPr>
        <w:tc>
          <w:tcPr>
            <w:tcW w:w="3704" w:type="dxa"/>
          </w:tcPr>
          <w:p w:rsidR="00725509" w:rsidRPr="000E402C" w:rsidP="00725509">
            <w:pPr>
              <w:autoSpaceDE w:val="0"/>
              <w:autoSpaceDN w:val="0"/>
              <w:adjustRightInd w:val="0"/>
              <w:ind w:left="360" w:hanging="360"/>
              <w:rPr>
                <w:b/>
                <w:color w:val="000000"/>
              </w:rPr>
            </w:pPr>
            <w:r w:rsidRPr="000E402C">
              <w:rPr>
                <w:b/>
                <w:color w:val="000000"/>
              </w:rPr>
              <w:t>Observer providers permits</w:t>
            </w:r>
          </w:p>
          <w:p w:rsidR="00725509" w:rsidRPr="000E402C" w:rsidP="00725509">
            <w:pPr>
              <w:autoSpaceDE w:val="0"/>
              <w:autoSpaceDN w:val="0"/>
              <w:adjustRightInd w:val="0"/>
              <w:ind w:left="360" w:hanging="360"/>
              <w:rPr>
                <w:color w:val="000000"/>
              </w:rPr>
            </w:pPr>
            <w:r w:rsidRPr="000E402C">
              <w:rPr>
                <w:color w:val="000000"/>
              </w:rPr>
              <w:t>Mail applications and renewals</w:t>
            </w:r>
          </w:p>
          <w:p w:rsidR="00725509" w:rsidRPr="000E402C" w:rsidP="00725509">
            <w:pPr>
              <w:autoSpaceDE w:val="0"/>
              <w:autoSpaceDN w:val="0"/>
              <w:adjustRightInd w:val="0"/>
              <w:ind w:left="360" w:hanging="360"/>
              <w:rPr>
                <w:color w:val="000000"/>
              </w:rPr>
            </w:pPr>
            <w:r w:rsidRPr="000E402C">
              <w:rPr>
                <w:color w:val="000000"/>
              </w:rPr>
              <w:t>Appeals- fax or mail written response &amp; submission</w:t>
            </w:r>
          </w:p>
          <w:p w:rsidR="00725509" w:rsidRPr="000E402C" w:rsidP="00725509">
            <w:pPr>
              <w:autoSpaceDE w:val="0"/>
              <w:autoSpaceDN w:val="0"/>
              <w:adjustRightInd w:val="0"/>
              <w:ind w:left="360" w:hanging="360"/>
              <w:rPr>
                <w:color w:val="000000"/>
              </w:rPr>
            </w:pPr>
          </w:p>
        </w:tc>
        <w:tc>
          <w:tcPr>
            <w:tcW w:w="2106" w:type="dxa"/>
          </w:tcPr>
          <w:p w:rsidR="00725509" w:rsidRPr="000E402C" w:rsidP="00725509">
            <w:pPr>
              <w:jc w:val="center"/>
              <w:rPr>
                <w:color w:val="000000"/>
              </w:rPr>
            </w:pPr>
          </w:p>
          <w:p w:rsidR="00725509" w:rsidRPr="000E402C" w:rsidP="00725509">
            <w:pPr>
              <w:jc w:val="center"/>
              <w:rPr>
                <w:color w:val="000000"/>
              </w:rPr>
            </w:pPr>
            <w:r>
              <w:rPr>
                <w:color w:val="000000"/>
              </w:rPr>
              <w:t>6</w:t>
            </w:r>
          </w:p>
          <w:p w:rsidR="00725509" w:rsidRPr="000E402C" w:rsidP="00725509">
            <w:pPr>
              <w:jc w:val="center"/>
              <w:rPr>
                <w:color w:val="000000"/>
              </w:rPr>
            </w:pPr>
            <w:r w:rsidRPr="000E402C">
              <w:rPr>
                <w:color w:val="000000"/>
              </w:rPr>
              <w:t>1</w:t>
            </w:r>
          </w:p>
        </w:tc>
        <w:tc>
          <w:tcPr>
            <w:tcW w:w="1524" w:type="dxa"/>
            <w:shd w:val="clear" w:color="auto" w:fill="auto"/>
          </w:tcPr>
          <w:p w:rsidR="00725509" w:rsidRPr="000E402C" w:rsidP="00725509">
            <w:pPr>
              <w:jc w:val="center"/>
              <w:rPr>
                <w:color w:val="000000"/>
              </w:rPr>
            </w:pPr>
          </w:p>
          <w:p w:rsidR="00725509" w:rsidRPr="000E402C" w:rsidP="00725509">
            <w:pPr>
              <w:jc w:val="center"/>
              <w:rPr>
                <w:color w:val="000000"/>
              </w:rPr>
            </w:pPr>
            <w:r w:rsidRPr="000E402C">
              <w:rPr>
                <w:color w:val="000000"/>
              </w:rPr>
              <w:t>$5</w:t>
            </w:r>
          </w:p>
          <w:p w:rsidR="00725509" w:rsidRPr="000E402C" w:rsidP="00725509">
            <w:pPr>
              <w:jc w:val="center"/>
              <w:rPr>
                <w:color w:val="000000"/>
              </w:rPr>
            </w:pPr>
            <w:r w:rsidRPr="000E402C">
              <w:rPr>
                <w:color w:val="000000"/>
              </w:rPr>
              <w:t>$3</w:t>
            </w:r>
          </w:p>
        </w:tc>
        <w:tc>
          <w:tcPr>
            <w:tcW w:w="1965" w:type="dxa"/>
            <w:shd w:val="clear" w:color="auto" w:fill="auto"/>
          </w:tcPr>
          <w:p w:rsidR="00725509" w:rsidRPr="000E402C" w:rsidP="00725509">
            <w:pPr>
              <w:jc w:val="center"/>
              <w:rPr>
                <w:color w:val="000000"/>
              </w:rPr>
            </w:pPr>
          </w:p>
          <w:p w:rsidR="00725509" w:rsidRPr="000E402C" w:rsidP="00725509">
            <w:pPr>
              <w:jc w:val="center"/>
              <w:rPr>
                <w:color w:val="000000"/>
              </w:rPr>
            </w:pPr>
            <w:r w:rsidRPr="000E402C">
              <w:rPr>
                <w:color w:val="000000"/>
              </w:rPr>
              <w:t>$</w:t>
            </w:r>
            <w:r w:rsidR="00642F97">
              <w:rPr>
                <w:color w:val="000000"/>
              </w:rPr>
              <w:t>30</w:t>
            </w:r>
          </w:p>
          <w:p w:rsidR="00725509" w:rsidRPr="000E402C" w:rsidP="00725509">
            <w:pPr>
              <w:jc w:val="center"/>
              <w:rPr>
                <w:color w:val="000000"/>
              </w:rPr>
            </w:pPr>
            <w:r w:rsidRPr="000E402C">
              <w:rPr>
                <w:color w:val="000000"/>
              </w:rPr>
              <w:t>$3</w:t>
            </w:r>
          </w:p>
        </w:tc>
      </w:tr>
      <w:tr w:rsidTr="00642F97">
        <w:tblPrEx>
          <w:tblW w:w="9299" w:type="dxa"/>
          <w:tblInd w:w="-275" w:type="dxa"/>
          <w:tblLayout w:type="fixed"/>
          <w:tblLook w:val="01E0"/>
        </w:tblPrEx>
        <w:trPr>
          <w:trHeight w:val="1042"/>
        </w:trPr>
        <w:tc>
          <w:tcPr>
            <w:tcW w:w="3704" w:type="dxa"/>
          </w:tcPr>
          <w:p w:rsidR="00725509" w:rsidRPr="000E402C" w:rsidP="00725509">
            <w:pPr>
              <w:rPr>
                <w:b/>
                <w:color w:val="000000"/>
              </w:rPr>
            </w:pPr>
            <w:r w:rsidRPr="000E402C">
              <w:rPr>
                <w:b/>
                <w:color w:val="000000"/>
              </w:rPr>
              <w:t>Catch monitors</w:t>
            </w:r>
          </w:p>
          <w:p w:rsidR="00725509" w:rsidRPr="000E402C" w:rsidP="00725509">
            <w:pPr>
              <w:autoSpaceDE w:val="0"/>
              <w:autoSpaceDN w:val="0"/>
              <w:adjustRightInd w:val="0"/>
              <w:ind w:left="360" w:hanging="360"/>
              <w:rPr>
                <w:color w:val="000000"/>
              </w:rPr>
            </w:pPr>
            <w:r w:rsidRPr="000E402C">
              <w:rPr>
                <w:color w:val="000000"/>
              </w:rPr>
              <w:t>Appeals- mail written response &amp; submission</w:t>
            </w:r>
          </w:p>
          <w:p w:rsidR="00725509" w:rsidRPr="000E402C" w:rsidP="00725509">
            <w:pPr>
              <w:autoSpaceDE w:val="0"/>
              <w:autoSpaceDN w:val="0"/>
              <w:adjustRightInd w:val="0"/>
              <w:ind w:left="360" w:hanging="360"/>
              <w:rPr>
                <w:color w:val="000000"/>
              </w:rPr>
            </w:pPr>
          </w:p>
        </w:tc>
        <w:tc>
          <w:tcPr>
            <w:tcW w:w="2106" w:type="dxa"/>
          </w:tcPr>
          <w:p w:rsidR="00725509" w:rsidRPr="000E402C" w:rsidP="00725509">
            <w:pPr>
              <w:jc w:val="center"/>
              <w:rPr>
                <w:color w:val="000000"/>
              </w:rPr>
            </w:pPr>
          </w:p>
          <w:p w:rsidR="00725509" w:rsidRPr="000E402C" w:rsidP="00725509">
            <w:pPr>
              <w:jc w:val="center"/>
              <w:rPr>
                <w:color w:val="000000"/>
              </w:rPr>
            </w:pPr>
            <w:r w:rsidRPr="000E402C">
              <w:rPr>
                <w:color w:val="000000"/>
              </w:rPr>
              <w:t>5</w:t>
            </w:r>
          </w:p>
          <w:p w:rsidR="00725509" w:rsidRPr="000E402C" w:rsidP="00725509">
            <w:pPr>
              <w:jc w:val="center"/>
              <w:rPr>
                <w:color w:val="000000"/>
              </w:rPr>
            </w:pPr>
          </w:p>
        </w:tc>
        <w:tc>
          <w:tcPr>
            <w:tcW w:w="1524" w:type="dxa"/>
            <w:shd w:val="clear" w:color="auto" w:fill="auto"/>
          </w:tcPr>
          <w:p w:rsidR="00725509" w:rsidRPr="000E402C" w:rsidP="00725509">
            <w:pPr>
              <w:jc w:val="center"/>
              <w:rPr>
                <w:color w:val="000000"/>
              </w:rPr>
            </w:pPr>
          </w:p>
          <w:p w:rsidR="00725509" w:rsidRPr="000E402C" w:rsidP="00725509">
            <w:pPr>
              <w:jc w:val="center"/>
              <w:rPr>
                <w:color w:val="000000"/>
              </w:rPr>
            </w:pPr>
            <w:r w:rsidRPr="000E402C">
              <w:rPr>
                <w:color w:val="000000"/>
              </w:rPr>
              <w:t>$3</w:t>
            </w:r>
          </w:p>
        </w:tc>
        <w:tc>
          <w:tcPr>
            <w:tcW w:w="1965" w:type="dxa"/>
            <w:shd w:val="clear" w:color="auto" w:fill="auto"/>
          </w:tcPr>
          <w:p w:rsidR="00725509" w:rsidRPr="000E402C" w:rsidP="00725509">
            <w:pPr>
              <w:jc w:val="center"/>
              <w:rPr>
                <w:color w:val="000000"/>
              </w:rPr>
            </w:pPr>
          </w:p>
          <w:p w:rsidR="00725509" w:rsidRPr="000E402C" w:rsidP="00725509">
            <w:pPr>
              <w:jc w:val="center"/>
              <w:rPr>
                <w:color w:val="000000"/>
              </w:rPr>
            </w:pPr>
            <w:r w:rsidRPr="000E402C">
              <w:rPr>
                <w:color w:val="000000"/>
              </w:rPr>
              <w:t>$15</w:t>
            </w:r>
          </w:p>
          <w:p w:rsidR="00725509" w:rsidRPr="000E402C" w:rsidP="00725509">
            <w:pPr>
              <w:jc w:val="center"/>
              <w:rPr>
                <w:color w:val="000000"/>
              </w:rPr>
            </w:pPr>
          </w:p>
        </w:tc>
      </w:tr>
      <w:tr w:rsidTr="00642F97">
        <w:tblPrEx>
          <w:tblW w:w="9299" w:type="dxa"/>
          <w:tblInd w:w="-275" w:type="dxa"/>
          <w:tblLayout w:type="fixed"/>
          <w:tblLook w:val="01E0"/>
        </w:tblPrEx>
        <w:trPr>
          <w:trHeight w:val="259"/>
        </w:trPr>
        <w:tc>
          <w:tcPr>
            <w:tcW w:w="3704" w:type="dxa"/>
            <w:vAlign w:val="bottom"/>
          </w:tcPr>
          <w:p w:rsidR="00725509" w:rsidRPr="000E402C" w:rsidP="00725509">
            <w:pPr>
              <w:rPr>
                <w:b/>
                <w:color w:val="000000"/>
              </w:rPr>
            </w:pPr>
            <w:r w:rsidRPr="000E402C">
              <w:rPr>
                <w:b/>
                <w:color w:val="000000"/>
              </w:rPr>
              <w:t>At-sea scales daily test reports - printing</w:t>
            </w:r>
          </w:p>
        </w:tc>
        <w:tc>
          <w:tcPr>
            <w:tcW w:w="2106" w:type="dxa"/>
            <w:vAlign w:val="bottom"/>
          </w:tcPr>
          <w:p w:rsidR="00725509" w:rsidRPr="000E402C" w:rsidP="00725509">
            <w:pPr>
              <w:jc w:val="center"/>
              <w:rPr>
                <w:color w:val="000000"/>
              </w:rPr>
            </w:pPr>
            <w:r w:rsidRPr="000E402C">
              <w:rPr>
                <w:color w:val="000000"/>
              </w:rPr>
              <w:t>480</w:t>
            </w:r>
          </w:p>
        </w:tc>
        <w:tc>
          <w:tcPr>
            <w:tcW w:w="1524" w:type="dxa"/>
            <w:shd w:val="clear" w:color="auto" w:fill="auto"/>
            <w:vAlign w:val="bottom"/>
          </w:tcPr>
          <w:p w:rsidR="00725509" w:rsidRPr="000E402C" w:rsidP="00725509">
            <w:pPr>
              <w:jc w:val="center"/>
              <w:rPr>
                <w:color w:val="000000"/>
              </w:rPr>
            </w:pPr>
            <w:r w:rsidRPr="000E402C">
              <w:rPr>
                <w:color w:val="000000"/>
              </w:rPr>
              <w:t>$0.05</w:t>
            </w:r>
          </w:p>
        </w:tc>
        <w:tc>
          <w:tcPr>
            <w:tcW w:w="1965" w:type="dxa"/>
            <w:shd w:val="clear" w:color="auto" w:fill="auto"/>
            <w:vAlign w:val="bottom"/>
          </w:tcPr>
          <w:p w:rsidR="00725509" w:rsidRPr="000E402C" w:rsidP="00725509">
            <w:pPr>
              <w:jc w:val="center"/>
              <w:rPr>
                <w:color w:val="000000"/>
              </w:rPr>
            </w:pPr>
            <w:r w:rsidRPr="000E402C">
              <w:rPr>
                <w:color w:val="000000"/>
              </w:rPr>
              <w:t>$24</w:t>
            </w:r>
          </w:p>
        </w:tc>
      </w:tr>
      <w:tr w:rsidTr="00642F97">
        <w:tblPrEx>
          <w:tblW w:w="9299" w:type="dxa"/>
          <w:tblInd w:w="-275" w:type="dxa"/>
          <w:tblLayout w:type="fixed"/>
          <w:tblLook w:val="01E0"/>
        </w:tblPrEx>
        <w:trPr>
          <w:trHeight w:val="520"/>
        </w:trPr>
        <w:tc>
          <w:tcPr>
            <w:tcW w:w="3704" w:type="dxa"/>
            <w:vAlign w:val="bottom"/>
          </w:tcPr>
          <w:p w:rsidR="00725509" w:rsidRPr="000E402C" w:rsidP="00725509">
            <w:pPr>
              <w:rPr>
                <w:b/>
                <w:color w:val="000000"/>
              </w:rPr>
            </w:pPr>
            <w:r w:rsidRPr="000E402C">
              <w:rPr>
                <w:b/>
                <w:color w:val="000000"/>
              </w:rPr>
              <w:t>At-sea daily catch and cumulative weight reports – printing</w:t>
            </w:r>
          </w:p>
        </w:tc>
        <w:tc>
          <w:tcPr>
            <w:tcW w:w="2106" w:type="dxa"/>
            <w:vAlign w:val="bottom"/>
          </w:tcPr>
          <w:p w:rsidR="00725509" w:rsidRPr="000E402C" w:rsidP="00725509">
            <w:pPr>
              <w:jc w:val="center"/>
              <w:rPr>
                <w:color w:val="000000"/>
              </w:rPr>
            </w:pPr>
            <w:r w:rsidRPr="000E402C">
              <w:rPr>
                <w:color w:val="000000"/>
              </w:rPr>
              <w:t>480</w:t>
            </w:r>
          </w:p>
        </w:tc>
        <w:tc>
          <w:tcPr>
            <w:tcW w:w="1524" w:type="dxa"/>
            <w:shd w:val="clear" w:color="auto" w:fill="auto"/>
            <w:vAlign w:val="bottom"/>
          </w:tcPr>
          <w:p w:rsidR="00725509" w:rsidRPr="000E402C" w:rsidP="00725509">
            <w:pPr>
              <w:jc w:val="center"/>
              <w:rPr>
                <w:color w:val="000000"/>
              </w:rPr>
            </w:pPr>
            <w:r w:rsidRPr="000E402C">
              <w:rPr>
                <w:color w:val="000000"/>
              </w:rPr>
              <w:t>$0.05</w:t>
            </w:r>
          </w:p>
        </w:tc>
        <w:tc>
          <w:tcPr>
            <w:tcW w:w="1965" w:type="dxa"/>
            <w:shd w:val="clear" w:color="auto" w:fill="auto"/>
            <w:vAlign w:val="bottom"/>
          </w:tcPr>
          <w:p w:rsidR="00725509" w:rsidRPr="000E402C" w:rsidP="00725509">
            <w:pPr>
              <w:jc w:val="center"/>
              <w:rPr>
                <w:color w:val="000000"/>
              </w:rPr>
            </w:pPr>
            <w:r w:rsidRPr="000E402C">
              <w:rPr>
                <w:color w:val="000000"/>
              </w:rPr>
              <w:t>$24</w:t>
            </w:r>
          </w:p>
        </w:tc>
      </w:tr>
      <w:tr w:rsidTr="00642F97">
        <w:tblPrEx>
          <w:tblW w:w="9299" w:type="dxa"/>
          <w:tblInd w:w="-275" w:type="dxa"/>
          <w:tblLayout w:type="fixed"/>
          <w:tblLook w:val="01E0"/>
        </w:tblPrEx>
        <w:trPr>
          <w:trHeight w:val="259"/>
        </w:trPr>
        <w:tc>
          <w:tcPr>
            <w:tcW w:w="3704" w:type="dxa"/>
            <w:vAlign w:val="bottom"/>
          </w:tcPr>
          <w:p w:rsidR="00725509" w:rsidRPr="000E402C" w:rsidP="00725509">
            <w:pPr>
              <w:rPr>
                <w:b/>
                <w:color w:val="000000"/>
              </w:rPr>
            </w:pPr>
            <w:r w:rsidRPr="000E402C">
              <w:rPr>
                <w:b/>
                <w:color w:val="000000"/>
              </w:rPr>
              <w:t>At-sea audit trail</w:t>
            </w:r>
          </w:p>
        </w:tc>
        <w:tc>
          <w:tcPr>
            <w:tcW w:w="2106" w:type="dxa"/>
            <w:vAlign w:val="bottom"/>
          </w:tcPr>
          <w:p w:rsidR="00725509" w:rsidRPr="000E402C" w:rsidP="00725509">
            <w:pPr>
              <w:jc w:val="center"/>
              <w:rPr>
                <w:color w:val="000000"/>
              </w:rPr>
            </w:pPr>
            <w:r w:rsidRPr="000E402C">
              <w:rPr>
                <w:color w:val="000000"/>
              </w:rPr>
              <w:t>384</w:t>
            </w:r>
          </w:p>
        </w:tc>
        <w:tc>
          <w:tcPr>
            <w:tcW w:w="1524" w:type="dxa"/>
            <w:shd w:val="clear" w:color="auto" w:fill="auto"/>
            <w:vAlign w:val="bottom"/>
          </w:tcPr>
          <w:p w:rsidR="00725509" w:rsidRPr="000E402C" w:rsidP="00725509">
            <w:pPr>
              <w:jc w:val="center"/>
              <w:rPr>
                <w:color w:val="000000"/>
              </w:rPr>
            </w:pPr>
            <w:r w:rsidRPr="000E402C">
              <w:rPr>
                <w:color w:val="000000"/>
              </w:rPr>
              <w:t>$0.05</w:t>
            </w:r>
          </w:p>
        </w:tc>
        <w:tc>
          <w:tcPr>
            <w:tcW w:w="1965" w:type="dxa"/>
            <w:shd w:val="clear" w:color="auto" w:fill="auto"/>
            <w:vAlign w:val="bottom"/>
          </w:tcPr>
          <w:p w:rsidR="00725509" w:rsidRPr="000E402C" w:rsidP="00725509">
            <w:pPr>
              <w:jc w:val="center"/>
              <w:rPr>
                <w:color w:val="000000"/>
              </w:rPr>
            </w:pPr>
            <w:r w:rsidRPr="000E402C">
              <w:rPr>
                <w:color w:val="000000"/>
              </w:rPr>
              <w:t>$19</w:t>
            </w:r>
          </w:p>
        </w:tc>
      </w:tr>
      <w:tr w:rsidTr="00642F97">
        <w:tblPrEx>
          <w:tblW w:w="9299" w:type="dxa"/>
          <w:tblInd w:w="-275" w:type="dxa"/>
          <w:tblLayout w:type="fixed"/>
          <w:tblLook w:val="01E0"/>
        </w:tblPrEx>
        <w:trPr>
          <w:trHeight w:val="248"/>
        </w:trPr>
        <w:tc>
          <w:tcPr>
            <w:tcW w:w="3704" w:type="dxa"/>
            <w:vAlign w:val="bottom"/>
          </w:tcPr>
          <w:p w:rsidR="00725509" w:rsidRPr="000E402C" w:rsidP="00725509">
            <w:pPr>
              <w:rPr>
                <w:b/>
                <w:color w:val="000000"/>
              </w:rPr>
            </w:pPr>
            <w:r w:rsidRPr="000E402C">
              <w:rPr>
                <w:b/>
                <w:color w:val="000000"/>
              </w:rPr>
              <w:t>At-sea calibration log</w:t>
            </w:r>
          </w:p>
        </w:tc>
        <w:tc>
          <w:tcPr>
            <w:tcW w:w="2106" w:type="dxa"/>
            <w:vAlign w:val="bottom"/>
          </w:tcPr>
          <w:p w:rsidR="00725509" w:rsidRPr="000E402C" w:rsidP="00725509">
            <w:pPr>
              <w:jc w:val="center"/>
              <w:rPr>
                <w:color w:val="000000"/>
              </w:rPr>
            </w:pPr>
            <w:r w:rsidRPr="000E402C">
              <w:rPr>
                <w:color w:val="000000"/>
              </w:rPr>
              <w:t>384</w:t>
            </w:r>
          </w:p>
        </w:tc>
        <w:tc>
          <w:tcPr>
            <w:tcW w:w="1524" w:type="dxa"/>
            <w:shd w:val="clear" w:color="auto" w:fill="auto"/>
            <w:vAlign w:val="bottom"/>
          </w:tcPr>
          <w:p w:rsidR="00725509" w:rsidRPr="000E402C" w:rsidP="00725509">
            <w:pPr>
              <w:jc w:val="center"/>
              <w:rPr>
                <w:color w:val="000000"/>
              </w:rPr>
            </w:pPr>
            <w:r w:rsidRPr="000E402C">
              <w:rPr>
                <w:color w:val="000000"/>
              </w:rPr>
              <w:t>$0.05</w:t>
            </w:r>
          </w:p>
        </w:tc>
        <w:tc>
          <w:tcPr>
            <w:tcW w:w="1965" w:type="dxa"/>
            <w:shd w:val="clear" w:color="auto" w:fill="auto"/>
            <w:vAlign w:val="bottom"/>
          </w:tcPr>
          <w:p w:rsidR="00725509" w:rsidRPr="000E402C" w:rsidP="00725509">
            <w:pPr>
              <w:jc w:val="center"/>
              <w:rPr>
                <w:color w:val="000000"/>
              </w:rPr>
            </w:pPr>
            <w:r w:rsidRPr="000E402C">
              <w:rPr>
                <w:color w:val="000000"/>
              </w:rPr>
              <w:t>$19</w:t>
            </w:r>
          </w:p>
        </w:tc>
      </w:tr>
      <w:tr w:rsidTr="00642F97">
        <w:tblPrEx>
          <w:tblW w:w="9299" w:type="dxa"/>
          <w:tblInd w:w="-275" w:type="dxa"/>
          <w:tblLayout w:type="fixed"/>
          <w:tblLook w:val="01E0"/>
        </w:tblPrEx>
        <w:trPr>
          <w:trHeight w:val="259"/>
        </w:trPr>
        <w:tc>
          <w:tcPr>
            <w:tcW w:w="3704" w:type="dxa"/>
            <w:vAlign w:val="bottom"/>
          </w:tcPr>
          <w:p w:rsidR="00725509" w:rsidRPr="000E402C" w:rsidP="00725509">
            <w:pPr>
              <w:rPr>
                <w:b/>
                <w:color w:val="000000"/>
              </w:rPr>
            </w:pPr>
            <w:r w:rsidRPr="000E402C">
              <w:rPr>
                <w:b/>
                <w:color w:val="000000"/>
              </w:rPr>
              <w:t>At-sea fault log</w:t>
            </w:r>
          </w:p>
        </w:tc>
        <w:tc>
          <w:tcPr>
            <w:tcW w:w="2106" w:type="dxa"/>
            <w:vAlign w:val="bottom"/>
          </w:tcPr>
          <w:p w:rsidR="00725509" w:rsidRPr="000E402C" w:rsidP="00725509">
            <w:pPr>
              <w:jc w:val="center"/>
              <w:rPr>
                <w:color w:val="000000"/>
              </w:rPr>
            </w:pPr>
            <w:r w:rsidRPr="000E402C">
              <w:rPr>
                <w:color w:val="000000"/>
              </w:rPr>
              <w:t>384</w:t>
            </w:r>
          </w:p>
        </w:tc>
        <w:tc>
          <w:tcPr>
            <w:tcW w:w="1524" w:type="dxa"/>
            <w:shd w:val="clear" w:color="auto" w:fill="auto"/>
            <w:vAlign w:val="bottom"/>
          </w:tcPr>
          <w:p w:rsidR="00725509" w:rsidRPr="000E402C" w:rsidP="00725509">
            <w:pPr>
              <w:jc w:val="center"/>
              <w:rPr>
                <w:color w:val="000000"/>
              </w:rPr>
            </w:pPr>
            <w:r w:rsidRPr="000E402C">
              <w:rPr>
                <w:color w:val="000000"/>
              </w:rPr>
              <w:t>$0.05</w:t>
            </w:r>
          </w:p>
        </w:tc>
        <w:tc>
          <w:tcPr>
            <w:tcW w:w="1965" w:type="dxa"/>
            <w:shd w:val="clear" w:color="auto" w:fill="auto"/>
            <w:vAlign w:val="bottom"/>
          </w:tcPr>
          <w:p w:rsidR="00725509" w:rsidRPr="000E402C" w:rsidP="00725509">
            <w:pPr>
              <w:jc w:val="center"/>
              <w:rPr>
                <w:color w:val="000000"/>
              </w:rPr>
            </w:pPr>
            <w:r w:rsidRPr="000E402C">
              <w:rPr>
                <w:color w:val="000000"/>
              </w:rPr>
              <w:t>$19</w:t>
            </w:r>
          </w:p>
        </w:tc>
      </w:tr>
      <w:tr w:rsidTr="00642F97">
        <w:tblPrEx>
          <w:tblW w:w="9299" w:type="dxa"/>
          <w:tblInd w:w="-275" w:type="dxa"/>
          <w:tblLayout w:type="fixed"/>
          <w:tblLook w:val="01E0"/>
        </w:tblPrEx>
        <w:trPr>
          <w:trHeight w:val="259"/>
        </w:trPr>
        <w:tc>
          <w:tcPr>
            <w:tcW w:w="3704" w:type="dxa"/>
            <w:vAlign w:val="bottom"/>
          </w:tcPr>
          <w:p w:rsidR="00725509" w:rsidRPr="000E402C" w:rsidP="00725509">
            <w:pPr>
              <w:rPr>
                <w:b/>
                <w:color w:val="000000"/>
              </w:rPr>
            </w:pPr>
            <w:r w:rsidRPr="000E402C">
              <w:rPr>
                <w:b/>
                <w:color w:val="000000"/>
              </w:rPr>
              <w:t>At-sea video monitoring</w:t>
            </w:r>
          </w:p>
        </w:tc>
        <w:tc>
          <w:tcPr>
            <w:tcW w:w="2106" w:type="dxa"/>
            <w:vAlign w:val="bottom"/>
          </w:tcPr>
          <w:p w:rsidR="00725509" w:rsidRPr="000E402C" w:rsidP="00725509">
            <w:pPr>
              <w:jc w:val="center"/>
              <w:rPr>
                <w:color w:val="000000"/>
              </w:rPr>
            </w:pPr>
            <w:r w:rsidRPr="000E402C">
              <w:rPr>
                <w:color w:val="000000"/>
              </w:rPr>
              <w:t>0</w:t>
            </w:r>
          </w:p>
        </w:tc>
        <w:tc>
          <w:tcPr>
            <w:tcW w:w="1524" w:type="dxa"/>
            <w:shd w:val="clear" w:color="auto" w:fill="auto"/>
            <w:vAlign w:val="bottom"/>
          </w:tcPr>
          <w:p w:rsidR="00725509" w:rsidRPr="000E402C" w:rsidP="00725509">
            <w:pPr>
              <w:jc w:val="center"/>
              <w:rPr>
                <w:color w:val="000000"/>
              </w:rPr>
            </w:pPr>
            <w:r w:rsidRPr="000E402C">
              <w:rPr>
                <w:color w:val="000000"/>
              </w:rPr>
              <w:t>0</w:t>
            </w:r>
          </w:p>
        </w:tc>
        <w:tc>
          <w:tcPr>
            <w:tcW w:w="1965" w:type="dxa"/>
            <w:shd w:val="clear" w:color="auto" w:fill="auto"/>
            <w:vAlign w:val="bottom"/>
          </w:tcPr>
          <w:p w:rsidR="00725509" w:rsidRPr="000E402C" w:rsidP="00725509">
            <w:pPr>
              <w:jc w:val="center"/>
              <w:rPr>
                <w:color w:val="000000"/>
              </w:rPr>
            </w:pPr>
            <w:r w:rsidRPr="000E402C">
              <w:rPr>
                <w:color w:val="000000"/>
              </w:rPr>
              <w:t>0</w:t>
            </w:r>
          </w:p>
        </w:tc>
      </w:tr>
      <w:tr w:rsidTr="00642F97">
        <w:tblPrEx>
          <w:tblW w:w="9299" w:type="dxa"/>
          <w:tblInd w:w="-275" w:type="dxa"/>
          <w:tblLayout w:type="fixed"/>
          <w:tblLook w:val="01E0"/>
        </w:tblPrEx>
        <w:trPr>
          <w:trHeight w:val="520"/>
        </w:trPr>
        <w:tc>
          <w:tcPr>
            <w:tcW w:w="3704" w:type="dxa"/>
            <w:shd w:val="clear" w:color="auto" w:fill="D9D9D9"/>
            <w:vAlign w:val="bottom"/>
          </w:tcPr>
          <w:p w:rsidR="00725509" w:rsidRPr="000E402C" w:rsidP="00725509">
            <w:pPr>
              <w:rPr>
                <w:b/>
                <w:i/>
                <w:color w:val="000000"/>
              </w:rPr>
            </w:pPr>
            <w:r w:rsidRPr="000E402C">
              <w:rPr>
                <w:b/>
                <w:i/>
                <w:color w:val="000000"/>
              </w:rPr>
              <w:t>Total for collection</w:t>
            </w:r>
          </w:p>
        </w:tc>
        <w:tc>
          <w:tcPr>
            <w:tcW w:w="2106" w:type="dxa"/>
            <w:shd w:val="clear" w:color="auto" w:fill="D9D9D9"/>
            <w:vAlign w:val="bottom"/>
          </w:tcPr>
          <w:p w:rsidR="00725509" w:rsidRPr="000E402C" w:rsidP="00725509">
            <w:pPr>
              <w:jc w:val="center"/>
              <w:rPr>
                <w:i/>
                <w:color w:val="000000"/>
              </w:rPr>
            </w:pPr>
            <w:r w:rsidRPr="000E402C">
              <w:rPr>
                <w:i/>
                <w:color w:val="000000"/>
              </w:rPr>
              <w:t>2,12</w:t>
            </w:r>
            <w:r w:rsidR="00642F97">
              <w:rPr>
                <w:i/>
                <w:color w:val="000000"/>
              </w:rPr>
              <w:t>4</w:t>
            </w:r>
          </w:p>
        </w:tc>
        <w:tc>
          <w:tcPr>
            <w:tcW w:w="1524" w:type="dxa"/>
            <w:shd w:val="clear" w:color="auto" w:fill="D9D9D9"/>
            <w:vAlign w:val="bottom"/>
          </w:tcPr>
          <w:p w:rsidR="00725509" w:rsidRPr="000E402C" w:rsidP="00725509">
            <w:pPr>
              <w:jc w:val="center"/>
              <w:rPr>
                <w:i/>
                <w:color w:val="000000"/>
              </w:rPr>
            </w:pPr>
          </w:p>
        </w:tc>
        <w:tc>
          <w:tcPr>
            <w:tcW w:w="1965" w:type="dxa"/>
            <w:shd w:val="clear" w:color="auto" w:fill="D9D9D9"/>
            <w:vAlign w:val="bottom"/>
          </w:tcPr>
          <w:p w:rsidR="00725509" w:rsidP="00725509">
            <w:pPr>
              <w:rPr>
                <w:b/>
                <w:i/>
                <w:color w:val="000000"/>
              </w:rPr>
            </w:pPr>
          </w:p>
          <w:p w:rsidR="00725509" w:rsidRPr="00992FBC" w:rsidP="00642F97">
            <w:pPr>
              <w:jc w:val="center"/>
              <w:rPr>
                <w:b/>
                <w:i/>
                <w:color w:val="000000"/>
              </w:rPr>
            </w:pPr>
            <w:r w:rsidRPr="000E402C">
              <w:rPr>
                <w:b/>
                <w:i/>
                <w:color w:val="000000"/>
              </w:rPr>
              <w:t>$</w:t>
            </w:r>
            <w:r w:rsidR="00642F97">
              <w:rPr>
                <w:b/>
                <w:i/>
                <w:color w:val="000000"/>
              </w:rPr>
              <w:t>153</w:t>
            </w:r>
          </w:p>
        </w:tc>
      </w:tr>
    </w:tbl>
    <w:p w:rsidR="00725509" w:rsidP="00393A81">
      <w:pPr>
        <w:autoSpaceDE w:val="0"/>
        <w:autoSpaceDN w:val="0"/>
        <w:adjustRightInd w:val="0"/>
        <w:rPr>
          <w:rFonts w:eastAsia="Calibri"/>
          <w:b/>
          <w:bCs/>
          <w:highlight w:val="yellow"/>
        </w:rPr>
      </w:pPr>
    </w:p>
    <w:p w:rsidR="00642F97" w:rsidP="00393A81">
      <w:pPr>
        <w:autoSpaceDE w:val="0"/>
        <w:autoSpaceDN w:val="0"/>
        <w:adjustRightInd w:val="0"/>
        <w:rPr>
          <w:rFonts w:eastAsia="Calibri"/>
          <w:b/>
          <w:bCs/>
          <w:highlight w:val="yellow"/>
        </w:rPr>
      </w:pPr>
    </w:p>
    <w:p w:rsidR="005F0090" w:rsidRPr="000E402C" w:rsidP="00F60302">
      <w:pPr>
        <w:ind w:left="180" w:hanging="450"/>
        <w:rPr>
          <w:b/>
          <w:bCs/>
          <w:color w:val="000000"/>
        </w:rPr>
      </w:pPr>
      <w:r w:rsidRPr="000E402C">
        <w:rPr>
          <w:b/>
          <w:bCs/>
          <w:color w:val="000000"/>
        </w:rPr>
        <w:t>14.</w:t>
      </w:r>
      <w:r w:rsidRPr="000E402C" w:rsidR="00893DD7">
        <w:rPr>
          <w:b/>
          <w:bCs/>
          <w:color w:val="000000"/>
        </w:rPr>
        <w:t xml:space="preserve"> </w:t>
      </w:r>
      <w:r w:rsidRPr="000E402C">
        <w:rPr>
          <w:b/>
          <w:bCs/>
          <w:color w:val="000000"/>
        </w:rPr>
        <w:t xml:space="preserve"> Provide estimates of annualized cost to the Federal government.</w:t>
      </w:r>
    </w:p>
    <w:p w:rsidR="00254B5B" w:rsidRPr="000E402C" w:rsidP="005F0090">
      <w:pPr>
        <w:autoSpaceDE w:val="0"/>
        <w:autoSpaceDN w:val="0"/>
        <w:adjustRightInd w:val="0"/>
        <w:rPr>
          <w:b/>
          <w:bCs/>
          <w:color w:val="000000"/>
          <w:highlight w:val="yellow"/>
        </w:rPr>
      </w:pPr>
    </w:p>
    <w:p w:rsidR="00725509" w:rsidP="00F60302">
      <w:pPr>
        <w:ind w:left="-270"/>
        <w:rPr>
          <w:rFonts w:eastAsia="Calibri"/>
        </w:rPr>
      </w:pPr>
      <w:r w:rsidRPr="00DC06F9">
        <w:t>NMFS will incur ongoing program costs related to the trawl rationalization program which includes staff time to: prepare</w:t>
      </w:r>
      <w:r>
        <w:t xml:space="preserve"> and send</w:t>
      </w:r>
      <w:r w:rsidRPr="00DC06F9">
        <w:t xml:space="preserve"> </w:t>
      </w:r>
      <w:r>
        <w:t xml:space="preserve">provider permit </w:t>
      </w:r>
      <w:r w:rsidRPr="00DC06F9">
        <w:t xml:space="preserve">application packages, review and process incoming </w:t>
      </w:r>
      <w:r>
        <w:t xml:space="preserve">provider permit </w:t>
      </w:r>
      <w:r w:rsidRPr="00DC06F9">
        <w:t>registration, prepare decision documents and permit documents, and respond to</w:t>
      </w:r>
      <w:r>
        <w:t xml:space="preserve"> </w:t>
      </w:r>
      <w:r w:rsidRPr="00DC06F9">
        <w:t xml:space="preserve">questions </w:t>
      </w:r>
      <w:r>
        <w:t>about the provider permit application</w:t>
      </w:r>
      <w:r w:rsidRPr="00DC06F9">
        <w:t>. The estimated net administrative cost accruing</w:t>
      </w:r>
      <w:r>
        <w:t xml:space="preserve"> to the Federal government</w:t>
      </w:r>
      <w:r w:rsidR="00226DB1">
        <w:rPr>
          <w:rFonts w:eastAsia="Calibri"/>
        </w:rPr>
        <w:t xml:space="preserve"> </w:t>
      </w:r>
      <w:r w:rsidR="00527317">
        <w:rPr>
          <w:rFonts w:eastAsia="Calibri"/>
        </w:rPr>
        <w:t xml:space="preserve">annually </w:t>
      </w:r>
      <w:r w:rsidR="00226DB1">
        <w:rPr>
          <w:rFonts w:eastAsia="Calibri"/>
        </w:rPr>
        <w:t>is</w:t>
      </w:r>
      <w:r w:rsidRPr="000E402C" w:rsidR="00026D8C">
        <w:rPr>
          <w:rFonts w:eastAsia="Calibri"/>
        </w:rPr>
        <w:t xml:space="preserve"> </w:t>
      </w:r>
      <w:r>
        <w:rPr>
          <w:color w:val="000000"/>
        </w:rPr>
        <w:t>$</w:t>
      </w:r>
      <w:r w:rsidR="008902FA">
        <w:rPr>
          <w:color w:val="000000"/>
        </w:rPr>
        <w:t>15,360</w:t>
      </w:r>
      <w:r>
        <w:rPr>
          <w:color w:val="000000"/>
        </w:rPr>
        <w:t xml:space="preserve"> (Table 2)</w:t>
      </w:r>
      <w:r w:rsidRPr="000E402C" w:rsidR="00094EB8">
        <w:rPr>
          <w:rFonts w:eastAsia="Calibri"/>
        </w:rPr>
        <w:t>.</w:t>
      </w:r>
    </w:p>
    <w:p w:rsidR="00C6013C">
      <w:pPr>
        <w:rPr>
          <w:rFonts w:eastAsia="Calibri"/>
        </w:rPr>
      </w:pPr>
    </w:p>
    <w:p w:rsidR="00642F97" w:rsidP="00F60302">
      <w:pPr>
        <w:ind w:left="-270"/>
        <w:rPr>
          <w:rFonts w:eastAsia="Calibri"/>
        </w:rPr>
      </w:pPr>
    </w:p>
    <w:p w:rsidR="00725509" w:rsidP="00026D8C">
      <w:pPr>
        <w:rPr>
          <w:rFonts w:eastAsia="Calibri"/>
        </w:rPr>
      </w:pPr>
      <w:r>
        <w:rPr>
          <w:rFonts w:eastAsia="Calibri"/>
        </w:rPr>
        <w:t>Table 2. Costs to the Federal government</w:t>
      </w:r>
    </w:p>
    <w:tbl>
      <w:tblPr>
        <w:tblW w:w="8240" w:type="dxa"/>
        <w:tblInd w:w="-25" w:type="dxa"/>
        <w:tblLook w:val="04A0"/>
      </w:tblPr>
      <w:tblGrid>
        <w:gridCol w:w="2280"/>
        <w:gridCol w:w="1120"/>
        <w:gridCol w:w="1140"/>
        <w:gridCol w:w="1120"/>
        <w:gridCol w:w="1280"/>
        <w:gridCol w:w="1300"/>
      </w:tblGrid>
      <w:tr w:rsidTr="00725509">
        <w:tblPrEx>
          <w:tblW w:w="8240" w:type="dxa"/>
          <w:tblInd w:w="-25" w:type="dxa"/>
          <w:tblLook w:val="04A0"/>
        </w:tblPrEx>
        <w:trPr>
          <w:trHeight w:val="450"/>
        </w:trPr>
        <w:tc>
          <w:tcPr>
            <w:tcW w:w="2280" w:type="dxa"/>
            <w:tcBorders>
              <w:top w:val="single" w:sz="8" w:space="0" w:color="auto"/>
              <w:left w:val="single" w:sz="8" w:space="0" w:color="auto"/>
              <w:bottom w:val="nil"/>
              <w:right w:val="single" w:sz="8" w:space="0" w:color="auto"/>
            </w:tcBorders>
            <w:shd w:val="clear" w:color="000000" w:fill="BDD7EE"/>
            <w:vAlign w:val="center"/>
            <w:hideMark/>
          </w:tcPr>
          <w:p w:rsidR="00725509" w:rsidRPr="00725509" w:rsidP="00725509">
            <w:pPr>
              <w:jc w:val="center"/>
              <w:rPr>
                <w:rFonts w:ascii="Calibri" w:hAnsi="Calibri" w:cs="Calibri"/>
                <w:b/>
                <w:bCs/>
                <w:color w:val="000000"/>
                <w:sz w:val="16"/>
                <w:szCs w:val="16"/>
              </w:rPr>
            </w:pPr>
            <w:r w:rsidRPr="00725509">
              <w:rPr>
                <w:rFonts w:ascii="Calibri" w:hAnsi="Calibri" w:cs="Calibri"/>
                <w:b/>
                <w:bCs/>
                <w:color w:val="000000"/>
                <w:sz w:val="16"/>
                <w:szCs w:val="16"/>
              </w:rPr>
              <w:t>Cost Descriptions</w:t>
            </w:r>
          </w:p>
        </w:tc>
        <w:tc>
          <w:tcPr>
            <w:tcW w:w="1120" w:type="dxa"/>
            <w:tcBorders>
              <w:top w:val="single" w:sz="8" w:space="0" w:color="auto"/>
              <w:left w:val="nil"/>
              <w:bottom w:val="nil"/>
              <w:right w:val="single" w:sz="8" w:space="0" w:color="auto"/>
            </w:tcBorders>
            <w:shd w:val="clear" w:color="000000" w:fill="BDD7EE"/>
            <w:vAlign w:val="center"/>
            <w:hideMark/>
          </w:tcPr>
          <w:p w:rsidR="00725509" w:rsidRPr="00725509" w:rsidP="00725509">
            <w:pPr>
              <w:jc w:val="center"/>
              <w:rPr>
                <w:rFonts w:ascii="Calibri" w:hAnsi="Calibri" w:cs="Calibri"/>
                <w:b/>
                <w:bCs/>
                <w:color w:val="000000"/>
                <w:sz w:val="16"/>
                <w:szCs w:val="16"/>
              </w:rPr>
            </w:pPr>
            <w:r w:rsidRPr="00725509">
              <w:rPr>
                <w:rFonts w:ascii="Calibri" w:hAnsi="Calibri" w:cs="Calibri"/>
                <w:b/>
                <w:bCs/>
                <w:color w:val="000000"/>
                <w:sz w:val="16"/>
                <w:szCs w:val="16"/>
              </w:rPr>
              <w:t>Grade/Step</w:t>
            </w:r>
          </w:p>
        </w:tc>
        <w:tc>
          <w:tcPr>
            <w:tcW w:w="1140" w:type="dxa"/>
            <w:tcBorders>
              <w:top w:val="single" w:sz="8" w:space="0" w:color="auto"/>
              <w:left w:val="nil"/>
              <w:bottom w:val="nil"/>
              <w:right w:val="single" w:sz="8" w:space="0" w:color="auto"/>
            </w:tcBorders>
            <w:shd w:val="clear" w:color="000000" w:fill="BDD7EE"/>
            <w:vAlign w:val="center"/>
            <w:hideMark/>
          </w:tcPr>
          <w:p w:rsidR="00725509" w:rsidRPr="00725509" w:rsidP="00725509">
            <w:pPr>
              <w:jc w:val="center"/>
              <w:rPr>
                <w:rFonts w:ascii="Calibri" w:hAnsi="Calibri" w:cs="Calibri"/>
                <w:b/>
                <w:bCs/>
                <w:color w:val="000000"/>
                <w:sz w:val="16"/>
                <w:szCs w:val="16"/>
              </w:rPr>
            </w:pPr>
            <w:r w:rsidRPr="00725509">
              <w:rPr>
                <w:rFonts w:ascii="Calibri" w:hAnsi="Calibri" w:cs="Calibri"/>
                <w:b/>
                <w:bCs/>
                <w:color w:val="000000"/>
                <w:sz w:val="16"/>
                <w:szCs w:val="16"/>
              </w:rPr>
              <w:t>Loaded Salary /Cost</w:t>
            </w:r>
          </w:p>
        </w:tc>
        <w:tc>
          <w:tcPr>
            <w:tcW w:w="1120" w:type="dxa"/>
            <w:tcBorders>
              <w:top w:val="single" w:sz="8" w:space="0" w:color="auto"/>
              <w:left w:val="nil"/>
              <w:bottom w:val="nil"/>
              <w:right w:val="single" w:sz="8" w:space="0" w:color="auto"/>
            </w:tcBorders>
            <w:shd w:val="clear" w:color="000000" w:fill="BDD7EE"/>
            <w:vAlign w:val="center"/>
            <w:hideMark/>
          </w:tcPr>
          <w:p w:rsidR="00725509" w:rsidRPr="00725509" w:rsidP="00725509">
            <w:pPr>
              <w:jc w:val="center"/>
              <w:rPr>
                <w:rFonts w:ascii="Calibri" w:hAnsi="Calibri" w:cs="Calibri"/>
                <w:b/>
                <w:bCs/>
                <w:color w:val="000000"/>
                <w:sz w:val="16"/>
                <w:szCs w:val="16"/>
              </w:rPr>
            </w:pPr>
            <w:r w:rsidRPr="00725509">
              <w:rPr>
                <w:rFonts w:ascii="Calibri" w:hAnsi="Calibri" w:cs="Calibri"/>
                <w:b/>
                <w:bCs/>
                <w:color w:val="000000"/>
                <w:sz w:val="16"/>
                <w:szCs w:val="16"/>
              </w:rPr>
              <w:t>% of Effort</w:t>
            </w:r>
          </w:p>
        </w:tc>
        <w:tc>
          <w:tcPr>
            <w:tcW w:w="1280" w:type="dxa"/>
            <w:tcBorders>
              <w:top w:val="single" w:sz="8" w:space="0" w:color="auto"/>
              <w:left w:val="nil"/>
              <w:bottom w:val="nil"/>
              <w:right w:val="single" w:sz="8" w:space="0" w:color="auto"/>
            </w:tcBorders>
            <w:shd w:val="clear" w:color="000000" w:fill="BDD7EE"/>
            <w:vAlign w:val="center"/>
            <w:hideMark/>
          </w:tcPr>
          <w:p w:rsidR="00725509" w:rsidRPr="00725509" w:rsidP="00725509">
            <w:pPr>
              <w:jc w:val="center"/>
              <w:rPr>
                <w:rFonts w:ascii="Calibri" w:hAnsi="Calibri" w:cs="Calibri"/>
                <w:b/>
                <w:bCs/>
                <w:color w:val="000000"/>
                <w:sz w:val="16"/>
                <w:szCs w:val="16"/>
              </w:rPr>
            </w:pPr>
            <w:r w:rsidRPr="00725509">
              <w:rPr>
                <w:rFonts w:ascii="Calibri" w:hAnsi="Calibri" w:cs="Calibri"/>
                <w:b/>
                <w:bCs/>
                <w:color w:val="000000"/>
                <w:sz w:val="16"/>
                <w:szCs w:val="16"/>
              </w:rPr>
              <w:t>Fringe (if Applicable)</w:t>
            </w:r>
          </w:p>
        </w:tc>
        <w:tc>
          <w:tcPr>
            <w:tcW w:w="1300" w:type="dxa"/>
            <w:tcBorders>
              <w:top w:val="single" w:sz="8" w:space="0" w:color="auto"/>
              <w:left w:val="nil"/>
              <w:bottom w:val="nil"/>
              <w:right w:val="single" w:sz="8" w:space="0" w:color="auto"/>
            </w:tcBorders>
            <w:shd w:val="clear" w:color="000000" w:fill="BDD7EE"/>
            <w:vAlign w:val="center"/>
            <w:hideMark/>
          </w:tcPr>
          <w:p w:rsidR="00725509" w:rsidRPr="00725509" w:rsidP="00725509">
            <w:pPr>
              <w:jc w:val="center"/>
              <w:rPr>
                <w:rFonts w:ascii="Calibri" w:hAnsi="Calibri" w:cs="Calibri"/>
                <w:b/>
                <w:bCs/>
                <w:color w:val="000000"/>
                <w:sz w:val="16"/>
                <w:szCs w:val="16"/>
              </w:rPr>
            </w:pPr>
            <w:r w:rsidRPr="00725509">
              <w:rPr>
                <w:rFonts w:ascii="Calibri" w:hAnsi="Calibri" w:cs="Calibri"/>
                <w:b/>
                <w:bCs/>
                <w:color w:val="000000"/>
                <w:sz w:val="16"/>
                <w:szCs w:val="16"/>
              </w:rPr>
              <w:t>Total Cost to Government</w:t>
            </w:r>
          </w:p>
        </w:tc>
      </w:tr>
      <w:tr w:rsidTr="00C6013C">
        <w:tblPrEx>
          <w:tblW w:w="8240" w:type="dxa"/>
          <w:tblInd w:w="-25" w:type="dxa"/>
          <w:tblLook w:val="04A0"/>
        </w:tblPrEx>
        <w:trPr>
          <w:trHeight w:val="278"/>
        </w:trPr>
        <w:tc>
          <w:tcPr>
            <w:tcW w:w="2280"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725509" w:rsidRPr="00725509" w:rsidP="00725509">
            <w:pPr>
              <w:rPr>
                <w:rFonts w:ascii="Calibri" w:hAnsi="Calibri" w:cs="Calibri"/>
                <w:b/>
                <w:bCs/>
                <w:color w:val="000000"/>
                <w:sz w:val="16"/>
                <w:szCs w:val="16"/>
              </w:rPr>
            </w:pPr>
            <w:r w:rsidRPr="00725509">
              <w:rPr>
                <w:rFonts w:ascii="Calibri" w:hAnsi="Calibri" w:cs="Calibri"/>
                <w:b/>
                <w:bCs/>
                <w:color w:val="000000"/>
                <w:sz w:val="16"/>
                <w:szCs w:val="16"/>
              </w:rPr>
              <w:t>Federal Oversight</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725509" w:rsidRPr="00725509" w:rsidP="00725509">
            <w:pPr>
              <w:rPr>
                <w:rFonts w:ascii="Calibri" w:hAnsi="Calibri" w:cs="Calibri"/>
                <w:color w:val="000000"/>
                <w:sz w:val="16"/>
                <w:szCs w:val="16"/>
              </w:rPr>
            </w:pPr>
            <w:r w:rsidRPr="00725509">
              <w:rPr>
                <w:rFonts w:ascii="Calibri" w:hAnsi="Calibri" w:cs="Calibri"/>
                <w:color w:val="000000"/>
                <w:sz w:val="16"/>
                <w:szCs w:val="16"/>
              </w:rPr>
              <w:t> </w:t>
            </w: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rsidR="00725509" w:rsidRPr="00725509" w:rsidP="00725509">
            <w:pPr>
              <w:rPr>
                <w:rFonts w:ascii="Calibri" w:hAnsi="Calibri" w:cs="Calibri"/>
                <w:color w:val="000000"/>
                <w:sz w:val="16"/>
                <w:szCs w:val="16"/>
              </w:rPr>
            </w:pPr>
            <w:r w:rsidRPr="00725509">
              <w:rPr>
                <w:rFonts w:ascii="Calibri" w:hAnsi="Calibri" w:cs="Calibri"/>
                <w:color w:val="000000"/>
                <w:sz w:val="16"/>
                <w:szCs w:val="16"/>
              </w:rPr>
              <w:t> </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725509" w:rsidRPr="00725509" w:rsidP="00725509">
            <w:pPr>
              <w:rPr>
                <w:rFonts w:ascii="Calibri" w:hAnsi="Calibri" w:cs="Calibri"/>
                <w:color w:val="000000"/>
                <w:sz w:val="16"/>
                <w:szCs w:val="16"/>
              </w:rPr>
            </w:pPr>
            <w:r w:rsidRPr="00725509">
              <w:rPr>
                <w:rFonts w:ascii="Calibri" w:hAnsi="Calibri" w:cs="Calibri"/>
                <w:color w:val="000000"/>
                <w:sz w:val="16"/>
                <w:szCs w:val="16"/>
              </w:rPr>
              <w:t> </w:t>
            </w:r>
          </w:p>
        </w:tc>
        <w:tc>
          <w:tcPr>
            <w:tcW w:w="1280" w:type="dxa"/>
            <w:tcBorders>
              <w:top w:val="single" w:sz="4" w:space="0" w:color="auto"/>
              <w:left w:val="nil"/>
              <w:bottom w:val="single" w:sz="4" w:space="0" w:color="auto"/>
              <w:right w:val="single" w:sz="4" w:space="0" w:color="auto"/>
            </w:tcBorders>
            <w:shd w:val="clear" w:color="000000" w:fill="808080"/>
            <w:noWrap/>
            <w:vAlign w:val="bottom"/>
            <w:hideMark/>
          </w:tcPr>
          <w:p w:rsidR="00725509" w:rsidRPr="00725509" w:rsidP="00725509">
            <w:pPr>
              <w:rPr>
                <w:rFonts w:ascii="Calibri" w:hAnsi="Calibri" w:cs="Calibri"/>
                <w:color w:val="000000"/>
                <w:sz w:val="16"/>
                <w:szCs w:val="16"/>
              </w:rPr>
            </w:pPr>
            <w:r w:rsidRPr="00725509">
              <w:rPr>
                <w:rFonts w:ascii="Calibri" w:hAnsi="Calibri" w:cs="Calibri"/>
                <w:color w:val="000000"/>
                <w:sz w:val="16"/>
                <w:szCs w:val="16"/>
              </w:rPr>
              <w:t> </w:t>
            </w:r>
          </w:p>
        </w:tc>
        <w:tc>
          <w:tcPr>
            <w:tcW w:w="1300" w:type="dxa"/>
            <w:tcBorders>
              <w:top w:val="single" w:sz="4" w:space="0" w:color="auto"/>
              <w:left w:val="nil"/>
              <w:bottom w:val="single" w:sz="4" w:space="0" w:color="auto"/>
              <w:right w:val="single" w:sz="8" w:space="0" w:color="auto"/>
            </w:tcBorders>
            <w:shd w:val="clear" w:color="auto" w:fill="auto"/>
            <w:noWrap/>
            <w:vAlign w:val="bottom"/>
            <w:hideMark/>
          </w:tcPr>
          <w:p w:rsidR="00725509" w:rsidRPr="00725509" w:rsidP="00725509">
            <w:pPr>
              <w:rPr>
                <w:rFonts w:ascii="Calibri" w:hAnsi="Calibri" w:cs="Calibri"/>
                <w:color w:val="000000"/>
                <w:sz w:val="16"/>
                <w:szCs w:val="16"/>
              </w:rPr>
            </w:pPr>
            <w:r w:rsidRPr="00725509">
              <w:rPr>
                <w:rFonts w:ascii="Calibri" w:hAnsi="Calibri" w:cs="Calibri"/>
                <w:color w:val="000000"/>
                <w:sz w:val="16"/>
                <w:szCs w:val="16"/>
              </w:rPr>
              <w:t> </w:t>
            </w:r>
          </w:p>
        </w:tc>
      </w:tr>
      <w:tr w:rsidTr="00725509">
        <w:tblPrEx>
          <w:tblW w:w="8240" w:type="dxa"/>
          <w:tblInd w:w="-25" w:type="dxa"/>
          <w:tblLook w:val="04A0"/>
        </w:tblPrEx>
        <w:trPr>
          <w:trHeight w:val="300"/>
        </w:trPr>
        <w:tc>
          <w:tcPr>
            <w:tcW w:w="2280" w:type="dxa"/>
            <w:tcBorders>
              <w:top w:val="nil"/>
              <w:left w:val="single" w:sz="8" w:space="0" w:color="auto"/>
              <w:bottom w:val="single" w:sz="4" w:space="0" w:color="auto"/>
              <w:right w:val="single" w:sz="8" w:space="0" w:color="auto"/>
            </w:tcBorders>
            <w:shd w:val="clear" w:color="auto" w:fill="auto"/>
            <w:noWrap/>
            <w:vAlign w:val="bottom"/>
            <w:hideMark/>
          </w:tcPr>
          <w:p w:rsidR="00725509" w:rsidRPr="00725509" w:rsidP="00725509">
            <w:pPr>
              <w:rPr>
                <w:rFonts w:ascii="Calibri" w:hAnsi="Calibri" w:cs="Calibri"/>
                <w:color w:val="000000"/>
                <w:sz w:val="16"/>
                <w:szCs w:val="16"/>
              </w:rPr>
            </w:pPr>
            <w:r w:rsidRPr="00725509">
              <w:rPr>
                <w:rFonts w:ascii="Calibri" w:hAnsi="Calibri" w:cs="Calibri"/>
                <w:color w:val="000000"/>
                <w:sz w:val="16"/>
                <w:szCs w:val="16"/>
              </w:rPr>
              <w:t>Other Federal Positions</w:t>
            </w:r>
          </w:p>
        </w:tc>
        <w:tc>
          <w:tcPr>
            <w:tcW w:w="1120" w:type="dxa"/>
            <w:tcBorders>
              <w:top w:val="nil"/>
              <w:left w:val="nil"/>
              <w:bottom w:val="single" w:sz="4" w:space="0" w:color="auto"/>
              <w:right w:val="single" w:sz="4" w:space="0" w:color="auto"/>
            </w:tcBorders>
            <w:shd w:val="clear" w:color="auto" w:fill="auto"/>
            <w:noWrap/>
            <w:vAlign w:val="bottom"/>
            <w:hideMark/>
          </w:tcPr>
          <w:p w:rsidR="00725509" w:rsidRPr="00725509" w:rsidP="00725509">
            <w:pPr>
              <w:rPr>
                <w:rFonts w:ascii="Calibri" w:hAnsi="Calibri" w:cs="Calibri"/>
                <w:color w:val="000000"/>
                <w:sz w:val="16"/>
                <w:szCs w:val="16"/>
              </w:rPr>
            </w:pPr>
            <w:r w:rsidRPr="00725509">
              <w:rPr>
                <w:rFonts w:ascii="Calibri" w:hAnsi="Calibri" w:cs="Calibri"/>
                <w:color w:val="000000"/>
                <w:sz w:val="16"/>
                <w:szCs w:val="16"/>
              </w:rPr>
              <w:t> </w:t>
            </w:r>
            <w:r>
              <w:rPr>
                <w:rFonts w:ascii="Calibri" w:hAnsi="Calibri" w:cs="Calibri"/>
                <w:color w:val="000000"/>
                <w:sz w:val="16"/>
                <w:szCs w:val="16"/>
              </w:rPr>
              <w:t>ZP-2</w:t>
            </w:r>
          </w:p>
        </w:tc>
        <w:tc>
          <w:tcPr>
            <w:tcW w:w="1140" w:type="dxa"/>
            <w:tcBorders>
              <w:top w:val="nil"/>
              <w:left w:val="nil"/>
              <w:bottom w:val="single" w:sz="4" w:space="0" w:color="auto"/>
              <w:right w:val="single" w:sz="4" w:space="0" w:color="auto"/>
            </w:tcBorders>
            <w:shd w:val="clear" w:color="auto" w:fill="auto"/>
            <w:noWrap/>
            <w:vAlign w:val="bottom"/>
            <w:hideMark/>
          </w:tcPr>
          <w:p w:rsidR="00725509" w:rsidRPr="00725509" w:rsidP="00763632">
            <w:pPr>
              <w:rPr>
                <w:rFonts w:ascii="Calibri" w:hAnsi="Calibri" w:cs="Calibri"/>
                <w:color w:val="000000"/>
                <w:sz w:val="16"/>
                <w:szCs w:val="16"/>
              </w:rPr>
            </w:pPr>
            <w:r>
              <w:rPr>
                <w:rFonts w:ascii="Calibri" w:hAnsi="Calibri" w:cs="Calibri"/>
                <w:color w:val="000000"/>
                <w:sz w:val="16"/>
                <w:szCs w:val="16"/>
              </w:rPr>
              <w:t>$64,000</w:t>
            </w:r>
          </w:p>
        </w:tc>
        <w:tc>
          <w:tcPr>
            <w:tcW w:w="1120" w:type="dxa"/>
            <w:tcBorders>
              <w:top w:val="nil"/>
              <w:left w:val="nil"/>
              <w:bottom w:val="single" w:sz="4" w:space="0" w:color="auto"/>
              <w:right w:val="single" w:sz="4" w:space="0" w:color="auto"/>
            </w:tcBorders>
            <w:shd w:val="clear" w:color="auto" w:fill="auto"/>
            <w:noWrap/>
            <w:vAlign w:val="bottom"/>
            <w:hideMark/>
          </w:tcPr>
          <w:p w:rsidR="00725509" w:rsidRPr="00725509" w:rsidP="00725509">
            <w:pPr>
              <w:rPr>
                <w:rFonts w:ascii="Calibri" w:hAnsi="Calibri" w:cs="Calibri"/>
                <w:color w:val="000000"/>
                <w:sz w:val="16"/>
                <w:szCs w:val="16"/>
              </w:rPr>
            </w:pPr>
            <w:r w:rsidRPr="00725509">
              <w:rPr>
                <w:rFonts w:ascii="Calibri" w:hAnsi="Calibri" w:cs="Calibri"/>
                <w:color w:val="000000"/>
                <w:sz w:val="16"/>
                <w:szCs w:val="16"/>
              </w:rPr>
              <w:t> </w:t>
            </w:r>
            <w:r>
              <w:rPr>
                <w:rFonts w:ascii="Calibri" w:hAnsi="Calibri" w:cs="Calibri"/>
                <w:color w:val="000000"/>
                <w:sz w:val="16"/>
                <w:szCs w:val="16"/>
              </w:rPr>
              <w:t>12</w:t>
            </w:r>
          </w:p>
        </w:tc>
        <w:tc>
          <w:tcPr>
            <w:tcW w:w="1280" w:type="dxa"/>
            <w:tcBorders>
              <w:top w:val="nil"/>
              <w:left w:val="nil"/>
              <w:bottom w:val="single" w:sz="4" w:space="0" w:color="auto"/>
              <w:right w:val="single" w:sz="4" w:space="0" w:color="auto"/>
            </w:tcBorders>
            <w:shd w:val="clear" w:color="000000" w:fill="808080"/>
            <w:noWrap/>
            <w:vAlign w:val="bottom"/>
            <w:hideMark/>
          </w:tcPr>
          <w:p w:rsidR="00725509" w:rsidRPr="00725509" w:rsidP="00725509">
            <w:pPr>
              <w:rPr>
                <w:rFonts w:ascii="Calibri" w:hAnsi="Calibri" w:cs="Calibri"/>
                <w:color w:val="000000"/>
                <w:sz w:val="16"/>
                <w:szCs w:val="16"/>
              </w:rPr>
            </w:pPr>
            <w:r w:rsidRPr="00725509">
              <w:rPr>
                <w:rFonts w:ascii="Calibri" w:hAnsi="Calibri" w:cs="Calibri"/>
                <w:color w:val="000000"/>
                <w:sz w:val="16"/>
                <w:szCs w:val="16"/>
              </w:rPr>
              <w:t> </w:t>
            </w:r>
          </w:p>
        </w:tc>
        <w:tc>
          <w:tcPr>
            <w:tcW w:w="1300" w:type="dxa"/>
            <w:tcBorders>
              <w:top w:val="nil"/>
              <w:left w:val="nil"/>
              <w:bottom w:val="single" w:sz="4" w:space="0" w:color="auto"/>
              <w:right w:val="single" w:sz="8" w:space="0" w:color="auto"/>
            </w:tcBorders>
            <w:shd w:val="clear" w:color="auto" w:fill="auto"/>
            <w:noWrap/>
            <w:vAlign w:val="bottom"/>
            <w:hideMark/>
          </w:tcPr>
          <w:p w:rsidR="00725509" w:rsidRPr="00725509" w:rsidP="00725509">
            <w:pPr>
              <w:rPr>
                <w:rFonts w:ascii="Calibri" w:hAnsi="Calibri" w:cs="Calibri"/>
                <w:color w:val="000000"/>
                <w:sz w:val="16"/>
                <w:szCs w:val="16"/>
              </w:rPr>
            </w:pPr>
            <w:r w:rsidRPr="00725509">
              <w:rPr>
                <w:rFonts w:ascii="Calibri" w:hAnsi="Calibri" w:cs="Calibri"/>
                <w:color w:val="000000"/>
                <w:sz w:val="16"/>
                <w:szCs w:val="16"/>
              </w:rPr>
              <w:t> </w:t>
            </w:r>
            <w:r w:rsidR="00763632">
              <w:rPr>
                <w:rFonts w:ascii="Calibri" w:hAnsi="Calibri" w:cs="Calibri"/>
                <w:color w:val="000000"/>
                <w:sz w:val="16"/>
                <w:szCs w:val="16"/>
              </w:rPr>
              <w:t>$,7680</w:t>
            </w:r>
          </w:p>
        </w:tc>
      </w:tr>
      <w:tr w:rsidTr="00725509">
        <w:tblPrEx>
          <w:tblW w:w="8240" w:type="dxa"/>
          <w:tblInd w:w="-25" w:type="dxa"/>
          <w:tblLook w:val="04A0"/>
        </w:tblPrEx>
        <w:trPr>
          <w:trHeight w:val="465"/>
        </w:trPr>
        <w:tc>
          <w:tcPr>
            <w:tcW w:w="2280" w:type="dxa"/>
            <w:tcBorders>
              <w:top w:val="nil"/>
              <w:left w:val="single" w:sz="8" w:space="0" w:color="auto"/>
              <w:bottom w:val="single" w:sz="4" w:space="0" w:color="auto"/>
              <w:right w:val="single" w:sz="8" w:space="0" w:color="auto"/>
            </w:tcBorders>
            <w:shd w:val="clear" w:color="auto" w:fill="auto"/>
            <w:vAlign w:val="bottom"/>
            <w:hideMark/>
          </w:tcPr>
          <w:p w:rsidR="00725509" w:rsidRPr="00725509" w:rsidP="00725509">
            <w:pPr>
              <w:rPr>
                <w:rFonts w:ascii="Calibri" w:hAnsi="Calibri" w:cs="Calibri"/>
                <w:b/>
                <w:bCs/>
                <w:color w:val="000000"/>
                <w:sz w:val="16"/>
                <w:szCs w:val="16"/>
              </w:rPr>
            </w:pPr>
            <w:r w:rsidRPr="00725509">
              <w:rPr>
                <w:rFonts w:ascii="Calibri" w:hAnsi="Calibri" w:cs="Calibri"/>
                <w:b/>
                <w:bCs/>
                <w:color w:val="000000"/>
                <w:sz w:val="16"/>
                <w:szCs w:val="16"/>
              </w:rPr>
              <w:t>Contractor Cost</w:t>
            </w:r>
          </w:p>
        </w:tc>
        <w:tc>
          <w:tcPr>
            <w:tcW w:w="1120" w:type="dxa"/>
            <w:tcBorders>
              <w:top w:val="nil"/>
              <w:left w:val="nil"/>
              <w:bottom w:val="single" w:sz="4" w:space="0" w:color="auto"/>
              <w:right w:val="single" w:sz="4" w:space="0" w:color="auto"/>
            </w:tcBorders>
            <w:shd w:val="clear" w:color="000000" w:fill="808080"/>
            <w:noWrap/>
            <w:vAlign w:val="bottom"/>
            <w:hideMark/>
          </w:tcPr>
          <w:p w:rsidR="00725509" w:rsidRPr="00725509" w:rsidP="00725509">
            <w:pPr>
              <w:rPr>
                <w:rFonts w:ascii="Calibri" w:hAnsi="Calibri" w:cs="Calibri"/>
                <w:color w:val="000000"/>
                <w:sz w:val="16"/>
                <w:szCs w:val="16"/>
              </w:rPr>
            </w:pPr>
            <w:r w:rsidRPr="00725509">
              <w:rPr>
                <w:rFonts w:ascii="Calibri" w:hAnsi="Calibri" w:cs="Calibri"/>
                <w:color w:val="000000"/>
                <w:sz w:val="16"/>
                <w:szCs w:val="16"/>
              </w:rPr>
              <w:t> </w:t>
            </w:r>
          </w:p>
        </w:tc>
        <w:tc>
          <w:tcPr>
            <w:tcW w:w="1140" w:type="dxa"/>
            <w:tcBorders>
              <w:top w:val="nil"/>
              <w:left w:val="nil"/>
              <w:bottom w:val="single" w:sz="4" w:space="0" w:color="auto"/>
              <w:right w:val="single" w:sz="4" w:space="0" w:color="auto"/>
            </w:tcBorders>
            <w:shd w:val="clear" w:color="auto" w:fill="auto"/>
            <w:noWrap/>
            <w:vAlign w:val="bottom"/>
            <w:hideMark/>
          </w:tcPr>
          <w:p w:rsidR="00725509" w:rsidRPr="00725509" w:rsidP="00763632">
            <w:pPr>
              <w:rPr>
                <w:rFonts w:ascii="Calibri" w:hAnsi="Calibri" w:cs="Calibri"/>
                <w:color w:val="000000"/>
                <w:sz w:val="16"/>
                <w:szCs w:val="16"/>
              </w:rPr>
            </w:pPr>
            <w:r>
              <w:rPr>
                <w:rFonts w:ascii="Calibri" w:hAnsi="Calibri" w:cs="Calibri"/>
                <w:color w:val="000000"/>
                <w:sz w:val="16"/>
                <w:szCs w:val="16"/>
              </w:rPr>
              <w:t xml:space="preserve"> $6</w:t>
            </w:r>
            <w:r w:rsidR="00763632">
              <w:rPr>
                <w:rFonts w:ascii="Calibri" w:hAnsi="Calibri" w:cs="Calibri"/>
                <w:color w:val="000000"/>
                <w:sz w:val="16"/>
                <w:szCs w:val="16"/>
              </w:rPr>
              <w:t>4</w:t>
            </w:r>
            <w:r>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auto" w:fill="auto"/>
            <w:noWrap/>
            <w:vAlign w:val="bottom"/>
            <w:hideMark/>
          </w:tcPr>
          <w:p w:rsidR="00725509" w:rsidRPr="00725509" w:rsidP="00725509">
            <w:pPr>
              <w:rPr>
                <w:rFonts w:ascii="Calibri" w:hAnsi="Calibri" w:cs="Calibri"/>
                <w:color w:val="000000"/>
                <w:sz w:val="16"/>
                <w:szCs w:val="16"/>
              </w:rPr>
            </w:pPr>
            <w:r w:rsidRPr="00725509">
              <w:rPr>
                <w:rFonts w:ascii="Calibri" w:hAnsi="Calibri" w:cs="Calibri"/>
                <w:color w:val="000000"/>
                <w:sz w:val="16"/>
                <w:szCs w:val="16"/>
              </w:rPr>
              <w:t> </w:t>
            </w:r>
            <w:r>
              <w:rPr>
                <w:rFonts w:ascii="Calibri" w:hAnsi="Calibri" w:cs="Calibri"/>
                <w:color w:val="000000"/>
                <w:sz w:val="16"/>
                <w:szCs w:val="16"/>
              </w:rPr>
              <w:t>12</w:t>
            </w:r>
          </w:p>
        </w:tc>
        <w:tc>
          <w:tcPr>
            <w:tcW w:w="1280" w:type="dxa"/>
            <w:tcBorders>
              <w:top w:val="nil"/>
              <w:left w:val="nil"/>
              <w:bottom w:val="single" w:sz="4" w:space="0" w:color="auto"/>
              <w:right w:val="single" w:sz="4" w:space="0" w:color="auto"/>
            </w:tcBorders>
            <w:shd w:val="clear" w:color="auto" w:fill="auto"/>
            <w:noWrap/>
            <w:vAlign w:val="bottom"/>
            <w:hideMark/>
          </w:tcPr>
          <w:p w:rsidR="00725509" w:rsidRPr="00725509" w:rsidP="00725509">
            <w:pPr>
              <w:rPr>
                <w:rFonts w:ascii="Calibri" w:hAnsi="Calibri" w:cs="Calibri"/>
                <w:color w:val="000000"/>
                <w:sz w:val="16"/>
                <w:szCs w:val="16"/>
              </w:rPr>
            </w:pPr>
            <w:r w:rsidRPr="00725509">
              <w:rPr>
                <w:rFonts w:ascii="Calibri" w:hAnsi="Calibri" w:cs="Calibri"/>
                <w:color w:val="000000"/>
                <w:sz w:val="16"/>
                <w:szCs w:val="16"/>
              </w:rPr>
              <w:t> </w:t>
            </w:r>
          </w:p>
        </w:tc>
        <w:tc>
          <w:tcPr>
            <w:tcW w:w="1300" w:type="dxa"/>
            <w:tcBorders>
              <w:top w:val="nil"/>
              <w:left w:val="nil"/>
              <w:bottom w:val="single" w:sz="4" w:space="0" w:color="auto"/>
              <w:right w:val="single" w:sz="8" w:space="0" w:color="auto"/>
            </w:tcBorders>
            <w:shd w:val="clear" w:color="auto" w:fill="auto"/>
            <w:noWrap/>
            <w:vAlign w:val="bottom"/>
            <w:hideMark/>
          </w:tcPr>
          <w:p w:rsidR="00725509" w:rsidRPr="00725509" w:rsidP="00725509">
            <w:pPr>
              <w:rPr>
                <w:rFonts w:ascii="Calibri" w:hAnsi="Calibri" w:cs="Calibri"/>
                <w:color w:val="000000"/>
                <w:sz w:val="16"/>
                <w:szCs w:val="16"/>
              </w:rPr>
            </w:pPr>
            <w:r w:rsidRPr="00725509">
              <w:rPr>
                <w:rFonts w:ascii="Calibri" w:hAnsi="Calibri" w:cs="Calibri"/>
                <w:color w:val="000000"/>
                <w:sz w:val="16"/>
                <w:szCs w:val="16"/>
              </w:rPr>
              <w:t> </w:t>
            </w:r>
            <w:r w:rsidR="00763632">
              <w:rPr>
                <w:rFonts w:ascii="Calibri" w:hAnsi="Calibri" w:cs="Calibri"/>
                <w:color w:val="000000"/>
                <w:sz w:val="16"/>
                <w:szCs w:val="16"/>
              </w:rPr>
              <w:t>$7,680</w:t>
            </w:r>
          </w:p>
        </w:tc>
      </w:tr>
      <w:tr w:rsidTr="00725509">
        <w:tblPrEx>
          <w:tblW w:w="8240" w:type="dxa"/>
          <w:tblInd w:w="-25" w:type="dxa"/>
          <w:tblLook w:val="04A0"/>
        </w:tblPrEx>
        <w:trPr>
          <w:trHeight w:val="300"/>
        </w:trPr>
        <w:tc>
          <w:tcPr>
            <w:tcW w:w="2280" w:type="dxa"/>
            <w:tcBorders>
              <w:top w:val="nil"/>
              <w:left w:val="single" w:sz="8" w:space="0" w:color="auto"/>
              <w:bottom w:val="single" w:sz="4" w:space="0" w:color="auto"/>
              <w:right w:val="single" w:sz="8" w:space="0" w:color="auto"/>
            </w:tcBorders>
            <w:shd w:val="clear" w:color="auto" w:fill="auto"/>
            <w:noWrap/>
            <w:vAlign w:val="bottom"/>
            <w:hideMark/>
          </w:tcPr>
          <w:p w:rsidR="00725509" w:rsidRPr="00725509" w:rsidP="00725509">
            <w:pPr>
              <w:rPr>
                <w:rFonts w:ascii="Calibri" w:hAnsi="Calibri" w:cs="Calibri"/>
                <w:b/>
                <w:bCs/>
                <w:color w:val="000000"/>
                <w:sz w:val="16"/>
                <w:szCs w:val="16"/>
              </w:rPr>
            </w:pPr>
            <w:r w:rsidRPr="00725509">
              <w:rPr>
                <w:rFonts w:ascii="Calibri" w:hAnsi="Calibri" w:cs="Calibri"/>
                <w:b/>
                <w:bCs/>
                <w:color w:val="000000"/>
                <w:sz w:val="16"/>
                <w:szCs w:val="16"/>
              </w:rPr>
              <w:t>Travel</w:t>
            </w:r>
          </w:p>
        </w:tc>
        <w:tc>
          <w:tcPr>
            <w:tcW w:w="1120" w:type="dxa"/>
            <w:tcBorders>
              <w:top w:val="nil"/>
              <w:left w:val="nil"/>
              <w:bottom w:val="single" w:sz="4" w:space="0" w:color="auto"/>
              <w:right w:val="single" w:sz="4" w:space="0" w:color="auto"/>
            </w:tcBorders>
            <w:shd w:val="clear" w:color="000000" w:fill="808080"/>
            <w:noWrap/>
            <w:vAlign w:val="bottom"/>
            <w:hideMark/>
          </w:tcPr>
          <w:p w:rsidR="00725509" w:rsidRPr="00725509" w:rsidP="00725509">
            <w:pPr>
              <w:rPr>
                <w:rFonts w:ascii="Calibri" w:hAnsi="Calibri" w:cs="Calibri"/>
                <w:color w:val="000000"/>
                <w:sz w:val="16"/>
                <w:szCs w:val="16"/>
              </w:rPr>
            </w:pPr>
            <w:r w:rsidRPr="00725509">
              <w:rPr>
                <w:rFonts w:ascii="Calibri" w:hAnsi="Calibri" w:cs="Calibri"/>
                <w:color w:val="000000"/>
                <w:sz w:val="16"/>
                <w:szCs w:val="16"/>
              </w:rPr>
              <w:t> </w:t>
            </w:r>
          </w:p>
        </w:tc>
        <w:tc>
          <w:tcPr>
            <w:tcW w:w="1140" w:type="dxa"/>
            <w:tcBorders>
              <w:top w:val="nil"/>
              <w:left w:val="nil"/>
              <w:bottom w:val="single" w:sz="4" w:space="0" w:color="auto"/>
              <w:right w:val="single" w:sz="4" w:space="0" w:color="auto"/>
            </w:tcBorders>
            <w:shd w:val="clear" w:color="000000" w:fill="808080"/>
            <w:noWrap/>
            <w:vAlign w:val="bottom"/>
            <w:hideMark/>
          </w:tcPr>
          <w:p w:rsidR="00725509" w:rsidRPr="00725509" w:rsidP="00725509">
            <w:pPr>
              <w:rPr>
                <w:rFonts w:ascii="Calibri" w:hAnsi="Calibri" w:cs="Calibri"/>
                <w:color w:val="000000"/>
                <w:sz w:val="16"/>
                <w:szCs w:val="16"/>
              </w:rPr>
            </w:pPr>
            <w:r w:rsidRPr="00725509">
              <w:rPr>
                <w:rFonts w:ascii="Calibri" w:hAnsi="Calibri" w:cs="Calibri"/>
                <w:color w:val="000000"/>
                <w:sz w:val="16"/>
                <w:szCs w:val="16"/>
              </w:rPr>
              <w:t> </w:t>
            </w:r>
          </w:p>
        </w:tc>
        <w:tc>
          <w:tcPr>
            <w:tcW w:w="1120" w:type="dxa"/>
            <w:tcBorders>
              <w:top w:val="nil"/>
              <w:left w:val="nil"/>
              <w:bottom w:val="single" w:sz="4" w:space="0" w:color="auto"/>
              <w:right w:val="single" w:sz="4" w:space="0" w:color="auto"/>
            </w:tcBorders>
            <w:shd w:val="clear" w:color="000000" w:fill="808080"/>
            <w:noWrap/>
            <w:vAlign w:val="bottom"/>
            <w:hideMark/>
          </w:tcPr>
          <w:p w:rsidR="00725509" w:rsidRPr="00725509" w:rsidP="00725509">
            <w:pPr>
              <w:rPr>
                <w:rFonts w:ascii="Calibri" w:hAnsi="Calibri" w:cs="Calibri"/>
                <w:color w:val="000000"/>
                <w:sz w:val="16"/>
                <w:szCs w:val="16"/>
              </w:rPr>
            </w:pPr>
            <w:r w:rsidRPr="00725509">
              <w:rPr>
                <w:rFonts w:ascii="Calibri" w:hAnsi="Calibri" w:cs="Calibri"/>
                <w:color w:val="000000"/>
                <w:sz w:val="16"/>
                <w:szCs w:val="16"/>
              </w:rPr>
              <w:t> </w:t>
            </w:r>
          </w:p>
        </w:tc>
        <w:tc>
          <w:tcPr>
            <w:tcW w:w="1280" w:type="dxa"/>
            <w:tcBorders>
              <w:top w:val="nil"/>
              <w:left w:val="nil"/>
              <w:bottom w:val="single" w:sz="4" w:space="0" w:color="auto"/>
              <w:right w:val="single" w:sz="4" w:space="0" w:color="auto"/>
            </w:tcBorders>
            <w:shd w:val="clear" w:color="000000" w:fill="808080"/>
            <w:noWrap/>
            <w:vAlign w:val="bottom"/>
            <w:hideMark/>
          </w:tcPr>
          <w:p w:rsidR="00725509" w:rsidRPr="00725509" w:rsidP="00725509">
            <w:pPr>
              <w:rPr>
                <w:rFonts w:ascii="Calibri" w:hAnsi="Calibri" w:cs="Calibri"/>
                <w:color w:val="000000"/>
                <w:sz w:val="16"/>
                <w:szCs w:val="16"/>
              </w:rPr>
            </w:pPr>
            <w:r w:rsidRPr="00725509">
              <w:rPr>
                <w:rFonts w:ascii="Calibri" w:hAnsi="Calibri" w:cs="Calibri"/>
                <w:color w:val="000000"/>
                <w:sz w:val="16"/>
                <w:szCs w:val="16"/>
              </w:rPr>
              <w:t> </w:t>
            </w:r>
          </w:p>
        </w:tc>
        <w:tc>
          <w:tcPr>
            <w:tcW w:w="1300" w:type="dxa"/>
            <w:tcBorders>
              <w:top w:val="nil"/>
              <w:left w:val="nil"/>
              <w:bottom w:val="single" w:sz="4" w:space="0" w:color="auto"/>
              <w:right w:val="single" w:sz="8" w:space="0" w:color="auto"/>
            </w:tcBorders>
            <w:shd w:val="clear" w:color="auto" w:fill="auto"/>
            <w:noWrap/>
            <w:vAlign w:val="bottom"/>
            <w:hideMark/>
          </w:tcPr>
          <w:p w:rsidR="00725509" w:rsidRPr="00725509" w:rsidP="00725509">
            <w:pPr>
              <w:rPr>
                <w:rFonts w:ascii="Calibri" w:hAnsi="Calibri" w:cs="Calibri"/>
                <w:color w:val="000000"/>
                <w:sz w:val="16"/>
                <w:szCs w:val="16"/>
              </w:rPr>
            </w:pPr>
            <w:r w:rsidRPr="00725509">
              <w:rPr>
                <w:rFonts w:ascii="Calibri" w:hAnsi="Calibri" w:cs="Calibri"/>
                <w:color w:val="000000"/>
                <w:sz w:val="16"/>
                <w:szCs w:val="16"/>
              </w:rPr>
              <w:t> </w:t>
            </w:r>
          </w:p>
        </w:tc>
      </w:tr>
      <w:tr w:rsidTr="00C6013C">
        <w:tblPrEx>
          <w:tblW w:w="8240" w:type="dxa"/>
          <w:tblInd w:w="-25" w:type="dxa"/>
          <w:tblLook w:val="04A0"/>
        </w:tblPrEx>
        <w:trPr>
          <w:trHeight w:val="305"/>
        </w:trPr>
        <w:tc>
          <w:tcPr>
            <w:tcW w:w="2280" w:type="dxa"/>
            <w:tcBorders>
              <w:top w:val="nil"/>
              <w:left w:val="single" w:sz="8" w:space="0" w:color="auto"/>
              <w:bottom w:val="nil"/>
              <w:right w:val="single" w:sz="8" w:space="0" w:color="auto"/>
            </w:tcBorders>
            <w:shd w:val="clear" w:color="auto" w:fill="auto"/>
            <w:vAlign w:val="center"/>
            <w:hideMark/>
          </w:tcPr>
          <w:p w:rsidR="00725509" w:rsidRPr="00725509" w:rsidP="00725509">
            <w:pPr>
              <w:rPr>
                <w:rFonts w:ascii="Calibri" w:hAnsi="Calibri" w:cs="Calibri"/>
                <w:b/>
                <w:bCs/>
                <w:color w:val="000000"/>
                <w:sz w:val="16"/>
                <w:szCs w:val="16"/>
              </w:rPr>
            </w:pPr>
            <w:r w:rsidRPr="00725509">
              <w:rPr>
                <w:rFonts w:ascii="Calibri" w:hAnsi="Calibri" w:cs="Calibri"/>
                <w:b/>
                <w:bCs/>
                <w:color w:val="000000"/>
                <w:sz w:val="16"/>
                <w:szCs w:val="16"/>
              </w:rPr>
              <w:t xml:space="preserve">Other Costs: </w:t>
            </w:r>
          </w:p>
        </w:tc>
        <w:tc>
          <w:tcPr>
            <w:tcW w:w="1120" w:type="dxa"/>
            <w:tcBorders>
              <w:top w:val="nil"/>
              <w:left w:val="nil"/>
              <w:bottom w:val="single" w:sz="4" w:space="0" w:color="auto"/>
              <w:right w:val="single" w:sz="4" w:space="0" w:color="auto"/>
            </w:tcBorders>
            <w:shd w:val="clear" w:color="000000" w:fill="808080"/>
            <w:noWrap/>
            <w:vAlign w:val="bottom"/>
            <w:hideMark/>
          </w:tcPr>
          <w:p w:rsidR="00725509" w:rsidRPr="00725509" w:rsidP="00725509">
            <w:pPr>
              <w:rPr>
                <w:rFonts w:ascii="Calibri" w:hAnsi="Calibri" w:cs="Calibri"/>
                <w:color w:val="000000"/>
                <w:sz w:val="16"/>
                <w:szCs w:val="16"/>
              </w:rPr>
            </w:pPr>
            <w:r w:rsidRPr="00725509">
              <w:rPr>
                <w:rFonts w:ascii="Calibri" w:hAnsi="Calibri" w:cs="Calibri"/>
                <w:color w:val="000000"/>
                <w:sz w:val="16"/>
                <w:szCs w:val="16"/>
              </w:rPr>
              <w:t> </w:t>
            </w:r>
          </w:p>
        </w:tc>
        <w:tc>
          <w:tcPr>
            <w:tcW w:w="1140" w:type="dxa"/>
            <w:tcBorders>
              <w:top w:val="nil"/>
              <w:left w:val="nil"/>
              <w:bottom w:val="single" w:sz="4" w:space="0" w:color="auto"/>
              <w:right w:val="single" w:sz="4" w:space="0" w:color="auto"/>
            </w:tcBorders>
            <w:shd w:val="clear" w:color="000000" w:fill="808080"/>
            <w:noWrap/>
            <w:vAlign w:val="bottom"/>
            <w:hideMark/>
          </w:tcPr>
          <w:p w:rsidR="00725509" w:rsidRPr="00725509" w:rsidP="00725509">
            <w:pPr>
              <w:rPr>
                <w:rFonts w:ascii="Calibri" w:hAnsi="Calibri" w:cs="Calibri"/>
                <w:color w:val="000000"/>
                <w:sz w:val="16"/>
                <w:szCs w:val="16"/>
              </w:rPr>
            </w:pPr>
            <w:r w:rsidRPr="00725509">
              <w:rPr>
                <w:rFonts w:ascii="Calibri" w:hAnsi="Calibri" w:cs="Calibri"/>
                <w:color w:val="000000"/>
                <w:sz w:val="16"/>
                <w:szCs w:val="16"/>
              </w:rPr>
              <w:t> </w:t>
            </w:r>
          </w:p>
        </w:tc>
        <w:tc>
          <w:tcPr>
            <w:tcW w:w="1120" w:type="dxa"/>
            <w:tcBorders>
              <w:top w:val="nil"/>
              <w:left w:val="nil"/>
              <w:bottom w:val="single" w:sz="4" w:space="0" w:color="auto"/>
              <w:right w:val="single" w:sz="4" w:space="0" w:color="auto"/>
            </w:tcBorders>
            <w:shd w:val="clear" w:color="000000" w:fill="808080"/>
            <w:noWrap/>
            <w:vAlign w:val="bottom"/>
            <w:hideMark/>
          </w:tcPr>
          <w:p w:rsidR="00725509" w:rsidRPr="00725509" w:rsidP="00725509">
            <w:pPr>
              <w:rPr>
                <w:rFonts w:ascii="Calibri" w:hAnsi="Calibri" w:cs="Calibri"/>
                <w:color w:val="000000"/>
                <w:sz w:val="16"/>
                <w:szCs w:val="16"/>
              </w:rPr>
            </w:pPr>
            <w:r w:rsidRPr="00725509">
              <w:rPr>
                <w:rFonts w:ascii="Calibri" w:hAnsi="Calibri" w:cs="Calibri"/>
                <w:color w:val="000000"/>
                <w:sz w:val="16"/>
                <w:szCs w:val="16"/>
              </w:rPr>
              <w:t> </w:t>
            </w:r>
          </w:p>
        </w:tc>
        <w:tc>
          <w:tcPr>
            <w:tcW w:w="1280" w:type="dxa"/>
            <w:tcBorders>
              <w:top w:val="nil"/>
              <w:left w:val="nil"/>
              <w:bottom w:val="single" w:sz="4" w:space="0" w:color="auto"/>
              <w:right w:val="single" w:sz="4" w:space="0" w:color="auto"/>
            </w:tcBorders>
            <w:shd w:val="clear" w:color="000000" w:fill="808080"/>
            <w:noWrap/>
            <w:vAlign w:val="bottom"/>
            <w:hideMark/>
          </w:tcPr>
          <w:p w:rsidR="00725509" w:rsidRPr="00725509" w:rsidP="00725509">
            <w:pPr>
              <w:rPr>
                <w:rFonts w:ascii="Calibri" w:hAnsi="Calibri" w:cs="Calibri"/>
                <w:color w:val="000000"/>
                <w:sz w:val="16"/>
                <w:szCs w:val="16"/>
              </w:rPr>
            </w:pPr>
            <w:r w:rsidRPr="00725509">
              <w:rPr>
                <w:rFonts w:ascii="Calibri" w:hAnsi="Calibri" w:cs="Calibri"/>
                <w:color w:val="000000"/>
                <w:sz w:val="16"/>
                <w:szCs w:val="16"/>
              </w:rPr>
              <w:t> </w:t>
            </w:r>
          </w:p>
        </w:tc>
        <w:tc>
          <w:tcPr>
            <w:tcW w:w="1300" w:type="dxa"/>
            <w:tcBorders>
              <w:top w:val="nil"/>
              <w:left w:val="nil"/>
              <w:bottom w:val="single" w:sz="4" w:space="0" w:color="auto"/>
              <w:right w:val="single" w:sz="8" w:space="0" w:color="auto"/>
            </w:tcBorders>
            <w:shd w:val="clear" w:color="auto" w:fill="auto"/>
            <w:noWrap/>
            <w:vAlign w:val="bottom"/>
            <w:hideMark/>
          </w:tcPr>
          <w:p w:rsidR="00725509" w:rsidRPr="00725509" w:rsidP="00725509">
            <w:pPr>
              <w:rPr>
                <w:rFonts w:ascii="Calibri" w:hAnsi="Calibri" w:cs="Calibri"/>
                <w:color w:val="000000"/>
                <w:sz w:val="16"/>
                <w:szCs w:val="16"/>
              </w:rPr>
            </w:pPr>
            <w:r w:rsidRPr="00725509">
              <w:rPr>
                <w:rFonts w:ascii="Calibri" w:hAnsi="Calibri" w:cs="Calibri"/>
                <w:color w:val="000000"/>
                <w:sz w:val="16"/>
                <w:szCs w:val="16"/>
              </w:rPr>
              <w:t> </w:t>
            </w:r>
          </w:p>
        </w:tc>
      </w:tr>
      <w:tr w:rsidTr="00725509">
        <w:tblPrEx>
          <w:tblW w:w="8240" w:type="dxa"/>
          <w:tblInd w:w="-25" w:type="dxa"/>
          <w:tblLook w:val="04A0"/>
        </w:tblPrEx>
        <w:trPr>
          <w:trHeight w:val="315"/>
        </w:trPr>
        <w:tc>
          <w:tcPr>
            <w:tcW w:w="2280" w:type="dxa"/>
            <w:tcBorders>
              <w:top w:val="single" w:sz="8" w:space="0" w:color="auto"/>
              <w:left w:val="single" w:sz="8" w:space="0" w:color="auto"/>
              <w:bottom w:val="single" w:sz="8" w:space="0" w:color="auto"/>
              <w:right w:val="single" w:sz="8" w:space="0" w:color="auto"/>
            </w:tcBorders>
            <w:shd w:val="clear" w:color="000000" w:fill="DDEBF7"/>
            <w:noWrap/>
            <w:vAlign w:val="bottom"/>
            <w:hideMark/>
          </w:tcPr>
          <w:p w:rsidR="00725509" w:rsidRPr="00725509" w:rsidP="00725509">
            <w:pPr>
              <w:rPr>
                <w:rFonts w:ascii="Calibri" w:hAnsi="Calibri" w:cs="Calibri"/>
                <w:b/>
                <w:bCs/>
                <w:color w:val="000000"/>
                <w:sz w:val="16"/>
                <w:szCs w:val="16"/>
              </w:rPr>
            </w:pPr>
            <w:r w:rsidRPr="00725509">
              <w:rPr>
                <w:rFonts w:ascii="Calibri" w:hAnsi="Calibri" w:cs="Calibri"/>
                <w:b/>
                <w:bCs/>
                <w:color w:val="000000"/>
                <w:sz w:val="16"/>
                <w:szCs w:val="16"/>
              </w:rPr>
              <w:t>TOTAL</w:t>
            </w:r>
          </w:p>
        </w:tc>
        <w:tc>
          <w:tcPr>
            <w:tcW w:w="1120" w:type="dxa"/>
            <w:tcBorders>
              <w:top w:val="single" w:sz="8" w:space="0" w:color="auto"/>
              <w:left w:val="nil"/>
              <w:bottom w:val="single" w:sz="8" w:space="0" w:color="auto"/>
              <w:right w:val="single" w:sz="8" w:space="0" w:color="auto"/>
            </w:tcBorders>
            <w:shd w:val="clear" w:color="000000" w:fill="808080"/>
            <w:noWrap/>
            <w:vAlign w:val="bottom"/>
            <w:hideMark/>
          </w:tcPr>
          <w:p w:rsidR="00725509" w:rsidRPr="00725509" w:rsidP="00725509">
            <w:pPr>
              <w:rPr>
                <w:rFonts w:ascii="Calibri" w:hAnsi="Calibri" w:cs="Calibri"/>
                <w:color w:val="000000"/>
                <w:sz w:val="16"/>
                <w:szCs w:val="16"/>
              </w:rPr>
            </w:pPr>
            <w:r w:rsidRPr="00725509">
              <w:rPr>
                <w:rFonts w:ascii="Calibri" w:hAnsi="Calibri" w:cs="Calibri"/>
                <w:color w:val="000000"/>
                <w:sz w:val="16"/>
                <w:szCs w:val="16"/>
              </w:rPr>
              <w:t> </w:t>
            </w:r>
          </w:p>
        </w:tc>
        <w:tc>
          <w:tcPr>
            <w:tcW w:w="1140" w:type="dxa"/>
            <w:tcBorders>
              <w:top w:val="single" w:sz="8" w:space="0" w:color="auto"/>
              <w:left w:val="nil"/>
              <w:bottom w:val="single" w:sz="8" w:space="0" w:color="auto"/>
              <w:right w:val="single" w:sz="8" w:space="0" w:color="auto"/>
            </w:tcBorders>
            <w:shd w:val="clear" w:color="auto" w:fill="808080"/>
            <w:noWrap/>
            <w:vAlign w:val="bottom"/>
            <w:hideMark/>
          </w:tcPr>
          <w:p w:rsidR="00725509" w:rsidRPr="00725509" w:rsidP="00725509">
            <w:pPr>
              <w:rPr>
                <w:rFonts w:ascii="Calibri" w:hAnsi="Calibri" w:cs="Calibri"/>
                <w:color w:val="000000"/>
                <w:sz w:val="16"/>
                <w:szCs w:val="16"/>
              </w:rPr>
            </w:pPr>
            <w:r w:rsidRPr="00725509">
              <w:rPr>
                <w:rFonts w:ascii="Calibri" w:hAnsi="Calibri" w:cs="Calibri"/>
                <w:color w:val="000000"/>
                <w:sz w:val="16"/>
                <w:szCs w:val="16"/>
              </w:rPr>
              <w:t> </w:t>
            </w:r>
          </w:p>
        </w:tc>
        <w:tc>
          <w:tcPr>
            <w:tcW w:w="1120" w:type="dxa"/>
            <w:tcBorders>
              <w:top w:val="single" w:sz="8" w:space="0" w:color="auto"/>
              <w:left w:val="nil"/>
              <w:bottom w:val="single" w:sz="8" w:space="0" w:color="auto"/>
              <w:right w:val="single" w:sz="8" w:space="0" w:color="auto"/>
            </w:tcBorders>
            <w:shd w:val="clear" w:color="000000" w:fill="757171"/>
            <w:noWrap/>
            <w:vAlign w:val="bottom"/>
            <w:hideMark/>
          </w:tcPr>
          <w:p w:rsidR="00725509" w:rsidRPr="00725509" w:rsidP="00725509">
            <w:pPr>
              <w:rPr>
                <w:rFonts w:ascii="Calibri" w:hAnsi="Calibri" w:cs="Calibri"/>
                <w:color w:val="000000"/>
                <w:sz w:val="16"/>
                <w:szCs w:val="16"/>
              </w:rPr>
            </w:pPr>
            <w:r w:rsidRPr="00725509">
              <w:rPr>
                <w:rFonts w:ascii="Calibri" w:hAnsi="Calibri" w:cs="Calibri"/>
                <w:color w:val="000000"/>
                <w:sz w:val="16"/>
                <w:szCs w:val="16"/>
              </w:rPr>
              <w:t> </w:t>
            </w:r>
          </w:p>
        </w:tc>
        <w:tc>
          <w:tcPr>
            <w:tcW w:w="1280" w:type="dxa"/>
            <w:tcBorders>
              <w:top w:val="single" w:sz="8" w:space="0" w:color="auto"/>
              <w:left w:val="nil"/>
              <w:bottom w:val="single" w:sz="8" w:space="0" w:color="auto"/>
              <w:right w:val="single" w:sz="8" w:space="0" w:color="auto"/>
            </w:tcBorders>
            <w:shd w:val="clear" w:color="000000" w:fill="DDEBF7"/>
            <w:noWrap/>
            <w:vAlign w:val="bottom"/>
            <w:hideMark/>
          </w:tcPr>
          <w:p w:rsidR="00725509" w:rsidRPr="00725509" w:rsidP="00725509">
            <w:pPr>
              <w:rPr>
                <w:rFonts w:ascii="Calibri" w:hAnsi="Calibri" w:cs="Calibri"/>
                <w:color w:val="000000"/>
                <w:sz w:val="16"/>
                <w:szCs w:val="16"/>
              </w:rPr>
            </w:pPr>
            <w:r w:rsidRPr="00725509">
              <w:rPr>
                <w:rFonts w:ascii="Calibri" w:hAnsi="Calibri" w:cs="Calibri"/>
                <w:color w:val="000000"/>
                <w:sz w:val="16"/>
                <w:szCs w:val="16"/>
              </w:rPr>
              <w:t> </w:t>
            </w:r>
          </w:p>
        </w:tc>
        <w:tc>
          <w:tcPr>
            <w:tcW w:w="1300" w:type="dxa"/>
            <w:tcBorders>
              <w:top w:val="single" w:sz="8" w:space="0" w:color="auto"/>
              <w:left w:val="nil"/>
              <w:bottom w:val="single" w:sz="8" w:space="0" w:color="auto"/>
              <w:right w:val="single" w:sz="8" w:space="0" w:color="auto"/>
            </w:tcBorders>
            <w:shd w:val="clear" w:color="000000" w:fill="DDEBF7"/>
            <w:noWrap/>
            <w:vAlign w:val="bottom"/>
            <w:hideMark/>
          </w:tcPr>
          <w:p w:rsidR="00725509" w:rsidRPr="00725509" w:rsidP="008902FA">
            <w:pPr>
              <w:rPr>
                <w:rFonts w:ascii="Calibri" w:hAnsi="Calibri" w:cs="Calibri"/>
                <w:color w:val="000000"/>
                <w:sz w:val="16"/>
                <w:szCs w:val="16"/>
              </w:rPr>
            </w:pPr>
            <w:r w:rsidRPr="00725509">
              <w:rPr>
                <w:rFonts w:ascii="Calibri" w:hAnsi="Calibri" w:cs="Calibri"/>
                <w:color w:val="000000"/>
                <w:sz w:val="16"/>
                <w:szCs w:val="16"/>
              </w:rPr>
              <w:t> </w:t>
            </w:r>
            <w:r>
              <w:rPr>
                <w:rFonts w:ascii="Calibri" w:hAnsi="Calibri" w:cs="Calibri"/>
                <w:color w:val="000000"/>
                <w:sz w:val="16"/>
                <w:szCs w:val="16"/>
              </w:rPr>
              <w:t>$</w:t>
            </w:r>
            <w:r w:rsidR="008902FA">
              <w:rPr>
                <w:rFonts w:ascii="Calibri" w:hAnsi="Calibri" w:cs="Calibri"/>
                <w:color w:val="000000"/>
                <w:sz w:val="16"/>
                <w:szCs w:val="16"/>
              </w:rPr>
              <w:t>15,360</w:t>
            </w:r>
          </w:p>
        </w:tc>
      </w:tr>
    </w:tbl>
    <w:p w:rsidR="00725509" w:rsidRPr="000E402C" w:rsidP="00026D8C">
      <w:pPr>
        <w:rPr>
          <w:bCs/>
          <w:color w:val="000000"/>
          <w:highlight w:val="yellow"/>
        </w:rPr>
      </w:pPr>
    </w:p>
    <w:p w:rsidR="006C33F7" w:rsidRPr="000E402C" w:rsidP="006C33F7">
      <w:pPr>
        <w:autoSpaceDE w:val="0"/>
        <w:autoSpaceDN w:val="0"/>
        <w:adjustRightInd w:val="0"/>
        <w:rPr>
          <w:color w:val="1F497D"/>
          <w:highlight w:val="yellow"/>
        </w:rPr>
      </w:pPr>
    </w:p>
    <w:p w:rsidR="00756075" w:rsidRPr="000E402C" w:rsidP="00756075">
      <w:pPr>
        <w:autoSpaceDE w:val="0"/>
        <w:autoSpaceDN w:val="0"/>
        <w:adjustRightInd w:val="0"/>
        <w:rPr>
          <w:b/>
          <w:bCs/>
          <w:color w:val="000000"/>
        </w:rPr>
      </w:pPr>
      <w:r w:rsidRPr="000E402C">
        <w:rPr>
          <w:b/>
          <w:bCs/>
          <w:color w:val="000000"/>
        </w:rPr>
        <w:t>15.</w:t>
      </w:r>
      <w:r w:rsidRPr="000E402C" w:rsidR="00893DD7">
        <w:rPr>
          <w:b/>
          <w:bCs/>
          <w:color w:val="000000"/>
        </w:rPr>
        <w:t xml:space="preserve"> </w:t>
      </w:r>
      <w:r w:rsidRPr="000E402C">
        <w:rPr>
          <w:b/>
          <w:bCs/>
          <w:color w:val="000000"/>
        </w:rPr>
        <w:t xml:space="preserve"> Explain the reasons for any program changes or adjustments reported.</w:t>
      </w:r>
    </w:p>
    <w:p w:rsidR="00756075" w:rsidRPr="000E402C" w:rsidP="00756075">
      <w:pPr>
        <w:autoSpaceDE w:val="0"/>
        <w:autoSpaceDN w:val="0"/>
        <w:adjustRightInd w:val="0"/>
        <w:rPr>
          <w:b/>
          <w:bCs/>
          <w:highlight w:val="yellow"/>
        </w:rPr>
      </w:pPr>
    </w:p>
    <w:p w:rsidR="007F72FF" w:rsidRPr="002A0D3B" w:rsidP="00393A81">
      <w:pPr>
        <w:tabs>
          <w:tab w:val="left" w:pos="0"/>
        </w:tabs>
        <w:rPr>
          <w:rFonts w:eastAsia="Calibri"/>
        </w:rPr>
      </w:pPr>
      <w:r w:rsidRPr="002A0D3B">
        <w:rPr>
          <w:rFonts w:eastAsia="Calibri"/>
        </w:rPr>
        <w:t xml:space="preserve">There </w:t>
      </w:r>
      <w:r w:rsidR="00226DB1">
        <w:rPr>
          <w:rFonts w:eastAsia="Calibri"/>
        </w:rPr>
        <w:t>are no changes to the information collection since the last OMB approval.</w:t>
      </w:r>
    </w:p>
    <w:p w:rsidR="002A0D3B" w:rsidRPr="000E402C" w:rsidP="00393A81">
      <w:pPr>
        <w:tabs>
          <w:tab w:val="left" w:pos="0"/>
        </w:tabs>
        <w:rPr>
          <w:rFonts w:eastAsia="Calibri"/>
          <w:highlight w:val="yellow"/>
        </w:rPr>
      </w:pPr>
    </w:p>
    <w:p w:rsidR="00756075" w:rsidRPr="000E402C" w:rsidP="00756075">
      <w:pPr>
        <w:autoSpaceDE w:val="0"/>
        <w:autoSpaceDN w:val="0"/>
        <w:adjustRightInd w:val="0"/>
        <w:rPr>
          <w:b/>
          <w:bCs/>
          <w:color w:val="000000"/>
        </w:rPr>
      </w:pPr>
      <w:r w:rsidRPr="000E402C">
        <w:rPr>
          <w:b/>
          <w:bCs/>
          <w:color w:val="000000"/>
        </w:rPr>
        <w:t>16.</w:t>
      </w:r>
      <w:r w:rsidRPr="000E402C" w:rsidR="00893DD7">
        <w:rPr>
          <w:b/>
          <w:bCs/>
          <w:color w:val="000000"/>
        </w:rPr>
        <w:t xml:space="preserve"> </w:t>
      </w:r>
      <w:r w:rsidRPr="000E402C">
        <w:rPr>
          <w:b/>
          <w:bCs/>
          <w:color w:val="000000"/>
        </w:rPr>
        <w:t xml:space="preserve"> For collections whose results will be published, outline the plans for tabulation and publication.</w:t>
      </w:r>
    </w:p>
    <w:p w:rsidR="00756075" w:rsidRPr="000E402C" w:rsidP="00756075">
      <w:pPr>
        <w:autoSpaceDE w:val="0"/>
        <w:autoSpaceDN w:val="0"/>
        <w:adjustRightInd w:val="0"/>
        <w:rPr>
          <w:b/>
          <w:bCs/>
          <w:color w:val="000000"/>
          <w:highlight w:val="yellow"/>
        </w:rPr>
      </w:pPr>
    </w:p>
    <w:p w:rsidR="00756075" w:rsidRPr="000E402C" w:rsidP="00756075">
      <w:pPr>
        <w:autoSpaceDE w:val="0"/>
        <w:autoSpaceDN w:val="0"/>
        <w:adjustRightInd w:val="0"/>
        <w:rPr>
          <w:color w:val="000000"/>
        </w:rPr>
      </w:pPr>
      <w:r w:rsidRPr="000E402C">
        <w:rPr>
          <w:color w:val="000000"/>
        </w:rPr>
        <w:t xml:space="preserve">No formal scientific publications based on these collections are planned at this time. The data will be used for management reports and fishery management plan amendments and evaluations by the NMFS and the Council. </w:t>
      </w:r>
    </w:p>
    <w:p w:rsidR="00C00DD0" w:rsidRPr="000E402C" w:rsidP="00756075">
      <w:pPr>
        <w:autoSpaceDE w:val="0"/>
        <w:autoSpaceDN w:val="0"/>
        <w:adjustRightInd w:val="0"/>
        <w:rPr>
          <w:color w:val="1F497D"/>
          <w:highlight w:val="yellow"/>
        </w:rPr>
      </w:pPr>
    </w:p>
    <w:p w:rsidR="00756075" w:rsidRPr="000E402C" w:rsidP="00991E0A">
      <w:pPr>
        <w:keepNext/>
        <w:autoSpaceDE w:val="0"/>
        <w:autoSpaceDN w:val="0"/>
        <w:adjustRightInd w:val="0"/>
        <w:rPr>
          <w:b/>
          <w:bCs/>
          <w:color w:val="000000"/>
        </w:rPr>
      </w:pPr>
      <w:r w:rsidRPr="000E402C">
        <w:rPr>
          <w:b/>
          <w:bCs/>
          <w:color w:val="000000"/>
        </w:rPr>
        <w:t xml:space="preserve">17. </w:t>
      </w:r>
      <w:r w:rsidRPr="000E402C" w:rsidR="00893DD7">
        <w:rPr>
          <w:b/>
          <w:bCs/>
          <w:color w:val="000000"/>
        </w:rPr>
        <w:t xml:space="preserve"> </w:t>
      </w:r>
      <w:r w:rsidRPr="000E402C">
        <w:rPr>
          <w:b/>
          <w:bCs/>
          <w:color w:val="000000"/>
        </w:rPr>
        <w:t>If seeking approval to not display the expiration date for OMB approval of the</w:t>
      </w:r>
      <w:r w:rsidRPr="000E402C" w:rsidR="00893DD7">
        <w:rPr>
          <w:b/>
          <w:bCs/>
          <w:color w:val="000000"/>
        </w:rPr>
        <w:t xml:space="preserve"> </w:t>
      </w:r>
      <w:r w:rsidRPr="000E402C">
        <w:rPr>
          <w:b/>
          <w:bCs/>
          <w:color w:val="000000"/>
        </w:rPr>
        <w:t>information collection, explain the reasons why display would be inappropriate.</w:t>
      </w:r>
    </w:p>
    <w:p w:rsidR="00991E0A" w:rsidRPr="000E402C" w:rsidP="00991E0A">
      <w:pPr>
        <w:keepNext/>
        <w:autoSpaceDE w:val="0"/>
        <w:autoSpaceDN w:val="0"/>
        <w:adjustRightInd w:val="0"/>
        <w:rPr>
          <w:color w:val="000000"/>
        </w:rPr>
      </w:pPr>
    </w:p>
    <w:p w:rsidR="00756075" w:rsidRPr="000E402C" w:rsidP="00991E0A">
      <w:pPr>
        <w:keepNext/>
        <w:autoSpaceDE w:val="0"/>
        <w:autoSpaceDN w:val="0"/>
        <w:adjustRightInd w:val="0"/>
        <w:rPr>
          <w:color w:val="000000"/>
        </w:rPr>
      </w:pPr>
      <w:r>
        <w:rPr>
          <w:color w:val="000000"/>
        </w:rPr>
        <w:t>The agency plans to display the expiration date for OMB approval of the information collection on all instruments.</w:t>
      </w:r>
    </w:p>
    <w:p w:rsidR="00756075" w:rsidRPr="000E402C" w:rsidP="00991E0A">
      <w:pPr>
        <w:keepNext/>
        <w:autoSpaceDE w:val="0"/>
        <w:autoSpaceDN w:val="0"/>
        <w:adjustRightInd w:val="0"/>
        <w:rPr>
          <w:color w:val="000000"/>
        </w:rPr>
      </w:pPr>
    </w:p>
    <w:p w:rsidR="00756075" w:rsidRPr="000E402C" w:rsidP="00756075">
      <w:pPr>
        <w:autoSpaceDE w:val="0"/>
        <w:autoSpaceDN w:val="0"/>
        <w:adjustRightInd w:val="0"/>
        <w:rPr>
          <w:b/>
          <w:bCs/>
          <w:color w:val="000000"/>
        </w:rPr>
      </w:pPr>
      <w:r w:rsidRPr="000E402C">
        <w:rPr>
          <w:b/>
          <w:bCs/>
          <w:color w:val="000000"/>
        </w:rPr>
        <w:t>18. Explain each exception to the certification</w:t>
      </w:r>
      <w:r w:rsidRPr="000E402C" w:rsidR="00C2620A">
        <w:rPr>
          <w:b/>
          <w:bCs/>
          <w:color w:val="000000"/>
        </w:rPr>
        <w:t xml:space="preserve"> </w:t>
      </w:r>
      <w:r w:rsidRPr="000E402C">
        <w:rPr>
          <w:b/>
          <w:bCs/>
          <w:color w:val="000000"/>
        </w:rPr>
        <w:t>statement.</w:t>
      </w:r>
    </w:p>
    <w:p w:rsidR="00756075" w:rsidRPr="000E402C" w:rsidP="00756075">
      <w:pPr>
        <w:autoSpaceDE w:val="0"/>
        <w:autoSpaceDN w:val="0"/>
        <w:adjustRightInd w:val="0"/>
        <w:rPr>
          <w:b/>
          <w:bCs/>
          <w:color w:val="000000"/>
        </w:rPr>
      </w:pPr>
    </w:p>
    <w:p w:rsidR="00893DD7" w:rsidRPr="000E402C" w:rsidP="00756075">
      <w:pPr>
        <w:autoSpaceDE w:val="0"/>
        <w:autoSpaceDN w:val="0"/>
        <w:adjustRightInd w:val="0"/>
        <w:rPr>
          <w:color w:val="000000"/>
        </w:rPr>
      </w:pPr>
      <w:r w:rsidRPr="00325CEB">
        <w:rPr>
          <w:rFonts w:eastAsia="Arial"/>
          <w:lang w:bidi="en-US"/>
        </w:rPr>
        <w:t>The agency certifies compliance with</w:t>
      </w:r>
      <w:r w:rsidRPr="00325CEB">
        <w:rPr>
          <w:rFonts w:eastAsia="Arial"/>
          <w:b/>
          <w:i/>
          <w:lang w:bidi="en-US"/>
        </w:rPr>
        <w:t xml:space="preserve"> </w:t>
      </w:r>
      <w:hyperlink r:id="rId11">
        <w:r w:rsidRPr="00325CEB">
          <w:rPr>
            <w:rFonts w:eastAsia="Arial"/>
            <w:b/>
            <w:i/>
            <w:color w:val="0563C1"/>
            <w:u w:val="thick" w:color="0563C1"/>
            <w:lang w:bidi="en-US"/>
          </w:rPr>
          <w:t>5 CFR 1320.9</w:t>
        </w:r>
        <w:r w:rsidRPr="00325CEB">
          <w:rPr>
            <w:rFonts w:eastAsia="Arial"/>
            <w:b/>
            <w:i/>
            <w:color w:val="0563C1"/>
            <w:lang w:bidi="en-US"/>
          </w:rPr>
          <w:t xml:space="preserve"> </w:t>
        </w:r>
      </w:hyperlink>
      <w:r w:rsidRPr="00325CEB">
        <w:rPr>
          <w:rFonts w:eastAsia="Arial"/>
          <w:lang w:bidi="en-US"/>
        </w:rPr>
        <w:t xml:space="preserve">and the related provisions of </w:t>
      </w:r>
      <w:hyperlink r:id="rId12">
        <w:r w:rsidRPr="00325CEB">
          <w:rPr>
            <w:rFonts w:eastAsia="Arial"/>
            <w:b/>
            <w:i/>
            <w:color w:val="0563C1"/>
            <w:u w:val="thick" w:color="0563C1"/>
            <w:lang w:bidi="en-US"/>
          </w:rPr>
          <w:t>5</w:t>
        </w:r>
        <w:r w:rsidRPr="00325CEB">
          <w:rPr>
            <w:rFonts w:eastAsia="Arial"/>
            <w:b/>
            <w:i/>
            <w:color w:val="0563C1"/>
            <w:spacing w:val="-42"/>
            <w:u w:val="thick" w:color="0563C1"/>
            <w:lang w:bidi="en-US"/>
          </w:rPr>
          <w:t xml:space="preserve"> </w:t>
        </w:r>
        <w:r w:rsidRPr="00325CEB">
          <w:rPr>
            <w:rFonts w:eastAsia="Arial"/>
            <w:b/>
            <w:i/>
            <w:color w:val="0563C1"/>
            <w:u w:val="thick" w:color="0563C1"/>
            <w:lang w:bidi="en-US"/>
          </w:rPr>
          <w:t>CFR</w:t>
        </w:r>
      </w:hyperlink>
      <w:r w:rsidRPr="00325CEB">
        <w:rPr>
          <w:rFonts w:eastAsia="Arial"/>
          <w:b/>
          <w:i/>
          <w:color w:val="0563C1"/>
          <w:lang w:bidi="en-US"/>
        </w:rPr>
        <w:t xml:space="preserve"> </w:t>
      </w:r>
      <w:hyperlink r:id="rId12">
        <w:r w:rsidRPr="00325CEB">
          <w:rPr>
            <w:rFonts w:eastAsia="Arial"/>
            <w:b/>
            <w:i/>
            <w:color w:val="0563C1"/>
            <w:u w:val="thick" w:color="0563C1"/>
            <w:lang w:bidi="en-US"/>
          </w:rPr>
          <w:t>1320.8(b)(3)</w:t>
        </w:r>
      </w:hyperlink>
      <w:r w:rsidRPr="00325CEB">
        <w:rPr>
          <w:rFonts w:eastAsia="Arial"/>
          <w:b/>
          <w:i/>
          <w:lang w:bidi="en-US"/>
        </w:rPr>
        <w:t>.</w:t>
      </w:r>
    </w:p>
    <w:p w:rsidR="00DF1DED" w:rsidRPr="000E402C" w:rsidP="00756075">
      <w:pPr>
        <w:autoSpaceDE w:val="0"/>
        <w:autoSpaceDN w:val="0"/>
        <w:adjustRightInd w:val="0"/>
        <w:rPr>
          <w:color w:val="000000"/>
        </w:rPr>
      </w:pPr>
    </w:p>
    <w:p w:rsidR="006E5692" w:rsidP="00F60302">
      <w:pPr>
        <w:autoSpaceDE w:val="0"/>
        <w:autoSpaceDN w:val="0"/>
        <w:adjustRightInd w:val="0"/>
        <w:rPr>
          <w:color w:val="1F497D"/>
        </w:rPr>
      </w:pPr>
      <w:r>
        <w:rPr>
          <w:color w:val="1F497D"/>
        </w:rPr>
        <w:br w:type="page"/>
      </w:r>
    </w:p>
    <w:p w:rsidR="004F38C4" w:rsidRPr="004F38C4" w:rsidP="004F38C4">
      <w:pPr>
        <w:shd w:val="clear" w:color="auto" w:fill="FFFFFF"/>
        <w:spacing w:before="200" w:after="100"/>
        <w:outlineLvl w:val="1"/>
        <w:rPr>
          <w:rFonts w:ascii="Arial" w:hAnsi="Arial" w:cs="Arial"/>
          <w:b/>
          <w:bCs/>
          <w:color w:val="000000"/>
          <w:sz w:val="21"/>
          <w:szCs w:val="21"/>
        </w:rPr>
      </w:pPr>
      <w:r w:rsidRPr="004F38C4">
        <w:rPr>
          <w:rFonts w:ascii="Arial" w:hAnsi="Arial" w:cs="Arial"/>
          <w:b/>
          <w:bCs/>
          <w:color w:val="000000"/>
          <w:sz w:val="21"/>
          <w:szCs w:val="21"/>
        </w:rPr>
        <w:t>Attachment 1</w:t>
      </w:r>
    </w:p>
    <w:p w:rsidR="004F38C4" w:rsidRPr="004F38C4" w:rsidP="004F38C4">
      <w:pPr>
        <w:shd w:val="clear" w:color="auto" w:fill="FFFFFF"/>
        <w:spacing w:before="200" w:after="100"/>
        <w:outlineLvl w:val="1"/>
        <w:rPr>
          <w:rFonts w:ascii="Arial" w:hAnsi="Arial" w:cs="Arial"/>
          <w:b/>
          <w:bCs/>
          <w:color w:val="000000"/>
          <w:sz w:val="21"/>
          <w:szCs w:val="21"/>
        </w:rPr>
      </w:pPr>
      <w:r w:rsidRPr="004F38C4">
        <w:rPr>
          <w:rFonts w:ascii="Arial" w:hAnsi="Arial" w:cs="Arial"/>
          <w:b/>
          <w:bCs/>
          <w:color w:val="000000"/>
          <w:sz w:val="21"/>
          <w:szCs w:val="21"/>
        </w:rPr>
        <w:t>§660.18   Observer and catch monitor provider permits and endorsements.</w:t>
      </w:r>
    </w:p>
    <w:p w:rsidR="004F38C4" w:rsidRPr="004F38C4" w:rsidP="004F38C4">
      <w:pPr>
        <w:shd w:val="clear" w:color="auto" w:fill="FFFFFF"/>
        <w:spacing w:before="100" w:beforeAutospacing="1" w:after="100" w:afterAutospacing="1"/>
        <w:ind w:firstLine="480"/>
        <w:rPr>
          <w:rFonts w:ascii="Arial" w:hAnsi="Arial" w:cs="Arial"/>
          <w:color w:val="000000"/>
          <w:sz w:val="21"/>
          <w:szCs w:val="21"/>
        </w:rPr>
      </w:pPr>
      <w:r w:rsidRPr="004F38C4">
        <w:rPr>
          <w:rFonts w:ascii="Arial" w:hAnsi="Arial" w:cs="Arial"/>
          <w:color w:val="000000"/>
          <w:sz w:val="21"/>
          <w:szCs w:val="21"/>
        </w:rPr>
        <w:t>(a) </w:t>
      </w:r>
      <w:r w:rsidRPr="004F38C4">
        <w:rPr>
          <w:rFonts w:ascii="Arial" w:hAnsi="Arial" w:cs="Arial"/>
          <w:i/>
          <w:iCs/>
          <w:color w:val="000000"/>
          <w:sz w:val="21"/>
          <w:szCs w:val="21"/>
        </w:rPr>
        <w:t>Provider permits.</w:t>
      </w:r>
      <w:r w:rsidRPr="004F38C4">
        <w:rPr>
          <w:rFonts w:ascii="Arial" w:hAnsi="Arial" w:cs="Arial"/>
          <w:color w:val="000000"/>
          <w:sz w:val="21"/>
          <w:szCs w:val="21"/>
        </w:rPr>
        <w:t> Persons seeking to provide observer or catch monitor services must obtain a provider permit from NMFS before providing certified catch monitors or certified observers for the Shorebased IFQ Program, the MS Coop Program, the C/P Coop Program, or for processing vessels in the fixed gear or open access fisheries. There are two types of endorsements for provider permits, an observer endorsement and a catch monitor endorsement. Provider permits must have at least one endorsement and it must be appropriate for the services being provided. Provider permits are obtained through an application process and must be renewed annually to remain valid in the following year. A provider permit and associated endorsements expire if not renewed or if services have not been provided for 12 consecutive months.</w:t>
      </w:r>
    </w:p>
    <w:p w:rsidR="004F38C4" w:rsidRPr="004F38C4" w:rsidP="004F38C4">
      <w:pPr>
        <w:shd w:val="clear" w:color="auto" w:fill="FFFFFF"/>
        <w:spacing w:before="100" w:beforeAutospacing="1" w:after="100" w:afterAutospacing="1"/>
        <w:ind w:firstLine="480"/>
        <w:rPr>
          <w:rFonts w:ascii="Arial" w:hAnsi="Arial" w:cs="Arial"/>
          <w:color w:val="000000"/>
          <w:sz w:val="21"/>
          <w:szCs w:val="21"/>
        </w:rPr>
      </w:pPr>
      <w:r w:rsidRPr="004F38C4">
        <w:rPr>
          <w:rFonts w:ascii="Arial" w:hAnsi="Arial" w:cs="Arial"/>
          <w:color w:val="000000"/>
          <w:sz w:val="21"/>
          <w:szCs w:val="21"/>
        </w:rPr>
        <w:t>(b) </w:t>
      </w:r>
      <w:r w:rsidRPr="004F38C4">
        <w:rPr>
          <w:rFonts w:ascii="Arial" w:hAnsi="Arial" w:cs="Arial"/>
          <w:i/>
          <w:iCs/>
          <w:color w:val="000000"/>
          <w:sz w:val="21"/>
          <w:szCs w:val="21"/>
        </w:rPr>
        <w:t>Application process to become an observer or catch monitor provider</w:t>
      </w:r>
      <w:r w:rsidRPr="004F38C4">
        <w:rPr>
          <w:rFonts w:ascii="Arial" w:hAnsi="Arial" w:cs="Arial"/>
          <w:color w:val="000000"/>
          <w:sz w:val="21"/>
          <w:szCs w:val="21"/>
        </w:rPr>
        <w:t>—(1) </w:t>
      </w:r>
      <w:r w:rsidRPr="004F38C4">
        <w:rPr>
          <w:rFonts w:ascii="Arial" w:hAnsi="Arial" w:cs="Arial"/>
          <w:i/>
          <w:iCs/>
          <w:color w:val="000000"/>
          <w:sz w:val="21"/>
          <w:szCs w:val="21"/>
        </w:rPr>
        <w:t>New provider applications.</w:t>
      </w:r>
      <w:r w:rsidRPr="004F38C4">
        <w:rPr>
          <w:rFonts w:ascii="Arial" w:hAnsi="Arial" w:cs="Arial"/>
          <w:color w:val="000000"/>
          <w:sz w:val="21"/>
          <w:szCs w:val="21"/>
        </w:rPr>
        <w:t> An applicant seeking a provider permit may submit an application at any time during the calendar year. Any provider permit issued during a given year will expire on December 31. Application forms must be submitted by mail to the West Coast Region Fisheries Permits Office, 7600 Sand Point Way NE., Bldg 1, Seattle, WA 98115. Only complete applications will be considered for approval by the review board.</w:t>
      </w:r>
    </w:p>
    <w:p w:rsidR="004F38C4" w:rsidRPr="004F38C4" w:rsidP="004F38C4">
      <w:pPr>
        <w:shd w:val="clear" w:color="auto" w:fill="FFFFFF"/>
        <w:spacing w:before="100" w:beforeAutospacing="1" w:after="100" w:afterAutospacing="1"/>
        <w:ind w:firstLine="480"/>
        <w:rPr>
          <w:rFonts w:ascii="Arial" w:hAnsi="Arial" w:cs="Arial"/>
          <w:color w:val="000000"/>
          <w:sz w:val="21"/>
          <w:szCs w:val="21"/>
        </w:rPr>
      </w:pPr>
      <w:r w:rsidRPr="004F38C4">
        <w:rPr>
          <w:rFonts w:ascii="Arial" w:hAnsi="Arial" w:cs="Arial"/>
          <w:color w:val="000000"/>
          <w:sz w:val="21"/>
          <w:szCs w:val="21"/>
        </w:rPr>
        <w:t>(2) </w:t>
      </w:r>
      <w:r w:rsidRPr="004F38C4">
        <w:rPr>
          <w:rFonts w:ascii="Arial" w:hAnsi="Arial" w:cs="Arial"/>
          <w:i/>
          <w:iCs/>
          <w:color w:val="000000"/>
          <w:sz w:val="21"/>
          <w:szCs w:val="21"/>
        </w:rPr>
        <w:t>Contents of provider application.</w:t>
      </w:r>
      <w:r w:rsidRPr="004F38C4">
        <w:rPr>
          <w:rFonts w:ascii="Arial" w:hAnsi="Arial" w:cs="Arial"/>
          <w:color w:val="000000"/>
          <w:sz w:val="21"/>
          <w:szCs w:val="21"/>
        </w:rPr>
        <w:t> A complete application for a provider permit shall contain the following:</w:t>
      </w:r>
    </w:p>
    <w:p w:rsidR="004F38C4" w:rsidRPr="004F38C4" w:rsidP="004F38C4">
      <w:pPr>
        <w:shd w:val="clear" w:color="auto" w:fill="FFFFFF"/>
        <w:spacing w:before="100" w:beforeAutospacing="1" w:after="100" w:afterAutospacing="1"/>
        <w:ind w:firstLine="480"/>
        <w:rPr>
          <w:rFonts w:ascii="Arial" w:hAnsi="Arial" w:cs="Arial"/>
          <w:color w:val="000000"/>
          <w:sz w:val="21"/>
          <w:szCs w:val="21"/>
        </w:rPr>
      </w:pPr>
      <w:r w:rsidRPr="004F38C4">
        <w:rPr>
          <w:rFonts w:ascii="Arial" w:hAnsi="Arial" w:cs="Arial"/>
          <w:color w:val="000000"/>
          <w:sz w:val="21"/>
          <w:szCs w:val="21"/>
        </w:rPr>
        <w:t>(i) An indication of which endorsement the applicant is seeking: observer provider, catch monitor provider, or both endorsements. A single application may be used to apply for both endorsements.</w:t>
      </w:r>
    </w:p>
    <w:p w:rsidR="004F38C4" w:rsidRPr="004F38C4" w:rsidP="004F38C4">
      <w:pPr>
        <w:shd w:val="clear" w:color="auto" w:fill="FFFFFF"/>
        <w:spacing w:before="100" w:beforeAutospacing="1" w:after="100" w:afterAutospacing="1"/>
        <w:ind w:firstLine="480"/>
        <w:rPr>
          <w:rFonts w:ascii="Arial" w:hAnsi="Arial" w:cs="Arial"/>
          <w:color w:val="000000"/>
          <w:sz w:val="21"/>
          <w:szCs w:val="21"/>
        </w:rPr>
      </w:pPr>
      <w:r w:rsidRPr="004F38C4">
        <w:rPr>
          <w:rFonts w:ascii="Arial" w:hAnsi="Arial" w:cs="Arial"/>
          <w:color w:val="000000"/>
          <w:sz w:val="21"/>
          <w:szCs w:val="21"/>
        </w:rPr>
        <w:t>(ii) Applicant contact information.</w:t>
      </w:r>
    </w:p>
    <w:p w:rsidR="004F38C4" w:rsidRPr="004F38C4" w:rsidP="004F38C4">
      <w:pPr>
        <w:shd w:val="clear" w:color="auto" w:fill="FFFFFF"/>
        <w:spacing w:before="100" w:beforeAutospacing="1" w:after="100" w:afterAutospacing="1"/>
        <w:ind w:firstLine="480"/>
        <w:rPr>
          <w:rFonts w:ascii="Arial" w:hAnsi="Arial" w:cs="Arial"/>
          <w:color w:val="000000"/>
          <w:sz w:val="21"/>
          <w:szCs w:val="21"/>
        </w:rPr>
      </w:pPr>
      <w:r w:rsidRPr="004F38C4">
        <w:rPr>
          <w:rFonts w:ascii="Arial" w:hAnsi="Arial" w:cs="Arial"/>
          <w:color w:val="000000"/>
          <w:sz w:val="21"/>
          <w:szCs w:val="21"/>
        </w:rPr>
        <w:t>(A) Legal name of applicant organization. If the applicant organization is United States business entity, include the state registration number.</w:t>
      </w:r>
    </w:p>
    <w:p w:rsidR="004F38C4" w:rsidRPr="004F38C4" w:rsidP="004F38C4">
      <w:pPr>
        <w:shd w:val="clear" w:color="auto" w:fill="FFFFFF"/>
        <w:spacing w:before="100" w:beforeAutospacing="1" w:after="100" w:afterAutospacing="1"/>
        <w:ind w:firstLine="480"/>
        <w:rPr>
          <w:rFonts w:ascii="Arial" w:hAnsi="Arial" w:cs="Arial"/>
          <w:color w:val="000000"/>
          <w:sz w:val="21"/>
          <w:szCs w:val="21"/>
        </w:rPr>
      </w:pPr>
      <w:r w:rsidRPr="004F38C4">
        <w:rPr>
          <w:rFonts w:ascii="Arial" w:hAnsi="Arial" w:cs="Arial"/>
          <w:color w:val="000000"/>
          <w:sz w:val="21"/>
          <w:szCs w:val="21"/>
        </w:rPr>
        <w:t>(B) The primary business mailing address, phone and fax numbers where the owner(s) can be contacted for official correspondence.</w:t>
      </w:r>
    </w:p>
    <w:p w:rsidR="004F38C4" w:rsidRPr="004F38C4" w:rsidP="004F38C4">
      <w:pPr>
        <w:shd w:val="clear" w:color="auto" w:fill="FFFFFF"/>
        <w:spacing w:before="100" w:beforeAutospacing="1" w:after="100" w:afterAutospacing="1"/>
        <w:ind w:firstLine="480"/>
        <w:rPr>
          <w:rFonts w:ascii="Arial" w:hAnsi="Arial" w:cs="Arial"/>
          <w:color w:val="000000"/>
          <w:sz w:val="21"/>
          <w:szCs w:val="21"/>
        </w:rPr>
      </w:pPr>
      <w:r w:rsidRPr="004F38C4">
        <w:rPr>
          <w:rFonts w:ascii="Arial" w:hAnsi="Arial" w:cs="Arial"/>
          <w:color w:val="000000"/>
          <w:sz w:val="21"/>
          <w:szCs w:val="21"/>
        </w:rPr>
        <w:t>(iii) Description of the management, organizational structure, and ownership structure of the applicant's business, including identification by name and general function of all controlling management interests in the company, including but not limited to owners, board members, officers, authorized agents, and employees. List all office locations and their business mailing address, business phone, fax number, and email addresses. If the applicant is a corporation, the articles of incorporation must be provided. If the applicant is a partnership, the partnership agreement must be provided.</w:t>
      </w:r>
    </w:p>
    <w:p w:rsidR="004F38C4" w:rsidRPr="004F38C4" w:rsidP="004F38C4">
      <w:pPr>
        <w:shd w:val="clear" w:color="auto" w:fill="FFFFFF"/>
        <w:spacing w:before="100" w:beforeAutospacing="1" w:after="100" w:afterAutospacing="1"/>
        <w:ind w:firstLine="480"/>
        <w:rPr>
          <w:rFonts w:ascii="Arial" w:hAnsi="Arial" w:cs="Arial"/>
          <w:color w:val="000000"/>
          <w:sz w:val="21"/>
          <w:szCs w:val="21"/>
        </w:rPr>
      </w:pPr>
      <w:r w:rsidRPr="004F38C4">
        <w:rPr>
          <w:rFonts w:ascii="Arial" w:hAnsi="Arial" w:cs="Arial"/>
          <w:color w:val="000000"/>
          <w:sz w:val="21"/>
          <w:szCs w:val="21"/>
        </w:rPr>
        <w:t>(iv) A narrative statement describing relevant direct or indirect prior experience or qualifications the applicant may have that would enable them to be a successful provider.</w:t>
      </w:r>
    </w:p>
    <w:p w:rsidR="004F38C4" w:rsidRPr="004F38C4" w:rsidP="004F38C4">
      <w:pPr>
        <w:shd w:val="clear" w:color="auto" w:fill="FFFFFF"/>
        <w:spacing w:before="100" w:beforeAutospacing="1" w:after="100" w:afterAutospacing="1"/>
        <w:ind w:firstLine="480"/>
        <w:rPr>
          <w:rFonts w:ascii="Arial" w:hAnsi="Arial" w:cs="Arial"/>
          <w:color w:val="000000"/>
          <w:sz w:val="21"/>
          <w:szCs w:val="21"/>
        </w:rPr>
      </w:pPr>
      <w:r w:rsidRPr="004F38C4">
        <w:rPr>
          <w:rFonts w:ascii="Arial" w:hAnsi="Arial" w:cs="Arial"/>
          <w:color w:val="000000"/>
          <w:sz w:val="21"/>
          <w:szCs w:val="21"/>
        </w:rPr>
        <w:t>(A) For applicants seeking an observer provider endorsement, the applicant should describe experience in placing individuals in remote field and/or marine work environments. This includes, but is not limited to, recruiting, hiring, deployment, and personnel administration.</w:t>
      </w:r>
    </w:p>
    <w:p w:rsidR="004F38C4" w:rsidRPr="004F38C4" w:rsidP="004F38C4">
      <w:pPr>
        <w:shd w:val="clear" w:color="auto" w:fill="FFFFFF"/>
        <w:spacing w:before="100" w:beforeAutospacing="1" w:after="100" w:afterAutospacing="1"/>
        <w:ind w:firstLine="480"/>
        <w:rPr>
          <w:rFonts w:ascii="Arial" w:hAnsi="Arial" w:cs="Arial"/>
          <w:color w:val="000000"/>
          <w:sz w:val="21"/>
          <w:szCs w:val="21"/>
        </w:rPr>
      </w:pPr>
      <w:r w:rsidRPr="004F38C4">
        <w:rPr>
          <w:rFonts w:ascii="Arial" w:hAnsi="Arial" w:cs="Arial"/>
          <w:color w:val="000000"/>
          <w:sz w:val="21"/>
          <w:szCs w:val="21"/>
        </w:rPr>
        <w:t>(B) For applicants seeking a catch monitor provider endorsement, a narrative statement should identify prior relevant experience in recruiting, hiring, deploying, and providing support for individuals in marine work environments in the groundfish fishery or other fisheries of similar scale.</w:t>
      </w:r>
    </w:p>
    <w:p w:rsidR="004F38C4" w:rsidRPr="004F38C4" w:rsidP="004F38C4">
      <w:pPr>
        <w:shd w:val="clear" w:color="auto" w:fill="FFFFFF"/>
        <w:spacing w:before="100" w:beforeAutospacing="1" w:after="100" w:afterAutospacing="1"/>
        <w:ind w:firstLine="480"/>
        <w:rPr>
          <w:rFonts w:ascii="Arial" w:hAnsi="Arial" w:cs="Arial"/>
          <w:color w:val="000000"/>
          <w:sz w:val="21"/>
          <w:szCs w:val="21"/>
        </w:rPr>
      </w:pPr>
      <w:r w:rsidRPr="004F38C4">
        <w:rPr>
          <w:rFonts w:ascii="Arial" w:hAnsi="Arial" w:cs="Arial"/>
          <w:color w:val="000000"/>
          <w:sz w:val="21"/>
          <w:szCs w:val="21"/>
        </w:rPr>
        <w:t>(v) A narrative description of the applicant's ability to carry out the required responsibilities and duties as described at §§660.140(h), 660.150(j), and 660.160(g) for observer providers and/or §660.17(f) for catch monitor providers.</w:t>
      </w:r>
    </w:p>
    <w:p w:rsidR="004F38C4" w:rsidRPr="004F38C4" w:rsidP="004F38C4">
      <w:pPr>
        <w:shd w:val="clear" w:color="auto" w:fill="FFFFFF"/>
        <w:spacing w:before="100" w:beforeAutospacing="1" w:after="100" w:afterAutospacing="1"/>
        <w:ind w:firstLine="480"/>
        <w:rPr>
          <w:rFonts w:ascii="Arial" w:hAnsi="Arial" w:cs="Arial"/>
          <w:color w:val="000000"/>
          <w:sz w:val="21"/>
          <w:szCs w:val="21"/>
        </w:rPr>
      </w:pPr>
      <w:r w:rsidRPr="004F38C4">
        <w:rPr>
          <w:rFonts w:ascii="Arial" w:hAnsi="Arial" w:cs="Arial"/>
          <w:color w:val="000000"/>
          <w:sz w:val="21"/>
          <w:szCs w:val="21"/>
        </w:rPr>
        <w:t>(vi) A statement signed under penalty of perjury by an authorized agent of the applicant about each owner, or owners, board members, and officers if a corporation, authorized agents, and employees, regarding:</w:t>
      </w:r>
    </w:p>
    <w:p w:rsidR="004F38C4" w:rsidRPr="004F38C4" w:rsidP="004F38C4">
      <w:pPr>
        <w:shd w:val="clear" w:color="auto" w:fill="FFFFFF"/>
        <w:spacing w:before="100" w:beforeAutospacing="1" w:after="100" w:afterAutospacing="1"/>
        <w:ind w:firstLine="480"/>
        <w:rPr>
          <w:rFonts w:ascii="Arial" w:hAnsi="Arial" w:cs="Arial"/>
          <w:color w:val="000000"/>
          <w:sz w:val="21"/>
          <w:szCs w:val="21"/>
        </w:rPr>
      </w:pPr>
      <w:r w:rsidRPr="004F38C4">
        <w:rPr>
          <w:rFonts w:ascii="Arial" w:hAnsi="Arial" w:cs="Arial"/>
          <w:color w:val="000000"/>
          <w:sz w:val="21"/>
          <w:szCs w:val="21"/>
        </w:rPr>
        <w:t>(A) Conflict of interest as described in §660.18 (c)(3),</w:t>
      </w:r>
    </w:p>
    <w:p w:rsidR="004F38C4" w:rsidRPr="004F38C4" w:rsidP="004F38C4">
      <w:pPr>
        <w:shd w:val="clear" w:color="auto" w:fill="FFFFFF"/>
        <w:spacing w:before="100" w:beforeAutospacing="1" w:after="100" w:afterAutospacing="1"/>
        <w:ind w:firstLine="480"/>
        <w:rPr>
          <w:rFonts w:ascii="Arial" w:hAnsi="Arial" w:cs="Arial"/>
          <w:color w:val="000000"/>
          <w:sz w:val="21"/>
          <w:szCs w:val="21"/>
        </w:rPr>
      </w:pPr>
      <w:r w:rsidRPr="004F38C4">
        <w:rPr>
          <w:rFonts w:ascii="Arial" w:hAnsi="Arial" w:cs="Arial"/>
          <w:color w:val="000000"/>
          <w:sz w:val="21"/>
          <w:szCs w:val="21"/>
        </w:rPr>
        <w:t>(B) Criminal convictions,</w:t>
      </w:r>
    </w:p>
    <w:p w:rsidR="004F38C4" w:rsidRPr="004F38C4" w:rsidP="004F38C4">
      <w:pPr>
        <w:shd w:val="clear" w:color="auto" w:fill="FFFFFF"/>
        <w:spacing w:before="100" w:beforeAutospacing="1" w:after="100" w:afterAutospacing="1"/>
        <w:ind w:firstLine="480"/>
        <w:rPr>
          <w:rFonts w:ascii="Arial" w:hAnsi="Arial" w:cs="Arial"/>
          <w:color w:val="000000"/>
          <w:sz w:val="21"/>
          <w:szCs w:val="21"/>
        </w:rPr>
      </w:pPr>
      <w:r w:rsidRPr="004F38C4">
        <w:rPr>
          <w:rFonts w:ascii="Arial" w:hAnsi="Arial" w:cs="Arial"/>
          <w:color w:val="000000"/>
          <w:sz w:val="21"/>
          <w:szCs w:val="21"/>
        </w:rPr>
        <w:t>(C) Federal contracts they have had and the performance rating they received on the contract, and</w:t>
      </w:r>
    </w:p>
    <w:p w:rsidR="004F38C4" w:rsidRPr="004F38C4" w:rsidP="004F38C4">
      <w:pPr>
        <w:shd w:val="clear" w:color="auto" w:fill="FFFFFF"/>
        <w:spacing w:before="100" w:beforeAutospacing="1" w:after="100" w:afterAutospacing="1"/>
        <w:ind w:firstLine="480"/>
        <w:rPr>
          <w:rFonts w:ascii="Arial" w:hAnsi="Arial" w:cs="Arial"/>
          <w:color w:val="000000"/>
          <w:sz w:val="21"/>
          <w:szCs w:val="21"/>
        </w:rPr>
      </w:pPr>
      <w:r w:rsidRPr="004F38C4">
        <w:rPr>
          <w:rFonts w:ascii="Arial" w:hAnsi="Arial" w:cs="Arial"/>
          <w:color w:val="000000"/>
          <w:sz w:val="21"/>
          <w:szCs w:val="21"/>
        </w:rPr>
        <w:t>(D) Previous decertification action while working as an observer, catch monitor, observer provider, or catch monitor provider.</w:t>
      </w:r>
    </w:p>
    <w:p w:rsidR="004F38C4" w:rsidRPr="004F38C4" w:rsidP="004F38C4">
      <w:pPr>
        <w:shd w:val="clear" w:color="auto" w:fill="FFFFFF"/>
        <w:spacing w:before="100" w:beforeAutospacing="1" w:after="100" w:afterAutospacing="1"/>
        <w:ind w:firstLine="480"/>
        <w:rPr>
          <w:rFonts w:ascii="Arial" w:hAnsi="Arial" w:cs="Arial"/>
          <w:color w:val="000000"/>
          <w:sz w:val="21"/>
          <w:szCs w:val="21"/>
        </w:rPr>
      </w:pPr>
      <w:r w:rsidRPr="004F38C4">
        <w:rPr>
          <w:rFonts w:ascii="Arial" w:hAnsi="Arial" w:cs="Arial"/>
          <w:color w:val="000000"/>
          <w:sz w:val="21"/>
          <w:szCs w:val="21"/>
        </w:rPr>
        <w:t>(vii) NMFS may request additional information or clarification from the applicants.</w:t>
      </w:r>
    </w:p>
    <w:p w:rsidR="004F38C4" w:rsidRPr="004F38C4" w:rsidP="004F38C4">
      <w:pPr>
        <w:shd w:val="clear" w:color="auto" w:fill="FFFFFF"/>
        <w:spacing w:before="100" w:beforeAutospacing="1" w:after="100" w:afterAutospacing="1"/>
        <w:ind w:firstLine="480"/>
        <w:rPr>
          <w:rFonts w:ascii="Arial" w:hAnsi="Arial" w:cs="Arial"/>
          <w:color w:val="000000"/>
          <w:sz w:val="21"/>
          <w:szCs w:val="21"/>
        </w:rPr>
      </w:pPr>
      <w:r w:rsidRPr="004F38C4">
        <w:rPr>
          <w:rFonts w:ascii="Arial" w:hAnsi="Arial" w:cs="Arial"/>
          <w:color w:val="000000"/>
          <w:sz w:val="21"/>
          <w:szCs w:val="21"/>
        </w:rPr>
        <w:t>(c) </w:t>
      </w:r>
      <w:r w:rsidRPr="004F38C4">
        <w:rPr>
          <w:rFonts w:ascii="Arial" w:hAnsi="Arial" w:cs="Arial"/>
          <w:i/>
          <w:iCs/>
          <w:color w:val="000000"/>
          <w:sz w:val="21"/>
          <w:szCs w:val="21"/>
        </w:rPr>
        <w:t>Application evaluation.</w:t>
      </w:r>
      <w:r w:rsidRPr="004F38C4">
        <w:rPr>
          <w:rFonts w:ascii="Arial" w:hAnsi="Arial" w:cs="Arial"/>
          <w:color w:val="000000"/>
          <w:sz w:val="21"/>
          <w:szCs w:val="21"/>
        </w:rPr>
        <w:t> Complete applications will be forwarded to Observer Program and/or the Catch Monitor Program for review and evaluation.</w:t>
      </w:r>
    </w:p>
    <w:p w:rsidR="004F38C4" w:rsidRPr="004F38C4" w:rsidP="004F38C4">
      <w:pPr>
        <w:shd w:val="clear" w:color="auto" w:fill="FFFFFF"/>
        <w:spacing w:before="100" w:beforeAutospacing="1" w:after="100" w:afterAutospacing="1"/>
        <w:ind w:firstLine="480"/>
        <w:rPr>
          <w:rFonts w:ascii="Arial" w:hAnsi="Arial" w:cs="Arial"/>
          <w:color w:val="000000"/>
          <w:sz w:val="21"/>
          <w:szCs w:val="21"/>
        </w:rPr>
      </w:pPr>
      <w:r w:rsidRPr="004F38C4">
        <w:rPr>
          <w:rFonts w:ascii="Arial" w:hAnsi="Arial" w:cs="Arial"/>
          <w:color w:val="000000"/>
          <w:sz w:val="21"/>
          <w:szCs w:val="21"/>
        </w:rPr>
        <w:t>(1) A provider permit application review board will be established and be comprised of at least three members. The review board will evaluate applications submitted under paragraph (a) of this section. If the applicant is an entity, the review board also will evaluate the application criteria for each owner, board member, officer, authorized agent, and employee.</w:t>
      </w:r>
    </w:p>
    <w:p w:rsidR="004F38C4" w:rsidRPr="004F38C4" w:rsidP="004F38C4">
      <w:pPr>
        <w:shd w:val="clear" w:color="auto" w:fill="FFFFFF"/>
        <w:spacing w:before="100" w:beforeAutospacing="1" w:after="100" w:afterAutospacing="1"/>
        <w:ind w:firstLine="480"/>
        <w:rPr>
          <w:rFonts w:ascii="Arial" w:hAnsi="Arial" w:cs="Arial"/>
          <w:color w:val="000000"/>
          <w:sz w:val="21"/>
          <w:szCs w:val="21"/>
        </w:rPr>
      </w:pPr>
      <w:r w:rsidRPr="004F38C4">
        <w:rPr>
          <w:rFonts w:ascii="Arial" w:hAnsi="Arial" w:cs="Arial"/>
          <w:color w:val="000000"/>
          <w:sz w:val="21"/>
          <w:szCs w:val="21"/>
        </w:rPr>
        <w:t>(2) The provider permit application will, at a minimum, be evaluated on the following criteria:</w:t>
      </w:r>
    </w:p>
    <w:p w:rsidR="004F38C4" w:rsidRPr="004F38C4" w:rsidP="004F38C4">
      <w:pPr>
        <w:shd w:val="clear" w:color="auto" w:fill="FFFFFF"/>
        <w:spacing w:before="100" w:beforeAutospacing="1" w:after="100" w:afterAutospacing="1"/>
        <w:ind w:firstLine="480"/>
        <w:rPr>
          <w:rFonts w:ascii="Arial" w:hAnsi="Arial" w:cs="Arial"/>
          <w:color w:val="000000"/>
          <w:sz w:val="21"/>
          <w:szCs w:val="21"/>
        </w:rPr>
      </w:pPr>
      <w:r w:rsidRPr="004F38C4">
        <w:rPr>
          <w:rFonts w:ascii="Arial" w:hAnsi="Arial" w:cs="Arial"/>
          <w:color w:val="000000"/>
          <w:sz w:val="21"/>
          <w:szCs w:val="21"/>
        </w:rPr>
        <w:t>(i) The applicant's ability to carry out the responsibilities and relevant experience and qualifications.</w:t>
      </w:r>
    </w:p>
    <w:p w:rsidR="004F38C4" w:rsidRPr="004F38C4" w:rsidP="004F38C4">
      <w:pPr>
        <w:shd w:val="clear" w:color="auto" w:fill="FFFFFF"/>
        <w:spacing w:before="100" w:beforeAutospacing="1" w:after="100" w:afterAutospacing="1"/>
        <w:ind w:firstLine="480"/>
        <w:rPr>
          <w:rFonts w:ascii="Arial" w:hAnsi="Arial" w:cs="Arial"/>
          <w:color w:val="000000"/>
          <w:sz w:val="21"/>
          <w:szCs w:val="21"/>
        </w:rPr>
      </w:pPr>
      <w:r w:rsidRPr="004F38C4">
        <w:rPr>
          <w:rFonts w:ascii="Arial" w:hAnsi="Arial" w:cs="Arial"/>
          <w:color w:val="000000"/>
          <w:sz w:val="21"/>
          <w:szCs w:val="21"/>
        </w:rPr>
        <w:t>(ii) Review of any conflict of interest as described in §660.18(c)(3).</w:t>
      </w:r>
    </w:p>
    <w:p w:rsidR="004F38C4" w:rsidRPr="004F38C4" w:rsidP="004F38C4">
      <w:pPr>
        <w:shd w:val="clear" w:color="auto" w:fill="FFFFFF"/>
        <w:spacing w:before="100" w:beforeAutospacing="1" w:after="100" w:afterAutospacing="1"/>
        <w:ind w:firstLine="480"/>
        <w:rPr>
          <w:rFonts w:ascii="Arial" w:hAnsi="Arial" w:cs="Arial"/>
          <w:color w:val="000000"/>
          <w:sz w:val="21"/>
          <w:szCs w:val="21"/>
        </w:rPr>
      </w:pPr>
      <w:r w:rsidRPr="004F38C4">
        <w:rPr>
          <w:rFonts w:ascii="Arial" w:hAnsi="Arial" w:cs="Arial"/>
          <w:color w:val="000000"/>
          <w:sz w:val="21"/>
          <w:szCs w:val="21"/>
        </w:rPr>
        <w:t>(iii) Review of any criminal convictions.</w:t>
      </w:r>
    </w:p>
    <w:p w:rsidR="004F38C4" w:rsidRPr="004F38C4" w:rsidP="004F38C4">
      <w:pPr>
        <w:shd w:val="clear" w:color="auto" w:fill="FFFFFF"/>
        <w:spacing w:before="100" w:beforeAutospacing="1" w:after="100" w:afterAutospacing="1"/>
        <w:ind w:firstLine="480"/>
        <w:rPr>
          <w:rFonts w:ascii="Arial" w:hAnsi="Arial" w:cs="Arial"/>
          <w:color w:val="000000"/>
          <w:sz w:val="21"/>
          <w:szCs w:val="21"/>
        </w:rPr>
      </w:pPr>
      <w:r w:rsidRPr="004F38C4">
        <w:rPr>
          <w:rFonts w:ascii="Arial" w:hAnsi="Arial" w:cs="Arial"/>
          <w:color w:val="000000"/>
          <w:sz w:val="21"/>
          <w:szCs w:val="21"/>
        </w:rPr>
        <w:t>(iv) Satisfactory performance ratings on any Federal contracts held by the applicant.</w:t>
      </w:r>
    </w:p>
    <w:p w:rsidR="004F38C4" w:rsidRPr="004F38C4" w:rsidP="004F38C4">
      <w:pPr>
        <w:shd w:val="clear" w:color="auto" w:fill="FFFFFF"/>
        <w:spacing w:before="100" w:beforeAutospacing="1" w:after="100" w:afterAutospacing="1"/>
        <w:ind w:firstLine="480"/>
        <w:rPr>
          <w:rFonts w:ascii="Arial" w:hAnsi="Arial" w:cs="Arial"/>
          <w:color w:val="000000"/>
          <w:sz w:val="21"/>
          <w:szCs w:val="21"/>
        </w:rPr>
      </w:pPr>
      <w:r w:rsidRPr="004F38C4">
        <w:rPr>
          <w:rFonts w:ascii="Arial" w:hAnsi="Arial" w:cs="Arial"/>
          <w:color w:val="000000"/>
          <w:sz w:val="21"/>
          <w:szCs w:val="21"/>
        </w:rPr>
        <w:t>(v) Review of any history of decertification as an observer, catch monitor, observer provider, or catch monitor provider.</w:t>
      </w:r>
    </w:p>
    <w:p w:rsidR="004F38C4" w:rsidRPr="004F38C4" w:rsidP="004F38C4">
      <w:pPr>
        <w:shd w:val="clear" w:color="auto" w:fill="FFFFFF"/>
        <w:spacing w:before="100" w:beforeAutospacing="1" w:after="100" w:afterAutospacing="1"/>
        <w:ind w:firstLine="480"/>
        <w:rPr>
          <w:rFonts w:ascii="Arial" w:hAnsi="Arial" w:cs="Arial"/>
          <w:color w:val="000000"/>
          <w:sz w:val="21"/>
          <w:szCs w:val="21"/>
        </w:rPr>
      </w:pPr>
      <w:r w:rsidRPr="004F38C4">
        <w:rPr>
          <w:rFonts w:ascii="Arial" w:hAnsi="Arial" w:cs="Arial"/>
          <w:color w:val="000000"/>
          <w:sz w:val="21"/>
          <w:szCs w:val="21"/>
        </w:rPr>
        <w:t>(3) </w:t>
      </w:r>
      <w:r w:rsidRPr="004F38C4">
        <w:rPr>
          <w:rFonts w:ascii="Arial" w:hAnsi="Arial" w:cs="Arial"/>
          <w:i/>
          <w:iCs/>
          <w:color w:val="000000"/>
          <w:sz w:val="21"/>
          <w:szCs w:val="21"/>
        </w:rPr>
        <w:t>Limitations on conflict of interest for providers.</w:t>
      </w:r>
      <w:r w:rsidRPr="004F38C4">
        <w:rPr>
          <w:rFonts w:ascii="Arial" w:hAnsi="Arial" w:cs="Arial"/>
          <w:color w:val="000000"/>
          <w:sz w:val="21"/>
          <w:szCs w:val="21"/>
        </w:rPr>
        <w:t> (i) Providers must not have a direct financial interest, other than the provision of observer, catch monitor or other biological sampling services, in any federal or state managed fisheries, including but not limited to:</w:t>
      </w:r>
    </w:p>
    <w:p w:rsidR="004F38C4" w:rsidRPr="004F38C4" w:rsidP="004F38C4">
      <w:pPr>
        <w:shd w:val="clear" w:color="auto" w:fill="FFFFFF"/>
        <w:spacing w:before="100" w:beforeAutospacing="1" w:after="100" w:afterAutospacing="1"/>
        <w:ind w:firstLine="480"/>
        <w:rPr>
          <w:rFonts w:ascii="Arial" w:hAnsi="Arial" w:cs="Arial"/>
          <w:color w:val="000000"/>
          <w:sz w:val="21"/>
          <w:szCs w:val="21"/>
        </w:rPr>
      </w:pPr>
      <w:r w:rsidRPr="004F38C4">
        <w:rPr>
          <w:rFonts w:ascii="Arial" w:hAnsi="Arial" w:cs="Arial"/>
          <w:color w:val="000000"/>
          <w:sz w:val="21"/>
          <w:szCs w:val="21"/>
        </w:rPr>
        <w:t>(A) Any ownership, mortgage holder, or other secured interest in a vessel, first receiver, shorebased or floating stationary processor facility involved in the catching, taking, harvesting or processing of fish;</w:t>
      </w:r>
    </w:p>
    <w:p w:rsidR="004F38C4" w:rsidRPr="004F38C4" w:rsidP="004F38C4">
      <w:pPr>
        <w:shd w:val="clear" w:color="auto" w:fill="FFFFFF"/>
        <w:spacing w:before="100" w:beforeAutospacing="1" w:after="100" w:afterAutospacing="1"/>
        <w:ind w:firstLine="480"/>
        <w:rPr>
          <w:rFonts w:ascii="Arial" w:hAnsi="Arial" w:cs="Arial"/>
          <w:color w:val="000000"/>
          <w:sz w:val="21"/>
          <w:szCs w:val="21"/>
        </w:rPr>
      </w:pPr>
      <w:r w:rsidRPr="004F38C4">
        <w:rPr>
          <w:rFonts w:ascii="Arial" w:hAnsi="Arial" w:cs="Arial"/>
          <w:color w:val="000000"/>
          <w:sz w:val="21"/>
          <w:szCs w:val="21"/>
        </w:rPr>
        <w:t>(B) Any business involved with selling supplies or services to any vessel, first receiver, shorebased or floating stationary processing facility; or</w:t>
      </w:r>
    </w:p>
    <w:p w:rsidR="004F38C4" w:rsidRPr="004F38C4" w:rsidP="004F38C4">
      <w:pPr>
        <w:shd w:val="clear" w:color="auto" w:fill="FFFFFF"/>
        <w:spacing w:before="100" w:beforeAutospacing="1" w:after="100" w:afterAutospacing="1"/>
        <w:ind w:firstLine="480"/>
        <w:rPr>
          <w:rFonts w:ascii="Arial" w:hAnsi="Arial" w:cs="Arial"/>
          <w:color w:val="000000"/>
          <w:sz w:val="21"/>
          <w:szCs w:val="21"/>
        </w:rPr>
      </w:pPr>
      <w:r w:rsidRPr="004F38C4">
        <w:rPr>
          <w:rFonts w:ascii="Arial" w:hAnsi="Arial" w:cs="Arial"/>
          <w:color w:val="000000"/>
          <w:sz w:val="21"/>
          <w:szCs w:val="21"/>
        </w:rPr>
        <w:t>(C) Any business involved with purchasing raw or processed products from any vessel, first receiver, shorebased or floating stationary processing facilities.</w:t>
      </w:r>
    </w:p>
    <w:p w:rsidR="004F38C4" w:rsidRPr="004F38C4" w:rsidP="004F38C4">
      <w:pPr>
        <w:shd w:val="clear" w:color="auto" w:fill="FFFFFF"/>
        <w:spacing w:before="100" w:beforeAutospacing="1" w:after="100" w:afterAutospacing="1"/>
        <w:ind w:firstLine="480"/>
        <w:rPr>
          <w:rFonts w:ascii="Arial" w:hAnsi="Arial" w:cs="Arial"/>
          <w:color w:val="000000"/>
          <w:sz w:val="21"/>
          <w:szCs w:val="21"/>
        </w:rPr>
      </w:pPr>
      <w:r w:rsidRPr="004F38C4">
        <w:rPr>
          <w:rFonts w:ascii="Arial" w:hAnsi="Arial" w:cs="Arial"/>
          <w:color w:val="000000"/>
          <w:sz w:val="21"/>
          <w:szCs w:val="21"/>
        </w:rPr>
        <w:t>(ii) Providers must not solicit or accept, directly or indirectly, any gratuity, gift, favor, entertainment, loan, or anything of monetary value from any person who conducts fishing or fish processing activities that are regulated by NMFS, or who has interests that may be substantially affected by the performance or nonperformance of the official duties of the provider.</w:t>
      </w:r>
    </w:p>
    <w:p w:rsidR="004F38C4" w:rsidRPr="004F38C4" w:rsidP="004F38C4">
      <w:pPr>
        <w:shd w:val="clear" w:color="auto" w:fill="FFFFFF"/>
        <w:spacing w:before="100" w:beforeAutospacing="1" w:after="100" w:afterAutospacing="1"/>
        <w:ind w:firstLine="480"/>
        <w:rPr>
          <w:rFonts w:ascii="Arial" w:hAnsi="Arial" w:cs="Arial"/>
          <w:color w:val="000000"/>
          <w:sz w:val="21"/>
          <w:szCs w:val="21"/>
        </w:rPr>
      </w:pPr>
      <w:r w:rsidRPr="004F38C4">
        <w:rPr>
          <w:rFonts w:ascii="Arial" w:hAnsi="Arial" w:cs="Arial"/>
          <w:color w:val="000000"/>
          <w:sz w:val="21"/>
          <w:szCs w:val="21"/>
        </w:rPr>
        <w:t>(4) </w:t>
      </w:r>
      <w:r w:rsidRPr="004F38C4">
        <w:rPr>
          <w:rFonts w:ascii="Arial" w:hAnsi="Arial" w:cs="Arial"/>
          <w:i/>
          <w:iCs/>
          <w:color w:val="000000"/>
          <w:sz w:val="21"/>
          <w:szCs w:val="21"/>
        </w:rPr>
        <w:t>Existing providers.</w:t>
      </w:r>
      <w:r w:rsidRPr="004F38C4">
        <w:rPr>
          <w:rFonts w:ascii="Arial" w:hAnsi="Arial" w:cs="Arial"/>
          <w:color w:val="000000"/>
          <w:sz w:val="21"/>
          <w:szCs w:val="21"/>
        </w:rPr>
        <w:t> Businesses that provided observers and/or catch monitors in the 12 months prior to May 21, 2015 will be issued a provider permit without submission of an application. This permit will be effective through December 31, 2015.</w:t>
      </w:r>
    </w:p>
    <w:p w:rsidR="004F38C4" w:rsidRPr="004F38C4" w:rsidP="004F38C4">
      <w:pPr>
        <w:shd w:val="clear" w:color="auto" w:fill="FFFFFF"/>
        <w:spacing w:before="100" w:beforeAutospacing="1" w:after="100" w:afterAutospacing="1"/>
        <w:ind w:firstLine="480"/>
        <w:rPr>
          <w:rFonts w:ascii="Arial" w:hAnsi="Arial" w:cs="Arial"/>
          <w:color w:val="000000"/>
          <w:sz w:val="21"/>
          <w:szCs w:val="21"/>
        </w:rPr>
      </w:pPr>
      <w:r w:rsidRPr="004F38C4">
        <w:rPr>
          <w:rFonts w:ascii="Arial" w:hAnsi="Arial" w:cs="Arial"/>
          <w:color w:val="000000"/>
          <w:sz w:val="21"/>
          <w:szCs w:val="21"/>
        </w:rPr>
        <w:t>(i) Providers who deployed catch monitors in the Shorebased IFQ Program in the 12 months prior to May 21, 2015 will be issued a provider permit with a catch monitor provider endorsement effective through December 31, 2015, except that a change in ownership of an existing catch monitor provider after January 1, 2015, requires a new permit application under this section.</w:t>
      </w:r>
    </w:p>
    <w:p w:rsidR="004F38C4" w:rsidRPr="004F38C4" w:rsidP="004F38C4">
      <w:pPr>
        <w:shd w:val="clear" w:color="auto" w:fill="FFFFFF"/>
        <w:spacing w:before="100" w:beforeAutospacing="1" w:after="100" w:afterAutospacing="1"/>
        <w:ind w:firstLine="480"/>
        <w:rPr>
          <w:rFonts w:ascii="Arial" w:hAnsi="Arial" w:cs="Arial"/>
          <w:color w:val="000000"/>
          <w:sz w:val="21"/>
          <w:szCs w:val="21"/>
        </w:rPr>
      </w:pPr>
      <w:r w:rsidRPr="004F38C4">
        <w:rPr>
          <w:rFonts w:ascii="Arial" w:hAnsi="Arial" w:cs="Arial"/>
          <w:color w:val="000000"/>
          <w:sz w:val="21"/>
          <w:szCs w:val="21"/>
        </w:rPr>
        <w:t>(ii) Providers who deployed certified observers in the Pacific Coast groundfish fishery in the 12 months prior to May 21, 2015 will be issued a provider permit with an observer provider endorsement effective through December 31, 2015, except that a change in ownership of an existing observer provider after January 1, 2015, requires a new permit application under this section.</w:t>
      </w:r>
    </w:p>
    <w:p w:rsidR="004F38C4" w:rsidRPr="004F38C4" w:rsidP="004F38C4">
      <w:pPr>
        <w:shd w:val="clear" w:color="auto" w:fill="FFFFFF"/>
        <w:spacing w:before="100" w:beforeAutospacing="1" w:after="100" w:afterAutospacing="1"/>
        <w:ind w:firstLine="480"/>
        <w:rPr>
          <w:rFonts w:ascii="Arial" w:hAnsi="Arial" w:cs="Arial"/>
          <w:color w:val="000000"/>
          <w:sz w:val="21"/>
          <w:szCs w:val="21"/>
        </w:rPr>
      </w:pPr>
      <w:r w:rsidRPr="004F38C4">
        <w:rPr>
          <w:rFonts w:ascii="Arial" w:hAnsi="Arial" w:cs="Arial"/>
          <w:color w:val="000000"/>
          <w:sz w:val="21"/>
          <w:szCs w:val="21"/>
        </w:rPr>
        <w:t>(iii) To receive a provider permit for 2016 and beyond, the existing providers must follow the provider permit renewal process set forth in this section.</w:t>
      </w:r>
    </w:p>
    <w:p w:rsidR="004F38C4" w:rsidRPr="004F38C4" w:rsidP="004F38C4">
      <w:pPr>
        <w:shd w:val="clear" w:color="auto" w:fill="FFFFFF"/>
        <w:spacing w:before="100" w:beforeAutospacing="1" w:after="100" w:afterAutospacing="1"/>
        <w:ind w:firstLine="480"/>
        <w:rPr>
          <w:rFonts w:ascii="Arial" w:hAnsi="Arial" w:cs="Arial"/>
          <w:color w:val="000000"/>
          <w:sz w:val="21"/>
          <w:szCs w:val="21"/>
        </w:rPr>
      </w:pPr>
      <w:r w:rsidRPr="004F38C4">
        <w:rPr>
          <w:rFonts w:ascii="Arial" w:hAnsi="Arial" w:cs="Arial"/>
          <w:color w:val="000000"/>
          <w:sz w:val="21"/>
          <w:szCs w:val="21"/>
        </w:rPr>
        <w:t>(d) </w:t>
      </w:r>
      <w:r w:rsidRPr="004F38C4">
        <w:rPr>
          <w:rFonts w:ascii="Arial" w:hAnsi="Arial" w:cs="Arial"/>
          <w:i/>
          <w:iCs/>
          <w:color w:val="000000"/>
          <w:sz w:val="21"/>
          <w:szCs w:val="21"/>
        </w:rPr>
        <w:t>Agency determination on an application.</w:t>
      </w:r>
    </w:p>
    <w:p w:rsidR="004F38C4" w:rsidRPr="004F38C4" w:rsidP="004F38C4">
      <w:pPr>
        <w:shd w:val="clear" w:color="auto" w:fill="FFFFFF"/>
        <w:spacing w:before="100" w:beforeAutospacing="1" w:after="100" w:afterAutospacing="1"/>
        <w:ind w:firstLine="480"/>
        <w:rPr>
          <w:rFonts w:ascii="Arial" w:hAnsi="Arial" w:cs="Arial"/>
          <w:color w:val="000000"/>
          <w:sz w:val="21"/>
          <w:szCs w:val="21"/>
        </w:rPr>
      </w:pPr>
      <w:r w:rsidRPr="004F38C4">
        <w:rPr>
          <w:rFonts w:ascii="Arial" w:hAnsi="Arial" w:cs="Arial"/>
          <w:color w:val="000000"/>
          <w:sz w:val="21"/>
          <w:szCs w:val="21"/>
        </w:rPr>
        <w:t>(1) </w:t>
      </w:r>
      <w:r w:rsidRPr="004F38C4">
        <w:rPr>
          <w:rFonts w:ascii="Arial" w:hAnsi="Arial" w:cs="Arial"/>
          <w:i/>
          <w:iCs/>
          <w:color w:val="000000"/>
          <w:sz w:val="21"/>
          <w:szCs w:val="21"/>
        </w:rPr>
        <w:t>Initial administrative determination.</w:t>
      </w:r>
      <w:r w:rsidRPr="004F38C4">
        <w:rPr>
          <w:rFonts w:ascii="Arial" w:hAnsi="Arial" w:cs="Arial"/>
          <w:color w:val="000000"/>
          <w:sz w:val="21"/>
          <w:szCs w:val="21"/>
        </w:rPr>
        <w:t> For all complete applications, NMFS will issue an IAD that either approves or disapproves the application. If approved, the IAD will be the provider permit and any associated endorsements. If disapproved, the IAD will provide the reasons for this determination. If the applicant does not appeal the IAD within 30 calendar days, the IAD becomes the final decision of the Regional Administrator acting on behalf of the Secretary of Commerce.</w:t>
      </w:r>
    </w:p>
    <w:p w:rsidR="004F38C4" w:rsidRPr="004F38C4" w:rsidP="004F38C4">
      <w:pPr>
        <w:shd w:val="clear" w:color="auto" w:fill="FFFFFF"/>
        <w:spacing w:before="100" w:beforeAutospacing="1" w:after="100" w:afterAutospacing="1"/>
        <w:ind w:firstLine="480"/>
        <w:rPr>
          <w:rFonts w:ascii="Arial" w:hAnsi="Arial" w:cs="Arial"/>
          <w:color w:val="000000"/>
          <w:sz w:val="21"/>
          <w:szCs w:val="21"/>
        </w:rPr>
      </w:pPr>
      <w:r w:rsidRPr="004F38C4">
        <w:rPr>
          <w:rFonts w:ascii="Arial" w:hAnsi="Arial" w:cs="Arial"/>
          <w:color w:val="000000"/>
          <w:sz w:val="21"/>
          <w:szCs w:val="21"/>
        </w:rPr>
        <w:t>(2) </w:t>
      </w:r>
      <w:r w:rsidRPr="004F38C4">
        <w:rPr>
          <w:rFonts w:ascii="Arial" w:hAnsi="Arial" w:cs="Arial"/>
          <w:i/>
          <w:iCs/>
          <w:color w:val="000000"/>
          <w:sz w:val="21"/>
          <w:szCs w:val="21"/>
        </w:rPr>
        <w:t>Appeal.</w:t>
      </w:r>
      <w:r w:rsidRPr="004F38C4">
        <w:rPr>
          <w:rFonts w:ascii="Arial" w:hAnsi="Arial" w:cs="Arial"/>
          <w:color w:val="000000"/>
          <w:sz w:val="21"/>
          <w:szCs w:val="21"/>
        </w:rPr>
        <w:t> The applicant may appeal the IAD consistent with the observer, catch monitor, and provider appeals process defined at §660.19.</w:t>
      </w:r>
    </w:p>
    <w:p w:rsidR="004F38C4" w:rsidRPr="004F38C4" w:rsidP="004F38C4">
      <w:pPr>
        <w:shd w:val="clear" w:color="auto" w:fill="FFFFFF"/>
        <w:spacing w:before="100" w:beforeAutospacing="1" w:after="100" w:afterAutospacing="1"/>
        <w:ind w:firstLine="480"/>
        <w:rPr>
          <w:rFonts w:ascii="Arial" w:hAnsi="Arial" w:cs="Arial"/>
          <w:color w:val="000000"/>
          <w:sz w:val="21"/>
          <w:szCs w:val="21"/>
        </w:rPr>
      </w:pPr>
      <w:r w:rsidRPr="004F38C4">
        <w:rPr>
          <w:rFonts w:ascii="Arial" w:hAnsi="Arial" w:cs="Arial"/>
          <w:color w:val="000000"/>
          <w:sz w:val="21"/>
          <w:szCs w:val="21"/>
        </w:rPr>
        <w:t>(e) </w:t>
      </w:r>
      <w:r w:rsidRPr="004F38C4">
        <w:rPr>
          <w:rFonts w:ascii="Arial" w:hAnsi="Arial" w:cs="Arial"/>
          <w:i/>
          <w:iCs/>
          <w:color w:val="000000"/>
          <w:sz w:val="21"/>
          <w:szCs w:val="21"/>
        </w:rPr>
        <w:t>Effective dates.</w:t>
      </w:r>
      <w:r w:rsidRPr="004F38C4">
        <w:rPr>
          <w:rFonts w:ascii="Arial" w:hAnsi="Arial" w:cs="Arial"/>
          <w:color w:val="000000"/>
          <w:sz w:val="21"/>
          <w:szCs w:val="21"/>
        </w:rPr>
        <w:t> The provider permit will be valid from the effective date identified on the permit until the permit expiration date of December 31. Provider permit holders must reapply annually by following the application process specified in paragraph (b) of this section.</w:t>
      </w:r>
    </w:p>
    <w:p w:rsidR="004F38C4" w:rsidRPr="004F38C4" w:rsidP="004F38C4">
      <w:pPr>
        <w:shd w:val="clear" w:color="auto" w:fill="FFFFFF"/>
        <w:spacing w:before="100" w:beforeAutospacing="1" w:after="100" w:afterAutospacing="1"/>
        <w:ind w:firstLine="480"/>
        <w:rPr>
          <w:rFonts w:ascii="Arial" w:hAnsi="Arial" w:cs="Arial"/>
          <w:color w:val="000000"/>
          <w:sz w:val="21"/>
          <w:szCs w:val="21"/>
        </w:rPr>
      </w:pPr>
      <w:r w:rsidRPr="004F38C4">
        <w:rPr>
          <w:rFonts w:ascii="Arial" w:hAnsi="Arial" w:cs="Arial"/>
          <w:color w:val="000000"/>
          <w:sz w:val="21"/>
          <w:szCs w:val="21"/>
        </w:rPr>
        <w:t>(f) </w:t>
      </w:r>
      <w:r w:rsidRPr="004F38C4">
        <w:rPr>
          <w:rFonts w:ascii="Arial" w:hAnsi="Arial" w:cs="Arial"/>
          <w:i/>
          <w:iCs/>
          <w:color w:val="000000"/>
          <w:sz w:val="21"/>
          <w:szCs w:val="21"/>
        </w:rPr>
        <w:t>Expiration of the provider permit</w:t>
      </w:r>
      <w:r w:rsidRPr="004F38C4">
        <w:rPr>
          <w:rFonts w:ascii="Arial" w:hAnsi="Arial" w:cs="Arial"/>
          <w:color w:val="000000"/>
          <w:sz w:val="21"/>
          <w:szCs w:val="21"/>
        </w:rPr>
        <w:t>—(1) </w:t>
      </w:r>
      <w:r w:rsidRPr="004F38C4">
        <w:rPr>
          <w:rFonts w:ascii="Arial" w:hAnsi="Arial" w:cs="Arial"/>
          <w:i/>
          <w:iCs/>
          <w:color w:val="000000"/>
          <w:sz w:val="21"/>
          <w:szCs w:val="21"/>
        </w:rPr>
        <w:t>Expiration due to inactivity.</w:t>
      </w:r>
      <w:r w:rsidRPr="004F38C4">
        <w:rPr>
          <w:rFonts w:ascii="Arial" w:hAnsi="Arial" w:cs="Arial"/>
          <w:color w:val="000000"/>
          <w:sz w:val="21"/>
          <w:szCs w:val="21"/>
        </w:rPr>
        <w:t> After a period of 12 continuous months during which no observers or catch monitors are deployed by the provider in the Pacific coast groundfish fishery, NMFS will issue an IAD describing the intent to expire the provider permit or to remove the appropriate endorsement(s) and the timeline to do so. A provider that receives an IAD may appeal under §660.19. The provider permit and endorsements will remain valid until a final agency decision is made or until December 31, whichever is earlier.</w:t>
      </w:r>
    </w:p>
    <w:p w:rsidR="004F38C4" w:rsidRPr="004F38C4" w:rsidP="004F38C4">
      <w:pPr>
        <w:shd w:val="clear" w:color="auto" w:fill="FFFFFF"/>
        <w:spacing w:before="100" w:beforeAutospacing="1" w:after="100" w:afterAutospacing="1"/>
        <w:ind w:firstLine="480"/>
        <w:rPr>
          <w:rFonts w:ascii="Arial" w:hAnsi="Arial" w:cs="Arial"/>
          <w:color w:val="000000"/>
          <w:sz w:val="21"/>
          <w:szCs w:val="21"/>
        </w:rPr>
      </w:pPr>
      <w:r w:rsidRPr="004F38C4">
        <w:rPr>
          <w:rFonts w:ascii="Arial" w:hAnsi="Arial" w:cs="Arial"/>
          <w:color w:val="000000"/>
          <w:sz w:val="21"/>
          <w:szCs w:val="21"/>
        </w:rPr>
        <w:t>(2) </w:t>
      </w:r>
      <w:r w:rsidRPr="004F38C4">
        <w:rPr>
          <w:rFonts w:ascii="Arial" w:hAnsi="Arial" w:cs="Arial"/>
          <w:i/>
          <w:iCs/>
          <w:color w:val="000000"/>
          <w:sz w:val="21"/>
          <w:szCs w:val="21"/>
        </w:rPr>
        <w:t>Expiration due to failure to renew.</w:t>
      </w:r>
      <w:r w:rsidRPr="004F38C4">
        <w:rPr>
          <w:rFonts w:ascii="Arial" w:hAnsi="Arial" w:cs="Arial"/>
          <w:color w:val="000000"/>
          <w:sz w:val="21"/>
          <w:szCs w:val="21"/>
        </w:rPr>
        <w:t> Failure to renew annually will result in expiration of the provider permit and endorsements on December 31.</w:t>
      </w:r>
    </w:p>
    <w:p w:rsidR="004F38C4" w:rsidRPr="004F38C4" w:rsidP="004F38C4">
      <w:pPr>
        <w:shd w:val="clear" w:color="auto" w:fill="FFFFFF"/>
        <w:spacing w:before="100" w:beforeAutospacing="1" w:after="100" w:afterAutospacing="1"/>
        <w:ind w:firstLine="480"/>
        <w:rPr>
          <w:rFonts w:ascii="Arial" w:hAnsi="Arial" w:cs="Arial"/>
          <w:color w:val="000000"/>
          <w:sz w:val="21"/>
          <w:szCs w:val="21"/>
        </w:rPr>
      </w:pPr>
      <w:r w:rsidRPr="004F38C4">
        <w:rPr>
          <w:rFonts w:ascii="Arial" w:hAnsi="Arial" w:cs="Arial"/>
          <w:color w:val="000000"/>
          <w:sz w:val="21"/>
          <w:szCs w:val="21"/>
        </w:rPr>
        <w:t>(3) </w:t>
      </w:r>
      <w:r w:rsidRPr="004F38C4">
        <w:rPr>
          <w:rFonts w:ascii="Arial" w:hAnsi="Arial" w:cs="Arial"/>
          <w:i/>
          <w:iCs/>
          <w:color w:val="000000"/>
          <w:sz w:val="21"/>
          <w:szCs w:val="21"/>
        </w:rPr>
        <w:t>Obtaining a new permit or endorsement following an expiration or voided permit.</w:t>
      </w:r>
      <w:r w:rsidRPr="004F38C4">
        <w:rPr>
          <w:rFonts w:ascii="Arial" w:hAnsi="Arial" w:cs="Arial"/>
          <w:color w:val="000000"/>
          <w:sz w:val="21"/>
          <w:szCs w:val="21"/>
        </w:rPr>
        <w:t> A person holding an expired or void permit or endorsement may reapply for a new provider permit or endorsement at any time consistent with §660.18(b).</w:t>
      </w:r>
    </w:p>
    <w:p w:rsidR="004F38C4" w:rsidRPr="004F38C4" w:rsidP="004F38C4">
      <w:pPr>
        <w:shd w:val="clear" w:color="auto" w:fill="FFFFFF"/>
        <w:spacing w:before="100" w:beforeAutospacing="1" w:after="100" w:afterAutospacing="1"/>
        <w:ind w:firstLine="480"/>
        <w:rPr>
          <w:rFonts w:ascii="Arial" w:hAnsi="Arial" w:cs="Arial"/>
          <w:color w:val="000000"/>
          <w:sz w:val="21"/>
          <w:szCs w:val="21"/>
        </w:rPr>
      </w:pPr>
      <w:r w:rsidRPr="004F38C4">
        <w:rPr>
          <w:rFonts w:ascii="Arial" w:hAnsi="Arial" w:cs="Arial"/>
          <w:color w:val="000000"/>
          <w:sz w:val="21"/>
          <w:szCs w:val="21"/>
        </w:rPr>
        <w:t>(g) </w:t>
      </w:r>
      <w:r w:rsidRPr="004F38C4">
        <w:rPr>
          <w:rFonts w:ascii="Arial" w:hAnsi="Arial" w:cs="Arial"/>
          <w:i/>
          <w:iCs/>
          <w:color w:val="000000"/>
          <w:sz w:val="21"/>
          <w:szCs w:val="21"/>
        </w:rPr>
        <w:t>Provider permit renewal process.</w:t>
      </w:r>
      <w:r w:rsidRPr="004F38C4">
        <w:rPr>
          <w:rFonts w:ascii="Arial" w:hAnsi="Arial" w:cs="Arial"/>
          <w:color w:val="000000"/>
          <w:sz w:val="21"/>
          <w:szCs w:val="21"/>
        </w:rPr>
        <w:t> To maintain a valid provider permit, provider permit holders must reapply annually prior to the permit expiration date.</w:t>
      </w:r>
    </w:p>
    <w:p w:rsidR="004F38C4" w:rsidRPr="004F38C4" w:rsidP="004F38C4">
      <w:pPr>
        <w:shd w:val="clear" w:color="auto" w:fill="FFFFFF"/>
        <w:spacing w:before="100" w:beforeAutospacing="1" w:after="100" w:afterAutospacing="1"/>
        <w:ind w:firstLine="480"/>
        <w:rPr>
          <w:rFonts w:ascii="Arial" w:hAnsi="Arial" w:cs="Arial"/>
          <w:color w:val="000000"/>
          <w:sz w:val="21"/>
          <w:szCs w:val="21"/>
        </w:rPr>
      </w:pPr>
      <w:r w:rsidRPr="004F38C4">
        <w:rPr>
          <w:rFonts w:ascii="Arial" w:hAnsi="Arial" w:cs="Arial"/>
          <w:color w:val="000000"/>
          <w:sz w:val="21"/>
          <w:szCs w:val="21"/>
        </w:rPr>
        <w:t>(1) NMFS will mail a provider permit application form to existing permit holders on or about September 15 each year.</w:t>
      </w:r>
    </w:p>
    <w:p w:rsidR="004F38C4" w:rsidRPr="004F38C4" w:rsidP="004F38C4">
      <w:pPr>
        <w:shd w:val="clear" w:color="auto" w:fill="FFFFFF"/>
        <w:spacing w:before="100" w:beforeAutospacing="1" w:after="100" w:afterAutospacing="1"/>
        <w:ind w:firstLine="480"/>
        <w:rPr>
          <w:rFonts w:ascii="Arial" w:hAnsi="Arial" w:cs="Arial"/>
          <w:color w:val="000000"/>
          <w:sz w:val="21"/>
          <w:szCs w:val="21"/>
        </w:rPr>
      </w:pPr>
      <w:r w:rsidRPr="004F38C4">
        <w:rPr>
          <w:rFonts w:ascii="Arial" w:hAnsi="Arial" w:cs="Arial"/>
          <w:color w:val="000000"/>
          <w:sz w:val="21"/>
          <w:szCs w:val="21"/>
        </w:rPr>
        <w:t>(2) Providers who want to have their permits effective for January 1 of the following calendar year must submit their complete application form to NMFS by October 31. If a provider fails to renew the provider permit, the provider permit and endorsements will expire on December 31.</w:t>
      </w:r>
    </w:p>
    <w:p w:rsidR="004F38C4" w:rsidRPr="004F38C4" w:rsidP="004F38C4">
      <w:pPr>
        <w:shd w:val="clear" w:color="auto" w:fill="FFFFFF"/>
        <w:spacing w:before="100" w:beforeAutospacing="1" w:after="100" w:afterAutospacing="1"/>
        <w:ind w:firstLine="480"/>
        <w:rPr>
          <w:rFonts w:ascii="Arial" w:hAnsi="Arial" w:cs="Arial"/>
          <w:color w:val="000000"/>
          <w:sz w:val="21"/>
          <w:szCs w:val="21"/>
        </w:rPr>
      </w:pPr>
      <w:r w:rsidRPr="004F38C4">
        <w:rPr>
          <w:rFonts w:ascii="Arial" w:hAnsi="Arial" w:cs="Arial"/>
          <w:color w:val="000000"/>
          <w:sz w:val="21"/>
          <w:szCs w:val="21"/>
        </w:rPr>
        <w:t>(h) </w:t>
      </w:r>
      <w:r w:rsidRPr="004F38C4">
        <w:rPr>
          <w:rFonts w:ascii="Arial" w:hAnsi="Arial" w:cs="Arial"/>
          <w:i/>
          <w:iCs/>
          <w:color w:val="000000"/>
          <w:sz w:val="21"/>
          <w:szCs w:val="21"/>
        </w:rPr>
        <w:t>Change of provider permit ownership and transfer restrictions.</w:t>
      </w:r>
      <w:r w:rsidRPr="004F38C4">
        <w:rPr>
          <w:rFonts w:ascii="Arial" w:hAnsi="Arial" w:cs="Arial"/>
          <w:color w:val="000000"/>
          <w:sz w:val="21"/>
          <w:szCs w:val="21"/>
        </w:rPr>
        <w:t> Neither a provider permit nor the endorsements are transferable. Ownership of a provider permit cannot be registered to another individual or entity. The provider permit owner cannot change, substitute, or add individuals or entities as owners of the permit (</w:t>
      </w:r>
      <w:r w:rsidRPr="004F38C4">
        <w:rPr>
          <w:rFonts w:ascii="Arial" w:hAnsi="Arial" w:cs="Arial"/>
          <w:i/>
          <w:iCs/>
          <w:color w:val="000000"/>
          <w:sz w:val="21"/>
          <w:szCs w:val="21"/>
        </w:rPr>
        <w:t>i.e.,</w:t>
      </w:r>
      <w:r w:rsidRPr="004F38C4">
        <w:rPr>
          <w:rFonts w:ascii="Arial" w:hAnsi="Arial" w:cs="Arial"/>
          <w:color w:val="000000"/>
          <w:sz w:val="21"/>
          <w:szCs w:val="21"/>
        </w:rPr>
        <w:t> cannot change the legal name of the permit owner(s) as given on the permit). Any change in ownership of the provider permit requires the new owner(s) to apply for a provider permit, and is subject to approval by NMFS.</w:t>
      </w:r>
    </w:p>
    <w:p w:rsidR="004F38C4" w:rsidRPr="004F38C4" w:rsidP="004F38C4">
      <w:pPr>
        <w:shd w:val="clear" w:color="auto" w:fill="FFFFFF"/>
        <w:spacing w:before="100" w:beforeAutospacing="1" w:after="100" w:afterAutospacing="1"/>
        <w:ind w:firstLine="480"/>
        <w:rPr>
          <w:rFonts w:ascii="Arial" w:hAnsi="Arial" w:cs="Arial"/>
          <w:color w:val="000000"/>
          <w:sz w:val="21"/>
          <w:szCs w:val="21"/>
        </w:rPr>
      </w:pPr>
      <w:r w:rsidRPr="004F38C4">
        <w:rPr>
          <w:rFonts w:ascii="Arial" w:hAnsi="Arial" w:cs="Arial"/>
          <w:color w:val="000000"/>
          <w:sz w:val="21"/>
          <w:szCs w:val="21"/>
        </w:rPr>
        <w:t>(i) </w:t>
      </w:r>
      <w:r w:rsidRPr="004F38C4">
        <w:rPr>
          <w:rFonts w:ascii="Arial" w:hAnsi="Arial" w:cs="Arial"/>
          <w:i/>
          <w:iCs/>
          <w:color w:val="000000"/>
          <w:sz w:val="21"/>
          <w:szCs w:val="21"/>
        </w:rPr>
        <w:t>Provider permit sanctions.</w:t>
      </w:r>
      <w:r w:rsidRPr="004F38C4">
        <w:rPr>
          <w:rFonts w:ascii="Arial" w:hAnsi="Arial" w:cs="Arial"/>
          <w:color w:val="000000"/>
          <w:sz w:val="21"/>
          <w:szCs w:val="21"/>
        </w:rPr>
        <w:t> Procedures governing sanctions of permits are found at subpart D of 15 CFR part 904.</w:t>
      </w:r>
    </w:p>
    <w:p w:rsidR="004F38C4" w:rsidRPr="004F38C4" w:rsidP="004F38C4">
      <w:pPr>
        <w:shd w:val="clear" w:color="auto" w:fill="FFFFFF"/>
        <w:spacing w:before="100" w:beforeAutospacing="1" w:after="100" w:afterAutospacing="1"/>
        <w:ind w:firstLine="480"/>
        <w:rPr>
          <w:rFonts w:ascii="Arial" w:hAnsi="Arial" w:cs="Arial"/>
          <w:color w:val="000000"/>
          <w:sz w:val="21"/>
          <w:szCs w:val="21"/>
        </w:rPr>
      </w:pPr>
      <w:r w:rsidRPr="004F38C4">
        <w:rPr>
          <w:rFonts w:ascii="Arial" w:hAnsi="Arial" w:cs="Arial"/>
          <w:color w:val="000000"/>
          <w:sz w:val="21"/>
          <w:szCs w:val="21"/>
        </w:rPr>
        <w:t>(j) </w:t>
      </w:r>
      <w:r w:rsidRPr="004F38C4">
        <w:rPr>
          <w:rFonts w:ascii="Arial" w:hAnsi="Arial" w:cs="Arial"/>
          <w:i/>
          <w:iCs/>
          <w:color w:val="000000"/>
          <w:sz w:val="21"/>
          <w:szCs w:val="21"/>
        </w:rPr>
        <w:t>Permit fees.</w:t>
      </w:r>
      <w:r w:rsidRPr="004F38C4">
        <w:rPr>
          <w:rFonts w:ascii="Arial" w:hAnsi="Arial" w:cs="Arial"/>
          <w:color w:val="000000"/>
          <w:sz w:val="21"/>
          <w:szCs w:val="21"/>
        </w:rPr>
        <w:t> The Regional Administrator may charge fees to cover administrative expenses related to issuance of permits including initial issuance, renewal replacement, and appeals.</w:t>
      </w:r>
    </w:p>
    <w:p w:rsidR="004F38C4" w:rsidRPr="004F38C4" w:rsidP="004F38C4">
      <w:pPr>
        <w:shd w:val="clear" w:color="auto" w:fill="FFFFFF"/>
        <w:spacing w:before="200" w:after="100" w:afterAutospacing="1"/>
        <w:rPr>
          <w:rFonts w:ascii="Arial" w:hAnsi="Arial" w:cs="Arial"/>
          <w:color w:val="000000"/>
          <w:sz w:val="18"/>
          <w:szCs w:val="18"/>
        </w:rPr>
      </w:pPr>
      <w:r w:rsidRPr="004F38C4">
        <w:rPr>
          <w:rFonts w:ascii="Arial" w:hAnsi="Arial" w:cs="Arial"/>
          <w:color w:val="000000"/>
          <w:sz w:val="18"/>
          <w:szCs w:val="18"/>
        </w:rPr>
        <w:t>[80 FR 22283, Apr. 21, 2015]</w:t>
      </w:r>
    </w:p>
    <w:p w:rsidR="00922246" w:rsidP="004F38C4">
      <w:pPr>
        <w:rPr>
          <w:color w:val="1F497D"/>
        </w:rPr>
      </w:pPr>
      <w:r>
        <w:rPr>
          <w:color w:val="1F497D"/>
        </w:rPr>
        <w:t xml:space="preserve"> </w:t>
      </w:r>
      <w:r>
        <w:rPr>
          <w:color w:val="1F497D"/>
        </w:rPr>
        <w:br w:type="page"/>
      </w:r>
    </w:p>
    <w:p w:rsidR="004F38C4" w:rsidP="00922246">
      <w:pPr>
        <w:shd w:val="clear" w:color="auto" w:fill="FFFFFF"/>
        <w:spacing w:before="200" w:after="100"/>
        <w:outlineLvl w:val="1"/>
        <w:rPr>
          <w:rFonts w:ascii="Arial" w:hAnsi="Arial" w:cs="Arial"/>
          <w:b/>
          <w:bCs/>
          <w:color w:val="000000"/>
          <w:sz w:val="21"/>
          <w:szCs w:val="21"/>
        </w:rPr>
      </w:pPr>
      <w:r>
        <w:rPr>
          <w:rFonts w:ascii="Arial" w:hAnsi="Arial" w:cs="Arial"/>
          <w:b/>
          <w:bCs/>
          <w:color w:val="000000"/>
          <w:sz w:val="21"/>
          <w:szCs w:val="21"/>
        </w:rPr>
        <w:t>Attachment 2</w:t>
      </w:r>
    </w:p>
    <w:p w:rsidR="00922246" w:rsidRPr="00922246" w:rsidP="00922246">
      <w:pPr>
        <w:shd w:val="clear" w:color="auto" w:fill="FFFFFF"/>
        <w:spacing w:before="200" w:after="100"/>
        <w:outlineLvl w:val="1"/>
        <w:rPr>
          <w:rFonts w:ascii="Arial" w:hAnsi="Arial" w:cs="Arial"/>
          <w:b/>
          <w:bCs/>
          <w:color w:val="000000"/>
          <w:sz w:val="21"/>
          <w:szCs w:val="21"/>
        </w:rPr>
      </w:pPr>
      <w:r w:rsidRPr="00922246">
        <w:rPr>
          <w:rFonts w:ascii="Arial" w:hAnsi="Arial" w:cs="Arial"/>
          <w:b/>
          <w:bCs/>
          <w:color w:val="000000"/>
          <w:sz w:val="21"/>
          <w:szCs w:val="21"/>
        </w:rPr>
        <w:t>§660.19   Appeals process for catch monitors, observers, and provider permits.</w:t>
      </w:r>
    </w:p>
    <w:p w:rsidR="00922246" w:rsidRPr="00922246" w:rsidP="00922246">
      <w:pPr>
        <w:shd w:val="clear" w:color="auto" w:fill="FFFFFF"/>
        <w:spacing w:before="100" w:beforeAutospacing="1" w:after="100" w:afterAutospacing="1"/>
        <w:ind w:firstLine="480"/>
        <w:rPr>
          <w:rFonts w:ascii="Arial" w:hAnsi="Arial" w:cs="Arial"/>
          <w:color w:val="000000"/>
          <w:sz w:val="21"/>
          <w:szCs w:val="21"/>
        </w:rPr>
      </w:pPr>
      <w:r w:rsidRPr="00922246">
        <w:rPr>
          <w:rFonts w:ascii="Arial" w:hAnsi="Arial" w:cs="Arial"/>
          <w:color w:val="000000"/>
          <w:sz w:val="21"/>
          <w:szCs w:val="21"/>
        </w:rPr>
        <w:t>(a) </w:t>
      </w:r>
      <w:r w:rsidRPr="00922246">
        <w:rPr>
          <w:rFonts w:ascii="Arial" w:hAnsi="Arial" w:cs="Arial"/>
          <w:i/>
          <w:iCs/>
          <w:color w:val="000000"/>
          <w:sz w:val="21"/>
          <w:szCs w:val="21"/>
        </w:rPr>
        <w:t>Allowed appeals.</w:t>
      </w:r>
      <w:r w:rsidRPr="00922246">
        <w:rPr>
          <w:rFonts w:ascii="Arial" w:hAnsi="Arial" w:cs="Arial"/>
          <w:color w:val="000000"/>
          <w:sz w:val="21"/>
          <w:szCs w:val="21"/>
        </w:rPr>
        <w:t> This section describes the procedure for appealing IADs described at §§660.17(g), 660.18(d) and (f), 660.140(h), 660.150(j), 660.160(g), 660.603(b)(3) for catch monitor decertification, observer decertification, provider permit expirations due to inactivity, and EM service provider permit denials. Any person whose interest is directly and adversely affected by an IAD may file a written appeal. For purposes of this section, such person will be referred to as the “applicant.”</w:t>
      </w:r>
    </w:p>
    <w:p w:rsidR="00922246" w:rsidRPr="00922246" w:rsidP="00922246">
      <w:pPr>
        <w:shd w:val="clear" w:color="auto" w:fill="FFFFFF"/>
        <w:spacing w:before="100" w:beforeAutospacing="1" w:after="100" w:afterAutospacing="1"/>
        <w:ind w:firstLine="480"/>
        <w:rPr>
          <w:rFonts w:ascii="Arial" w:hAnsi="Arial" w:cs="Arial"/>
          <w:color w:val="000000"/>
          <w:sz w:val="21"/>
          <w:szCs w:val="21"/>
        </w:rPr>
      </w:pPr>
      <w:r w:rsidRPr="00922246">
        <w:rPr>
          <w:rFonts w:ascii="Arial" w:hAnsi="Arial" w:cs="Arial"/>
          <w:color w:val="000000"/>
          <w:sz w:val="21"/>
          <w:szCs w:val="21"/>
        </w:rPr>
        <w:t>(b)</w:t>
      </w:r>
      <w:r w:rsidRPr="00922246">
        <w:rPr>
          <w:rFonts w:ascii="Arial" w:hAnsi="Arial" w:cs="Arial"/>
          <w:i/>
          <w:iCs/>
          <w:color w:val="000000"/>
          <w:sz w:val="21"/>
          <w:szCs w:val="21"/>
        </w:rPr>
        <w:t> Appeals process.</w:t>
      </w:r>
      <w:r w:rsidRPr="00922246">
        <w:rPr>
          <w:rFonts w:ascii="Arial" w:hAnsi="Arial" w:cs="Arial"/>
          <w:color w:val="000000"/>
          <w:sz w:val="21"/>
          <w:szCs w:val="21"/>
        </w:rPr>
        <w:t> In cases where the applicant disagrees with the IAD, the applicant may appeal that decision. Final decisions on appeals of IADs will be made in writing by the Regional Administrator or designee acting on behalf of the Secretary of Commerce and will state the reasons therefore.</w:t>
      </w:r>
    </w:p>
    <w:p w:rsidR="00922246" w:rsidRPr="00922246" w:rsidP="00922246">
      <w:pPr>
        <w:shd w:val="clear" w:color="auto" w:fill="FFFFFF"/>
        <w:spacing w:before="100" w:beforeAutospacing="1" w:after="100" w:afterAutospacing="1"/>
        <w:ind w:firstLine="480"/>
        <w:rPr>
          <w:rFonts w:ascii="Arial" w:hAnsi="Arial" w:cs="Arial"/>
          <w:color w:val="000000"/>
          <w:sz w:val="21"/>
          <w:szCs w:val="21"/>
        </w:rPr>
      </w:pPr>
      <w:r w:rsidRPr="00922246">
        <w:rPr>
          <w:rFonts w:ascii="Arial" w:hAnsi="Arial" w:cs="Arial"/>
          <w:color w:val="000000"/>
          <w:sz w:val="21"/>
          <w:szCs w:val="21"/>
        </w:rPr>
        <w:t>(1) </w:t>
      </w:r>
      <w:r w:rsidRPr="00922246">
        <w:rPr>
          <w:rFonts w:ascii="Arial" w:hAnsi="Arial" w:cs="Arial"/>
          <w:i/>
          <w:iCs/>
          <w:color w:val="000000"/>
          <w:sz w:val="21"/>
          <w:szCs w:val="21"/>
        </w:rPr>
        <w:t>Submission of appeals.</w:t>
      </w:r>
      <w:r w:rsidRPr="00922246">
        <w:rPr>
          <w:rFonts w:ascii="Arial" w:hAnsi="Arial" w:cs="Arial"/>
          <w:color w:val="000000"/>
          <w:sz w:val="21"/>
          <w:szCs w:val="21"/>
        </w:rPr>
        <w:t> (i) The appeal must be in writing and comply with this paragraph.</w:t>
      </w:r>
    </w:p>
    <w:p w:rsidR="00922246" w:rsidRPr="00922246" w:rsidP="00922246">
      <w:pPr>
        <w:shd w:val="clear" w:color="auto" w:fill="FFFFFF"/>
        <w:spacing w:before="100" w:beforeAutospacing="1" w:after="100" w:afterAutospacing="1"/>
        <w:ind w:firstLine="480"/>
        <w:rPr>
          <w:rFonts w:ascii="Arial" w:hAnsi="Arial" w:cs="Arial"/>
          <w:color w:val="000000"/>
          <w:sz w:val="21"/>
          <w:szCs w:val="21"/>
        </w:rPr>
      </w:pPr>
      <w:r w:rsidRPr="00922246">
        <w:rPr>
          <w:rFonts w:ascii="Arial" w:hAnsi="Arial" w:cs="Arial"/>
          <w:color w:val="000000"/>
          <w:sz w:val="21"/>
          <w:szCs w:val="21"/>
        </w:rPr>
        <w:t>(ii) Appeals must be mailed or faxed to: National Marine Fisheries Service, West Coast Region, Sustainable Fisheries Division, ATTN: Appeals, 7600 Sand Point Way NE., Seattle, WA 98115; Fax: 206-526-6426; or delivered to National Marine Fisheries Service at the same address.</w:t>
      </w:r>
    </w:p>
    <w:p w:rsidR="00922246" w:rsidRPr="00922246" w:rsidP="00922246">
      <w:pPr>
        <w:shd w:val="clear" w:color="auto" w:fill="FFFFFF"/>
        <w:spacing w:before="100" w:beforeAutospacing="1" w:after="100" w:afterAutospacing="1"/>
        <w:ind w:firstLine="480"/>
        <w:rPr>
          <w:rFonts w:ascii="Arial" w:hAnsi="Arial" w:cs="Arial"/>
          <w:color w:val="000000"/>
          <w:sz w:val="21"/>
          <w:szCs w:val="21"/>
        </w:rPr>
      </w:pPr>
      <w:r w:rsidRPr="00922246">
        <w:rPr>
          <w:rFonts w:ascii="Arial" w:hAnsi="Arial" w:cs="Arial"/>
          <w:color w:val="000000"/>
          <w:sz w:val="21"/>
          <w:szCs w:val="21"/>
        </w:rPr>
        <w:t>(2) </w:t>
      </w:r>
      <w:r w:rsidRPr="00922246">
        <w:rPr>
          <w:rFonts w:ascii="Arial" w:hAnsi="Arial" w:cs="Arial"/>
          <w:i/>
          <w:iCs/>
          <w:color w:val="000000"/>
          <w:sz w:val="21"/>
          <w:szCs w:val="21"/>
        </w:rPr>
        <w:t>Timing of appeals.</w:t>
      </w:r>
      <w:r w:rsidRPr="00922246">
        <w:rPr>
          <w:rFonts w:ascii="Arial" w:hAnsi="Arial" w:cs="Arial"/>
          <w:color w:val="000000"/>
          <w:sz w:val="21"/>
          <w:szCs w:val="21"/>
        </w:rPr>
        <w:t> The appeal must be filed within 30 calendar days after the IAD is issued. The IAD becomes the final decision of the Regional Administrator or designee acting on behalf of the Secretary of Commerce if no appeal is filed within 30 calendar days. The time period to submit an appeal begins with the date on the IAD. If the last day of the time period is a Saturday, Sunday, or Federal holiday, the time period will extend to the close of business on the next business day.</w:t>
      </w:r>
    </w:p>
    <w:p w:rsidR="00922246" w:rsidRPr="00922246" w:rsidP="00922246">
      <w:pPr>
        <w:shd w:val="clear" w:color="auto" w:fill="FFFFFF"/>
        <w:spacing w:before="100" w:beforeAutospacing="1" w:after="100" w:afterAutospacing="1"/>
        <w:ind w:firstLine="480"/>
        <w:rPr>
          <w:rFonts w:ascii="Arial" w:hAnsi="Arial" w:cs="Arial"/>
          <w:color w:val="000000"/>
          <w:sz w:val="21"/>
          <w:szCs w:val="21"/>
        </w:rPr>
      </w:pPr>
      <w:r w:rsidRPr="00922246">
        <w:rPr>
          <w:rFonts w:ascii="Arial" w:hAnsi="Arial" w:cs="Arial"/>
          <w:color w:val="000000"/>
          <w:sz w:val="21"/>
          <w:szCs w:val="21"/>
        </w:rPr>
        <w:t>(3) </w:t>
      </w:r>
      <w:r w:rsidRPr="00922246">
        <w:rPr>
          <w:rFonts w:ascii="Arial" w:hAnsi="Arial" w:cs="Arial"/>
          <w:i/>
          <w:iCs/>
          <w:color w:val="000000"/>
          <w:sz w:val="21"/>
          <w:szCs w:val="21"/>
        </w:rPr>
        <w:t>Address of record.</w:t>
      </w:r>
      <w:r w:rsidRPr="00922246">
        <w:rPr>
          <w:rFonts w:ascii="Arial" w:hAnsi="Arial" w:cs="Arial"/>
          <w:color w:val="000000"/>
          <w:sz w:val="21"/>
          <w:szCs w:val="21"/>
        </w:rPr>
        <w:t> The address used by the applicant in initial correspondence to NMFS concerning the application will be the address used by NMFS for the appeal. Notifications and correspondence associated with all actions affecting the applicant will be mailed to the address of record unless the applicant provides NMFS, in writing, an address change. NMFS bears no responsibility if NMFS sends a notification or correspondence to the address of record and it is not received because the applicant's actual address has changed without notification to NMFS.</w:t>
      </w:r>
    </w:p>
    <w:p w:rsidR="00922246" w:rsidRPr="00922246" w:rsidP="00922246">
      <w:pPr>
        <w:shd w:val="clear" w:color="auto" w:fill="FFFFFF"/>
        <w:spacing w:before="100" w:beforeAutospacing="1" w:after="100" w:afterAutospacing="1"/>
        <w:ind w:firstLine="480"/>
        <w:rPr>
          <w:rFonts w:ascii="Arial" w:hAnsi="Arial" w:cs="Arial"/>
          <w:color w:val="000000"/>
          <w:sz w:val="21"/>
          <w:szCs w:val="21"/>
        </w:rPr>
      </w:pPr>
      <w:r w:rsidRPr="00922246">
        <w:rPr>
          <w:rFonts w:ascii="Arial" w:hAnsi="Arial" w:cs="Arial"/>
          <w:color w:val="000000"/>
          <w:sz w:val="21"/>
          <w:szCs w:val="21"/>
        </w:rPr>
        <w:t>(4) </w:t>
      </w:r>
      <w:r w:rsidRPr="00922246">
        <w:rPr>
          <w:rFonts w:ascii="Arial" w:hAnsi="Arial" w:cs="Arial"/>
          <w:i/>
          <w:iCs/>
          <w:color w:val="000000"/>
          <w:sz w:val="21"/>
          <w:szCs w:val="21"/>
        </w:rPr>
        <w:t>Statement of reasons for appeals.</w:t>
      </w:r>
      <w:r w:rsidRPr="00922246">
        <w:rPr>
          <w:rFonts w:ascii="Arial" w:hAnsi="Arial" w:cs="Arial"/>
          <w:color w:val="000000"/>
          <w:sz w:val="21"/>
          <w:szCs w:val="21"/>
        </w:rPr>
        <w:t> Applicants must submit a full written statement in support of the appeal, including a concise statement of the reasons the IAD determination has a direct and adverse effect on the applicant and should be reversed or modified. The appellate officer will limit his/her review to the issues stated in the appeal; all issues not set out in the appeal will be waived.</w:t>
      </w:r>
    </w:p>
    <w:p w:rsidR="00922246" w:rsidRPr="00922246" w:rsidP="00922246">
      <w:pPr>
        <w:shd w:val="clear" w:color="auto" w:fill="FFFFFF"/>
        <w:spacing w:before="100" w:beforeAutospacing="1" w:after="100" w:afterAutospacing="1"/>
        <w:ind w:firstLine="480"/>
        <w:rPr>
          <w:rFonts w:ascii="Arial" w:hAnsi="Arial" w:cs="Arial"/>
          <w:color w:val="000000"/>
          <w:sz w:val="21"/>
          <w:szCs w:val="21"/>
        </w:rPr>
      </w:pPr>
      <w:r w:rsidRPr="00922246">
        <w:rPr>
          <w:rFonts w:ascii="Arial" w:hAnsi="Arial" w:cs="Arial"/>
          <w:color w:val="000000"/>
          <w:sz w:val="21"/>
          <w:szCs w:val="21"/>
        </w:rPr>
        <w:t>(5) </w:t>
      </w:r>
      <w:r w:rsidRPr="00922246">
        <w:rPr>
          <w:rFonts w:ascii="Arial" w:hAnsi="Arial" w:cs="Arial"/>
          <w:i/>
          <w:iCs/>
          <w:color w:val="000000"/>
          <w:sz w:val="21"/>
          <w:szCs w:val="21"/>
        </w:rPr>
        <w:t>Decisions on appeals.</w:t>
      </w:r>
      <w:r w:rsidRPr="00922246">
        <w:rPr>
          <w:rFonts w:ascii="Arial" w:hAnsi="Arial" w:cs="Arial"/>
          <w:color w:val="000000"/>
          <w:sz w:val="21"/>
          <w:szCs w:val="21"/>
        </w:rPr>
        <w:t> The Regional Administrator or designee will issue a final written decision on the appeal which is the final decision of the Secretary of Commerce.</w:t>
      </w:r>
    </w:p>
    <w:p w:rsidR="00922246" w:rsidRPr="00922246" w:rsidP="00922246">
      <w:pPr>
        <w:shd w:val="clear" w:color="auto" w:fill="FFFFFF"/>
        <w:spacing w:before="200" w:after="100" w:afterAutospacing="1"/>
        <w:rPr>
          <w:rFonts w:ascii="Arial" w:hAnsi="Arial" w:cs="Arial"/>
          <w:color w:val="000000"/>
          <w:sz w:val="18"/>
          <w:szCs w:val="18"/>
        </w:rPr>
      </w:pPr>
      <w:r w:rsidRPr="00922246">
        <w:rPr>
          <w:rFonts w:ascii="Arial" w:hAnsi="Arial" w:cs="Arial"/>
          <w:color w:val="000000"/>
          <w:sz w:val="18"/>
          <w:szCs w:val="18"/>
        </w:rPr>
        <w:t>[80 FR 22285, Apr. 21, 2015, as amended at 84 FR 31159, June 28, 2019]</w:t>
      </w:r>
    </w:p>
    <w:p w:rsidR="00417670" w:rsidRPr="000E402C" w:rsidP="006036B9">
      <w:pPr>
        <w:rPr>
          <w:color w:val="1F497D"/>
        </w:rPr>
      </w:pPr>
    </w:p>
    <w:p w:rsidR="00922246">
      <w:pPr>
        <w:rPr>
          <w:color w:val="1F497D"/>
        </w:rPr>
      </w:pPr>
      <w:r>
        <w:rPr>
          <w:color w:val="1F497D"/>
        </w:rPr>
        <w:br w:type="page"/>
      </w:r>
    </w:p>
    <w:p w:rsidR="004F38C4" w:rsidRPr="004F38C4" w:rsidP="00922246">
      <w:pPr>
        <w:rPr>
          <w:b/>
        </w:rPr>
      </w:pPr>
      <w:r w:rsidRPr="004F38C4">
        <w:rPr>
          <w:b/>
        </w:rPr>
        <w:t>Attachment 3</w:t>
      </w:r>
    </w:p>
    <w:p w:rsidR="004F38C4" w:rsidP="00922246"/>
    <w:p w:rsidR="00922246" w:rsidRPr="004F38C4" w:rsidP="00922246">
      <w:pPr>
        <w:rPr>
          <w:b/>
        </w:rPr>
      </w:pPr>
      <w:r w:rsidRPr="004F38C4">
        <w:rPr>
          <w:b/>
        </w:rPr>
        <w:t>§660.15   Equipment requirements.</w:t>
      </w:r>
    </w:p>
    <w:p w:rsidR="00922246" w:rsidP="00922246"/>
    <w:p w:rsidR="00922246" w:rsidP="00922246">
      <w:r>
        <w:t>(a) Applicability. This section contains the equipment and operational requirements for scales used to weigh catch at sea, scales used to weigh catch at IFQ first receivers, hardware and software for electronic fish tickets, and computer hardware for electronic logbook software. Unless otherwise specified by regulation, the operator or manager must retain, for 3 years, a copy of all records described in this section and make the records available upon request to NMFS staff or an authorized officer.</w:t>
      </w:r>
    </w:p>
    <w:p w:rsidR="00922246" w:rsidP="00922246"/>
    <w:p w:rsidR="00922246" w:rsidP="00922246">
      <w:r>
        <w:t>(b) Scales used to weigh fish at sea. Vessel owners, operators, and managers are jointly and severally responsible for their vessel's compliance with the requirements specified in this section.</w:t>
      </w:r>
    </w:p>
    <w:p w:rsidR="00922246" w:rsidP="00922246"/>
    <w:p w:rsidR="00922246" w:rsidP="00922246">
      <w:r>
        <w:t>(1) Performance and technical requirements for scales in the MS and C/P Coop Programs. A scale used to weigh fish in the MS and C/P Coop Programs must meet the type evaluation, initial inspection, and annual reinspection requirements set forth in 50 CFR 679.28(b)(1) and (2), and must be approved by NMFS to weigh fish at sea.</w:t>
      </w:r>
    </w:p>
    <w:p w:rsidR="00922246" w:rsidP="00922246"/>
    <w:p w:rsidR="00922246" w:rsidP="00922246">
      <w:r>
        <w:t>(2) Annual inspection. Once a scale is installed on a vessel and approved by NMFS for use to weigh fish at sea, it must be reinspected annually within 12 months of the date of the most recent inspection to determine if the scale meets all of the applicable performance and technical requirements as described in 50 CFR 679.28(b).</w:t>
      </w:r>
    </w:p>
    <w:p w:rsidR="00922246" w:rsidP="00922246"/>
    <w:p w:rsidR="00922246" w:rsidP="00922246">
      <w:r>
        <w:t>(3) Daily testing. Each scale used to weigh fish must be tested at least once each calendar day to ensure that each scale meets the maximum permissible error requirements described at paragraph (b)(4) of this section.</w:t>
      </w:r>
    </w:p>
    <w:p w:rsidR="00922246" w:rsidP="00922246"/>
    <w:p w:rsidR="00922246" w:rsidP="00922246">
      <w:r>
        <w:t>(4) Daily at-sea scale tests. To verify that the scale meets the maximum permissible errors specified in this paragraph, each scale used to weigh fish must be tested at least one time during each calendar day when use of the scale is required. The tests must be performed in an accurate and timely manner.</w:t>
      </w:r>
    </w:p>
    <w:p w:rsidR="00922246" w:rsidP="00922246"/>
    <w:p w:rsidR="00922246" w:rsidP="00922246">
      <w:r>
        <w:t>(i) Flow or Belt scales—(A) Maximum permissible errors. The maximum permissible errors for the daily at-sea scale test is plus or minus 3 percent of the known weight of the test material.</w:t>
      </w:r>
    </w:p>
    <w:p w:rsidR="00922246" w:rsidP="00922246"/>
    <w:p w:rsidR="00922246" w:rsidP="00922246">
      <w:r>
        <w:t>(B) Test Procedure. A test must be conducted by weighing no less than 400 kg (882 lb) of test material, supplied by the scale manufacturer or approved by a NMFS-authorized scale inspector, on the scale under test. The test material may be run across the scale multiple times in order to total 400 kg; however, no single run of test material across the scale may weigh less than 40 kg (88.2 lb). The known weight of test material must be determined at the time of each scale test by weighing it on a platform scale approved for use under 50 CFR 679.28(b)(7).</w:t>
      </w:r>
    </w:p>
    <w:p w:rsidR="00922246" w:rsidP="00922246"/>
    <w:p w:rsidR="00922246" w:rsidP="00922246">
      <w:r>
        <w:t>(ii) Platform scales required for observer sampling or to determine known weight of test material on mothership and catcher/processor vessels—(A) Maximum permissible errors. The maximum permissible errors for the daily at-sea scale test for platform scales is plus or minus 0.5 percent of the weight tested.</w:t>
      </w:r>
    </w:p>
    <w:p w:rsidR="00922246" w:rsidP="00922246"/>
    <w:p w:rsidR="00922246" w:rsidP="00922246">
      <w:r>
        <w:t>(B) Test Procedure. A platform scale used for observer sampling must be tested at 10, 25, and 50 kg (or 20, 50, and 100 lb if the scale is denominated in pounds) using approved test weights. Any combination of test weights that will allow the scale to be tested at 10 kg, 25 kg, and 50 kg may be used. A platform scale used to weigh fish must be tested at a weight equal to the largest amount of fish that will be weighed on the scale in one weighing.</w:t>
      </w:r>
    </w:p>
    <w:p w:rsidR="00922246" w:rsidP="00922246"/>
    <w:p w:rsidR="00922246" w:rsidP="00922246">
      <w:r>
        <w:t>(C) Approved test weights. Each test weight must have its weight stamped on or otherwise permanently affixed to it. The weight of each test weight must be annually certified by a National Institute of Standards and Technology-approved metrology laboratory or approved for continued use by the NMFS authorized inspector at the time of the annual scale inspection.</w:t>
      </w:r>
    </w:p>
    <w:p w:rsidR="00922246" w:rsidP="00922246"/>
    <w:p w:rsidR="00922246" w:rsidP="00922246">
      <w:r>
        <w:t>(iii) Requirements for all at-sea scale tests. The following conditions must be met:</w:t>
      </w:r>
    </w:p>
    <w:p w:rsidR="00922246" w:rsidP="00922246"/>
    <w:p w:rsidR="00922246" w:rsidP="00922246">
      <w:r>
        <w:t>(A) Notify the observer at least 15 minutes before the time that the test will be conducted, and conduct the test while the observer is present.</w:t>
      </w:r>
    </w:p>
    <w:p w:rsidR="00922246" w:rsidP="00922246"/>
    <w:p w:rsidR="00922246" w:rsidP="00922246">
      <w:r>
        <w:t>(B) Conduct the scale test by placing the test material or test weights on or across the scale and recording the following information on the at-sea scale test report form:</w:t>
      </w:r>
    </w:p>
    <w:p w:rsidR="00922246" w:rsidP="00922246"/>
    <w:p w:rsidR="00922246" w:rsidP="00922246">
      <w:r>
        <w:t>(1) Vessel name;</w:t>
      </w:r>
    </w:p>
    <w:p w:rsidR="00922246" w:rsidP="00922246"/>
    <w:p w:rsidR="00922246" w:rsidP="00922246">
      <w:r>
        <w:t>(2) Month, day, and year of test;</w:t>
      </w:r>
    </w:p>
    <w:p w:rsidR="00922246" w:rsidP="00922246"/>
    <w:p w:rsidR="00922246" w:rsidP="00922246">
      <w:r>
        <w:t>(3) Time test started to the nearest minute in local time;</w:t>
      </w:r>
    </w:p>
    <w:p w:rsidR="00922246" w:rsidP="00922246"/>
    <w:p w:rsidR="00922246" w:rsidP="00922246">
      <w:r>
        <w:t>(4) Known weight of test materials or test weights;</w:t>
      </w:r>
    </w:p>
    <w:p w:rsidR="00922246" w:rsidP="00922246"/>
    <w:p w:rsidR="00922246" w:rsidP="00922246">
      <w:r>
        <w:t>(5) Weight of test material or test weights recorded by scale;</w:t>
      </w:r>
    </w:p>
    <w:p w:rsidR="00922246" w:rsidP="00922246"/>
    <w:p w:rsidR="00922246" w:rsidP="00922246">
      <w:r>
        <w:t>(6) Percent error as determined by subtracting the known weight of the test material or test weights from the weight recorded on the scale, dividing that amount by the known weight of the test material or test weights, and multiplying by 100; and</w:t>
      </w:r>
    </w:p>
    <w:p w:rsidR="00922246" w:rsidP="00922246"/>
    <w:p w:rsidR="00922246" w:rsidP="00922246">
      <w:r>
        <w:t>(7) Signature of operator.</w:t>
      </w:r>
    </w:p>
    <w:p w:rsidR="00922246" w:rsidP="00922246"/>
    <w:p w:rsidR="00922246" w:rsidP="00922246">
      <w:r>
        <w:t xml:space="preserve">(C) Maintain the scale test report form from all at-sea scale tests, including test report forms from failed scale tests on board the vessel until the end of the fishing year during which the tests were conducted, and make the report forms available to observers, NMFS staff, or authorized officers. In addition, the scale test report forms must be retained for 3 </w:t>
      </w:r>
      <w:r>
        <w:t>years after the end of the fishing year during which the tests were performed. Each scale test report form must be signed by the operator immediately following completion of each scale test.</w:t>
      </w:r>
    </w:p>
    <w:p w:rsidR="00922246" w:rsidP="00922246"/>
    <w:p w:rsidR="00922246" w:rsidP="00922246">
      <w:r>
        <w:t>(5) Scale maintenance. The scale must be maintained in proper operating condition throughout its use; adjustments made to the scale must be made to bring the performance errors as close as practicable to a zero value; and no adjustment may be made that will cause the scale to weigh fish inaccurately.</w:t>
      </w:r>
    </w:p>
    <w:p w:rsidR="00922246" w:rsidP="00922246"/>
    <w:p w:rsidR="00922246" w:rsidP="00922246">
      <w:r>
        <w:t>(6) Printed reports from the scale (not applicable to observer sampling scales). Printed reports are provided to NMFS as required by this paragraph. Printed reports from the scale must be maintained on board the vessel until the end of the year during which the reports were made, and made available to observers, NMFS staff or authorized officers. In addition, printed reports must be retained for 3 years after the end of the year during which the printouts were made.</w:t>
      </w:r>
    </w:p>
    <w:p w:rsidR="00922246" w:rsidP="00922246"/>
    <w:p w:rsidR="00922246" w:rsidP="00922246">
      <w:r>
        <w:t>(i) Printed reports of catch weight and cumulative weight. Reports must be printed at least once every calendar day when use of the scale is required. Reports must also be printed before any information stored in the scale computer memory is replaced. Scale weights must not be adjusted by the scale operator to account for the perceived weight of water, slime, mud, debris, or other materials. Scale printouts must show:</w:t>
      </w:r>
    </w:p>
    <w:p w:rsidR="00922246" w:rsidP="00922246"/>
    <w:p w:rsidR="00922246" w:rsidP="00922246">
      <w:r>
        <w:t>(A) The vessel name and Federal vessel permit number;</w:t>
      </w:r>
    </w:p>
    <w:p w:rsidR="00922246" w:rsidP="00922246"/>
    <w:p w:rsidR="00922246" w:rsidP="00922246">
      <w:r>
        <w:t>(B) The date and time the information was printed;</w:t>
      </w:r>
    </w:p>
    <w:p w:rsidR="00922246" w:rsidP="00922246"/>
    <w:p w:rsidR="00922246" w:rsidP="00922246">
      <w:r>
        <w:t>(C) The haul number;</w:t>
      </w:r>
    </w:p>
    <w:p w:rsidR="00922246" w:rsidP="00922246"/>
    <w:p w:rsidR="00922246" w:rsidP="00922246">
      <w:r>
        <w:t>(D) The total weight of the haul; and</w:t>
      </w:r>
    </w:p>
    <w:p w:rsidR="00922246" w:rsidP="00922246"/>
    <w:p w:rsidR="00922246" w:rsidP="00922246">
      <w:r>
        <w:t>(E) The total cumulative weight of all fish and other material weighed on the scale since the last annual inspection.</w:t>
      </w:r>
    </w:p>
    <w:p w:rsidR="00922246" w:rsidP="00922246"/>
    <w:p w:rsidR="00922246" w:rsidP="00922246">
      <w:r>
        <w:t>(ii) Printed report from the audit trail. The printed report must include the information specified in sections 2.3.1.8, 3.3.1.7, and 4.3.1.8 of appendix A to 50 CFR part 679. The printed report must be provided to the authorized scale inspector at each scale inspection and must also be printed at any time upon request of the observer, NMFS personnel or an authorized officer.</w:t>
      </w:r>
    </w:p>
    <w:p w:rsidR="00922246" w:rsidP="00922246"/>
    <w:p w:rsidR="00922246" w:rsidP="00922246">
      <w:r>
        <w:t>(iii) Printed report from calibration log. The operator must print the calibration log on request by NMFS staff or an authorized officer, or person authorized by NMFS. The calibration log must be printed and retained before any information stored in the scale computer memory is replaced. The calibration log must detail either the prior 1,000 calibrations or all calibrations since the scale electronics were first put into service, whichever is less. The printout from the calibration log must show:</w:t>
      </w:r>
    </w:p>
    <w:p w:rsidR="00922246" w:rsidP="00922246"/>
    <w:p w:rsidR="00922246" w:rsidP="00922246">
      <w:r>
        <w:t>(A) The vessel name and Federal fisheries or processor permit number;</w:t>
      </w:r>
    </w:p>
    <w:p w:rsidR="00922246" w:rsidP="00922246"/>
    <w:p w:rsidR="00922246" w:rsidP="00922246">
      <w:r>
        <w:t>(B) The month, day, and year of the calibration;</w:t>
      </w:r>
    </w:p>
    <w:p w:rsidR="00922246" w:rsidP="00922246"/>
    <w:p w:rsidR="00922246" w:rsidP="00922246">
      <w:r>
        <w:t>(C) The time of the calibration to the nearest minute in local time;</w:t>
      </w:r>
    </w:p>
    <w:p w:rsidR="00922246" w:rsidP="00922246"/>
    <w:p w:rsidR="00922246" w:rsidP="00922246">
      <w:r>
        <w:t>(D) The weight used to calibrate the scale; and</w:t>
      </w:r>
    </w:p>
    <w:p w:rsidR="00922246" w:rsidP="00922246"/>
    <w:p w:rsidR="00922246" w:rsidP="00922246">
      <w:r>
        <w:t>(E) The magnitude of the calibration in comparison to the prior calibration.</w:t>
      </w:r>
    </w:p>
    <w:p w:rsidR="00922246" w:rsidP="00922246"/>
    <w:p w:rsidR="00922246" w:rsidP="00922246">
      <w:r>
        <w:t>(iv) Printed reports from the fault log. The operator must print the fault log on request by NMFS staff, an authorized officer or person authorized by NMFS. The fault log must be printed and retained before any information stored in the scale computer memory is replaced. The fault log must detail either the prior 1,000 faults and startups, or all faults and startups since the scale electronics were first put into service, whichever is less. A fault, for the purposes of the fault log, is any condition other than underflow detected by the scale electronics that could affect the metrological accuracy of the scale. The printout from the fault log must show:</w:t>
      </w:r>
    </w:p>
    <w:p w:rsidR="00922246" w:rsidP="00922246"/>
    <w:p w:rsidR="00922246" w:rsidP="00922246">
      <w:r>
        <w:t>(A) The vessel name and Federal fisheries or processor permit number;</w:t>
      </w:r>
    </w:p>
    <w:p w:rsidR="00922246" w:rsidP="00922246"/>
    <w:p w:rsidR="00922246" w:rsidP="00922246">
      <w:r>
        <w:t>(B) The month, day, year, and time of each startup to the nearest minute in local time;</w:t>
      </w:r>
    </w:p>
    <w:p w:rsidR="00922246" w:rsidP="00922246"/>
    <w:p w:rsidR="00922246" w:rsidP="00922246">
      <w:r>
        <w:t>(C) The month, day, year, and time that each fault began to the nearest minute in local time; and</w:t>
      </w:r>
    </w:p>
    <w:p w:rsidR="00922246" w:rsidP="00922246"/>
    <w:p w:rsidR="00922246" w:rsidP="00922246">
      <w:r>
        <w:t>(D) The month, day, year, and time that each fault was resolved to the nearest minute in local time.</w:t>
      </w:r>
    </w:p>
    <w:p w:rsidR="00922246" w:rsidP="00922246"/>
    <w:p w:rsidR="00922246" w:rsidP="00922246">
      <w:r>
        <w:t>(v) Platform scales used for observer sampling. A platform scale used for observer sampling is not required to produce a printed record.</w:t>
      </w:r>
    </w:p>
    <w:p w:rsidR="00922246" w:rsidP="00922246"/>
    <w:p w:rsidR="00922246" w:rsidP="00922246">
      <w:r>
        <w:t>(7) Video monitoring for scales used by the vessel crew to weigh catch. Mothership or Catcher/Processor vessels required to weigh fish under the regulations in this section must provide and maintain a NMFS-approved video monitoring system as specified in paragraph (e) of this section.</w:t>
      </w:r>
    </w:p>
    <w:p w:rsidR="00922246" w:rsidP="00922246"/>
    <w:p w:rsidR="00922246" w:rsidP="00922246">
      <w:r>
        <w:t>(c) Scales used to weigh fish at IFQ first receivers—performance and technical requirements. Scale requirements in this paragraph are in addition to those requirements set forth by the State in which the scale is located, and nothing in this paragraph may be construed to reduce or supersede the authority of the State to regulate, test, or approve scales within the State. Scales used to weigh fish that are also required to be approved by the State must meet the following requirements:</w:t>
      </w:r>
    </w:p>
    <w:p w:rsidR="00922246" w:rsidP="00922246"/>
    <w:p w:rsidR="00922246" w:rsidP="00922246">
      <w:r>
        <w:t>(1) Verification of approval. The scale must display a valid sticker indicating that the scale is currently approved in accordance with the laws of the state where the scale is located.</w:t>
      </w:r>
    </w:p>
    <w:p w:rsidR="00922246" w:rsidP="00922246"/>
    <w:p w:rsidR="00922246" w:rsidP="00922246">
      <w:r>
        <w:t>(2) Visibility. The IFQ first receiver must ensure that the scale and scale display are visible simultaneously to the catch monitor. Catch monitors, NMFS staff, NMFS-authorized personnel, or authorized officers must be allowed to observe the weighing of fish on the scale and be allowed to read the scale display at all times.</w:t>
      </w:r>
    </w:p>
    <w:p w:rsidR="00922246" w:rsidP="00922246"/>
    <w:p w:rsidR="00922246" w:rsidP="00922246">
      <w:r>
        <w:t>(3) Printed scale weights.</w:t>
      </w:r>
    </w:p>
    <w:p w:rsidR="00922246" w:rsidP="00922246"/>
    <w:p w:rsidR="00922246" w:rsidP="00922246">
      <w:r>
        <w:t>(i) An IFQ first receiver must ensure that printouts of the scale weight of each delivery or offload are made available to the catch monitor, NMFS staff, to NMFS-authorized personnel, or to authorized officers at the time printouts are generated. An IFQ first receiver must maintain printouts on site until the end of the fishing year during which the printouts were made and make them available upon request by the catch monitor, NMFS staff, NMFS-authorized personnel, or authorized officers for 3 years after the end of the fishing year during which the printout was made.</w:t>
      </w:r>
    </w:p>
    <w:p w:rsidR="00922246" w:rsidP="00922246"/>
    <w:p w:rsidR="00922246" w:rsidP="00922246">
      <w:r>
        <w:t>(ii) All scales identified in a catch monitoring plan (see §660.140(f)(3)) must produce a printed record for each landing, or portion of a landing, weighed on that scale. NMFS may exempt, through approval of the NMFS-accepted catch monitoring plan, scales not designed for automatic bulk weighing from part or all of the printed record requirements. IFQ first receivers that receive no more than 200,000 pounds of groundfish in any calendar month may be exempt under §660.140(j)(2). For scales that must produce a printed record, the printed record must include:</w:t>
      </w:r>
    </w:p>
    <w:p w:rsidR="00922246" w:rsidP="00922246"/>
    <w:p w:rsidR="00922246" w:rsidP="00922246">
      <w:r>
        <w:t>(A) The IFQ first receiver's name;</w:t>
      </w:r>
    </w:p>
    <w:p w:rsidR="00922246" w:rsidP="00922246"/>
    <w:p w:rsidR="00922246" w:rsidP="00922246">
      <w:r>
        <w:t>(B) The weight of each load in the weighing cycle;</w:t>
      </w:r>
    </w:p>
    <w:p w:rsidR="00922246" w:rsidP="00922246"/>
    <w:p w:rsidR="00922246" w:rsidP="00922246">
      <w:r>
        <w:t>(C) The total weight of fish in each landing, or portion of the landing that was weighed on that scale;</w:t>
      </w:r>
    </w:p>
    <w:p w:rsidR="00922246" w:rsidP="00922246"/>
    <w:p w:rsidR="00922246" w:rsidP="00922246">
      <w:r>
        <w:t>(D) For belt scales and weight belts, the total cumulative weight of all fish or other material weighed on the scale since the last inspection;</w:t>
      </w:r>
    </w:p>
    <w:p w:rsidR="00922246" w:rsidP="00922246"/>
    <w:p w:rsidR="00922246" w:rsidP="00922246">
      <w:r>
        <w:t>(E) The date the information is printed; and</w:t>
      </w:r>
    </w:p>
    <w:p w:rsidR="00922246" w:rsidP="00922246"/>
    <w:p w:rsidR="00922246" w:rsidP="00922246">
      <w:r>
        <w:t>(F) The name and vessel registration or documentation number of the vessel making the landing. The person operating the scale may write this information on the scale printout in ink at the time of printing.</w:t>
      </w:r>
    </w:p>
    <w:p w:rsidR="00922246" w:rsidP="00922246"/>
    <w:p w:rsidR="00922246" w:rsidP="00922246">
      <w:r>
        <w:t xml:space="preserve">(4) Inseason scale testing. IFQ first receivers must allow, and provide reasonable assistance to NMFS staff, NMFS-authorized personnel, and authorized officers to test scales used to weigh IFQ fish. A scale that does not pass an inseason test may not be used </w:t>
      </w:r>
      <w:r>
        <w:t>to weigh IFQ fish until the scale passes an inseason test or is approved for continued use by the weights and measures authorities of the State in which the scale is located.</w:t>
      </w:r>
    </w:p>
    <w:p w:rsidR="00922246" w:rsidP="00922246"/>
    <w:p w:rsidR="00922246" w:rsidP="00922246">
      <w:r>
        <w:t>(i) Inseason testing criteria. To pass an inseason test, NMFS staff or authorized officers must be able to verify that:</w:t>
      </w:r>
    </w:p>
    <w:p w:rsidR="00922246" w:rsidP="00922246"/>
    <w:p w:rsidR="00922246" w:rsidP="00922246">
      <w:r>
        <w:t>(A) The scale display and printed information are clear and easily read under all conditions of normal operation;</w:t>
      </w:r>
    </w:p>
    <w:p w:rsidR="00922246" w:rsidP="00922246"/>
    <w:p w:rsidR="00922246" w:rsidP="00922246">
      <w:r>
        <w:t>(B) Weight values are visible on the display until the value is printed;</w:t>
      </w:r>
    </w:p>
    <w:p w:rsidR="00922246" w:rsidP="00922246"/>
    <w:p w:rsidR="00922246" w:rsidP="00922246">
      <w:r>
        <w:t>(C) The scale does not exceed the maximum permissible errors specified in this paragraph:</w:t>
      </w:r>
    </w:p>
    <w:p w:rsidR="00922246" w:rsidP="00922246"/>
    <w:p w:rsidR="00922246" w:rsidP="00922246">
      <w:r>
        <w:t>(1) Flow scales (also known as belt scales and weight belts). The maximum permissible error is plus or minus 0.25 percent of the known weight of the test material with repeatability between tests of no more than 0.25 percent. Percent error is determined by subtracting the known weight of the test material or test weights from the weight recorded on the scale, dividing that amount by the known weight of the test material or test weights, and multiplying by 100.</w:t>
      </w:r>
    </w:p>
    <w:p w:rsidR="00922246" w:rsidP="00922246"/>
    <w:p w:rsidR="00922246" w:rsidP="00922246">
      <w:r>
        <w:t>(2) All other scales.</w:t>
      </w:r>
    </w:p>
    <w:p w:rsidR="00922246" w:rsidP="00922246"/>
    <w:p w:rsidR="00922246" w:rsidP="00922246">
      <w:r>
        <w:t>Test load in scale divisions</w:t>
      </w:r>
      <w:r>
        <w:tab/>
        <w:t>Maximum error in scale divisions</w:t>
      </w:r>
    </w:p>
    <w:p w:rsidR="00922246" w:rsidP="00922246">
      <w:r>
        <w:t>(i) 0-500</w:t>
      </w:r>
      <w:r>
        <w:tab/>
        <w:t>1</w:t>
      </w:r>
    </w:p>
    <w:p w:rsidR="00922246" w:rsidP="00922246">
      <w:r>
        <w:t>(ii) 501-2,000</w:t>
      </w:r>
      <w:r>
        <w:tab/>
        <w:t>2</w:t>
      </w:r>
    </w:p>
    <w:p w:rsidR="00922246" w:rsidP="00922246">
      <w:r>
        <w:t>(iii) 2,001-4,000</w:t>
      </w:r>
      <w:r>
        <w:tab/>
        <w:t>3</w:t>
      </w:r>
    </w:p>
    <w:p w:rsidR="00922246" w:rsidP="00922246">
      <w:r>
        <w:t>(iv) &gt;4,000</w:t>
      </w:r>
      <w:r>
        <w:tab/>
        <w:t>5</w:t>
      </w:r>
    </w:p>
    <w:p w:rsidR="00922246" w:rsidP="00922246">
      <w:r>
        <w:t>(D) Automatic weighing systems. An automatic weighing system must be provided and operational that will prevent fish from passing over the scale or entering any weighing hopper unless the following criteria are met:</w:t>
      </w:r>
    </w:p>
    <w:p w:rsidR="00922246" w:rsidP="00922246"/>
    <w:p w:rsidR="00922246" w:rsidP="00922246">
      <w:r>
        <w:t>(1) No catch may enter or leave a weighing hopper until the weighing cycle is complete;</w:t>
      </w:r>
    </w:p>
    <w:p w:rsidR="00922246" w:rsidP="00922246"/>
    <w:p w:rsidR="00922246" w:rsidP="00922246">
      <w:r>
        <w:t>(2) No product may be cycled and weighed if the weight recording element is not operational; and</w:t>
      </w:r>
    </w:p>
    <w:p w:rsidR="00922246" w:rsidP="00922246"/>
    <w:p w:rsidR="00922246" w:rsidP="00922246">
      <w:r>
        <w:t>(3) No product may enter a weighing hopper until the prior weighing cycle has been completed and the scale indicator has returned to a zero.</w:t>
      </w:r>
    </w:p>
    <w:p w:rsidR="00922246" w:rsidP="00922246"/>
    <w:p w:rsidR="00922246" w:rsidP="00922246">
      <w:r>
        <w:t>(ii) [Reserved]</w:t>
      </w:r>
    </w:p>
    <w:p w:rsidR="00922246" w:rsidP="00922246"/>
    <w:p w:rsidR="00922246" w:rsidP="00922246">
      <w:r>
        <w:t>(d) Electronic fish tickets. First receivers are required to meet the hardware and software requirements below.</w:t>
      </w:r>
    </w:p>
    <w:p w:rsidR="00922246" w:rsidP="00922246"/>
    <w:p w:rsidR="00922246" w:rsidP="00922246">
      <w:r>
        <w:t>(1) Hardware and software requirements. A personal computer system, tablet, mobile device, or other device that has software (e.g., web browser) capable of submitting information over the internet, such that submission to Pacific States Marine Fisheries Commission can be executed effectively.</w:t>
      </w:r>
    </w:p>
    <w:p w:rsidR="00922246" w:rsidP="00922246"/>
    <w:p w:rsidR="00922246" w:rsidP="00922246">
      <w:r>
        <w:t>(2) Internet access. The first receiver is responsible for maintaining internet access sufficient to access the web-based interface and submit completed electronic fish ticket forms.</w:t>
      </w:r>
    </w:p>
    <w:p w:rsidR="00922246" w:rsidP="00922246"/>
    <w:p w:rsidR="00922246" w:rsidP="00922246">
      <w:r>
        <w:t>(3) Maintenance. The first receiver is responsible for ensuring that all hardware and software required under this subsection are fully operational and functional whenever they receive, purchase, or take custody, control, or possession of groundfish species for which an electronic fish ticket is required. “Functional” means that the software requirements and minimum hardware requirements described at paragraphs (d)(1) and (2) of this section are met and submission to Pacific States Marine Fisheries Commission can be executed effectively by the equipment.</w:t>
      </w:r>
    </w:p>
    <w:p w:rsidR="00922246" w:rsidP="00922246"/>
    <w:p w:rsidR="00922246" w:rsidP="00922246">
      <w:r>
        <w:t>(4) Improving data quality. Vessel owners and operators, first receivers, or shoreside processor owners, or managers may contact NMFS to request assistance in improving data quality and resolving issues. Requests may be submitted to: Attn: Electronic Fish Ticket Monitoring, National Marine Fisheries Service, West Coast Region, Sustainable Fisheries Division, 7600 Sand Point Way, NE., Seattle, WA 98115.</w:t>
      </w:r>
    </w:p>
    <w:p w:rsidR="00922246" w:rsidP="00922246"/>
    <w:p w:rsidR="00922246" w:rsidP="00922246">
      <w:r>
        <w:t>(e) Video monitoring systems used monitor at-sea scales—(1) Performance and technical requirements for video monitoring systems for the MS and C/P Coop Programs. A video monitoring system used to monitor at-sea scales must meet the system requirements and system inspections, set forth in 50 CFR 679.28(e)(1) through (4) and be issued a Video Monitoring Inspection Report verifying that the video system meets all applicable requirements for use in the Alaska Pollock fishery. Any change to the system must meet the requirements specified at 50 CFR 679.28(e)(7) and be approved by the Alaska Regional Administrator in writing before any changes are made.</w:t>
      </w:r>
    </w:p>
    <w:p w:rsidR="00922246" w:rsidP="00922246"/>
    <w:p w:rsidR="00922246" w:rsidP="00922246">
      <w:r>
        <w:t>(i) MS or C/P vessels required to weigh fish at sea under the regulations in this section must:</w:t>
      </w:r>
    </w:p>
    <w:p w:rsidR="00922246" w:rsidP="00922246"/>
    <w:p w:rsidR="00922246" w:rsidP="00922246">
      <w:r>
        <w:t>(A) Provide and maintain a video monitoring system that provides sufficient resolution and field of view to monitor: All areas where catch enters the scale, moves across the scale and leaves the scale; any access point to the scale from which the scale may be adjusted or modified by vessel crew while the vessel is at sea; and the scale display and the indicator for the scale operating in a fault state.</w:t>
      </w:r>
    </w:p>
    <w:p w:rsidR="00922246" w:rsidP="00922246"/>
    <w:p w:rsidR="00922246" w:rsidP="00922246">
      <w:r>
        <w:t>(B) Record and retain video for all periods when catch that must be weighed is on board the vessel.</w:t>
      </w:r>
    </w:p>
    <w:p w:rsidR="00922246" w:rsidP="00922246"/>
    <w:p w:rsidR="00922246" w:rsidP="00922246">
      <w:r>
        <w:t>(ii) [Reserved]</w:t>
      </w:r>
    </w:p>
    <w:p w:rsidR="00922246" w:rsidP="00922246"/>
    <w:p w:rsidR="00922246" w:rsidP="00922246">
      <w:r>
        <w:t>(2) Video Monitoring System Inspection Report. A current NMFS-issued Video Monitoring System Inspection Report must be maintained on board the vessel at all times the vessel is required to have an approved video monitoring system. The Video Monitoring System Inspection Report must be made available to the observer, NMFS staff, or to an authorized officer upon request.</w:t>
      </w:r>
    </w:p>
    <w:p w:rsidR="00922246" w:rsidP="00922246"/>
    <w:p w:rsidR="00922246" w:rsidP="00922246">
      <w:r>
        <w:t>(3) Retention of records. Consistent with the requirements set forth at 50 CFR 679.28(e)(1), the video data must be maintained on the vessel and made available on request by NMFS staff, or any individual authorized by NMFS. The data must be retained on board the vessel for no less than 120 days after the date the video is recorded, unless NMFS has notified the operator in writing that the video data may be retained for less than this 120-day period.</w:t>
      </w:r>
    </w:p>
    <w:p w:rsidR="00922246" w:rsidP="00922246"/>
    <w:p w:rsidR="00814ABD" w:rsidRPr="00922246" w:rsidP="00922246">
      <w:r>
        <w:t>[75 FR 78375, Dec. 15, 2010, as amended at 76 FR 74733, Dec. 1, 2011; 77 FR 55155, Sept. 7, 2012; 81 FR 27008, May 5, 2016; 81 FR 84426, Nov. 23, 2016]</w:t>
      </w:r>
    </w:p>
    <w:sectPr w:rsidSect="00DD3798">
      <w:footerReference w:type="even" r:id="rId13"/>
      <w:pgSz w:w="12240" w:h="15840"/>
      <w:pgMar w:top="81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3798" w:rsidP="00454CC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D3798">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370628"/>
    <w:multiLevelType w:val="hybridMultilevel"/>
    <w:tmpl w:val="AE626A6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8055399"/>
    <w:multiLevelType w:val="hybridMultilevel"/>
    <w:tmpl w:val="31A2597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u w:val="no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E3F4AC3"/>
    <w:multiLevelType w:val="hybridMultilevel"/>
    <w:tmpl w:val="BBCC0896"/>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E59149D"/>
    <w:multiLevelType w:val="hybridMultilevel"/>
    <w:tmpl w:val="CC90675C"/>
    <w:lvl w:ilvl="0">
      <w:start w:val="1"/>
      <w:numFmt w:val="bullet"/>
      <w:lvlText w:val=""/>
      <w:lvlJc w:val="left"/>
      <w:pPr>
        <w:tabs>
          <w:tab w:val="num" w:pos="1440"/>
        </w:tabs>
        <w:ind w:left="1440" w:hanging="360"/>
      </w:pPr>
      <w:rPr>
        <w:rFonts w:ascii="Symbol" w:hAnsi="Symbol" w:hint="default"/>
        <w:u w:val="none"/>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nsid w:val="11CD24BC"/>
    <w:multiLevelType w:val="hybridMultilevel"/>
    <w:tmpl w:val="14D0AC08"/>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128411D9"/>
    <w:multiLevelType w:val="hybridMultilevel"/>
    <w:tmpl w:val="DC80C57E"/>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6">
    <w:nsid w:val="18B17DB9"/>
    <w:multiLevelType w:val="hybridMultilevel"/>
    <w:tmpl w:val="0D1653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A2B1882"/>
    <w:multiLevelType w:val="hybridMultilevel"/>
    <w:tmpl w:val="A76C59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B617C87"/>
    <w:multiLevelType w:val="hybridMultilevel"/>
    <w:tmpl w:val="3BDA8562"/>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1DFD1A90"/>
    <w:multiLevelType w:val="hybridMultilevel"/>
    <w:tmpl w:val="9492419E"/>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10">
    <w:nsid w:val="20C55D9E"/>
    <w:multiLevelType w:val="hybridMultilevel"/>
    <w:tmpl w:val="473C39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EDC5A26"/>
    <w:multiLevelType w:val="hybridMultilevel"/>
    <w:tmpl w:val="6B9CA10E"/>
    <w:lvl w:ilvl="0">
      <w:start w:val="1"/>
      <w:numFmt w:val="decimal"/>
      <w:lvlText w:val="(%1)"/>
      <w:lvlJc w:val="left"/>
      <w:pPr>
        <w:ind w:left="1520" w:hanging="339"/>
      </w:pPr>
      <w:rPr>
        <w:rFonts w:ascii="Times New Roman" w:eastAsia="Times New Roman" w:hAnsi="Times New Roman" w:hint="default"/>
        <w:spacing w:val="-1"/>
        <w:sz w:val="24"/>
        <w:szCs w:val="24"/>
      </w:rPr>
    </w:lvl>
    <w:lvl w:ilvl="1">
      <w:start w:val="1"/>
      <w:numFmt w:val="lowerRoman"/>
      <w:lvlText w:val="(%2)"/>
      <w:lvlJc w:val="left"/>
      <w:pPr>
        <w:ind w:left="3245" w:hanging="286"/>
      </w:pPr>
      <w:rPr>
        <w:rFonts w:ascii="Times New Roman" w:eastAsia="Times New Roman" w:hAnsi="Times New Roman" w:hint="default"/>
        <w:spacing w:val="-1"/>
        <w:sz w:val="24"/>
        <w:szCs w:val="24"/>
      </w:rPr>
    </w:lvl>
    <w:lvl w:ilvl="2">
      <w:start w:val="1"/>
      <w:numFmt w:val="bullet"/>
      <w:lvlText w:val="•"/>
      <w:lvlJc w:val="left"/>
      <w:pPr>
        <w:ind w:left="3862" w:hanging="286"/>
      </w:pPr>
      <w:rPr>
        <w:rFonts w:hint="default"/>
      </w:rPr>
    </w:lvl>
    <w:lvl w:ilvl="3">
      <w:start w:val="1"/>
      <w:numFmt w:val="bullet"/>
      <w:lvlText w:val="•"/>
      <w:lvlJc w:val="left"/>
      <w:pPr>
        <w:ind w:left="4479" w:hanging="286"/>
      </w:pPr>
      <w:rPr>
        <w:rFonts w:hint="default"/>
      </w:rPr>
    </w:lvl>
    <w:lvl w:ilvl="4">
      <w:start w:val="1"/>
      <w:numFmt w:val="bullet"/>
      <w:lvlText w:val="•"/>
      <w:lvlJc w:val="left"/>
      <w:pPr>
        <w:ind w:left="5097" w:hanging="286"/>
      </w:pPr>
      <w:rPr>
        <w:rFonts w:hint="default"/>
      </w:rPr>
    </w:lvl>
    <w:lvl w:ilvl="5">
      <w:start w:val="1"/>
      <w:numFmt w:val="bullet"/>
      <w:lvlText w:val="•"/>
      <w:lvlJc w:val="left"/>
      <w:pPr>
        <w:ind w:left="5714" w:hanging="286"/>
      </w:pPr>
      <w:rPr>
        <w:rFonts w:hint="default"/>
      </w:rPr>
    </w:lvl>
    <w:lvl w:ilvl="6">
      <w:start w:val="1"/>
      <w:numFmt w:val="bullet"/>
      <w:lvlText w:val="•"/>
      <w:lvlJc w:val="left"/>
      <w:pPr>
        <w:ind w:left="6331" w:hanging="286"/>
      </w:pPr>
      <w:rPr>
        <w:rFonts w:hint="default"/>
      </w:rPr>
    </w:lvl>
    <w:lvl w:ilvl="7">
      <w:start w:val="1"/>
      <w:numFmt w:val="bullet"/>
      <w:lvlText w:val="•"/>
      <w:lvlJc w:val="left"/>
      <w:pPr>
        <w:ind w:left="6948" w:hanging="286"/>
      </w:pPr>
      <w:rPr>
        <w:rFonts w:hint="default"/>
      </w:rPr>
    </w:lvl>
    <w:lvl w:ilvl="8">
      <w:start w:val="1"/>
      <w:numFmt w:val="bullet"/>
      <w:lvlText w:val="•"/>
      <w:lvlJc w:val="left"/>
      <w:pPr>
        <w:ind w:left="7565" w:hanging="286"/>
      </w:pPr>
      <w:rPr>
        <w:rFonts w:hint="default"/>
      </w:rPr>
    </w:lvl>
  </w:abstractNum>
  <w:abstractNum w:abstractNumId="12">
    <w:nsid w:val="2F895309"/>
    <w:multiLevelType w:val="hybridMultilevel"/>
    <w:tmpl w:val="E42E7A9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Symbol" w:hAnsi="Symbol" w:hint="default"/>
        <w:u w:val="none"/>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3">
    <w:nsid w:val="371970FD"/>
    <w:multiLevelType w:val="hybridMultilevel"/>
    <w:tmpl w:val="72083F3A"/>
    <w:lvl w:ilvl="0">
      <w:start w:val="1"/>
      <w:numFmt w:val="bullet"/>
      <w:lvlText w:val="o"/>
      <w:lvlJc w:val="left"/>
      <w:pPr>
        <w:tabs>
          <w:tab w:val="num" w:pos="1440"/>
        </w:tabs>
        <w:ind w:left="1440" w:hanging="360"/>
      </w:pPr>
      <w:rPr>
        <w:rFonts w:ascii="Courier New" w:hAnsi="Courier New" w:cs="Courier New"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4">
    <w:nsid w:val="39205193"/>
    <w:multiLevelType w:val="hybridMultilevel"/>
    <w:tmpl w:val="6D3035BC"/>
    <w:lvl w:ilvl="0">
      <w:start w:val="1"/>
      <w:numFmt w:val="upperLetter"/>
      <w:lvlText w:val="(%1)"/>
      <w:lvlJc w:val="left"/>
      <w:pPr>
        <w:ind w:left="1520" w:hanging="392"/>
      </w:pPr>
      <w:rPr>
        <w:rFonts w:ascii="Times New Roman" w:eastAsia="Times New Roman" w:hAnsi="Times New Roman" w:hint="default"/>
        <w:spacing w:val="-1"/>
        <w:sz w:val="24"/>
        <w:szCs w:val="24"/>
      </w:rPr>
    </w:lvl>
    <w:lvl w:ilvl="1">
      <w:start w:val="1"/>
      <w:numFmt w:val="bullet"/>
      <w:lvlText w:val="•"/>
      <w:lvlJc w:val="left"/>
      <w:pPr>
        <w:ind w:left="2250" w:hanging="392"/>
      </w:pPr>
      <w:rPr>
        <w:rFonts w:hint="default"/>
      </w:rPr>
    </w:lvl>
    <w:lvl w:ilvl="2">
      <w:start w:val="1"/>
      <w:numFmt w:val="bullet"/>
      <w:lvlText w:val="•"/>
      <w:lvlJc w:val="left"/>
      <w:pPr>
        <w:ind w:left="2980" w:hanging="392"/>
      </w:pPr>
      <w:rPr>
        <w:rFonts w:hint="default"/>
      </w:rPr>
    </w:lvl>
    <w:lvl w:ilvl="3">
      <w:start w:val="1"/>
      <w:numFmt w:val="bullet"/>
      <w:lvlText w:val="•"/>
      <w:lvlJc w:val="left"/>
      <w:pPr>
        <w:ind w:left="3710" w:hanging="392"/>
      </w:pPr>
      <w:rPr>
        <w:rFonts w:hint="default"/>
      </w:rPr>
    </w:lvl>
    <w:lvl w:ilvl="4">
      <w:start w:val="1"/>
      <w:numFmt w:val="bullet"/>
      <w:lvlText w:val="•"/>
      <w:lvlJc w:val="left"/>
      <w:pPr>
        <w:ind w:left="4440" w:hanging="392"/>
      </w:pPr>
      <w:rPr>
        <w:rFonts w:hint="default"/>
      </w:rPr>
    </w:lvl>
    <w:lvl w:ilvl="5">
      <w:start w:val="1"/>
      <w:numFmt w:val="bullet"/>
      <w:lvlText w:val="•"/>
      <w:lvlJc w:val="left"/>
      <w:pPr>
        <w:ind w:left="5170" w:hanging="392"/>
      </w:pPr>
      <w:rPr>
        <w:rFonts w:hint="default"/>
      </w:rPr>
    </w:lvl>
    <w:lvl w:ilvl="6">
      <w:start w:val="1"/>
      <w:numFmt w:val="bullet"/>
      <w:lvlText w:val="•"/>
      <w:lvlJc w:val="left"/>
      <w:pPr>
        <w:ind w:left="5900" w:hanging="392"/>
      </w:pPr>
      <w:rPr>
        <w:rFonts w:hint="default"/>
      </w:rPr>
    </w:lvl>
    <w:lvl w:ilvl="7">
      <w:start w:val="1"/>
      <w:numFmt w:val="bullet"/>
      <w:lvlText w:val="•"/>
      <w:lvlJc w:val="left"/>
      <w:pPr>
        <w:ind w:left="6630" w:hanging="392"/>
      </w:pPr>
      <w:rPr>
        <w:rFonts w:hint="default"/>
      </w:rPr>
    </w:lvl>
    <w:lvl w:ilvl="8">
      <w:start w:val="1"/>
      <w:numFmt w:val="bullet"/>
      <w:lvlText w:val="•"/>
      <w:lvlJc w:val="left"/>
      <w:pPr>
        <w:ind w:left="7360" w:hanging="392"/>
      </w:pPr>
      <w:rPr>
        <w:rFonts w:hint="default"/>
      </w:rPr>
    </w:lvl>
  </w:abstractNum>
  <w:abstractNum w:abstractNumId="15">
    <w:nsid w:val="41AC288B"/>
    <w:multiLevelType w:val="hybridMultilevel"/>
    <w:tmpl w:val="321CDF1C"/>
    <w:lvl w:ilvl="0">
      <w:start w:val="1"/>
      <w:numFmt w:val="decimal"/>
      <w:lvlText w:val="(%1)"/>
      <w:lvlJc w:val="left"/>
      <w:pPr>
        <w:ind w:left="1540" w:hanging="339"/>
      </w:pPr>
      <w:rPr>
        <w:rFonts w:ascii="Times New Roman" w:eastAsia="Times New Roman" w:hAnsi="Times New Roman" w:hint="default"/>
        <w:spacing w:val="-1"/>
        <w:sz w:val="24"/>
        <w:szCs w:val="24"/>
      </w:rPr>
    </w:lvl>
    <w:lvl w:ilvl="1">
      <w:start w:val="1"/>
      <w:numFmt w:val="lowerRoman"/>
      <w:lvlText w:val="(%2)"/>
      <w:lvlJc w:val="left"/>
      <w:pPr>
        <w:ind w:left="1540" w:hanging="286"/>
      </w:pPr>
      <w:rPr>
        <w:rFonts w:ascii="Times New Roman" w:eastAsia="Times New Roman" w:hAnsi="Times New Roman" w:hint="default"/>
        <w:spacing w:val="-1"/>
        <w:sz w:val="24"/>
        <w:szCs w:val="24"/>
      </w:rPr>
    </w:lvl>
    <w:lvl w:ilvl="2">
      <w:start w:val="1"/>
      <w:numFmt w:val="bullet"/>
      <w:lvlText w:val="•"/>
      <w:lvlJc w:val="left"/>
      <w:pPr>
        <w:ind w:left="2351" w:hanging="286"/>
      </w:pPr>
      <w:rPr>
        <w:rFonts w:hint="default"/>
      </w:rPr>
    </w:lvl>
    <w:lvl w:ilvl="3">
      <w:start w:val="1"/>
      <w:numFmt w:val="bullet"/>
      <w:lvlText w:val="•"/>
      <w:lvlJc w:val="left"/>
      <w:pPr>
        <w:ind w:left="3162" w:hanging="286"/>
      </w:pPr>
      <w:rPr>
        <w:rFonts w:hint="default"/>
      </w:rPr>
    </w:lvl>
    <w:lvl w:ilvl="4">
      <w:start w:val="1"/>
      <w:numFmt w:val="bullet"/>
      <w:lvlText w:val="•"/>
      <w:lvlJc w:val="left"/>
      <w:pPr>
        <w:ind w:left="3973" w:hanging="286"/>
      </w:pPr>
      <w:rPr>
        <w:rFonts w:hint="default"/>
      </w:rPr>
    </w:lvl>
    <w:lvl w:ilvl="5">
      <w:start w:val="1"/>
      <w:numFmt w:val="bullet"/>
      <w:lvlText w:val="•"/>
      <w:lvlJc w:val="left"/>
      <w:pPr>
        <w:ind w:left="4784" w:hanging="286"/>
      </w:pPr>
      <w:rPr>
        <w:rFonts w:hint="default"/>
      </w:rPr>
    </w:lvl>
    <w:lvl w:ilvl="6">
      <w:start w:val="1"/>
      <w:numFmt w:val="bullet"/>
      <w:lvlText w:val="•"/>
      <w:lvlJc w:val="left"/>
      <w:pPr>
        <w:ind w:left="5595" w:hanging="286"/>
      </w:pPr>
      <w:rPr>
        <w:rFonts w:hint="default"/>
      </w:rPr>
    </w:lvl>
    <w:lvl w:ilvl="7">
      <w:start w:val="1"/>
      <w:numFmt w:val="bullet"/>
      <w:lvlText w:val="•"/>
      <w:lvlJc w:val="left"/>
      <w:pPr>
        <w:ind w:left="6406" w:hanging="286"/>
      </w:pPr>
      <w:rPr>
        <w:rFonts w:hint="default"/>
      </w:rPr>
    </w:lvl>
    <w:lvl w:ilvl="8">
      <w:start w:val="1"/>
      <w:numFmt w:val="bullet"/>
      <w:lvlText w:val="•"/>
      <w:lvlJc w:val="left"/>
      <w:pPr>
        <w:ind w:left="7217" w:hanging="286"/>
      </w:pPr>
      <w:rPr>
        <w:rFonts w:hint="default"/>
      </w:rPr>
    </w:lvl>
  </w:abstractNum>
  <w:abstractNum w:abstractNumId="16">
    <w:nsid w:val="42A4423E"/>
    <w:multiLevelType w:val="hybridMultilevel"/>
    <w:tmpl w:val="F2A666A6"/>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u w:val="none"/>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nsid w:val="44845038"/>
    <w:multiLevelType w:val="hybridMultilevel"/>
    <w:tmpl w:val="D73CA32E"/>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8">
    <w:nsid w:val="44A811BB"/>
    <w:multiLevelType w:val="hybridMultilevel"/>
    <w:tmpl w:val="C414D2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4969184F"/>
    <w:multiLevelType w:val="hybridMultilevel"/>
    <w:tmpl w:val="AC70F8FE"/>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20">
    <w:nsid w:val="4A87587C"/>
    <w:multiLevelType w:val="hybridMultilevel"/>
    <w:tmpl w:val="9126CA7C"/>
    <w:lvl w:ilvl="0">
      <w:start w:val="1"/>
      <w:numFmt w:val="upperLetter"/>
      <w:lvlText w:val="%1."/>
      <w:lvlJc w:val="left"/>
      <w:pPr>
        <w:ind w:left="412" w:hanging="293"/>
      </w:pPr>
      <w:rPr>
        <w:rFonts w:ascii="Times New Roman" w:eastAsia="Times New Roman" w:hAnsi="Times New Roman" w:hint="default"/>
        <w:b/>
        <w:bCs/>
        <w:spacing w:val="-1"/>
        <w:sz w:val="24"/>
        <w:szCs w:val="24"/>
      </w:rPr>
    </w:lvl>
    <w:lvl w:ilvl="1">
      <w:start w:val="1"/>
      <w:numFmt w:val="decimal"/>
      <w:lvlText w:val="%2."/>
      <w:lvlJc w:val="left"/>
      <w:pPr>
        <w:ind w:left="100" w:hanging="240"/>
      </w:pPr>
      <w:rPr>
        <w:rFonts w:ascii="Times New Roman" w:eastAsia="Times New Roman" w:hAnsi="Times New Roman" w:hint="default"/>
        <w:b/>
        <w:bCs/>
        <w:sz w:val="24"/>
        <w:szCs w:val="24"/>
      </w:rPr>
    </w:lvl>
    <w:lvl w:ilvl="2">
      <w:start w:val="1"/>
      <w:numFmt w:val="decimal"/>
      <w:lvlText w:val="%3)"/>
      <w:lvlJc w:val="left"/>
      <w:pPr>
        <w:ind w:left="840" w:hanging="360"/>
      </w:pPr>
      <w:rPr>
        <w:rFonts w:ascii="Times New Roman" w:eastAsia="Times New Roman" w:hAnsi="Times New Roman" w:hint="default"/>
        <w:sz w:val="24"/>
        <w:szCs w:val="24"/>
      </w:rPr>
    </w:lvl>
    <w:lvl w:ilvl="3">
      <w:start w:val="1"/>
      <w:numFmt w:val="bullet"/>
      <w:lvlText w:val=""/>
      <w:lvlJc w:val="left"/>
      <w:pPr>
        <w:ind w:left="1200" w:hanging="360"/>
      </w:pPr>
      <w:rPr>
        <w:rFonts w:ascii="Symbol" w:eastAsia="Symbol" w:hAnsi="Symbol" w:hint="default"/>
        <w:sz w:val="24"/>
        <w:szCs w:val="24"/>
      </w:rPr>
    </w:lvl>
    <w:lvl w:ilvl="4">
      <w:start w:val="1"/>
      <w:numFmt w:val="bullet"/>
      <w:lvlText w:val="•"/>
      <w:lvlJc w:val="left"/>
      <w:pPr>
        <w:ind w:left="1200" w:hanging="360"/>
      </w:pPr>
      <w:rPr>
        <w:rFonts w:hint="default"/>
      </w:rPr>
    </w:lvl>
    <w:lvl w:ilvl="5">
      <w:start w:val="1"/>
      <w:numFmt w:val="bullet"/>
      <w:lvlText w:val="•"/>
      <w:lvlJc w:val="left"/>
      <w:pPr>
        <w:ind w:left="2466" w:hanging="360"/>
      </w:pPr>
      <w:rPr>
        <w:rFonts w:hint="default"/>
      </w:rPr>
    </w:lvl>
    <w:lvl w:ilvl="6">
      <w:start w:val="1"/>
      <w:numFmt w:val="bullet"/>
      <w:lvlText w:val="•"/>
      <w:lvlJc w:val="left"/>
      <w:pPr>
        <w:ind w:left="3733" w:hanging="360"/>
      </w:pPr>
      <w:rPr>
        <w:rFonts w:hint="default"/>
      </w:rPr>
    </w:lvl>
    <w:lvl w:ilvl="7">
      <w:start w:val="1"/>
      <w:numFmt w:val="bullet"/>
      <w:lvlText w:val="•"/>
      <w:lvlJc w:val="left"/>
      <w:pPr>
        <w:ind w:left="5000" w:hanging="360"/>
      </w:pPr>
      <w:rPr>
        <w:rFonts w:hint="default"/>
      </w:rPr>
    </w:lvl>
    <w:lvl w:ilvl="8">
      <w:start w:val="1"/>
      <w:numFmt w:val="bullet"/>
      <w:lvlText w:val="•"/>
      <w:lvlJc w:val="left"/>
      <w:pPr>
        <w:ind w:left="6266" w:hanging="360"/>
      </w:pPr>
      <w:rPr>
        <w:rFonts w:hint="default"/>
      </w:rPr>
    </w:lvl>
  </w:abstractNum>
  <w:abstractNum w:abstractNumId="21">
    <w:nsid w:val="502674E5"/>
    <w:multiLevelType w:val="hybridMultilevel"/>
    <w:tmpl w:val="F8DC9CF4"/>
    <w:lvl w:ilvl="0">
      <w:start w:val="1"/>
      <w:numFmt w:val="decimal"/>
      <w:lvlText w:val="%1."/>
      <w:lvlJc w:val="left"/>
      <w:pPr>
        <w:ind w:left="720" w:hanging="360"/>
      </w:pPr>
      <w:rPr>
        <w:rFonts w:ascii="TimesNewRoman,Bold" w:hAnsi="TimesNewRoman,Bold" w:cs="TimesNewRoman,Bold"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2B06F11"/>
    <w:multiLevelType w:val="hybridMultilevel"/>
    <w:tmpl w:val="3E42D266"/>
    <w:lvl w:ilvl="0">
      <w:start w:val="1"/>
      <w:numFmt w:val="decimal"/>
      <w:lvlText w:val="(%1)"/>
      <w:lvlJc w:val="left"/>
      <w:pPr>
        <w:ind w:left="820" w:hanging="339"/>
      </w:pPr>
      <w:rPr>
        <w:rFonts w:ascii="Times New Roman" w:eastAsia="Times New Roman" w:hAnsi="Times New Roman" w:hint="default"/>
        <w:spacing w:val="-1"/>
        <w:sz w:val="24"/>
        <w:szCs w:val="24"/>
      </w:rPr>
    </w:lvl>
    <w:lvl w:ilvl="1">
      <w:start w:val="1"/>
      <w:numFmt w:val="bullet"/>
      <w:lvlText w:val="•"/>
      <w:lvlJc w:val="left"/>
      <w:pPr>
        <w:ind w:left="1622" w:hanging="339"/>
      </w:pPr>
      <w:rPr>
        <w:rFonts w:hint="default"/>
      </w:rPr>
    </w:lvl>
    <w:lvl w:ilvl="2">
      <w:start w:val="1"/>
      <w:numFmt w:val="bullet"/>
      <w:lvlText w:val="•"/>
      <w:lvlJc w:val="left"/>
      <w:pPr>
        <w:ind w:left="2424" w:hanging="339"/>
      </w:pPr>
      <w:rPr>
        <w:rFonts w:hint="default"/>
      </w:rPr>
    </w:lvl>
    <w:lvl w:ilvl="3">
      <w:start w:val="1"/>
      <w:numFmt w:val="bullet"/>
      <w:lvlText w:val="•"/>
      <w:lvlJc w:val="left"/>
      <w:pPr>
        <w:ind w:left="3226" w:hanging="339"/>
      </w:pPr>
      <w:rPr>
        <w:rFonts w:hint="default"/>
      </w:rPr>
    </w:lvl>
    <w:lvl w:ilvl="4">
      <w:start w:val="1"/>
      <w:numFmt w:val="bullet"/>
      <w:lvlText w:val="•"/>
      <w:lvlJc w:val="left"/>
      <w:pPr>
        <w:ind w:left="4028" w:hanging="339"/>
      </w:pPr>
      <w:rPr>
        <w:rFonts w:hint="default"/>
      </w:rPr>
    </w:lvl>
    <w:lvl w:ilvl="5">
      <w:start w:val="1"/>
      <w:numFmt w:val="bullet"/>
      <w:lvlText w:val="•"/>
      <w:lvlJc w:val="left"/>
      <w:pPr>
        <w:ind w:left="4830" w:hanging="339"/>
      </w:pPr>
      <w:rPr>
        <w:rFonts w:hint="default"/>
      </w:rPr>
    </w:lvl>
    <w:lvl w:ilvl="6">
      <w:start w:val="1"/>
      <w:numFmt w:val="bullet"/>
      <w:lvlText w:val="•"/>
      <w:lvlJc w:val="left"/>
      <w:pPr>
        <w:ind w:left="5632" w:hanging="339"/>
      </w:pPr>
      <w:rPr>
        <w:rFonts w:hint="default"/>
      </w:rPr>
    </w:lvl>
    <w:lvl w:ilvl="7">
      <w:start w:val="1"/>
      <w:numFmt w:val="bullet"/>
      <w:lvlText w:val="•"/>
      <w:lvlJc w:val="left"/>
      <w:pPr>
        <w:ind w:left="6434" w:hanging="339"/>
      </w:pPr>
      <w:rPr>
        <w:rFonts w:hint="default"/>
      </w:rPr>
    </w:lvl>
    <w:lvl w:ilvl="8">
      <w:start w:val="1"/>
      <w:numFmt w:val="bullet"/>
      <w:lvlText w:val="•"/>
      <w:lvlJc w:val="left"/>
      <w:pPr>
        <w:ind w:left="7236" w:hanging="339"/>
      </w:pPr>
      <w:rPr>
        <w:rFonts w:hint="default"/>
      </w:rPr>
    </w:lvl>
  </w:abstractNum>
  <w:abstractNum w:abstractNumId="23">
    <w:nsid w:val="53AC2516"/>
    <w:multiLevelType w:val="hybridMultilevel"/>
    <w:tmpl w:val="9A649F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7A91BA1"/>
    <w:multiLevelType w:val="hybridMultilevel"/>
    <w:tmpl w:val="0F9C2A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9360622"/>
    <w:multiLevelType w:val="hybridMultilevel"/>
    <w:tmpl w:val="697EA2C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6B8B75C9"/>
    <w:multiLevelType w:val="hybridMultilevel"/>
    <w:tmpl w:val="D144AF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F376141"/>
    <w:multiLevelType w:val="hybridMultilevel"/>
    <w:tmpl w:val="97E0F79C"/>
    <w:lvl w:ilvl="0">
      <w:start w:val="1"/>
      <w:numFmt w:val="upperLetter"/>
      <w:lvlText w:val="(%1)"/>
      <w:lvlJc w:val="left"/>
      <w:pPr>
        <w:ind w:left="1520" w:hanging="392"/>
      </w:pPr>
      <w:rPr>
        <w:rFonts w:ascii="Times New Roman" w:eastAsia="Times New Roman" w:hAnsi="Times New Roman" w:hint="default"/>
        <w:spacing w:val="-1"/>
        <w:sz w:val="24"/>
        <w:szCs w:val="24"/>
      </w:rPr>
    </w:lvl>
    <w:lvl w:ilvl="1">
      <w:start w:val="1"/>
      <w:numFmt w:val="bullet"/>
      <w:lvlText w:val="•"/>
      <w:lvlJc w:val="left"/>
      <w:pPr>
        <w:ind w:left="2250" w:hanging="392"/>
      </w:pPr>
      <w:rPr>
        <w:rFonts w:hint="default"/>
      </w:rPr>
    </w:lvl>
    <w:lvl w:ilvl="2">
      <w:start w:val="1"/>
      <w:numFmt w:val="bullet"/>
      <w:lvlText w:val="•"/>
      <w:lvlJc w:val="left"/>
      <w:pPr>
        <w:ind w:left="2980" w:hanging="392"/>
      </w:pPr>
      <w:rPr>
        <w:rFonts w:hint="default"/>
      </w:rPr>
    </w:lvl>
    <w:lvl w:ilvl="3">
      <w:start w:val="1"/>
      <w:numFmt w:val="bullet"/>
      <w:lvlText w:val="•"/>
      <w:lvlJc w:val="left"/>
      <w:pPr>
        <w:ind w:left="3710" w:hanging="392"/>
      </w:pPr>
      <w:rPr>
        <w:rFonts w:hint="default"/>
      </w:rPr>
    </w:lvl>
    <w:lvl w:ilvl="4">
      <w:start w:val="1"/>
      <w:numFmt w:val="bullet"/>
      <w:lvlText w:val="•"/>
      <w:lvlJc w:val="left"/>
      <w:pPr>
        <w:ind w:left="4440" w:hanging="392"/>
      </w:pPr>
      <w:rPr>
        <w:rFonts w:hint="default"/>
      </w:rPr>
    </w:lvl>
    <w:lvl w:ilvl="5">
      <w:start w:val="1"/>
      <w:numFmt w:val="bullet"/>
      <w:lvlText w:val="•"/>
      <w:lvlJc w:val="left"/>
      <w:pPr>
        <w:ind w:left="5170" w:hanging="392"/>
      </w:pPr>
      <w:rPr>
        <w:rFonts w:hint="default"/>
      </w:rPr>
    </w:lvl>
    <w:lvl w:ilvl="6">
      <w:start w:val="1"/>
      <w:numFmt w:val="bullet"/>
      <w:lvlText w:val="•"/>
      <w:lvlJc w:val="left"/>
      <w:pPr>
        <w:ind w:left="5900" w:hanging="392"/>
      </w:pPr>
      <w:rPr>
        <w:rFonts w:hint="default"/>
      </w:rPr>
    </w:lvl>
    <w:lvl w:ilvl="7">
      <w:start w:val="1"/>
      <w:numFmt w:val="bullet"/>
      <w:lvlText w:val="•"/>
      <w:lvlJc w:val="left"/>
      <w:pPr>
        <w:ind w:left="6630" w:hanging="392"/>
      </w:pPr>
      <w:rPr>
        <w:rFonts w:hint="default"/>
      </w:rPr>
    </w:lvl>
    <w:lvl w:ilvl="8">
      <w:start w:val="1"/>
      <w:numFmt w:val="bullet"/>
      <w:lvlText w:val="•"/>
      <w:lvlJc w:val="left"/>
      <w:pPr>
        <w:ind w:left="7360" w:hanging="392"/>
      </w:pPr>
      <w:rPr>
        <w:rFonts w:hint="default"/>
      </w:rPr>
    </w:lvl>
  </w:abstractNum>
  <w:abstractNum w:abstractNumId="28">
    <w:nsid w:val="77473305"/>
    <w:multiLevelType w:val="hybridMultilevel"/>
    <w:tmpl w:val="CFD8104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88C52AD"/>
    <w:multiLevelType w:val="hybridMultilevel"/>
    <w:tmpl w:val="1AE2D238"/>
    <w:lvl w:ilvl="0">
      <w:start w:val="1"/>
      <w:numFmt w:val="bullet"/>
      <w:lvlText w:val=""/>
      <w:lvlJc w:val="left"/>
      <w:pPr>
        <w:ind w:left="820" w:hanging="360"/>
      </w:pPr>
      <w:rPr>
        <w:rFonts w:ascii="Symbol" w:eastAsia="Symbol" w:hAnsi="Symbol" w:hint="default"/>
        <w:sz w:val="24"/>
        <w:szCs w:val="24"/>
      </w:rPr>
    </w:lvl>
    <w:lvl w:ilvl="1">
      <w:start w:val="1"/>
      <w:numFmt w:val="bullet"/>
      <w:lvlText w:val="•"/>
      <w:lvlJc w:val="left"/>
      <w:pPr>
        <w:ind w:left="1622" w:hanging="360"/>
      </w:pPr>
      <w:rPr>
        <w:rFonts w:hint="default"/>
      </w:rPr>
    </w:lvl>
    <w:lvl w:ilvl="2">
      <w:start w:val="1"/>
      <w:numFmt w:val="bullet"/>
      <w:lvlText w:val="•"/>
      <w:lvlJc w:val="left"/>
      <w:pPr>
        <w:ind w:left="2424" w:hanging="360"/>
      </w:pPr>
      <w:rPr>
        <w:rFonts w:hint="default"/>
      </w:rPr>
    </w:lvl>
    <w:lvl w:ilvl="3">
      <w:start w:val="1"/>
      <w:numFmt w:val="bullet"/>
      <w:lvlText w:val="•"/>
      <w:lvlJc w:val="left"/>
      <w:pPr>
        <w:ind w:left="3226" w:hanging="360"/>
      </w:pPr>
      <w:rPr>
        <w:rFonts w:hint="default"/>
      </w:rPr>
    </w:lvl>
    <w:lvl w:ilvl="4">
      <w:start w:val="1"/>
      <w:numFmt w:val="bullet"/>
      <w:lvlText w:val="•"/>
      <w:lvlJc w:val="left"/>
      <w:pPr>
        <w:ind w:left="4028" w:hanging="360"/>
      </w:pPr>
      <w:rPr>
        <w:rFonts w:hint="default"/>
      </w:rPr>
    </w:lvl>
    <w:lvl w:ilvl="5">
      <w:start w:val="1"/>
      <w:numFmt w:val="bullet"/>
      <w:lvlText w:val="•"/>
      <w:lvlJc w:val="left"/>
      <w:pPr>
        <w:ind w:left="4830" w:hanging="360"/>
      </w:pPr>
      <w:rPr>
        <w:rFonts w:hint="default"/>
      </w:rPr>
    </w:lvl>
    <w:lvl w:ilvl="6">
      <w:start w:val="1"/>
      <w:numFmt w:val="bullet"/>
      <w:lvlText w:val="•"/>
      <w:lvlJc w:val="left"/>
      <w:pPr>
        <w:ind w:left="5632" w:hanging="360"/>
      </w:pPr>
      <w:rPr>
        <w:rFonts w:hint="default"/>
      </w:rPr>
    </w:lvl>
    <w:lvl w:ilvl="7">
      <w:start w:val="1"/>
      <w:numFmt w:val="bullet"/>
      <w:lvlText w:val="•"/>
      <w:lvlJc w:val="left"/>
      <w:pPr>
        <w:ind w:left="6434" w:hanging="360"/>
      </w:pPr>
      <w:rPr>
        <w:rFonts w:hint="default"/>
      </w:rPr>
    </w:lvl>
    <w:lvl w:ilvl="8">
      <w:start w:val="1"/>
      <w:numFmt w:val="bullet"/>
      <w:lvlText w:val="•"/>
      <w:lvlJc w:val="left"/>
      <w:pPr>
        <w:ind w:left="7236" w:hanging="360"/>
      </w:pPr>
      <w:rPr>
        <w:rFonts w:hint="default"/>
      </w:rPr>
    </w:lvl>
  </w:abstractNum>
  <w:abstractNum w:abstractNumId="30">
    <w:nsid w:val="79143F11"/>
    <w:multiLevelType w:val="hybridMultilevel"/>
    <w:tmpl w:val="DF22B336"/>
    <w:lvl w:ilvl="0">
      <w:start w:val="1"/>
      <w:numFmt w:val="bullet"/>
      <w:lvlText w:val=""/>
      <w:lvlJc w:val="left"/>
      <w:pPr>
        <w:tabs>
          <w:tab w:val="num" w:pos="1440"/>
        </w:tabs>
        <w:ind w:left="1440" w:hanging="360"/>
      </w:pPr>
      <w:rPr>
        <w:rFonts w:ascii="Symbol" w:hAnsi="Symbol" w:hint="default"/>
        <w:u w:val="none"/>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7D600DDA"/>
    <w:multiLevelType w:val="hybridMultilevel"/>
    <w:tmpl w:val="EA7C4C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7"/>
  </w:num>
  <w:num w:numId="2">
    <w:abstractNumId w:val="4"/>
  </w:num>
  <w:num w:numId="3">
    <w:abstractNumId w:val="25"/>
  </w:num>
  <w:num w:numId="4">
    <w:abstractNumId w:val="18"/>
  </w:num>
  <w:num w:numId="5">
    <w:abstractNumId w:val="0"/>
  </w:num>
  <w:num w:numId="6">
    <w:abstractNumId w:val="8"/>
  </w:num>
  <w:num w:numId="7">
    <w:abstractNumId w:val="13"/>
  </w:num>
  <w:num w:numId="8">
    <w:abstractNumId w:val="2"/>
  </w:num>
  <w:num w:numId="9">
    <w:abstractNumId w:val="16"/>
  </w:num>
  <w:num w:numId="10">
    <w:abstractNumId w:val="1"/>
  </w:num>
  <w:num w:numId="11">
    <w:abstractNumId w:val="3"/>
  </w:num>
  <w:num w:numId="12">
    <w:abstractNumId w:val="30"/>
  </w:num>
  <w:num w:numId="13">
    <w:abstractNumId w:val="10"/>
  </w:num>
  <w:num w:numId="14">
    <w:abstractNumId w:val="31"/>
  </w:num>
  <w:num w:numId="15">
    <w:abstractNumId w:val="28"/>
  </w:num>
  <w:num w:numId="16">
    <w:abstractNumId w:val="21"/>
  </w:num>
  <w:num w:numId="17">
    <w:abstractNumId w:val="12"/>
  </w:num>
  <w:num w:numId="18">
    <w:abstractNumId w:val="15"/>
  </w:num>
  <w:num w:numId="19">
    <w:abstractNumId w:val="22"/>
  </w:num>
  <w:num w:numId="20">
    <w:abstractNumId w:val="27"/>
  </w:num>
  <w:num w:numId="21">
    <w:abstractNumId w:val="14"/>
  </w:num>
  <w:num w:numId="22">
    <w:abstractNumId w:val="11"/>
  </w:num>
  <w:num w:numId="23">
    <w:abstractNumId w:val="29"/>
  </w:num>
  <w:num w:numId="24">
    <w:abstractNumId w:val="20"/>
  </w:num>
  <w:num w:numId="25">
    <w:abstractNumId w:val="23"/>
  </w:num>
  <w:num w:numId="26">
    <w:abstractNumId w:val="24"/>
  </w:num>
  <w:num w:numId="27">
    <w:abstractNumId w:val="6"/>
  </w:num>
  <w:num w:numId="28">
    <w:abstractNumId w:val="26"/>
  </w:num>
  <w:num w:numId="29">
    <w:abstractNumId w:val="7"/>
  </w:num>
  <w:num w:numId="30">
    <w:abstractNumId w:val="19"/>
  </w:num>
  <w:num w:numId="31">
    <w:abstractNumId w:val="9"/>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49C"/>
    <w:rsid w:val="0000044B"/>
    <w:rsid w:val="00007F7C"/>
    <w:rsid w:val="000124F6"/>
    <w:rsid w:val="000153A4"/>
    <w:rsid w:val="000162E0"/>
    <w:rsid w:val="00017223"/>
    <w:rsid w:val="00023538"/>
    <w:rsid w:val="00026D8C"/>
    <w:rsid w:val="00031AC0"/>
    <w:rsid w:val="000330D6"/>
    <w:rsid w:val="00033E6F"/>
    <w:rsid w:val="000409DA"/>
    <w:rsid w:val="000447CF"/>
    <w:rsid w:val="0004505F"/>
    <w:rsid w:val="000479F9"/>
    <w:rsid w:val="0005194F"/>
    <w:rsid w:val="000544C0"/>
    <w:rsid w:val="00055985"/>
    <w:rsid w:val="00065D20"/>
    <w:rsid w:val="0006725C"/>
    <w:rsid w:val="000677DE"/>
    <w:rsid w:val="000679BC"/>
    <w:rsid w:val="000716D7"/>
    <w:rsid w:val="00071F39"/>
    <w:rsid w:val="00077979"/>
    <w:rsid w:val="00080714"/>
    <w:rsid w:val="00080B9A"/>
    <w:rsid w:val="00086D3D"/>
    <w:rsid w:val="0009011A"/>
    <w:rsid w:val="00094EB8"/>
    <w:rsid w:val="000A2259"/>
    <w:rsid w:val="000A3205"/>
    <w:rsid w:val="000A37C9"/>
    <w:rsid w:val="000A7620"/>
    <w:rsid w:val="000A7B6A"/>
    <w:rsid w:val="000B03F9"/>
    <w:rsid w:val="000B154F"/>
    <w:rsid w:val="000B1D68"/>
    <w:rsid w:val="000B30DE"/>
    <w:rsid w:val="000B75F0"/>
    <w:rsid w:val="000C0326"/>
    <w:rsid w:val="000C262F"/>
    <w:rsid w:val="000C2F09"/>
    <w:rsid w:val="000C36C4"/>
    <w:rsid w:val="000C3C69"/>
    <w:rsid w:val="000C6A1A"/>
    <w:rsid w:val="000C763E"/>
    <w:rsid w:val="000D1244"/>
    <w:rsid w:val="000D6B21"/>
    <w:rsid w:val="000D780C"/>
    <w:rsid w:val="000D7842"/>
    <w:rsid w:val="000D7A76"/>
    <w:rsid w:val="000D7CB4"/>
    <w:rsid w:val="000E083B"/>
    <w:rsid w:val="000E099D"/>
    <w:rsid w:val="000E2931"/>
    <w:rsid w:val="000E402C"/>
    <w:rsid w:val="000E4332"/>
    <w:rsid w:val="000E4D18"/>
    <w:rsid w:val="000E5A19"/>
    <w:rsid w:val="000E5EC7"/>
    <w:rsid w:val="000E76DA"/>
    <w:rsid w:val="000F063C"/>
    <w:rsid w:val="000F0BCD"/>
    <w:rsid w:val="000F260D"/>
    <w:rsid w:val="000F2CC1"/>
    <w:rsid w:val="000F416F"/>
    <w:rsid w:val="000F4D0C"/>
    <w:rsid w:val="00100AC8"/>
    <w:rsid w:val="001010EB"/>
    <w:rsid w:val="0010141B"/>
    <w:rsid w:val="00102B9E"/>
    <w:rsid w:val="001068AB"/>
    <w:rsid w:val="00107A72"/>
    <w:rsid w:val="00112898"/>
    <w:rsid w:val="0011300D"/>
    <w:rsid w:val="00114D84"/>
    <w:rsid w:val="001176BA"/>
    <w:rsid w:val="0012084C"/>
    <w:rsid w:val="00121B7A"/>
    <w:rsid w:val="0012524B"/>
    <w:rsid w:val="001269FF"/>
    <w:rsid w:val="0013363B"/>
    <w:rsid w:val="001336DB"/>
    <w:rsid w:val="00135D24"/>
    <w:rsid w:val="00145512"/>
    <w:rsid w:val="001455F6"/>
    <w:rsid w:val="00152128"/>
    <w:rsid w:val="00152176"/>
    <w:rsid w:val="00154143"/>
    <w:rsid w:val="00157D98"/>
    <w:rsid w:val="00163BA3"/>
    <w:rsid w:val="0016468B"/>
    <w:rsid w:val="00164906"/>
    <w:rsid w:val="001736B4"/>
    <w:rsid w:val="00173E9E"/>
    <w:rsid w:val="00176FE8"/>
    <w:rsid w:val="0018153F"/>
    <w:rsid w:val="00183327"/>
    <w:rsid w:val="00183A0F"/>
    <w:rsid w:val="00185521"/>
    <w:rsid w:val="00186183"/>
    <w:rsid w:val="001905BD"/>
    <w:rsid w:val="00190B2A"/>
    <w:rsid w:val="001912DA"/>
    <w:rsid w:val="00191331"/>
    <w:rsid w:val="0019165A"/>
    <w:rsid w:val="00191851"/>
    <w:rsid w:val="00193928"/>
    <w:rsid w:val="001A00E9"/>
    <w:rsid w:val="001A40F0"/>
    <w:rsid w:val="001A4A8C"/>
    <w:rsid w:val="001A54E7"/>
    <w:rsid w:val="001A5EA3"/>
    <w:rsid w:val="001A6B6A"/>
    <w:rsid w:val="001B0D3E"/>
    <w:rsid w:val="001B0FA9"/>
    <w:rsid w:val="001B264E"/>
    <w:rsid w:val="001B2F7E"/>
    <w:rsid w:val="001C10F9"/>
    <w:rsid w:val="001C1B12"/>
    <w:rsid w:val="001C41C9"/>
    <w:rsid w:val="001C464A"/>
    <w:rsid w:val="001C5250"/>
    <w:rsid w:val="001C5E86"/>
    <w:rsid w:val="001C6388"/>
    <w:rsid w:val="001C6D21"/>
    <w:rsid w:val="001D0148"/>
    <w:rsid w:val="001D128B"/>
    <w:rsid w:val="001D3A01"/>
    <w:rsid w:val="001D5CAF"/>
    <w:rsid w:val="001E0F83"/>
    <w:rsid w:val="001E1BC2"/>
    <w:rsid w:val="001E5338"/>
    <w:rsid w:val="001E774B"/>
    <w:rsid w:val="001E7C4C"/>
    <w:rsid w:val="001F0616"/>
    <w:rsid w:val="001F31CF"/>
    <w:rsid w:val="001F3919"/>
    <w:rsid w:val="00210F2B"/>
    <w:rsid w:val="00211B67"/>
    <w:rsid w:val="00211F0E"/>
    <w:rsid w:val="00213801"/>
    <w:rsid w:val="00215440"/>
    <w:rsid w:val="00215BD1"/>
    <w:rsid w:val="0021652C"/>
    <w:rsid w:val="00225751"/>
    <w:rsid w:val="00226DB1"/>
    <w:rsid w:val="00230C97"/>
    <w:rsid w:val="002321C0"/>
    <w:rsid w:val="00233D6B"/>
    <w:rsid w:val="002350A2"/>
    <w:rsid w:val="00241C37"/>
    <w:rsid w:val="00243AF7"/>
    <w:rsid w:val="002476D6"/>
    <w:rsid w:val="002529E9"/>
    <w:rsid w:val="00253A8A"/>
    <w:rsid w:val="00254B5B"/>
    <w:rsid w:val="002645DF"/>
    <w:rsid w:val="00265060"/>
    <w:rsid w:val="002662F1"/>
    <w:rsid w:val="00266D7C"/>
    <w:rsid w:val="00273918"/>
    <w:rsid w:val="00281168"/>
    <w:rsid w:val="00282BD7"/>
    <w:rsid w:val="002902E1"/>
    <w:rsid w:val="00293DA2"/>
    <w:rsid w:val="0029623A"/>
    <w:rsid w:val="002973D0"/>
    <w:rsid w:val="002A0C38"/>
    <w:rsid w:val="002A0D3B"/>
    <w:rsid w:val="002A173C"/>
    <w:rsid w:val="002A29AC"/>
    <w:rsid w:val="002A3FFC"/>
    <w:rsid w:val="002A4F4D"/>
    <w:rsid w:val="002B1A66"/>
    <w:rsid w:val="002B3448"/>
    <w:rsid w:val="002B39F6"/>
    <w:rsid w:val="002B3B59"/>
    <w:rsid w:val="002B4832"/>
    <w:rsid w:val="002B6955"/>
    <w:rsid w:val="002B6F4D"/>
    <w:rsid w:val="002C0CA7"/>
    <w:rsid w:val="002C1458"/>
    <w:rsid w:val="002C1728"/>
    <w:rsid w:val="002C21E6"/>
    <w:rsid w:val="002C4273"/>
    <w:rsid w:val="002C50EF"/>
    <w:rsid w:val="002C640D"/>
    <w:rsid w:val="002C6772"/>
    <w:rsid w:val="002C704F"/>
    <w:rsid w:val="002C7447"/>
    <w:rsid w:val="002C74B8"/>
    <w:rsid w:val="002D0D63"/>
    <w:rsid w:val="002D2DF2"/>
    <w:rsid w:val="002D75AC"/>
    <w:rsid w:val="002D75D6"/>
    <w:rsid w:val="002E03D5"/>
    <w:rsid w:val="002E22A9"/>
    <w:rsid w:val="002E244B"/>
    <w:rsid w:val="002E5F7D"/>
    <w:rsid w:val="002F1572"/>
    <w:rsid w:val="002F18F0"/>
    <w:rsid w:val="002F2B0F"/>
    <w:rsid w:val="002F58B0"/>
    <w:rsid w:val="00301961"/>
    <w:rsid w:val="003023EB"/>
    <w:rsid w:val="00302F90"/>
    <w:rsid w:val="00306082"/>
    <w:rsid w:val="00306C22"/>
    <w:rsid w:val="003111B3"/>
    <w:rsid w:val="00311FA3"/>
    <w:rsid w:val="003149A9"/>
    <w:rsid w:val="0032168C"/>
    <w:rsid w:val="00322A3A"/>
    <w:rsid w:val="003259D6"/>
    <w:rsid w:val="00325CEB"/>
    <w:rsid w:val="003276A1"/>
    <w:rsid w:val="00331BC1"/>
    <w:rsid w:val="00335C6C"/>
    <w:rsid w:val="00337B6B"/>
    <w:rsid w:val="00340841"/>
    <w:rsid w:val="0034138C"/>
    <w:rsid w:val="00343E6E"/>
    <w:rsid w:val="003450CA"/>
    <w:rsid w:val="00346145"/>
    <w:rsid w:val="00346516"/>
    <w:rsid w:val="00346EDA"/>
    <w:rsid w:val="00350572"/>
    <w:rsid w:val="003550EB"/>
    <w:rsid w:val="00360152"/>
    <w:rsid w:val="0036353E"/>
    <w:rsid w:val="00374B14"/>
    <w:rsid w:val="00376F43"/>
    <w:rsid w:val="003777E2"/>
    <w:rsid w:val="00381F74"/>
    <w:rsid w:val="0038401D"/>
    <w:rsid w:val="00385D27"/>
    <w:rsid w:val="00392ED9"/>
    <w:rsid w:val="003933C1"/>
    <w:rsid w:val="00393A81"/>
    <w:rsid w:val="00396280"/>
    <w:rsid w:val="0039756B"/>
    <w:rsid w:val="00397F1D"/>
    <w:rsid w:val="003A0143"/>
    <w:rsid w:val="003A23ED"/>
    <w:rsid w:val="003A2ECE"/>
    <w:rsid w:val="003A5BA2"/>
    <w:rsid w:val="003A7E89"/>
    <w:rsid w:val="003B1187"/>
    <w:rsid w:val="003B126F"/>
    <w:rsid w:val="003B2C6C"/>
    <w:rsid w:val="003B4241"/>
    <w:rsid w:val="003B5AFE"/>
    <w:rsid w:val="003B6571"/>
    <w:rsid w:val="003C0D9E"/>
    <w:rsid w:val="003C272F"/>
    <w:rsid w:val="003C286C"/>
    <w:rsid w:val="003C4199"/>
    <w:rsid w:val="003D01DE"/>
    <w:rsid w:val="003D0426"/>
    <w:rsid w:val="003D08E0"/>
    <w:rsid w:val="003D57D0"/>
    <w:rsid w:val="003E0E21"/>
    <w:rsid w:val="003E246B"/>
    <w:rsid w:val="003E3AA5"/>
    <w:rsid w:val="003E41CA"/>
    <w:rsid w:val="003E5A39"/>
    <w:rsid w:val="003E7E67"/>
    <w:rsid w:val="003F21E6"/>
    <w:rsid w:val="003F3D4B"/>
    <w:rsid w:val="003F41E1"/>
    <w:rsid w:val="003F4CAC"/>
    <w:rsid w:val="003F4D39"/>
    <w:rsid w:val="003F577A"/>
    <w:rsid w:val="003F6501"/>
    <w:rsid w:val="003F7B75"/>
    <w:rsid w:val="00400AB6"/>
    <w:rsid w:val="00403202"/>
    <w:rsid w:val="00407018"/>
    <w:rsid w:val="0041307C"/>
    <w:rsid w:val="004130B2"/>
    <w:rsid w:val="004131C2"/>
    <w:rsid w:val="00414F83"/>
    <w:rsid w:val="00417670"/>
    <w:rsid w:val="0041782F"/>
    <w:rsid w:val="004203DF"/>
    <w:rsid w:val="00420D70"/>
    <w:rsid w:val="00421236"/>
    <w:rsid w:val="00421BE9"/>
    <w:rsid w:val="00422965"/>
    <w:rsid w:val="0042433D"/>
    <w:rsid w:val="00425706"/>
    <w:rsid w:val="00430192"/>
    <w:rsid w:val="00430EF5"/>
    <w:rsid w:val="00441392"/>
    <w:rsid w:val="00443966"/>
    <w:rsid w:val="004534AF"/>
    <w:rsid w:val="00454565"/>
    <w:rsid w:val="00454CC3"/>
    <w:rsid w:val="00457B1C"/>
    <w:rsid w:val="00457DD1"/>
    <w:rsid w:val="00460B12"/>
    <w:rsid w:val="00461C57"/>
    <w:rsid w:val="0046335F"/>
    <w:rsid w:val="00463D6E"/>
    <w:rsid w:val="0046605E"/>
    <w:rsid w:val="004671AA"/>
    <w:rsid w:val="00470180"/>
    <w:rsid w:val="00471B3D"/>
    <w:rsid w:val="00471F87"/>
    <w:rsid w:val="00473217"/>
    <w:rsid w:val="00473DC3"/>
    <w:rsid w:val="00474CC4"/>
    <w:rsid w:val="0047726A"/>
    <w:rsid w:val="00477460"/>
    <w:rsid w:val="00477BEE"/>
    <w:rsid w:val="00481B90"/>
    <w:rsid w:val="00483000"/>
    <w:rsid w:val="00483116"/>
    <w:rsid w:val="0048682D"/>
    <w:rsid w:val="00486FC2"/>
    <w:rsid w:val="00486FF8"/>
    <w:rsid w:val="004879AF"/>
    <w:rsid w:val="004904C6"/>
    <w:rsid w:val="00490D9A"/>
    <w:rsid w:val="004954DF"/>
    <w:rsid w:val="004A29EB"/>
    <w:rsid w:val="004A45AC"/>
    <w:rsid w:val="004A5DC8"/>
    <w:rsid w:val="004B4A6A"/>
    <w:rsid w:val="004B5444"/>
    <w:rsid w:val="004B6752"/>
    <w:rsid w:val="004B6DDD"/>
    <w:rsid w:val="004B7316"/>
    <w:rsid w:val="004B740B"/>
    <w:rsid w:val="004B7BC2"/>
    <w:rsid w:val="004C2958"/>
    <w:rsid w:val="004C312A"/>
    <w:rsid w:val="004C4359"/>
    <w:rsid w:val="004D2DDB"/>
    <w:rsid w:val="004D2E1D"/>
    <w:rsid w:val="004D3F7D"/>
    <w:rsid w:val="004D51F4"/>
    <w:rsid w:val="004D6CDE"/>
    <w:rsid w:val="004D6E1E"/>
    <w:rsid w:val="004E2079"/>
    <w:rsid w:val="004E29CF"/>
    <w:rsid w:val="004E5E92"/>
    <w:rsid w:val="004E5EB1"/>
    <w:rsid w:val="004E6884"/>
    <w:rsid w:val="004E70E4"/>
    <w:rsid w:val="004F25E4"/>
    <w:rsid w:val="004F3513"/>
    <w:rsid w:val="004F38C4"/>
    <w:rsid w:val="004F3CFA"/>
    <w:rsid w:val="004F5192"/>
    <w:rsid w:val="004F5CCE"/>
    <w:rsid w:val="00500936"/>
    <w:rsid w:val="00502EB8"/>
    <w:rsid w:val="005040C7"/>
    <w:rsid w:val="00504388"/>
    <w:rsid w:val="00504E6F"/>
    <w:rsid w:val="00511772"/>
    <w:rsid w:val="005121D7"/>
    <w:rsid w:val="00512AF2"/>
    <w:rsid w:val="0051423B"/>
    <w:rsid w:val="0051444E"/>
    <w:rsid w:val="0051751F"/>
    <w:rsid w:val="00520721"/>
    <w:rsid w:val="00521E1F"/>
    <w:rsid w:val="00526828"/>
    <w:rsid w:val="00526ED1"/>
    <w:rsid w:val="00527206"/>
    <w:rsid w:val="00527317"/>
    <w:rsid w:val="00531E04"/>
    <w:rsid w:val="00531EF0"/>
    <w:rsid w:val="00532ADF"/>
    <w:rsid w:val="0053380B"/>
    <w:rsid w:val="0053428F"/>
    <w:rsid w:val="005355D1"/>
    <w:rsid w:val="00536345"/>
    <w:rsid w:val="00536EE2"/>
    <w:rsid w:val="00537CF1"/>
    <w:rsid w:val="00541FBC"/>
    <w:rsid w:val="005438BD"/>
    <w:rsid w:val="00545E61"/>
    <w:rsid w:val="00546F7F"/>
    <w:rsid w:val="0055223A"/>
    <w:rsid w:val="00553E74"/>
    <w:rsid w:val="00554448"/>
    <w:rsid w:val="00554EEA"/>
    <w:rsid w:val="00556F23"/>
    <w:rsid w:val="00560207"/>
    <w:rsid w:val="005602DC"/>
    <w:rsid w:val="00560B35"/>
    <w:rsid w:val="005618EC"/>
    <w:rsid w:val="00570225"/>
    <w:rsid w:val="00570F39"/>
    <w:rsid w:val="005759F2"/>
    <w:rsid w:val="005810A0"/>
    <w:rsid w:val="005829F7"/>
    <w:rsid w:val="005839C7"/>
    <w:rsid w:val="0058429C"/>
    <w:rsid w:val="00590F49"/>
    <w:rsid w:val="00594D2C"/>
    <w:rsid w:val="00595561"/>
    <w:rsid w:val="00595D5F"/>
    <w:rsid w:val="005969C2"/>
    <w:rsid w:val="00596E83"/>
    <w:rsid w:val="00596F23"/>
    <w:rsid w:val="0059705A"/>
    <w:rsid w:val="005974C2"/>
    <w:rsid w:val="005A4E3A"/>
    <w:rsid w:val="005A5701"/>
    <w:rsid w:val="005A5AC1"/>
    <w:rsid w:val="005B21B6"/>
    <w:rsid w:val="005B3148"/>
    <w:rsid w:val="005B44D0"/>
    <w:rsid w:val="005B4879"/>
    <w:rsid w:val="005C02B5"/>
    <w:rsid w:val="005C58C3"/>
    <w:rsid w:val="005C5DB1"/>
    <w:rsid w:val="005C785A"/>
    <w:rsid w:val="005D0A99"/>
    <w:rsid w:val="005D223B"/>
    <w:rsid w:val="005D2AE9"/>
    <w:rsid w:val="005D2C5F"/>
    <w:rsid w:val="005D39E8"/>
    <w:rsid w:val="005D4E60"/>
    <w:rsid w:val="005D7BCB"/>
    <w:rsid w:val="005E189A"/>
    <w:rsid w:val="005E1B2B"/>
    <w:rsid w:val="005E333E"/>
    <w:rsid w:val="005E642D"/>
    <w:rsid w:val="005F0090"/>
    <w:rsid w:val="005F2188"/>
    <w:rsid w:val="005F53F6"/>
    <w:rsid w:val="006012C7"/>
    <w:rsid w:val="00602543"/>
    <w:rsid w:val="006036B9"/>
    <w:rsid w:val="00603A4B"/>
    <w:rsid w:val="00605691"/>
    <w:rsid w:val="00610CBB"/>
    <w:rsid w:val="00611BC5"/>
    <w:rsid w:val="0061414B"/>
    <w:rsid w:val="00616F71"/>
    <w:rsid w:val="00620B7C"/>
    <w:rsid w:val="006268B8"/>
    <w:rsid w:val="00633720"/>
    <w:rsid w:val="00634289"/>
    <w:rsid w:val="006355C3"/>
    <w:rsid w:val="00637A44"/>
    <w:rsid w:val="00637C7E"/>
    <w:rsid w:val="006418B5"/>
    <w:rsid w:val="00642F97"/>
    <w:rsid w:val="00643D62"/>
    <w:rsid w:val="00643F48"/>
    <w:rsid w:val="00645948"/>
    <w:rsid w:val="00650D79"/>
    <w:rsid w:val="006556C0"/>
    <w:rsid w:val="006575E1"/>
    <w:rsid w:val="00657EF8"/>
    <w:rsid w:val="00660CC2"/>
    <w:rsid w:val="006620D9"/>
    <w:rsid w:val="00663BC1"/>
    <w:rsid w:val="006661F5"/>
    <w:rsid w:val="0067112E"/>
    <w:rsid w:val="006725DE"/>
    <w:rsid w:val="00673E58"/>
    <w:rsid w:val="00676446"/>
    <w:rsid w:val="00676EE4"/>
    <w:rsid w:val="00677546"/>
    <w:rsid w:val="00682693"/>
    <w:rsid w:val="00682F68"/>
    <w:rsid w:val="0068363A"/>
    <w:rsid w:val="00683B66"/>
    <w:rsid w:val="00685443"/>
    <w:rsid w:val="00695149"/>
    <w:rsid w:val="0069534D"/>
    <w:rsid w:val="00696621"/>
    <w:rsid w:val="006A54A4"/>
    <w:rsid w:val="006A5C2B"/>
    <w:rsid w:val="006A6340"/>
    <w:rsid w:val="006B2560"/>
    <w:rsid w:val="006B495E"/>
    <w:rsid w:val="006C0F48"/>
    <w:rsid w:val="006C33F7"/>
    <w:rsid w:val="006C517A"/>
    <w:rsid w:val="006C5510"/>
    <w:rsid w:val="006C5F1E"/>
    <w:rsid w:val="006C7F4C"/>
    <w:rsid w:val="006D1747"/>
    <w:rsid w:val="006D4D48"/>
    <w:rsid w:val="006D4D56"/>
    <w:rsid w:val="006D72A2"/>
    <w:rsid w:val="006E1A5A"/>
    <w:rsid w:val="006E5692"/>
    <w:rsid w:val="006E5A38"/>
    <w:rsid w:val="006E7D33"/>
    <w:rsid w:val="006E7EE3"/>
    <w:rsid w:val="006F7E45"/>
    <w:rsid w:val="00701A72"/>
    <w:rsid w:val="007042D6"/>
    <w:rsid w:val="007045EE"/>
    <w:rsid w:val="00705247"/>
    <w:rsid w:val="007072B0"/>
    <w:rsid w:val="00707FAA"/>
    <w:rsid w:val="0071076F"/>
    <w:rsid w:val="00712007"/>
    <w:rsid w:val="00716BB2"/>
    <w:rsid w:val="00722A5E"/>
    <w:rsid w:val="00722B61"/>
    <w:rsid w:val="007233B8"/>
    <w:rsid w:val="00725509"/>
    <w:rsid w:val="0072703E"/>
    <w:rsid w:val="00730050"/>
    <w:rsid w:val="0073135B"/>
    <w:rsid w:val="00731688"/>
    <w:rsid w:val="007323E8"/>
    <w:rsid w:val="0073241F"/>
    <w:rsid w:val="00734B84"/>
    <w:rsid w:val="007354BF"/>
    <w:rsid w:val="00736CAC"/>
    <w:rsid w:val="007375E4"/>
    <w:rsid w:val="00741224"/>
    <w:rsid w:val="00742371"/>
    <w:rsid w:val="00743FC4"/>
    <w:rsid w:val="0074485A"/>
    <w:rsid w:val="00747947"/>
    <w:rsid w:val="00751C7E"/>
    <w:rsid w:val="0075230E"/>
    <w:rsid w:val="007524E2"/>
    <w:rsid w:val="00752CF9"/>
    <w:rsid w:val="00756075"/>
    <w:rsid w:val="00762CAF"/>
    <w:rsid w:val="00763632"/>
    <w:rsid w:val="007639F2"/>
    <w:rsid w:val="00763EA4"/>
    <w:rsid w:val="007719AB"/>
    <w:rsid w:val="007734CC"/>
    <w:rsid w:val="00775969"/>
    <w:rsid w:val="007767D9"/>
    <w:rsid w:val="00781026"/>
    <w:rsid w:val="007845D8"/>
    <w:rsid w:val="00786948"/>
    <w:rsid w:val="00786EA8"/>
    <w:rsid w:val="00786F88"/>
    <w:rsid w:val="00794220"/>
    <w:rsid w:val="00794F6C"/>
    <w:rsid w:val="007951CC"/>
    <w:rsid w:val="00795FB2"/>
    <w:rsid w:val="007A122A"/>
    <w:rsid w:val="007A13B5"/>
    <w:rsid w:val="007A1A4E"/>
    <w:rsid w:val="007A529D"/>
    <w:rsid w:val="007A71D9"/>
    <w:rsid w:val="007A71EF"/>
    <w:rsid w:val="007B2A7B"/>
    <w:rsid w:val="007C0393"/>
    <w:rsid w:val="007C6B58"/>
    <w:rsid w:val="007D20F8"/>
    <w:rsid w:val="007D5EFF"/>
    <w:rsid w:val="007D5F25"/>
    <w:rsid w:val="007E006D"/>
    <w:rsid w:val="007E1E99"/>
    <w:rsid w:val="007E2644"/>
    <w:rsid w:val="007E2736"/>
    <w:rsid w:val="007E7769"/>
    <w:rsid w:val="007E79AB"/>
    <w:rsid w:val="007F0779"/>
    <w:rsid w:val="007F08C4"/>
    <w:rsid w:val="007F0D89"/>
    <w:rsid w:val="007F1070"/>
    <w:rsid w:val="007F6C4A"/>
    <w:rsid w:val="007F72FF"/>
    <w:rsid w:val="008013EE"/>
    <w:rsid w:val="00801E1B"/>
    <w:rsid w:val="008027E7"/>
    <w:rsid w:val="00803D43"/>
    <w:rsid w:val="00811194"/>
    <w:rsid w:val="00814ABD"/>
    <w:rsid w:val="00814BE7"/>
    <w:rsid w:val="00815E8E"/>
    <w:rsid w:val="00816B76"/>
    <w:rsid w:val="00817AD0"/>
    <w:rsid w:val="00820098"/>
    <w:rsid w:val="00820751"/>
    <w:rsid w:val="00821356"/>
    <w:rsid w:val="00827181"/>
    <w:rsid w:val="00827426"/>
    <w:rsid w:val="00831EB2"/>
    <w:rsid w:val="00832C21"/>
    <w:rsid w:val="00833025"/>
    <w:rsid w:val="00835BA8"/>
    <w:rsid w:val="00841EB2"/>
    <w:rsid w:val="00842669"/>
    <w:rsid w:val="00843D60"/>
    <w:rsid w:val="008464FB"/>
    <w:rsid w:val="008527FF"/>
    <w:rsid w:val="00852BBD"/>
    <w:rsid w:val="00853A04"/>
    <w:rsid w:val="00853E9B"/>
    <w:rsid w:val="00856336"/>
    <w:rsid w:val="008622DF"/>
    <w:rsid w:val="0086781C"/>
    <w:rsid w:val="0087010E"/>
    <w:rsid w:val="00872FDC"/>
    <w:rsid w:val="00880A9D"/>
    <w:rsid w:val="00887B22"/>
    <w:rsid w:val="008902FA"/>
    <w:rsid w:val="00893DD7"/>
    <w:rsid w:val="00897168"/>
    <w:rsid w:val="008A0E6C"/>
    <w:rsid w:val="008A1BCE"/>
    <w:rsid w:val="008A4834"/>
    <w:rsid w:val="008A4D8A"/>
    <w:rsid w:val="008A6106"/>
    <w:rsid w:val="008A749F"/>
    <w:rsid w:val="008B0023"/>
    <w:rsid w:val="008B02DA"/>
    <w:rsid w:val="008B0A17"/>
    <w:rsid w:val="008B145F"/>
    <w:rsid w:val="008B1536"/>
    <w:rsid w:val="008B2523"/>
    <w:rsid w:val="008B6CFB"/>
    <w:rsid w:val="008B73F5"/>
    <w:rsid w:val="008B77C2"/>
    <w:rsid w:val="008C12C8"/>
    <w:rsid w:val="008C3D4E"/>
    <w:rsid w:val="008C561F"/>
    <w:rsid w:val="008C6132"/>
    <w:rsid w:val="008C6AE0"/>
    <w:rsid w:val="008C754A"/>
    <w:rsid w:val="008C7AC4"/>
    <w:rsid w:val="008D1C9E"/>
    <w:rsid w:val="008D200A"/>
    <w:rsid w:val="008D26C7"/>
    <w:rsid w:val="008D67A8"/>
    <w:rsid w:val="008E041F"/>
    <w:rsid w:val="008E2AAD"/>
    <w:rsid w:val="008E4548"/>
    <w:rsid w:val="008E66DD"/>
    <w:rsid w:val="008E7008"/>
    <w:rsid w:val="008E744B"/>
    <w:rsid w:val="008F160A"/>
    <w:rsid w:val="008F1D3D"/>
    <w:rsid w:val="008F2B96"/>
    <w:rsid w:val="008F54D2"/>
    <w:rsid w:val="008F78B9"/>
    <w:rsid w:val="009006B8"/>
    <w:rsid w:val="00900F5C"/>
    <w:rsid w:val="00901F86"/>
    <w:rsid w:val="00903694"/>
    <w:rsid w:val="00903BFB"/>
    <w:rsid w:val="0090546E"/>
    <w:rsid w:val="0090553C"/>
    <w:rsid w:val="0090592A"/>
    <w:rsid w:val="00910B63"/>
    <w:rsid w:val="00910CF5"/>
    <w:rsid w:val="00911C3D"/>
    <w:rsid w:val="009122BE"/>
    <w:rsid w:val="00912586"/>
    <w:rsid w:val="00912914"/>
    <w:rsid w:val="0092205F"/>
    <w:rsid w:val="00922246"/>
    <w:rsid w:val="009222C9"/>
    <w:rsid w:val="00922973"/>
    <w:rsid w:val="009244C8"/>
    <w:rsid w:val="009272F2"/>
    <w:rsid w:val="00930239"/>
    <w:rsid w:val="00937578"/>
    <w:rsid w:val="009424B2"/>
    <w:rsid w:val="009459BF"/>
    <w:rsid w:val="009550F4"/>
    <w:rsid w:val="0095752B"/>
    <w:rsid w:val="00957A4F"/>
    <w:rsid w:val="00963C14"/>
    <w:rsid w:val="00965078"/>
    <w:rsid w:val="009655E4"/>
    <w:rsid w:val="009660A3"/>
    <w:rsid w:val="009662C4"/>
    <w:rsid w:val="0096725C"/>
    <w:rsid w:val="00971FE0"/>
    <w:rsid w:val="0097213F"/>
    <w:rsid w:val="00972BCE"/>
    <w:rsid w:val="009731EC"/>
    <w:rsid w:val="00973BB9"/>
    <w:rsid w:val="00973ED9"/>
    <w:rsid w:val="00976F51"/>
    <w:rsid w:val="009802CB"/>
    <w:rsid w:val="00984051"/>
    <w:rsid w:val="00984404"/>
    <w:rsid w:val="0098703C"/>
    <w:rsid w:val="00987550"/>
    <w:rsid w:val="00987AAC"/>
    <w:rsid w:val="00990BB3"/>
    <w:rsid w:val="009911A1"/>
    <w:rsid w:val="00991E0A"/>
    <w:rsid w:val="0099218F"/>
    <w:rsid w:val="00992FBC"/>
    <w:rsid w:val="00993E2B"/>
    <w:rsid w:val="00996E17"/>
    <w:rsid w:val="009A040A"/>
    <w:rsid w:val="009A0D6B"/>
    <w:rsid w:val="009A16D8"/>
    <w:rsid w:val="009A26B0"/>
    <w:rsid w:val="009A33CC"/>
    <w:rsid w:val="009A45EE"/>
    <w:rsid w:val="009A5073"/>
    <w:rsid w:val="009A651C"/>
    <w:rsid w:val="009B042C"/>
    <w:rsid w:val="009B0B5C"/>
    <w:rsid w:val="009B1946"/>
    <w:rsid w:val="009B3C66"/>
    <w:rsid w:val="009B44EC"/>
    <w:rsid w:val="009B5B96"/>
    <w:rsid w:val="009B6A9A"/>
    <w:rsid w:val="009C0606"/>
    <w:rsid w:val="009C0C7B"/>
    <w:rsid w:val="009C0DC4"/>
    <w:rsid w:val="009C1A15"/>
    <w:rsid w:val="009C1FC9"/>
    <w:rsid w:val="009C2F59"/>
    <w:rsid w:val="009C77DA"/>
    <w:rsid w:val="009C7B23"/>
    <w:rsid w:val="009D0E43"/>
    <w:rsid w:val="009D511F"/>
    <w:rsid w:val="009D6370"/>
    <w:rsid w:val="009D7B25"/>
    <w:rsid w:val="009E09BD"/>
    <w:rsid w:val="009E1B79"/>
    <w:rsid w:val="009E3456"/>
    <w:rsid w:val="009E4819"/>
    <w:rsid w:val="009E772F"/>
    <w:rsid w:val="009F14FC"/>
    <w:rsid w:val="009F331C"/>
    <w:rsid w:val="009F5548"/>
    <w:rsid w:val="009F697D"/>
    <w:rsid w:val="009F6DC6"/>
    <w:rsid w:val="00A01D54"/>
    <w:rsid w:val="00A038C5"/>
    <w:rsid w:val="00A0453B"/>
    <w:rsid w:val="00A054BB"/>
    <w:rsid w:val="00A05F5A"/>
    <w:rsid w:val="00A06CC3"/>
    <w:rsid w:val="00A076B8"/>
    <w:rsid w:val="00A114CC"/>
    <w:rsid w:val="00A14FDC"/>
    <w:rsid w:val="00A15936"/>
    <w:rsid w:val="00A2266D"/>
    <w:rsid w:val="00A24D07"/>
    <w:rsid w:val="00A330D5"/>
    <w:rsid w:val="00A33BCA"/>
    <w:rsid w:val="00A33BF5"/>
    <w:rsid w:val="00A358AE"/>
    <w:rsid w:val="00A35CC4"/>
    <w:rsid w:val="00A40799"/>
    <w:rsid w:val="00A43C8E"/>
    <w:rsid w:val="00A45013"/>
    <w:rsid w:val="00A45393"/>
    <w:rsid w:val="00A4661D"/>
    <w:rsid w:val="00A510A0"/>
    <w:rsid w:val="00A511D9"/>
    <w:rsid w:val="00A5141B"/>
    <w:rsid w:val="00A524F3"/>
    <w:rsid w:val="00A5532D"/>
    <w:rsid w:val="00A55D8D"/>
    <w:rsid w:val="00A56718"/>
    <w:rsid w:val="00A600A3"/>
    <w:rsid w:val="00A622D9"/>
    <w:rsid w:val="00A6325B"/>
    <w:rsid w:val="00A64D00"/>
    <w:rsid w:val="00A65CB6"/>
    <w:rsid w:val="00A67BD7"/>
    <w:rsid w:val="00A73FA5"/>
    <w:rsid w:val="00A7658C"/>
    <w:rsid w:val="00A76D6A"/>
    <w:rsid w:val="00A80C51"/>
    <w:rsid w:val="00A824FD"/>
    <w:rsid w:val="00A852CE"/>
    <w:rsid w:val="00A87540"/>
    <w:rsid w:val="00A90E9A"/>
    <w:rsid w:val="00A91A5E"/>
    <w:rsid w:val="00A93204"/>
    <w:rsid w:val="00A96C5A"/>
    <w:rsid w:val="00A96DA7"/>
    <w:rsid w:val="00A9713A"/>
    <w:rsid w:val="00AA250B"/>
    <w:rsid w:val="00AA26E0"/>
    <w:rsid w:val="00AA412B"/>
    <w:rsid w:val="00AB04BB"/>
    <w:rsid w:val="00AC174B"/>
    <w:rsid w:val="00AC4C56"/>
    <w:rsid w:val="00AD025F"/>
    <w:rsid w:val="00AD04C8"/>
    <w:rsid w:val="00AD1223"/>
    <w:rsid w:val="00AD42FA"/>
    <w:rsid w:val="00AE0188"/>
    <w:rsid w:val="00AE0AA9"/>
    <w:rsid w:val="00AE11B4"/>
    <w:rsid w:val="00AE59FB"/>
    <w:rsid w:val="00AE5A03"/>
    <w:rsid w:val="00AE7159"/>
    <w:rsid w:val="00AE75A8"/>
    <w:rsid w:val="00AE77B2"/>
    <w:rsid w:val="00AF1AD2"/>
    <w:rsid w:val="00AF5F2E"/>
    <w:rsid w:val="00AF7AFB"/>
    <w:rsid w:val="00B029E9"/>
    <w:rsid w:val="00B02DDA"/>
    <w:rsid w:val="00B07C03"/>
    <w:rsid w:val="00B12ACF"/>
    <w:rsid w:val="00B141AE"/>
    <w:rsid w:val="00B1746E"/>
    <w:rsid w:val="00B17533"/>
    <w:rsid w:val="00B17738"/>
    <w:rsid w:val="00B2174F"/>
    <w:rsid w:val="00B22405"/>
    <w:rsid w:val="00B24873"/>
    <w:rsid w:val="00B2536F"/>
    <w:rsid w:val="00B31850"/>
    <w:rsid w:val="00B331D6"/>
    <w:rsid w:val="00B36391"/>
    <w:rsid w:val="00B368AB"/>
    <w:rsid w:val="00B37047"/>
    <w:rsid w:val="00B377F5"/>
    <w:rsid w:val="00B405CE"/>
    <w:rsid w:val="00B42372"/>
    <w:rsid w:val="00B46064"/>
    <w:rsid w:val="00B46859"/>
    <w:rsid w:val="00B47EA0"/>
    <w:rsid w:val="00B51CEA"/>
    <w:rsid w:val="00B525A4"/>
    <w:rsid w:val="00B528CC"/>
    <w:rsid w:val="00B565C4"/>
    <w:rsid w:val="00B57B9A"/>
    <w:rsid w:val="00B631A5"/>
    <w:rsid w:val="00B63A76"/>
    <w:rsid w:val="00B63FF8"/>
    <w:rsid w:val="00B67942"/>
    <w:rsid w:val="00B7081F"/>
    <w:rsid w:val="00B70BC3"/>
    <w:rsid w:val="00B72273"/>
    <w:rsid w:val="00B7761C"/>
    <w:rsid w:val="00B835E5"/>
    <w:rsid w:val="00B83E8A"/>
    <w:rsid w:val="00B8465F"/>
    <w:rsid w:val="00B84A11"/>
    <w:rsid w:val="00B85A71"/>
    <w:rsid w:val="00B86D5B"/>
    <w:rsid w:val="00B9077D"/>
    <w:rsid w:val="00B924D7"/>
    <w:rsid w:val="00B93813"/>
    <w:rsid w:val="00B951ED"/>
    <w:rsid w:val="00B958C2"/>
    <w:rsid w:val="00B96A13"/>
    <w:rsid w:val="00B97557"/>
    <w:rsid w:val="00BA68D5"/>
    <w:rsid w:val="00BB0B50"/>
    <w:rsid w:val="00BB7DA3"/>
    <w:rsid w:val="00BC0741"/>
    <w:rsid w:val="00BC32EF"/>
    <w:rsid w:val="00BC3715"/>
    <w:rsid w:val="00BC55B7"/>
    <w:rsid w:val="00BC70FC"/>
    <w:rsid w:val="00BD28C4"/>
    <w:rsid w:val="00BD3AF6"/>
    <w:rsid w:val="00BD4007"/>
    <w:rsid w:val="00BD42DD"/>
    <w:rsid w:val="00BD5710"/>
    <w:rsid w:val="00BD60CA"/>
    <w:rsid w:val="00BD7689"/>
    <w:rsid w:val="00BE75EF"/>
    <w:rsid w:val="00BF1BB3"/>
    <w:rsid w:val="00BF6CF9"/>
    <w:rsid w:val="00BF6D18"/>
    <w:rsid w:val="00BF6FCF"/>
    <w:rsid w:val="00C00248"/>
    <w:rsid w:val="00C00B7B"/>
    <w:rsid w:val="00C00DD0"/>
    <w:rsid w:val="00C01266"/>
    <w:rsid w:val="00C014C1"/>
    <w:rsid w:val="00C058E3"/>
    <w:rsid w:val="00C061A1"/>
    <w:rsid w:val="00C11057"/>
    <w:rsid w:val="00C11795"/>
    <w:rsid w:val="00C11A77"/>
    <w:rsid w:val="00C1425F"/>
    <w:rsid w:val="00C16444"/>
    <w:rsid w:val="00C17FD9"/>
    <w:rsid w:val="00C22371"/>
    <w:rsid w:val="00C223E5"/>
    <w:rsid w:val="00C236D7"/>
    <w:rsid w:val="00C2620A"/>
    <w:rsid w:val="00C30E71"/>
    <w:rsid w:val="00C342E7"/>
    <w:rsid w:val="00C37387"/>
    <w:rsid w:val="00C406D2"/>
    <w:rsid w:val="00C4097A"/>
    <w:rsid w:val="00C463D1"/>
    <w:rsid w:val="00C5416F"/>
    <w:rsid w:val="00C54BD4"/>
    <w:rsid w:val="00C55369"/>
    <w:rsid w:val="00C6013C"/>
    <w:rsid w:val="00C6162E"/>
    <w:rsid w:val="00C62DFB"/>
    <w:rsid w:val="00C6318B"/>
    <w:rsid w:val="00C6319F"/>
    <w:rsid w:val="00C6402D"/>
    <w:rsid w:val="00C64C7F"/>
    <w:rsid w:val="00C64E56"/>
    <w:rsid w:val="00C652B1"/>
    <w:rsid w:val="00C65B7E"/>
    <w:rsid w:val="00C6646C"/>
    <w:rsid w:val="00C702CF"/>
    <w:rsid w:val="00C72000"/>
    <w:rsid w:val="00C72E02"/>
    <w:rsid w:val="00C7469F"/>
    <w:rsid w:val="00C8005F"/>
    <w:rsid w:val="00C82D1B"/>
    <w:rsid w:val="00C83C4B"/>
    <w:rsid w:val="00C86355"/>
    <w:rsid w:val="00C8657D"/>
    <w:rsid w:val="00C91550"/>
    <w:rsid w:val="00C91724"/>
    <w:rsid w:val="00C92180"/>
    <w:rsid w:val="00C92BB6"/>
    <w:rsid w:val="00C95542"/>
    <w:rsid w:val="00C95C0F"/>
    <w:rsid w:val="00C95C63"/>
    <w:rsid w:val="00C97FAC"/>
    <w:rsid w:val="00CA4263"/>
    <w:rsid w:val="00CA729A"/>
    <w:rsid w:val="00CA7558"/>
    <w:rsid w:val="00CB0406"/>
    <w:rsid w:val="00CB48E7"/>
    <w:rsid w:val="00CB497D"/>
    <w:rsid w:val="00CC1B4E"/>
    <w:rsid w:val="00CC302D"/>
    <w:rsid w:val="00CC5A15"/>
    <w:rsid w:val="00CD2BFB"/>
    <w:rsid w:val="00CD3801"/>
    <w:rsid w:val="00CD3C45"/>
    <w:rsid w:val="00CD6803"/>
    <w:rsid w:val="00CE1EFD"/>
    <w:rsid w:val="00CE3075"/>
    <w:rsid w:val="00CE587F"/>
    <w:rsid w:val="00CE5B83"/>
    <w:rsid w:val="00CE6151"/>
    <w:rsid w:val="00CF2F4A"/>
    <w:rsid w:val="00CF32EE"/>
    <w:rsid w:val="00CF370D"/>
    <w:rsid w:val="00CF582D"/>
    <w:rsid w:val="00D030D4"/>
    <w:rsid w:val="00D052C6"/>
    <w:rsid w:val="00D0539C"/>
    <w:rsid w:val="00D05CB5"/>
    <w:rsid w:val="00D06071"/>
    <w:rsid w:val="00D06B01"/>
    <w:rsid w:val="00D07B43"/>
    <w:rsid w:val="00D13DF7"/>
    <w:rsid w:val="00D17215"/>
    <w:rsid w:val="00D20BAF"/>
    <w:rsid w:val="00D217C0"/>
    <w:rsid w:val="00D23048"/>
    <w:rsid w:val="00D24062"/>
    <w:rsid w:val="00D26D0F"/>
    <w:rsid w:val="00D31776"/>
    <w:rsid w:val="00D32D38"/>
    <w:rsid w:val="00D4120E"/>
    <w:rsid w:val="00D41ECF"/>
    <w:rsid w:val="00D42873"/>
    <w:rsid w:val="00D42C8A"/>
    <w:rsid w:val="00D43FDB"/>
    <w:rsid w:val="00D45ABF"/>
    <w:rsid w:val="00D46E1E"/>
    <w:rsid w:val="00D51C40"/>
    <w:rsid w:val="00D54B7D"/>
    <w:rsid w:val="00D615F0"/>
    <w:rsid w:val="00D622C7"/>
    <w:rsid w:val="00D632F2"/>
    <w:rsid w:val="00D645EB"/>
    <w:rsid w:val="00D64D74"/>
    <w:rsid w:val="00D70229"/>
    <w:rsid w:val="00D72002"/>
    <w:rsid w:val="00D73505"/>
    <w:rsid w:val="00D73816"/>
    <w:rsid w:val="00D7412A"/>
    <w:rsid w:val="00D74B77"/>
    <w:rsid w:val="00D762C1"/>
    <w:rsid w:val="00D762E8"/>
    <w:rsid w:val="00D775D1"/>
    <w:rsid w:val="00D775F2"/>
    <w:rsid w:val="00D82580"/>
    <w:rsid w:val="00D83CE6"/>
    <w:rsid w:val="00D85B2F"/>
    <w:rsid w:val="00D873D1"/>
    <w:rsid w:val="00D876B6"/>
    <w:rsid w:val="00D90469"/>
    <w:rsid w:val="00D926DB"/>
    <w:rsid w:val="00D92AAD"/>
    <w:rsid w:val="00D93DB7"/>
    <w:rsid w:val="00D94073"/>
    <w:rsid w:val="00D951A0"/>
    <w:rsid w:val="00DA507E"/>
    <w:rsid w:val="00DB169F"/>
    <w:rsid w:val="00DB2914"/>
    <w:rsid w:val="00DB56F3"/>
    <w:rsid w:val="00DB704B"/>
    <w:rsid w:val="00DC06F9"/>
    <w:rsid w:val="00DC568F"/>
    <w:rsid w:val="00DC64E7"/>
    <w:rsid w:val="00DC76C7"/>
    <w:rsid w:val="00DC7C34"/>
    <w:rsid w:val="00DD08AF"/>
    <w:rsid w:val="00DD1AC0"/>
    <w:rsid w:val="00DD2E50"/>
    <w:rsid w:val="00DD3798"/>
    <w:rsid w:val="00DD4A45"/>
    <w:rsid w:val="00DD548E"/>
    <w:rsid w:val="00DD6023"/>
    <w:rsid w:val="00DE0449"/>
    <w:rsid w:val="00DE1232"/>
    <w:rsid w:val="00DE19BA"/>
    <w:rsid w:val="00DE3D61"/>
    <w:rsid w:val="00DE50AB"/>
    <w:rsid w:val="00DE5466"/>
    <w:rsid w:val="00DE5DC6"/>
    <w:rsid w:val="00DE60CB"/>
    <w:rsid w:val="00DF1297"/>
    <w:rsid w:val="00DF1DED"/>
    <w:rsid w:val="00DF670D"/>
    <w:rsid w:val="00DF7559"/>
    <w:rsid w:val="00E037C3"/>
    <w:rsid w:val="00E03CD5"/>
    <w:rsid w:val="00E0649C"/>
    <w:rsid w:val="00E06CE2"/>
    <w:rsid w:val="00E11614"/>
    <w:rsid w:val="00E1287C"/>
    <w:rsid w:val="00E14D12"/>
    <w:rsid w:val="00E15113"/>
    <w:rsid w:val="00E205CD"/>
    <w:rsid w:val="00E228A2"/>
    <w:rsid w:val="00E236FE"/>
    <w:rsid w:val="00E25157"/>
    <w:rsid w:val="00E36D92"/>
    <w:rsid w:val="00E4037B"/>
    <w:rsid w:val="00E41EA4"/>
    <w:rsid w:val="00E42A0D"/>
    <w:rsid w:val="00E457DA"/>
    <w:rsid w:val="00E47499"/>
    <w:rsid w:val="00E515D8"/>
    <w:rsid w:val="00E60750"/>
    <w:rsid w:val="00E62BBD"/>
    <w:rsid w:val="00E63C8A"/>
    <w:rsid w:val="00E63CF2"/>
    <w:rsid w:val="00E66B2E"/>
    <w:rsid w:val="00E67F2D"/>
    <w:rsid w:val="00E750AB"/>
    <w:rsid w:val="00E77BCE"/>
    <w:rsid w:val="00E842D5"/>
    <w:rsid w:val="00E85943"/>
    <w:rsid w:val="00E900F6"/>
    <w:rsid w:val="00E94609"/>
    <w:rsid w:val="00E95C1D"/>
    <w:rsid w:val="00E97F1D"/>
    <w:rsid w:val="00EA0F2D"/>
    <w:rsid w:val="00EA29FC"/>
    <w:rsid w:val="00EA322C"/>
    <w:rsid w:val="00EA55F0"/>
    <w:rsid w:val="00EB0CBB"/>
    <w:rsid w:val="00EB282A"/>
    <w:rsid w:val="00EB37CE"/>
    <w:rsid w:val="00EB4AD2"/>
    <w:rsid w:val="00EB5423"/>
    <w:rsid w:val="00EB5B86"/>
    <w:rsid w:val="00EB5E5D"/>
    <w:rsid w:val="00EB643C"/>
    <w:rsid w:val="00EB6469"/>
    <w:rsid w:val="00EB6573"/>
    <w:rsid w:val="00EB6F8F"/>
    <w:rsid w:val="00EB7DAA"/>
    <w:rsid w:val="00EC0198"/>
    <w:rsid w:val="00EC1DA7"/>
    <w:rsid w:val="00EC5395"/>
    <w:rsid w:val="00EC73BA"/>
    <w:rsid w:val="00ED1A2A"/>
    <w:rsid w:val="00ED28BF"/>
    <w:rsid w:val="00ED369E"/>
    <w:rsid w:val="00ED613F"/>
    <w:rsid w:val="00ED649C"/>
    <w:rsid w:val="00EE2FE4"/>
    <w:rsid w:val="00EE33DC"/>
    <w:rsid w:val="00EE7843"/>
    <w:rsid w:val="00EF12EA"/>
    <w:rsid w:val="00EF487F"/>
    <w:rsid w:val="00EF4F72"/>
    <w:rsid w:val="00F037FB"/>
    <w:rsid w:val="00F04A6E"/>
    <w:rsid w:val="00F06E79"/>
    <w:rsid w:val="00F1179D"/>
    <w:rsid w:val="00F14B6C"/>
    <w:rsid w:val="00F158F7"/>
    <w:rsid w:val="00F15D25"/>
    <w:rsid w:val="00F21983"/>
    <w:rsid w:val="00F2367C"/>
    <w:rsid w:val="00F24061"/>
    <w:rsid w:val="00F24663"/>
    <w:rsid w:val="00F3396E"/>
    <w:rsid w:val="00F3418A"/>
    <w:rsid w:val="00F377BF"/>
    <w:rsid w:val="00F42C31"/>
    <w:rsid w:val="00F455BF"/>
    <w:rsid w:val="00F4649C"/>
    <w:rsid w:val="00F526B4"/>
    <w:rsid w:val="00F53BE9"/>
    <w:rsid w:val="00F55467"/>
    <w:rsid w:val="00F56EB9"/>
    <w:rsid w:val="00F60302"/>
    <w:rsid w:val="00F607AF"/>
    <w:rsid w:val="00F64F0B"/>
    <w:rsid w:val="00F6525C"/>
    <w:rsid w:val="00F66AA6"/>
    <w:rsid w:val="00F70197"/>
    <w:rsid w:val="00F71B54"/>
    <w:rsid w:val="00F71CA8"/>
    <w:rsid w:val="00F7544A"/>
    <w:rsid w:val="00F823E0"/>
    <w:rsid w:val="00F8363F"/>
    <w:rsid w:val="00F8443F"/>
    <w:rsid w:val="00F87799"/>
    <w:rsid w:val="00F90198"/>
    <w:rsid w:val="00F920FD"/>
    <w:rsid w:val="00F92DBD"/>
    <w:rsid w:val="00F950B8"/>
    <w:rsid w:val="00FA0C5F"/>
    <w:rsid w:val="00FA2D13"/>
    <w:rsid w:val="00FA3B8D"/>
    <w:rsid w:val="00FA4F65"/>
    <w:rsid w:val="00FA563F"/>
    <w:rsid w:val="00FA6AB0"/>
    <w:rsid w:val="00FB33AA"/>
    <w:rsid w:val="00FB384E"/>
    <w:rsid w:val="00FB586F"/>
    <w:rsid w:val="00FB77E6"/>
    <w:rsid w:val="00FB7AA1"/>
    <w:rsid w:val="00FD2CE7"/>
    <w:rsid w:val="00FD3861"/>
    <w:rsid w:val="00FD6B73"/>
    <w:rsid w:val="00FD6E8F"/>
    <w:rsid w:val="00FE04F9"/>
    <w:rsid w:val="00FE32D5"/>
    <w:rsid w:val="00FE3604"/>
    <w:rsid w:val="00FF1BF9"/>
    <w:rsid w:val="00FF274D"/>
    <w:rsid w:val="00FF3D27"/>
    <w:rsid w:val="00FF52C2"/>
    <w:rsid w:val="00FF5A24"/>
    <w:rsid w:val="00FF695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F146A1A"/>
  <w15:chartTrackingRefBased/>
  <w15:docId w15:val="{41F81AE8-7198-4CE2-BAC6-94767FC55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uiPriority="1" w:qFormat="1"/>
    <w:lsdException w:name="Subtitle" w:qFormat="1"/>
    <w:lsdException w:name="Strong" w:qFormat="1"/>
    <w:lsdException w:name="Emphasis" w:qFormat="1"/>
    <w:lsdException w:name="HTML Preformatted"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586F"/>
    <w:rPr>
      <w:sz w:val="24"/>
      <w:szCs w:val="24"/>
    </w:rPr>
  </w:style>
  <w:style w:type="paragraph" w:styleId="Heading1">
    <w:name w:val="heading 1"/>
    <w:basedOn w:val="Normal"/>
    <w:link w:val="Heading1Char"/>
    <w:uiPriority w:val="1"/>
    <w:qFormat/>
    <w:rsid w:val="00FD6E8F"/>
    <w:pPr>
      <w:widowControl w:val="0"/>
      <w:ind w:left="100"/>
      <w:outlineLvl w:val="0"/>
    </w:pPr>
    <w:rPr>
      <w:b/>
      <w:bCs/>
      <w:u w:val="single"/>
    </w:rPr>
  </w:style>
  <w:style w:type="paragraph" w:styleId="Heading2">
    <w:name w:val="heading 2"/>
    <w:basedOn w:val="Normal"/>
    <w:next w:val="Normal"/>
    <w:link w:val="Heading2Char"/>
    <w:semiHidden/>
    <w:unhideWhenUsed/>
    <w:qFormat/>
    <w:rsid w:val="0092224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03D43"/>
    <w:pPr>
      <w:spacing w:before="100" w:beforeAutospacing="1" w:after="100" w:afterAutospacing="1"/>
    </w:pPr>
  </w:style>
  <w:style w:type="paragraph" w:styleId="Footer">
    <w:name w:val="footer"/>
    <w:basedOn w:val="Normal"/>
    <w:rsid w:val="00454CC3"/>
    <w:pPr>
      <w:tabs>
        <w:tab w:val="center" w:pos="4320"/>
        <w:tab w:val="right" w:pos="8640"/>
      </w:tabs>
    </w:pPr>
  </w:style>
  <w:style w:type="character" w:styleId="PageNumber">
    <w:name w:val="page number"/>
    <w:basedOn w:val="DefaultParagraphFont"/>
    <w:rsid w:val="00454CC3"/>
  </w:style>
  <w:style w:type="paragraph" w:styleId="FootnoteText">
    <w:name w:val="footnote text"/>
    <w:basedOn w:val="Normal"/>
    <w:link w:val="FootnoteTextChar"/>
    <w:uiPriority w:val="99"/>
    <w:semiHidden/>
    <w:rsid w:val="001C6D21"/>
    <w:rPr>
      <w:sz w:val="20"/>
      <w:szCs w:val="20"/>
    </w:rPr>
  </w:style>
  <w:style w:type="character" w:styleId="FootnoteReference">
    <w:name w:val="footnote reference"/>
    <w:uiPriority w:val="99"/>
    <w:semiHidden/>
    <w:rsid w:val="001C6D21"/>
    <w:rPr>
      <w:vertAlign w:val="superscript"/>
    </w:rPr>
  </w:style>
  <w:style w:type="table" w:styleId="TableGrid">
    <w:name w:val="Table Grid"/>
    <w:basedOn w:val="TableNormal"/>
    <w:rsid w:val="00422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5">
    <w:name w:val="_level5"/>
    <w:basedOn w:val="Normal"/>
    <w:rsid w:val="003F65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rPr>
      <w:szCs w:val="20"/>
    </w:rPr>
  </w:style>
  <w:style w:type="paragraph" w:styleId="BalloonText">
    <w:name w:val="Balloon Text"/>
    <w:basedOn w:val="Normal"/>
    <w:link w:val="BalloonTextChar"/>
    <w:rsid w:val="008C6AE0"/>
    <w:rPr>
      <w:rFonts w:ascii="Tahoma" w:hAnsi="Tahoma"/>
      <w:sz w:val="16"/>
      <w:szCs w:val="16"/>
      <w:lang w:val="x-none" w:eastAsia="x-none"/>
    </w:rPr>
  </w:style>
  <w:style w:type="character" w:customStyle="1" w:styleId="BalloonTextChar">
    <w:name w:val="Balloon Text Char"/>
    <w:link w:val="BalloonText"/>
    <w:rsid w:val="008C6AE0"/>
    <w:rPr>
      <w:rFonts w:ascii="Tahoma" w:hAnsi="Tahoma" w:cs="Tahoma"/>
      <w:sz w:val="16"/>
      <w:szCs w:val="16"/>
    </w:rPr>
  </w:style>
  <w:style w:type="character" w:styleId="CommentReference">
    <w:name w:val="annotation reference"/>
    <w:rsid w:val="008C6AE0"/>
    <w:rPr>
      <w:sz w:val="16"/>
      <w:szCs w:val="16"/>
    </w:rPr>
  </w:style>
  <w:style w:type="paragraph" w:styleId="CommentText">
    <w:name w:val="annotation text"/>
    <w:basedOn w:val="Normal"/>
    <w:link w:val="CommentTextChar"/>
    <w:rsid w:val="008C6AE0"/>
    <w:rPr>
      <w:sz w:val="20"/>
      <w:szCs w:val="20"/>
    </w:rPr>
  </w:style>
  <w:style w:type="character" w:customStyle="1" w:styleId="CommentTextChar">
    <w:name w:val="Comment Text Char"/>
    <w:basedOn w:val="DefaultParagraphFont"/>
    <w:link w:val="CommentText"/>
    <w:rsid w:val="008C6AE0"/>
  </w:style>
  <w:style w:type="paragraph" w:styleId="CommentSubject">
    <w:name w:val="annotation subject"/>
    <w:basedOn w:val="CommentText"/>
    <w:next w:val="CommentText"/>
    <w:link w:val="CommentSubjectChar"/>
    <w:rsid w:val="008C6AE0"/>
    <w:rPr>
      <w:b/>
      <w:bCs/>
      <w:lang w:val="x-none" w:eastAsia="x-none"/>
    </w:rPr>
  </w:style>
  <w:style w:type="character" w:customStyle="1" w:styleId="CommentSubjectChar">
    <w:name w:val="Comment Subject Char"/>
    <w:link w:val="CommentSubject"/>
    <w:rsid w:val="008C6AE0"/>
    <w:rPr>
      <w:b/>
      <w:bCs/>
    </w:rPr>
  </w:style>
  <w:style w:type="paragraph" w:styleId="ListParagraph">
    <w:name w:val="List Paragraph"/>
    <w:basedOn w:val="Normal"/>
    <w:uiPriority w:val="1"/>
    <w:qFormat/>
    <w:rsid w:val="00C91724"/>
    <w:pPr>
      <w:ind w:left="720"/>
    </w:pPr>
  </w:style>
  <w:style w:type="paragraph" w:styleId="Revision">
    <w:name w:val="Revision"/>
    <w:hidden/>
    <w:uiPriority w:val="99"/>
    <w:semiHidden/>
    <w:rsid w:val="001905BD"/>
    <w:rPr>
      <w:sz w:val="24"/>
      <w:szCs w:val="24"/>
    </w:rPr>
  </w:style>
  <w:style w:type="character" w:styleId="Hyperlink">
    <w:name w:val="Hyperlink"/>
    <w:rsid w:val="0055223A"/>
    <w:rPr>
      <w:color w:val="0000FF"/>
      <w:u w:val="single"/>
    </w:rPr>
  </w:style>
  <w:style w:type="paragraph" w:styleId="EndnoteText">
    <w:name w:val="endnote text"/>
    <w:basedOn w:val="Normal"/>
    <w:link w:val="EndnoteTextChar"/>
    <w:rsid w:val="006C7F4C"/>
    <w:rPr>
      <w:sz w:val="20"/>
      <w:szCs w:val="20"/>
    </w:rPr>
  </w:style>
  <w:style w:type="character" w:customStyle="1" w:styleId="EndnoteTextChar">
    <w:name w:val="Endnote Text Char"/>
    <w:basedOn w:val="DefaultParagraphFont"/>
    <w:link w:val="EndnoteText"/>
    <w:rsid w:val="006C7F4C"/>
  </w:style>
  <w:style w:type="character" w:styleId="EndnoteReference">
    <w:name w:val="endnote reference"/>
    <w:rsid w:val="006C7F4C"/>
    <w:rPr>
      <w:vertAlign w:val="superscript"/>
    </w:rPr>
  </w:style>
  <w:style w:type="character" w:customStyle="1" w:styleId="FootnoteTextChar">
    <w:name w:val="Footnote Text Char"/>
    <w:link w:val="FootnoteText"/>
    <w:uiPriority w:val="99"/>
    <w:semiHidden/>
    <w:rsid w:val="00973ED9"/>
  </w:style>
  <w:style w:type="character" w:customStyle="1" w:styleId="Heading1Char">
    <w:name w:val="Heading 1 Char"/>
    <w:link w:val="Heading1"/>
    <w:uiPriority w:val="1"/>
    <w:rsid w:val="00FD6E8F"/>
    <w:rPr>
      <w:b/>
      <w:bCs/>
      <w:sz w:val="24"/>
      <w:szCs w:val="24"/>
      <w:u w:val="single"/>
    </w:rPr>
  </w:style>
  <w:style w:type="paragraph" w:styleId="BodyText">
    <w:name w:val="Body Text"/>
    <w:basedOn w:val="Normal"/>
    <w:link w:val="BodyTextChar"/>
    <w:uiPriority w:val="1"/>
    <w:qFormat/>
    <w:rsid w:val="00FD6E8F"/>
    <w:pPr>
      <w:widowControl w:val="0"/>
      <w:ind w:left="1520"/>
    </w:pPr>
  </w:style>
  <w:style w:type="character" w:customStyle="1" w:styleId="BodyTextChar">
    <w:name w:val="Body Text Char"/>
    <w:link w:val="BodyText"/>
    <w:uiPriority w:val="1"/>
    <w:rsid w:val="00FD6E8F"/>
    <w:rPr>
      <w:sz w:val="24"/>
      <w:szCs w:val="24"/>
    </w:rPr>
  </w:style>
  <w:style w:type="paragraph" w:customStyle="1" w:styleId="TableParagraph">
    <w:name w:val="Table Paragraph"/>
    <w:basedOn w:val="Normal"/>
    <w:uiPriority w:val="1"/>
    <w:qFormat/>
    <w:rsid w:val="00FD6E8F"/>
    <w:pPr>
      <w:widowControl w:val="0"/>
    </w:pPr>
    <w:rPr>
      <w:rFonts w:ascii="Calibri" w:eastAsia="Calibri" w:hAnsi="Calibri"/>
      <w:sz w:val="22"/>
      <w:szCs w:val="22"/>
    </w:rPr>
  </w:style>
  <w:style w:type="paragraph" w:styleId="Header">
    <w:name w:val="header"/>
    <w:basedOn w:val="Normal"/>
    <w:link w:val="HeaderChar"/>
    <w:rsid w:val="00DF1DED"/>
    <w:pPr>
      <w:tabs>
        <w:tab w:val="center" w:pos="4680"/>
        <w:tab w:val="right" w:pos="9360"/>
      </w:tabs>
    </w:pPr>
  </w:style>
  <w:style w:type="character" w:customStyle="1" w:styleId="HeaderChar">
    <w:name w:val="Header Char"/>
    <w:link w:val="Header"/>
    <w:rsid w:val="00DF1DED"/>
    <w:rPr>
      <w:sz w:val="24"/>
      <w:szCs w:val="24"/>
    </w:rPr>
  </w:style>
  <w:style w:type="character" w:customStyle="1" w:styleId="Heading2Char">
    <w:name w:val="Heading 2 Char"/>
    <w:basedOn w:val="DefaultParagraphFont"/>
    <w:link w:val="Heading2"/>
    <w:semiHidden/>
    <w:rsid w:val="00922246"/>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oes/current/oes451011.htm" TargetMode="External" /><Relationship Id="rId11" Type="http://schemas.openxmlformats.org/officeDocument/2006/relationships/hyperlink" Target="http://www.gpo.gov/fdsys/pkg/CFR-2014-title5-vol3/pdf/CFR-2014-title5-vol3-sec1320-9.pdf" TargetMode="External" /><Relationship Id="rId12" Type="http://schemas.openxmlformats.org/officeDocument/2006/relationships/hyperlink" Target="http://www.gpo.gov/fdsys/pkg/CFR-2014-title5-vol3/pdf/CFR-2014-title5-vol3-sec1320-8.pdf"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file:///G:\GPEA-PRA\PRA%20Docs\0600-0699\0619\2024\0648-0619%2060-Day%2089%20FR%209126%202024-0209.pdf" TargetMode="External" /><Relationship Id="rId6" Type="http://schemas.openxmlformats.org/officeDocument/2006/relationships/hyperlink" Target="http://www.corporateservices.noaa.gov/ames/administrative_orders/chapter_216/216-100.html" TargetMode="External" /><Relationship Id="rId7" Type="http://schemas.openxmlformats.org/officeDocument/2006/relationships/hyperlink" Target="http://www.whitehouse.gov/omb/circulars_a130_a130trans4" TargetMode="External" /><Relationship Id="rId8" Type="http://schemas.openxmlformats.org/officeDocument/2006/relationships/hyperlink" Target="http://csrc.nist.gov/groups/SMA/ispab/documents/csa_87.txt" TargetMode="External" /><Relationship Id="rId9" Type="http://schemas.openxmlformats.org/officeDocument/2006/relationships/hyperlink" Target="http://www.mhimss.org/sites/default/files/resource-media/pdf/GISRA.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B6005-AE4A-41E8-B51D-9533A4F3A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22</Pages>
  <Words>9243</Words>
  <Characters>50288</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Authority:   16 U</vt:lpstr>
    </vt:vector>
  </TitlesOfParts>
  <Company>NMFS</Company>
  <LinksUpToDate>false</LinksUpToDate>
  <CharactersWithSpaces>59413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Authority:   16 U</dc:title>
  <dc:creator>beckyr</dc:creator>
  <cp:lastModifiedBy>Adrienne.Thomas</cp:lastModifiedBy>
  <cp:revision>5</cp:revision>
  <cp:lastPrinted>2015-11-19T22:54:00Z</cp:lastPrinted>
  <dcterms:created xsi:type="dcterms:W3CDTF">2024-04-19T14:49:00Z</dcterms:created>
  <dcterms:modified xsi:type="dcterms:W3CDTF">2024-04-19T14:59:00Z</dcterms:modified>
</cp:coreProperties>
</file>