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15FE" w:rsidP="00600C08" w14:paraId="00000001" w14:textId="77777777">
      <w:pPr>
        <w:pStyle w:val="Heading1"/>
        <w:spacing w:before="0"/>
        <w:ind w:left="0"/>
        <w:jc w:val="center"/>
      </w:pPr>
      <w:r>
        <w:t>SUPPORTING STATEMENT</w:t>
      </w:r>
    </w:p>
    <w:p w:rsidR="006E15FE" w:rsidP="00600C08" w14:paraId="00000002" w14:textId="77777777">
      <w:pPr>
        <w:ind w:firstLine="14"/>
        <w:jc w:val="center"/>
        <w:rPr>
          <w:b/>
        </w:rPr>
      </w:pPr>
      <w:r>
        <w:rPr>
          <w:b/>
        </w:rPr>
        <w:t>U.S. Department of Commerce</w:t>
      </w:r>
    </w:p>
    <w:p w:rsidR="006E15FE" w:rsidP="00600C08" w14:paraId="00000003" w14:textId="77777777">
      <w:pPr>
        <w:ind w:firstLine="14"/>
        <w:jc w:val="center"/>
        <w:rPr>
          <w:b/>
        </w:rPr>
      </w:pPr>
      <w:r>
        <w:rPr>
          <w:b/>
        </w:rPr>
        <w:t>National Oceanic &amp; Atmospheric Administration</w:t>
      </w:r>
    </w:p>
    <w:p w:rsidR="006E15FE" w:rsidP="00600C08" w14:paraId="00000004" w14:textId="77777777">
      <w:pPr>
        <w:jc w:val="center"/>
        <w:rPr>
          <w:b/>
        </w:rPr>
      </w:pPr>
      <w:r>
        <w:rPr>
          <w:b/>
          <w:color w:val="000000"/>
        </w:rPr>
        <w:t>Tornado Watch/Warning Post-Event Evaluation</w:t>
      </w:r>
    </w:p>
    <w:p w:rsidR="006E15FE" w:rsidP="00600C08" w14:paraId="00000005" w14:textId="77777777">
      <w:pPr>
        <w:ind w:hanging="6"/>
        <w:jc w:val="center"/>
        <w:rPr>
          <w:b/>
        </w:rPr>
      </w:pPr>
      <w:r>
        <w:rPr>
          <w:b/>
        </w:rPr>
        <w:t>OMB Control No. 0648-0797</w:t>
      </w:r>
    </w:p>
    <w:p w:rsidR="006E15FE" w:rsidP="00600C08" w14:paraId="00000006" w14:textId="77777777">
      <w:pPr>
        <w:widowControl w:val="0"/>
        <w:pBdr>
          <w:top w:val="nil"/>
          <w:left w:val="nil"/>
          <w:bottom w:val="nil"/>
          <w:right w:val="nil"/>
          <w:between w:val="nil"/>
        </w:pBdr>
        <w:jc w:val="center"/>
        <w:rPr>
          <w:b/>
          <w:color w:val="000000"/>
        </w:rPr>
      </w:pPr>
    </w:p>
    <w:p w:rsidR="006E15FE" w14:paraId="00000007" w14:textId="77777777">
      <w:pPr>
        <w:spacing w:before="1" w:line="398" w:lineRule="auto"/>
        <w:rPr>
          <w:b/>
        </w:rPr>
      </w:pPr>
      <w:r>
        <w:rPr>
          <w:b/>
          <w:color w:val="000000"/>
        </w:rPr>
        <w:t xml:space="preserve">SUPPORTING STATEMENT </w:t>
      </w:r>
      <w:r>
        <w:rPr>
          <w:b/>
          <w:color w:val="000000"/>
        </w:rPr>
        <w:t>PART</w:t>
      </w:r>
      <w:r>
        <w:rPr>
          <w:b/>
          <w:color w:val="000000"/>
        </w:rPr>
        <w:t xml:space="preserve"> A</w:t>
      </w:r>
      <w:r>
        <w:rPr>
          <w:b/>
          <w:color w:val="1F497D"/>
        </w:rPr>
        <w:t xml:space="preserve"> </w:t>
      </w:r>
    </w:p>
    <w:p w:rsidR="006E15FE" w14:paraId="00000008" w14:textId="77777777">
      <w:pPr>
        <w:pStyle w:val="Heading1"/>
        <w:spacing w:before="199"/>
        <w:ind w:left="0"/>
      </w:pPr>
      <w:r>
        <w:t>Abstract</w:t>
      </w:r>
    </w:p>
    <w:p w:rsidR="006E15FE" w14:paraId="00000009" w14:textId="77777777">
      <w:pPr>
        <w:pStyle w:val="Heading1"/>
        <w:spacing w:before="124"/>
        <w:ind w:left="0"/>
        <w:rPr>
          <w:b w:val="0"/>
        </w:rPr>
      </w:pPr>
      <w:r>
        <w:rPr>
          <w:b w:val="0"/>
        </w:rPr>
        <w:t>This is a request for a revision and extension of the OMB control number 0648-0797: Tornado Watch/Warning Post-Event Evaluation.</w:t>
      </w:r>
    </w:p>
    <w:p w:rsidR="006E15FE" w14:paraId="0000000A" w14:textId="77777777"/>
    <w:p w:rsidR="006E15FE" w14:paraId="0000000B" w14:textId="77777777">
      <w:r>
        <w:t xml:space="preserve">The NOAA National Severe Storms Laboratory (NSSL) designed the data collection instrument to allow for more routine collection of this information. This survey is delivered through a web application hosted by NSSL called Tornado Tales, available online at </w:t>
      </w:r>
      <w:hyperlink r:id="rId5">
        <w:r>
          <w:rPr>
            <w:color w:val="1155CC"/>
            <w:u w:val="single"/>
          </w:rPr>
          <w:t>https://inside.nssl.noaa.gov/tornado-tales/</w:t>
        </w:r>
      </w:hyperlink>
      <w:r>
        <w:t xml:space="preserve">. After approval of our initial data collection instrument (that shown on the website), researchers carried out post-event data collections for multiple tornado events, validating the questions and identifying issues for improvement. This fieldwork led to several needed improvements, including the addition of questions about the event more broadly, rephrasing some questions, and including questions about efficacy and the availability of forecast information. While these revisions have added questions to the survey, their improved clarity should allow for faster response times per question. We estimate the time to complete the survey is five to ten minutes on average. Subject recruitment will primarily be done by NOAA NSSL and its partners advertising the survey via websites and social media outlets. In addition to the changes to the survey instrument, researchers at NOAA NSSL and the University of Oklahoma would like to conduct interviews with emergency managers, broadcast meteorologists, and members of the public after certain tornado events to explore how they interpreted and used NOAA forecast information. Researchers will use a skip-logic approach, meaning participants will only answer questions about the time periods relevant to their personal experience. Given the in-person nature of these interviews, we expect them to take between 15 and 30 minutes on average. </w:t>
      </w:r>
    </w:p>
    <w:p w:rsidR="006E15FE" w14:paraId="0000000C" w14:textId="77777777">
      <w:pPr>
        <w:pStyle w:val="Heading1"/>
        <w:spacing w:before="124"/>
        <w:ind w:left="0"/>
        <w:rPr>
          <w:b w:val="0"/>
          <w:color w:val="000000"/>
        </w:rPr>
      </w:pPr>
    </w:p>
    <w:p w:rsidR="006E15FE" w14:paraId="0000000D" w14:textId="77777777">
      <w:pPr>
        <w:pStyle w:val="Heading1"/>
        <w:spacing w:before="124"/>
        <w:ind w:left="0"/>
      </w:pPr>
      <w:r>
        <w:t>Justification</w:t>
      </w:r>
    </w:p>
    <w:p w:rsidR="006E15FE" w14:paraId="0000000E" w14:textId="77777777">
      <w:pPr>
        <w:widowControl w:val="0"/>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b/>
          <w:color w:val="000000"/>
        </w:rPr>
        <w:br/>
      </w:r>
      <w:r>
        <w:rPr>
          <w:b/>
          <w:color w:val="000000"/>
        </w:rPr>
        <w:br/>
      </w:r>
      <w:r>
        <w:rPr>
          <w:color w:val="000000"/>
        </w:rPr>
        <w:t xml:space="preserve">Congress established Social Behavioral and Economic Sciences (SBES) policies for weather forecasting in the </w:t>
      </w:r>
      <w:hyperlink r:id="rId6">
        <w:r>
          <w:rPr>
            <w:color w:val="0000FF"/>
            <w:u w:val="single"/>
          </w:rPr>
          <w:t>Weather Research and Forecasting Innovation Act</w:t>
        </w:r>
      </w:hyperlink>
      <w:r>
        <w:rPr>
          <w:color w:val="000000"/>
        </w:rPr>
        <w:t xml:space="preserve"> (WRFIA) of 2017. The legislation specified, at a high level, that the purpose of the NOAA watch/warning system is to </w:t>
      </w:r>
      <w:r>
        <w:rPr>
          <w:i/>
          <w:color w:val="000000"/>
        </w:rPr>
        <w:t>inform action</w:t>
      </w:r>
      <w:r>
        <w:rPr>
          <w:color w:val="000000"/>
        </w:rPr>
        <w:t xml:space="preserve"> to prevent loss of life and property (Sec. 406), and that any changes to the system must preserve the benefits of the current system and be guided by the findings of social scientific research.  NOAA responded to this guidance in its </w:t>
      </w:r>
      <w:hyperlink r:id="rId7">
        <w:r>
          <w:rPr>
            <w:color w:val="0000FF"/>
            <w:u w:val="single"/>
          </w:rPr>
          <w:t>2020-2026 R&amp;D Vision</w:t>
        </w:r>
      </w:hyperlink>
      <w:r>
        <w:rPr>
          <w:color w:val="000000"/>
        </w:rPr>
        <w:t xml:space="preserve">, calling out reductions in societal impacts from hazardous weather in Vision Area #1.  Key Question 1.4 asks, “How </w:t>
      </w:r>
      <w:r>
        <w:rPr>
          <w:i/>
          <w:color w:val="000000"/>
        </w:rPr>
        <w:t>can</w:t>
      </w:r>
      <w:r>
        <w:rPr>
          <w:color w:val="000000"/>
        </w:rPr>
        <w:t xml:space="preserve"> NOAA enhance communications, products, and services to enable informed decision-making?”  The vision document prescribes that this should be done by first understanding the risk communication process that </w:t>
      </w:r>
      <w:r>
        <w:rPr>
          <w:i/>
          <w:color w:val="000000"/>
        </w:rPr>
        <w:t>supports</w:t>
      </w:r>
      <w:r>
        <w:rPr>
          <w:color w:val="000000"/>
        </w:rPr>
        <w:t xml:space="preserve"> decision-making by the public.  Optimizing NOAA’s communication outcomes requires that messages are widely disseminated, understood, and actionable.</w:t>
      </w:r>
      <w:r>
        <w:rPr>
          <w:b/>
          <w:color w:val="000000"/>
        </w:rPr>
        <w:br/>
      </w:r>
      <w:r>
        <w:rPr>
          <w:b/>
          <w:color w:val="000000"/>
        </w:rPr>
        <w:br/>
      </w:r>
      <w:r>
        <w:rPr>
          <w:color w:val="000000"/>
        </w:rPr>
        <w:t xml:space="preserve">Another important policy set forth in WRFIA (Sec. 103) is the Tornado Warning Improvement and Extension Program (TWIEP).  The goal for this program is “to reduce the loss of life and economic losses from tornadoes through the development and extension of accurate, effective, and timely tornado forecasts, predictions, and warnings, including the prediction of tornadoes beyond 1 hour in advance.”  The </w:t>
      </w:r>
      <w:hyperlink r:id="rId8">
        <w:r>
          <w:rPr>
            <w:color w:val="0000FF"/>
            <w:u w:val="single"/>
          </w:rPr>
          <w:t>TWIEP Implementation Plan</w:t>
        </w:r>
      </w:hyperlink>
      <w:r>
        <w:rPr>
          <w:color w:val="000000"/>
        </w:rPr>
        <w:t xml:space="preserve"> submitted to Congress by NOAA (</w:t>
      </w:r>
      <w:r>
        <w:rPr>
          <w:i/>
        </w:rPr>
        <w:t>2017</w:t>
      </w:r>
      <w:r>
        <w:rPr>
          <w:color w:val="000000"/>
        </w:rPr>
        <w:t>) includes several key areas of SBES research and development, including research into the ways gap-filling probabilistic information could be generated, disseminated, used by core partners, and ultimately applied to inform decision-making on the part of the U.S. public.  To evaluate the success of this new technology and assure that any changes maintain the benefits of the current watch/warning system (WRFIA Sec. 406), we need baseline data regarding the performance of the current system.</w:t>
      </w:r>
    </w:p>
    <w:p w:rsidR="006E15FE" w14:paraId="0000000F" w14:textId="77777777">
      <w:pPr>
        <w:widowControl w:val="0"/>
        <w:pBdr>
          <w:top w:val="nil"/>
          <w:left w:val="nil"/>
          <w:bottom w:val="nil"/>
          <w:right w:val="nil"/>
          <w:between w:val="nil"/>
        </w:pBdr>
        <w:spacing w:before="159" w:line="259" w:lineRule="auto"/>
        <w:rPr>
          <w:color w:val="2F5496"/>
        </w:rPr>
      </w:pPr>
      <w:r>
        <w:t xml:space="preserve">     </w:t>
      </w:r>
    </w:p>
    <w:p w:rsidR="006E15FE" w14:paraId="00000010"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6E15FE" w14:paraId="00000011" w14:textId="5D135928">
      <w:pPr>
        <w:widowControl w:val="0"/>
        <w:pBdr>
          <w:top w:val="nil"/>
          <w:left w:val="nil"/>
          <w:bottom w:val="nil"/>
          <w:right w:val="nil"/>
          <w:between w:val="nil"/>
        </w:pBdr>
        <w:spacing w:before="161"/>
      </w:pPr>
      <w:r>
        <w:rPr>
          <w:color w:val="000000"/>
        </w:rPr>
        <w:t>The data to be collected includes a small set of questions</w:t>
      </w:r>
      <w:r>
        <w:t xml:space="preserve"> </w:t>
      </w:r>
      <w:r>
        <w:rPr>
          <w:color w:val="000000"/>
        </w:rPr>
        <w:t xml:space="preserve">relating to tornado </w:t>
      </w:r>
      <w:r>
        <w:t>forecast</w:t>
      </w:r>
      <w:r>
        <w:rPr>
          <w:color w:val="000000"/>
        </w:rPr>
        <w:t xml:space="preserve"> reception, understanding, and response.  The survey is estimated to take </w:t>
      </w:r>
      <w:r>
        <w:t>five to ten</w:t>
      </w:r>
      <w:r>
        <w:rPr>
          <w:color w:val="000000"/>
        </w:rPr>
        <w:t xml:space="preserve"> minutes to complete. The participants will be any member of the U.S. public that has been in or near a recent tornado event.</w:t>
      </w:r>
      <w:r>
        <w:t xml:space="preserve"> </w:t>
      </w:r>
      <w:r>
        <w:rPr>
          <w:color w:val="000000"/>
        </w:rPr>
        <w:t xml:space="preserve">Surveys will be administered via a </w:t>
      </w:r>
      <w:r>
        <w:t xml:space="preserve">webpage at </w:t>
      </w:r>
      <w:hyperlink r:id="rId5">
        <w:r>
          <w:rPr>
            <w:color w:val="1155CC"/>
            <w:u w:val="single"/>
          </w:rPr>
          <w:t>https://inside.nssl.noaa.gov/tornado-tales/</w:t>
        </w:r>
      </w:hyperlink>
      <w:r>
        <w:t xml:space="preserve">. </w:t>
      </w:r>
      <w:r>
        <w:rPr>
          <w:color w:val="000000"/>
        </w:rPr>
        <w:t xml:space="preserve"> </w:t>
      </w:r>
      <w:r>
        <w:t>D</w:t>
      </w:r>
      <w:r>
        <w:rPr>
          <w:color w:val="000000"/>
        </w:rPr>
        <w:t xml:space="preserve">ata is stored </w:t>
      </w:r>
      <w:r>
        <w:t>in a password-protected database and all r</w:t>
      </w:r>
      <w:r>
        <w:rPr>
          <w:color w:val="000000"/>
        </w:rPr>
        <w:t xml:space="preserve">esponses </w:t>
      </w:r>
      <w:r>
        <w:t>are anonymous</w:t>
      </w:r>
      <w:r>
        <w:rPr>
          <w:color w:val="000000"/>
        </w:rPr>
        <w:t xml:space="preserve">.  The dataset </w:t>
      </w:r>
      <w:r>
        <w:t xml:space="preserve">has been used to evaluate where and how people receive, understand, and respond to information about a tornado event, resulting in more useful and efficient communication of tornado forecasts. </w:t>
      </w:r>
    </w:p>
    <w:p w:rsidR="006E15FE" w14:paraId="00000012" w14:textId="77777777">
      <w:pPr>
        <w:widowControl w:val="0"/>
        <w:pBdr>
          <w:top w:val="nil"/>
          <w:left w:val="nil"/>
          <w:bottom w:val="nil"/>
          <w:right w:val="nil"/>
          <w:between w:val="nil"/>
        </w:pBdr>
        <w:spacing w:before="161"/>
      </w:pPr>
      <w:r>
        <w:t xml:space="preserve">Interviews will be conducted in-person and recordings will be transcribed by local software. Once transcriptions are complete and de-identified, recordings will be deleted. Transcriptions will be stored on a password-protected machine. These interviews will be used to more fully evaluate why people make the decisions they do leading up to and during tornado events beyond what a survey instrument can collect. </w:t>
      </w:r>
    </w:p>
    <w:p w:rsidR="006E15FE" w14:paraId="00000013" w14:textId="77777777">
      <w:pPr>
        <w:widowControl w:val="0"/>
        <w:pBdr>
          <w:top w:val="nil"/>
          <w:left w:val="nil"/>
          <w:bottom w:val="nil"/>
          <w:right w:val="nil"/>
          <w:between w:val="nil"/>
        </w:pBdr>
        <w:spacing w:before="161"/>
        <w:rPr>
          <w:color w:val="000000"/>
        </w:rPr>
      </w:pPr>
    </w:p>
    <w:p w:rsidR="006E15FE" w14:paraId="00000014" w14:textId="77777777">
      <w:pPr>
        <w:widowControl w:val="0"/>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E15FE" w14:paraId="00000015" w14:textId="77777777">
      <w:pPr>
        <w:spacing w:before="161"/>
        <w:rPr>
          <w:color w:val="000000"/>
        </w:rPr>
      </w:pPr>
      <w:r>
        <w:rPr>
          <w:color w:val="000000"/>
        </w:rPr>
        <w:t xml:space="preserve">The survey instrument will be delivered </w:t>
      </w:r>
      <w:r>
        <w:t>via</w:t>
      </w:r>
      <w:r>
        <w:rPr>
          <w:color w:val="000000"/>
        </w:rPr>
        <w:t xml:space="preserve"> an NSSL web tool.  This web tool will rely on voluntary submissions when tornadoes are experienced. Being web-based means that costs for getting to and from the field are reduced.  Currently much of this information is only recorded in large impact events, meaning we are not able to understand the broader pattern of response (or not) </w:t>
      </w:r>
      <w:r>
        <w:t>during “smaller” or more “regular” tornado events</w:t>
      </w:r>
      <w:r>
        <w:rPr>
          <w:color w:val="000000"/>
        </w:rPr>
        <w:t>.</w:t>
      </w:r>
      <w:r>
        <w:t xml:space="preserve"> The electronic nature of the data collection ensures a more equitable collection of information across tornado severity and location. </w:t>
      </w:r>
    </w:p>
    <w:p w:rsidR="006E15FE" w14:paraId="00000016" w14:textId="77777777">
      <w:pPr>
        <w:spacing w:before="161"/>
      </w:pPr>
    </w:p>
    <w:p w:rsidR="006E15FE" w14:paraId="00000017"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6E15FE" w14:paraId="00000018" w14:textId="77777777">
      <w:pPr>
        <w:widowControl w:val="0"/>
        <w:pBdr>
          <w:top w:val="nil"/>
          <w:left w:val="nil"/>
          <w:bottom w:val="nil"/>
          <w:right w:val="nil"/>
          <w:between w:val="nil"/>
        </w:pBdr>
        <w:spacing w:before="161"/>
        <w:rPr>
          <w:color w:val="000000"/>
        </w:rPr>
      </w:pPr>
      <w:r>
        <w:t>Besides this collection</w:t>
      </w:r>
      <w:r>
        <w:rPr>
          <w:color w:val="000000"/>
        </w:rPr>
        <w:t xml:space="preserve">, the only systematic data collected about severe weather warning effectiveness </w:t>
      </w:r>
      <w:r>
        <w:rPr>
          <w:color w:val="000000"/>
        </w:rPr>
        <w:t>comes from annual customer satisfaction surveys conducted by the National Weather Service.  Those surveys do not take a post-event perspective, only capturing general thoughts on how the system performs as a whole.  The questions also do not measure comprehension and real-world response.  Thus, we do not have the data necessary to evaluate performance in real events as needed to satisfy the requirements of the WRFIA.</w:t>
      </w:r>
    </w:p>
    <w:p w:rsidR="006E15FE" w14:paraId="00000019" w14:textId="77777777">
      <w:pPr>
        <w:widowControl w:val="0"/>
        <w:pBdr>
          <w:top w:val="nil"/>
          <w:left w:val="nil"/>
          <w:bottom w:val="nil"/>
          <w:right w:val="nil"/>
          <w:between w:val="nil"/>
        </w:pBdr>
        <w:spacing w:before="161"/>
        <w:rPr>
          <w:color w:val="1F497D"/>
        </w:rPr>
      </w:pPr>
    </w:p>
    <w:p w:rsidR="006E15FE" w14:paraId="0000001A"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6E15FE" w14:paraId="0000001B" w14:textId="77777777">
      <w:pPr>
        <w:widowControl w:val="0"/>
        <w:pBdr>
          <w:top w:val="nil"/>
          <w:left w:val="nil"/>
          <w:bottom w:val="nil"/>
          <w:right w:val="nil"/>
          <w:between w:val="nil"/>
        </w:pBdr>
        <w:spacing w:before="160"/>
      </w:pPr>
      <w:r>
        <w:t xml:space="preserve">     This collection is directed at individuals or households only.  There is no impact on small businesses or other small entities.</w:t>
      </w:r>
    </w:p>
    <w:p w:rsidR="006E15FE" w14:paraId="0000001C" w14:textId="77777777">
      <w:pPr>
        <w:widowControl w:val="0"/>
        <w:pBdr>
          <w:top w:val="nil"/>
          <w:left w:val="nil"/>
          <w:bottom w:val="nil"/>
          <w:right w:val="nil"/>
          <w:between w:val="nil"/>
        </w:pBdr>
        <w:spacing w:before="160"/>
        <w:rPr>
          <w:color w:val="000000"/>
        </w:rPr>
      </w:pPr>
    </w:p>
    <w:p w:rsidR="006E15FE" w14:paraId="0000001D"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6E15FE" w14:paraId="0000001E" w14:textId="59E2B3A9">
      <w:pPr>
        <w:widowControl w:val="0"/>
        <w:pBdr>
          <w:top w:val="nil"/>
          <w:left w:val="nil"/>
          <w:bottom w:val="nil"/>
          <w:right w:val="nil"/>
          <w:between w:val="nil"/>
        </w:pBdr>
        <w:spacing w:before="115"/>
      </w:pPr>
      <w:r>
        <w:t>If data collection is not conducted, NOAA will be hampered in its efforts to evaluate the societal performance of its tornado watch/warning program.</w:t>
      </w:r>
    </w:p>
    <w:p w:rsidR="006E15FE" w14:paraId="0000001F" w14:textId="77777777">
      <w:pPr>
        <w:widowControl w:val="0"/>
        <w:pBdr>
          <w:top w:val="nil"/>
          <w:left w:val="nil"/>
          <w:bottom w:val="nil"/>
          <w:right w:val="nil"/>
          <w:between w:val="nil"/>
        </w:pBdr>
        <w:spacing w:before="115"/>
        <w:rPr>
          <w:color w:val="000000"/>
        </w:rPr>
      </w:pPr>
    </w:p>
    <w:p w:rsidR="006E15FE" w14:paraId="00000020"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6E15FE" w14:paraId="00000021" w14:textId="77777777">
      <w:pPr>
        <w:spacing w:before="120"/>
        <w:rPr>
          <w:color w:val="000000"/>
        </w:rPr>
      </w:pPr>
      <w:r>
        <w:rPr>
          <w:color w:val="000000"/>
        </w:rPr>
        <w:t>This collection will be conducted in a manner consistent with OMB guidelines.</w:t>
      </w:r>
    </w:p>
    <w:p w:rsidR="006E15FE" w14:paraId="00000022" w14:textId="77777777">
      <w:pPr>
        <w:spacing w:before="120"/>
        <w:rPr>
          <w:color w:val="1F497D"/>
        </w:rPr>
      </w:pPr>
    </w:p>
    <w:p w:rsidR="006E15FE" w14:paraId="00000023"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t xml:space="preserve"> </w:t>
      </w:r>
    </w:p>
    <w:p w:rsidR="006E15FE" w14:paraId="00000024" w14:textId="363669D5">
      <w:pPr>
        <w:widowControl w:val="0"/>
        <w:pBdr>
          <w:top w:val="nil"/>
          <w:left w:val="nil"/>
          <w:bottom w:val="nil"/>
          <w:right w:val="nil"/>
          <w:between w:val="nil"/>
        </w:pBdr>
        <w:tabs>
          <w:tab w:val="left" w:pos="360"/>
        </w:tabs>
        <w:spacing w:before="80"/>
        <w:rPr>
          <w:color w:val="000000"/>
          <w:highlight w:val="yellow"/>
        </w:rPr>
      </w:pPr>
      <w:r>
        <w:br/>
      </w:r>
      <w:r>
        <w:rPr>
          <w:color w:val="000000"/>
        </w:rPr>
        <w:t>The notice in the Federal Register was published on F</w:t>
      </w:r>
      <w:r>
        <w:t>ebruary</w:t>
      </w:r>
      <w:r>
        <w:rPr>
          <w:color w:val="000000"/>
        </w:rPr>
        <w:t xml:space="preserve"> </w:t>
      </w:r>
      <w:r>
        <w:t>9</w:t>
      </w:r>
      <w:r>
        <w:rPr>
          <w:color w:val="000000"/>
        </w:rPr>
        <w:t>, 202</w:t>
      </w:r>
      <w:r>
        <w:t>4</w:t>
      </w:r>
      <w:r w:rsidR="007300AE">
        <w:t>,</w:t>
      </w:r>
      <w:r>
        <w:t xml:space="preserve"> in Vol. 89, No. 28 on pages 9129-</w:t>
      </w:r>
      <w:r w:rsidRPr="007300AE">
        <w:t>9130</w:t>
      </w:r>
      <w:r w:rsidRPr="007300AE">
        <w:rPr>
          <w:color w:val="000000"/>
        </w:rPr>
        <w:t xml:space="preserve">. </w:t>
      </w:r>
      <w:sdt>
        <w:sdtPr>
          <w:tag w:val="goog_rdk_0"/>
          <w:id w:val="-685284615"/>
          <w:richText/>
        </w:sdtPr>
        <w:sdtContent/>
      </w:sdt>
      <w:r w:rsidRPr="007300AE">
        <w:rPr>
          <w:color w:val="000000"/>
        </w:rPr>
        <w:t>No comments were received during the 60-day period.</w:t>
      </w:r>
    </w:p>
    <w:p w:rsidR="006E15FE" w14:paraId="00000025" w14:textId="77777777">
      <w:pPr>
        <w:widowControl w:val="0"/>
        <w:pBdr>
          <w:top w:val="nil"/>
          <w:left w:val="nil"/>
          <w:bottom w:val="nil"/>
          <w:right w:val="nil"/>
          <w:between w:val="nil"/>
        </w:pBdr>
        <w:tabs>
          <w:tab w:val="left" w:pos="360"/>
        </w:tabs>
        <w:spacing w:before="80"/>
        <w:rPr>
          <w:highlight w:val="yellow"/>
        </w:rPr>
      </w:pPr>
    </w:p>
    <w:p w:rsidR="006E15FE" w14:paraId="00000026" w14:textId="77777777">
      <w:pPr>
        <w:widowControl w:val="0"/>
        <w:pBdr>
          <w:top w:val="nil"/>
          <w:left w:val="nil"/>
          <w:bottom w:val="nil"/>
          <w:right w:val="nil"/>
          <w:between w:val="nil"/>
        </w:pBdr>
        <w:tabs>
          <w:tab w:val="left" w:pos="360"/>
        </w:tabs>
        <w:spacing w:before="80"/>
      </w:pPr>
      <w:r>
        <w:t>NSSL scientists consulted with external stakeholders to obtain their views on the availability of data, frequency of collection, the clarity of instructions and recordkeeping, disclosure, or reporting format (if any), and on the data elements to be recorded, disclosed, or reported. No comments were received.</w:t>
      </w:r>
    </w:p>
    <w:p w:rsidR="006E15FE" w14:paraId="00000027" w14:textId="77777777">
      <w:pPr>
        <w:widowControl w:val="0"/>
        <w:pBdr>
          <w:top w:val="nil"/>
          <w:left w:val="nil"/>
          <w:bottom w:val="nil"/>
          <w:right w:val="nil"/>
          <w:between w:val="nil"/>
        </w:pBdr>
        <w:spacing w:before="159"/>
        <w:rPr>
          <w:color w:val="000000"/>
        </w:rPr>
      </w:pPr>
    </w:p>
    <w:p w:rsidR="006E15FE" w:rsidP="007300AE" w14:paraId="00000028"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7300AE" w:rsidP="007300AE" w14:paraId="7CF7427D" w14:textId="043EBB31">
      <w:pPr>
        <w:widowControl w:val="0"/>
        <w:pBdr>
          <w:top w:val="nil"/>
          <w:left w:val="nil"/>
          <w:bottom w:val="nil"/>
          <w:right w:val="nil"/>
          <w:between w:val="nil"/>
        </w:pBdr>
        <w:spacing w:before="161"/>
        <w:jc w:val="both"/>
      </w:pPr>
      <w:r>
        <w:t>No payment or gifts will be provided for participation.</w:t>
      </w:r>
    </w:p>
    <w:p w:rsidR="007300AE" w:rsidP="007300AE" w14:paraId="75A00A15" w14:textId="77777777">
      <w:pPr>
        <w:widowControl w:val="0"/>
        <w:pBdr>
          <w:top w:val="nil"/>
          <w:left w:val="nil"/>
          <w:bottom w:val="nil"/>
          <w:right w:val="nil"/>
          <w:between w:val="nil"/>
        </w:pBdr>
        <w:spacing w:before="161"/>
        <w:jc w:val="both"/>
      </w:pPr>
    </w:p>
    <w:p w:rsidR="006E15FE" w:rsidP="007300AE" w14:paraId="0000002A" w14:textId="2A7F9EAE">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6E15FE" w14:paraId="0000002B" w14:textId="111A4246">
      <w:pPr>
        <w:widowControl w:val="0"/>
        <w:pBdr>
          <w:top w:val="nil"/>
          <w:left w:val="nil"/>
          <w:bottom w:val="nil"/>
          <w:right w:val="nil"/>
          <w:between w:val="nil"/>
        </w:pBdr>
        <w:spacing w:before="159"/>
      </w:pPr>
      <w:r>
        <w:t xml:space="preserve">While no PII will be collected, a notice of confidentiality is included, alongside a Frequently Asked Questions (FAQs) button. These are clickable and clearly displayed above the survey in a box titled ‘Privacy.’ </w:t>
      </w:r>
    </w:p>
    <w:p w:rsidR="007300AE" w14:paraId="376D4116" w14:textId="77777777">
      <w:pPr>
        <w:widowControl w:val="0"/>
        <w:pBdr>
          <w:top w:val="nil"/>
          <w:left w:val="nil"/>
          <w:bottom w:val="nil"/>
          <w:right w:val="nil"/>
          <w:between w:val="nil"/>
        </w:pBdr>
        <w:spacing w:before="159"/>
      </w:pPr>
    </w:p>
    <w:p w:rsidR="006E15FE" w14:paraId="0000002D"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Provide additional justification for any questions of a sensitive nature, such as sexual </w:t>
      </w:r>
      <w:r>
        <w:rPr>
          <w:b/>
          <w:color w:val="000000"/>
        </w:rPr>
        <w:t>behavior</w:t>
      </w:r>
      <w:r>
        <w:rPr>
          <w:b/>
          <w:color w:val="000000"/>
        </w:rPr>
        <w:t xml:space="preserve">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E15FE" w14:paraId="0000002E" w14:textId="77777777">
      <w:pPr>
        <w:widowControl w:val="0"/>
        <w:pBdr>
          <w:top w:val="nil"/>
          <w:left w:val="nil"/>
          <w:bottom w:val="nil"/>
          <w:right w:val="nil"/>
          <w:between w:val="nil"/>
        </w:pBdr>
        <w:spacing w:before="158"/>
        <w:sectPr>
          <w:footerReference w:type="default" r:id="rId9"/>
          <w:pgSz w:w="12240" w:h="15840"/>
          <w:pgMar w:top="640" w:right="1080" w:bottom="1200" w:left="1080" w:header="0" w:footer="1014" w:gutter="0"/>
          <w:cols w:space="720"/>
        </w:sectPr>
      </w:pPr>
      <w:r>
        <w:t>We will not collect sensitive data.</w:t>
      </w:r>
    </w:p>
    <w:p w:rsidR="006E15FE" w14:paraId="0000002F" w14:textId="77777777">
      <w:pPr>
        <w:spacing w:line="259" w:lineRule="auto"/>
      </w:pPr>
    </w:p>
    <w:p w:rsidR="006E15FE" w14:paraId="00000030"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6E15FE" w14:paraId="00000031" w14:textId="77777777">
      <w:pPr>
        <w:spacing w:before="120"/>
        <w:rPr>
          <w:b/>
          <w:color w:val="1F497D"/>
        </w:rPr>
      </w:pPr>
    </w:p>
    <w:p w:rsidR="006E15FE" w14:paraId="00000032" w14:textId="77777777">
      <w:pPr>
        <w:spacing w:before="120"/>
        <w:rPr>
          <w:color w:val="0D0D0D"/>
        </w:rPr>
      </w:pPr>
      <w:r>
        <w:rPr>
          <w:color w:val="0D0D0D"/>
        </w:rPr>
        <w:t>The number of respondents and frequency of response are hard to quantify. This is because the data collection is based on voluntary contribution of participants after a tornado has occurred. As the frequency and magnitude of tornadoes vary, the number of people impacted also fluctuates.</w:t>
      </w:r>
      <w:r>
        <w:t xml:space="preserve"> The burden hours/response was calculated based on testing of the survey draft with colleagues. </w:t>
      </w:r>
      <w:r>
        <w:rPr>
          <w:color w:val="0D0D0D"/>
        </w:rPr>
        <w:t xml:space="preserve">The average wage rate (in this case taken to be the total private non-farm payroll) amount of $30.17 (data taken from the US Bureau of </w:t>
      </w:r>
      <w:r>
        <w:rPr>
          <w:color w:val="0D0D0D"/>
        </w:rPr>
        <w:t>Labor</w:t>
      </w:r>
      <w:r>
        <w:rPr>
          <w:color w:val="0D0D0D"/>
        </w:rPr>
        <w:t xml:space="preserve"> Statistics - </w:t>
      </w:r>
      <w:hyperlink r:id="rId10">
        <w:r>
          <w:rPr>
            <w:color w:val="0000FF"/>
            <w:u w:val="single"/>
          </w:rPr>
          <w:t>https://www.bls.gov/news.release/empsit.t19.htm</w:t>
        </w:r>
      </w:hyperlink>
      <w:r>
        <w:rPr>
          <w:color w:val="0D0D0D"/>
        </w:rPr>
        <w:t xml:space="preserve"> ) was used to calculate the hourly wage rate for respondents.</w:t>
      </w:r>
      <w:r>
        <w:t xml:space="preserve">     </w:t>
      </w:r>
      <w:r>
        <w:rPr>
          <w:color w:val="0D0D0D"/>
        </w:rPr>
        <w:t xml:space="preserve"> </w:t>
      </w:r>
    </w:p>
    <w:p w:rsidR="006E15FE" w14:paraId="00000033" w14:textId="77777777">
      <w:pPr>
        <w:spacing w:before="120"/>
      </w:pPr>
      <w:r>
        <w:t xml:space="preserve">     </w:t>
      </w:r>
    </w:p>
    <w:tbl>
      <w:tblPr>
        <w:tblStyle w:val="a"/>
        <w:tblW w:w="13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15"/>
        <w:gridCol w:w="2400"/>
        <w:gridCol w:w="1245"/>
        <w:gridCol w:w="1440"/>
        <w:gridCol w:w="1380"/>
        <w:gridCol w:w="1335"/>
        <w:gridCol w:w="1485"/>
        <w:gridCol w:w="1485"/>
        <w:gridCol w:w="1350"/>
      </w:tblGrid>
      <w:tr w14:paraId="6FE8203F" w14:textId="77777777">
        <w:tblPrEx>
          <w:tblW w:w="13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51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E15FE" w14:paraId="00000034" w14:textId="77777777">
            <w:pPr>
              <w:jc w:val="center"/>
              <w:rPr>
                <w:b/>
                <w:sz w:val="22"/>
                <w:szCs w:val="22"/>
              </w:rPr>
            </w:pPr>
            <w:r>
              <w:rPr>
                <w:b/>
                <w:sz w:val="22"/>
                <w:szCs w:val="22"/>
              </w:rPr>
              <w:t>Information Collection</w:t>
            </w:r>
          </w:p>
        </w:tc>
        <w:tc>
          <w:tcPr>
            <w:tcW w:w="2400" w:type="dxa"/>
            <w:tcBorders>
              <w:top w:val="single" w:sz="8" w:space="0" w:color="000000"/>
              <w:left w:val="nil"/>
              <w:bottom w:val="single" w:sz="8" w:space="0" w:color="000000"/>
              <w:right w:val="single" w:sz="8" w:space="0" w:color="000000"/>
            </w:tcBorders>
            <w:shd w:val="clear" w:color="auto" w:fill="BDD7EE"/>
            <w:vAlign w:val="center"/>
          </w:tcPr>
          <w:p w:rsidR="006E15FE" w14:paraId="00000035" w14:textId="77777777">
            <w:pPr>
              <w:jc w:val="center"/>
              <w:rPr>
                <w:b/>
                <w:sz w:val="22"/>
                <w:szCs w:val="22"/>
              </w:rPr>
            </w:pPr>
            <w:r>
              <w:rPr>
                <w:b/>
                <w:sz w:val="22"/>
                <w:szCs w:val="22"/>
              </w:rPr>
              <w:t>Type of Respondent (e.g., Occupational Title)</w:t>
            </w:r>
          </w:p>
        </w:tc>
        <w:tc>
          <w:tcPr>
            <w:tcW w:w="1245" w:type="dxa"/>
            <w:tcBorders>
              <w:top w:val="single" w:sz="8" w:space="0" w:color="000000"/>
              <w:left w:val="nil"/>
              <w:bottom w:val="single" w:sz="8" w:space="0" w:color="000000"/>
              <w:right w:val="single" w:sz="8" w:space="0" w:color="000000"/>
            </w:tcBorders>
            <w:shd w:val="clear" w:color="auto" w:fill="BDD7EE"/>
            <w:vAlign w:val="center"/>
          </w:tcPr>
          <w:p w:rsidR="006E15FE" w14:paraId="00000036" w14:textId="77777777">
            <w:pPr>
              <w:jc w:val="center"/>
              <w:rPr>
                <w:b/>
                <w:sz w:val="22"/>
                <w:szCs w:val="22"/>
              </w:rPr>
            </w:pPr>
            <w:r>
              <w:rPr>
                <w:b/>
                <w:sz w:val="22"/>
                <w:szCs w:val="22"/>
              </w:rPr>
              <w:t># of Respondents/year</w:t>
            </w:r>
            <w:r>
              <w:rPr>
                <w:b/>
                <w:sz w:val="22"/>
                <w:szCs w:val="22"/>
              </w:rPr>
              <w:br/>
              <w:t>(a)</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6E15FE" w14:paraId="00000037" w14:textId="77777777">
            <w:pPr>
              <w:jc w:val="center"/>
              <w:rPr>
                <w:b/>
                <w:sz w:val="22"/>
                <w:szCs w:val="22"/>
              </w:rPr>
            </w:pPr>
            <w:r>
              <w:rPr>
                <w:b/>
                <w:sz w:val="22"/>
                <w:szCs w:val="22"/>
              </w:rPr>
              <w:t>Annual # of Responses / Respondent</w:t>
            </w:r>
            <w:r>
              <w:rPr>
                <w:b/>
                <w:sz w:val="22"/>
                <w:szCs w:val="22"/>
              </w:rPr>
              <w:br/>
              <w:t>(b)</w:t>
            </w:r>
          </w:p>
        </w:tc>
        <w:tc>
          <w:tcPr>
            <w:tcW w:w="1380" w:type="dxa"/>
            <w:tcBorders>
              <w:top w:val="single" w:sz="8" w:space="0" w:color="000000"/>
              <w:left w:val="nil"/>
              <w:bottom w:val="single" w:sz="8" w:space="0" w:color="000000"/>
              <w:right w:val="single" w:sz="8" w:space="0" w:color="000000"/>
            </w:tcBorders>
            <w:shd w:val="clear" w:color="auto" w:fill="BDD7EE"/>
            <w:vAlign w:val="center"/>
          </w:tcPr>
          <w:p w:rsidR="006E15FE" w14:paraId="00000038" w14:textId="77777777">
            <w:pPr>
              <w:jc w:val="center"/>
              <w:rPr>
                <w:b/>
                <w:sz w:val="22"/>
                <w:szCs w:val="22"/>
              </w:rPr>
            </w:pPr>
            <w:r>
              <w:rPr>
                <w:b/>
                <w:sz w:val="22"/>
                <w:szCs w:val="22"/>
              </w:rPr>
              <w:t xml:space="preserve"> Total # of Annual Responses</w:t>
            </w:r>
            <w:r>
              <w:rPr>
                <w:b/>
                <w:sz w:val="22"/>
                <w:szCs w:val="22"/>
              </w:rPr>
              <w:br/>
              <w:t>(c) = (a) x (b)</w:t>
            </w:r>
          </w:p>
        </w:tc>
        <w:tc>
          <w:tcPr>
            <w:tcW w:w="1335" w:type="dxa"/>
            <w:tcBorders>
              <w:top w:val="single" w:sz="8" w:space="0" w:color="000000"/>
              <w:left w:val="nil"/>
              <w:bottom w:val="single" w:sz="8" w:space="0" w:color="000000"/>
              <w:right w:val="single" w:sz="8" w:space="0" w:color="000000"/>
            </w:tcBorders>
            <w:shd w:val="clear" w:color="auto" w:fill="BDD7EE"/>
            <w:vAlign w:val="center"/>
          </w:tcPr>
          <w:p w:rsidR="006E15FE" w14:paraId="00000039" w14:textId="77777777">
            <w:pPr>
              <w:jc w:val="center"/>
              <w:rPr>
                <w:b/>
                <w:sz w:val="22"/>
                <w:szCs w:val="22"/>
              </w:rPr>
            </w:pPr>
            <w:r>
              <w:rPr>
                <w:b/>
                <w:sz w:val="22"/>
                <w:szCs w:val="22"/>
              </w:rPr>
              <w:t>Burden Hrs / Response</w:t>
            </w:r>
            <w:r>
              <w:rPr>
                <w:b/>
                <w:sz w:val="22"/>
                <w:szCs w:val="22"/>
              </w:rPr>
              <w:br/>
              <w:t>(d)</w:t>
            </w:r>
          </w:p>
        </w:tc>
        <w:tc>
          <w:tcPr>
            <w:tcW w:w="1485" w:type="dxa"/>
            <w:tcBorders>
              <w:top w:val="single" w:sz="8" w:space="0" w:color="000000"/>
              <w:left w:val="nil"/>
              <w:bottom w:val="single" w:sz="8" w:space="0" w:color="000000"/>
              <w:right w:val="single" w:sz="8" w:space="0" w:color="000000"/>
            </w:tcBorders>
            <w:shd w:val="clear" w:color="auto" w:fill="BDD7EE"/>
            <w:vAlign w:val="center"/>
          </w:tcPr>
          <w:p w:rsidR="006E15FE" w14:paraId="0000003A" w14:textId="77777777">
            <w:pPr>
              <w:jc w:val="center"/>
              <w:rPr>
                <w:b/>
                <w:sz w:val="22"/>
                <w:szCs w:val="22"/>
              </w:rPr>
            </w:pPr>
            <w:r>
              <w:rPr>
                <w:b/>
                <w:sz w:val="22"/>
                <w:szCs w:val="22"/>
              </w:rPr>
              <w:t>Total Annual Burden Hrs</w:t>
            </w:r>
            <w:r>
              <w:rPr>
                <w:b/>
                <w:sz w:val="22"/>
                <w:szCs w:val="22"/>
              </w:rPr>
              <w:br/>
              <w:t>(</w:t>
            </w:r>
            <w:r>
              <w:rPr>
                <w:b/>
                <w:sz w:val="22"/>
                <w:szCs w:val="22"/>
              </w:rPr>
              <w:t>e)  =</w:t>
            </w:r>
            <w:r>
              <w:rPr>
                <w:b/>
                <w:sz w:val="22"/>
                <w:szCs w:val="22"/>
              </w:rPr>
              <w:t xml:space="preserve"> (c) x (d)</w:t>
            </w:r>
          </w:p>
        </w:tc>
        <w:tc>
          <w:tcPr>
            <w:tcW w:w="1485" w:type="dxa"/>
            <w:tcBorders>
              <w:top w:val="single" w:sz="8" w:space="0" w:color="000000"/>
              <w:left w:val="nil"/>
              <w:bottom w:val="single" w:sz="8" w:space="0" w:color="000000"/>
              <w:right w:val="single" w:sz="8" w:space="0" w:color="000000"/>
            </w:tcBorders>
            <w:shd w:val="clear" w:color="auto" w:fill="BDD7EE"/>
            <w:vAlign w:val="center"/>
          </w:tcPr>
          <w:p w:rsidR="006E15FE" w14:paraId="0000003B" w14:textId="77777777">
            <w:pPr>
              <w:jc w:val="center"/>
              <w:rPr>
                <w:b/>
                <w:sz w:val="22"/>
                <w:szCs w:val="22"/>
              </w:rPr>
            </w:pPr>
            <w:r>
              <w:rPr>
                <w:b/>
                <w:sz w:val="22"/>
                <w:szCs w:val="22"/>
              </w:rPr>
              <w:t xml:space="preserve">Hourly Wage </w:t>
            </w:r>
            <w:r>
              <w:rPr>
                <w:b/>
                <w:sz w:val="22"/>
                <w:szCs w:val="22"/>
              </w:rPr>
              <w:t>Rate  (</w:t>
            </w:r>
            <w:r>
              <w:rPr>
                <w:b/>
                <w:sz w:val="22"/>
                <w:szCs w:val="22"/>
              </w:rPr>
              <w:t>for Type of Respondent)</w:t>
            </w:r>
            <w:r>
              <w:rPr>
                <w:b/>
                <w:sz w:val="22"/>
                <w:szCs w:val="22"/>
              </w:rPr>
              <w:br/>
              <w:t>(f)</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6E15FE" w14:paraId="0000003C" w14:textId="77777777">
            <w:pPr>
              <w:jc w:val="center"/>
              <w:rPr>
                <w:b/>
                <w:sz w:val="22"/>
                <w:szCs w:val="22"/>
              </w:rPr>
            </w:pPr>
            <w:r>
              <w:rPr>
                <w:b/>
                <w:sz w:val="22"/>
                <w:szCs w:val="22"/>
              </w:rPr>
              <w:t>Total Annual Wage Burden Costs</w:t>
            </w:r>
            <w:r>
              <w:rPr>
                <w:b/>
                <w:sz w:val="22"/>
                <w:szCs w:val="22"/>
              </w:rPr>
              <w:br/>
              <w:t>(g) = (e) x (f)</w:t>
            </w:r>
          </w:p>
        </w:tc>
      </w:tr>
      <w:tr w14:paraId="372A0075" w14:textId="77777777">
        <w:tblPrEx>
          <w:tblW w:w="13635" w:type="dxa"/>
          <w:tblLayout w:type="fixed"/>
          <w:tblLook w:val="0600"/>
        </w:tblPrEx>
        <w:tc>
          <w:tcPr>
            <w:tcW w:w="1515" w:type="dxa"/>
            <w:tcBorders>
              <w:top w:val="nil"/>
              <w:left w:val="single" w:sz="8" w:space="0" w:color="000000"/>
              <w:bottom w:val="single" w:sz="4" w:space="0" w:color="000000"/>
              <w:right w:val="single" w:sz="4" w:space="0" w:color="000000"/>
            </w:tcBorders>
            <w:shd w:val="clear" w:color="auto" w:fill="auto"/>
            <w:vAlign w:val="center"/>
          </w:tcPr>
          <w:p w:rsidR="006E15FE" w14:paraId="0000003D" w14:textId="77777777">
            <w:pPr>
              <w:widowControl w:val="0"/>
              <w:spacing w:before="161"/>
              <w:jc w:val="center"/>
              <w:rPr>
                <w:sz w:val="22"/>
                <w:szCs w:val="22"/>
              </w:rPr>
            </w:pPr>
            <w:r>
              <w:rPr>
                <w:sz w:val="22"/>
                <w:szCs w:val="22"/>
              </w:rPr>
              <w:t>1.  NSSL web tool respondent costs</w:t>
            </w:r>
          </w:p>
        </w:tc>
        <w:tc>
          <w:tcPr>
            <w:tcW w:w="2400" w:type="dxa"/>
            <w:tcBorders>
              <w:top w:val="nil"/>
              <w:left w:val="nil"/>
              <w:bottom w:val="single" w:sz="4" w:space="0" w:color="000000"/>
              <w:right w:val="single" w:sz="4" w:space="0" w:color="000000"/>
            </w:tcBorders>
            <w:shd w:val="clear" w:color="auto" w:fill="auto"/>
            <w:vAlign w:val="center"/>
          </w:tcPr>
          <w:p w:rsidR="006E15FE" w14:paraId="0000003E" w14:textId="77777777">
            <w:pPr>
              <w:jc w:val="center"/>
              <w:rPr>
                <w:sz w:val="22"/>
                <w:szCs w:val="22"/>
              </w:rPr>
            </w:pPr>
            <w:r>
              <w:rPr>
                <w:sz w:val="22"/>
                <w:szCs w:val="22"/>
              </w:rPr>
              <w:t>Any individual over the age of 18 that has experienced a tornado event</w:t>
            </w:r>
          </w:p>
        </w:tc>
        <w:tc>
          <w:tcPr>
            <w:tcW w:w="1245" w:type="dxa"/>
            <w:tcBorders>
              <w:top w:val="nil"/>
              <w:left w:val="nil"/>
              <w:bottom w:val="single" w:sz="4" w:space="0" w:color="000000"/>
              <w:right w:val="single" w:sz="4" w:space="0" w:color="000000"/>
            </w:tcBorders>
            <w:shd w:val="clear" w:color="auto" w:fill="auto"/>
            <w:vAlign w:val="center"/>
          </w:tcPr>
          <w:p w:rsidR="006E15FE" w14:paraId="0000003F" w14:textId="77777777">
            <w:pPr>
              <w:jc w:val="center"/>
              <w:rPr>
                <w:sz w:val="22"/>
                <w:szCs w:val="22"/>
              </w:rPr>
            </w:pPr>
            <w:r>
              <w:rPr>
                <w:sz w:val="22"/>
                <w:szCs w:val="22"/>
              </w:rPr>
              <w:t xml:space="preserve">     1200      </w:t>
            </w:r>
          </w:p>
        </w:tc>
        <w:tc>
          <w:tcPr>
            <w:tcW w:w="1440" w:type="dxa"/>
            <w:tcBorders>
              <w:top w:val="nil"/>
              <w:left w:val="nil"/>
              <w:bottom w:val="single" w:sz="4" w:space="0" w:color="000000"/>
              <w:right w:val="single" w:sz="4" w:space="0" w:color="000000"/>
            </w:tcBorders>
            <w:shd w:val="clear" w:color="auto" w:fill="auto"/>
            <w:vAlign w:val="center"/>
          </w:tcPr>
          <w:p w:rsidR="006E15FE" w14:paraId="00000040" w14:textId="77777777">
            <w:pPr>
              <w:jc w:val="center"/>
              <w:rPr>
                <w:sz w:val="22"/>
                <w:szCs w:val="22"/>
              </w:rPr>
            </w:pPr>
            <w:r>
              <w:rPr>
                <w:sz w:val="22"/>
                <w:szCs w:val="22"/>
              </w:rPr>
              <w:t xml:space="preserve">1 </w:t>
            </w:r>
          </w:p>
        </w:tc>
        <w:tc>
          <w:tcPr>
            <w:tcW w:w="1380" w:type="dxa"/>
            <w:tcBorders>
              <w:top w:val="nil"/>
              <w:left w:val="nil"/>
              <w:bottom w:val="single" w:sz="4" w:space="0" w:color="000000"/>
              <w:right w:val="single" w:sz="4" w:space="0" w:color="000000"/>
            </w:tcBorders>
            <w:shd w:val="clear" w:color="auto" w:fill="auto"/>
            <w:vAlign w:val="center"/>
          </w:tcPr>
          <w:p w:rsidR="006E15FE" w14:paraId="00000041" w14:textId="77777777">
            <w:pPr>
              <w:jc w:val="center"/>
              <w:rPr>
                <w:sz w:val="22"/>
                <w:szCs w:val="22"/>
              </w:rPr>
            </w:pPr>
            <w:r>
              <w:rPr>
                <w:sz w:val="22"/>
                <w:szCs w:val="22"/>
              </w:rPr>
              <w:t>1200        </w:t>
            </w:r>
          </w:p>
        </w:tc>
        <w:tc>
          <w:tcPr>
            <w:tcW w:w="1335" w:type="dxa"/>
            <w:tcBorders>
              <w:top w:val="nil"/>
              <w:left w:val="nil"/>
              <w:bottom w:val="single" w:sz="4" w:space="0" w:color="000000"/>
              <w:right w:val="single" w:sz="4" w:space="0" w:color="000000"/>
            </w:tcBorders>
            <w:shd w:val="clear" w:color="auto" w:fill="auto"/>
            <w:vAlign w:val="center"/>
          </w:tcPr>
          <w:p w:rsidR="006E15FE" w14:paraId="00000042" w14:textId="77777777">
            <w:pPr>
              <w:jc w:val="center"/>
              <w:rPr>
                <w:sz w:val="22"/>
                <w:szCs w:val="22"/>
              </w:rPr>
            </w:pPr>
            <w:r>
              <w:rPr>
                <w:sz w:val="22"/>
                <w:szCs w:val="22"/>
              </w:rPr>
              <w:t>0.17 hrs (10 mins) </w:t>
            </w:r>
          </w:p>
        </w:tc>
        <w:tc>
          <w:tcPr>
            <w:tcW w:w="1485" w:type="dxa"/>
            <w:tcBorders>
              <w:top w:val="nil"/>
              <w:left w:val="nil"/>
              <w:bottom w:val="single" w:sz="4" w:space="0" w:color="000000"/>
              <w:right w:val="single" w:sz="4" w:space="0" w:color="000000"/>
            </w:tcBorders>
            <w:shd w:val="clear" w:color="auto" w:fill="auto"/>
            <w:vAlign w:val="center"/>
          </w:tcPr>
          <w:p w:rsidR="006E15FE" w14:paraId="00000043" w14:textId="77777777">
            <w:pPr>
              <w:jc w:val="center"/>
              <w:rPr>
                <w:sz w:val="22"/>
                <w:szCs w:val="22"/>
              </w:rPr>
            </w:pPr>
            <w:r>
              <w:rPr>
                <w:sz w:val="22"/>
                <w:szCs w:val="22"/>
              </w:rPr>
              <w:t>200 </w:t>
            </w:r>
          </w:p>
        </w:tc>
        <w:tc>
          <w:tcPr>
            <w:tcW w:w="1485" w:type="dxa"/>
            <w:tcBorders>
              <w:top w:val="nil"/>
              <w:left w:val="nil"/>
              <w:bottom w:val="single" w:sz="4" w:space="0" w:color="000000"/>
              <w:right w:val="single" w:sz="4" w:space="0" w:color="000000"/>
            </w:tcBorders>
            <w:shd w:val="clear" w:color="auto" w:fill="auto"/>
            <w:vAlign w:val="center"/>
          </w:tcPr>
          <w:p w:rsidR="006E15FE" w14:paraId="00000044" w14:textId="77777777">
            <w:pPr>
              <w:ind w:right="165"/>
              <w:jc w:val="center"/>
              <w:rPr>
                <w:sz w:val="22"/>
                <w:szCs w:val="22"/>
              </w:rPr>
            </w:pPr>
            <w:r>
              <w:rPr>
                <w:sz w:val="22"/>
                <w:szCs w:val="22"/>
              </w:rPr>
              <w:t>For private nonfarm payrolls= $          30.17.</w:t>
            </w:r>
          </w:p>
        </w:tc>
        <w:tc>
          <w:tcPr>
            <w:tcW w:w="1350" w:type="dxa"/>
            <w:tcBorders>
              <w:top w:val="nil"/>
              <w:left w:val="nil"/>
              <w:bottom w:val="single" w:sz="4" w:space="0" w:color="000000"/>
              <w:right w:val="single" w:sz="8" w:space="0" w:color="000000"/>
            </w:tcBorders>
            <w:shd w:val="clear" w:color="auto" w:fill="auto"/>
            <w:vAlign w:val="center"/>
          </w:tcPr>
          <w:p w:rsidR="006E15FE" w14:paraId="00000045" w14:textId="77777777">
            <w:pPr>
              <w:jc w:val="center"/>
              <w:rPr>
                <w:sz w:val="22"/>
                <w:szCs w:val="22"/>
              </w:rPr>
            </w:pPr>
            <w:r>
              <w:rPr>
                <w:sz w:val="22"/>
                <w:szCs w:val="22"/>
              </w:rPr>
              <w:t>$6034.00     </w:t>
            </w:r>
          </w:p>
        </w:tc>
      </w:tr>
      <w:tr w14:paraId="61604DD0" w14:textId="77777777">
        <w:tblPrEx>
          <w:tblW w:w="13635" w:type="dxa"/>
          <w:tblLayout w:type="fixed"/>
          <w:tblLook w:val="0600"/>
        </w:tblPrEx>
        <w:tc>
          <w:tcPr>
            <w:tcW w:w="1515" w:type="dxa"/>
            <w:tcBorders>
              <w:top w:val="nil"/>
              <w:left w:val="single" w:sz="8" w:space="0" w:color="000000"/>
              <w:bottom w:val="single" w:sz="4" w:space="0" w:color="000000"/>
              <w:right w:val="single" w:sz="4" w:space="0" w:color="000000"/>
            </w:tcBorders>
            <w:shd w:val="clear" w:color="auto" w:fill="auto"/>
            <w:vAlign w:val="center"/>
          </w:tcPr>
          <w:p w:rsidR="006E15FE" w14:paraId="00000046" w14:textId="77777777">
            <w:pPr>
              <w:jc w:val="center"/>
              <w:rPr>
                <w:sz w:val="22"/>
                <w:szCs w:val="22"/>
              </w:rPr>
            </w:pPr>
            <w:r>
              <w:rPr>
                <w:sz w:val="22"/>
                <w:szCs w:val="22"/>
              </w:rPr>
              <w:t>2. Post-event interviews</w:t>
            </w:r>
          </w:p>
        </w:tc>
        <w:tc>
          <w:tcPr>
            <w:tcW w:w="2400" w:type="dxa"/>
            <w:tcBorders>
              <w:top w:val="nil"/>
              <w:left w:val="nil"/>
              <w:bottom w:val="single" w:sz="4" w:space="0" w:color="000000"/>
              <w:right w:val="single" w:sz="4" w:space="0" w:color="000000"/>
            </w:tcBorders>
            <w:shd w:val="clear" w:color="auto" w:fill="auto"/>
            <w:vAlign w:val="center"/>
          </w:tcPr>
          <w:p w:rsidR="006E15FE" w14:paraId="00000047" w14:textId="77777777">
            <w:pPr>
              <w:jc w:val="center"/>
              <w:rPr>
                <w:sz w:val="22"/>
                <w:szCs w:val="22"/>
              </w:rPr>
            </w:pPr>
            <w:r>
              <w:rPr>
                <w:sz w:val="22"/>
                <w:szCs w:val="22"/>
              </w:rPr>
              <w:t>Any Emergency Manager, Broadcast Meteorologist, or member of the public who recently experienced a tornado event</w:t>
            </w:r>
          </w:p>
        </w:tc>
        <w:tc>
          <w:tcPr>
            <w:tcW w:w="1245" w:type="dxa"/>
            <w:tcBorders>
              <w:top w:val="nil"/>
              <w:left w:val="nil"/>
              <w:bottom w:val="single" w:sz="4" w:space="0" w:color="000000"/>
              <w:right w:val="single" w:sz="4" w:space="0" w:color="000000"/>
            </w:tcBorders>
            <w:shd w:val="clear" w:color="auto" w:fill="auto"/>
            <w:vAlign w:val="center"/>
          </w:tcPr>
          <w:p w:rsidR="006E15FE" w14:paraId="00000048" w14:textId="77777777">
            <w:pPr>
              <w:jc w:val="center"/>
              <w:rPr>
                <w:sz w:val="22"/>
                <w:szCs w:val="22"/>
              </w:rPr>
            </w:pPr>
            <w:r>
              <w:rPr>
                <w:sz w:val="22"/>
                <w:szCs w:val="22"/>
              </w:rPr>
              <w:t>50</w:t>
            </w:r>
          </w:p>
        </w:tc>
        <w:tc>
          <w:tcPr>
            <w:tcW w:w="1440" w:type="dxa"/>
            <w:tcBorders>
              <w:top w:val="nil"/>
              <w:left w:val="nil"/>
              <w:bottom w:val="single" w:sz="4" w:space="0" w:color="000000"/>
              <w:right w:val="single" w:sz="4" w:space="0" w:color="000000"/>
            </w:tcBorders>
            <w:shd w:val="clear" w:color="auto" w:fill="auto"/>
            <w:vAlign w:val="center"/>
          </w:tcPr>
          <w:p w:rsidR="006E15FE" w14:paraId="00000049" w14:textId="77777777">
            <w:pPr>
              <w:jc w:val="center"/>
              <w:rPr>
                <w:sz w:val="22"/>
                <w:szCs w:val="22"/>
              </w:rPr>
            </w:pPr>
            <w:r>
              <w:rPr>
                <w:sz w:val="22"/>
                <w:szCs w:val="22"/>
              </w:rPr>
              <w:t>1</w:t>
            </w:r>
          </w:p>
        </w:tc>
        <w:tc>
          <w:tcPr>
            <w:tcW w:w="1380" w:type="dxa"/>
            <w:tcBorders>
              <w:top w:val="nil"/>
              <w:left w:val="nil"/>
              <w:bottom w:val="single" w:sz="4" w:space="0" w:color="000000"/>
              <w:right w:val="single" w:sz="4" w:space="0" w:color="000000"/>
            </w:tcBorders>
            <w:shd w:val="clear" w:color="auto" w:fill="auto"/>
            <w:vAlign w:val="center"/>
          </w:tcPr>
          <w:p w:rsidR="006E15FE" w14:paraId="0000004A" w14:textId="77777777">
            <w:pPr>
              <w:jc w:val="center"/>
              <w:rPr>
                <w:sz w:val="22"/>
                <w:szCs w:val="22"/>
              </w:rPr>
            </w:pPr>
            <w:r>
              <w:rPr>
                <w:sz w:val="22"/>
                <w:szCs w:val="22"/>
              </w:rPr>
              <w:t>50</w:t>
            </w:r>
          </w:p>
        </w:tc>
        <w:tc>
          <w:tcPr>
            <w:tcW w:w="1335" w:type="dxa"/>
            <w:tcBorders>
              <w:top w:val="nil"/>
              <w:left w:val="nil"/>
              <w:bottom w:val="single" w:sz="4" w:space="0" w:color="000000"/>
              <w:right w:val="single" w:sz="4" w:space="0" w:color="000000"/>
            </w:tcBorders>
            <w:shd w:val="clear" w:color="auto" w:fill="auto"/>
            <w:vAlign w:val="center"/>
          </w:tcPr>
          <w:p w:rsidR="006E15FE" w14:paraId="0000004B" w14:textId="77777777">
            <w:pPr>
              <w:jc w:val="center"/>
              <w:rPr>
                <w:sz w:val="22"/>
                <w:szCs w:val="22"/>
              </w:rPr>
            </w:pPr>
            <w:r>
              <w:rPr>
                <w:sz w:val="22"/>
                <w:szCs w:val="22"/>
              </w:rPr>
              <w:t>0.5</w:t>
            </w:r>
          </w:p>
        </w:tc>
        <w:tc>
          <w:tcPr>
            <w:tcW w:w="1485" w:type="dxa"/>
            <w:tcBorders>
              <w:top w:val="nil"/>
              <w:left w:val="nil"/>
              <w:bottom w:val="single" w:sz="4" w:space="0" w:color="000000"/>
              <w:right w:val="single" w:sz="4" w:space="0" w:color="000000"/>
            </w:tcBorders>
            <w:shd w:val="clear" w:color="auto" w:fill="auto"/>
            <w:vAlign w:val="center"/>
          </w:tcPr>
          <w:p w:rsidR="006E15FE" w14:paraId="0000004C" w14:textId="77777777">
            <w:pPr>
              <w:jc w:val="center"/>
              <w:rPr>
                <w:sz w:val="22"/>
                <w:szCs w:val="22"/>
              </w:rPr>
            </w:pPr>
            <w:r>
              <w:rPr>
                <w:sz w:val="22"/>
                <w:szCs w:val="22"/>
              </w:rPr>
              <w:t>25</w:t>
            </w:r>
          </w:p>
        </w:tc>
        <w:tc>
          <w:tcPr>
            <w:tcW w:w="1485" w:type="dxa"/>
            <w:tcBorders>
              <w:top w:val="nil"/>
              <w:left w:val="nil"/>
              <w:bottom w:val="single" w:sz="4" w:space="0" w:color="000000"/>
              <w:right w:val="single" w:sz="4" w:space="0" w:color="000000"/>
            </w:tcBorders>
            <w:shd w:val="clear" w:color="auto" w:fill="auto"/>
            <w:vAlign w:val="center"/>
          </w:tcPr>
          <w:p w:rsidR="006E15FE" w14:paraId="0000004D" w14:textId="77777777">
            <w:pPr>
              <w:ind w:right="165"/>
              <w:jc w:val="center"/>
              <w:rPr>
                <w:sz w:val="22"/>
                <w:szCs w:val="22"/>
              </w:rPr>
            </w:pPr>
            <w:r>
              <w:rPr>
                <w:sz w:val="22"/>
                <w:szCs w:val="22"/>
              </w:rPr>
              <w:t>For private nonfarm payrolls= $          30.17.</w:t>
            </w:r>
          </w:p>
        </w:tc>
        <w:tc>
          <w:tcPr>
            <w:tcW w:w="1350" w:type="dxa"/>
            <w:tcBorders>
              <w:top w:val="nil"/>
              <w:left w:val="nil"/>
              <w:bottom w:val="single" w:sz="4" w:space="0" w:color="000000"/>
              <w:right w:val="single" w:sz="8" w:space="0" w:color="000000"/>
            </w:tcBorders>
            <w:shd w:val="clear" w:color="auto" w:fill="auto"/>
            <w:vAlign w:val="center"/>
          </w:tcPr>
          <w:p w:rsidR="006E15FE" w14:paraId="0000004E" w14:textId="77777777">
            <w:pPr>
              <w:jc w:val="center"/>
              <w:rPr>
                <w:sz w:val="22"/>
                <w:szCs w:val="22"/>
              </w:rPr>
            </w:pPr>
            <w:r>
              <w:rPr>
                <w:sz w:val="22"/>
                <w:szCs w:val="22"/>
              </w:rPr>
              <w:t>$754.25</w:t>
            </w:r>
          </w:p>
        </w:tc>
      </w:tr>
      <w:tr w14:paraId="4695FF13" w14:textId="77777777">
        <w:tblPrEx>
          <w:tblW w:w="13635" w:type="dxa"/>
          <w:tblLayout w:type="fixed"/>
          <w:tblLook w:val="0600"/>
        </w:tblPrEx>
        <w:tc>
          <w:tcPr>
            <w:tcW w:w="1515" w:type="dxa"/>
            <w:tcBorders>
              <w:top w:val="nil"/>
              <w:left w:val="single" w:sz="8" w:space="0" w:color="000000"/>
              <w:bottom w:val="single" w:sz="8" w:space="0" w:color="000000"/>
              <w:right w:val="single" w:sz="8" w:space="0" w:color="000000"/>
            </w:tcBorders>
            <w:shd w:val="clear" w:color="auto" w:fill="DDEBF7"/>
            <w:vAlign w:val="center"/>
          </w:tcPr>
          <w:p w:rsidR="006E15FE" w14:paraId="0000004F" w14:textId="77777777">
            <w:pPr>
              <w:jc w:val="center"/>
              <w:rPr>
                <w:b/>
                <w:sz w:val="22"/>
                <w:szCs w:val="22"/>
              </w:rPr>
            </w:pPr>
            <w:r>
              <w:rPr>
                <w:b/>
                <w:sz w:val="22"/>
                <w:szCs w:val="22"/>
              </w:rPr>
              <w:t>Totals</w:t>
            </w:r>
          </w:p>
        </w:tc>
        <w:tc>
          <w:tcPr>
            <w:tcW w:w="2400" w:type="dxa"/>
            <w:tcBorders>
              <w:top w:val="nil"/>
              <w:left w:val="nil"/>
              <w:bottom w:val="single" w:sz="8" w:space="0" w:color="000000"/>
              <w:right w:val="single" w:sz="8" w:space="0" w:color="000000"/>
            </w:tcBorders>
            <w:shd w:val="clear" w:color="auto" w:fill="000000"/>
            <w:vAlign w:val="center"/>
          </w:tcPr>
          <w:p w:rsidR="006E15FE" w14:paraId="00000050" w14:textId="77777777">
            <w:pPr>
              <w:jc w:val="center"/>
              <w:rPr>
                <w:b/>
                <w:sz w:val="22"/>
                <w:szCs w:val="22"/>
              </w:rPr>
            </w:pPr>
            <w:r>
              <w:rPr>
                <w:b/>
                <w:sz w:val="22"/>
                <w:szCs w:val="22"/>
              </w:rPr>
              <w:t> </w:t>
            </w:r>
          </w:p>
        </w:tc>
        <w:tc>
          <w:tcPr>
            <w:tcW w:w="1245" w:type="dxa"/>
            <w:tcBorders>
              <w:top w:val="nil"/>
              <w:left w:val="nil"/>
              <w:bottom w:val="single" w:sz="8" w:space="0" w:color="000000"/>
              <w:right w:val="single" w:sz="8" w:space="0" w:color="000000"/>
            </w:tcBorders>
            <w:shd w:val="clear" w:color="auto" w:fill="000000"/>
            <w:vAlign w:val="center"/>
          </w:tcPr>
          <w:p w:rsidR="006E15FE" w14:paraId="00000051" w14:textId="77777777">
            <w:pPr>
              <w:jc w:val="center"/>
              <w:rPr>
                <w:b/>
                <w:sz w:val="22"/>
                <w:szCs w:val="22"/>
              </w:rPr>
            </w:pPr>
            <w:r>
              <w:rPr>
                <w:b/>
                <w:sz w:val="22"/>
                <w:szCs w:val="22"/>
              </w:rPr>
              <w:t> </w:t>
            </w:r>
          </w:p>
        </w:tc>
        <w:tc>
          <w:tcPr>
            <w:tcW w:w="1440" w:type="dxa"/>
            <w:tcBorders>
              <w:top w:val="nil"/>
              <w:left w:val="nil"/>
              <w:bottom w:val="single" w:sz="8" w:space="0" w:color="000000"/>
              <w:right w:val="single" w:sz="8" w:space="0" w:color="000000"/>
            </w:tcBorders>
            <w:shd w:val="clear" w:color="auto" w:fill="000000"/>
            <w:vAlign w:val="center"/>
          </w:tcPr>
          <w:p w:rsidR="006E15FE" w14:paraId="00000052" w14:textId="77777777">
            <w:pPr>
              <w:jc w:val="center"/>
              <w:rPr>
                <w:b/>
                <w:sz w:val="22"/>
                <w:szCs w:val="22"/>
              </w:rPr>
            </w:pPr>
            <w:r>
              <w:rPr>
                <w:b/>
                <w:sz w:val="22"/>
                <w:szCs w:val="22"/>
              </w:rPr>
              <w:t> </w:t>
            </w:r>
          </w:p>
        </w:tc>
        <w:tc>
          <w:tcPr>
            <w:tcW w:w="1380" w:type="dxa"/>
            <w:tcBorders>
              <w:top w:val="nil"/>
              <w:left w:val="nil"/>
              <w:bottom w:val="single" w:sz="8" w:space="0" w:color="000000"/>
              <w:right w:val="single" w:sz="8" w:space="0" w:color="000000"/>
            </w:tcBorders>
            <w:shd w:val="clear" w:color="auto" w:fill="DDEBF7"/>
            <w:vAlign w:val="center"/>
          </w:tcPr>
          <w:p w:rsidR="006E15FE" w14:paraId="00000053" w14:textId="77777777">
            <w:pPr>
              <w:jc w:val="center"/>
              <w:rPr>
                <w:b/>
                <w:sz w:val="22"/>
                <w:szCs w:val="22"/>
              </w:rPr>
            </w:pPr>
            <w:r>
              <w:rPr>
                <w:b/>
                <w:sz w:val="22"/>
                <w:szCs w:val="22"/>
              </w:rPr>
              <w:t> 1250</w:t>
            </w:r>
          </w:p>
        </w:tc>
        <w:tc>
          <w:tcPr>
            <w:tcW w:w="1335" w:type="dxa"/>
            <w:tcBorders>
              <w:top w:val="nil"/>
              <w:left w:val="nil"/>
              <w:bottom w:val="single" w:sz="8" w:space="0" w:color="000000"/>
              <w:right w:val="single" w:sz="8" w:space="0" w:color="000000"/>
            </w:tcBorders>
            <w:shd w:val="clear" w:color="auto" w:fill="000000"/>
            <w:vAlign w:val="center"/>
          </w:tcPr>
          <w:p w:rsidR="006E15FE" w14:paraId="00000054" w14:textId="77777777">
            <w:pPr>
              <w:jc w:val="center"/>
              <w:rPr>
                <w:b/>
                <w:sz w:val="22"/>
                <w:szCs w:val="22"/>
              </w:rPr>
            </w:pPr>
            <w:r>
              <w:rPr>
                <w:b/>
                <w:sz w:val="22"/>
                <w:szCs w:val="22"/>
              </w:rPr>
              <w:t> </w:t>
            </w:r>
          </w:p>
        </w:tc>
        <w:tc>
          <w:tcPr>
            <w:tcW w:w="1485" w:type="dxa"/>
            <w:tcBorders>
              <w:top w:val="nil"/>
              <w:left w:val="nil"/>
              <w:bottom w:val="single" w:sz="8" w:space="0" w:color="000000"/>
              <w:right w:val="single" w:sz="8" w:space="0" w:color="000000"/>
            </w:tcBorders>
            <w:shd w:val="clear" w:color="auto" w:fill="DDEBF7"/>
            <w:vAlign w:val="center"/>
          </w:tcPr>
          <w:p w:rsidR="006E15FE" w14:paraId="00000055" w14:textId="77777777">
            <w:pPr>
              <w:jc w:val="center"/>
              <w:rPr>
                <w:b/>
                <w:sz w:val="22"/>
                <w:szCs w:val="22"/>
              </w:rPr>
            </w:pPr>
            <w:r>
              <w:rPr>
                <w:b/>
                <w:sz w:val="22"/>
                <w:szCs w:val="22"/>
              </w:rPr>
              <w:t>225</w:t>
            </w:r>
          </w:p>
        </w:tc>
        <w:tc>
          <w:tcPr>
            <w:tcW w:w="1485" w:type="dxa"/>
            <w:tcBorders>
              <w:top w:val="nil"/>
              <w:left w:val="nil"/>
              <w:bottom w:val="single" w:sz="8" w:space="0" w:color="000000"/>
              <w:right w:val="single" w:sz="8" w:space="0" w:color="000000"/>
            </w:tcBorders>
            <w:shd w:val="clear" w:color="auto" w:fill="000000"/>
            <w:vAlign w:val="center"/>
          </w:tcPr>
          <w:p w:rsidR="006E15FE" w14:paraId="00000056" w14:textId="77777777">
            <w:pPr>
              <w:jc w:val="center"/>
              <w:rPr>
                <w:b/>
                <w:sz w:val="22"/>
                <w:szCs w:val="22"/>
              </w:rPr>
            </w:pPr>
            <w:r>
              <w:rPr>
                <w:b/>
                <w:sz w:val="22"/>
                <w:szCs w:val="22"/>
              </w:rPr>
              <w:t> </w:t>
            </w:r>
          </w:p>
        </w:tc>
        <w:tc>
          <w:tcPr>
            <w:tcW w:w="1350" w:type="dxa"/>
            <w:tcBorders>
              <w:top w:val="nil"/>
              <w:left w:val="nil"/>
              <w:bottom w:val="single" w:sz="8" w:space="0" w:color="000000"/>
              <w:right w:val="single" w:sz="8" w:space="0" w:color="000000"/>
            </w:tcBorders>
            <w:shd w:val="clear" w:color="auto" w:fill="DDEBF7"/>
            <w:vAlign w:val="center"/>
          </w:tcPr>
          <w:p w:rsidR="006E15FE" w14:paraId="00000057" w14:textId="77777777">
            <w:pPr>
              <w:jc w:val="center"/>
              <w:rPr>
                <w:b/>
                <w:sz w:val="22"/>
                <w:szCs w:val="22"/>
              </w:rPr>
            </w:pPr>
            <w:r>
              <w:rPr>
                <w:b/>
                <w:sz w:val="22"/>
                <w:szCs w:val="22"/>
              </w:rPr>
              <w:t> $6788.25</w:t>
            </w:r>
          </w:p>
        </w:tc>
      </w:tr>
    </w:tbl>
    <w:p w:rsidR="006E15FE" w14:paraId="00000058" w14:textId="77777777">
      <w:pPr>
        <w:spacing w:line="259" w:lineRule="auto"/>
        <w:ind w:hanging="43"/>
        <w:jc w:val="center"/>
        <w:rPr>
          <w:b/>
        </w:rPr>
        <w:sectPr>
          <w:pgSz w:w="15840" w:h="12240" w:orient="landscape"/>
          <w:pgMar w:top="640" w:right="1080" w:bottom="1200" w:left="1080" w:header="0" w:footer="1014" w:gutter="0"/>
          <w:cols w:space="720"/>
        </w:sectPr>
      </w:pPr>
    </w:p>
    <w:p w:rsidR="006E15FE" w14:paraId="00000059"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6E15FE" w14:paraId="0000005A" w14:textId="77777777">
      <w:r>
        <w:t>There are no capital costs or operating and maintenance costs associated with this information collection.</w:t>
      </w:r>
    </w:p>
    <w:p w:rsidR="006E15FE" w14:paraId="0000005B" w14:textId="77777777">
      <w:pPr>
        <w:rPr>
          <w:b/>
          <w:color w:val="FF0000"/>
        </w:rPr>
      </w:pPr>
    </w:p>
    <w:p w:rsidR="006E15FE" w14:paraId="0000005C"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E15FE" w14:paraId="0000005D" w14:textId="77777777">
      <w:pPr>
        <w:widowControl w:val="0"/>
        <w:pBdr>
          <w:top w:val="nil"/>
          <w:left w:val="nil"/>
          <w:bottom w:val="nil"/>
          <w:right w:val="nil"/>
          <w:between w:val="nil"/>
        </w:pBdr>
        <w:spacing w:before="9" w:after="1"/>
        <w:rPr>
          <w:b/>
          <w:color w:val="000000"/>
        </w:rPr>
      </w:pPr>
    </w:p>
    <w:tbl>
      <w:tblPr>
        <w:tblStyle w:val="a0"/>
        <w:tblW w:w="10725" w:type="dxa"/>
        <w:tblInd w:w="-25" w:type="dxa"/>
        <w:tblLayout w:type="fixed"/>
        <w:tblLook w:val="0400"/>
      </w:tblPr>
      <w:tblGrid>
        <w:gridCol w:w="3075"/>
        <w:gridCol w:w="1980"/>
        <w:gridCol w:w="1710"/>
        <w:gridCol w:w="1170"/>
        <w:gridCol w:w="1350"/>
        <w:gridCol w:w="1440"/>
      </w:tblGrid>
      <w:tr w14:paraId="036765EE" w14:textId="77777777" w:rsidTr="007300AE">
        <w:tblPrEx>
          <w:tblW w:w="10725" w:type="dxa"/>
          <w:tblInd w:w="-25" w:type="dxa"/>
          <w:tblLayout w:type="fixed"/>
          <w:tblLook w:val="0400"/>
        </w:tblPrEx>
        <w:trPr>
          <w:trHeight w:val="450"/>
        </w:trPr>
        <w:tc>
          <w:tcPr>
            <w:tcW w:w="3075" w:type="dxa"/>
            <w:tcBorders>
              <w:top w:val="single" w:sz="8" w:space="0" w:color="000000"/>
              <w:left w:val="single" w:sz="8" w:space="0" w:color="000000"/>
              <w:bottom w:val="nil"/>
              <w:right w:val="single" w:sz="8" w:space="0" w:color="000000"/>
            </w:tcBorders>
            <w:shd w:val="clear" w:color="auto" w:fill="BDD7EE"/>
            <w:vAlign w:val="center"/>
          </w:tcPr>
          <w:p w:rsidR="006E15FE" w14:paraId="0000005E" w14:textId="77777777">
            <w:pPr>
              <w:jc w:val="center"/>
              <w:rPr>
                <w:b/>
                <w:color w:val="000000"/>
                <w:sz w:val="22"/>
                <w:szCs w:val="22"/>
              </w:rPr>
            </w:pPr>
            <w:r>
              <w:rPr>
                <w:b/>
                <w:color w:val="000000"/>
                <w:sz w:val="22"/>
                <w:szCs w:val="22"/>
              </w:rPr>
              <w:t>Cost Descriptions</w:t>
            </w:r>
          </w:p>
        </w:tc>
        <w:tc>
          <w:tcPr>
            <w:tcW w:w="1980" w:type="dxa"/>
            <w:tcBorders>
              <w:top w:val="single" w:sz="8" w:space="0" w:color="000000"/>
              <w:left w:val="nil"/>
              <w:bottom w:val="nil"/>
              <w:right w:val="single" w:sz="8" w:space="0" w:color="000000"/>
            </w:tcBorders>
            <w:shd w:val="clear" w:color="auto" w:fill="BDD7EE"/>
            <w:vAlign w:val="center"/>
          </w:tcPr>
          <w:p w:rsidR="006E15FE" w14:paraId="0000005F" w14:textId="77777777">
            <w:pPr>
              <w:jc w:val="center"/>
              <w:rPr>
                <w:b/>
                <w:color w:val="000000"/>
                <w:sz w:val="22"/>
                <w:szCs w:val="22"/>
              </w:rPr>
            </w:pPr>
            <w:r>
              <w:rPr>
                <w:b/>
                <w:color w:val="000000"/>
                <w:sz w:val="22"/>
                <w:szCs w:val="22"/>
              </w:rPr>
              <w:t>Grade/Step</w:t>
            </w:r>
          </w:p>
        </w:tc>
        <w:tc>
          <w:tcPr>
            <w:tcW w:w="1710" w:type="dxa"/>
            <w:tcBorders>
              <w:top w:val="single" w:sz="8" w:space="0" w:color="000000"/>
              <w:left w:val="nil"/>
              <w:bottom w:val="nil"/>
              <w:right w:val="single" w:sz="8" w:space="0" w:color="000000"/>
            </w:tcBorders>
            <w:shd w:val="clear" w:color="auto" w:fill="BDD7EE"/>
            <w:vAlign w:val="center"/>
          </w:tcPr>
          <w:p w:rsidR="006E15FE" w14:paraId="00000060" w14:textId="77777777">
            <w:pPr>
              <w:jc w:val="center"/>
              <w:rPr>
                <w:b/>
                <w:color w:val="000000"/>
                <w:sz w:val="22"/>
                <w:szCs w:val="22"/>
              </w:rPr>
            </w:pPr>
            <w:r>
              <w:rPr>
                <w:b/>
                <w:color w:val="000000"/>
                <w:sz w:val="22"/>
                <w:szCs w:val="22"/>
              </w:rPr>
              <w:t>Loaded Salary /Cost</w:t>
            </w:r>
          </w:p>
        </w:tc>
        <w:tc>
          <w:tcPr>
            <w:tcW w:w="1170" w:type="dxa"/>
            <w:tcBorders>
              <w:top w:val="single" w:sz="8" w:space="0" w:color="000000"/>
              <w:left w:val="nil"/>
              <w:bottom w:val="nil"/>
              <w:right w:val="single" w:sz="8" w:space="0" w:color="000000"/>
            </w:tcBorders>
            <w:shd w:val="clear" w:color="auto" w:fill="BDD7EE"/>
            <w:vAlign w:val="center"/>
          </w:tcPr>
          <w:p w:rsidR="006E15FE" w14:paraId="00000061" w14:textId="77777777">
            <w:pPr>
              <w:jc w:val="center"/>
              <w:rPr>
                <w:b/>
                <w:color w:val="000000"/>
                <w:sz w:val="22"/>
                <w:szCs w:val="22"/>
              </w:rPr>
            </w:pPr>
            <w:r>
              <w:rPr>
                <w:b/>
                <w:color w:val="000000"/>
                <w:sz w:val="22"/>
                <w:szCs w:val="22"/>
              </w:rPr>
              <w:t>% of Effort</w:t>
            </w:r>
          </w:p>
        </w:tc>
        <w:tc>
          <w:tcPr>
            <w:tcW w:w="1350" w:type="dxa"/>
            <w:tcBorders>
              <w:top w:val="single" w:sz="8" w:space="0" w:color="000000"/>
              <w:left w:val="nil"/>
              <w:bottom w:val="nil"/>
              <w:right w:val="single" w:sz="8" w:space="0" w:color="000000"/>
            </w:tcBorders>
            <w:shd w:val="clear" w:color="auto" w:fill="BDD7EE"/>
            <w:vAlign w:val="center"/>
          </w:tcPr>
          <w:p w:rsidR="006E15FE" w14:paraId="00000062" w14:textId="77777777">
            <w:pPr>
              <w:jc w:val="center"/>
              <w:rPr>
                <w:b/>
                <w:color w:val="000000"/>
                <w:sz w:val="22"/>
                <w:szCs w:val="22"/>
              </w:rPr>
            </w:pPr>
            <w:r>
              <w:rPr>
                <w:b/>
                <w:color w:val="000000"/>
                <w:sz w:val="22"/>
                <w:szCs w:val="22"/>
              </w:rPr>
              <w:t>Fringe (if Applicable)</w:t>
            </w:r>
          </w:p>
        </w:tc>
        <w:tc>
          <w:tcPr>
            <w:tcW w:w="1440" w:type="dxa"/>
            <w:tcBorders>
              <w:top w:val="single" w:sz="8" w:space="0" w:color="000000"/>
              <w:left w:val="nil"/>
              <w:bottom w:val="nil"/>
              <w:right w:val="single" w:sz="8" w:space="0" w:color="000000"/>
            </w:tcBorders>
            <w:shd w:val="clear" w:color="auto" w:fill="BDD7EE"/>
            <w:vAlign w:val="center"/>
          </w:tcPr>
          <w:p w:rsidR="006E15FE" w14:paraId="00000063" w14:textId="77777777">
            <w:pPr>
              <w:jc w:val="center"/>
              <w:rPr>
                <w:b/>
                <w:color w:val="000000"/>
                <w:sz w:val="22"/>
                <w:szCs w:val="22"/>
              </w:rPr>
            </w:pPr>
            <w:r>
              <w:rPr>
                <w:b/>
                <w:color w:val="000000"/>
                <w:sz w:val="22"/>
                <w:szCs w:val="22"/>
              </w:rPr>
              <w:t>Total Cost to Government</w:t>
            </w:r>
          </w:p>
        </w:tc>
      </w:tr>
      <w:tr w14:paraId="30BE0FC3" w14:textId="77777777" w:rsidTr="007300AE">
        <w:tblPrEx>
          <w:tblW w:w="10725" w:type="dxa"/>
          <w:tblInd w:w="-25" w:type="dxa"/>
          <w:tblLayout w:type="fixed"/>
          <w:tblLook w:val="0400"/>
        </w:tblPrEx>
        <w:trPr>
          <w:trHeight w:val="465"/>
        </w:trPr>
        <w:tc>
          <w:tcPr>
            <w:tcW w:w="3075" w:type="dxa"/>
            <w:tcBorders>
              <w:top w:val="single" w:sz="4" w:space="0" w:color="000000"/>
              <w:left w:val="single" w:sz="8" w:space="0" w:color="000000"/>
              <w:bottom w:val="single" w:sz="4" w:space="0" w:color="000000"/>
              <w:right w:val="single" w:sz="8" w:space="0" w:color="000000"/>
            </w:tcBorders>
            <w:shd w:val="clear" w:color="auto" w:fill="auto"/>
            <w:vAlign w:val="bottom"/>
          </w:tcPr>
          <w:p w:rsidR="006E15FE" w14:paraId="00000064" w14:textId="77777777">
            <w:pPr>
              <w:rPr>
                <w:color w:val="000000"/>
                <w:sz w:val="22"/>
                <w:szCs w:val="22"/>
              </w:rPr>
            </w:pPr>
            <w:r>
              <w:rPr>
                <w:color w:val="000000"/>
                <w:sz w:val="22"/>
                <w:szCs w:val="22"/>
              </w:rPr>
              <w:t>Federal Oversight and data cleaning</w:t>
            </w:r>
          </w:p>
        </w:tc>
        <w:tc>
          <w:tcPr>
            <w:tcW w:w="1980" w:type="dxa"/>
            <w:tcBorders>
              <w:top w:val="single" w:sz="4" w:space="0" w:color="000000"/>
              <w:left w:val="nil"/>
              <w:bottom w:val="single" w:sz="4" w:space="0" w:color="000000"/>
              <w:right w:val="single" w:sz="4" w:space="0" w:color="000000"/>
            </w:tcBorders>
            <w:shd w:val="clear" w:color="auto" w:fill="auto"/>
            <w:vAlign w:val="bottom"/>
          </w:tcPr>
          <w:p w:rsidR="006E15FE" w14:paraId="00000065" w14:textId="77777777">
            <w:pPr>
              <w:rPr>
                <w:color w:val="000000"/>
                <w:sz w:val="22"/>
                <w:szCs w:val="22"/>
              </w:rPr>
            </w:pPr>
            <w:r>
              <w:rPr>
                <w:color w:val="000000"/>
                <w:sz w:val="22"/>
                <w:szCs w:val="22"/>
              </w:rPr>
              <w:t> </w:t>
            </w:r>
            <w:r>
              <w:rPr>
                <w:sz w:val="22"/>
                <w:szCs w:val="22"/>
              </w:rPr>
              <w:t>13/1</w:t>
            </w:r>
          </w:p>
        </w:tc>
        <w:tc>
          <w:tcPr>
            <w:tcW w:w="1710" w:type="dxa"/>
            <w:tcBorders>
              <w:top w:val="single" w:sz="4" w:space="0" w:color="000000"/>
              <w:left w:val="nil"/>
              <w:bottom w:val="single" w:sz="4" w:space="0" w:color="000000"/>
              <w:right w:val="single" w:sz="4" w:space="0" w:color="000000"/>
            </w:tcBorders>
            <w:shd w:val="clear" w:color="auto" w:fill="auto"/>
            <w:vAlign w:val="bottom"/>
          </w:tcPr>
          <w:p w:rsidR="006E15FE" w14:paraId="00000066" w14:textId="77777777">
            <w:pPr>
              <w:rPr>
                <w:color w:val="000000"/>
                <w:sz w:val="22"/>
                <w:szCs w:val="22"/>
              </w:rPr>
            </w:pPr>
            <w:r>
              <w:rPr>
                <w:color w:val="000000"/>
                <w:sz w:val="22"/>
                <w:szCs w:val="22"/>
              </w:rPr>
              <w:t> $100</w:t>
            </w:r>
            <w:r>
              <w:rPr>
                <w:sz w:val="22"/>
                <w:szCs w:val="22"/>
              </w:rPr>
              <w:t>,</w:t>
            </w:r>
            <w:r>
              <w:rPr>
                <w:color w:val="000000"/>
                <w:sz w:val="22"/>
                <w:szCs w:val="22"/>
              </w:rPr>
              <w:t>000</w:t>
            </w:r>
          </w:p>
        </w:tc>
        <w:tc>
          <w:tcPr>
            <w:tcW w:w="1170" w:type="dxa"/>
            <w:tcBorders>
              <w:top w:val="single" w:sz="4" w:space="0" w:color="000000"/>
              <w:left w:val="nil"/>
              <w:bottom w:val="single" w:sz="4" w:space="0" w:color="000000"/>
              <w:right w:val="single" w:sz="4" w:space="0" w:color="000000"/>
            </w:tcBorders>
            <w:shd w:val="clear" w:color="auto" w:fill="auto"/>
            <w:vAlign w:val="bottom"/>
          </w:tcPr>
          <w:p w:rsidR="006E15FE" w14:paraId="00000067" w14:textId="77777777">
            <w:pPr>
              <w:rPr>
                <w:color w:val="000000"/>
                <w:sz w:val="22"/>
                <w:szCs w:val="22"/>
              </w:rPr>
            </w:pPr>
            <w:r>
              <w:rPr>
                <w:color w:val="000000"/>
                <w:sz w:val="22"/>
                <w:szCs w:val="22"/>
              </w:rPr>
              <w:t> 5</w:t>
            </w:r>
          </w:p>
        </w:tc>
        <w:tc>
          <w:tcPr>
            <w:tcW w:w="1350" w:type="dxa"/>
            <w:tcBorders>
              <w:top w:val="single" w:sz="4" w:space="0" w:color="000000"/>
              <w:left w:val="nil"/>
              <w:bottom w:val="single" w:sz="4" w:space="0" w:color="000000"/>
              <w:right w:val="single" w:sz="4" w:space="0" w:color="000000"/>
            </w:tcBorders>
            <w:vAlign w:val="bottom"/>
          </w:tcPr>
          <w:p w:rsidR="006E15FE" w14:paraId="00000068" w14:textId="77777777">
            <w:pPr>
              <w:rPr>
                <w:color w:val="000000"/>
                <w:sz w:val="22"/>
                <w:szCs w:val="22"/>
              </w:rPr>
            </w:pPr>
            <w:r>
              <w:rPr>
                <w:color w:val="000000"/>
                <w:sz w:val="22"/>
                <w:szCs w:val="22"/>
              </w:rPr>
              <w:t> NA</w:t>
            </w:r>
          </w:p>
        </w:tc>
        <w:tc>
          <w:tcPr>
            <w:tcW w:w="1440" w:type="dxa"/>
            <w:tcBorders>
              <w:top w:val="single" w:sz="4" w:space="0" w:color="000000"/>
              <w:left w:val="nil"/>
              <w:bottom w:val="single" w:sz="4" w:space="0" w:color="000000"/>
              <w:right w:val="single" w:sz="8" w:space="0" w:color="000000"/>
            </w:tcBorders>
            <w:shd w:val="clear" w:color="auto" w:fill="auto"/>
            <w:vAlign w:val="bottom"/>
          </w:tcPr>
          <w:p w:rsidR="006E15FE" w14:paraId="00000069" w14:textId="77777777">
            <w:pPr>
              <w:rPr>
                <w:color w:val="000000"/>
                <w:sz w:val="22"/>
                <w:szCs w:val="22"/>
              </w:rPr>
            </w:pPr>
            <w:r>
              <w:rPr>
                <w:color w:val="000000"/>
                <w:sz w:val="22"/>
                <w:szCs w:val="22"/>
              </w:rPr>
              <w:t> $5,000</w:t>
            </w:r>
          </w:p>
        </w:tc>
      </w:tr>
      <w:tr w14:paraId="066F7D71" w14:textId="77777777" w:rsidTr="007300AE">
        <w:tblPrEx>
          <w:tblW w:w="10725" w:type="dxa"/>
          <w:tblInd w:w="-25" w:type="dxa"/>
          <w:tblLayout w:type="fixed"/>
          <w:tblLook w:val="0400"/>
        </w:tblPrEx>
        <w:trPr>
          <w:trHeight w:val="300"/>
        </w:trPr>
        <w:tc>
          <w:tcPr>
            <w:tcW w:w="3075" w:type="dxa"/>
            <w:tcBorders>
              <w:top w:val="nil"/>
              <w:left w:val="single" w:sz="8" w:space="0" w:color="000000"/>
              <w:bottom w:val="single" w:sz="4" w:space="0" w:color="000000"/>
              <w:right w:val="single" w:sz="8" w:space="0" w:color="000000"/>
            </w:tcBorders>
            <w:shd w:val="clear" w:color="auto" w:fill="auto"/>
            <w:vAlign w:val="bottom"/>
          </w:tcPr>
          <w:p w:rsidR="006E15FE" w14:paraId="0000006A" w14:textId="77777777">
            <w:pPr>
              <w:rPr>
                <w:b/>
                <w:color w:val="000000"/>
                <w:sz w:val="22"/>
                <w:szCs w:val="22"/>
              </w:rPr>
            </w:pPr>
            <w:r>
              <w:rPr>
                <w:b/>
                <w:sz w:val="22"/>
                <w:szCs w:val="22"/>
              </w:rPr>
              <w:t>Contractor costs:</w:t>
            </w:r>
          </w:p>
        </w:tc>
        <w:tc>
          <w:tcPr>
            <w:tcW w:w="1980" w:type="dxa"/>
            <w:tcBorders>
              <w:top w:val="nil"/>
              <w:left w:val="nil"/>
              <w:bottom w:val="single" w:sz="4" w:space="0" w:color="000000"/>
              <w:right w:val="single" w:sz="4" w:space="0" w:color="000000"/>
            </w:tcBorders>
            <w:shd w:val="clear" w:color="auto" w:fill="auto"/>
            <w:vAlign w:val="bottom"/>
          </w:tcPr>
          <w:p w:rsidR="006E15FE" w14:paraId="0000006B" w14:textId="77777777">
            <w:pPr>
              <w:rPr>
                <w:color w:val="000000"/>
                <w:sz w:val="22"/>
                <w:szCs w:val="22"/>
              </w:rPr>
            </w:pPr>
          </w:p>
        </w:tc>
        <w:tc>
          <w:tcPr>
            <w:tcW w:w="1710" w:type="dxa"/>
            <w:tcBorders>
              <w:top w:val="nil"/>
              <w:left w:val="nil"/>
              <w:bottom w:val="single" w:sz="4" w:space="0" w:color="000000"/>
              <w:right w:val="single" w:sz="4" w:space="0" w:color="000000"/>
            </w:tcBorders>
            <w:shd w:val="clear" w:color="auto" w:fill="auto"/>
            <w:vAlign w:val="bottom"/>
          </w:tcPr>
          <w:p w:rsidR="006E15FE" w14:paraId="0000006C" w14:textId="77777777">
            <w:pPr>
              <w:rPr>
                <w:color w:val="000000"/>
                <w:sz w:val="22"/>
                <w:szCs w:val="22"/>
              </w:rPr>
            </w:pPr>
          </w:p>
        </w:tc>
        <w:tc>
          <w:tcPr>
            <w:tcW w:w="1170" w:type="dxa"/>
            <w:tcBorders>
              <w:top w:val="nil"/>
              <w:left w:val="nil"/>
              <w:bottom w:val="single" w:sz="4" w:space="0" w:color="000000"/>
              <w:right w:val="single" w:sz="4" w:space="0" w:color="000000"/>
            </w:tcBorders>
            <w:shd w:val="clear" w:color="auto" w:fill="auto"/>
            <w:vAlign w:val="bottom"/>
          </w:tcPr>
          <w:p w:rsidR="006E15FE" w14:paraId="0000006D" w14:textId="77777777">
            <w:pPr>
              <w:rPr>
                <w:sz w:val="22"/>
                <w:szCs w:val="22"/>
              </w:rPr>
            </w:pPr>
          </w:p>
        </w:tc>
        <w:tc>
          <w:tcPr>
            <w:tcW w:w="1350" w:type="dxa"/>
            <w:tcBorders>
              <w:top w:val="nil"/>
              <w:left w:val="nil"/>
              <w:bottom w:val="single" w:sz="4" w:space="0" w:color="000000"/>
              <w:right w:val="single" w:sz="4" w:space="0" w:color="000000"/>
            </w:tcBorders>
            <w:vAlign w:val="bottom"/>
          </w:tcPr>
          <w:p w:rsidR="006E15FE" w14:paraId="0000006E" w14:textId="77777777">
            <w:pPr>
              <w:rPr>
                <w:color w:val="000000"/>
                <w:sz w:val="22"/>
                <w:szCs w:val="22"/>
              </w:rPr>
            </w:pPr>
          </w:p>
        </w:tc>
        <w:tc>
          <w:tcPr>
            <w:tcW w:w="1440" w:type="dxa"/>
            <w:tcBorders>
              <w:top w:val="nil"/>
              <w:left w:val="nil"/>
              <w:bottom w:val="single" w:sz="4" w:space="0" w:color="000000"/>
              <w:right w:val="single" w:sz="8" w:space="0" w:color="000000"/>
            </w:tcBorders>
            <w:shd w:val="clear" w:color="auto" w:fill="auto"/>
            <w:vAlign w:val="bottom"/>
          </w:tcPr>
          <w:p w:rsidR="006E15FE" w14:paraId="0000006F" w14:textId="77777777">
            <w:pPr>
              <w:rPr>
                <w:color w:val="000000"/>
                <w:sz w:val="22"/>
                <w:szCs w:val="22"/>
              </w:rPr>
            </w:pPr>
          </w:p>
        </w:tc>
      </w:tr>
      <w:tr w14:paraId="7E2C041B" w14:textId="77777777" w:rsidTr="007300AE">
        <w:tblPrEx>
          <w:tblW w:w="10725" w:type="dxa"/>
          <w:tblInd w:w="-25" w:type="dxa"/>
          <w:tblLayout w:type="fixed"/>
          <w:tblLook w:val="0400"/>
        </w:tblPrEx>
        <w:trPr>
          <w:trHeight w:val="300"/>
        </w:trPr>
        <w:tc>
          <w:tcPr>
            <w:tcW w:w="3075" w:type="dxa"/>
            <w:tcBorders>
              <w:top w:val="nil"/>
              <w:left w:val="single" w:sz="8" w:space="0" w:color="000000"/>
              <w:bottom w:val="single" w:sz="4" w:space="0" w:color="000000"/>
              <w:right w:val="single" w:sz="8" w:space="0" w:color="000000"/>
            </w:tcBorders>
            <w:shd w:val="clear" w:color="auto" w:fill="auto"/>
            <w:vAlign w:val="bottom"/>
          </w:tcPr>
          <w:p w:rsidR="006E15FE" w14:paraId="00000070" w14:textId="77777777">
            <w:pPr>
              <w:rPr>
                <w:color w:val="000000"/>
                <w:sz w:val="22"/>
                <w:szCs w:val="22"/>
              </w:rPr>
            </w:pPr>
            <w:r>
              <w:rPr>
                <w:color w:val="000000"/>
                <w:sz w:val="22"/>
                <w:szCs w:val="22"/>
              </w:rPr>
              <w:t> Web Development costs</w:t>
            </w:r>
          </w:p>
        </w:tc>
        <w:tc>
          <w:tcPr>
            <w:tcW w:w="1980" w:type="dxa"/>
            <w:tcBorders>
              <w:top w:val="nil"/>
              <w:left w:val="nil"/>
              <w:bottom w:val="single" w:sz="4" w:space="0" w:color="000000"/>
              <w:right w:val="single" w:sz="4" w:space="0" w:color="000000"/>
            </w:tcBorders>
            <w:shd w:val="clear" w:color="auto" w:fill="auto"/>
            <w:vAlign w:val="bottom"/>
          </w:tcPr>
          <w:p w:rsidR="006E15FE" w14:paraId="00000071" w14:textId="77777777">
            <w:pPr>
              <w:rPr>
                <w:sz w:val="22"/>
                <w:szCs w:val="22"/>
              </w:rPr>
            </w:pPr>
            <w:r>
              <w:rPr>
                <w:color w:val="000000"/>
                <w:sz w:val="22"/>
                <w:szCs w:val="22"/>
              </w:rPr>
              <w:t>Web Developer</w:t>
            </w:r>
          </w:p>
        </w:tc>
        <w:tc>
          <w:tcPr>
            <w:tcW w:w="1710" w:type="dxa"/>
            <w:tcBorders>
              <w:top w:val="nil"/>
              <w:left w:val="nil"/>
              <w:bottom w:val="single" w:sz="4" w:space="0" w:color="000000"/>
              <w:right w:val="single" w:sz="4" w:space="0" w:color="000000"/>
            </w:tcBorders>
            <w:shd w:val="clear" w:color="auto" w:fill="auto"/>
            <w:vAlign w:val="bottom"/>
          </w:tcPr>
          <w:p w:rsidR="006E15FE" w14:paraId="00000072" w14:textId="77777777">
            <w:pPr>
              <w:rPr>
                <w:sz w:val="22"/>
                <w:szCs w:val="22"/>
              </w:rPr>
            </w:pPr>
            <w:r>
              <w:rPr>
                <w:color w:val="000000"/>
                <w:sz w:val="22"/>
                <w:szCs w:val="22"/>
              </w:rPr>
              <w:t>$</w:t>
            </w:r>
            <w:r>
              <w:rPr>
                <w:sz w:val="22"/>
                <w:szCs w:val="22"/>
              </w:rPr>
              <w:t>70,000</w:t>
            </w:r>
          </w:p>
        </w:tc>
        <w:tc>
          <w:tcPr>
            <w:tcW w:w="1170" w:type="dxa"/>
            <w:tcBorders>
              <w:top w:val="nil"/>
              <w:left w:val="nil"/>
              <w:bottom w:val="single" w:sz="4" w:space="0" w:color="000000"/>
              <w:right w:val="single" w:sz="4" w:space="0" w:color="000000"/>
            </w:tcBorders>
            <w:shd w:val="clear" w:color="auto" w:fill="auto"/>
            <w:vAlign w:val="bottom"/>
          </w:tcPr>
          <w:p w:rsidR="006E15FE" w14:paraId="00000073" w14:textId="77777777">
            <w:pPr>
              <w:rPr>
                <w:sz w:val="22"/>
                <w:szCs w:val="22"/>
              </w:rPr>
            </w:pPr>
            <w:r>
              <w:rPr>
                <w:sz w:val="22"/>
                <w:szCs w:val="22"/>
              </w:rPr>
              <w:t>1</w:t>
            </w:r>
            <w:r>
              <w:rPr>
                <w:color w:val="000000"/>
                <w:sz w:val="22"/>
                <w:szCs w:val="22"/>
              </w:rPr>
              <w:t>0</w:t>
            </w:r>
          </w:p>
        </w:tc>
        <w:tc>
          <w:tcPr>
            <w:tcW w:w="1350" w:type="dxa"/>
            <w:tcBorders>
              <w:top w:val="nil"/>
              <w:left w:val="nil"/>
              <w:bottom w:val="single" w:sz="4" w:space="0" w:color="000000"/>
              <w:right w:val="single" w:sz="4" w:space="0" w:color="000000"/>
            </w:tcBorders>
            <w:vAlign w:val="bottom"/>
          </w:tcPr>
          <w:p w:rsidR="006E15FE" w14:paraId="00000074" w14:textId="77777777">
            <w:pPr>
              <w:rPr>
                <w:color w:val="000000"/>
                <w:sz w:val="22"/>
                <w:szCs w:val="22"/>
              </w:rPr>
            </w:pPr>
            <w:r>
              <w:rPr>
                <w:sz w:val="22"/>
                <w:szCs w:val="22"/>
              </w:rPr>
              <w:t>$</w:t>
            </w:r>
            <w:r>
              <w:rPr>
                <w:color w:val="000000"/>
                <w:sz w:val="22"/>
                <w:szCs w:val="22"/>
              </w:rPr>
              <w:t> 1,820</w:t>
            </w:r>
          </w:p>
        </w:tc>
        <w:tc>
          <w:tcPr>
            <w:tcW w:w="1440" w:type="dxa"/>
            <w:tcBorders>
              <w:top w:val="nil"/>
              <w:left w:val="nil"/>
              <w:bottom w:val="single" w:sz="4" w:space="0" w:color="000000"/>
              <w:right w:val="single" w:sz="8" w:space="0" w:color="000000"/>
            </w:tcBorders>
            <w:shd w:val="clear" w:color="auto" w:fill="auto"/>
            <w:vAlign w:val="bottom"/>
          </w:tcPr>
          <w:p w:rsidR="006E15FE" w14:paraId="00000075" w14:textId="77777777">
            <w:pPr>
              <w:rPr>
                <w:color w:val="000000"/>
                <w:sz w:val="22"/>
                <w:szCs w:val="22"/>
              </w:rPr>
            </w:pPr>
            <w:r>
              <w:rPr>
                <w:color w:val="000000"/>
                <w:sz w:val="22"/>
                <w:szCs w:val="22"/>
              </w:rPr>
              <w:t> $</w:t>
            </w:r>
            <w:r>
              <w:rPr>
                <w:sz w:val="22"/>
                <w:szCs w:val="22"/>
              </w:rPr>
              <w:t>8,820</w:t>
            </w:r>
          </w:p>
        </w:tc>
      </w:tr>
      <w:tr w14:paraId="79A67884" w14:textId="77777777" w:rsidTr="007300AE">
        <w:tblPrEx>
          <w:tblW w:w="10725" w:type="dxa"/>
          <w:tblInd w:w="-25" w:type="dxa"/>
          <w:tblLayout w:type="fixed"/>
          <w:tblLook w:val="0400"/>
        </w:tblPrEx>
        <w:trPr>
          <w:trHeight w:val="300"/>
        </w:trPr>
        <w:tc>
          <w:tcPr>
            <w:tcW w:w="3075" w:type="dxa"/>
            <w:tcBorders>
              <w:top w:val="nil"/>
              <w:left w:val="single" w:sz="8" w:space="0" w:color="000000"/>
              <w:bottom w:val="single" w:sz="4" w:space="0" w:color="000000"/>
              <w:right w:val="single" w:sz="8" w:space="0" w:color="000000"/>
            </w:tcBorders>
            <w:shd w:val="clear" w:color="auto" w:fill="auto"/>
            <w:vAlign w:val="bottom"/>
          </w:tcPr>
          <w:p w:rsidR="006E15FE" w14:paraId="00000076" w14:textId="77777777">
            <w:pPr>
              <w:rPr>
                <w:color w:val="000000"/>
                <w:sz w:val="22"/>
                <w:szCs w:val="22"/>
              </w:rPr>
            </w:pPr>
            <w:r>
              <w:rPr>
                <w:sz w:val="22"/>
                <w:szCs w:val="22"/>
              </w:rPr>
              <w:t xml:space="preserve">Analysis </w:t>
            </w:r>
            <w:r>
              <w:rPr>
                <w:sz w:val="22"/>
                <w:szCs w:val="22"/>
              </w:rPr>
              <w:t>of  data</w:t>
            </w:r>
            <w:r>
              <w:rPr>
                <w:sz w:val="22"/>
                <w:szCs w:val="22"/>
              </w:rPr>
              <w:t xml:space="preserve"> sets and report writing</w:t>
            </w:r>
          </w:p>
        </w:tc>
        <w:tc>
          <w:tcPr>
            <w:tcW w:w="1980" w:type="dxa"/>
            <w:tcBorders>
              <w:top w:val="nil"/>
              <w:left w:val="nil"/>
              <w:bottom w:val="single" w:sz="4" w:space="0" w:color="000000"/>
              <w:right w:val="single" w:sz="4" w:space="0" w:color="000000"/>
            </w:tcBorders>
            <w:shd w:val="clear" w:color="auto" w:fill="auto"/>
            <w:vAlign w:val="bottom"/>
          </w:tcPr>
          <w:p w:rsidR="006E15FE" w14:paraId="00000077" w14:textId="77777777">
            <w:pPr>
              <w:rPr>
                <w:color w:val="000000"/>
                <w:sz w:val="22"/>
                <w:szCs w:val="22"/>
              </w:rPr>
            </w:pPr>
            <w:r>
              <w:rPr>
                <w:color w:val="000000"/>
                <w:sz w:val="22"/>
                <w:szCs w:val="22"/>
              </w:rPr>
              <w:t>Research Scientists/Associates</w:t>
            </w:r>
          </w:p>
        </w:tc>
        <w:tc>
          <w:tcPr>
            <w:tcW w:w="1710" w:type="dxa"/>
            <w:tcBorders>
              <w:top w:val="nil"/>
              <w:left w:val="nil"/>
              <w:bottom w:val="single" w:sz="4" w:space="0" w:color="000000"/>
              <w:right w:val="single" w:sz="4" w:space="0" w:color="000000"/>
            </w:tcBorders>
            <w:shd w:val="clear" w:color="auto" w:fill="auto"/>
            <w:vAlign w:val="bottom"/>
          </w:tcPr>
          <w:p w:rsidR="006E15FE" w14:paraId="00000078" w14:textId="77777777">
            <w:pPr>
              <w:rPr>
                <w:color w:val="000000"/>
                <w:sz w:val="22"/>
                <w:szCs w:val="22"/>
              </w:rPr>
            </w:pPr>
            <w:r>
              <w:rPr>
                <w:color w:val="000000"/>
                <w:sz w:val="22"/>
                <w:szCs w:val="22"/>
              </w:rPr>
              <w:t>$</w:t>
            </w:r>
            <w:r>
              <w:rPr>
                <w:sz w:val="22"/>
                <w:szCs w:val="22"/>
              </w:rPr>
              <w:t>70,000</w:t>
            </w:r>
          </w:p>
        </w:tc>
        <w:tc>
          <w:tcPr>
            <w:tcW w:w="1170" w:type="dxa"/>
            <w:tcBorders>
              <w:top w:val="nil"/>
              <w:left w:val="nil"/>
              <w:bottom w:val="single" w:sz="4" w:space="0" w:color="000000"/>
              <w:right w:val="single" w:sz="4" w:space="0" w:color="000000"/>
            </w:tcBorders>
            <w:shd w:val="clear" w:color="auto" w:fill="auto"/>
            <w:vAlign w:val="bottom"/>
          </w:tcPr>
          <w:p w:rsidR="006E15FE" w14:paraId="00000079" w14:textId="77777777">
            <w:pPr>
              <w:rPr>
                <w:color w:val="000000"/>
                <w:sz w:val="22"/>
                <w:szCs w:val="22"/>
              </w:rPr>
            </w:pPr>
            <w:r>
              <w:rPr>
                <w:color w:val="000000"/>
                <w:sz w:val="22"/>
                <w:szCs w:val="22"/>
              </w:rPr>
              <w:t>10</w:t>
            </w:r>
          </w:p>
        </w:tc>
        <w:tc>
          <w:tcPr>
            <w:tcW w:w="1350" w:type="dxa"/>
            <w:tcBorders>
              <w:top w:val="nil"/>
              <w:left w:val="nil"/>
              <w:bottom w:val="single" w:sz="4" w:space="0" w:color="000000"/>
              <w:right w:val="single" w:sz="4" w:space="0" w:color="000000"/>
            </w:tcBorders>
            <w:vAlign w:val="bottom"/>
          </w:tcPr>
          <w:p w:rsidR="006E15FE" w14:paraId="0000007A" w14:textId="77777777">
            <w:pPr>
              <w:rPr>
                <w:sz w:val="22"/>
                <w:szCs w:val="22"/>
              </w:rPr>
            </w:pPr>
            <w:r>
              <w:rPr>
                <w:sz w:val="22"/>
                <w:szCs w:val="22"/>
              </w:rPr>
              <w:t>$ 1,820</w:t>
            </w:r>
          </w:p>
        </w:tc>
        <w:tc>
          <w:tcPr>
            <w:tcW w:w="1440" w:type="dxa"/>
            <w:tcBorders>
              <w:top w:val="nil"/>
              <w:left w:val="nil"/>
              <w:bottom w:val="single" w:sz="4" w:space="0" w:color="000000"/>
              <w:right w:val="single" w:sz="8" w:space="0" w:color="000000"/>
            </w:tcBorders>
            <w:shd w:val="clear" w:color="auto" w:fill="auto"/>
            <w:vAlign w:val="bottom"/>
          </w:tcPr>
          <w:p w:rsidR="006E15FE" w14:paraId="0000007B" w14:textId="77777777">
            <w:pPr>
              <w:rPr>
                <w:sz w:val="22"/>
                <w:szCs w:val="22"/>
              </w:rPr>
            </w:pPr>
            <w:r>
              <w:rPr>
                <w:sz w:val="22"/>
                <w:szCs w:val="22"/>
              </w:rPr>
              <w:t> $8,820</w:t>
            </w:r>
          </w:p>
        </w:tc>
      </w:tr>
      <w:tr w14:paraId="026A51C6" w14:textId="77777777" w:rsidTr="007300AE">
        <w:tblPrEx>
          <w:tblW w:w="10725" w:type="dxa"/>
          <w:tblInd w:w="-25" w:type="dxa"/>
          <w:tblLayout w:type="fixed"/>
          <w:tblLook w:val="0400"/>
        </w:tblPrEx>
        <w:trPr>
          <w:trHeight w:val="315"/>
        </w:trPr>
        <w:tc>
          <w:tcPr>
            <w:tcW w:w="3075" w:type="dxa"/>
            <w:tcBorders>
              <w:top w:val="single" w:sz="8" w:space="0" w:color="000000"/>
              <w:left w:val="single" w:sz="8" w:space="0" w:color="000000"/>
              <w:bottom w:val="single" w:sz="8" w:space="0" w:color="000000"/>
              <w:right w:val="single" w:sz="8" w:space="0" w:color="000000"/>
            </w:tcBorders>
            <w:shd w:val="clear" w:color="auto" w:fill="BDD7EE"/>
            <w:vAlign w:val="bottom"/>
          </w:tcPr>
          <w:p w:rsidR="006E15FE" w14:paraId="0000007C" w14:textId="77777777">
            <w:pPr>
              <w:rPr>
                <w:b/>
                <w:color w:val="000000"/>
                <w:sz w:val="22"/>
                <w:szCs w:val="22"/>
              </w:rPr>
            </w:pPr>
            <w:r>
              <w:rPr>
                <w:b/>
                <w:color w:val="000000"/>
                <w:sz w:val="22"/>
                <w:szCs w:val="22"/>
              </w:rPr>
              <w:t>TOTAL</w:t>
            </w:r>
          </w:p>
        </w:tc>
        <w:tc>
          <w:tcPr>
            <w:tcW w:w="1980" w:type="dxa"/>
            <w:tcBorders>
              <w:top w:val="single" w:sz="8" w:space="0" w:color="000000"/>
              <w:left w:val="nil"/>
              <w:bottom w:val="single" w:sz="8" w:space="0" w:color="000000"/>
              <w:right w:val="single" w:sz="8" w:space="0" w:color="000000"/>
            </w:tcBorders>
            <w:shd w:val="clear" w:color="auto" w:fill="BDD7EE"/>
            <w:vAlign w:val="bottom"/>
          </w:tcPr>
          <w:p w:rsidR="006E15FE" w14:paraId="0000007D" w14:textId="77777777">
            <w:pPr>
              <w:rPr>
                <w:b/>
                <w:color w:val="000000"/>
                <w:sz w:val="22"/>
                <w:szCs w:val="22"/>
              </w:rPr>
            </w:pPr>
            <w:r>
              <w:rPr>
                <w:b/>
                <w:color w:val="000000"/>
                <w:sz w:val="22"/>
                <w:szCs w:val="22"/>
              </w:rPr>
              <w:t> </w:t>
            </w:r>
          </w:p>
        </w:tc>
        <w:tc>
          <w:tcPr>
            <w:tcW w:w="1710" w:type="dxa"/>
            <w:tcBorders>
              <w:top w:val="single" w:sz="8" w:space="0" w:color="000000"/>
              <w:left w:val="nil"/>
              <w:bottom w:val="single" w:sz="8" w:space="0" w:color="000000"/>
              <w:right w:val="single" w:sz="8" w:space="0" w:color="000000"/>
            </w:tcBorders>
            <w:shd w:val="clear" w:color="auto" w:fill="BDD7EE"/>
            <w:vAlign w:val="bottom"/>
          </w:tcPr>
          <w:p w:rsidR="006E15FE" w14:paraId="0000007E" w14:textId="77777777">
            <w:pPr>
              <w:rPr>
                <w:b/>
                <w:color w:val="000000"/>
                <w:sz w:val="22"/>
                <w:szCs w:val="22"/>
              </w:rPr>
            </w:pPr>
            <w:r>
              <w:rPr>
                <w:b/>
                <w:color w:val="000000"/>
                <w:sz w:val="22"/>
                <w:szCs w:val="22"/>
              </w:rPr>
              <w:t> </w:t>
            </w:r>
          </w:p>
        </w:tc>
        <w:tc>
          <w:tcPr>
            <w:tcW w:w="1170" w:type="dxa"/>
            <w:tcBorders>
              <w:top w:val="single" w:sz="8" w:space="0" w:color="000000"/>
              <w:left w:val="nil"/>
              <w:bottom w:val="single" w:sz="8" w:space="0" w:color="000000"/>
              <w:right w:val="single" w:sz="8" w:space="0" w:color="000000"/>
            </w:tcBorders>
            <w:shd w:val="clear" w:color="auto" w:fill="BDD7EE"/>
            <w:vAlign w:val="bottom"/>
          </w:tcPr>
          <w:p w:rsidR="006E15FE" w14:paraId="0000007F" w14:textId="77777777">
            <w:pPr>
              <w:rPr>
                <w:b/>
                <w:color w:val="000000"/>
                <w:sz w:val="22"/>
                <w:szCs w:val="22"/>
              </w:rPr>
            </w:pPr>
            <w:r>
              <w:rPr>
                <w:b/>
                <w:color w:val="000000"/>
                <w:sz w:val="22"/>
                <w:szCs w:val="22"/>
              </w:rPr>
              <w:t> </w:t>
            </w:r>
          </w:p>
        </w:tc>
        <w:tc>
          <w:tcPr>
            <w:tcW w:w="1350" w:type="dxa"/>
            <w:tcBorders>
              <w:top w:val="single" w:sz="8" w:space="0" w:color="000000"/>
              <w:left w:val="nil"/>
              <w:bottom w:val="single" w:sz="8" w:space="0" w:color="000000"/>
              <w:right w:val="single" w:sz="8" w:space="0" w:color="000000"/>
            </w:tcBorders>
            <w:shd w:val="clear" w:color="auto" w:fill="BDD7EE"/>
            <w:vAlign w:val="bottom"/>
          </w:tcPr>
          <w:p w:rsidR="006E15FE" w14:paraId="00000080" w14:textId="77777777">
            <w:pPr>
              <w:rPr>
                <w:b/>
                <w:color w:val="000000"/>
                <w:sz w:val="22"/>
                <w:szCs w:val="22"/>
              </w:rPr>
            </w:pPr>
            <w:r>
              <w:rPr>
                <w:b/>
                <w:color w:val="000000"/>
                <w:sz w:val="22"/>
                <w:szCs w:val="22"/>
              </w:rPr>
              <w:t> </w:t>
            </w:r>
          </w:p>
        </w:tc>
        <w:tc>
          <w:tcPr>
            <w:tcW w:w="1440" w:type="dxa"/>
            <w:tcBorders>
              <w:top w:val="single" w:sz="8" w:space="0" w:color="000000"/>
              <w:left w:val="nil"/>
              <w:bottom w:val="single" w:sz="8" w:space="0" w:color="000000"/>
              <w:right w:val="single" w:sz="8" w:space="0" w:color="000000"/>
            </w:tcBorders>
            <w:shd w:val="clear" w:color="auto" w:fill="BDD7EE"/>
            <w:vAlign w:val="bottom"/>
          </w:tcPr>
          <w:p w:rsidR="006E15FE" w14:paraId="00000081" w14:textId="77777777">
            <w:pPr>
              <w:rPr>
                <w:b/>
                <w:color w:val="000000"/>
                <w:sz w:val="22"/>
                <w:szCs w:val="22"/>
              </w:rPr>
            </w:pPr>
            <w:r>
              <w:rPr>
                <w:b/>
                <w:sz w:val="22"/>
                <w:szCs w:val="22"/>
              </w:rPr>
              <w:t>$22,640</w:t>
            </w:r>
          </w:p>
        </w:tc>
      </w:tr>
    </w:tbl>
    <w:p w:rsidR="006E15FE" w14:paraId="00000082" w14:textId="77777777">
      <w:pPr>
        <w:widowControl w:val="0"/>
        <w:pBdr>
          <w:top w:val="nil"/>
          <w:left w:val="nil"/>
          <w:bottom w:val="nil"/>
          <w:right w:val="nil"/>
          <w:between w:val="nil"/>
        </w:pBdr>
        <w:spacing w:before="9" w:after="1"/>
        <w:rPr>
          <w:b/>
        </w:rPr>
      </w:pPr>
    </w:p>
    <w:p w:rsidR="006E15FE" w14:paraId="00000083"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Explain the reasons for any program changes or adjustments reported in ROCIS. </w:t>
      </w:r>
    </w:p>
    <w:p w:rsidR="006E15FE" w:rsidP="009E5B5B" w14:paraId="00000084" w14:textId="646F20AB">
      <w:pPr>
        <w:widowControl w:val="0"/>
        <w:pBdr>
          <w:top w:val="nil"/>
          <w:left w:val="nil"/>
          <w:bottom w:val="nil"/>
          <w:right w:val="nil"/>
          <w:between w:val="nil"/>
        </w:pBdr>
        <w:spacing w:before="80"/>
      </w:pPr>
      <w:r>
        <w:t xml:space="preserve">The increased burden response time is due to additional questions that were added to the survey after initial testing of the instrument after three tornado events. These new questions include more data collection about respondents’ </w:t>
      </w:r>
      <w:r w:rsidR="007300AE">
        <w:t>decision-making</w:t>
      </w:r>
      <w:r>
        <w:t xml:space="preserve"> processes. These changes will help researchers understand the kinds of information people need to </w:t>
      </w:r>
      <w:bookmarkStart w:id="0" w:name="_GoBack"/>
      <w:bookmarkEnd w:id="0"/>
      <w:r>
        <w:t xml:space="preserve">efficiently make decisions, which will result in better tornado forecast and warning information. Additionally, stakeholder interviews are being added to obtain better insight into why people are making the decisions they are in the days and hours before tornado events, again resulting in more effective tornado forecast and warning information. </w:t>
      </w:r>
    </w:p>
    <w:p w:rsidR="006E15FE" w14:paraId="00000085" w14:textId="77777777">
      <w:pPr>
        <w:widowControl w:val="0"/>
        <w:pBdr>
          <w:top w:val="nil"/>
          <w:left w:val="nil"/>
          <w:bottom w:val="nil"/>
          <w:right w:val="nil"/>
          <w:between w:val="nil"/>
        </w:pBdr>
        <w:spacing w:before="159"/>
        <w:rPr>
          <w:color w:val="000000"/>
        </w:rPr>
      </w:pPr>
    </w:p>
    <w:p w:rsidR="006E15FE" w14:paraId="0000008C"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E15FE" w14:paraId="0000008D" w14:textId="77777777">
      <w:pPr>
        <w:widowControl w:val="0"/>
        <w:pBdr>
          <w:top w:val="nil"/>
          <w:left w:val="nil"/>
          <w:bottom w:val="nil"/>
          <w:right w:val="nil"/>
          <w:between w:val="nil"/>
        </w:pBdr>
        <w:spacing w:before="160"/>
      </w:pPr>
      <w:r>
        <w:t>Findings from the survey and interviews will be collated and reported annually.  The report will include basic summary statistics of each response item, with some simple analysis for different socio-demographic characteristics (when data available) and geographic area, including NWS County Warning Areas and zip codes.  Data collection will continue indefinitely. Annual reports will be made available to external audiences.</w:t>
      </w:r>
    </w:p>
    <w:p w:rsidR="006E15FE" w14:paraId="0000008E" w14:textId="77777777">
      <w:pPr>
        <w:spacing w:before="161"/>
        <w:rPr>
          <w:i/>
        </w:rPr>
      </w:pPr>
    </w:p>
    <w:p w:rsidR="006E15FE" w14:paraId="0000008F" w14:textId="77777777">
      <w:pPr>
        <w:widowControl w:val="0"/>
        <w:numPr>
          <w:ilvl w:val="0"/>
          <w:numId w:val="1"/>
        </w:numPr>
        <w:spacing w:before="160"/>
        <w:ind w:left="0" w:firstLine="0"/>
      </w:pPr>
      <w:r>
        <w:rPr>
          <w:b/>
        </w:rPr>
        <w:t xml:space="preserve">If seeking approval to not display the expiration date for OMB approval of the information collection, explain the reasons that display would be inappropriate. </w:t>
      </w:r>
    </w:p>
    <w:p w:rsidR="006E15FE" w14:paraId="00000090" w14:textId="77777777">
      <w:pPr>
        <w:spacing w:before="161"/>
      </w:pPr>
      <w:r>
        <w:t>The agency plans to display the expiration date for OMB approval of the collection on all instruments.</w:t>
      </w:r>
    </w:p>
    <w:p w:rsidR="006E15FE" w14:paraId="00000091" w14:textId="77777777">
      <w:pPr>
        <w:spacing w:before="161"/>
      </w:pPr>
    </w:p>
    <w:p w:rsidR="006E15FE" w14:paraId="00000092" w14:textId="77777777">
      <w:pPr>
        <w:widowControl w:val="0"/>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6E15FE" w14:paraId="00000093" w14:textId="77777777">
      <w:pPr>
        <w:widowControl w:val="0"/>
        <w:spacing w:before="221" w:line="259" w:lineRule="auto"/>
        <w:jc w:val="both"/>
      </w:pPr>
      <w:r>
        <w:t xml:space="preserve">The agency certifies compliance with </w:t>
      </w:r>
      <w:hyperlink r:id="rId11">
        <w:r>
          <w:rPr>
            <w:color w:val="0563C1"/>
            <w:u w:val="single"/>
          </w:rPr>
          <w:t>5 CFR 1320.9</w:t>
        </w:r>
      </w:hyperlink>
      <w:hyperlink r:id="rId11">
        <w:r>
          <w:rPr>
            <w:color w:val="0563C1"/>
          </w:rPr>
          <w:t xml:space="preserve"> </w:t>
        </w:r>
      </w:hyperlink>
      <w:r>
        <w:t xml:space="preserve">and the related provisions of </w:t>
      </w:r>
      <w:hyperlink r:id="rId12">
        <w:r>
          <w:rPr>
            <w:color w:val="0563C1"/>
            <w:u w:val="single"/>
          </w:rPr>
          <w:t>5 CFR</w:t>
        </w:r>
      </w:hyperlink>
      <w:r>
        <w:rPr>
          <w:color w:val="0563C1"/>
        </w:rPr>
        <w:t xml:space="preserve"> </w:t>
      </w:r>
      <w:hyperlink r:id="rId12">
        <w:r>
          <w:rPr>
            <w:color w:val="0563C1"/>
            <w:u w:val="single"/>
          </w:rPr>
          <w:t>1320.8(b)(3)</w:t>
        </w:r>
      </w:hyperlink>
      <w:r>
        <w:t>.</w:t>
      </w:r>
    </w:p>
    <w:p w:rsidR="006E15FE" w14:paraId="00000094" w14:textId="77777777">
      <w:pPr>
        <w:widowControl w:val="0"/>
        <w:pBdr>
          <w:top w:val="nil"/>
          <w:left w:val="nil"/>
          <w:bottom w:val="nil"/>
          <w:right w:val="nil"/>
          <w:between w:val="nil"/>
        </w:pBdr>
        <w:tabs>
          <w:tab w:val="left" w:pos="360"/>
        </w:tabs>
        <w:spacing w:before="80"/>
        <w:rPr>
          <w:b/>
        </w:rPr>
      </w:pPr>
    </w:p>
    <w:p w:rsidR="006E15FE" w14:paraId="00000095" w14:textId="77777777">
      <w:pPr>
        <w:tabs>
          <w:tab w:val="left" w:pos="360"/>
        </w:tabs>
        <w:spacing w:before="80"/>
        <w:rPr>
          <w:b/>
        </w:rPr>
      </w:pPr>
    </w:p>
    <w:p w:rsidR="006E15FE" w14:paraId="00000096" w14:textId="77777777"/>
    <w:sectPr w:rsidSect="007300AE">
      <w:pgSz w:w="12240" w:h="15840"/>
      <w:pgMar w:top="117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5FE" w14:paraId="00000097" w14:textId="77777777">
    <w:pPr>
      <w:spacing w:line="259" w:lineRule="auto"/>
      <w:rPr>
        <w:b/>
        <w:color w:val="FF0000"/>
      </w:rPr>
    </w:pPr>
  </w:p>
  <w:p w:rsidR="006E15FE" w14:paraId="00000098" w14:textId="77777777">
    <w:pPr>
      <w:widowControl w:val="0"/>
      <w:pBdr>
        <w:top w:val="nil"/>
        <w:left w:val="nil"/>
        <w:bottom w:val="nil"/>
        <w:right w:val="nil"/>
        <w:between w:val="nil"/>
      </w:pBdr>
      <w:spacing w:line="14" w:lineRule="auto"/>
      <w:rPr>
        <w:b/>
        <w:color w:val="FF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3A12C2"/>
    <w:multiLevelType w:val="multilevel"/>
    <w:tmpl w:val="BC629BE8"/>
    <w:lvl w:ilvl="0">
      <w:start w:val="1"/>
      <w:numFmt w:val="decimal"/>
      <w:lvlText w:val="%1."/>
      <w:lvlJc w:val="left"/>
      <w:pPr>
        <w:ind w:left="400" w:hanging="269"/>
      </w:pPr>
      <w:rPr>
        <w:rFonts w:ascii="Arial" w:eastAsia="Arial" w:hAnsi="Arial" w:cs="Arial"/>
        <w:b/>
        <w:sz w:val="24"/>
        <w:szCs w:val="24"/>
        <w:shd w:val="clear" w:color="auto" w:fill="auto"/>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FE"/>
    <w:rsid w:val="00600C08"/>
    <w:rsid w:val="006E15FE"/>
    <w:rsid w:val="007300AE"/>
    <w:rsid w:val="009E5B5B"/>
    <w:rsid w:val="00B21DB8"/>
    <w:rsid w:val="00CF1562"/>
    <w:rsid w:val="00D2015B"/>
    <w:rsid w:val="00D276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777E55"/>
  <w15:docId w15:val="{CF4BC542-2CB6-445D-828E-62312605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303"/>
    <w:rPr>
      <w:lang w:eastAsia="en-GB"/>
    </w:rPr>
  </w:style>
  <w:style w:type="paragraph" w:styleId="Heading1">
    <w:name w:val="heading 1"/>
    <w:basedOn w:val="Normal"/>
    <w:link w:val="Heading1Char"/>
    <w:uiPriority w:val="9"/>
    <w:qFormat/>
    <w:rsid w:val="00427303"/>
    <w:pPr>
      <w:widowControl w:val="0"/>
      <w:autoSpaceDE w:val="0"/>
      <w:autoSpaceDN w:val="0"/>
      <w:spacing w:before="80"/>
      <w:ind w:left="400"/>
      <w:outlineLvl w:val="0"/>
    </w:pPr>
    <w:rPr>
      <w:rFonts w:eastAsiaTheme="minorHAnsi" w:cstheme="minorBidi"/>
      <w:b/>
      <w:bCs/>
      <w:lang w:val="en-US" w:eastAsia="en-US"/>
    </w:rPr>
  </w:style>
  <w:style w:type="paragraph" w:styleId="Heading2">
    <w:name w:val="heading 2"/>
    <w:basedOn w:val="Normal"/>
    <w:next w:val="Normal"/>
    <w:link w:val="Heading2Char"/>
    <w:uiPriority w:val="9"/>
    <w:semiHidden/>
    <w:unhideWhenUsed/>
    <w:qFormat/>
    <w:rsid w:val="00427303"/>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27303"/>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427303"/>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427303"/>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4273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7303"/>
    <w:pPr>
      <w:keepNext/>
      <w:keepLines/>
      <w:spacing w:before="480" w:after="120"/>
    </w:pPr>
    <w:rPr>
      <w:b/>
      <w:sz w:val="72"/>
      <w:szCs w:val="72"/>
    </w:rPr>
  </w:style>
  <w:style w:type="character" w:customStyle="1" w:styleId="Heading1Char">
    <w:name w:val="Heading 1 Char"/>
    <w:basedOn w:val="DefaultParagraphFont"/>
    <w:link w:val="Heading1"/>
    <w:uiPriority w:val="9"/>
    <w:rsid w:val="00427303"/>
    <w:rPr>
      <w:rFonts w:ascii="Times New Roman" w:hAnsi="Times New Roman"/>
      <w:b/>
      <w:bCs/>
      <w:lang w:val="en-US"/>
    </w:rPr>
  </w:style>
  <w:style w:type="character" w:customStyle="1" w:styleId="Heading2Char">
    <w:name w:val="Heading 2 Char"/>
    <w:basedOn w:val="DefaultParagraphFont"/>
    <w:link w:val="Heading2"/>
    <w:uiPriority w:val="9"/>
    <w:semiHidden/>
    <w:rsid w:val="00427303"/>
    <w:rPr>
      <w:rFonts w:ascii="Times New Roman" w:eastAsia="Times New Roman" w:hAnsi="Times New Roman" w:cs="Times New Roman"/>
      <w:b/>
      <w:sz w:val="36"/>
      <w:szCs w:val="36"/>
      <w:lang w:eastAsia="en-GB"/>
    </w:rPr>
  </w:style>
  <w:style w:type="character" w:customStyle="1" w:styleId="Heading3Char">
    <w:name w:val="Heading 3 Char"/>
    <w:basedOn w:val="DefaultParagraphFont"/>
    <w:link w:val="Heading3"/>
    <w:uiPriority w:val="9"/>
    <w:semiHidden/>
    <w:rsid w:val="00427303"/>
    <w:rPr>
      <w:rFonts w:ascii="Times New Roman" w:eastAsia="Times New Roman" w:hAnsi="Times New Roman" w:cs="Times New Roman"/>
      <w:b/>
      <w:sz w:val="28"/>
      <w:szCs w:val="28"/>
      <w:lang w:eastAsia="en-GB"/>
    </w:rPr>
  </w:style>
  <w:style w:type="character" w:customStyle="1" w:styleId="Heading4Char">
    <w:name w:val="Heading 4 Char"/>
    <w:basedOn w:val="DefaultParagraphFont"/>
    <w:link w:val="Heading4"/>
    <w:uiPriority w:val="9"/>
    <w:semiHidden/>
    <w:rsid w:val="00427303"/>
    <w:rPr>
      <w:rFonts w:ascii="Times New Roman" w:eastAsia="Times New Roman" w:hAnsi="Times New Roman" w:cs="Times New Roman"/>
      <w:b/>
      <w:lang w:eastAsia="en-GB"/>
    </w:rPr>
  </w:style>
  <w:style w:type="character" w:customStyle="1" w:styleId="Heading5Char">
    <w:name w:val="Heading 5 Char"/>
    <w:basedOn w:val="DefaultParagraphFont"/>
    <w:link w:val="Heading5"/>
    <w:uiPriority w:val="9"/>
    <w:semiHidden/>
    <w:rsid w:val="00427303"/>
    <w:rPr>
      <w:rFonts w:ascii="Times New Roman" w:eastAsia="Times New Roman" w:hAnsi="Times New Roman" w:cs="Times New Roman"/>
      <w:b/>
      <w:sz w:val="22"/>
      <w:szCs w:val="22"/>
      <w:lang w:eastAsia="en-GB"/>
    </w:rPr>
  </w:style>
  <w:style w:type="character" w:customStyle="1" w:styleId="Heading6Char">
    <w:name w:val="Heading 6 Char"/>
    <w:basedOn w:val="DefaultParagraphFont"/>
    <w:link w:val="Heading6"/>
    <w:uiPriority w:val="9"/>
    <w:semiHidden/>
    <w:rsid w:val="00427303"/>
    <w:rPr>
      <w:rFonts w:ascii="Times New Roman" w:eastAsia="Times New Roman" w:hAnsi="Times New Roman" w:cs="Times New Roman"/>
      <w:b/>
      <w:sz w:val="20"/>
      <w:szCs w:val="20"/>
      <w:lang w:eastAsia="en-GB"/>
    </w:rPr>
  </w:style>
  <w:style w:type="character" w:customStyle="1" w:styleId="TitleChar">
    <w:name w:val="Title Char"/>
    <w:basedOn w:val="DefaultParagraphFont"/>
    <w:link w:val="Title"/>
    <w:uiPriority w:val="10"/>
    <w:rsid w:val="00427303"/>
    <w:rPr>
      <w:rFonts w:ascii="Times New Roman" w:eastAsia="Times New Roman" w:hAnsi="Times New Roman" w:cs="Times New Roman"/>
      <w:b/>
      <w:sz w:val="72"/>
      <w:szCs w:val="72"/>
      <w:lang w:eastAsia="en-GB"/>
    </w:rPr>
  </w:style>
  <w:style w:type="paragraph" w:styleId="BodyText">
    <w:name w:val="Body Text"/>
    <w:basedOn w:val="Normal"/>
    <w:link w:val="BodyTextChar"/>
    <w:uiPriority w:val="1"/>
    <w:qFormat/>
    <w:rsid w:val="00427303"/>
    <w:pPr>
      <w:widowControl w:val="0"/>
      <w:autoSpaceDE w:val="0"/>
      <w:autoSpaceDN w:val="0"/>
      <w:spacing w:before="161"/>
      <w:ind w:left="400"/>
    </w:pPr>
    <w:rPr>
      <w:rFonts w:eastAsiaTheme="minorHAnsi" w:cstheme="minorBidi"/>
      <w:lang w:val="en-US" w:eastAsia="en-US"/>
    </w:rPr>
  </w:style>
  <w:style w:type="character" w:customStyle="1" w:styleId="BodyTextChar">
    <w:name w:val="Body Text Char"/>
    <w:basedOn w:val="DefaultParagraphFont"/>
    <w:link w:val="BodyText"/>
    <w:uiPriority w:val="1"/>
    <w:rsid w:val="00427303"/>
    <w:rPr>
      <w:rFonts w:ascii="Times New Roman" w:hAnsi="Times New Roman"/>
      <w:lang w:val="en-US"/>
    </w:rPr>
  </w:style>
  <w:style w:type="paragraph" w:styleId="ListParagraph">
    <w:name w:val="List Paragraph"/>
    <w:basedOn w:val="Normal"/>
    <w:uiPriority w:val="1"/>
    <w:qFormat/>
    <w:rsid w:val="00427303"/>
    <w:pPr>
      <w:widowControl w:val="0"/>
      <w:autoSpaceDE w:val="0"/>
      <w:autoSpaceDN w:val="0"/>
      <w:spacing w:before="161"/>
      <w:ind w:left="1120" w:hanging="360"/>
    </w:pPr>
    <w:rPr>
      <w:rFonts w:eastAsiaTheme="minorHAnsi" w:cstheme="minorBidi"/>
      <w:szCs w:val="22"/>
      <w:lang w:val="en-US" w:eastAsia="en-US"/>
    </w:rPr>
  </w:style>
  <w:style w:type="paragraph" w:customStyle="1" w:styleId="TableParagraph">
    <w:name w:val="Table Paragraph"/>
    <w:basedOn w:val="Normal"/>
    <w:uiPriority w:val="1"/>
    <w:qFormat/>
    <w:rsid w:val="00427303"/>
    <w:pPr>
      <w:widowControl w:val="0"/>
      <w:autoSpaceDE w:val="0"/>
      <w:autoSpaceDN w:val="0"/>
    </w:pPr>
    <w:rPr>
      <w:rFonts w:eastAsiaTheme="minorHAnsi" w:cstheme="minorBidi"/>
      <w:szCs w:val="22"/>
      <w:lang w:val="en-US" w:eastAsia="en-US"/>
    </w:rPr>
  </w:style>
  <w:style w:type="character" w:styleId="CommentReference">
    <w:name w:val="annotation reference"/>
    <w:basedOn w:val="DefaultParagraphFont"/>
    <w:uiPriority w:val="99"/>
    <w:semiHidden/>
    <w:unhideWhenUsed/>
    <w:rsid w:val="00427303"/>
    <w:rPr>
      <w:sz w:val="16"/>
      <w:szCs w:val="16"/>
    </w:rPr>
  </w:style>
  <w:style w:type="paragraph" w:styleId="CommentText">
    <w:name w:val="annotation text"/>
    <w:basedOn w:val="Normal"/>
    <w:link w:val="CommentTextChar"/>
    <w:uiPriority w:val="99"/>
    <w:semiHidden/>
    <w:unhideWhenUsed/>
    <w:rsid w:val="00427303"/>
    <w:pPr>
      <w:spacing w:after="149"/>
      <w:ind w:left="426" w:hanging="10"/>
    </w:pPr>
    <w:rPr>
      <w:rFonts w:eastAsiaTheme="minorHAnsi" w:cstheme="minorBidi"/>
      <w:color w:val="2E5395"/>
      <w:sz w:val="20"/>
      <w:szCs w:val="20"/>
      <w:lang w:val="en-US" w:eastAsia="en-US"/>
    </w:rPr>
  </w:style>
  <w:style w:type="character" w:customStyle="1" w:styleId="CommentTextChar">
    <w:name w:val="Comment Text Char"/>
    <w:basedOn w:val="DefaultParagraphFont"/>
    <w:link w:val="CommentText"/>
    <w:uiPriority w:val="99"/>
    <w:semiHidden/>
    <w:rsid w:val="00427303"/>
    <w:rPr>
      <w:rFonts w:ascii="Times New Roman" w:hAnsi="Times New Roman"/>
      <w:color w:val="2E5395"/>
      <w:sz w:val="20"/>
      <w:szCs w:val="20"/>
      <w:lang w:val="en-US"/>
    </w:rPr>
  </w:style>
  <w:style w:type="paragraph" w:styleId="BalloonText">
    <w:name w:val="Balloon Text"/>
    <w:basedOn w:val="Normal"/>
    <w:link w:val="BalloonTextChar"/>
    <w:uiPriority w:val="99"/>
    <w:semiHidden/>
    <w:unhideWhenUsed/>
    <w:rsid w:val="00427303"/>
    <w:pPr>
      <w:widowControl w:val="0"/>
      <w:autoSpaceDE w:val="0"/>
      <w:autoSpaceDN w:val="0"/>
    </w:pPr>
    <w:rPr>
      <w:rFonts w:ascii="Segoe UI" w:hAnsi="Segoe UI" w:eastAsiaTheme="minorHAnsi" w:cs="Segoe UI"/>
      <w:sz w:val="18"/>
      <w:szCs w:val="18"/>
      <w:lang w:val="en-US" w:eastAsia="en-US"/>
    </w:rPr>
  </w:style>
  <w:style w:type="character" w:customStyle="1" w:styleId="BalloonTextChar">
    <w:name w:val="Balloon Text Char"/>
    <w:basedOn w:val="DefaultParagraphFont"/>
    <w:link w:val="BalloonText"/>
    <w:uiPriority w:val="99"/>
    <w:semiHidden/>
    <w:rsid w:val="00427303"/>
    <w:rPr>
      <w:rFonts w:ascii="Segoe UI" w:hAnsi="Segoe UI" w:cs="Segoe UI"/>
      <w:sz w:val="18"/>
      <w:szCs w:val="18"/>
      <w:lang w:val="en-US"/>
    </w:rPr>
  </w:style>
  <w:style w:type="paragraph" w:styleId="Header">
    <w:name w:val="header"/>
    <w:basedOn w:val="Normal"/>
    <w:link w:val="HeaderChar"/>
    <w:uiPriority w:val="99"/>
    <w:unhideWhenUsed/>
    <w:rsid w:val="00427303"/>
    <w:pPr>
      <w:widowControl w:val="0"/>
      <w:tabs>
        <w:tab w:val="center" w:pos="4680"/>
        <w:tab w:val="right" w:pos="9360"/>
      </w:tabs>
      <w:autoSpaceDE w:val="0"/>
      <w:autoSpaceDN w:val="0"/>
    </w:pPr>
    <w:rPr>
      <w:rFonts w:eastAsiaTheme="minorHAnsi" w:cstheme="minorBidi"/>
      <w:szCs w:val="22"/>
      <w:lang w:val="en-US" w:eastAsia="en-US"/>
    </w:rPr>
  </w:style>
  <w:style w:type="character" w:customStyle="1" w:styleId="HeaderChar">
    <w:name w:val="Header Char"/>
    <w:basedOn w:val="DefaultParagraphFont"/>
    <w:link w:val="Header"/>
    <w:uiPriority w:val="99"/>
    <w:rsid w:val="00427303"/>
    <w:rPr>
      <w:rFonts w:ascii="Times New Roman" w:hAnsi="Times New Roman"/>
      <w:szCs w:val="22"/>
      <w:lang w:val="en-US"/>
    </w:rPr>
  </w:style>
  <w:style w:type="paragraph" w:styleId="Footer">
    <w:name w:val="footer"/>
    <w:basedOn w:val="Normal"/>
    <w:link w:val="FooterChar"/>
    <w:uiPriority w:val="99"/>
    <w:unhideWhenUsed/>
    <w:rsid w:val="00427303"/>
    <w:pPr>
      <w:widowControl w:val="0"/>
      <w:tabs>
        <w:tab w:val="center" w:pos="4680"/>
        <w:tab w:val="right" w:pos="9360"/>
      </w:tabs>
      <w:autoSpaceDE w:val="0"/>
      <w:autoSpaceDN w:val="0"/>
    </w:pPr>
    <w:rPr>
      <w:rFonts w:eastAsiaTheme="minorHAnsi" w:cstheme="minorBidi"/>
      <w:szCs w:val="22"/>
      <w:lang w:val="en-US" w:eastAsia="en-US"/>
    </w:rPr>
  </w:style>
  <w:style w:type="character" w:customStyle="1" w:styleId="FooterChar">
    <w:name w:val="Footer Char"/>
    <w:basedOn w:val="DefaultParagraphFont"/>
    <w:link w:val="Footer"/>
    <w:uiPriority w:val="99"/>
    <w:rsid w:val="00427303"/>
    <w:rPr>
      <w:rFonts w:ascii="Times New Roman" w:hAnsi="Times New Roman"/>
      <w:szCs w:val="22"/>
      <w:lang w:val="en-US"/>
    </w:rPr>
  </w:style>
  <w:style w:type="character" w:styleId="Hyperlink">
    <w:name w:val="Hyperlink"/>
    <w:basedOn w:val="DefaultParagraphFont"/>
    <w:uiPriority w:val="99"/>
    <w:unhideWhenUsed/>
    <w:rsid w:val="00427303"/>
    <w:rPr>
      <w:color w:val="0563C1" w:themeColor="hyperlink"/>
      <w:u w:val="single"/>
    </w:rPr>
  </w:style>
  <w:style w:type="character" w:styleId="FollowedHyperlink">
    <w:name w:val="FollowedHyperlink"/>
    <w:basedOn w:val="DefaultParagraphFont"/>
    <w:uiPriority w:val="99"/>
    <w:semiHidden/>
    <w:unhideWhenUsed/>
    <w:rsid w:val="00427303"/>
    <w:rPr>
      <w:color w:val="954F72" w:themeColor="followedHyperlink"/>
      <w:u w:val="single"/>
    </w:rPr>
  </w:style>
  <w:style w:type="paragraph" w:styleId="NormalWeb">
    <w:name w:val="Normal (Web)"/>
    <w:basedOn w:val="Normal"/>
    <w:uiPriority w:val="99"/>
    <w:rsid w:val="00427303"/>
    <w:pPr>
      <w:spacing w:beforeLines="1" w:afterLines="1"/>
    </w:pPr>
    <w:rPr>
      <w:rFonts w:ascii="Times" w:hAnsi="Time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427303"/>
    <w:pPr>
      <w:spacing w:after="0"/>
      <w:ind w:left="0" w:firstLine="0"/>
    </w:pPr>
    <w:rPr>
      <w:rFonts w:eastAsia="Times New Roman" w:cs="Times New Roman"/>
      <w:b/>
      <w:bCs/>
      <w:color w:val="auto"/>
      <w:lang w:val="en-GB" w:eastAsia="en-GB"/>
    </w:rPr>
  </w:style>
  <w:style w:type="character" w:customStyle="1" w:styleId="CommentSubjectChar">
    <w:name w:val="Comment Subject Char"/>
    <w:basedOn w:val="CommentTextChar"/>
    <w:link w:val="CommentSubject"/>
    <w:uiPriority w:val="99"/>
    <w:semiHidden/>
    <w:rsid w:val="00427303"/>
    <w:rPr>
      <w:rFonts w:ascii="Times New Roman" w:eastAsia="Times New Roman" w:hAnsi="Times New Roman" w:cs="Times New Roman"/>
      <w:b/>
      <w:bCs/>
      <w:color w:val="2E5395"/>
      <w:sz w:val="20"/>
      <w:szCs w:val="20"/>
      <w:lang w:val="en-US" w:eastAsia="en-GB"/>
    </w:rPr>
  </w:style>
  <w:style w:type="paragraph" w:styleId="Revision">
    <w:name w:val="Revision"/>
    <w:hidden/>
    <w:uiPriority w:val="99"/>
    <w:semiHidden/>
    <w:rsid w:val="00427303"/>
    <w:rPr>
      <w:lang w:eastAsia="en-GB"/>
    </w:rPr>
  </w:style>
  <w:style w:type="character" w:customStyle="1" w:styleId="UnresolvedMention1">
    <w:name w:val="Unresolved Mention1"/>
    <w:basedOn w:val="DefaultParagraphFont"/>
    <w:uiPriority w:val="99"/>
    <w:semiHidden/>
    <w:unhideWhenUsed/>
    <w:rsid w:val="00427303"/>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27303"/>
    <w:rPr>
      <w:rFonts w:ascii="Georgia" w:eastAsia="Georgia" w:hAnsi="Georgia" w:cs="Georgia"/>
      <w:i/>
      <w:color w:val="666666"/>
      <w:sz w:val="48"/>
      <w:szCs w:val="48"/>
      <w:lang w:eastAsia="en-GB"/>
    </w:rPr>
  </w:style>
  <w:style w:type="character" w:customStyle="1" w:styleId="muiiconbutton-label">
    <w:name w:val="muiiconbutton-label"/>
    <w:basedOn w:val="DefaultParagraphFont"/>
    <w:rsid w:val="00427303"/>
  </w:style>
  <w:style w:type="character" w:customStyle="1" w:styleId="muitypography-root">
    <w:name w:val="muitypography-root"/>
    <w:basedOn w:val="DefaultParagraphFont"/>
    <w:rsid w:val="00427303"/>
  </w:style>
  <w:style w:type="paragraph" w:customStyle="1" w:styleId="muitypography-root1">
    <w:name w:val="muitypography-root1"/>
    <w:basedOn w:val="Normal"/>
    <w:rsid w:val="00427303"/>
    <w:pPr>
      <w:spacing w:before="100" w:beforeAutospacing="1" w:after="100" w:afterAutospacing="1"/>
    </w:pPr>
  </w:style>
  <w:style w:type="character" w:styleId="UnresolvedMention">
    <w:name w:val="Unresolved Mention"/>
    <w:basedOn w:val="DefaultParagraphFont"/>
    <w:uiPriority w:val="99"/>
    <w:semiHidden/>
    <w:unhideWhenUsed/>
    <w:rsid w:val="00427303"/>
    <w:rPr>
      <w:color w:val="605E5C"/>
      <w:shd w:val="clear" w:color="auto" w:fill="E1DFDD"/>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mpsit.t19.htm"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nside.nssl.noaa.gov/tornado-tales/" TargetMode="External" /><Relationship Id="rId6" Type="http://schemas.openxmlformats.org/officeDocument/2006/relationships/hyperlink" Target="https://www.congress.gov/bill/115th-congress/house-bill/353" TargetMode="External" /><Relationship Id="rId7" Type="http://schemas.openxmlformats.org/officeDocument/2006/relationships/hyperlink" Target="https://repository.library.noaa.gov/view/noaa/24933" TargetMode="External" /><Relationship Id="rId8" Type="http://schemas.openxmlformats.org/officeDocument/2006/relationships/hyperlink" Target="https://repository.library.noaa.gov/view/noaa/22035"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qX6T2eoLiR/TWxVHs1OtjdYw==">CgMxLjAaJwoBMBIiCiAIBCocCgtBQUFCRjg4TVR2TRAIGgtBQUFCRjg4TVR2TSKCAwoLQUFBQkY4OE1Udk0S0AIKC0FBQUJGODhNVHZNEgtBQUFCRjg4TVR2TRo4Cgl0ZXh0L2h0bWwSK0hlcmUgYXMgYSBwbGFjZWhvbGRlciwgbmVlZCB0byBjb25maXJtIHRoaXMiOQoKdGV4dC9wbGFpbhIrSGVyZSBhcyBhIHBsYWNlaG9sZGVyLCBuZWVkIHRvIGNvbmZpcm0gdGhpcyobIhUxMTA1NjE5Mjk1NTQ3NjYxOTczMzAoADgAMLPBxrHeMTizwcax3jFKQQoKdGV4dC9wbGFpbhIzTm8gY29tbWVudHMgd2VyZSByZWNlaXZlZCBkdXJpbmcgdGhlIDYwLWRheSBwZXJpb2QuWgx1enFjcmZzbnVyNmRyAiAAeACaAQYIABAAGACqAS0SK0hlcmUgYXMgYSBwbGFjZWhvbGRlciwgbmVlZCB0byBjb25maXJtIHRoaXOwAQC4AQAYs8HGsd4xILPBxrHeMTAAQhBraXgucmZzbnYxOXFwb3lhOABqNgoUc3VnZ2VzdC5tYnJydTZqbGtheWwSHk1ha2VuemllIEtyb2NhayAtIE5PQUEgRmVkZXJhbGo2ChRzdWdnZXN0LnhrMHVlZXo1dWMzaRIeTWFrZW56aWUgS3JvY2FrIC0gTk9BQSBGZWRlcmFsajYKFHN1Z2dlc3QuOGxneHVocW1qYWoyEh5NYWtlbnppZSBLcm9jYWsgLSBOT0FBIEZlZGVyYWxqNgoUc3VnZ2VzdC43ZHhseGQydTRyeDkSHk1ha2VuemllIEtyb2NhayAtIE5PQUEgRmVkZXJhbGo2ChRzdWdnZXN0LndraTFxMjJ0cDFtcxIeTWFrZW56aWUgS3JvY2FrIC0gTk9BQSBGZWRlcmFsajYKFHN1Z2dlc3QuMTgwOGZuMWF5enNkEh5NYWtlbnppZSBLcm9jYWsgLSBOT0FBIEZlZGVyYWxqNgoUc3VnZ2VzdC51N3h1YWVseHN3dngSHk1ha2VuemllIEtyb2NhayAtIE5PQUEgRmVkZXJhbGo2ChRzdWdnZXN0Lmc5ZjFpZnc0cTd5dBIeTWFrZW56aWUgS3JvY2FrIC0gTk9BQSBGZWRlcmFsajYKFHN1Z2dlc3QueGU5ZWN5ejN6M3RlEh5NYWtlbnppZSBLcm9jYWsgLSBOT0FBIEZlZGVyYWxqNgoUc3VnZ2VzdC5iNjlxOGlzbHFtcm0SHk1ha2VuemllIEtyb2NhayAtIE5PQUEgRmVkZXJhbGo2ChRzdWdnZXN0Lmo3OXRmajl5MWlzNBIeTWFrZW56aWUgS3JvY2FrIC0gTk9BQSBGZWRlcmFsajYKFHN1Z2dlc3QuMmQ5MjYwZjRzdHI0Eh5NYWtlbnppZSBLcm9jYWsgLSBOT0FBIEZlZGVyYWxqNgoUc3VnZ2VzdC56OWlnazRoZ3RnaTUSHk1ha2VuemllIEtyb2NhayAtIE5PQUEgRmVkZXJhbGo2ChRzdWdnZXN0LjRqYXl5dWJucjhieBIeTWFrZW56aWUgS3JvY2FrIC0gTk9BQSBGZWRlcmFsajYKFHN1Z2dlc3QubGxjd21rbTc5NWZ2Eh5NYWtlbnppZSBLcm9jYWsgLSBOT0FBIEZlZGVyYWxqNgoUc3VnZ2VzdC4zZDE1ajdxY2xhaWcSHk1ha2VuemllIEtyb2NhayAtIE5PQUEgRmVkZXJhbGo2ChRzdWdnZXN0LnU2NTh6cTNwbGlhdBIeTWFrZW56aWUgS3JvY2FrIC0gTk9BQSBGZWRlcmFsajYKFHN1Z2dlc3QudjE1bGFlbGoxZ214Eh5NYWtlbnppZSBLcm9jYWsgLSBOT0FBIEZlZGVyYWxqNgoUc3VnZ2VzdC44Y3p1ajJkd2VuOXgSHk1ha2VuemllIEtyb2NhayAtIE5PQUEgRmVkZXJhbGo2ChRzdWdnZXN0Lm45aXV1bWRpbzMwMBIeTWFrZW56aWUgS3JvY2FrIC0gTk9BQSBGZWRlcmFsajUKE3N1Z2dlc3QuZnJ5ZGVsNjd3NnkSHk1ha2VuemllIEtyb2NhayAtIE5PQUEgRmVkZXJhbGo2ChRzdWdnZXN0LmZpcWliamllYnk3dBIeTWFrZW56aWUgS3JvY2FrIC0gTk9BQSBGZWRlcmFsajYKFHN1Z2dlc3QudTM1eWYyazdjaTh5Eh5NYWtlbnppZSBLcm9jYWsgLSBOT0FBIEZlZGVyYWxqNgoUc3VnZ2VzdC5tMWNodHVlOGJhZWkSHk1ha2VuemllIEtyb2NhayAtIE5PQUEgRmVkZXJhbGo2ChRzdWdnZXN0Ljg1OXc0a3NkbHI5dRIeTWFrZW56aWUgS3JvY2FrIC0gTk9BQSBGZWRlcmFsajYKFHN1Z2dlc3Qud2M2ZGdvemJiNmhyEh5NYWtlbnppZSBLcm9jYWsgLSBOT0FBIEZlZGVyYWxqNgoUc3VnZ2VzdC5vdTc5c3I4N2xveWkSHk1ha2VuemllIEtyb2NhayAtIE5PQUEgRmVkZXJhbGo2ChRzdWdnZXN0Lmh2N2ZzZWt3b2t4YxIeTWFrZW56aWUgS3JvY2FrIC0gTk9BQSBGZWRlcmFsajYKFHN1Z2dlc3QubWN0M2ZtdW1hZ3JiEh5NYWtlbnppZSBLcm9jYWsgLSBOT0FBIEZlZGVyYWxqNgoUc3VnZ2VzdC5pZDRtbGs3Y3hheHESHkFkcmllbm5lIFRob21hcyAtIE5PQUEgRmVkZXJhbGo2ChRzdWdnZXN0LnA2Nmd2Mno4d3BwYRIeTWFrZW56aWUgS3JvY2FrIC0gTk9BQSBGZWRlcmFsajYKFHN1Z2dlc3Quc2w0ZDd2ZHRhcm9oEh5NYWtlbnppZSBLcm9jYWsgLSBOT0FBIEZlZGVyYWxqNgoUc3VnZ2VzdC41dzQ0MmltbWdnZGoSHk1ha2VuemllIEtyb2NhayAtIE5PQUEgRmVkZXJhbGoxChRzdWdnZXN0LjM2NXk0YjZnb3FyaBIZS29kaSBCZXJyeSAtIE5PQUEgRmVkZXJhbGo2ChRzdWdnZXN0Ljd6NzVzbWZ2d3VvdBIeTWFrZW56aWUgS3JvY2FrIC0gTk9BQSBGZWRlcmFsajYKFHN1Z2dlc3QudWxrcjgzYWgyOGYyEh5BZHJpZW5uZSBUaG9tYXMgLSBOT0FBIEZlZGVyYWxqNgoUc3VnZ2VzdC5vMHBnMjRiMDNsc2ESHk1ha2VuemllIEtyb2NhayAtIE5PQUEgRmVkZXJhbGo2ChRzdWdnZXN0LnI2OGRqdGRjYzM3ZBIeTWFrZW56aWUgS3JvY2FrIC0gTk9BQSBGZWRlcmFsajYKFHN1Z2dlc3QudmoyeHR4ZHUzYnpwEh5NYWtlbnppZSBLcm9jYWsgLSBOT0FBIEZlZGVyYWxqNgoUc3VnZ2VzdC51bmE0c2Voa3VjbWoSHk1ha2VuemllIEtyb2NhayAtIE5PQUEgRmVkZXJhbGo2ChRzdWdnZXN0Lm12d2VqZG5wbzk0MBIeTWFrZW56aWUgS3JvY2FrIC0gTk9BQSBGZWRlcmFsajYKFHN1Z2dlc3QuM3VwMTZraDBlenlmEh5NYWtlbnppZSBLcm9jYWsgLSBOT0FBIEZlZGVyYWxqNgoUc3VnZ2VzdC5tbHQ1MnU4dHdqajESHk1ha2VuemllIEtyb2NhayAtIE5PQUEgRmVkZXJhbGo2ChRzdWdnZXN0LnJ2dTc5eHhleG93bBIeTWFrZW56aWUgS3JvY2FrIC0gTk9BQSBGZWRlcmFsajYKFHN1Z2dlc3QubGtweWV4ejZ0eGFoEh5NYWtlbnppZSBLcm9jYWsgLSBOT0FBIEZlZGVyYWxqNgoUc3VnZ2VzdC5tbmtkbmh3cmE5aW4SHk1ha2VuemllIEtyb2NhayAtIE5PQUEgRmVkZXJhbGo2ChRzdWdnZXN0LmU4dzh1d3duNHJyNRIeTWFrZW56aWUgS3JvY2FrIC0gTk9BQSBGZWRlcmFsajYKFHN1Z2dlc3QuOGltNjk5YWszbXNoEh5NYWtlbnppZSBLcm9jYWsgLSBOT0FBIEZlZGVyYWxqNgoUc3VnZ2VzdC5pOXp2MmoyZjFtaXkSHk1ha2VuemllIEtyb2NhayAtIE5PQUEgRmVkZXJhbGo2ChRzdWdnZXN0LmNudzl3Z202eXZmZBIeTWFrZW56aWUgS3JvY2FrIC0gTk9BQSBGZWRlcmFsajYKFHN1Z2dlc3QuZXd5NDNxYnZrYmQzEh5NYWtlbnppZSBLcm9jYWsgLSBOT0FBIEZlZGVyYWxqNgoUc3VnZ2VzdC5pdHM0emhnOXJoaXMSHk1ha2VuemllIEtyb2NhayAtIE5PQUEgRmVkZXJhbGo2ChRzdWdnZXN0LnlueWRvbWMzYnNlahIeTWFrZW56aWUgS3JvY2FrIC0gTk9BQSBGZWRlcmFsajYKFHN1Z2dlc3Qub2QzZzZ1emM1eDN2Eh5NYWtlbnppZSBLcm9jYWsgLSBOT0FBIEZlZGVyYWxqNgoUc3VnZ2VzdC5mcW9kMHhzY3NmbG8SHk1ha2VuemllIEtyb2NhayAtIE5PQUEgRmVkZXJhbGo2ChRzdWdnZXN0LnB1MDhueDZidjQ4cxIeTWFrZW56aWUgS3JvY2FrIC0gTk9BQSBGZWRlcmFsajYKFHN1Z2dlc3QuOHQ4NXNhYjJ0YTg0Eh5NYWtlbnppZSBLcm9jYWsgLSBOT0FBIEZlZGVyYWxqNgoUc3VnZ2VzdC5jYTVpcmQ3Z3pmdXoSHk1ha2VuemllIEtyb2NhayAtIE5PQUEgRmVkZXJhbGo2ChRzdWdnZXN0LnoyMGZwZmR2bms2MBIeTWFrZW56aWUgS3JvY2FrIC0gTk9BQSBGZWRlcmFsajYKFHN1Z2dlc3QudWY4bGp3dGpkaXpoEh5NYWtlbnppZSBLcm9jYWsgLSBOT0FBIEZlZGVyYWxqNQoTc3VnZ2VzdC5qNThsNDk0cXc5bhIeTWFrZW56aWUgS3JvY2FrIC0gTk9BQSBGZWRlcmFsajYKFHN1Z2dlc3QuNmhkaThsYndjcWMyEh5NYWtlbnppZSBLcm9jYWsgLSBOT0FBIEZlZGVyYWxqNgoUc3VnZ2VzdC5rbjU2Y3JqaWZveHoSHk1ha2VuemllIEtyb2NhayAtIE5PQUEgRmVkZXJhbGo2ChRzdWdnZXN0Lm8zczAwZjI0cWg3NxIeTWFrZW56aWUgS3JvY2FrIC0gTk9BQSBGZWRlcmFsajYKFHN1Z2dlc3QueTJsaDJmdG81dWpxEh5NYWtlbnppZSBLcm9jYWsgLSBOT0FBIEZlZGVyYWxqNgoUc3VnZ2VzdC50NWJyaHR1cmpwMXESHk1ha2VuemllIEtyb2NhayAtIE5PQUEgRmVkZXJhbGo2ChRzdWdnZXN0LndmdWVjeWpwcW5hcBIeTWFrZW56aWUgS3JvY2FrIC0gTk9BQSBGZWRlcmFsajYKFHN1Z2dlc3QuNTNvNnlwdmZraHlxEh5NYWtlbnppZSBLcm9jYWsgLSBOT0FBIEZlZGVyYWxqNgoUc3VnZ2VzdC54dHg2bWZ1Z3ptcDQSHk1ha2VuemllIEtyb2NhayAtIE5PQUEgRmVkZXJhbGo2ChRzdWdnZXN0LnY0MnM4bjgwYjkxeRIeTWFrZW56aWUgS3JvY2FrIC0gTk9BQSBGZWRlcmFsajYKFHN1Z2dlc3QucHJua2EyMmd6M2gwEh5NYWtlbnppZSBLcm9jYWsgLSBOT0FBIEZlZGVyYWxyITFSOWVKQUg5SFNqbEk4SzEteW1XZjFfRWlBc1pJNGta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Sharpe, Justin E.</dc:creator>
  <cp:lastModifiedBy>Adrienne.Thomas</cp:lastModifiedBy>
  <cp:revision>6</cp:revision>
  <dcterms:created xsi:type="dcterms:W3CDTF">2024-04-22T18:00:00Z</dcterms:created>
  <dcterms:modified xsi:type="dcterms:W3CDTF">2024-04-22T18:16:00Z</dcterms:modified>
</cp:coreProperties>
</file>