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1C90" w:rsidP="00E21C90" w14:paraId="68422D1B" w14:textId="57213D39">
      <w:pPr>
        <w:pStyle w:val="DFARS"/>
        <w:jc w:val="center"/>
        <w:rPr>
          <w:b/>
        </w:rPr>
      </w:pPr>
      <w:bookmarkStart w:id="0" w:name="BM217_70"/>
      <w:bookmarkStart w:id="1" w:name="BM252217"/>
      <w:r>
        <w:rPr>
          <w:b/>
        </w:rPr>
        <w:t>PART 217—SPECIAL CONTRACTING METHODS</w:t>
      </w:r>
    </w:p>
    <w:p w:rsidR="00E21C90" w:rsidP="00E21C90" w14:paraId="3136854E" w14:textId="77777777">
      <w:pPr>
        <w:pStyle w:val="DFARS"/>
        <w:jc w:val="center"/>
        <w:rPr>
          <w:b/>
        </w:rPr>
      </w:pPr>
    </w:p>
    <w:p w:rsidR="00E21C90" w:rsidP="00E21C90" w14:paraId="412BC506" w14:textId="736E4461">
      <w:pPr>
        <w:pStyle w:val="DFARS"/>
        <w:jc w:val="center"/>
        <w:rPr>
          <w:b/>
        </w:rPr>
      </w:pPr>
      <w:r>
        <w:rPr>
          <w:b/>
        </w:rPr>
        <w:t>SUBPART 217.70--EXCHANGE OF PERSONAL PROPERTY</w:t>
      </w:r>
    </w:p>
    <w:p w:rsidR="00E21C90" w:rsidP="005E6F47" w14:paraId="47325D88" w14:textId="77777777">
      <w:pPr>
        <w:pStyle w:val="DFARS"/>
        <w:jc w:val="center"/>
        <w:rPr>
          <w:i/>
        </w:rPr>
      </w:pPr>
      <w:r>
        <w:rPr>
          <w:i/>
          <w:caps/>
        </w:rPr>
        <w:t>(R</w:t>
      </w:r>
      <w:r>
        <w:rPr>
          <w:i/>
        </w:rPr>
        <w:t>evised December 28, 2017)</w:t>
      </w:r>
    </w:p>
    <w:p w:rsidR="00E21C90" w:rsidP="00E21C90" w14:paraId="723B08E3" w14:textId="77777777">
      <w:pPr>
        <w:pStyle w:val="DFARS"/>
        <w:rPr>
          <w:b/>
        </w:rPr>
      </w:pPr>
    </w:p>
    <w:p w:rsidR="00E21C90" w:rsidP="00E21C90" w14:paraId="6D0DF566" w14:textId="3B48A37E">
      <w:pPr>
        <w:pStyle w:val="DFARS"/>
        <w:rPr>
          <w:b/>
        </w:rPr>
      </w:pPr>
      <w:r>
        <w:rPr>
          <w:b/>
        </w:rPr>
        <w:t>217.7004  Solicitation and award.</w:t>
      </w:r>
    </w:p>
    <w:p w:rsidR="00E21C90" w:rsidP="00E21C90" w14:paraId="4B8C4802" w14:textId="77777777">
      <w:pPr>
        <w:pStyle w:val="DFARS"/>
        <w:rPr>
          <w:b/>
        </w:rPr>
      </w:pPr>
    </w:p>
    <w:p w:rsidR="00E21C90" w:rsidP="00E21C90" w14:paraId="5FB35B9A" w14:textId="77777777">
      <w:pPr>
        <w:pStyle w:val="DFARS"/>
      </w:pPr>
      <w:r>
        <w:tab/>
      </w:r>
      <w:r w:rsidRPr="00345FAC">
        <w:rPr>
          <w:highlight w:val="yellow"/>
        </w:rPr>
        <w:t>(a)</w:t>
      </w:r>
      <w:r>
        <w:t xml:space="preserve">  Solicitations shall include a request for offerors to state prices—</w:t>
      </w:r>
    </w:p>
    <w:p w:rsidR="00E21C90" w:rsidP="00E21C90" w14:paraId="7ECE0BD7" w14:textId="77777777">
      <w:pPr>
        <w:pStyle w:val="DFARS"/>
      </w:pPr>
    </w:p>
    <w:p w:rsidR="00E21C90" w:rsidP="00E21C90" w14:paraId="41A942B2" w14:textId="77777777">
      <w:pPr>
        <w:pStyle w:val="DFARS"/>
      </w:pPr>
      <w:r>
        <w:tab/>
      </w:r>
      <w:r>
        <w:tab/>
        <w:t>(1)  For the new items being acquired without any exchange; and</w:t>
      </w:r>
    </w:p>
    <w:p w:rsidR="00E21C90" w:rsidP="00E21C90" w14:paraId="15708FCB" w14:textId="77777777">
      <w:pPr>
        <w:pStyle w:val="DFARS"/>
      </w:pPr>
    </w:p>
    <w:p w:rsidR="00E21C90" w:rsidP="00E21C90" w14:paraId="1A490C28" w14:textId="77777777">
      <w:pPr>
        <w:pStyle w:val="DFARS"/>
      </w:pPr>
      <w:r>
        <w:tab/>
      </w:r>
      <w:r>
        <w:tab/>
        <w:t>(2)  For the new items with the exchange (trade-in allowance) for the exchange property listed.</w:t>
      </w:r>
    </w:p>
    <w:p w:rsidR="00E21C90" w:rsidP="00E21C90" w14:paraId="7F6410DA" w14:textId="77777777">
      <w:pPr>
        <w:pStyle w:val="DFARS"/>
      </w:pPr>
    </w:p>
    <w:p w:rsidR="00E21C90" w:rsidP="00E21C90" w14:paraId="3CE76F7C" w14:textId="77777777">
      <w:pPr>
        <w:pStyle w:val="DFARS"/>
      </w:pPr>
      <w:r>
        <w:tab/>
        <w:t>(b)  The contracting officer is not obligated to award on an exchange basis.  If the lowest evaluated offer is an offer for the new items without any exchange, the contracting officer may award on that basis and forgo the exchange.</w:t>
      </w:r>
    </w:p>
    <w:p w:rsidR="00E21C90" w:rsidP="00E21C90" w14:paraId="15ACBE4B" w14:textId="77777777">
      <w:pPr>
        <w:pStyle w:val="DFARS"/>
      </w:pPr>
    </w:p>
    <w:p w:rsidR="00E21C90" w:rsidP="00E21C90" w14:paraId="1F0CF959" w14:textId="77777777">
      <w:pPr>
        <w:pStyle w:val="DFARS"/>
      </w:pPr>
      <w:r>
        <w:tab/>
        <w:t>(c)  Exchanges may be made only with the successful offeror.  When the successful offer includes an exchange, award one contract for both the acquisition of the new property and the trade-in of the exchange property.  The only exception is when the items must be acquired against a mandatory Federal supply schedule contract, in which case, award a separate contract for the exchange.</w:t>
      </w:r>
    </w:p>
    <w:p w:rsidR="00E21C90" w:rsidP="00E21C90" w14:paraId="4FC6845A" w14:textId="77777777">
      <w:pPr>
        <w:pStyle w:val="DFARS"/>
      </w:pPr>
    </w:p>
    <w:p w:rsidR="00E21C90" w:rsidRPr="00C05868" w:rsidP="00E21C90" w14:paraId="0C188C50" w14:textId="77777777">
      <w:pPr>
        <w:pStyle w:val="DFARS"/>
        <w:jc w:val="center"/>
        <w:rPr>
          <w:b/>
        </w:rPr>
      </w:pPr>
      <w:r w:rsidRPr="00C05868">
        <w:rPr>
          <w:b/>
        </w:rPr>
        <w:t>SUBPART 217.74--UNDEFINITIZED CONTRACT ACTIONS</w:t>
      </w:r>
    </w:p>
    <w:p w:rsidR="00E21C90" w:rsidP="005E6F47" w14:paraId="24CB9CA6" w14:textId="77777777">
      <w:pPr>
        <w:pStyle w:val="DFARS"/>
        <w:jc w:val="center"/>
        <w:rPr>
          <w:i/>
        </w:rPr>
      </w:pPr>
      <w:r>
        <w:rPr>
          <w:i/>
        </w:rPr>
        <w:t>(Revised May 25, 2023)</w:t>
      </w:r>
    </w:p>
    <w:p w:rsidR="00E21C90" w:rsidP="00E21C90" w14:paraId="2C0D54FC" w14:textId="77777777">
      <w:pPr>
        <w:pStyle w:val="DFARS"/>
        <w:rPr>
          <w:b/>
        </w:rPr>
      </w:pPr>
    </w:p>
    <w:p w:rsidR="00E21C90" w:rsidP="00E21C90" w14:paraId="26C825E4" w14:textId="38374E75">
      <w:pPr>
        <w:pStyle w:val="DFARS"/>
      </w:pPr>
      <w:r w:rsidRPr="00C05868">
        <w:rPr>
          <w:b/>
        </w:rPr>
        <w:t xml:space="preserve">217.7404-3  </w:t>
      </w:r>
      <w:r w:rsidRPr="00C05868">
        <w:rPr>
          <w:b/>
        </w:rPr>
        <w:t>Definitization</w:t>
      </w:r>
      <w:r w:rsidRPr="00C05868">
        <w:rPr>
          <w:b/>
        </w:rPr>
        <w:t xml:space="preserve"> schedule</w:t>
      </w:r>
      <w:r>
        <w:t>.</w:t>
      </w:r>
    </w:p>
    <w:p w:rsidR="00E21C90" w:rsidP="00E21C90" w14:paraId="676271B2" w14:textId="77777777">
      <w:pPr>
        <w:pStyle w:val="DFARS"/>
      </w:pPr>
    </w:p>
    <w:p w:rsidR="00E21C90" w:rsidP="00E21C90" w14:paraId="46B099A6" w14:textId="77777777">
      <w:pPr>
        <w:pStyle w:val="DFARS"/>
      </w:pPr>
      <w:r>
        <w:tab/>
        <w:t xml:space="preserve">(a)  UCAs shall contain </w:t>
      </w:r>
      <w:r>
        <w:t>definitization</w:t>
      </w:r>
      <w:r>
        <w:t xml:space="preserve"> schedules that provide for </w:t>
      </w:r>
      <w:r>
        <w:t>definitization</w:t>
      </w:r>
      <w:r>
        <w:t xml:space="preserve"> by the earlier of—</w:t>
      </w:r>
    </w:p>
    <w:p w:rsidR="00E21C90" w:rsidP="00E21C90" w14:paraId="000342EF" w14:textId="77777777">
      <w:pPr>
        <w:pStyle w:val="DFARS"/>
      </w:pPr>
    </w:p>
    <w:p w:rsidR="00E21C90" w:rsidRPr="002C0D5D" w:rsidP="00E21C90" w14:paraId="182B8532" w14:textId="77777777">
      <w:pPr>
        <w:tabs>
          <w:tab w:val="left" w:pos="360"/>
          <w:tab w:val="left" w:pos="810"/>
          <w:tab w:val="left" w:pos="1210"/>
          <w:tab w:val="left" w:pos="1656"/>
          <w:tab w:val="left" w:pos="2131"/>
          <w:tab w:val="left" w:pos="2520"/>
        </w:tabs>
        <w:spacing w:line="240" w:lineRule="exact"/>
        <w:rPr>
          <w:rFonts w:ascii="Century Schoolbook" w:hAnsi="Century Schoolbook"/>
          <w:b/>
          <w:spacing w:val="-5"/>
          <w:kern w:val="20"/>
          <w:szCs w:val="24"/>
        </w:rPr>
      </w:pPr>
      <w:r w:rsidRPr="002C0D5D">
        <w:rPr>
          <w:rFonts w:ascii="Century Schoolbook" w:hAnsi="Century Schoolbook"/>
          <w:spacing w:val="-5"/>
          <w:kern w:val="20"/>
          <w:szCs w:val="24"/>
        </w:rPr>
        <w:tab/>
      </w:r>
      <w:r w:rsidRPr="002C0D5D">
        <w:rPr>
          <w:rFonts w:ascii="Century Schoolbook" w:hAnsi="Century Schoolbook"/>
          <w:spacing w:val="-5"/>
          <w:kern w:val="20"/>
          <w:szCs w:val="24"/>
        </w:rPr>
        <w:tab/>
        <w:t>(1)  The date that is 180 days after the contractor submits a qualifying proposal.  This date may not be extended beyond an additional 90 days without a written determination by the head of the contracting activity without power of redelegation, the commander of the combatant command concerned, or the Under Secretary of Defense for Acquisition and Sustainment that it is in the best interests of the military department or the defense agency, the combatant command, or the Department of Defense, respectively, to continue the action</w:t>
      </w:r>
      <w:r>
        <w:rPr>
          <w:rFonts w:ascii="Century Schoolbook" w:hAnsi="Century Schoolbook"/>
          <w:spacing w:val="-5"/>
          <w:kern w:val="20"/>
          <w:szCs w:val="24"/>
        </w:rPr>
        <w:t>s</w:t>
      </w:r>
      <w:r w:rsidRPr="002C0D5D">
        <w:rPr>
          <w:rFonts w:ascii="Century Schoolbook" w:hAnsi="Century Schoolbook"/>
          <w:spacing w:val="-5"/>
          <w:kern w:val="20"/>
          <w:szCs w:val="24"/>
        </w:rPr>
        <w:t>; or</w:t>
      </w:r>
    </w:p>
    <w:p w:rsidR="00E21C90" w:rsidP="00E21C90" w14:paraId="58A195BF" w14:textId="77777777">
      <w:pPr>
        <w:pStyle w:val="DFARS"/>
      </w:pPr>
    </w:p>
    <w:p w:rsidR="00E21C90" w:rsidP="00E21C90" w14:paraId="49FAAC19" w14:textId="77777777">
      <w:pPr>
        <w:pStyle w:val="DFARS"/>
      </w:pPr>
      <w:r>
        <w:tab/>
      </w:r>
      <w:r>
        <w:tab/>
        <w:t>(2)  The date on which the amount of funds obligated under the contract action is equal to more than 50 percent of the not-to-exceed price.</w:t>
      </w:r>
    </w:p>
    <w:p w:rsidR="00E21C90" w:rsidP="00E21C90" w14:paraId="30A905DD" w14:textId="77777777">
      <w:pPr>
        <w:pStyle w:val="DFARS"/>
      </w:pPr>
    </w:p>
    <w:p w:rsidR="00E21C90" w:rsidRPr="00461BC3" w:rsidP="005E6F47" w14:paraId="01D31227" w14:textId="3AA3F9E2">
      <w:pPr>
        <w:pStyle w:val="DFARS"/>
      </w:pPr>
      <w:r>
        <w:tab/>
      </w:r>
      <w:r w:rsidRPr="00461BC3">
        <w:rPr>
          <w:highlight w:val="yellow"/>
        </w:rPr>
        <w:t>(b)</w:t>
      </w:r>
      <w:r w:rsidRPr="00461BC3">
        <w:t xml:space="preserve">(1)  Submission of a qualifying proposal in accordance with the </w:t>
      </w:r>
      <w:r w:rsidRPr="00461BC3">
        <w:t>definitization</w:t>
      </w:r>
      <w:r w:rsidRPr="00461BC3">
        <w:t xml:space="preserve"> schedule is a material element of the contract.  If the contractor does not submit a qualifying proposal in accordance with the contract </w:t>
      </w:r>
      <w:r w:rsidRPr="00461BC3">
        <w:t>definitization</w:t>
      </w:r>
      <w:r w:rsidRPr="00461BC3">
        <w:t xml:space="preserve"> schedule, notwithstanding FAR 52.216-26, Payments of Allowable Costs Before </w:t>
      </w:r>
      <w:r w:rsidRPr="00461BC3">
        <w:t>Definitization</w:t>
      </w:r>
      <w:r w:rsidRPr="00461BC3">
        <w:t>, the contracting officer may withhold an amount necessary to protect the interests of the Government, not to exceed 5 percent of all subsequent financing requests, or take other appropriate actions (e.g., documenting the noncompliance in the contractor’s past performance evaluation or terminating the contract for default).</w:t>
      </w:r>
    </w:p>
    <w:p w:rsidR="00E21C90" w:rsidRPr="00461BC3" w:rsidP="00E21C90" w14:paraId="196C0B75" w14:textId="77777777">
      <w:pPr>
        <w:pStyle w:val="DFARS"/>
      </w:pPr>
    </w:p>
    <w:p w:rsidR="00E21C90" w:rsidP="005E6F47" w14:paraId="61003E34" w14:textId="77777777">
      <w:pPr>
        <w:pStyle w:val="DFARS"/>
      </w:pPr>
      <w:r w:rsidRPr="00461BC3">
        <w:tab/>
      </w:r>
      <w:r w:rsidRPr="00461BC3">
        <w:tab/>
        <w:t xml:space="preserve">(2)  Contracting officers shall document in the contract file the justification for withholding or not withholding payments if the qualifying proposal was not submitted in accordance with the contract </w:t>
      </w:r>
      <w:r w:rsidRPr="00461BC3">
        <w:t>definitization</w:t>
      </w:r>
      <w:r w:rsidRPr="00461BC3">
        <w:t xml:space="preserve"> schedule.</w:t>
      </w:r>
    </w:p>
    <w:p w:rsidR="00E21C90" w:rsidP="00E21C90" w14:paraId="615F324C" w14:textId="77777777">
      <w:pPr>
        <w:pStyle w:val="DFARS"/>
      </w:pPr>
    </w:p>
    <w:p w:rsidR="00E21C90" w:rsidP="00E21C90" w14:paraId="1665EFA8" w14:textId="0D1AD290">
      <w:pPr>
        <w:pStyle w:val="DFARS"/>
        <w:jc w:val="center"/>
        <w:rPr>
          <w:b/>
          <w:caps/>
        </w:rPr>
      </w:pPr>
      <w:r>
        <w:rPr>
          <w:b/>
          <w:caps/>
        </w:rPr>
        <w:t>SUBPART 217.75--ACQUISITION of replenishment parts</w:t>
      </w:r>
    </w:p>
    <w:p w:rsidR="00E21C90" w:rsidP="005E6F47" w14:paraId="5FA7CDBB" w14:textId="77777777">
      <w:pPr>
        <w:pStyle w:val="DFARS"/>
        <w:jc w:val="center"/>
        <w:rPr>
          <w:i/>
        </w:rPr>
      </w:pPr>
      <w:r>
        <w:rPr>
          <w:i/>
        </w:rPr>
        <w:t>(Revised December 28, 2017)</w:t>
      </w:r>
    </w:p>
    <w:p w:rsidR="00E21C90" w:rsidP="00E21C90" w14:paraId="438C66A2" w14:textId="77777777">
      <w:pPr>
        <w:pStyle w:val="DFARS"/>
      </w:pPr>
    </w:p>
    <w:p w:rsidR="00E21C90" w:rsidP="00E21C90" w14:paraId="472CF41B" w14:textId="77777777">
      <w:pPr>
        <w:pStyle w:val="DFARS"/>
        <w:rPr>
          <w:b/>
        </w:rPr>
      </w:pPr>
      <w:r>
        <w:rPr>
          <w:b/>
        </w:rPr>
        <w:t>217.7505  Limitations on price increases.</w:t>
      </w:r>
    </w:p>
    <w:p w:rsidR="00E21C90" w:rsidP="00E21C90" w14:paraId="229D9D22" w14:textId="77777777">
      <w:pPr>
        <w:pStyle w:val="DFARS"/>
      </w:pPr>
      <w:r>
        <w:t>This section provides implementing guidance for Section 1215 of Pub. L. 98-94 (10 U.S.C. 2452 note).</w:t>
      </w:r>
    </w:p>
    <w:p w:rsidR="00E21C90" w:rsidP="00E21C90" w14:paraId="13A1D55B" w14:textId="77777777">
      <w:pPr>
        <w:pStyle w:val="DFARS"/>
      </w:pPr>
    </w:p>
    <w:p w:rsidR="00E21C90" w:rsidP="00E21C90" w14:paraId="4282B9C8" w14:textId="77777777">
      <w:pPr>
        <w:pStyle w:val="DFARS"/>
      </w:pPr>
      <w:r>
        <w:tab/>
        <w:t>(a)  The contracting officer shall not award, on a sole source basis, a contract for any centrally managed replenishment part when the price of the part has increased by 25 percent or more over the most recent 12-month period.</w:t>
      </w:r>
    </w:p>
    <w:p w:rsidR="00E21C90" w:rsidP="00E21C90" w14:paraId="2C1E1090" w14:textId="77777777">
      <w:pPr>
        <w:pStyle w:val="DFARS"/>
      </w:pPr>
    </w:p>
    <w:p w:rsidR="00E21C90" w:rsidP="00E21C90" w14:paraId="186E352A" w14:textId="77777777">
      <w:pPr>
        <w:pStyle w:val="DFARS"/>
      </w:pPr>
      <w:r>
        <w:tab/>
      </w:r>
      <w:r>
        <w:tab/>
        <w:t>(1)  Before computing the percentage difference between the current price and the prior price, adjust for quantity, escalation, and other factors necessary to achieve comparability.</w:t>
      </w:r>
    </w:p>
    <w:p w:rsidR="00E21C90" w:rsidP="00E21C90" w14:paraId="56FA3F5C" w14:textId="77777777">
      <w:pPr>
        <w:pStyle w:val="DFARS"/>
      </w:pPr>
    </w:p>
    <w:p w:rsidR="00E21C90" w:rsidP="00E21C90" w14:paraId="595D819D" w14:textId="77777777">
      <w:pPr>
        <w:pStyle w:val="DFARS"/>
      </w:pPr>
      <w:r>
        <w:tab/>
      </w:r>
      <w:r>
        <w:tab/>
        <w:t>(2)  Departments and agencies may specify an alternate percentage or percentages for contracts at or below the simplified acquisition threshold.</w:t>
      </w:r>
    </w:p>
    <w:p w:rsidR="00E21C90" w:rsidP="00E21C90" w14:paraId="73425207" w14:textId="77777777">
      <w:pPr>
        <w:pStyle w:val="DFARS"/>
      </w:pPr>
    </w:p>
    <w:p w:rsidR="00E21C90" w:rsidP="00E21C90" w14:paraId="5251C942" w14:textId="77777777">
      <w:pPr>
        <w:pStyle w:val="DFARS"/>
      </w:pPr>
      <w:r>
        <w:tab/>
        <w:t>(b)  The contracting officer may award a contract for a part, the price of which exceeds the limitation in paragraph (a) of this section, if the contracting officer certifies in writing to the head of the contracting activity before award that—</w:t>
      </w:r>
    </w:p>
    <w:p w:rsidR="00E21C90" w:rsidP="00E21C90" w14:paraId="26A2C66A" w14:textId="77777777">
      <w:pPr>
        <w:pStyle w:val="DFARS"/>
      </w:pPr>
    </w:p>
    <w:p w:rsidR="00E21C90" w:rsidP="00E21C90" w14:paraId="4DA29764" w14:textId="77777777">
      <w:pPr>
        <w:pStyle w:val="DFARS"/>
      </w:pPr>
      <w:r>
        <w:tab/>
      </w:r>
      <w:r>
        <w:tab/>
        <w:t>(1)  The contracting officer has evaluated the price of the part and concluded that the price increase is fair and reasonable; or</w:t>
      </w:r>
    </w:p>
    <w:p w:rsidR="00E21C90" w:rsidP="00E21C90" w14:paraId="7196AAB8" w14:textId="77777777">
      <w:pPr>
        <w:pStyle w:val="DFARS"/>
      </w:pPr>
    </w:p>
    <w:p w:rsidR="00E21C90" w:rsidP="00E21C90" w14:paraId="3C205B6A" w14:textId="77777777">
      <w:pPr>
        <w:pStyle w:val="DFARS"/>
      </w:pPr>
      <w:r>
        <w:tab/>
      </w:r>
      <w:r>
        <w:tab/>
        <w:t xml:space="preserve">(2)  The national security interests of the </w:t>
      </w:r>
      <w:smartTag w:uri="urn:schemas-microsoft-com:office:smarttags" w:element="place">
        <w:smartTag w:uri="urn:schemas-microsoft-com:office:smarttags" w:element="country-region">
          <w:r>
            <w:t>United States</w:t>
          </w:r>
        </w:smartTag>
      </w:smartTag>
      <w:r>
        <w:t xml:space="preserve"> require purchase of the part despite the price increase.</w:t>
      </w:r>
    </w:p>
    <w:p w:rsidR="00E21C90" w:rsidP="00E21C90" w14:paraId="405FD40A" w14:textId="77777777">
      <w:pPr>
        <w:pStyle w:val="DFARS"/>
      </w:pPr>
    </w:p>
    <w:p w:rsidR="00E21C90" w:rsidP="00E21C90" w14:paraId="37565801" w14:textId="77777777">
      <w:pPr>
        <w:pStyle w:val="DFARS"/>
      </w:pPr>
      <w:r>
        <w:tab/>
        <w:t>(c)  The fact that a particular price has not exceeded the limitation in paragraph (a) of this section does not relieve the contracting officer of the responsibility for obtaining a fair and reasonable price.</w:t>
      </w:r>
    </w:p>
    <w:p w:rsidR="00E21C90" w:rsidP="00E21C90" w14:paraId="067AE613" w14:textId="77777777">
      <w:pPr>
        <w:pStyle w:val="DFARS"/>
      </w:pPr>
    </w:p>
    <w:p w:rsidR="00E21C90" w:rsidP="00E21C90" w14:paraId="33D913DC" w14:textId="77777777">
      <w:pPr>
        <w:pStyle w:val="DFARS"/>
      </w:pPr>
      <w:r>
        <w:tab/>
      </w:r>
      <w:r w:rsidRPr="00461BC3">
        <w:rPr>
          <w:highlight w:val="yellow"/>
        </w:rPr>
        <w:t>(d)  Contracting officers may include a provision in sole source solicitations requiring that the offeror supply with its proposal, price and quantity data on any government orders for the replenishment part issued within the most recent 12 months.</w:t>
      </w:r>
    </w:p>
    <w:p w:rsidR="00E21C90" w:rsidP="00E21C90" w14:paraId="29DBB82A" w14:textId="77777777">
      <w:pPr>
        <w:pStyle w:val="DFARS"/>
      </w:pPr>
    </w:p>
    <w:bookmarkEnd w:id="0"/>
    <w:p w:rsidR="00E21C90" w:rsidP="00E21C90" w14:paraId="32DBB591" w14:textId="58AAD51C">
      <w:pPr>
        <w:pStyle w:val="DFARS"/>
        <w:jc w:val="center"/>
        <w:rPr>
          <w:b/>
        </w:rPr>
      </w:pPr>
      <w:r>
        <w:rPr>
          <w:b/>
        </w:rPr>
        <w:t>PART 252-SOLICITATION PROVISIONS AND CONTRACT CLAUSES</w:t>
      </w:r>
    </w:p>
    <w:p w:rsidR="00E21C90" w:rsidP="00E21C90" w14:paraId="5D8C9449" w14:textId="77777777">
      <w:pPr>
        <w:pStyle w:val="DFARS"/>
        <w:rPr>
          <w:bCs/>
        </w:rPr>
      </w:pPr>
    </w:p>
    <w:p w:rsidR="00356480" w:rsidP="008972D3" w14:paraId="099C0232" w14:textId="77777777">
      <w:pPr>
        <w:pStyle w:val="DFARS"/>
        <w:keepNext/>
        <w:keepLines/>
        <w:rPr>
          <w:b/>
        </w:rPr>
      </w:pPr>
      <w:r>
        <w:rPr>
          <w:b/>
        </w:rPr>
        <w:t>252.217-7012  Liability and Insurance.</w:t>
      </w:r>
    </w:p>
    <w:p w:rsidR="00356480" w:rsidP="008972D3" w14:paraId="410CFB3A" w14:textId="77777777">
      <w:pPr>
        <w:pStyle w:val="DFARS"/>
        <w:keepNext/>
        <w:keepLines/>
      </w:pPr>
      <w:r>
        <w:t xml:space="preserve">As prescribed in </w:t>
      </w:r>
      <w:hyperlink r:id="rId4" w:anchor="217.7104" w:history="1">
        <w:r w:rsidRPr="00D1500C">
          <w:rPr>
            <w:rStyle w:val="Hyperlink"/>
          </w:rPr>
          <w:t>217.7104</w:t>
        </w:r>
      </w:hyperlink>
      <w:r>
        <w:t>(a), use the following clause:</w:t>
      </w:r>
    </w:p>
    <w:p w:rsidR="00356480" w:rsidP="008972D3" w14:paraId="2A0EA95A" w14:textId="77777777">
      <w:pPr>
        <w:pStyle w:val="DFARS"/>
      </w:pPr>
    </w:p>
    <w:p w:rsidR="00356480" w:rsidP="008972D3" w14:paraId="0F83ADE7" w14:textId="77777777">
      <w:pPr>
        <w:pStyle w:val="DFARS"/>
        <w:jc w:val="center"/>
      </w:pPr>
      <w:r>
        <w:t>LIABILITY AND INSURANCE (AUG 2003)</w:t>
      </w:r>
    </w:p>
    <w:p w:rsidR="00356480" w:rsidP="008972D3" w14:paraId="49B31FFA" w14:textId="77777777">
      <w:pPr>
        <w:pStyle w:val="DFARS"/>
      </w:pPr>
    </w:p>
    <w:p w:rsidR="00356480" w:rsidP="008972D3" w14:paraId="77DEA856" w14:textId="77777777">
      <w:pPr>
        <w:pStyle w:val="DFARS"/>
      </w:pPr>
      <w:r>
        <w:tab/>
        <w:t>(a)  The Contractor shall exercise its best efforts to prevent accidents, injury, or damage to all employees, persons, and property, in and about the work, and to the vessel or part of the vessel upon which work is done.</w:t>
      </w:r>
    </w:p>
    <w:p w:rsidR="00356480" w:rsidP="008972D3" w14:paraId="33ECE860" w14:textId="77777777">
      <w:pPr>
        <w:pStyle w:val="DFARS"/>
      </w:pPr>
    </w:p>
    <w:p w:rsidR="00356480" w:rsidP="008972D3" w14:paraId="229B6B8A" w14:textId="77777777">
      <w:pPr>
        <w:pStyle w:val="DFARS"/>
        <w:rPr>
          <w:i/>
        </w:rPr>
      </w:pPr>
      <w:r>
        <w:tab/>
        <w:t xml:space="preserve">(b)  </w:t>
      </w:r>
      <w:r>
        <w:rPr>
          <w:i/>
        </w:rPr>
        <w:t>Loss or damage to the vessel, materials, or equipment.</w:t>
      </w:r>
    </w:p>
    <w:p w:rsidR="00356480" w:rsidP="008972D3" w14:paraId="3F795D9B" w14:textId="77777777">
      <w:pPr>
        <w:pStyle w:val="DFARS"/>
        <w:rPr>
          <w:i/>
        </w:rPr>
      </w:pPr>
    </w:p>
    <w:p w:rsidR="00356480" w:rsidP="008972D3" w14:paraId="2E08E04C" w14:textId="77777777">
      <w:pPr>
        <w:pStyle w:val="DFARS"/>
      </w:pPr>
      <w:r>
        <w:tab/>
      </w:r>
      <w:r>
        <w:tab/>
        <w:t>(1)  Unless otherwise directed or approved in writing by the Contracting Officer, the Contractor shall not carry insurance against any form of loss or damage to the vessel(s) or to the materials or equipment to which the Government has title or which have been furnished by the Government for installation by the Contractor.  The Government assumes the risks of loss of and damage to that property.</w:t>
      </w:r>
    </w:p>
    <w:p w:rsidR="00356480" w:rsidP="008972D3" w14:paraId="2591870C" w14:textId="77777777">
      <w:pPr>
        <w:pStyle w:val="DFARS"/>
      </w:pPr>
    </w:p>
    <w:p w:rsidR="00356480" w:rsidP="008972D3" w14:paraId="5AF69D1E" w14:textId="77777777">
      <w:pPr>
        <w:pStyle w:val="DFARS"/>
      </w:pPr>
      <w:r>
        <w:tab/>
      </w:r>
      <w:r>
        <w:tab/>
        <w:t>(2)  The Government does not assume any risk with respect to loss or damage compensated for by insurance or otherwise or resulting from risks with respect to which the Contractor has failed to maintain insurance, if available, as required or approved by the Contracting Officer.</w:t>
      </w:r>
    </w:p>
    <w:p w:rsidR="00356480" w:rsidP="008972D3" w14:paraId="41F665DC" w14:textId="77777777">
      <w:pPr>
        <w:pStyle w:val="DFARS"/>
      </w:pPr>
    </w:p>
    <w:p w:rsidR="00356480" w:rsidP="008972D3" w14:paraId="24AE7A39" w14:textId="77777777">
      <w:pPr>
        <w:pStyle w:val="DFARS"/>
      </w:pPr>
      <w:r>
        <w:tab/>
      </w:r>
      <w:r>
        <w:tab/>
        <w:t>(3)  The Government does not assume risk of and will not pay for any costs of the following:</w:t>
      </w:r>
    </w:p>
    <w:p w:rsidR="00356480" w:rsidP="008972D3" w14:paraId="54939341" w14:textId="77777777">
      <w:pPr>
        <w:pStyle w:val="DFARS"/>
      </w:pPr>
    </w:p>
    <w:p w:rsidR="00356480" w:rsidP="008972D3" w14:paraId="3C850772" w14:textId="77777777">
      <w:pPr>
        <w:pStyle w:val="DFARS"/>
      </w:pPr>
      <w:r>
        <w:tab/>
      </w:r>
      <w:r>
        <w:tab/>
      </w:r>
      <w:r>
        <w:tab/>
        <w:t>(</w:t>
      </w:r>
      <w:r>
        <w:t>i</w:t>
      </w:r>
      <w:r>
        <w:t>)  Inspection, repair, replacement, or renewal of any defects in the vessel(s) or material and equipment due to—</w:t>
      </w:r>
    </w:p>
    <w:p w:rsidR="00356480" w:rsidP="008972D3" w14:paraId="567B6A4B" w14:textId="77777777">
      <w:pPr>
        <w:pStyle w:val="DFARS"/>
      </w:pPr>
    </w:p>
    <w:p w:rsidR="00356480" w:rsidP="008972D3" w14:paraId="57A99CD5" w14:textId="77777777">
      <w:pPr>
        <w:pStyle w:val="DFARS"/>
      </w:pPr>
      <w:r>
        <w:tab/>
      </w:r>
      <w:r>
        <w:tab/>
      </w:r>
      <w:r>
        <w:tab/>
      </w:r>
      <w:r>
        <w:tab/>
        <w:t>(A)  Defective workmanship performed by the Contractor or its subcontractors;</w:t>
      </w:r>
    </w:p>
    <w:p w:rsidR="00356480" w:rsidP="008972D3" w14:paraId="20F26C33" w14:textId="77777777">
      <w:pPr>
        <w:pStyle w:val="DFARS"/>
      </w:pPr>
    </w:p>
    <w:p w:rsidR="00356480" w:rsidP="008972D3" w14:paraId="0F2DABAF" w14:textId="77777777">
      <w:pPr>
        <w:pStyle w:val="DFARS"/>
      </w:pPr>
      <w:r>
        <w:tab/>
      </w:r>
      <w:r>
        <w:tab/>
      </w:r>
      <w:r>
        <w:tab/>
      </w:r>
      <w:r>
        <w:tab/>
        <w:t>(B)  Defective materials or equipment furnished by the Contractor or its subcontracts; or</w:t>
      </w:r>
    </w:p>
    <w:p w:rsidR="00356480" w:rsidP="008972D3" w14:paraId="6620132B" w14:textId="77777777">
      <w:pPr>
        <w:pStyle w:val="DFARS"/>
      </w:pPr>
    </w:p>
    <w:p w:rsidR="00356480" w:rsidP="008972D3" w14:paraId="778C341B" w14:textId="77777777">
      <w:pPr>
        <w:pStyle w:val="DFARS"/>
      </w:pPr>
      <w:r>
        <w:tab/>
      </w:r>
      <w:r>
        <w:tab/>
      </w:r>
      <w:r>
        <w:tab/>
      </w:r>
      <w:r>
        <w:tab/>
        <w:t>(C)  Workmanship, materials, or equipment which do not conform to the requirements of the contract, whether or not the defect is latent or whether or not the nonconformance is the result of negligence.</w:t>
      </w:r>
    </w:p>
    <w:p w:rsidR="00356480" w:rsidP="008972D3" w14:paraId="58B7E7B1" w14:textId="77777777">
      <w:pPr>
        <w:pStyle w:val="DFARS"/>
      </w:pPr>
    </w:p>
    <w:p w:rsidR="00356480" w:rsidP="008972D3" w14:paraId="2240631E" w14:textId="77777777">
      <w:pPr>
        <w:pStyle w:val="DFARS"/>
      </w:pPr>
      <w:r>
        <w:tab/>
      </w:r>
      <w:r>
        <w:tab/>
      </w:r>
      <w:r>
        <w:tab/>
        <w:t>(ii)  Loss, damage, liability, or expense caused by, resulting from, or incurred as a consequence of any delay or disruption, willful misconduct or lack of good faith by the Contractor or any of its representatives that have supervision or direction of—</w:t>
      </w:r>
    </w:p>
    <w:p w:rsidR="00356480" w:rsidP="008972D3" w14:paraId="1B274C5E" w14:textId="77777777">
      <w:pPr>
        <w:pStyle w:val="DFARS"/>
      </w:pPr>
    </w:p>
    <w:p w:rsidR="00356480" w:rsidP="008972D3" w14:paraId="4DA97D27" w14:textId="77777777">
      <w:pPr>
        <w:pStyle w:val="DFARS"/>
      </w:pPr>
      <w:r>
        <w:tab/>
      </w:r>
      <w:r>
        <w:tab/>
      </w:r>
      <w:r>
        <w:tab/>
      </w:r>
      <w:r>
        <w:tab/>
        <w:t>(A)  All or substantially all of the Contractor's business; or</w:t>
      </w:r>
    </w:p>
    <w:p w:rsidR="00356480" w:rsidP="008972D3" w14:paraId="7A33142F" w14:textId="77777777">
      <w:pPr>
        <w:pStyle w:val="DFARS"/>
      </w:pPr>
    </w:p>
    <w:p w:rsidR="00356480" w:rsidP="008972D3" w14:paraId="149A592C" w14:textId="77777777">
      <w:pPr>
        <w:pStyle w:val="DFARS"/>
      </w:pPr>
      <w:r>
        <w:tab/>
      </w:r>
      <w:r>
        <w:tab/>
      </w:r>
      <w:r>
        <w:tab/>
      </w:r>
      <w:r>
        <w:tab/>
        <w:t>(B)  All or substantially all of the Contractor's operation at any one plant.</w:t>
      </w:r>
    </w:p>
    <w:p w:rsidR="00356480" w:rsidP="008972D3" w14:paraId="005B9779" w14:textId="77777777">
      <w:pPr>
        <w:pStyle w:val="DFARS"/>
        <w:rPr>
          <w:i/>
        </w:rPr>
      </w:pPr>
    </w:p>
    <w:p w:rsidR="00356480" w:rsidP="008972D3" w14:paraId="54CEB00F" w14:textId="77777777">
      <w:pPr>
        <w:pStyle w:val="DFARS"/>
      </w:pPr>
      <w:r>
        <w:tab/>
      </w:r>
      <w:r>
        <w:tab/>
        <w:t>(4)  As to any risk that is assumed by the Government, the Government shall be subrogated to any claim, demand or cause of action against third parties that exists in favor of the Contractor.  If required by the Contracting Officer, the Contractor shall execute a formal assignment or transfer of the claim, demand, or cause of action.</w:t>
      </w:r>
    </w:p>
    <w:p w:rsidR="00356480" w:rsidP="008972D3" w14:paraId="184504A6" w14:textId="77777777">
      <w:pPr>
        <w:pStyle w:val="DFARS"/>
      </w:pPr>
    </w:p>
    <w:p w:rsidR="00356480" w:rsidP="008972D3" w14:paraId="2AD003F6" w14:textId="77777777">
      <w:pPr>
        <w:pStyle w:val="DFARS"/>
      </w:pPr>
      <w:r>
        <w:tab/>
      </w:r>
      <w:r>
        <w:tab/>
        <w:t>(5)  No party other than the Contractor shall have any right to proceed directly against the Government or join the Government as a co-defendant in any action.</w:t>
      </w:r>
    </w:p>
    <w:p w:rsidR="00356480" w:rsidP="008972D3" w14:paraId="0934BBED" w14:textId="77777777">
      <w:pPr>
        <w:pStyle w:val="DFARS"/>
      </w:pPr>
    </w:p>
    <w:p w:rsidR="00356480" w:rsidP="008972D3" w14:paraId="471A387B" w14:textId="77777777">
      <w:pPr>
        <w:pStyle w:val="DFARS"/>
      </w:pPr>
      <w:r>
        <w:tab/>
      </w:r>
      <w:r>
        <w:tab/>
        <w:t>(6)  Notwithstanding the foregoing, the Contractor shall bear the first $50,000 of loss or damage from each occurrence or incident, the risk of which the Government would have assumed under the provisions of this paragraph (b).</w:t>
      </w:r>
    </w:p>
    <w:p w:rsidR="00356480" w:rsidP="008972D3" w14:paraId="53F5A82A" w14:textId="77777777">
      <w:pPr>
        <w:pStyle w:val="DFARS"/>
      </w:pPr>
    </w:p>
    <w:p w:rsidR="00356480" w:rsidP="008972D3" w14:paraId="1241392A" w14:textId="77777777">
      <w:pPr>
        <w:pStyle w:val="DFARS"/>
      </w:pPr>
      <w:r>
        <w:tab/>
        <w:t xml:space="preserve">(c)  </w:t>
      </w:r>
      <w:r>
        <w:rPr>
          <w:i/>
        </w:rPr>
        <w:t>Indemnification.</w:t>
      </w:r>
      <w:r>
        <w:t xml:space="preserve">  The Contractor indemnifies the Government and the vessel and its owners against all claims, demands, or causes of action to which the Government, the vessel or its owner(s) might be subject as a result of damage or injury (including death) to the property or person of anyone other than the Government or its employees, or the vessel or its owner, arising in whole or in part from the negligence or </w:t>
      </w:r>
      <w:r>
        <w:t>other wrongful act of the Contractor or its agents or employees, or any subcontractor, or its agents or employees.</w:t>
      </w:r>
    </w:p>
    <w:p w:rsidR="00356480" w:rsidP="008972D3" w14:paraId="6B3AB4EE" w14:textId="77777777">
      <w:pPr>
        <w:pStyle w:val="DFARS"/>
      </w:pPr>
    </w:p>
    <w:p w:rsidR="00356480" w:rsidP="008972D3" w14:paraId="463C02E6" w14:textId="77777777">
      <w:pPr>
        <w:pStyle w:val="DFARS"/>
      </w:pPr>
      <w:r>
        <w:tab/>
      </w:r>
      <w:r>
        <w:tab/>
        <w:t>(1)  The Contractor's obligation to indemnify under this paragraph shall not exceed the sum of $300,000 as a consequence of any single occurrence with respect to any one vessel.</w:t>
      </w:r>
    </w:p>
    <w:p w:rsidR="00356480" w:rsidP="008972D3" w14:paraId="074815E3" w14:textId="77777777">
      <w:pPr>
        <w:pStyle w:val="DFARS"/>
      </w:pPr>
    </w:p>
    <w:p w:rsidR="00356480" w:rsidP="008972D3" w14:paraId="737C6141" w14:textId="77777777">
      <w:pPr>
        <w:pStyle w:val="DFARS"/>
      </w:pPr>
      <w:r>
        <w:tab/>
      </w:r>
      <w:r>
        <w:tab/>
        <w:t>(2)  The indemnity includes, without limitation, suits, actions, claims, costs, or demands of any kind, resulting from death, personal injury, or property damage occurring during the period of performance of work on the vessel or within 90 days after redelivery of the vessel.  For any claim, etc., made after 90 days, the rights of the parties shall be as determined by other provisions of this agreement and by law.  The indemnity does apply to death occurring after 90 days where the injury was received during the period covered by the indemnity.</w:t>
      </w:r>
    </w:p>
    <w:p w:rsidR="00356480" w:rsidP="008972D3" w14:paraId="05ABF8DF" w14:textId="77777777">
      <w:pPr>
        <w:pStyle w:val="DFARS"/>
      </w:pPr>
    </w:p>
    <w:p w:rsidR="00356480" w:rsidP="008972D3" w14:paraId="31773909" w14:textId="77777777">
      <w:pPr>
        <w:pStyle w:val="DFARS"/>
        <w:rPr>
          <w:i/>
        </w:rPr>
      </w:pPr>
      <w:r>
        <w:tab/>
        <w:t xml:space="preserve">(d)  </w:t>
      </w:r>
      <w:r>
        <w:rPr>
          <w:i/>
        </w:rPr>
        <w:t>Insurance.</w:t>
      </w:r>
    </w:p>
    <w:p w:rsidR="00356480" w:rsidP="008972D3" w14:paraId="45D3E6AF" w14:textId="77777777">
      <w:pPr>
        <w:pStyle w:val="DFARS"/>
        <w:rPr>
          <w:i/>
        </w:rPr>
      </w:pPr>
    </w:p>
    <w:p w:rsidR="00356480" w:rsidP="008972D3" w14:paraId="6D45AE4C" w14:textId="77777777">
      <w:pPr>
        <w:pStyle w:val="DFARS"/>
      </w:pPr>
      <w:r>
        <w:tab/>
      </w:r>
      <w:r>
        <w:tab/>
        <w:t>(1)  The Contractor shall, at its own expense, obtain and maintain the following insurance—</w:t>
      </w:r>
    </w:p>
    <w:p w:rsidR="00356480" w:rsidP="008972D3" w14:paraId="253C9AF0" w14:textId="77777777">
      <w:pPr>
        <w:pStyle w:val="DFARS"/>
      </w:pPr>
    </w:p>
    <w:p w:rsidR="00356480" w:rsidP="008972D3" w14:paraId="2110B072" w14:textId="77777777">
      <w:pPr>
        <w:pStyle w:val="DFARS"/>
      </w:pPr>
      <w:r>
        <w:tab/>
      </w:r>
      <w:r>
        <w:tab/>
      </w:r>
      <w:r>
        <w:tab/>
        <w:t>(</w:t>
      </w:r>
      <w:r>
        <w:t>i</w:t>
      </w:r>
      <w:r>
        <w:t>)  Casualty, accident, and liability insurance, as approved by the Contracting Officer, insuring the performance of its obligations under paragraph (c) of this clause.</w:t>
      </w:r>
    </w:p>
    <w:p w:rsidR="00356480" w:rsidP="008972D3" w14:paraId="184DD54A" w14:textId="77777777">
      <w:pPr>
        <w:pStyle w:val="DFARS"/>
      </w:pPr>
    </w:p>
    <w:p w:rsidR="00356480" w:rsidP="008972D3" w14:paraId="7CFC437B" w14:textId="77777777">
      <w:pPr>
        <w:pStyle w:val="DFARS"/>
      </w:pPr>
      <w:r>
        <w:tab/>
      </w:r>
      <w:r>
        <w:tab/>
      </w:r>
      <w:r>
        <w:tab/>
        <w:t>(ii)  Workers Compensation Insurance (or its equivalent) covering the employees engaged on the work.</w:t>
      </w:r>
    </w:p>
    <w:p w:rsidR="00356480" w:rsidP="008972D3" w14:paraId="74B5D073" w14:textId="77777777">
      <w:pPr>
        <w:pStyle w:val="DFARS"/>
      </w:pPr>
    </w:p>
    <w:p w:rsidR="00356480" w:rsidP="008972D3" w14:paraId="7E0AB4E6" w14:textId="77777777">
      <w:pPr>
        <w:pStyle w:val="DFARS"/>
      </w:pPr>
      <w:r>
        <w:tab/>
      </w:r>
      <w:r>
        <w:tab/>
        <w:t>(2)  The Contractor shall ensure that all subcontractors engaged on the work obtain and maintain the insurance required in paragraph (d)(1) of this clause.</w:t>
      </w:r>
    </w:p>
    <w:p w:rsidR="00356480" w:rsidP="008972D3" w14:paraId="7BCAD5C2" w14:textId="77777777">
      <w:pPr>
        <w:pStyle w:val="DFARS"/>
      </w:pPr>
    </w:p>
    <w:p w:rsidR="00356480" w:rsidP="008972D3" w14:paraId="2F777D92" w14:textId="77777777">
      <w:pPr>
        <w:pStyle w:val="DFARS"/>
      </w:pPr>
      <w:r>
        <w:tab/>
      </w:r>
      <w:r>
        <w:tab/>
      </w:r>
      <w:r w:rsidRPr="00011591">
        <w:rPr>
          <w:highlight w:val="yellow"/>
        </w:rPr>
        <w:t>(3)  Upon request of the Contracting Officer, the Contractor shall provide evidence of the insurance required by paragraph (d) of this clause.</w:t>
      </w:r>
    </w:p>
    <w:p w:rsidR="00356480" w:rsidP="008972D3" w14:paraId="16191AE4" w14:textId="77777777">
      <w:pPr>
        <w:pStyle w:val="DFARS"/>
      </w:pPr>
    </w:p>
    <w:p w:rsidR="00356480" w:rsidP="008972D3" w14:paraId="5C294FEE" w14:textId="77777777">
      <w:pPr>
        <w:pStyle w:val="DFARS"/>
      </w:pPr>
      <w:r>
        <w:tab/>
        <w:t>(e)  The Contractor shall not make any allowance in the job order price for the inclusion of any premium expense or charge for any reserve made on account of self-insurance for coverage against any risk assumed by the Government under this clause.</w:t>
      </w:r>
    </w:p>
    <w:p w:rsidR="00356480" w:rsidP="008972D3" w14:paraId="37EC32A8" w14:textId="77777777">
      <w:pPr>
        <w:pStyle w:val="DFARS"/>
      </w:pPr>
    </w:p>
    <w:p w:rsidR="00356480" w:rsidP="008972D3" w14:paraId="7B601EA9" w14:textId="77777777">
      <w:pPr>
        <w:pStyle w:val="DFARS"/>
      </w:pPr>
      <w:r>
        <w:tab/>
      </w:r>
      <w:r w:rsidRPr="00011591">
        <w:rPr>
          <w:highlight w:val="yellow"/>
        </w:rPr>
        <w:t>(f)</w:t>
      </w:r>
      <w:r>
        <w:t xml:space="preserve">  The Contractor shall give the Contracting Officer written notice as soon as practicable after the occurrence of a loss or damage for which the Government has assumed the risk.</w:t>
      </w:r>
    </w:p>
    <w:p w:rsidR="00356480" w:rsidP="008972D3" w14:paraId="31852C1C" w14:textId="77777777">
      <w:pPr>
        <w:pStyle w:val="DFARS"/>
      </w:pPr>
    </w:p>
    <w:p w:rsidR="00356480" w:rsidP="008972D3" w14:paraId="5CFA0B9B" w14:textId="77777777">
      <w:pPr>
        <w:pStyle w:val="DFARS"/>
      </w:pPr>
      <w:r>
        <w:tab/>
      </w:r>
      <w:r>
        <w:tab/>
        <w:t>(1)  The notice shall contain full details of the loss or damage.</w:t>
      </w:r>
    </w:p>
    <w:p w:rsidR="00356480" w:rsidP="008972D3" w14:paraId="7F9C268D" w14:textId="77777777">
      <w:pPr>
        <w:pStyle w:val="DFARS"/>
      </w:pPr>
    </w:p>
    <w:p w:rsidR="00356480" w:rsidP="008972D3" w14:paraId="247FE8FC" w14:textId="77777777">
      <w:pPr>
        <w:pStyle w:val="DFARS"/>
      </w:pPr>
      <w:r>
        <w:tab/>
      </w:r>
      <w:r>
        <w:tab/>
        <w:t>(2)  If a claim or suit is later filed against the Contractor as a result of the event, the Contractor shall immediately deliver to the Government every demand, notice, summons, or other process received by the Contractor or its employees or representatives.</w:t>
      </w:r>
    </w:p>
    <w:p w:rsidR="00356480" w:rsidP="008972D3" w14:paraId="5A19C577" w14:textId="77777777">
      <w:pPr>
        <w:pStyle w:val="DFARS"/>
      </w:pPr>
    </w:p>
    <w:p w:rsidR="00356480" w:rsidP="008972D3" w14:paraId="29B94FBB" w14:textId="77777777">
      <w:pPr>
        <w:pStyle w:val="DFARS"/>
      </w:pPr>
      <w:r>
        <w:tab/>
      </w:r>
      <w:r>
        <w:tab/>
        <w:t>(3)  The Contractor shall cooperate with the Government and, upon request, shall assist in effecting settlements, securing and giving evidence, obtaining the attendance of witnesses, and in the conduct of suits.  The Government shall reimburse the Contractor for expenses incurred in this effort, other than the cost of maintaining the Contractor's usual organization.</w:t>
      </w:r>
    </w:p>
    <w:p w:rsidR="00356480" w:rsidP="008972D3" w14:paraId="4534892F" w14:textId="77777777">
      <w:pPr>
        <w:pStyle w:val="DFARS"/>
      </w:pPr>
    </w:p>
    <w:p w:rsidR="00356480" w:rsidP="008972D3" w14:paraId="0B7F9829" w14:textId="77777777">
      <w:pPr>
        <w:pStyle w:val="DFARS"/>
      </w:pPr>
      <w:r>
        <w:tab/>
      </w:r>
      <w:r>
        <w:tab/>
        <w:t>(4)  The Contractor shall not, except at its own expense, voluntarily make any payment, assume any obligation, or incur any expense other than what would be imperative for the protection of the vessel(s) at the time of the event.</w:t>
      </w:r>
    </w:p>
    <w:p w:rsidR="00356480" w:rsidP="008972D3" w14:paraId="38FD0655" w14:textId="77777777">
      <w:pPr>
        <w:pStyle w:val="DFARS"/>
      </w:pPr>
    </w:p>
    <w:p w:rsidR="00356480" w:rsidP="008972D3" w14:paraId="5DE8AF83" w14:textId="77777777">
      <w:pPr>
        <w:pStyle w:val="DFARS"/>
      </w:pPr>
      <w:r>
        <w:tab/>
      </w:r>
      <w:r w:rsidRPr="00011591">
        <w:rPr>
          <w:highlight w:val="yellow"/>
        </w:rPr>
        <w:t>(g)</w:t>
      </w:r>
      <w:r>
        <w:t xml:space="preserve">  In the event or loss of or damage to any vessel(s), material, or equipment which may result in a claim against the Government under the insurance provisions of this contract, the Contractor shall promptly notify the Contracting Officer of the loss or damage.  The Contracting Officer may, without prejudice to any other right of the Government, either—</w:t>
      </w:r>
    </w:p>
    <w:p w:rsidR="00356480" w:rsidP="008972D3" w14:paraId="42A21D1D" w14:textId="77777777">
      <w:pPr>
        <w:pStyle w:val="DFARS"/>
      </w:pPr>
    </w:p>
    <w:p w:rsidR="00356480" w:rsidP="008972D3" w14:paraId="6043CA49" w14:textId="77777777">
      <w:pPr>
        <w:pStyle w:val="DFARS"/>
      </w:pPr>
      <w:r>
        <w:tab/>
      </w:r>
      <w:r>
        <w:tab/>
        <w:t>(1)  Order the Contractor to proceed with replacement or repair, in which event the Contractor shall effect the replacement or repair;</w:t>
      </w:r>
    </w:p>
    <w:p w:rsidR="00356480" w:rsidP="008972D3" w14:paraId="23B429D0" w14:textId="77777777">
      <w:pPr>
        <w:pStyle w:val="DFARS"/>
      </w:pPr>
    </w:p>
    <w:p w:rsidR="00356480" w:rsidP="008972D3" w14:paraId="51B4DB7D" w14:textId="77777777">
      <w:pPr>
        <w:pStyle w:val="DFARS"/>
      </w:pPr>
      <w:r>
        <w:tab/>
      </w:r>
      <w:r>
        <w:tab/>
      </w:r>
      <w:r>
        <w:tab/>
        <w:t>(</w:t>
      </w:r>
      <w:r>
        <w:t>i</w:t>
      </w:r>
      <w:r>
        <w:t>)  The Contractor shall submit to the Contracting Officer a request for reimbursement of the cost of the replacement or repair together with whatever supporting documentation the Contracting Officer may reasonably require, and shall identify the request as being submitted under the Insurance clause of the agreement.</w:t>
      </w:r>
    </w:p>
    <w:p w:rsidR="00356480" w:rsidP="008972D3" w14:paraId="22553CD4" w14:textId="77777777">
      <w:pPr>
        <w:pStyle w:val="DFARS"/>
      </w:pPr>
    </w:p>
    <w:p w:rsidR="00356480" w:rsidP="008972D3" w14:paraId="3B0B5281" w14:textId="77777777">
      <w:pPr>
        <w:pStyle w:val="DFARS"/>
      </w:pPr>
      <w:r>
        <w:tab/>
      </w:r>
      <w:r>
        <w:tab/>
      </w:r>
      <w:r>
        <w:tab/>
        <w:t>(ii)  If the Government determines that the risk of the loss or damage is within the scope of the risks assumed by the Government under this clause, the Government will reimburse the Contractor for the reasonable, allowable cost of the replacement or repair, plus a reasonable profit (if the work or replacement or repair was performed by the Contractor) less the deductible amount specified in paragraph (b) of this clause.</w:t>
      </w:r>
    </w:p>
    <w:p w:rsidR="00356480" w:rsidP="008972D3" w14:paraId="3C68EF43" w14:textId="77777777">
      <w:pPr>
        <w:pStyle w:val="DFARS"/>
      </w:pPr>
    </w:p>
    <w:p w:rsidR="00356480" w:rsidP="008972D3" w14:paraId="20AFB35C" w14:textId="77777777">
      <w:pPr>
        <w:pStyle w:val="DFARS"/>
      </w:pPr>
      <w:r>
        <w:tab/>
      </w:r>
      <w:r>
        <w:tab/>
      </w:r>
      <w:r>
        <w:tab/>
        <w:t>(iii)  Payments by the Government to the Contractor under this clause are outside the scope of and shall not affect the pricing structure of the contract, and are additional to the compensation otherwise payable to the Contractor under this contract; or</w:t>
      </w:r>
    </w:p>
    <w:p w:rsidR="00356480" w:rsidP="008972D3" w14:paraId="0F8097FB" w14:textId="77777777">
      <w:pPr>
        <w:pStyle w:val="DFARS"/>
      </w:pPr>
    </w:p>
    <w:p w:rsidR="00356480" w:rsidP="008972D3" w14:paraId="53533D91" w14:textId="77777777">
      <w:pPr>
        <w:pStyle w:val="DFARS"/>
      </w:pPr>
      <w:r>
        <w:tab/>
      </w:r>
      <w:r>
        <w:tab/>
        <w:t>(2)  In the event the Contracting Officer decides that the loss or damage shall not be replaced or repaired, the Contracting Officer shall—</w:t>
      </w:r>
    </w:p>
    <w:p w:rsidR="00356480" w:rsidP="008972D3" w14:paraId="3B6DC528" w14:textId="77777777">
      <w:pPr>
        <w:pStyle w:val="DFARS"/>
      </w:pPr>
    </w:p>
    <w:p w:rsidR="00356480" w:rsidP="008972D3" w14:paraId="7D31756E" w14:textId="77777777">
      <w:pPr>
        <w:pStyle w:val="DFARS"/>
      </w:pPr>
      <w:r>
        <w:tab/>
      </w:r>
      <w:r>
        <w:tab/>
      </w:r>
      <w:r>
        <w:tab/>
        <w:t>(</w:t>
      </w:r>
      <w:r>
        <w:t>i</w:t>
      </w:r>
      <w:r>
        <w:t>)  Modify the contract appropriately, consistent with the reduced requirements reflected by the unreplaced or unrepaired loss or damage; or</w:t>
      </w:r>
    </w:p>
    <w:p w:rsidR="00356480" w:rsidP="008972D3" w14:paraId="6D72FE5C" w14:textId="77777777">
      <w:pPr>
        <w:pStyle w:val="DFARS"/>
      </w:pPr>
    </w:p>
    <w:p w:rsidR="00356480" w:rsidP="008972D3" w14:paraId="6F9503EF" w14:textId="77777777">
      <w:pPr>
        <w:pStyle w:val="DFARS"/>
      </w:pPr>
      <w:r>
        <w:tab/>
      </w:r>
      <w:r>
        <w:tab/>
      </w:r>
      <w:r>
        <w:tab/>
        <w:t>(ii)  Terminate the repair of any part or all of the vessel(s) under the Termination for Convenience of the Government clause of this agreement.</w:t>
      </w:r>
    </w:p>
    <w:p w:rsidR="00356480" w:rsidP="008972D3" w14:paraId="42C4D30C" w14:textId="77777777">
      <w:pPr>
        <w:pStyle w:val="DFARS"/>
      </w:pPr>
    </w:p>
    <w:p w:rsidR="00356480" w:rsidP="008972D3" w14:paraId="13E14A81" w14:textId="73B03B02">
      <w:pPr>
        <w:pStyle w:val="DFARS"/>
        <w:jc w:val="center"/>
      </w:pPr>
      <w:r>
        <w:t>(End of clause)</w:t>
      </w:r>
    </w:p>
    <w:p w:rsidR="008C2CAD" w:rsidP="008972D3" w14:paraId="4AD49F4E" w14:textId="77777777">
      <w:pPr>
        <w:pStyle w:val="DFARS"/>
        <w:jc w:val="center"/>
      </w:pPr>
    </w:p>
    <w:p w:rsidR="00356480" w:rsidP="008972D3" w14:paraId="3EEBAF53" w14:textId="77777777">
      <w:pPr>
        <w:pStyle w:val="DFARS"/>
        <w:keepNext/>
        <w:keepLines/>
        <w:rPr>
          <w:b/>
        </w:rPr>
      </w:pPr>
      <w:r>
        <w:rPr>
          <w:b/>
        </w:rPr>
        <w:t>252.217-7026  Identification of Sources of Supply.</w:t>
      </w:r>
    </w:p>
    <w:p w:rsidR="00356480" w:rsidP="008972D3" w14:paraId="72B1CBFB" w14:textId="77777777">
      <w:pPr>
        <w:pStyle w:val="DFARS"/>
        <w:keepNext/>
        <w:keepLines/>
      </w:pPr>
      <w:r>
        <w:t xml:space="preserve">As prescribed in </w:t>
      </w:r>
      <w:hyperlink r:id="rId5" w:anchor="217.7303" w:history="1">
        <w:r w:rsidRPr="00D1500C">
          <w:rPr>
            <w:rStyle w:val="Hyperlink"/>
          </w:rPr>
          <w:t>217.7303</w:t>
        </w:r>
      </w:hyperlink>
      <w:r>
        <w:t>, use the following provision:</w:t>
      </w:r>
    </w:p>
    <w:p w:rsidR="00356480" w:rsidP="008972D3" w14:paraId="29EB4B4E" w14:textId="77777777">
      <w:pPr>
        <w:pStyle w:val="DFARS"/>
      </w:pPr>
    </w:p>
    <w:p w:rsidR="00356480" w:rsidP="008972D3" w14:paraId="42B4B133" w14:textId="545A0CA7">
      <w:pPr>
        <w:pStyle w:val="DFARS"/>
        <w:jc w:val="center"/>
      </w:pPr>
      <w:r>
        <w:t>IDENTIFICATION OF SOURCES OF SUPPLY (</w:t>
      </w:r>
      <w:r w:rsidR="00975618">
        <w:t>JAN 2023</w:t>
      </w:r>
      <w:r>
        <w:t>)</w:t>
      </w:r>
    </w:p>
    <w:p w:rsidR="00356480" w:rsidP="008972D3" w14:paraId="28FEBE68" w14:textId="77777777">
      <w:pPr>
        <w:pStyle w:val="DFARS"/>
      </w:pPr>
    </w:p>
    <w:p w:rsidR="00356480" w:rsidP="008972D3" w14:paraId="2D931098" w14:textId="289E5EA2">
      <w:pPr>
        <w:pStyle w:val="DFARS"/>
      </w:pPr>
      <w:r>
        <w:tab/>
        <w:t xml:space="preserve">(a)  The Government is required under 10 U.S.C. </w:t>
      </w:r>
      <w:r w:rsidR="00FB3374">
        <w:t>4753</w:t>
      </w:r>
      <w:r>
        <w:t xml:space="preserve"> to obtain certain information on the actual manufacturer or sources of supplies it acquires.</w:t>
      </w:r>
    </w:p>
    <w:p w:rsidR="00356480" w:rsidP="008972D3" w14:paraId="7DF0715B" w14:textId="77777777">
      <w:pPr>
        <w:pStyle w:val="DFARS"/>
      </w:pPr>
    </w:p>
    <w:p w:rsidR="00356480" w:rsidP="008972D3" w14:paraId="0C399D9B" w14:textId="77777777">
      <w:pPr>
        <w:pStyle w:val="DFARS"/>
      </w:pPr>
      <w:r>
        <w:tab/>
        <w:t>(b)  The apparently successful Offeror agrees to complete and submit the following table before award:</w:t>
      </w:r>
    </w:p>
    <w:p w:rsidR="00BA20FB" w14:paraId="3226525D" w14:textId="77777777">
      <w:pPr>
        <w:overflowPunct/>
        <w:autoSpaceDE/>
        <w:autoSpaceDN/>
        <w:adjustRightInd/>
        <w:textAlignment w:val="auto"/>
        <w:rPr>
          <w:rFonts w:ascii="Century Schoolbook" w:hAnsi="Century Schoolbook"/>
          <w:spacing w:val="-5"/>
          <w:kern w:val="20"/>
        </w:rPr>
      </w:pPr>
      <w:r>
        <w:br w:type="page"/>
      </w:r>
    </w:p>
    <w:p w:rsidR="00356480" w:rsidP="008972D3" w14:paraId="19600C5E" w14:textId="1CB6F6CA">
      <w:pPr>
        <w:pStyle w:val="DFARS"/>
        <w:spacing w:after="20"/>
        <w:jc w:val="center"/>
      </w:pPr>
      <w:r>
        <w:tab/>
        <w:t>TABLE</w:t>
      </w:r>
    </w:p>
    <w:bookmarkEnd w:id="1"/>
    <w:tbl>
      <w:tblPr>
        <w:tblW w:w="8644" w:type="dxa"/>
        <w:tblInd w:w="828" w:type="dxa"/>
        <w:tblBorders>
          <w:top w:val="single" w:sz="6" w:space="0" w:color="auto"/>
          <w:left w:val="single" w:sz="6" w:space="0" w:color="auto"/>
          <w:bottom w:val="single" w:sz="6" w:space="0" w:color="auto"/>
          <w:right w:val="single" w:sz="6" w:space="0" w:color="auto"/>
        </w:tblBorders>
        <w:tblLayout w:type="fixed"/>
        <w:tblLook w:val="0000"/>
      </w:tblPr>
      <w:tblGrid>
        <w:gridCol w:w="990"/>
        <w:gridCol w:w="1260"/>
        <w:gridCol w:w="1524"/>
        <w:gridCol w:w="1327"/>
        <w:gridCol w:w="1205"/>
        <w:gridCol w:w="1210"/>
        <w:gridCol w:w="1128"/>
      </w:tblGrid>
      <w:tr w14:paraId="08CA2D01" w14:textId="77777777" w:rsidTr="003F3938">
        <w:tblPrEx>
          <w:tblW w:w="8644" w:type="dxa"/>
          <w:tblInd w:w="828" w:type="dxa"/>
          <w:tblBorders>
            <w:top w:val="single" w:sz="6" w:space="0" w:color="auto"/>
            <w:left w:val="single" w:sz="6" w:space="0" w:color="auto"/>
            <w:bottom w:val="single" w:sz="6" w:space="0" w:color="auto"/>
            <w:right w:val="single" w:sz="6" w:space="0" w:color="auto"/>
          </w:tblBorders>
          <w:tblLayout w:type="fixed"/>
          <w:tblLook w:val="0000"/>
        </w:tblPrEx>
        <w:tc>
          <w:tcPr>
            <w:tcW w:w="8644" w:type="dxa"/>
            <w:gridSpan w:val="7"/>
            <w:tcBorders>
              <w:top w:val="single" w:sz="6" w:space="0" w:color="auto"/>
              <w:left w:val="single" w:sz="6" w:space="0" w:color="auto"/>
              <w:bottom w:val="nil"/>
              <w:right w:val="single" w:sz="6" w:space="0" w:color="auto"/>
            </w:tcBorders>
          </w:tcPr>
          <w:p w:rsidR="003F3938" w:rsidRPr="003F3938" w:rsidP="008972D3" w14:paraId="7A8CDB68" w14:textId="7A068F09">
            <w:pPr>
              <w:pStyle w:val="DFARS"/>
              <w:keepNext/>
              <w:keepLines/>
              <w:tabs>
                <w:tab w:val="left" w:pos="3960"/>
                <w:tab w:val="left" w:pos="5220"/>
              </w:tabs>
              <w:spacing w:before="60" w:after="60"/>
              <w:jc w:val="center"/>
            </w:pPr>
          </w:p>
        </w:tc>
      </w:tr>
      <w:tr w14:paraId="4F023B32" w14:textId="77777777" w:rsidTr="003F3938">
        <w:tblPrEx>
          <w:tblW w:w="8644" w:type="dxa"/>
          <w:tblInd w:w="828" w:type="dxa"/>
          <w:tblLayout w:type="fixed"/>
          <w:tblLook w:val="0000"/>
        </w:tblPrEx>
        <w:tc>
          <w:tcPr>
            <w:tcW w:w="990" w:type="dxa"/>
            <w:tcBorders>
              <w:top w:val="nil"/>
              <w:left w:val="single" w:sz="6" w:space="0" w:color="auto"/>
              <w:bottom w:val="nil"/>
              <w:right w:val="nil"/>
            </w:tcBorders>
          </w:tcPr>
          <w:p w:rsidR="003F3938" w:rsidP="008972D3" w14:paraId="4F2D3B88" w14:textId="77777777">
            <w:pPr>
              <w:pStyle w:val="DFARS"/>
              <w:keepNext/>
              <w:keepLines/>
              <w:tabs>
                <w:tab w:val="left" w:pos="3960"/>
                <w:tab w:val="left" w:pos="5220"/>
              </w:tabs>
              <w:spacing w:before="60"/>
              <w:jc w:val="center"/>
            </w:pPr>
          </w:p>
        </w:tc>
        <w:tc>
          <w:tcPr>
            <w:tcW w:w="1260" w:type="dxa"/>
            <w:tcBorders>
              <w:top w:val="nil"/>
              <w:left w:val="nil"/>
              <w:bottom w:val="nil"/>
              <w:right w:val="nil"/>
            </w:tcBorders>
          </w:tcPr>
          <w:p w:rsidR="003F3938" w:rsidP="008972D3" w14:paraId="1551A4C7" w14:textId="77777777">
            <w:pPr>
              <w:pStyle w:val="DFARS"/>
              <w:keepNext/>
              <w:keepLines/>
              <w:tabs>
                <w:tab w:val="left" w:pos="3960"/>
                <w:tab w:val="left" w:pos="5220"/>
              </w:tabs>
              <w:spacing w:before="60"/>
              <w:jc w:val="center"/>
            </w:pPr>
            <w:r>
              <w:t>National</w:t>
            </w:r>
          </w:p>
        </w:tc>
        <w:tc>
          <w:tcPr>
            <w:tcW w:w="1524" w:type="dxa"/>
            <w:tcBorders>
              <w:top w:val="nil"/>
              <w:left w:val="nil"/>
              <w:bottom w:val="nil"/>
              <w:right w:val="nil"/>
            </w:tcBorders>
          </w:tcPr>
          <w:p w:rsidR="003F3938" w:rsidP="008972D3" w14:paraId="782B2DFF" w14:textId="77777777">
            <w:pPr>
              <w:pStyle w:val="DFARS"/>
              <w:keepNext/>
              <w:keepLines/>
              <w:tabs>
                <w:tab w:val="left" w:pos="3960"/>
                <w:tab w:val="left" w:pos="5220"/>
              </w:tabs>
              <w:spacing w:before="60"/>
              <w:jc w:val="center"/>
            </w:pPr>
            <w:r>
              <w:t>Commercial</w:t>
            </w:r>
          </w:p>
        </w:tc>
        <w:tc>
          <w:tcPr>
            <w:tcW w:w="3742" w:type="dxa"/>
            <w:gridSpan w:val="3"/>
            <w:tcBorders>
              <w:top w:val="nil"/>
              <w:left w:val="nil"/>
              <w:bottom w:val="nil"/>
              <w:right w:val="nil"/>
            </w:tcBorders>
          </w:tcPr>
          <w:p w:rsidR="003F3938" w:rsidP="008972D3" w14:paraId="2B908952" w14:textId="77777777">
            <w:pPr>
              <w:pStyle w:val="DFARS"/>
              <w:keepNext/>
              <w:keepLines/>
              <w:tabs>
                <w:tab w:val="left" w:pos="3960"/>
                <w:tab w:val="left" w:pos="5220"/>
              </w:tabs>
              <w:spacing w:before="60"/>
              <w:jc w:val="center"/>
            </w:pPr>
            <w:r>
              <w:t>Source of Supply</w:t>
            </w:r>
          </w:p>
        </w:tc>
        <w:tc>
          <w:tcPr>
            <w:tcW w:w="1128" w:type="dxa"/>
            <w:tcBorders>
              <w:top w:val="nil"/>
              <w:left w:val="nil"/>
              <w:bottom w:val="nil"/>
              <w:right w:val="single" w:sz="6" w:space="0" w:color="auto"/>
            </w:tcBorders>
          </w:tcPr>
          <w:p w:rsidR="003F3938" w:rsidP="008972D3" w14:paraId="62F0E807" w14:textId="77777777">
            <w:pPr>
              <w:pStyle w:val="DFARS"/>
              <w:keepNext/>
              <w:keepLines/>
              <w:tabs>
                <w:tab w:val="left" w:pos="3960"/>
                <w:tab w:val="left" w:pos="5220"/>
              </w:tabs>
              <w:spacing w:before="60"/>
              <w:jc w:val="center"/>
            </w:pPr>
            <w:r>
              <w:t>Actual</w:t>
            </w:r>
          </w:p>
        </w:tc>
      </w:tr>
      <w:tr w14:paraId="39AC1F7D" w14:textId="77777777" w:rsidTr="003F3938">
        <w:tblPrEx>
          <w:tblW w:w="8644" w:type="dxa"/>
          <w:tblInd w:w="828" w:type="dxa"/>
          <w:tblLayout w:type="fixed"/>
          <w:tblLook w:val="0000"/>
        </w:tblPrEx>
        <w:tc>
          <w:tcPr>
            <w:tcW w:w="990" w:type="dxa"/>
            <w:tcBorders>
              <w:top w:val="nil"/>
              <w:left w:val="single" w:sz="6" w:space="0" w:color="auto"/>
              <w:bottom w:val="nil"/>
              <w:right w:val="nil"/>
            </w:tcBorders>
          </w:tcPr>
          <w:p w:rsidR="003F3938" w:rsidRPr="00A91024" w:rsidP="008972D3" w14:paraId="23A5C129" w14:textId="30232A63">
            <w:pPr>
              <w:keepNext/>
              <w:keepLines/>
              <w:jc w:val="center"/>
              <w:rPr>
                <w:rFonts w:ascii="Century Schoolbook" w:hAnsi="Century Schoolbook"/>
              </w:rPr>
            </w:pPr>
            <w:r w:rsidRPr="00A91024">
              <w:rPr>
                <w:rFonts w:ascii="Century Schoolbook" w:hAnsi="Century Schoolbook"/>
              </w:rPr>
              <w:t>Line</w:t>
            </w:r>
            <w:r w:rsidRPr="00A91024" w:rsidR="00724522">
              <w:rPr>
                <w:rFonts w:ascii="Century Schoolbook" w:hAnsi="Century Schoolbook"/>
              </w:rPr>
              <w:t xml:space="preserve"> Items</w:t>
            </w:r>
          </w:p>
        </w:tc>
        <w:tc>
          <w:tcPr>
            <w:tcW w:w="1260" w:type="dxa"/>
            <w:tcBorders>
              <w:top w:val="nil"/>
              <w:left w:val="nil"/>
              <w:bottom w:val="nil"/>
              <w:right w:val="nil"/>
            </w:tcBorders>
          </w:tcPr>
          <w:p w:rsidR="003F3938" w:rsidRPr="00A91024" w:rsidP="008972D3" w14:paraId="28F00D20" w14:textId="03230863">
            <w:pPr>
              <w:keepNext/>
              <w:keepLines/>
              <w:ind w:left="-18"/>
              <w:jc w:val="center"/>
              <w:rPr>
                <w:rFonts w:ascii="Century Schoolbook" w:hAnsi="Century Schoolbook"/>
              </w:rPr>
            </w:pPr>
            <w:r w:rsidRPr="00A91024">
              <w:rPr>
                <w:rFonts w:ascii="Century Schoolbook" w:hAnsi="Century Schoolbook"/>
              </w:rPr>
              <w:t>Stock</w:t>
            </w:r>
            <w:r w:rsidRPr="00A91024" w:rsidR="00724522">
              <w:rPr>
                <w:rFonts w:ascii="Century Schoolbook" w:hAnsi="Century Schoolbook"/>
              </w:rPr>
              <w:t xml:space="preserve"> Number</w:t>
            </w:r>
          </w:p>
        </w:tc>
        <w:tc>
          <w:tcPr>
            <w:tcW w:w="1524" w:type="dxa"/>
            <w:tcBorders>
              <w:top w:val="nil"/>
              <w:left w:val="nil"/>
              <w:bottom w:val="nil"/>
              <w:right w:val="nil"/>
            </w:tcBorders>
          </w:tcPr>
          <w:p w:rsidR="003F3938" w:rsidRPr="00A91024" w:rsidP="008972D3" w14:paraId="1C344631" w14:textId="7B783B4B">
            <w:pPr>
              <w:keepNext/>
              <w:keepLines/>
              <w:ind w:right="-82"/>
              <w:jc w:val="center"/>
              <w:rPr>
                <w:rFonts w:ascii="Century Schoolbook" w:hAnsi="Century Schoolbook"/>
              </w:rPr>
            </w:pPr>
            <w:r w:rsidRPr="00A91024">
              <w:rPr>
                <w:rFonts w:ascii="Century Schoolbook" w:hAnsi="Century Schoolbook"/>
              </w:rPr>
              <w:t>Product</w:t>
            </w:r>
            <w:r w:rsidRPr="00A91024" w:rsidR="00724522">
              <w:rPr>
                <w:rFonts w:ascii="Century Schoolbook" w:hAnsi="Century Schoolbook"/>
              </w:rPr>
              <w:t xml:space="preserve"> or Commercial Service</w:t>
            </w:r>
          </w:p>
        </w:tc>
        <w:tc>
          <w:tcPr>
            <w:tcW w:w="1327" w:type="dxa"/>
            <w:tcBorders>
              <w:top w:val="nil"/>
              <w:left w:val="nil"/>
              <w:bottom w:val="nil"/>
              <w:right w:val="nil"/>
            </w:tcBorders>
          </w:tcPr>
          <w:p w:rsidR="003F3938" w:rsidP="008972D3" w14:paraId="1C7576CE" w14:textId="77777777">
            <w:pPr>
              <w:pStyle w:val="DFARS"/>
              <w:keepNext/>
              <w:keepLines/>
              <w:tabs>
                <w:tab w:val="left" w:pos="3960"/>
                <w:tab w:val="left" w:pos="5220"/>
              </w:tabs>
              <w:spacing w:before="40"/>
            </w:pPr>
            <w:r>
              <w:t>Company</w:t>
            </w:r>
          </w:p>
        </w:tc>
        <w:tc>
          <w:tcPr>
            <w:tcW w:w="1205" w:type="dxa"/>
            <w:tcBorders>
              <w:top w:val="nil"/>
              <w:left w:val="nil"/>
              <w:bottom w:val="nil"/>
              <w:right w:val="nil"/>
            </w:tcBorders>
          </w:tcPr>
          <w:p w:rsidR="003F3938" w:rsidP="008972D3" w14:paraId="615B8EBB" w14:textId="77777777">
            <w:pPr>
              <w:pStyle w:val="DFARS"/>
              <w:keepNext/>
              <w:keepLines/>
              <w:tabs>
                <w:tab w:val="left" w:pos="3960"/>
                <w:tab w:val="left" w:pos="5220"/>
              </w:tabs>
              <w:spacing w:before="40"/>
              <w:jc w:val="center"/>
            </w:pPr>
            <w:r>
              <w:t>Address</w:t>
            </w:r>
          </w:p>
        </w:tc>
        <w:tc>
          <w:tcPr>
            <w:tcW w:w="1210" w:type="dxa"/>
            <w:tcBorders>
              <w:top w:val="nil"/>
              <w:left w:val="nil"/>
              <w:bottom w:val="nil"/>
              <w:right w:val="nil"/>
            </w:tcBorders>
          </w:tcPr>
          <w:p w:rsidR="003F3938" w:rsidP="008972D3" w14:paraId="107F8A3B" w14:textId="77777777">
            <w:pPr>
              <w:pStyle w:val="DFARS"/>
              <w:keepNext/>
              <w:keepLines/>
              <w:tabs>
                <w:tab w:val="left" w:pos="3960"/>
                <w:tab w:val="left" w:pos="5220"/>
              </w:tabs>
              <w:spacing w:before="40"/>
            </w:pPr>
            <w:r>
              <w:t>Part No.</w:t>
            </w:r>
          </w:p>
        </w:tc>
        <w:tc>
          <w:tcPr>
            <w:tcW w:w="1128" w:type="dxa"/>
            <w:tcBorders>
              <w:top w:val="nil"/>
              <w:left w:val="nil"/>
              <w:bottom w:val="nil"/>
              <w:right w:val="single" w:sz="6" w:space="0" w:color="auto"/>
            </w:tcBorders>
          </w:tcPr>
          <w:p w:rsidR="003F3938" w:rsidP="008972D3" w14:paraId="07E6BB4D" w14:textId="77777777">
            <w:pPr>
              <w:keepNext/>
              <w:keepLines/>
              <w:jc w:val="center"/>
            </w:pPr>
            <w:r>
              <w:t>Mfg</w:t>
            </w:r>
            <w:r>
              <w:t>?</w:t>
            </w:r>
          </w:p>
        </w:tc>
      </w:tr>
      <w:tr w14:paraId="630775B9" w14:textId="77777777" w:rsidTr="003F3938">
        <w:tblPrEx>
          <w:tblW w:w="8644" w:type="dxa"/>
          <w:tblInd w:w="828" w:type="dxa"/>
          <w:tblLayout w:type="fixed"/>
          <w:tblLook w:val="0000"/>
        </w:tblPrEx>
        <w:tc>
          <w:tcPr>
            <w:tcW w:w="990" w:type="dxa"/>
            <w:tcBorders>
              <w:top w:val="nil"/>
              <w:left w:val="single" w:sz="6" w:space="0" w:color="auto"/>
              <w:bottom w:val="nil"/>
              <w:right w:val="nil"/>
            </w:tcBorders>
          </w:tcPr>
          <w:p w:rsidR="003F3938" w:rsidRPr="00724522" w:rsidP="008972D3" w14:paraId="1B40BFD3" w14:textId="501DF5A0">
            <w:pPr>
              <w:pStyle w:val="DFARS"/>
              <w:keepNext/>
              <w:keepLines/>
              <w:tabs>
                <w:tab w:val="left" w:pos="3960"/>
                <w:tab w:val="left" w:pos="5220"/>
              </w:tabs>
              <w:spacing w:before="20" w:after="40"/>
              <w:jc w:val="center"/>
            </w:pPr>
          </w:p>
        </w:tc>
        <w:tc>
          <w:tcPr>
            <w:tcW w:w="1260" w:type="dxa"/>
            <w:tcBorders>
              <w:top w:val="nil"/>
              <w:left w:val="nil"/>
              <w:bottom w:val="nil"/>
              <w:right w:val="nil"/>
            </w:tcBorders>
          </w:tcPr>
          <w:p w:rsidR="003F3938" w:rsidRPr="00724522" w:rsidP="008972D3" w14:paraId="1E0BCB16" w14:textId="72056EAA">
            <w:pPr>
              <w:pStyle w:val="DFARS"/>
              <w:keepNext/>
              <w:keepLines/>
              <w:tabs>
                <w:tab w:val="left" w:pos="3960"/>
                <w:tab w:val="left" w:pos="5220"/>
              </w:tabs>
              <w:spacing w:before="20" w:after="40"/>
              <w:jc w:val="center"/>
            </w:pPr>
          </w:p>
        </w:tc>
        <w:tc>
          <w:tcPr>
            <w:tcW w:w="1524" w:type="dxa"/>
            <w:tcBorders>
              <w:top w:val="nil"/>
              <w:left w:val="nil"/>
              <w:bottom w:val="nil"/>
              <w:right w:val="nil"/>
            </w:tcBorders>
          </w:tcPr>
          <w:p w:rsidR="003F3938" w:rsidRPr="00724522" w:rsidP="008972D3" w14:paraId="457ABEC5" w14:textId="77777777">
            <w:pPr>
              <w:pStyle w:val="DFARS"/>
              <w:keepNext/>
              <w:keepLines/>
              <w:tabs>
                <w:tab w:val="left" w:pos="3960"/>
                <w:tab w:val="left" w:pos="5220"/>
              </w:tabs>
              <w:spacing w:before="20" w:after="40"/>
              <w:jc w:val="center"/>
            </w:pPr>
            <w:r w:rsidRPr="00724522">
              <w:t>(Y or N)</w:t>
            </w:r>
          </w:p>
        </w:tc>
        <w:tc>
          <w:tcPr>
            <w:tcW w:w="1327" w:type="dxa"/>
            <w:tcBorders>
              <w:top w:val="nil"/>
              <w:left w:val="nil"/>
              <w:bottom w:val="nil"/>
              <w:right w:val="nil"/>
            </w:tcBorders>
          </w:tcPr>
          <w:p w:rsidR="003F3938" w:rsidP="008972D3" w14:paraId="10F552C0" w14:textId="77777777">
            <w:pPr>
              <w:pStyle w:val="DFARS"/>
              <w:keepNext/>
              <w:keepLines/>
              <w:tabs>
                <w:tab w:val="left" w:pos="3960"/>
                <w:tab w:val="left" w:pos="5220"/>
              </w:tabs>
              <w:spacing w:before="20" w:after="40"/>
              <w:rPr>
                <w:u w:val="single"/>
              </w:rPr>
            </w:pPr>
          </w:p>
        </w:tc>
        <w:tc>
          <w:tcPr>
            <w:tcW w:w="1205" w:type="dxa"/>
            <w:tcBorders>
              <w:top w:val="nil"/>
              <w:left w:val="nil"/>
              <w:bottom w:val="nil"/>
              <w:right w:val="nil"/>
            </w:tcBorders>
          </w:tcPr>
          <w:p w:rsidR="003F3938" w:rsidP="008972D3" w14:paraId="2E7458A8" w14:textId="77777777">
            <w:pPr>
              <w:pStyle w:val="DFARS"/>
              <w:keepNext/>
              <w:keepLines/>
              <w:tabs>
                <w:tab w:val="left" w:pos="3960"/>
                <w:tab w:val="left" w:pos="5220"/>
              </w:tabs>
              <w:spacing w:before="20" w:after="40"/>
              <w:jc w:val="center"/>
              <w:rPr>
                <w:u w:val="single"/>
              </w:rPr>
            </w:pPr>
          </w:p>
        </w:tc>
        <w:tc>
          <w:tcPr>
            <w:tcW w:w="1210" w:type="dxa"/>
            <w:tcBorders>
              <w:top w:val="nil"/>
              <w:left w:val="nil"/>
              <w:bottom w:val="nil"/>
              <w:right w:val="nil"/>
            </w:tcBorders>
          </w:tcPr>
          <w:p w:rsidR="003F3938" w:rsidP="008972D3" w14:paraId="4079F4C1" w14:textId="77777777">
            <w:pPr>
              <w:pStyle w:val="DFARS"/>
              <w:keepNext/>
              <w:keepLines/>
              <w:tabs>
                <w:tab w:val="left" w:pos="3960"/>
                <w:tab w:val="left" w:pos="5220"/>
              </w:tabs>
              <w:spacing w:before="20" w:after="40"/>
              <w:rPr>
                <w:u w:val="single"/>
              </w:rPr>
            </w:pPr>
          </w:p>
        </w:tc>
        <w:tc>
          <w:tcPr>
            <w:tcW w:w="1128" w:type="dxa"/>
            <w:tcBorders>
              <w:top w:val="nil"/>
              <w:left w:val="nil"/>
              <w:bottom w:val="nil"/>
              <w:right w:val="single" w:sz="6" w:space="0" w:color="auto"/>
            </w:tcBorders>
          </w:tcPr>
          <w:p w:rsidR="003F3938" w:rsidP="008972D3" w14:paraId="21AF7425" w14:textId="77777777">
            <w:pPr>
              <w:pStyle w:val="DFARS"/>
              <w:keepNext/>
              <w:keepLines/>
              <w:tabs>
                <w:tab w:val="left" w:pos="3960"/>
                <w:tab w:val="left" w:pos="5220"/>
              </w:tabs>
              <w:spacing w:before="20" w:after="40"/>
              <w:rPr>
                <w:u w:val="single"/>
              </w:rPr>
            </w:pPr>
          </w:p>
        </w:tc>
      </w:tr>
      <w:tr w14:paraId="2CEE9179" w14:textId="77777777" w:rsidTr="003F3938">
        <w:tblPrEx>
          <w:tblW w:w="8644" w:type="dxa"/>
          <w:tblInd w:w="828" w:type="dxa"/>
          <w:tblLayout w:type="fixed"/>
          <w:tblLook w:val="0000"/>
        </w:tblPrEx>
        <w:tc>
          <w:tcPr>
            <w:tcW w:w="990" w:type="dxa"/>
            <w:tcBorders>
              <w:top w:val="nil"/>
              <w:left w:val="single" w:sz="6" w:space="0" w:color="auto"/>
              <w:bottom w:val="nil"/>
              <w:right w:val="nil"/>
            </w:tcBorders>
          </w:tcPr>
          <w:p w:rsidR="003F3938" w:rsidP="008972D3" w14:paraId="303C2295" w14:textId="77777777">
            <w:pPr>
              <w:pStyle w:val="DFARS"/>
              <w:keepNext/>
              <w:keepLines/>
              <w:tabs>
                <w:tab w:val="left" w:pos="3960"/>
                <w:tab w:val="left" w:pos="5220"/>
              </w:tabs>
              <w:jc w:val="center"/>
              <w:rPr>
                <w:u w:val="single"/>
              </w:rPr>
            </w:pPr>
            <w:r>
              <w:t>(1)</w:t>
            </w:r>
          </w:p>
        </w:tc>
        <w:tc>
          <w:tcPr>
            <w:tcW w:w="1260" w:type="dxa"/>
            <w:tcBorders>
              <w:top w:val="nil"/>
              <w:left w:val="nil"/>
              <w:bottom w:val="nil"/>
              <w:right w:val="nil"/>
            </w:tcBorders>
          </w:tcPr>
          <w:p w:rsidR="003F3938" w:rsidP="008972D3" w14:paraId="0E0788F2" w14:textId="77777777">
            <w:pPr>
              <w:pStyle w:val="DFARS"/>
              <w:keepNext/>
              <w:keepLines/>
              <w:tabs>
                <w:tab w:val="left" w:pos="3960"/>
                <w:tab w:val="left" w:pos="5220"/>
              </w:tabs>
              <w:jc w:val="center"/>
              <w:rPr>
                <w:u w:val="single"/>
              </w:rPr>
            </w:pPr>
            <w:r>
              <w:t>(2)</w:t>
            </w:r>
          </w:p>
        </w:tc>
        <w:tc>
          <w:tcPr>
            <w:tcW w:w="1524" w:type="dxa"/>
            <w:tcBorders>
              <w:top w:val="nil"/>
              <w:left w:val="nil"/>
              <w:bottom w:val="nil"/>
              <w:right w:val="nil"/>
            </w:tcBorders>
          </w:tcPr>
          <w:p w:rsidR="003F3938" w:rsidP="008972D3" w14:paraId="521D6515" w14:textId="77777777">
            <w:pPr>
              <w:pStyle w:val="DFARS"/>
              <w:keepNext/>
              <w:keepLines/>
              <w:tabs>
                <w:tab w:val="left" w:pos="3960"/>
                <w:tab w:val="left" w:pos="5220"/>
              </w:tabs>
              <w:jc w:val="center"/>
              <w:rPr>
                <w:u w:val="single"/>
              </w:rPr>
            </w:pPr>
            <w:r>
              <w:t>(3)</w:t>
            </w:r>
          </w:p>
        </w:tc>
        <w:tc>
          <w:tcPr>
            <w:tcW w:w="1327" w:type="dxa"/>
            <w:tcBorders>
              <w:top w:val="nil"/>
              <w:left w:val="nil"/>
              <w:bottom w:val="nil"/>
              <w:right w:val="nil"/>
            </w:tcBorders>
          </w:tcPr>
          <w:p w:rsidR="003F3938" w:rsidP="008972D3" w14:paraId="4CBBC72C" w14:textId="77777777">
            <w:pPr>
              <w:pStyle w:val="DFARS"/>
              <w:keepNext/>
              <w:keepLines/>
              <w:tabs>
                <w:tab w:val="left" w:pos="3960"/>
                <w:tab w:val="left" w:pos="5220"/>
              </w:tabs>
              <w:jc w:val="center"/>
              <w:rPr>
                <w:u w:val="single"/>
              </w:rPr>
            </w:pPr>
            <w:r>
              <w:t>(4)</w:t>
            </w:r>
          </w:p>
        </w:tc>
        <w:tc>
          <w:tcPr>
            <w:tcW w:w="1205" w:type="dxa"/>
            <w:tcBorders>
              <w:top w:val="nil"/>
              <w:left w:val="nil"/>
              <w:bottom w:val="nil"/>
              <w:right w:val="nil"/>
            </w:tcBorders>
          </w:tcPr>
          <w:p w:rsidR="003F3938" w:rsidP="008972D3" w14:paraId="5AD4B614" w14:textId="77777777">
            <w:pPr>
              <w:pStyle w:val="DFARS"/>
              <w:keepNext/>
              <w:keepLines/>
              <w:tabs>
                <w:tab w:val="left" w:pos="3960"/>
                <w:tab w:val="left" w:pos="5220"/>
              </w:tabs>
              <w:jc w:val="center"/>
              <w:rPr>
                <w:u w:val="single"/>
              </w:rPr>
            </w:pPr>
            <w:r>
              <w:t>(4)</w:t>
            </w:r>
          </w:p>
        </w:tc>
        <w:tc>
          <w:tcPr>
            <w:tcW w:w="1210" w:type="dxa"/>
            <w:tcBorders>
              <w:top w:val="nil"/>
              <w:left w:val="nil"/>
              <w:bottom w:val="nil"/>
              <w:right w:val="nil"/>
            </w:tcBorders>
          </w:tcPr>
          <w:p w:rsidR="003F3938" w:rsidP="008972D3" w14:paraId="2D5A07F7" w14:textId="77777777">
            <w:pPr>
              <w:pStyle w:val="DFARS"/>
              <w:keepNext/>
              <w:keepLines/>
              <w:tabs>
                <w:tab w:val="left" w:pos="3960"/>
                <w:tab w:val="left" w:pos="5220"/>
              </w:tabs>
              <w:jc w:val="center"/>
              <w:rPr>
                <w:u w:val="single"/>
              </w:rPr>
            </w:pPr>
            <w:r>
              <w:t>(5)</w:t>
            </w:r>
          </w:p>
        </w:tc>
        <w:tc>
          <w:tcPr>
            <w:tcW w:w="1128" w:type="dxa"/>
            <w:tcBorders>
              <w:top w:val="nil"/>
              <w:left w:val="nil"/>
              <w:bottom w:val="nil"/>
              <w:right w:val="single" w:sz="6" w:space="0" w:color="auto"/>
            </w:tcBorders>
          </w:tcPr>
          <w:p w:rsidR="003F3938" w:rsidP="008972D3" w14:paraId="71F05B61" w14:textId="77777777">
            <w:pPr>
              <w:pStyle w:val="DFARS"/>
              <w:keepNext/>
              <w:keepLines/>
              <w:tabs>
                <w:tab w:val="left" w:pos="3960"/>
                <w:tab w:val="left" w:pos="5220"/>
              </w:tabs>
              <w:jc w:val="center"/>
              <w:rPr>
                <w:u w:val="single"/>
              </w:rPr>
            </w:pPr>
            <w:r>
              <w:t>(6)</w:t>
            </w:r>
          </w:p>
        </w:tc>
      </w:tr>
      <w:tr w14:paraId="6B60DA23" w14:textId="77777777" w:rsidTr="003F3938">
        <w:tblPrEx>
          <w:tblW w:w="8644" w:type="dxa"/>
          <w:tblInd w:w="828" w:type="dxa"/>
          <w:tblLayout w:type="fixed"/>
          <w:tblLook w:val="0000"/>
        </w:tblPrEx>
        <w:tc>
          <w:tcPr>
            <w:tcW w:w="990" w:type="dxa"/>
            <w:tcBorders>
              <w:top w:val="nil"/>
              <w:left w:val="single" w:sz="6" w:space="0" w:color="auto"/>
              <w:bottom w:val="nil"/>
              <w:right w:val="nil"/>
            </w:tcBorders>
          </w:tcPr>
          <w:p w:rsidR="003F3938" w:rsidP="008972D3" w14:paraId="574FA4E6" w14:textId="77777777">
            <w:pPr>
              <w:pStyle w:val="DFARS"/>
              <w:keepNext/>
              <w:keepLines/>
              <w:tabs>
                <w:tab w:val="left" w:pos="3960"/>
                <w:tab w:val="left" w:pos="5220"/>
              </w:tabs>
              <w:spacing w:after="40"/>
              <w:rPr>
                <w:u w:val="single"/>
              </w:rPr>
            </w:pPr>
            <w:r>
              <w:t>______</w:t>
            </w:r>
          </w:p>
        </w:tc>
        <w:tc>
          <w:tcPr>
            <w:tcW w:w="1260" w:type="dxa"/>
            <w:tcBorders>
              <w:top w:val="nil"/>
              <w:left w:val="nil"/>
              <w:bottom w:val="nil"/>
              <w:right w:val="nil"/>
            </w:tcBorders>
          </w:tcPr>
          <w:p w:rsidR="003F3938" w:rsidP="008972D3" w14:paraId="2575F282" w14:textId="77777777">
            <w:pPr>
              <w:pStyle w:val="DFARS"/>
              <w:keepNext/>
              <w:keepLines/>
              <w:tabs>
                <w:tab w:val="left" w:pos="3960"/>
                <w:tab w:val="left" w:pos="5220"/>
              </w:tabs>
              <w:spacing w:after="40"/>
              <w:jc w:val="center"/>
              <w:rPr>
                <w:u w:val="single"/>
              </w:rPr>
            </w:pPr>
            <w:r>
              <w:t>________</w:t>
            </w:r>
          </w:p>
        </w:tc>
        <w:tc>
          <w:tcPr>
            <w:tcW w:w="1524" w:type="dxa"/>
            <w:tcBorders>
              <w:top w:val="nil"/>
              <w:left w:val="nil"/>
              <w:bottom w:val="nil"/>
              <w:right w:val="nil"/>
            </w:tcBorders>
          </w:tcPr>
          <w:p w:rsidR="003F3938" w:rsidP="008972D3" w14:paraId="38E52EBB" w14:textId="77777777">
            <w:pPr>
              <w:pStyle w:val="DFARS"/>
              <w:keepNext/>
              <w:keepLines/>
              <w:tabs>
                <w:tab w:val="left" w:pos="3960"/>
                <w:tab w:val="left" w:pos="5220"/>
              </w:tabs>
              <w:spacing w:after="40"/>
              <w:jc w:val="center"/>
              <w:rPr>
                <w:u w:val="single"/>
              </w:rPr>
            </w:pPr>
            <w:r>
              <w:t>__________</w:t>
            </w:r>
          </w:p>
        </w:tc>
        <w:tc>
          <w:tcPr>
            <w:tcW w:w="1327" w:type="dxa"/>
            <w:tcBorders>
              <w:top w:val="nil"/>
              <w:left w:val="nil"/>
              <w:bottom w:val="nil"/>
              <w:right w:val="nil"/>
            </w:tcBorders>
          </w:tcPr>
          <w:p w:rsidR="003F3938" w:rsidP="008972D3" w14:paraId="4B3E9D0A" w14:textId="77777777">
            <w:pPr>
              <w:pStyle w:val="DFARS"/>
              <w:keepNext/>
              <w:keepLines/>
              <w:tabs>
                <w:tab w:val="left" w:pos="3960"/>
                <w:tab w:val="left" w:pos="5220"/>
              </w:tabs>
              <w:spacing w:after="40"/>
              <w:rPr>
                <w:u w:val="single"/>
              </w:rPr>
            </w:pPr>
            <w:r>
              <w:t>_________</w:t>
            </w:r>
          </w:p>
        </w:tc>
        <w:tc>
          <w:tcPr>
            <w:tcW w:w="1205" w:type="dxa"/>
            <w:tcBorders>
              <w:top w:val="nil"/>
              <w:left w:val="nil"/>
              <w:bottom w:val="nil"/>
              <w:right w:val="nil"/>
            </w:tcBorders>
          </w:tcPr>
          <w:p w:rsidR="003F3938" w:rsidP="008972D3" w14:paraId="3C1B720F" w14:textId="77777777">
            <w:pPr>
              <w:pStyle w:val="DFARS"/>
              <w:keepNext/>
              <w:keepLines/>
              <w:tabs>
                <w:tab w:val="left" w:pos="3960"/>
                <w:tab w:val="left" w:pos="5220"/>
              </w:tabs>
              <w:spacing w:after="40"/>
              <w:jc w:val="center"/>
              <w:rPr>
                <w:u w:val="single"/>
              </w:rPr>
            </w:pPr>
            <w:r>
              <w:t>_______</w:t>
            </w:r>
          </w:p>
        </w:tc>
        <w:tc>
          <w:tcPr>
            <w:tcW w:w="1210" w:type="dxa"/>
            <w:tcBorders>
              <w:top w:val="nil"/>
              <w:left w:val="nil"/>
              <w:bottom w:val="nil"/>
              <w:right w:val="nil"/>
            </w:tcBorders>
          </w:tcPr>
          <w:p w:rsidR="003F3938" w:rsidP="008972D3" w14:paraId="03F372BC" w14:textId="77777777">
            <w:pPr>
              <w:pStyle w:val="DFARS"/>
              <w:keepNext/>
              <w:keepLines/>
              <w:tabs>
                <w:tab w:val="left" w:pos="3960"/>
                <w:tab w:val="left" w:pos="5220"/>
              </w:tabs>
              <w:spacing w:after="40"/>
              <w:rPr>
                <w:u w:val="single"/>
              </w:rPr>
            </w:pPr>
            <w:r>
              <w:t>________</w:t>
            </w:r>
          </w:p>
        </w:tc>
        <w:tc>
          <w:tcPr>
            <w:tcW w:w="1128" w:type="dxa"/>
            <w:tcBorders>
              <w:top w:val="nil"/>
              <w:left w:val="nil"/>
              <w:bottom w:val="nil"/>
              <w:right w:val="single" w:sz="6" w:space="0" w:color="auto"/>
            </w:tcBorders>
          </w:tcPr>
          <w:p w:rsidR="003F3938" w:rsidP="008972D3" w14:paraId="2D853C23" w14:textId="77777777">
            <w:pPr>
              <w:pStyle w:val="DFARS"/>
              <w:keepNext/>
              <w:keepLines/>
              <w:tabs>
                <w:tab w:val="left" w:pos="3960"/>
                <w:tab w:val="left" w:pos="5220"/>
              </w:tabs>
              <w:spacing w:after="40"/>
              <w:rPr>
                <w:u w:val="single"/>
              </w:rPr>
            </w:pPr>
            <w:r>
              <w:t>_______</w:t>
            </w:r>
          </w:p>
        </w:tc>
      </w:tr>
      <w:tr w14:paraId="195B57A4" w14:textId="77777777" w:rsidTr="003F3938">
        <w:tblPrEx>
          <w:tblW w:w="8644" w:type="dxa"/>
          <w:tblInd w:w="828" w:type="dxa"/>
          <w:tblBorders>
            <w:top w:val="none" w:sz="0" w:space="0" w:color="auto"/>
            <w:left w:val="none" w:sz="0" w:space="0" w:color="auto"/>
            <w:bottom w:val="none" w:sz="0" w:space="0" w:color="auto"/>
            <w:right w:val="none" w:sz="0" w:space="0" w:color="auto"/>
          </w:tblBorders>
          <w:tblLayout w:type="fixed"/>
          <w:tblLook w:val="0000"/>
        </w:tblPrEx>
        <w:tc>
          <w:tcPr>
            <w:tcW w:w="8644" w:type="dxa"/>
            <w:gridSpan w:val="7"/>
            <w:tcBorders>
              <w:top w:val="nil"/>
              <w:left w:val="single" w:sz="6" w:space="0" w:color="auto"/>
              <w:bottom w:val="nil"/>
              <w:right w:val="single" w:sz="6" w:space="0" w:color="auto"/>
            </w:tcBorders>
          </w:tcPr>
          <w:p w:rsidR="003F3938" w:rsidP="008972D3" w14:paraId="7D9D5F3B" w14:textId="77777777">
            <w:pPr>
              <w:pStyle w:val="DFARS"/>
              <w:keepNext/>
              <w:keepLines/>
              <w:tabs>
                <w:tab w:val="left" w:pos="3960"/>
                <w:tab w:val="left" w:pos="5220"/>
              </w:tabs>
              <w:spacing w:before="120" w:after="60"/>
              <w:rPr>
                <w:u w:val="single"/>
              </w:rPr>
            </w:pPr>
            <w:r>
              <w:t>(1)  List each deliverable item of supply and item of technical data.</w:t>
            </w:r>
          </w:p>
        </w:tc>
      </w:tr>
      <w:tr w14:paraId="44186219" w14:textId="77777777" w:rsidTr="003F3938">
        <w:tblPrEx>
          <w:tblW w:w="8644" w:type="dxa"/>
          <w:tblInd w:w="828" w:type="dxa"/>
          <w:tblBorders>
            <w:top w:val="none" w:sz="0" w:space="0" w:color="auto"/>
            <w:left w:val="none" w:sz="0" w:space="0" w:color="auto"/>
            <w:bottom w:val="none" w:sz="0" w:space="0" w:color="auto"/>
            <w:right w:val="none" w:sz="0" w:space="0" w:color="auto"/>
          </w:tblBorders>
          <w:tblLayout w:type="fixed"/>
          <w:tblLook w:val="0000"/>
        </w:tblPrEx>
        <w:tc>
          <w:tcPr>
            <w:tcW w:w="8644" w:type="dxa"/>
            <w:gridSpan w:val="7"/>
            <w:tcBorders>
              <w:top w:val="nil"/>
              <w:left w:val="single" w:sz="6" w:space="0" w:color="auto"/>
              <w:bottom w:val="nil"/>
              <w:right w:val="single" w:sz="6" w:space="0" w:color="auto"/>
            </w:tcBorders>
          </w:tcPr>
          <w:p w:rsidR="003F3938" w:rsidP="008972D3" w14:paraId="603DF622" w14:textId="2D4298CD">
            <w:pPr>
              <w:pStyle w:val="DFARS"/>
              <w:keepNext/>
              <w:keepLines/>
              <w:tabs>
                <w:tab w:val="left" w:pos="3960"/>
                <w:tab w:val="left" w:pos="5220"/>
              </w:tabs>
              <w:spacing w:before="60" w:after="60"/>
              <w:rPr>
                <w:u w:val="single"/>
              </w:rPr>
            </w:pPr>
            <w:r>
              <w:t>(2)  If there is no national stock number, list “none”</w:t>
            </w:r>
            <w:r w:rsidR="00724522">
              <w:t>.</w:t>
            </w:r>
          </w:p>
        </w:tc>
      </w:tr>
      <w:tr w14:paraId="7D6B8C36" w14:textId="77777777" w:rsidTr="003F3938">
        <w:tblPrEx>
          <w:tblW w:w="8644" w:type="dxa"/>
          <w:tblInd w:w="828" w:type="dxa"/>
          <w:tblBorders>
            <w:top w:val="none" w:sz="0" w:space="0" w:color="auto"/>
            <w:left w:val="none" w:sz="0" w:space="0" w:color="auto"/>
            <w:bottom w:val="none" w:sz="0" w:space="0" w:color="auto"/>
            <w:right w:val="none" w:sz="0" w:space="0" w:color="auto"/>
          </w:tblBorders>
          <w:tblLayout w:type="fixed"/>
          <w:tblLook w:val="0000"/>
        </w:tblPrEx>
        <w:tc>
          <w:tcPr>
            <w:tcW w:w="8644" w:type="dxa"/>
            <w:gridSpan w:val="7"/>
            <w:tcBorders>
              <w:top w:val="nil"/>
              <w:left w:val="single" w:sz="6" w:space="0" w:color="auto"/>
              <w:bottom w:val="nil"/>
              <w:right w:val="single" w:sz="6" w:space="0" w:color="auto"/>
            </w:tcBorders>
          </w:tcPr>
          <w:p w:rsidR="003F3938" w:rsidP="008972D3" w14:paraId="76783A90" w14:textId="51436B37">
            <w:pPr>
              <w:pStyle w:val="DFARS"/>
              <w:keepNext/>
              <w:keepLines/>
              <w:tabs>
                <w:tab w:val="left" w:pos="3960"/>
                <w:tab w:val="left" w:pos="5220"/>
              </w:tabs>
              <w:spacing w:before="60" w:after="60"/>
              <w:rPr>
                <w:u w:val="single"/>
              </w:rPr>
            </w:pPr>
            <w:r>
              <w:t xml:space="preserve">(3)  Use “Y” if the item is a commercial </w:t>
            </w:r>
            <w:r w:rsidR="00724522">
              <w:t>product or commercial service</w:t>
            </w:r>
            <w:r>
              <w:t>; otherwise use “N.”  If “Y” is listed, the Offeror need not complete the remaining columns in the table.</w:t>
            </w:r>
          </w:p>
        </w:tc>
      </w:tr>
      <w:tr w14:paraId="673A8EF7" w14:textId="77777777" w:rsidTr="003F3938">
        <w:tblPrEx>
          <w:tblW w:w="8644" w:type="dxa"/>
          <w:tblInd w:w="828" w:type="dxa"/>
          <w:tblBorders>
            <w:top w:val="none" w:sz="0" w:space="0" w:color="auto"/>
            <w:left w:val="none" w:sz="0" w:space="0" w:color="auto"/>
            <w:bottom w:val="none" w:sz="0" w:space="0" w:color="auto"/>
            <w:right w:val="none" w:sz="0" w:space="0" w:color="auto"/>
          </w:tblBorders>
          <w:tblLayout w:type="fixed"/>
          <w:tblLook w:val="0000"/>
        </w:tblPrEx>
        <w:tc>
          <w:tcPr>
            <w:tcW w:w="8644" w:type="dxa"/>
            <w:gridSpan w:val="7"/>
            <w:tcBorders>
              <w:top w:val="nil"/>
              <w:left w:val="single" w:sz="6" w:space="0" w:color="auto"/>
              <w:bottom w:val="nil"/>
              <w:right w:val="single" w:sz="6" w:space="0" w:color="auto"/>
            </w:tcBorders>
          </w:tcPr>
          <w:p w:rsidR="003F3938" w:rsidP="008972D3" w14:paraId="21EEF505" w14:textId="77777777">
            <w:pPr>
              <w:pStyle w:val="DFARS"/>
              <w:keepNext/>
              <w:keepLines/>
              <w:tabs>
                <w:tab w:val="left" w:pos="3960"/>
                <w:tab w:val="left" w:pos="5220"/>
              </w:tabs>
              <w:spacing w:before="60" w:after="60"/>
              <w:rPr>
                <w:u w:val="single"/>
              </w:rPr>
            </w:pPr>
            <w:r>
              <w:t>(4)  For items of supply, list all sources.  For technical data, list the source.</w:t>
            </w:r>
          </w:p>
        </w:tc>
      </w:tr>
      <w:tr w14:paraId="1F757BD7" w14:textId="77777777" w:rsidTr="003F3938">
        <w:tblPrEx>
          <w:tblW w:w="8644" w:type="dxa"/>
          <w:tblInd w:w="828" w:type="dxa"/>
          <w:tblBorders>
            <w:top w:val="none" w:sz="0" w:space="0" w:color="auto"/>
            <w:left w:val="none" w:sz="0" w:space="0" w:color="auto"/>
            <w:bottom w:val="none" w:sz="0" w:space="0" w:color="auto"/>
            <w:right w:val="none" w:sz="0" w:space="0" w:color="auto"/>
          </w:tblBorders>
          <w:tblLayout w:type="fixed"/>
          <w:tblLook w:val="0000"/>
        </w:tblPrEx>
        <w:tc>
          <w:tcPr>
            <w:tcW w:w="8644" w:type="dxa"/>
            <w:gridSpan w:val="7"/>
            <w:tcBorders>
              <w:top w:val="nil"/>
              <w:left w:val="single" w:sz="6" w:space="0" w:color="auto"/>
              <w:bottom w:val="nil"/>
              <w:right w:val="single" w:sz="6" w:space="0" w:color="auto"/>
            </w:tcBorders>
          </w:tcPr>
          <w:p w:rsidR="003F3938" w:rsidP="008972D3" w14:paraId="4C8B84E1" w14:textId="77777777">
            <w:pPr>
              <w:pStyle w:val="DFARS"/>
              <w:keepNext/>
              <w:keepLines/>
              <w:tabs>
                <w:tab w:val="left" w:pos="3960"/>
                <w:tab w:val="left" w:pos="5220"/>
              </w:tabs>
              <w:spacing w:before="60" w:after="60"/>
              <w:rPr>
                <w:u w:val="single"/>
              </w:rPr>
            </w:pPr>
            <w:r>
              <w:t>(5)  For items of supply, list each source's part number for the item.</w:t>
            </w:r>
          </w:p>
        </w:tc>
      </w:tr>
      <w:tr w14:paraId="5A62EC4A" w14:textId="77777777" w:rsidTr="003F3938">
        <w:tblPrEx>
          <w:tblW w:w="8644" w:type="dxa"/>
          <w:tblInd w:w="828" w:type="dxa"/>
          <w:tblBorders>
            <w:top w:val="none" w:sz="0" w:space="0" w:color="auto"/>
            <w:left w:val="none" w:sz="0" w:space="0" w:color="auto"/>
            <w:bottom w:val="none" w:sz="0" w:space="0" w:color="auto"/>
            <w:right w:val="none" w:sz="0" w:space="0" w:color="auto"/>
          </w:tblBorders>
          <w:tblLayout w:type="fixed"/>
          <w:tblLook w:val="0000"/>
        </w:tblPrEx>
        <w:tc>
          <w:tcPr>
            <w:tcW w:w="8644" w:type="dxa"/>
            <w:gridSpan w:val="7"/>
            <w:tcBorders>
              <w:top w:val="nil"/>
              <w:left w:val="single" w:sz="6" w:space="0" w:color="auto"/>
              <w:bottom w:val="single" w:sz="6" w:space="0" w:color="auto"/>
              <w:right w:val="single" w:sz="6" w:space="0" w:color="auto"/>
            </w:tcBorders>
          </w:tcPr>
          <w:p w:rsidR="003F3938" w:rsidP="008972D3" w14:paraId="791CA13F" w14:textId="77777777">
            <w:pPr>
              <w:pStyle w:val="DFARS"/>
              <w:keepNext/>
              <w:keepLines/>
              <w:tabs>
                <w:tab w:val="left" w:pos="3960"/>
                <w:tab w:val="left" w:pos="5220"/>
              </w:tabs>
              <w:spacing w:before="60" w:after="60"/>
              <w:rPr>
                <w:u w:val="single"/>
              </w:rPr>
            </w:pPr>
            <w:r>
              <w:t xml:space="preserve">(6)  Use “Y” if the source of supply is the actual manufacturer; “N” if it is not; and “U” if unknown.  </w:t>
            </w:r>
          </w:p>
        </w:tc>
      </w:tr>
    </w:tbl>
    <w:p w:rsidR="00356480" w:rsidP="008972D3" w14:paraId="1BECB710" w14:textId="77777777">
      <w:pPr>
        <w:pStyle w:val="DFARS"/>
        <w:keepNext/>
        <w:keepLines/>
      </w:pPr>
    </w:p>
    <w:p w:rsidR="00356480" w:rsidP="008972D3" w14:paraId="63379868" w14:textId="77777777">
      <w:pPr>
        <w:pStyle w:val="DFARS"/>
        <w:keepNext/>
        <w:keepLines/>
        <w:jc w:val="center"/>
      </w:pPr>
      <w:r>
        <w:t>(End of provision)</w:t>
      </w:r>
    </w:p>
    <w:p w:rsidR="00356480" w:rsidP="008972D3" w14:paraId="66DEC571" w14:textId="77777777">
      <w:pPr>
        <w:pStyle w:val="DFARS"/>
      </w:pPr>
    </w:p>
    <w:p w:rsidR="00356480" w:rsidP="008972D3" w14:paraId="1425A18F" w14:textId="77777777">
      <w:pPr>
        <w:pStyle w:val="DFARS"/>
        <w:keepNext/>
        <w:keepLines/>
        <w:rPr>
          <w:b/>
        </w:rPr>
      </w:pPr>
      <w:r>
        <w:rPr>
          <w:b/>
        </w:rPr>
        <w:t>252.217-7028  Over and Above Work.</w:t>
      </w:r>
    </w:p>
    <w:p w:rsidR="00356480" w:rsidP="008972D3" w14:paraId="02B39523" w14:textId="77777777">
      <w:pPr>
        <w:pStyle w:val="DFARS"/>
        <w:keepNext/>
        <w:keepLines/>
      </w:pPr>
      <w:r>
        <w:t xml:space="preserve">As prescribed in </w:t>
      </w:r>
      <w:hyperlink r:id="rId6" w:anchor="217.7702" w:history="1">
        <w:r w:rsidRPr="00D1500C">
          <w:rPr>
            <w:rStyle w:val="Hyperlink"/>
          </w:rPr>
          <w:t>217.7702</w:t>
        </w:r>
      </w:hyperlink>
      <w:r>
        <w:t>, use a clause substantially as follows:</w:t>
      </w:r>
    </w:p>
    <w:p w:rsidR="00356480" w:rsidP="008972D3" w14:paraId="3E6D1D4E" w14:textId="77777777">
      <w:pPr>
        <w:pStyle w:val="DFARS"/>
      </w:pPr>
    </w:p>
    <w:p w:rsidR="00356480" w:rsidP="008972D3" w14:paraId="7B0A1F03" w14:textId="77777777">
      <w:pPr>
        <w:pStyle w:val="DFARS"/>
        <w:jc w:val="center"/>
      </w:pPr>
      <w:r>
        <w:t>OVER AND ABOVE WORK (DEC 1991)</w:t>
      </w:r>
    </w:p>
    <w:p w:rsidR="00356480" w:rsidP="008972D3" w14:paraId="4E54B997" w14:textId="77777777">
      <w:pPr>
        <w:pStyle w:val="DFARS"/>
      </w:pPr>
    </w:p>
    <w:p w:rsidR="00356480" w:rsidP="008972D3" w14:paraId="2360A74E" w14:textId="77777777">
      <w:pPr>
        <w:pStyle w:val="DFARS"/>
      </w:pPr>
      <w:r>
        <w:tab/>
        <w:t xml:space="preserve">(a)  </w:t>
      </w:r>
      <w:r>
        <w:rPr>
          <w:i/>
        </w:rPr>
        <w:t>Definitions.</w:t>
      </w:r>
      <w:r>
        <w:t xml:space="preserve">  As used in this clause—</w:t>
      </w:r>
    </w:p>
    <w:p w:rsidR="00356480" w:rsidP="008972D3" w14:paraId="4DFF1FD2" w14:textId="77777777">
      <w:pPr>
        <w:pStyle w:val="DFARS"/>
      </w:pPr>
    </w:p>
    <w:p w:rsidR="00356480" w:rsidP="008972D3" w14:paraId="4F7495E0" w14:textId="77777777">
      <w:pPr>
        <w:pStyle w:val="DFARS"/>
      </w:pPr>
      <w:r>
        <w:tab/>
      </w:r>
      <w:r>
        <w:tab/>
        <w:t>(1)  “Over and above work” means work discovered during the course of performing overhaul, maintenance, and repair efforts that is—</w:t>
      </w:r>
    </w:p>
    <w:p w:rsidR="00356480" w:rsidP="008972D3" w14:paraId="46A6A35E" w14:textId="77777777">
      <w:pPr>
        <w:pStyle w:val="DFARS"/>
      </w:pPr>
    </w:p>
    <w:p w:rsidR="00356480" w:rsidP="008972D3" w14:paraId="01D623B2" w14:textId="77777777">
      <w:pPr>
        <w:pStyle w:val="DFARS"/>
        <w:keepNext/>
        <w:keepLines/>
      </w:pPr>
      <w:r>
        <w:tab/>
      </w:r>
      <w:r>
        <w:tab/>
      </w:r>
      <w:r>
        <w:tab/>
        <w:t>(</w:t>
      </w:r>
      <w:r>
        <w:t>i</w:t>
      </w:r>
      <w:r>
        <w:t>)  Within the general scope of the contract;</w:t>
      </w:r>
    </w:p>
    <w:p w:rsidR="00356480" w:rsidP="008972D3" w14:paraId="0F240F47" w14:textId="77777777">
      <w:pPr>
        <w:pStyle w:val="DFARS"/>
      </w:pPr>
    </w:p>
    <w:p w:rsidR="00356480" w:rsidP="008972D3" w14:paraId="756ABF54" w14:textId="77777777">
      <w:pPr>
        <w:pStyle w:val="DFARS"/>
      </w:pPr>
      <w:r>
        <w:tab/>
      </w:r>
      <w:r>
        <w:tab/>
      </w:r>
      <w:r>
        <w:tab/>
        <w:t>(ii)  Not covered by the line item(s) for the basic work under the contract; and</w:t>
      </w:r>
    </w:p>
    <w:p w:rsidR="00356480" w:rsidP="008972D3" w14:paraId="1B3AF4A0" w14:textId="77777777">
      <w:pPr>
        <w:pStyle w:val="DFARS"/>
      </w:pPr>
    </w:p>
    <w:p w:rsidR="00356480" w:rsidP="008972D3" w14:paraId="3FC76263" w14:textId="77777777">
      <w:pPr>
        <w:pStyle w:val="DFARS"/>
      </w:pPr>
      <w:r>
        <w:tab/>
      </w:r>
      <w:r>
        <w:tab/>
      </w:r>
      <w:r>
        <w:tab/>
        <w:t>(iii)  Necessary in order to satisfactorily complete the contract.</w:t>
      </w:r>
    </w:p>
    <w:p w:rsidR="00356480" w:rsidP="008972D3" w14:paraId="5F1635A6" w14:textId="77777777">
      <w:pPr>
        <w:pStyle w:val="DFARS"/>
      </w:pPr>
    </w:p>
    <w:p w:rsidR="00356480" w:rsidP="008972D3" w14:paraId="7214F84B" w14:textId="77777777">
      <w:pPr>
        <w:pStyle w:val="DFARS"/>
      </w:pPr>
      <w:r>
        <w:tab/>
      </w:r>
      <w:r>
        <w:tab/>
        <w:t>(2)  “Work request” means a document prepared by the Contractor which describes over and above work being proposed.</w:t>
      </w:r>
    </w:p>
    <w:p w:rsidR="00356480" w:rsidP="008972D3" w14:paraId="29865108" w14:textId="77777777">
      <w:pPr>
        <w:pStyle w:val="DFARS"/>
      </w:pPr>
    </w:p>
    <w:p w:rsidR="00356480" w:rsidP="008972D3" w14:paraId="20DF5615" w14:textId="77777777">
      <w:pPr>
        <w:pStyle w:val="DFARS"/>
      </w:pPr>
      <w:r>
        <w:tab/>
        <w:t>(b)  The Contractor and Administrative Contracting Officer shall mutually agree to procedures for Government administration and Contractor performance of over and above work requests.  If the parties cannot agree upon the procedures, the Administrative Contracting Officer has the unilateral right to direct the over and above work procedures to be followed.  These procedures shall, as a minimum, cover—</w:t>
      </w:r>
    </w:p>
    <w:p w:rsidR="00356480" w:rsidP="008972D3" w14:paraId="32F6239E" w14:textId="77777777">
      <w:pPr>
        <w:pStyle w:val="DFARS"/>
      </w:pPr>
    </w:p>
    <w:p w:rsidR="00356480" w:rsidP="008972D3" w14:paraId="27C142E3" w14:textId="77777777">
      <w:pPr>
        <w:pStyle w:val="DFARS"/>
      </w:pPr>
      <w:r>
        <w:tab/>
      </w:r>
      <w:r>
        <w:tab/>
        <w:t>(1)  The format, content, and submission of work requests by the Contractor.  Work requests shall contain data on the type of discrepancy disclosed, the specific location of the discrepancy, and the estimated labor hours and material required to correct the discrepancy.  Data shall be sufficient to satisfy contract requirements and obtain the authorization of the Contracting Officer to perform the proposed work;</w:t>
      </w:r>
    </w:p>
    <w:p w:rsidR="00356480" w:rsidP="008972D3" w14:paraId="3C2FB3D0" w14:textId="77777777">
      <w:pPr>
        <w:pStyle w:val="DFARS"/>
      </w:pPr>
    </w:p>
    <w:p w:rsidR="00356480" w:rsidP="008972D3" w14:paraId="0D1218FE" w14:textId="77777777">
      <w:pPr>
        <w:pStyle w:val="DFARS"/>
      </w:pPr>
      <w:r>
        <w:tab/>
      </w:r>
      <w:r>
        <w:tab/>
        <w:t>(2)  Government review, verification, and authorization of the work; and</w:t>
      </w:r>
    </w:p>
    <w:p w:rsidR="00356480" w:rsidP="008972D3" w14:paraId="0A55875E" w14:textId="77777777">
      <w:pPr>
        <w:pStyle w:val="DFARS"/>
      </w:pPr>
    </w:p>
    <w:p w:rsidR="00356480" w:rsidP="008972D3" w14:paraId="0E36D261" w14:textId="77777777">
      <w:pPr>
        <w:pStyle w:val="DFARS"/>
      </w:pPr>
      <w:r>
        <w:tab/>
      </w:r>
      <w:r>
        <w:tab/>
        <w:t xml:space="preserve">(3)  Proposal pricing, submission, negotiation, and </w:t>
      </w:r>
      <w:r>
        <w:t>definitization</w:t>
      </w:r>
      <w:r>
        <w:t>.</w:t>
      </w:r>
    </w:p>
    <w:p w:rsidR="00356480" w:rsidP="008972D3" w14:paraId="683193AD" w14:textId="77777777">
      <w:pPr>
        <w:pStyle w:val="DFARS"/>
      </w:pPr>
    </w:p>
    <w:p w:rsidR="00356480" w:rsidP="008972D3" w14:paraId="50FB35C7" w14:textId="77777777">
      <w:pPr>
        <w:pStyle w:val="DFARS"/>
      </w:pPr>
      <w:r>
        <w:tab/>
      </w:r>
      <w:r w:rsidRPr="00011591">
        <w:rPr>
          <w:highlight w:val="yellow"/>
        </w:rPr>
        <w:t>(c)  Upon discovery of the need for over and above work, the Contractor shall prepare and furnish to the Government a work request in accordance with the agreed-to procedures.</w:t>
      </w:r>
    </w:p>
    <w:p w:rsidR="00356480" w:rsidP="008972D3" w14:paraId="504AFCA4" w14:textId="77777777">
      <w:pPr>
        <w:pStyle w:val="DFARS"/>
      </w:pPr>
    </w:p>
    <w:p w:rsidR="00356480" w:rsidP="008972D3" w14:paraId="67CB0840" w14:textId="77777777">
      <w:pPr>
        <w:pStyle w:val="DFARS"/>
      </w:pPr>
      <w:r>
        <w:tab/>
        <w:t>(d)  The Government shall—</w:t>
      </w:r>
    </w:p>
    <w:p w:rsidR="00356480" w:rsidP="008972D3" w14:paraId="730875EF" w14:textId="77777777">
      <w:pPr>
        <w:pStyle w:val="DFARS"/>
      </w:pPr>
    </w:p>
    <w:p w:rsidR="00356480" w:rsidP="008972D3" w14:paraId="26A1473D" w14:textId="77777777">
      <w:pPr>
        <w:pStyle w:val="DFARS"/>
      </w:pPr>
      <w:r>
        <w:tab/>
      </w:r>
      <w:r>
        <w:tab/>
        <w:t>(1)  Promptly review the work request;</w:t>
      </w:r>
    </w:p>
    <w:p w:rsidR="00356480" w:rsidP="008972D3" w14:paraId="1436BAEA" w14:textId="77777777">
      <w:pPr>
        <w:pStyle w:val="DFARS"/>
      </w:pPr>
    </w:p>
    <w:p w:rsidR="00356480" w:rsidP="008972D3" w14:paraId="12AD6EFD" w14:textId="77777777">
      <w:pPr>
        <w:pStyle w:val="DFARS"/>
      </w:pPr>
      <w:r>
        <w:tab/>
      </w:r>
      <w:r>
        <w:tab/>
        <w:t>(2)  Verify that the proposed work is required and not covered under the basic contract line item(s);</w:t>
      </w:r>
    </w:p>
    <w:p w:rsidR="00356480" w:rsidP="008972D3" w14:paraId="22879A6E" w14:textId="77777777">
      <w:pPr>
        <w:pStyle w:val="DFARS"/>
      </w:pPr>
    </w:p>
    <w:p w:rsidR="00356480" w:rsidP="008972D3" w14:paraId="473C427B" w14:textId="77777777">
      <w:pPr>
        <w:pStyle w:val="DFARS"/>
      </w:pPr>
      <w:r>
        <w:tab/>
      </w:r>
      <w:r>
        <w:tab/>
        <w:t>(3)  Verify that the proposed corrective action is appropriate; and</w:t>
      </w:r>
    </w:p>
    <w:p w:rsidR="00356480" w:rsidP="008972D3" w14:paraId="6DCF3E53" w14:textId="77777777">
      <w:pPr>
        <w:pStyle w:val="DFARS"/>
      </w:pPr>
    </w:p>
    <w:p w:rsidR="00356480" w:rsidP="008972D3" w14:paraId="4296E798" w14:textId="77777777">
      <w:pPr>
        <w:pStyle w:val="DFARS"/>
      </w:pPr>
      <w:r>
        <w:tab/>
      </w:r>
      <w:r>
        <w:tab/>
        <w:t>(4)  Authorize over and above work as necessary.</w:t>
      </w:r>
    </w:p>
    <w:p w:rsidR="00356480" w:rsidP="008972D3" w14:paraId="323F8C5C" w14:textId="77777777">
      <w:pPr>
        <w:pStyle w:val="DFARS"/>
      </w:pPr>
    </w:p>
    <w:p w:rsidR="00356480" w:rsidP="008972D3" w14:paraId="4AF86C9A" w14:textId="77777777">
      <w:pPr>
        <w:pStyle w:val="DFARS"/>
      </w:pPr>
      <w:r>
        <w:tab/>
      </w:r>
      <w:r w:rsidRPr="00011591">
        <w:rPr>
          <w:highlight w:val="yellow"/>
        </w:rPr>
        <w:t>(e)  The Contractor shall promptly submit to the Contracting Officer, a proposal for the over and above work.  The Government and Contractor will then negotiate a settlement for the over and above work.  Contract modifications will be executed to definitize all over and above work.</w:t>
      </w:r>
    </w:p>
    <w:p w:rsidR="00356480" w:rsidP="008972D3" w14:paraId="376B3F37" w14:textId="77777777">
      <w:pPr>
        <w:pStyle w:val="DFARS"/>
      </w:pPr>
    </w:p>
    <w:p w:rsidR="00356480" w:rsidP="008972D3" w14:paraId="2864F0B5" w14:textId="77777777">
      <w:pPr>
        <w:pStyle w:val="DFARS"/>
      </w:pPr>
      <w:r>
        <w:tab/>
        <w:t>(f)  Failure to agree on the price of over and above work shall be a dispute within the meaning of the Disputes</w:t>
      </w:r>
      <w:r w:rsidR="00F5215D">
        <w:t xml:space="preserve"> clause of this contract.</w:t>
      </w:r>
    </w:p>
    <w:p w:rsidR="00356480" w:rsidP="008972D3" w14:paraId="43730D6C" w14:textId="77777777">
      <w:pPr>
        <w:pStyle w:val="DFARS"/>
      </w:pPr>
    </w:p>
    <w:p w:rsidR="00356480" w:rsidP="008972D3" w14:paraId="2FD6AE85" w14:textId="77777777">
      <w:pPr>
        <w:pStyle w:val="DFARS"/>
        <w:jc w:val="center"/>
      </w:pPr>
      <w:r>
        <w:t>(End of clause)</w:t>
      </w:r>
    </w:p>
    <w:sectPr w:rsidSect="00BA20FB">
      <w:footerReference w:type="default" r:id="rId7"/>
      <w:pgSz w:w="12240" w:h="15840" w:code="1"/>
      <w:pgMar w:top="1440" w:right="1440" w:bottom="1440" w:left="1440" w:header="634" w:footer="6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E67" w:rsidRPr="00E21C90" w:rsidP="00E21C90" w14:paraId="52A99503" w14:textId="3D7D5EEF">
    <w:pPr>
      <w:pStyle w:val="Footer"/>
      <w:jc w:val="center"/>
      <w:rPr>
        <w:b w:val="0"/>
        <w:bCs/>
      </w:rPr>
    </w:pPr>
    <w:r w:rsidRPr="00E21C90">
      <w:rPr>
        <w:b w:val="0"/>
        <w:bCs/>
      </w:rPr>
      <w:t xml:space="preserve">Page </w:t>
    </w:r>
    <w:r w:rsidRPr="00E21C90">
      <w:rPr>
        <w:b w:val="0"/>
        <w:bCs/>
      </w:rPr>
      <w:fldChar w:fldCharType="begin"/>
    </w:r>
    <w:r w:rsidRPr="00E21C90">
      <w:rPr>
        <w:b w:val="0"/>
        <w:bCs/>
      </w:rPr>
      <w:instrText xml:space="preserve"> PAGE  \* Arabic  \* MERGEFORMAT </w:instrText>
    </w:r>
    <w:r w:rsidRPr="00E21C90">
      <w:rPr>
        <w:b w:val="0"/>
        <w:bCs/>
      </w:rPr>
      <w:fldChar w:fldCharType="separate"/>
    </w:r>
    <w:r w:rsidRPr="00E21C90">
      <w:rPr>
        <w:b w:val="0"/>
        <w:bCs/>
      </w:rPr>
      <w:t>1</w:t>
    </w:r>
    <w:r w:rsidRPr="00E21C90">
      <w:rPr>
        <w:b w:val="0"/>
        <w:bCs/>
      </w:rPr>
      <w:fldChar w:fldCharType="end"/>
    </w:r>
    <w:r w:rsidRPr="00E21C90">
      <w:rPr>
        <w:b w:val="0"/>
        <w:bCs/>
      </w:rPr>
      <w:t xml:space="preserve"> of </w:t>
    </w:r>
    <w:r w:rsidRPr="00E21C90">
      <w:rPr>
        <w:b w:val="0"/>
        <w:bCs/>
      </w:rPr>
      <w:fldChar w:fldCharType="begin"/>
    </w:r>
    <w:r w:rsidRPr="00E21C90">
      <w:rPr>
        <w:b w:val="0"/>
        <w:bCs/>
      </w:rPr>
      <w:instrText xml:space="preserve"> NUMPAGES  \* Arabic  \* MERGEFORMAT </w:instrText>
    </w:r>
    <w:r w:rsidRPr="00E21C90">
      <w:rPr>
        <w:b w:val="0"/>
        <w:bCs/>
      </w:rPr>
      <w:fldChar w:fldCharType="separate"/>
    </w:r>
    <w:r w:rsidRPr="00E21C90">
      <w:rPr>
        <w:b w:val="0"/>
        <w:bCs/>
      </w:rPr>
      <w:t>2</w:t>
    </w:r>
    <w:r w:rsidRPr="00E21C90">
      <w:rPr>
        <w:b w:val="0"/>
        <w:bC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3B5A3E"/>
    <w:multiLevelType w:val="hybridMultilevel"/>
    <w:tmpl w:val="D10C716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98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E8"/>
    <w:rsid w:val="00011591"/>
    <w:rsid w:val="00014955"/>
    <w:rsid w:val="001019F2"/>
    <w:rsid w:val="0016017E"/>
    <w:rsid w:val="00171D06"/>
    <w:rsid w:val="001B7A1D"/>
    <w:rsid w:val="001F1E67"/>
    <w:rsid w:val="002C0D5D"/>
    <w:rsid w:val="002D3C97"/>
    <w:rsid w:val="00345FAC"/>
    <w:rsid w:val="00350790"/>
    <w:rsid w:val="00356480"/>
    <w:rsid w:val="003F3938"/>
    <w:rsid w:val="004202AC"/>
    <w:rsid w:val="00461BC3"/>
    <w:rsid w:val="004C0CD3"/>
    <w:rsid w:val="00520427"/>
    <w:rsid w:val="00570038"/>
    <w:rsid w:val="005866EE"/>
    <w:rsid w:val="005B2D63"/>
    <w:rsid w:val="005B3273"/>
    <w:rsid w:val="005E6F47"/>
    <w:rsid w:val="0061529F"/>
    <w:rsid w:val="0070318D"/>
    <w:rsid w:val="00724522"/>
    <w:rsid w:val="00777D46"/>
    <w:rsid w:val="007B55AA"/>
    <w:rsid w:val="00801B30"/>
    <w:rsid w:val="0084216D"/>
    <w:rsid w:val="008972D3"/>
    <w:rsid w:val="008C01FE"/>
    <w:rsid w:val="008C2CAD"/>
    <w:rsid w:val="008D3453"/>
    <w:rsid w:val="00901443"/>
    <w:rsid w:val="00912C3C"/>
    <w:rsid w:val="009272CE"/>
    <w:rsid w:val="00931CA1"/>
    <w:rsid w:val="009402DC"/>
    <w:rsid w:val="009422B4"/>
    <w:rsid w:val="009475D6"/>
    <w:rsid w:val="00975618"/>
    <w:rsid w:val="009812F5"/>
    <w:rsid w:val="00A27F9C"/>
    <w:rsid w:val="00A70E28"/>
    <w:rsid w:val="00A83979"/>
    <w:rsid w:val="00A91024"/>
    <w:rsid w:val="00AB2193"/>
    <w:rsid w:val="00AD0C78"/>
    <w:rsid w:val="00AD3EE8"/>
    <w:rsid w:val="00B363B8"/>
    <w:rsid w:val="00B55F5D"/>
    <w:rsid w:val="00B638B0"/>
    <w:rsid w:val="00B821CB"/>
    <w:rsid w:val="00BA09D6"/>
    <w:rsid w:val="00BA20FB"/>
    <w:rsid w:val="00BB070E"/>
    <w:rsid w:val="00BB233B"/>
    <w:rsid w:val="00BF3F90"/>
    <w:rsid w:val="00C05868"/>
    <w:rsid w:val="00C50AEA"/>
    <w:rsid w:val="00C626C4"/>
    <w:rsid w:val="00D01858"/>
    <w:rsid w:val="00D1500C"/>
    <w:rsid w:val="00D24F56"/>
    <w:rsid w:val="00D71BF7"/>
    <w:rsid w:val="00D86ED2"/>
    <w:rsid w:val="00D8787D"/>
    <w:rsid w:val="00DA6868"/>
    <w:rsid w:val="00DB2D4A"/>
    <w:rsid w:val="00E21C90"/>
    <w:rsid w:val="00E851AB"/>
    <w:rsid w:val="00F5215D"/>
    <w:rsid w:val="00FB33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DA8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0"/>
        <w:tab w:val="center" w:pos="4320"/>
        <w:tab w:val="right" w:pos="8640"/>
      </w:tabs>
      <w:ind w:left="1000" w:hanging="1000"/>
    </w:pPr>
    <w:rPr>
      <w:b/>
      <w:noProof/>
    </w:rPr>
  </w:style>
  <w:style w:type="paragraph" w:styleId="Footer">
    <w:name w:val="footer"/>
    <w:basedOn w:val="Normal"/>
    <w:pPr>
      <w:tabs>
        <w:tab w:val="left" w:pos="1000"/>
        <w:tab w:val="center" w:pos="4320"/>
        <w:tab w:val="right" w:pos="8640"/>
      </w:tabs>
      <w:ind w:left="1000" w:hanging="1000"/>
    </w:pPr>
    <w:rPr>
      <w:b/>
      <w:noProof/>
    </w:rPr>
  </w:style>
  <w:style w:type="paragraph" w:customStyle="1" w:styleId="DFARS">
    <w:name w:val="DFARS"/>
    <w:basedOn w:val="Normal"/>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Hyperlink">
    <w:name w:val="Hyperlink"/>
    <w:rsid w:val="00D1500C"/>
    <w:rPr>
      <w:color w:val="0000FF"/>
      <w:u w:val="single"/>
    </w:rPr>
  </w:style>
  <w:style w:type="paragraph" w:styleId="BalloonText">
    <w:name w:val="Balloon Text"/>
    <w:basedOn w:val="Normal"/>
    <w:link w:val="BalloonTextChar"/>
    <w:rsid w:val="002D3C97"/>
    <w:rPr>
      <w:rFonts w:ascii="Tahoma" w:hAnsi="Tahoma" w:cs="Tahoma"/>
      <w:sz w:val="16"/>
      <w:szCs w:val="16"/>
    </w:rPr>
  </w:style>
  <w:style w:type="character" w:customStyle="1" w:styleId="BalloonTextChar">
    <w:name w:val="Balloon Text Char"/>
    <w:link w:val="BalloonText"/>
    <w:rsid w:val="002D3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q.osd.mil/dpap/dars/dfars/html/current/217_71.htm" TargetMode="External" /><Relationship Id="rId5" Type="http://schemas.openxmlformats.org/officeDocument/2006/relationships/hyperlink" Target="https://www.acq.osd.mil/dpap/dars/dfars/html/current/217_73.htm" TargetMode="External" /><Relationship Id="rId6" Type="http://schemas.openxmlformats.org/officeDocument/2006/relationships/hyperlink" Target="https://www.acq.osd.mil/dpap/dars/dfars/html/current/217_77.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252.217-7000  Exercise of Option to Fulfill Foreign Military Sales Commitments.</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252.217-7000  Exercise of Option to Fulfill Foreign Military Sales Commitments.</dc:title>
  <cp:revision>1</cp:revision>
  <dcterms:created xsi:type="dcterms:W3CDTF">2023-01-11T19:19:00Z</dcterms:created>
  <dcterms:modified xsi:type="dcterms:W3CDTF">2024-04-23T20:49:00Z</dcterms:modified>
</cp:coreProperties>
</file>