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6F9C" w:rsidP="00126F9C" w14:paraId="109F5517" w14:textId="5040E1E1">
      <w:pPr>
        <w:pStyle w:val="DFARS"/>
        <w:jc w:val="center"/>
        <w:rPr>
          <w:b/>
        </w:rPr>
      </w:pPr>
      <w:bookmarkStart w:id="0" w:name="BM231_2"/>
      <w:r>
        <w:rPr>
          <w:b/>
        </w:rPr>
        <w:t>Collection Instrument</w:t>
      </w:r>
    </w:p>
    <w:p w:rsidR="00126F9C" w:rsidP="00126F9C" w14:paraId="642650C0" w14:textId="4C068FC1">
      <w:pPr>
        <w:pStyle w:val="DFARS"/>
        <w:jc w:val="center"/>
        <w:rPr>
          <w:b/>
        </w:rPr>
      </w:pPr>
      <w:r>
        <w:rPr>
          <w:b/>
        </w:rPr>
        <w:t>OMB Control Number 0704-0483</w:t>
      </w:r>
    </w:p>
    <w:p w:rsidR="00126F9C" w:rsidP="00126F9C" w14:paraId="32C5AD6B" w14:textId="649AA53B">
      <w:pPr>
        <w:pStyle w:val="DFARS"/>
        <w:jc w:val="center"/>
        <w:rPr>
          <w:b/>
        </w:rPr>
      </w:pPr>
    </w:p>
    <w:p w:rsidR="00126F9C" w:rsidP="00126F9C" w14:paraId="7157148C" w14:textId="77777777">
      <w:pPr>
        <w:pStyle w:val="DFARS"/>
        <w:jc w:val="center"/>
        <w:rPr>
          <w:b/>
        </w:rPr>
      </w:pPr>
    </w:p>
    <w:p w:rsidR="00126F9C" w:rsidRPr="00EA5939" w:rsidP="00126F9C" w14:paraId="34D56A3F" w14:textId="4B9013DE">
      <w:pPr>
        <w:pStyle w:val="DFARS"/>
        <w:jc w:val="center"/>
        <w:rPr>
          <w:b/>
        </w:rPr>
      </w:pPr>
      <w:r w:rsidRPr="00EA5939">
        <w:rPr>
          <w:b/>
        </w:rPr>
        <w:t>SUBPART 231.2—CONTRACTS WITH COMMERCIAL ORGANIZATIONS</w:t>
      </w:r>
    </w:p>
    <w:p w:rsidR="00126F9C" w:rsidP="00126F9C" w14:paraId="7A59B33F" w14:textId="77777777">
      <w:pPr>
        <w:pStyle w:val="DFARS"/>
        <w:jc w:val="center"/>
        <w:rPr>
          <w:i/>
        </w:rPr>
      </w:pPr>
      <w:r>
        <w:rPr>
          <w:i/>
        </w:rPr>
        <w:t>(Revised October 30, 2023)</w:t>
      </w:r>
    </w:p>
    <w:p w:rsidR="00126F9C" w:rsidP="00126F9C" w14:paraId="5E3E7936" w14:textId="77777777">
      <w:pPr>
        <w:pStyle w:val="DFARS"/>
        <w:jc w:val="center"/>
      </w:pPr>
    </w:p>
    <w:p w:rsidR="00126F9C" w:rsidP="00126F9C" w14:paraId="1DBCFA3D" w14:textId="77777777">
      <w:pPr>
        <w:pStyle w:val="DFARS"/>
      </w:pPr>
    </w:p>
    <w:p w:rsidR="00126F9C" w:rsidP="00126F9C" w14:paraId="75D8C608" w14:textId="77777777">
      <w:pPr>
        <w:pStyle w:val="DFARS"/>
      </w:pPr>
      <w:r w:rsidRPr="00EA5939">
        <w:rPr>
          <w:b/>
        </w:rPr>
        <w:t>231.205  Selected costs</w:t>
      </w:r>
      <w:r>
        <w:t>.</w:t>
      </w:r>
    </w:p>
    <w:p w:rsidR="00126F9C" w:rsidP="00126F9C" w14:paraId="183212E0" w14:textId="77777777">
      <w:pPr>
        <w:pStyle w:val="DFARS"/>
      </w:pPr>
    </w:p>
    <w:p w:rsidR="00126F9C" w:rsidP="00126F9C" w14:paraId="540AD97D" w14:textId="77777777">
      <w:pPr>
        <w:pStyle w:val="DFARS"/>
      </w:pPr>
      <w:r>
        <w:t>* * * * *</w:t>
      </w:r>
    </w:p>
    <w:p w:rsidR="00126F9C" w:rsidP="00126F9C" w14:paraId="3F468081" w14:textId="77777777">
      <w:pPr>
        <w:pStyle w:val="DFARS"/>
      </w:pPr>
    </w:p>
    <w:p w:rsidR="00126F9C" w:rsidP="00126F9C" w14:paraId="0EBCA484" w14:textId="77777777">
      <w:pPr>
        <w:pStyle w:val="DFARS"/>
      </w:pPr>
      <w:r w:rsidRPr="00EA5939">
        <w:rPr>
          <w:b/>
        </w:rPr>
        <w:t>231.205-18  Independent research and development and bid and proposal costs</w:t>
      </w:r>
      <w:r>
        <w:t>.</w:t>
      </w:r>
    </w:p>
    <w:p w:rsidR="00126F9C" w:rsidP="00126F9C" w14:paraId="760012A6" w14:textId="77777777">
      <w:pPr>
        <w:pStyle w:val="DFARS"/>
      </w:pPr>
    </w:p>
    <w:p w:rsidR="00126F9C" w:rsidP="00126F9C" w14:paraId="7BD85B12" w14:textId="77777777">
      <w:pPr>
        <w:pStyle w:val="DFARS"/>
      </w:pPr>
      <w:r>
        <w:tab/>
        <w:t xml:space="preserve">(a)  </w:t>
      </w:r>
      <w:r>
        <w:rPr>
          <w:i/>
        </w:rPr>
        <w:t>Definitions</w:t>
      </w:r>
      <w:r>
        <w:t>.  As used in this section—</w:t>
      </w:r>
    </w:p>
    <w:p w:rsidR="00126F9C" w:rsidP="00126F9C" w14:paraId="362AA99E" w14:textId="77777777">
      <w:pPr>
        <w:pStyle w:val="DFARS"/>
      </w:pPr>
    </w:p>
    <w:p w:rsidR="00126F9C" w:rsidP="00126F9C" w14:paraId="1DB9D16A" w14:textId="77777777">
      <w:pPr>
        <w:pStyle w:val="DFARS"/>
      </w:pPr>
      <w:r>
        <w:tab/>
        <w:t>“Covered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rsidR="00126F9C" w:rsidP="00126F9C" w14:paraId="7CA3A021" w14:textId="77777777">
      <w:pPr>
        <w:pStyle w:val="DFARS"/>
      </w:pPr>
    </w:p>
    <w:p w:rsidR="00126F9C" w:rsidP="00126F9C" w14:paraId="2C42FCEA" w14:textId="77777777">
      <w:pPr>
        <w:pStyle w:val="DFARS"/>
      </w:pPr>
      <w:r>
        <w:tab/>
        <w:t>“Covered segment” means a product division of the contractor that allocated more than $1,100,000 in independent research and development (IR&amp;D) costs and bid and proposal (B&amp;P) costs to covered contracts during the preceding fiscal year.  In the case of a contractor that has no product divisions, the term means that contractor as a whole. A product division of the contractor that allocated less than $1,100,000 in IR&amp;D costs and B&amp;P costs to covered contracts during the preceding fiscal year is not subject to the limitations in paragraph (c) of this section.</w:t>
      </w:r>
    </w:p>
    <w:p w:rsidR="00126F9C" w:rsidP="00126F9C" w14:paraId="20ED5847" w14:textId="77777777">
      <w:pPr>
        <w:pStyle w:val="DFARS"/>
      </w:pPr>
    </w:p>
    <w:p w:rsidR="00126F9C" w:rsidP="00126F9C" w14:paraId="4C606945" w14:textId="77777777">
      <w:pPr>
        <w:pStyle w:val="DFARS"/>
      </w:pPr>
      <w:r>
        <w:tab/>
        <w:t>“Major contractor” means any contractor whose covered segments allocated a total of more than $11 million in IR&amp;D costs and B&amp;P costs to covered contracts during the preceding fiscal year.  For purposes of calculating the dollar threshold amounts to determine whether a contractor meets the definition of “major contractor,” do not include contractor segments allocating less than $1,100,000 of IR&amp;D and B&amp;P costs to covered contracts during the preceding fiscal year.</w:t>
      </w:r>
    </w:p>
    <w:p w:rsidR="00126F9C" w:rsidP="00126F9C" w14:paraId="29B34EDD" w14:textId="77777777">
      <w:pPr>
        <w:pStyle w:val="DFARS"/>
      </w:pPr>
    </w:p>
    <w:p w:rsidR="00126F9C" w:rsidP="00126F9C" w14:paraId="5EE5431C" w14:textId="77777777">
      <w:pPr>
        <w:pStyle w:val="DFARS"/>
      </w:pPr>
      <w:r>
        <w:tab/>
        <w:t xml:space="preserve">(c)  </w:t>
      </w:r>
      <w:r>
        <w:rPr>
          <w:i/>
        </w:rPr>
        <w:t>Allowability</w:t>
      </w:r>
      <w:r>
        <w:t>.</w:t>
      </w:r>
    </w:p>
    <w:p w:rsidR="00126F9C" w:rsidP="00126F9C" w14:paraId="1C4C664F" w14:textId="77777777">
      <w:pPr>
        <w:pStyle w:val="DFARS"/>
      </w:pPr>
    </w:p>
    <w:p w:rsidR="00126F9C" w:rsidP="00126F9C" w14:paraId="39FDB612" w14:textId="77777777">
      <w:pPr>
        <w:pStyle w:val="DFARS"/>
      </w:pPr>
      <w:r>
        <w:tab/>
      </w:r>
      <w:r>
        <w:tab/>
        <w:t>(</w:t>
      </w:r>
      <w:r>
        <w:t>i</w:t>
      </w:r>
      <w:r>
        <w:t>)  Departments/agencies shall not supplement this regulation in any way that limits IR&amp;D cost allowability and B&amp;P cost allowability.</w:t>
      </w:r>
    </w:p>
    <w:p w:rsidR="00126F9C" w:rsidP="00126F9C" w14:paraId="553EB46B" w14:textId="77777777">
      <w:pPr>
        <w:pStyle w:val="DFARS"/>
      </w:pPr>
    </w:p>
    <w:p w:rsidR="00126F9C" w:rsidP="00126F9C" w14:paraId="619C4B94" w14:textId="77777777">
      <w:pPr>
        <w:pStyle w:val="DFARS"/>
      </w:pPr>
      <w:r>
        <w:tab/>
      </w:r>
      <w:r>
        <w:tab/>
        <w:t xml:space="preserve">(ii)  See </w:t>
      </w:r>
      <w:hyperlink r:id="rId4" w:anchor="225.7303-2" w:history="1">
        <w:r w:rsidRPr="00EC4532">
          <w:rPr>
            <w:rStyle w:val="Hyperlink"/>
          </w:rPr>
          <w:t>225.7303-2</w:t>
        </w:r>
      </w:hyperlink>
      <w:r>
        <w:t>(c) for allowability provisions affecting foreign military sale contracts.</w:t>
      </w:r>
    </w:p>
    <w:p w:rsidR="00126F9C" w:rsidP="00126F9C" w14:paraId="440C5D62" w14:textId="77777777">
      <w:pPr>
        <w:pStyle w:val="DFARS"/>
      </w:pPr>
    </w:p>
    <w:p w:rsidR="00126F9C" w:rsidRPr="00C53879" w:rsidP="00126F9C" w14:paraId="296752AB" w14:textId="77777777">
      <w:pPr>
        <w:pStyle w:val="DFARS"/>
        <w:rPr>
          <w:bCs/>
          <w:szCs w:val="24"/>
        </w:rPr>
      </w:pPr>
      <w:r w:rsidRPr="00C53879">
        <w:rPr>
          <w:bCs/>
          <w:szCs w:val="24"/>
        </w:rPr>
        <w:tab/>
      </w:r>
      <w:r w:rsidRPr="00C53879">
        <w:rPr>
          <w:bCs/>
          <w:szCs w:val="24"/>
        </w:rPr>
        <w:tab/>
        <w:t>(iii)(A)  For IR&amp;D costs major contractors incurred on covered contracts to be allowable—</w:t>
      </w:r>
    </w:p>
    <w:p w:rsidR="00126F9C" w:rsidRPr="00C53879" w:rsidP="00126F9C" w14:paraId="7BDB2A55" w14:textId="77777777">
      <w:pPr>
        <w:pStyle w:val="DFARS"/>
        <w:tabs>
          <w:tab w:val="left" w:pos="806"/>
          <w:tab w:val="clear" w:pos="810"/>
        </w:tabs>
        <w:rPr>
          <w:bCs/>
          <w:szCs w:val="24"/>
        </w:rPr>
      </w:pPr>
    </w:p>
    <w:p w:rsidR="00126F9C" w:rsidRPr="00C53879" w:rsidP="00126F9C" w14:paraId="21F3F245" w14:textId="77777777">
      <w:pPr>
        <w:pStyle w:val="DFARS"/>
        <w:tabs>
          <w:tab w:val="left" w:pos="806"/>
          <w:tab w:val="clear" w:pos="810"/>
        </w:tabs>
        <w:rPr>
          <w:bCs/>
          <w:szCs w:val="24"/>
        </w:rPr>
      </w:pPr>
      <w:r w:rsidRPr="00C53879">
        <w:rPr>
          <w:bCs/>
          <w:szCs w:val="24"/>
        </w:rPr>
        <w:tab/>
      </w:r>
      <w:r w:rsidRPr="00C53879">
        <w:rPr>
          <w:bCs/>
          <w:szCs w:val="24"/>
        </w:rPr>
        <w:tab/>
      </w:r>
      <w:r w:rsidRPr="00C53879">
        <w:rPr>
          <w:bCs/>
          <w:szCs w:val="24"/>
        </w:rPr>
        <w:tab/>
      </w:r>
      <w:r w:rsidRPr="00C53879">
        <w:rPr>
          <w:bCs/>
          <w:szCs w:val="24"/>
        </w:rPr>
        <w:tab/>
      </w:r>
      <w:r w:rsidRPr="00E87760">
        <w:rPr>
          <w:bCs/>
          <w:iCs/>
          <w:szCs w:val="24"/>
        </w:rPr>
        <w:t>(</w:t>
      </w:r>
      <w:r w:rsidRPr="00C53879">
        <w:rPr>
          <w:bCs/>
          <w:i/>
          <w:szCs w:val="24"/>
        </w:rPr>
        <w:t>1</w:t>
      </w:r>
      <w:r w:rsidRPr="00E87760">
        <w:rPr>
          <w:bCs/>
          <w:iCs/>
          <w:szCs w:val="24"/>
        </w:rPr>
        <w:t>)</w:t>
      </w:r>
      <w:r w:rsidRPr="00C53879">
        <w:rPr>
          <w:bCs/>
          <w:szCs w:val="24"/>
        </w:rPr>
        <w:t xml:space="preserve">  The contractor is required to report IR&amp;D projects generating the IR&amp;D costs to the Defense Technical Information Center (DTIC) using the DTIC’s online input form and instructions at </w:t>
      </w:r>
      <w:hyperlink r:id="rId5" w:history="1">
        <w:r w:rsidRPr="00C53879">
          <w:rPr>
            <w:rStyle w:val="Hyperlink"/>
            <w:bCs/>
            <w:i/>
          </w:rPr>
          <w:t>https://defenseinnovationmarketplace.dtic.mil/industry-portal/</w:t>
        </w:r>
      </w:hyperlink>
      <w:r w:rsidRPr="00E87760">
        <w:t>; and</w:t>
      </w:r>
    </w:p>
    <w:p w:rsidR="00126F9C" w:rsidRPr="00C53879" w:rsidP="00126F9C" w14:paraId="26A2106B" w14:textId="77777777">
      <w:pPr>
        <w:pStyle w:val="DFARS"/>
        <w:tabs>
          <w:tab w:val="left" w:pos="806"/>
          <w:tab w:val="clear" w:pos="810"/>
        </w:tabs>
        <w:rPr>
          <w:bCs/>
          <w:szCs w:val="24"/>
        </w:rPr>
      </w:pPr>
    </w:p>
    <w:p w:rsidR="00126F9C" w:rsidRPr="00C53879" w:rsidP="00126F9C" w14:paraId="325C9A0F" w14:textId="77777777">
      <w:pPr>
        <w:pStyle w:val="DFARS"/>
        <w:tabs>
          <w:tab w:val="left" w:pos="806"/>
          <w:tab w:val="clear" w:pos="810"/>
        </w:tabs>
        <w:rPr>
          <w:bCs/>
          <w:szCs w:val="24"/>
        </w:rPr>
      </w:pPr>
      <w:r w:rsidRPr="00C53879">
        <w:rPr>
          <w:bCs/>
          <w:szCs w:val="24"/>
        </w:rPr>
        <w:tab/>
      </w:r>
      <w:r w:rsidRPr="00C53879">
        <w:rPr>
          <w:bCs/>
          <w:szCs w:val="24"/>
        </w:rPr>
        <w:tab/>
      </w:r>
      <w:r w:rsidRPr="00C53879">
        <w:rPr>
          <w:bCs/>
          <w:szCs w:val="24"/>
        </w:rPr>
        <w:tab/>
      </w:r>
      <w:r w:rsidRPr="00C53879">
        <w:rPr>
          <w:bCs/>
          <w:szCs w:val="24"/>
        </w:rPr>
        <w:tab/>
      </w:r>
      <w:r w:rsidRPr="00E87760">
        <w:rPr>
          <w:bCs/>
          <w:iCs/>
          <w:szCs w:val="24"/>
        </w:rPr>
        <w:t>(</w:t>
      </w:r>
      <w:r w:rsidRPr="00C53879">
        <w:rPr>
          <w:bCs/>
          <w:i/>
          <w:szCs w:val="24"/>
        </w:rPr>
        <w:t>2</w:t>
      </w:r>
      <w:r w:rsidRPr="00E87760">
        <w:rPr>
          <w:bCs/>
          <w:iCs/>
          <w:szCs w:val="24"/>
        </w:rPr>
        <w:t>)</w:t>
      </w:r>
      <w:r w:rsidRPr="00C53879">
        <w:rPr>
          <w:bCs/>
          <w:szCs w:val="24"/>
        </w:rPr>
        <w:t xml:space="preserve">  The contractor is required to update its DTIC inputs at least annually, no later than 3 months after the end of the contractor’s fiscal year, and when the project is completed.</w:t>
      </w:r>
    </w:p>
    <w:p w:rsidR="00126F9C" w:rsidRPr="00C53879" w:rsidP="00126F9C" w14:paraId="258F0C57" w14:textId="77777777">
      <w:pPr>
        <w:pStyle w:val="DFARS"/>
        <w:tabs>
          <w:tab w:val="left" w:pos="806"/>
          <w:tab w:val="clear" w:pos="810"/>
        </w:tabs>
        <w:rPr>
          <w:bCs/>
          <w:szCs w:val="24"/>
        </w:rPr>
      </w:pPr>
    </w:p>
    <w:p w:rsidR="00126F9C" w:rsidRPr="00C53879" w:rsidP="00126F9C" w14:paraId="7BD925BE" w14:textId="77777777">
      <w:pPr>
        <w:pStyle w:val="DFARS"/>
        <w:tabs>
          <w:tab w:val="left" w:pos="806"/>
          <w:tab w:val="clear" w:pos="810"/>
        </w:tabs>
        <w:rPr>
          <w:bCs/>
          <w:szCs w:val="24"/>
        </w:rPr>
      </w:pPr>
      <w:r w:rsidRPr="00C53879">
        <w:rPr>
          <w:bCs/>
          <w:szCs w:val="24"/>
        </w:rPr>
        <w:tab/>
      </w:r>
      <w:r w:rsidRPr="00C53879">
        <w:rPr>
          <w:bCs/>
          <w:szCs w:val="24"/>
        </w:rPr>
        <w:tab/>
      </w:r>
      <w:r w:rsidRPr="00C53879">
        <w:rPr>
          <w:bCs/>
          <w:szCs w:val="24"/>
        </w:rPr>
        <w:tab/>
        <w:t>(B)  The amount of IR&amp;D costs allowable under DoD contracts shall not exceed the lesser of—</w:t>
      </w:r>
    </w:p>
    <w:p w:rsidR="00126F9C" w:rsidRPr="00C53879" w:rsidP="00126F9C" w14:paraId="5489D672" w14:textId="77777777">
      <w:pPr>
        <w:pStyle w:val="DFARS"/>
        <w:tabs>
          <w:tab w:val="left" w:pos="806"/>
          <w:tab w:val="clear" w:pos="810"/>
        </w:tabs>
        <w:rPr>
          <w:bCs/>
          <w:szCs w:val="24"/>
        </w:rPr>
      </w:pPr>
    </w:p>
    <w:p w:rsidR="00126F9C" w:rsidRPr="00C53879" w:rsidP="00126F9C" w14:paraId="46F4A6F6" w14:textId="77777777">
      <w:pPr>
        <w:pStyle w:val="DFARS"/>
        <w:tabs>
          <w:tab w:val="left" w:pos="806"/>
          <w:tab w:val="clear" w:pos="810"/>
        </w:tabs>
        <w:rPr>
          <w:bCs/>
          <w:szCs w:val="24"/>
        </w:rPr>
      </w:pPr>
      <w:r w:rsidRPr="00C53879">
        <w:rPr>
          <w:bCs/>
          <w:szCs w:val="24"/>
        </w:rPr>
        <w:tab/>
      </w:r>
      <w:r w:rsidRPr="00C53879">
        <w:rPr>
          <w:bCs/>
          <w:szCs w:val="24"/>
        </w:rPr>
        <w:tab/>
      </w:r>
      <w:r w:rsidRPr="00C53879">
        <w:rPr>
          <w:bCs/>
          <w:szCs w:val="24"/>
        </w:rPr>
        <w:tab/>
      </w:r>
      <w:r w:rsidRPr="00C53879">
        <w:rPr>
          <w:bCs/>
          <w:szCs w:val="24"/>
        </w:rPr>
        <w:tab/>
      </w:r>
      <w:r w:rsidRPr="00E87760">
        <w:rPr>
          <w:bCs/>
          <w:iCs/>
          <w:szCs w:val="24"/>
        </w:rPr>
        <w:t>(</w:t>
      </w:r>
      <w:r w:rsidRPr="00C53879">
        <w:rPr>
          <w:bCs/>
          <w:i/>
          <w:szCs w:val="24"/>
        </w:rPr>
        <w:t>1</w:t>
      </w:r>
      <w:r w:rsidRPr="00E87760">
        <w:rPr>
          <w:bCs/>
          <w:iCs/>
          <w:szCs w:val="24"/>
        </w:rPr>
        <w:t>)</w:t>
      </w:r>
      <w:r w:rsidRPr="00C53879">
        <w:rPr>
          <w:bCs/>
          <w:szCs w:val="24"/>
        </w:rPr>
        <w:t xml:space="preserve">  Such contracts’ allocable share of total incurred IR&amp;D costs; or</w:t>
      </w:r>
    </w:p>
    <w:p w:rsidR="00126F9C" w:rsidRPr="00E87760" w:rsidP="00126F9C" w14:paraId="32B5F326" w14:textId="77777777">
      <w:pPr>
        <w:pStyle w:val="DFARS"/>
        <w:tabs>
          <w:tab w:val="left" w:pos="806"/>
          <w:tab w:val="clear" w:pos="810"/>
        </w:tabs>
        <w:rPr>
          <w:bCs/>
          <w:iCs/>
          <w:szCs w:val="24"/>
          <w:u w:val="single"/>
        </w:rPr>
      </w:pPr>
    </w:p>
    <w:p w:rsidR="00126F9C" w:rsidRPr="00C53879" w:rsidP="00126F9C" w14:paraId="093DD319" w14:textId="77777777">
      <w:pPr>
        <w:pStyle w:val="DFARS"/>
        <w:tabs>
          <w:tab w:val="left" w:pos="806"/>
          <w:tab w:val="clear" w:pos="810"/>
        </w:tabs>
        <w:rPr>
          <w:bCs/>
          <w:szCs w:val="24"/>
        </w:rPr>
      </w:pPr>
      <w:r w:rsidRPr="00E87760">
        <w:rPr>
          <w:bCs/>
          <w:iCs/>
          <w:szCs w:val="24"/>
        </w:rPr>
        <w:tab/>
      </w:r>
      <w:r w:rsidRPr="00E87760">
        <w:rPr>
          <w:bCs/>
          <w:iCs/>
          <w:szCs w:val="24"/>
        </w:rPr>
        <w:tab/>
      </w:r>
      <w:r w:rsidRPr="00E87760">
        <w:rPr>
          <w:bCs/>
          <w:iCs/>
          <w:szCs w:val="24"/>
        </w:rPr>
        <w:tab/>
      </w:r>
      <w:r w:rsidRPr="00E87760">
        <w:rPr>
          <w:bCs/>
          <w:iCs/>
          <w:szCs w:val="24"/>
        </w:rPr>
        <w:tab/>
        <w:t>(</w:t>
      </w:r>
      <w:r w:rsidRPr="00C53879">
        <w:rPr>
          <w:bCs/>
          <w:i/>
          <w:szCs w:val="24"/>
        </w:rPr>
        <w:t>2</w:t>
      </w:r>
      <w:r w:rsidRPr="00E87760">
        <w:rPr>
          <w:bCs/>
          <w:iCs/>
          <w:szCs w:val="24"/>
        </w:rPr>
        <w:t>)</w:t>
      </w:r>
      <w:r w:rsidRPr="00C53879">
        <w:rPr>
          <w:bCs/>
          <w:szCs w:val="24"/>
        </w:rPr>
        <w:t xml:space="preserve">  The total amount of incurred IR&amp;D costs that the chief executive officer of the contractor has determined will advance the needs of DoD for future technology and advanced capability as DoD describes such needs in communications referenced at </w:t>
      </w:r>
      <w:hyperlink r:id="rId6" w:anchor="242.771-3" w:history="1">
        <w:r w:rsidRPr="00D74BBC">
          <w:rPr>
            <w:rStyle w:val="Hyperlink"/>
            <w:bCs/>
            <w:szCs w:val="24"/>
          </w:rPr>
          <w:t>242.771-3</w:t>
        </w:r>
      </w:hyperlink>
      <w:r w:rsidRPr="00C53879">
        <w:rPr>
          <w:bCs/>
          <w:szCs w:val="24"/>
        </w:rPr>
        <w:t>(c)(1)(</w:t>
      </w:r>
      <w:r w:rsidRPr="00C53879">
        <w:rPr>
          <w:bCs/>
          <w:szCs w:val="24"/>
        </w:rPr>
        <w:t>i</w:t>
      </w:r>
      <w:r w:rsidRPr="00C53879">
        <w:rPr>
          <w:bCs/>
          <w:szCs w:val="24"/>
        </w:rPr>
        <w:t>).</w:t>
      </w:r>
    </w:p>
    <w:p w:rsidR="00126F9C" w:rsidRPr="00C53879" w:rsidP="00126F9C" w14:paraId="23D814D7" w14:textId="77777777">
      <w:pPr>
        <w:pStyle w:val="DFARS"/>
        <w:tabs>
          <w:tab w:val="left" w:pos="806"/>
          <w:tab w:val="clear" w:pos="810"/>
        </w:tabs>
        <w:rPr>
          <w:bCs/>
          <w:szCs w:val="24"/>
          <w:u w:val="single"/>
        </w:rPr>
      </w:pPr>
    </w:p>
    <w:p w:rsidR="00126F9C" w:rsidRPr="00C53879" w:rsidP="00126F9C" w14:paraId="33A43CC5" w14:textId="77777777">
      <w:pPr>
        <w:pStyle w:val="DFARS"/>
        <w:tabs>
          <w:tab w:val="left" w:pos="806"/>
          <w:tab w:val="clear" w:pos="810"/>
        </w:tabs>
        <w:rPr>
          <w:bCs/>
          <w:szCs w:val="24"/>
        </w:rPr>
      </w:pPr>
      <w:r w:rsidRPr="00C53879">
        <w:rPr>
          <w:bCs/>
          <w:szCs w:val="24"/>
        </w:rPr>
        <w:tab/>
      </w:r>
      <w:r w:rsidRPr="00C53879">
        <w:rPr>
          <w:bCs/>
          <w:szCs w:val="24"/>
        </w:rPr>
        <w:tab/>
      </w:r>
      <w:r w:rsidRPr="00C53879">
        <w:rPr>
          <w:bCs/>
          <w:szCs w:val="24"/>
        </w:rPr>
        <w:tab/>
        <w:t xml:space="preserve">(C)  Contractors that are not major contractors are encouraged to use the DTIC online input form and instructions at </w:t>
      </w:r>
      <w:hyperlink r:id="rId5" w:history="1">
        <w:r w:rsidRPr="00C53879">
          <w:rPr>
            <w:rStyle w:val="Hyperlink"/>
            <w:bCs/>
            <w:i/>
          </w:rPr>
          <w:t>https://defenseinnovationmarketplace.dtic.mil/industry-portal/</w:t>
        </w:r>
      </w:hyperlink>
      <w:r w:rsidRPr="00C53879">
        <w:rPr>
          <w:rStyle w:val="Hyperlink"/>
          <w:bCs/>
          <w:i/>
          <w:iCs/>
          <w:szCs w:val="24"/>
        </w:rPr>
        <w:t xml:space="preserve"> </w:t>
      </w:r>
      <w:r w:rsidRPr="00C53879">
        <w:rPr>
          <w:bCs/>
          <w:szCs w:val="24"/>
        </w:rPr>
        <w:t>to report IR&amp;D projects in order to provide DoD with visibility into the technical content of the contractors’ IR&amp;D projects.</w:t>
      </w:r>
    </w:p>
    <w:p w:rsidR="00126F9C" w:rsidRPr="00C53879" w:rsidP="00126F9C" w14:paraId="3EBC220A" w14:textId="77777777">
      <w:pPr>
        <w:pStyle w:val="DFARS"/>
        <w:tabs>
          <w:tab w:val="left" w:pos="806"/>
          <w:tab w:val="clear" w:pos="810"/>
        </w:tabs>
        <w:rPr>
          <w:bCs/>
          <w:szCs w:val="24"/>
        </w:rPr>
      </w:pPr>
    </w:p>
    <w:p w:rsidR="00126F9C" w:rsidRPr="00C53879" w:rsidP="00126F9C" w14:paraId="5272B69E" w14:textId="77777777">
      <w:pPr>
        <w:pStyle w:val="DFARS"/>
        <w:tabs>
          <w:tab w:val="left" w:pos="806"/>
          <w:tab w:val="clear" w:pos="810"/>
        </w:tabs>
        <w:rPr>
          <w:bCs/>
          <w:szCs w:val="24"/>
        </w:rPr>
      </w:pPr>
      <w:r w:rsidRPr="00C53879">
        <w:rPr>
          <w:bCs/>
          <w:szCs w:val="24"/>
        </w:rPr>
        <w:tab/>
      </w:r>
      <w:r w:rsidRPr="00C53879">
        <w:rPr>
          <w:bCs/>
          <w:szCs w:val="24"/>
        </w:rPr>
        <w:tab/>
        <w:t>(iv)  Contractors are required to report incurred IR&amp;D costs separately from indirect costs.</w:t>
      </w:r>
    </w:p>
    <w:p w:rsidR="00126F9C" w:rsidRPr="00C53879" w:rsidP="00126F9C" w14:paraId="15D4B533" w14:textId="77777777">
      <w:pPr>
        <w:pStyle w:val="DFARS"/>
        <w:tabs>
          <w:tab w:val="left" w:pos="806"/>
          <w:tab w:val="clear" w:pos="810"/>
        </w:tabs>
        <w:rPr>
          <w:bCs/>
          <w:szCs w:val="24"/>
        </w:rPr>
      </w:pPr>
    </w:p>
    <w:p w:rsidR="00126F9C" w:rsidRPr="00C53879" w:rsidP="00126F9C" w14:paraId="1C382B4A" w14:textId="77777777">
      <w:pPr>
        <w:pStyle w:val="DFARS"/>
        <w:tabs>
          <w:tab w:val="left" w:pos="806"/>
          <w:tab w:val="clear" w:pos="810"/>
        </w:tabs>
        <w:rPr>
          <w:bCs/>
          <w:szCs w:val="24"/>
        </w:rPr>
      </w:pPr>
      <w:r w:rsidRPr="00C53879">
        <w:rPr>
          <w:bCs/>
          <w:szCs w:val="24"/>
        </w:rPr>
        <w:tab/>
      </w:r>
      <w:r w:rsidRPr="00C53879">
        <w:rPr>
          <w:bCs/>
          <w:szCs w:val="24"/>
        </w:rPr>
        <w:tab/>
        <w:t>(v)  Contractors are required to report incurred B&amp;P costs separately from other indirect costs.</w:t>
      </w:r>
    </w:p>
    <w:p w:rsidR="00126F9C" w:rsidP="00126F9C" w14:paraId="31E16D7B" w14:textId="77777777">
      <w:pPr>
        <w:pStyle w:val="DFARS"/>
      </w:pPr>
    </w:p>
    <w:bookmarkEnd w:id="0"/>
    <w:p w:rsidR="00126F9C" w:rsidRPr="00126F9C" w:rsidP="00126F9C" w14:paraId="0A3BF9D1" w14:textId="77777777"/>
    <w:sectPr w:rsidSect="00126F9C">
      <w:headerReference w:type="even" r:id="rId7"/>
      <w:footerReference w:type="even" r:id="rId8"/>
      <w:footerReference w:type="default" r:id="rId9"/>
      <w:footnotePr>
        <w:numStart w:val="0"/>
      </w:foot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532" w14:paraId="17EDB544" w14:textId="77777777">
    <w:pPr>
      <w:tabs>
        <w:tab w:val="left" w:pos="80"/>
      </w:tabs>
      <w:ind w:left="0" w:firstLine="0"/>
      <w:rPr>
        <w:rFonts w:ascii="Century Schoolbook" w:hAnsi="Century Schoolbook"/>
        <w:b w:val="0"/>
        <w:sz w:val="20"/>
      </w:rPr>
    </w:pPr>
  </w:p>
  <w:p w:rsidR="00EC4532" w14:paraId="154FBB5C" w14:textId="77777777">
    <w:pPr>
      <w:ind w:left="0" w:firstLine="0"/>
      <w:rPr>
        <w:rFonts w:ascii="Century Schoolbook" w:hAnsi="Century Schoolbook"/>
        <w:b w:val="0"/>
        <w:sz w:val="20"/>
      </w:rPr>
    </w:pPr>
  </w:p>
  <w:p w:rsidR="00EC4532" w14:paraId="2ED3811B" w14:textId="77777777">
    <w:pPr>
      <w:pBdr>
        <w:top w:val="single" w:sz="6" w:space="1" w:color="auto"/>
      </w:pBdr>
      <w:tabs>
        <w:tab w:val="right" w:pos="9260"/>
      </w:tabs>
      <w:ind w:left="0" w:firstLine="0"/>
      <w:rPr>
        <w:rFonts w:ascii="Century Schoolbook" w:hAnsi="Century Schoolbook"/>
        <w:sz w:val="20"/>
      </w:rPr>
    </w:pPr>
    <w:r>
      <w:rPr>
        <w:rFonts w:ascii="Century Schoolbook" w:hAnsi="Century Schoolbook"/>
        <w:sz w:val="20"/>
      </w:rPr>
      <w:t>231.2-</w:t>
    </w:r>
    <w:r>
      <w:rPr>
        <w:rFonts w:ascii="Century Schoolbook" w:hAnsi="Century Schoolbook"/>
        <w:sz w:val="20"/>
      </w:rPr>
      <w:fldChar w:fldCharType="begin"/>
    </w:r>
    <w:r>
      <w:rPr>
        <w:rFonts w:ascii="Century Schoolbook" w:hAnsi="Century Schoolbook"/>
        <w:sz w:val="20"/>
      </w:rPr>
      <w:instrText>PAGE</w:instrText>
    </w:r>
    <w:r>
      <w:rPr>
        <w:rFonts w:ascii="Century Schoolbook" w:hAnsi="Century Schoolbook"/>
        <w:sz w:val="20"/>
      </w:rPr>
      <w:fldChar w:fldCharType="separate"/>
    </w:r>
    <w:r>
      <w:rPr>
        <w:rFonts w:ascii="Century Schoolbook" w:hAnsi="Century Schoolbook"/>
        <w:sz w:val="20"/>
      </w:rPr>
      <w:t>XXX</w:t>
    </w:r>
    <w:r>
      <w:rPr>
        <w:rFonts w:ascii="Century Schoolbook" w:hAnsi="Century Schoolbook"/>
        <w:sz w:val="20"/>
      </w:rPr>
      <w:fldChar w:fldCharType="end"/>
    </w:r>
    <w:r>
      <w:rPr>
        <w:rFonts w:ascii="Century Schoolbook" w:hAnsi="Century Schoolbook"/>
        <w:sz w:val="20"/>
      </w:rPr>
      <w:tab/>
    </w:r>
    <w:r>
      <w:rPr>
        <w:rFonts w:ascii="Century Schoolbook" w:hAnsi="Century Schoolbook"/>
        <w:sz w:val="20"/>
      </w:rPr>
      <w:tab/>
      <w:t>1998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6112865"/>
      <w:docPartObj>
        <w:docPartGallery w:val="Page Numbers (Bottom of Page)"/>
        <w:docPartUnique/>
      </w:docPartObj>
    </w:sdtPr>
    <w:sdtEndPr>
      <w:rPr>
        <w:b w:val="0"/>
        <w:bCs/>
        <w:noProof/>
      </w:rPr>
    </w:sdtEndPr>
    <w:sdtContent>
      <w:p w:rsidR="00126F9C" w:rsidRPr="00126F9C" w14:paraId="09F4CF7F" w14:textId="2B59E47E">
        <w:pPr>
          <w:pStyle w:val="Footer"/>
          <w:jc w:val="center"/>
          <w:rPr>
            <w:b w:val="0"/>
            <w:bCs/>
          </w:rPr>
        </w:pPr>
        <w:r w:rsidRPr="00126F9C">
          <w:rPr>
            <w:b w:val="0"/>
            <w:bCs/>
          </w:rPr>
          <w:fldChar w:fldCharType="begin"/>
        </w:r>
        <w:r w:rsidRPr="00126F9C">
          <w:rPr>
            <w:b w:val="0"/>
            <w:bCs/>
          </w:rPr>
          <w:instrText xml:space="preserve"> PAGE   \* MERGEFORMAT </w:instrText>
        </w:r>
        <w:r w:rsidRPr="00126F9C">
          <w:rPr>
            <w:b w:val="0"/>
            <w:bCs/>
          </w:rPr>
          <w:fldChar w:fldCharType="separate"/>
        </w:r>
        <w:r w:rsidRPr="00126F9C">
          <w:rPr>
            <w:b w:val="0"/>
            <w:bCs/>
            <w:noProof/>
          </w:rPr>
          <w:t>2</w:t>
        </w:r>
        <w:r w:rsidRPr="00126F9C">
          <w:rPr>
            <w:b w:val="0"/>
            <w:bCs/>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532" w14:paraId="3031D8FB" w14:textId="77777777">
    <w:pPr>
      <w:pStyle w:val="Header"/>
      <w:tabs>
        <w:tab w:val="clear" w:pos="8640"/>
      </w:tabs>
      <w:ind w:left="0" w:firstLine="0"/>
      <w:jc w:val="center"/>
      <w:rPr>
        <w:rFonts w:ascii="Century Schoolbook" w:hAnsi="Century Schoolbook"/>
        <w:sz w:val="22"/>
      </w:rPr>
    </w:pPr>
    <w:r>
      <w:rPr>
        <w:rFonts w:ascii="Century Schoolbook" w:hAnsi="Century Schoolbook"/>
        <w:sz w:val="22"/>
      </w:rPr>
      <w:t xml:space="preserve">Defense </w:t>
    </w:r>
    <w:r>
      <w:rPr>
        <w:rFonts w:ascii="Century Schoolbook" w:hAnsi="Century Schoolbook"/>
        <w:sz w:val="22"/>
      </w:rPr>
      <w:t>Federal Acquisition Regulation Supplement</w:t>
    </w:r>
  </w:p>
  <w:p w:rsidR="00EC4532" w14:paraId="035DF219" w14:textId="77777777">
    <w:pPr>
      <w:pStyle w:val="Header"/>
      <w:ind w:left="0" w:firstLine="0"/>
      <w:rPr>
        <w:rFonts w:ascii="Century Schoolbook" w:hAnsi="Century Schoolbook"/>
        <w:b w:val="0"/>
        <w:sz w:val="20"/>
      </w:rPr>
    </w:pPr>
  </w:p>
  <w:p w:rsidR="00EC4532" w14:paraId="461D658D" w14:textId="77777777">
    <w:pPr>
      <w:pStyle w:val="Header"/>
      <w:pBdr>
        <w:bottom w:val="single" w:sz="6" w:space="1" w:color="auto"/>
      </w:pBdr>
      <w:spacing w:after="10"/>
      <w:ind w:left="0" w:firstLine="0"/>
      <w:rPr>
        <w:rFonts w:ascii="Century Schoolbook" w:hAnsi="Century Schoolbook"/>
        <w:sz w:val="20"/>
      </w:rPr>
    </w:pPr>
    <w:r>
      <w:rPr>
        <w:rFonts w:ascii="Century Schoolbook" w:hAnsi="Century Schoolbook"/>
        <w:sz w:val="20"/>
      </w:rPr>
      <w:t>Part 231—Contract Cost Principles and Procedures</w:t>
    </w:r>
  </w:p>
  <w:p w:rsidR="00EC4532" w14:paraId="70CD9C19" w14:textId="77777777">
    <w:pPr>
      <w:pStyle w:val="Header"/>
      <w:spacing w:before="10" w:line="40" w:lineRule="exact"/>
      <w:ind w:left="0" w:firstLine="0"/>
      <w:rPr>
        <w:rFonts w:ascii="Century Schoolbook" w:hAnsi="Century Schoolbook"/>
        <w:b w:val="0"/>
        <w:position w:val="6"/>
        <w:sz w:val="20"/>
      </w:rPr>
    </w:pPr>
  </w:p>
  <w:p w:rsidR="00EC4532" w14:paraId="1AEA6F09" w14:textId="77777777">
    <w:pPr>
      <w:pStyle w:val="Header"/>
      <w:tabs>
        <w:tab w:val="right" w:pos="10260"/>
      </w:tabs>
      <w:ind w:left="0" w:firstLine="0"/>
      <w:rPr>
        <w:rFonts w:ascii="Century Schoolbook" w:hAnsi="Century Schoolbook"/>
        <w:b w:val="0"/>
        <w:sz w:val="20"/>
      </w:rPr>
    </w:pPr>
  </w:p>
  <w:p w:rsidR="00EC4532" w14:paraId="2EB25ACD" w14:textId="77777777">
    <w:pPr>
      <w:pStyle w:val="Header"/>
      <w:tabs>
        <w:tab w:val="right" w:pos="10260"/>
      </w:tabs>
      <w:ind w:left="0" w:firstLine="0"/>
      <w:rPr>
        <w:rFonts w:ascii="Century Schoolbook" w:hAnsi="Century Schoolbook"/>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revisionView w:comments="1" w:formatting="0" w:inkAnnotations="1" w:insDel="1" w:markup="1"/>
  <w:defaultTabStop w:val="720"/>
  <w:characterSpacingControl w:val="doNotCompress"/>
  <w:footnotePr>
    <w:numStart w:val="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9C"/>
    <w:rsid w:val="00126F9C"/>
    <w:rsid w:val="00C53879"/>
    <w:rsid w:val="00D74BBC"/>
    <w:rsid w:val="00E87760"/>
    <w:rsid w:val="00EA5939"/>
    <w:rsid w:val="00EC4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420D67"/>
  <w15:chartTrackingRefBased/>
  <w15:docId w15:val="{5283A545-8D04-43C4-843B-8EF0770B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F9C"/>
    <w:pPr>
      <w:tabs>
        <w:tab w:val="left" w:pos="1000"/>
      </w:tabs>
      <w:spacing w:after="0" w:line="240" w:lineRule="auto"/>
      <w:ind w:left="1000" w:hanging="100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F9C"/>
    <w:pPr>
      <w:tabs>
        <w:tab w:val="center" w:pos="4320"/>
        <w:tab w:val="right" w:pos="8640"/>
      </w:tabs>
    </w:pPr>
  </w:style>
  <w:style w:type="character" w:customStyle="1" w:styleId="FooterChar">
    <w:name w:val="Footer Char"/>
    <w:basedOn w:val="DefaultParagraphFont"/>
    <w:link w:val="Footer"/>
    <w:uiPriority w:val="99"/>
    <w:rsid w:val="00126F9C"/>
    <w:rPr>
      <w:rFonts w:ascii="Times New Roman" w:eastAsia="Times New Roman" w:hAnsi="Times New Roman" w:cs="Times New Roman"/>
      <w:b/>
      <w:sz w:val="24"/>
      <w:szCs w:val="20"/>
    </w:rPr>
  </w:style>
  <w:style w:type="paragraph" w:styleId="Header">
    <w:name w:val="header"/>
    <w:basedOn w:val="Normal"/>
    <w:link w:val="HeaderChar"/>
    <w:rsid w:val="00126F9C"/>
    <w:pPr>
      <w:tabs>
        <w:tab w:val="center" w:pos="4320"/>
        <w:tab w:val="right" w:pos="8640"/>
      </w:tabs>
    </w:pPr>
  </w:style>
  <w:style w:type="character" w:customStyle="1" w:styleId="HeaderChar">
    <w:name w:val="Header Char"/>
    <w:basedOn w:val="DefaultParagraphFont"/>
    <w:link w:val="Header"/>
    <w:rsid w:val="00126F9C"/>
    <w:rPr>
      <w:rFonts w:ascii="Times New Roman" w:eastAsia="Times New Roman" w:hAnsi="Times New Roman" w:cs="Times New Roman"/>
      <w:b/>
      <w:sz w:val="24"/>
      <w:szCs w:val="20"/>
    </w:rPr>
  </w:style>
  <w:style w:type="character" w:styleId="Hyperlink">
    <w:name w:val="Hyperlink"/>
    <w:rsid w:val="00126F9C"/>
    <w:rPr>
      <w:color w:val="0000FF"/>
      <w:u w:val="single"/>
    </w:rPr>
  </w:style>
  <w:style w:type="paragraph" w:customStyle="1" w:styleId="DFARS">
    <w:name w:val="DFARS"/>
    <w:basedOn w:val="Normal"/>
    <w:link w:val="DFARSChar"/>
    <w:rsid w:val="00126F9C"/>
    <w:pPr>
      <w:tabs>
        <w:tab w:val="left" w:pos="360"/>
        <w:tab w:val="left" w:pos="810"/>
        <w:tab w:val="clear" w:pos="1000"/>
        <w:tab w:val="left" w:pos="1210"/>
        <w:tab w:val="left" w:pos="1656"/>
        <w:tab w:val="left" w:pos="2131"/>
        <w:tab w:val="left" w:pos="2520"/>
      </w:tabs>
      <w:spacing w:line="240" w:lineRule="exact"/>
      <w:ind w:left="0" w:firstLine="0"/>
    </w:pPr>
    <w:rPr>
      <w:rFonts w:ascii="Century Schoolbook" w:hAnsi="Century Schoolbook"/>
      <w:b w:val="0"/>
      <w:spacing w:val="-5"/>
      <w:kern w:val="20"/>
    </w:rPr>
  </w:style>
  <w:style w:type="character" w:customStyle="1" w:styleId="DFARSChar">
    <w:name w:val="DFARS Char"/>
    <w:link w:val="DFARS"/>
    <w:rsid w:val="00126F9C"/>
    <w:rPr>
      <w:rFonts w:ascii="Century Schoolbook" w:eastAsia="Times New Roman" w:hAnsi="Century Schoolbook" w:cs="Times New Roman"/>
      <w:spacing w:val="-5"/>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25_73.htm" TargetMode="External" /><Relationship Id="rId5" Type="http://schemas.openxmlformats.org/officeDocument/2006/relationships/hyperlink" Target="https://defenseinnovationmarketplace.dtic.mil/industry-portal/" TargetMode="External" /><Relationship Id="rId6" Type="http://schemas.openxmlformats.org/officeDocument/2006/relationships/hyperlink" Target="https://www.acq.osd.mil/dpap/dars/dfars/html/current/242_7.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1</cp:revision>
  <dcterms:created xsi:type="dcterms:W3CDTF">2024-04-23T21:05:00Z</dcterms:created>
  <dcterms:modified xsi:type="dcterms:W3CDTF">2024-04-23T21:08:00Z</dcterms:modified>
</cp:coreProperties>
</file>