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133" w:rsidP="00880624" w14:paraId="770BF7A0" w14:textId="77777777">
      <w:pPr>
        <w:jc w:val="center"/>
      </w:pPr>
      <w:r>
        <w:t>UNITED STATES FOOD &amp; DRUG ADMINISTRATION</w:t>
      </w:r>
    </w:p>
    <w:p w:rsidR="00686133" w:rsidP="00880624" w14:paraId="2127B4A8" w14:textId="77777777">
      <w:pPr>
        <w:jc w:val="center"/>
      </w:pPr>
    </w:p>
    <w:p w:rsidR="0042050B" w:rsidP="00880624" w14:paraId="0B4A4A81" w14:textId="77777777">
      <w:pPr>
        <w:jc w:val="center"/>
      </w:pPr>
      <w:r>
        <w:t xml:space="preserve">Standards for the Growing, Harvesting, Packaging, and </w:t>
      </w:r>
    </w:p>
    <w:p w:rsidR="00880624" w:rsidP="00880624" w14:paraId="3C18F68E" w14:textId="6A8CF208">
      <w:pPr>
        <w:jc w:val="center"/>
      </w:pPr>
      <w:r>
        <w:t>Holding of Produce for Human Consumption</w:t>
      </w:r>
    </w:p>
    <w:p w:rsidR="0042050B" w:rsidP="00880624" w14:paraId="24B76833" w14:textId="77777777">
      <w:pPr>
        <w:jc w:val="center"/>
      </w:pPr>
    </w:p>
    <w:p w:rsidR="00315CEB" w:rsidP="00880624" w14:paraId="0DBFDF56" w14:textId="77777777">
      <w:pPr>
        <w:jc w:val="center"/>
      </w:pPr>
      <w:r w:rsidRPr="00686133">
        <w:rPr>
          <w:u w:val="single"/>
        </w:rPr>
        <w:t>OMB Control No. 0910-0816</w:t>
      </w:r>
      <w:r>
        <w:rPr>
          <w:u w:val="single"/>
        </w:rPr>
        <w:t xml:space="preserve">; </w:t>
      </w:r>
      <w:r w:rsidR="00C8771B">
        <w:rPr>
          <w:u w:val="single"/>
        </w:rPr>
        <w:t>RIN 0910-AI49</w:t>
      </w:r>
      <w:r>
        <w:t xml:space="preserve"> – </w:t>
      </w:r>
    </w:p>
    <w:p w:rsidR="00C8771B" w:rsidRPr="00315CEB" w:rsidP="00880624" w14:paraId="2268FEA4" w14:textId="24AFF7BD">
      <w:pPr>
        <w:jc w:val="center"/>
        <w:rPr>
          <w:u w:val="single"/>
        </w:rPr>
      </w:pPr>
      <w:r>
        <w:t>Final Rule</w:t>
      </w:r>
    </w:p>
    <w:p w:rsidR="00880624" w:rsidRPr="009A1674" w:rsidP="00880624" w14:paraId="4D09D85A" w14:textId="77777777">
      <w:pPr>
        <w:jc w:val="center"/>
      </w:pPr>
    </w:p>
    <w:p w:rsidR="00810FF1" w:rsidRPr="00C03851" w:rsidP="00C03851" w14:paraId="0DBDC1E0" w14:textId="77777777">
      <w:r w:rsidRPr="009A1674">
        <w:t>SUPPORTING STATEMENT</w:t>
      </w:r>
      <w:r w:rsidR="00686133">
        <w:t xml:space="preserve"> – </w:t>
      </w:r>
      <w:r w:rsidRPr="00686133" w:rsidR="00686133">
        <w:rPr>
          <w:b/>
        </w:rPr>
        <w:t>Part A:  Justification</w:t>
      </w:r>
    </w:p>
    <w:p w:rsidR="008B30AB" w:rsidP="008B30AB" w14:paraId="43C3654C"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0D3092" w:rsidP="00F369A7" w14:paraId="41BA947D" w14:textId="28A60D5C">
      <w:pPr>
        <w:pStyle w:val="BodyText"/>
        <w:spacing w:after="0"/>
        <w:ind w:left="720" w:right="403"/>
      </w:pPr>
      <w:r>
        <w:t xml:space="preserve">This information collection supports </w:t>
      </w:r>
      <w:r w:rsidR="00445EF1">
        <w:t xml:space="preserve">the </w:t>
      </w:r>
      <w:r>
        <w:t>agency</w:t>
      </w:r>
      <w:r w:rsidR="00C8771B">
        <w:t xml:space="preserve"> rulemaking </w:t>
      </w:r>
      <w:r w:rsidR="00445EF1">
        <w:t>entitled,</w:t>
      </w:r>
      <w:r w:rsidRPr="00445EF1" w:rsidR="00445EF1">
        <w:t xml:space="preserve"> “Standards for the Growing, Harvesting, Packing, and Holding of Produce for Human Consumption Relating to Agricultural Water” RIN 0910-AI49), </w:t>
      </w:r>
      <w:r w:rsidR="00C8771B">
        <w:t>(0910-AI49) Agency regulations in 21 CFR p</w:t>
      </w:r>
      <w:r w:rsidR="00880624">
        <w:t xml:space="preserve">art 112 </w:t>
      </w:r>
      <w:r w:rsidR="00C8771B">
        <w:t xml:space="preserve">establish </w:t>
      </w:r>
      <w:r w:rsidR="00880624">
        <w:t>procedures, processes, and practices</w:t>
      </w:r>
      <w:r w:rsidR="00C8771B">
        <w:t xml:space="preserve"> intended to</w:t>
      </w:r>
      <w:r w:rsidR="00880624">
        <w:t xml:space="preserve"> minimize the risk of serious adverse health consequences or death, including those reasonably necessary to prevent the introduction of known or reasonably foreseeable biological hazards into or onto produce and to provide reasonable assurances that the produce is not adulterated because of such hazards. </w:t>
      </w:r>
    </w:p>
    <w:p w:rsidR="000D3092" w:rsidP="00F369A7" w14:paraId="5DDA8F19" w14:textId="77777777">
      <w:pPr>
        <w:pStyle w:val="BodyText"/>
        <w:spacing w:after="0"/>
        <w:ind w:left="720" w:right="403"/>
      </w:pPr>
    </w:p>
    <w:p w:rsidR="007A6647" w:rsidP="00D76B8E" w14:paraId="5DC75A02" w14:textId="600BFE6F">
      <w:pPr>
        <w:pStyle w:val="BodyText"/>
        <w:spacing w:after="0"/>
        <w:ind w:left="720" w:right="403"/>
      </w:pPr>
      <w:r>
        <w:t xml:space="preserve">We are revising </w:t>
      </w:r>
      <w:r w:rsidR="00267A7E">
        <w:t>certain</w:t>
      </w:r>
      <w:r w:rsidRPr="003D2A5F" w:rsidR="00267A7E">
        <w:t xml:space="preserve"> </w:t>
      </w:r>
      <w:r w:rsidRPr="003D2A5F" w:rsidR="003D2A5F">
        <w:t xml:space="preserve">agricultural water provisions of the produce safety regulation </w:t>
      </w:r>
      <w:r w:rsidR="005C52E9">
        <w:t xml:space="preserve">in light of </w:t>
      </w:r>
      <w:r w:rsidR="001F1FDB">
        <w:t>recent science</w:t>
      </w:r>
      <w:r w:rsidR="005C52E9">
        <w:t>,</w:t>
      </w:r>
      <w:r w:rsidR="002F1D26">
        <w:t xml:space="preserve"> findings from investigations of several produce-related outbreaks,</w:t>
      </w:r>
      <w:r w:rsidR="001F1FDB">
        <w:t xml:space="preserve"> and feedback from an array of stakeholders</w:t>
      </w:r>
      <w:r w:rsidR="00F74C2D">
        <w:t xml:space="preserve"> on the previous</w:t>
      </w:r>
      <w:r w:rsidR="00267A7E">
        <w:t xml:space="preserve"> requirements</w:t>
      </w:r>
      <w:r w:rsidR="00A31742">
        <w:t>,</w:t>
      </w:r>
      <w:r w:rsidRPr="00D76B8E" w:rsidR="00D76B8E">
        <w:t xml:space="preserve"> </w:t>
      </w:r>
      <w:r w:rsidR="00D76B8E">
        <w:t>and making corresponding changes to the associated recordkeeping provisions</w:t>
      </w:r>
      <w:r w:rsidRPr="003D2A5F" w:rsidR="003D2A5F">
        <w:t xml:space="preserve">. </w:t>
      </w:r>
      <w:r w:rsidR="00D76B8E">
        <w:t>Specifically, w</w:t>
      </w:r>
      <w:r w:rsidR="00213173">
        <w:t>e are</w:t>
      </w:r>
      <w:r w:rsidRPr="003D2A5F" w:rsidR="003D2A5F">
        <w:t xml:space="preserve"> re</w:t>
      </w:r>
      <w:r>
        <w:t>mov</w:t>
      </w:r>
      <w:r w:rsidR="00213173">
        <w:t>ing</w:t>
      </w:r>
      <w:r w:rsidRPr="003D2A5F" w:rsidR="003D2A5F">
        <w:t xml:space="preserve"> the microbial criteria and testing requirements for pre-harvest agricultural water for covered produce (other than sprouts) </w:t>
      </w:r>
      <w:r>
        <w:t>and establish</w:t>
      </w:r>
      <w:r w:rsidR="00213173">
        <w:t>ing</w:t>
      </w:r>
      <w:r w:rsidR="00540647">
        <w:t xml:space="preserve"> provisions for</w:t>
      </w:r>
      <w:r>
        <w:t xml:space="preserve"> </w:t>
      </w:r>
      <w:r w:rsidRPr="003D2A5F" w:rsidR="003D2A5F">
        <w:t xml:space="preserve">systems-based </w:t>
      </w:r>
      <w:r w:rsidR="00540647">
        <w:t xml:space="preserve">pre-harvest </w:t>
      </w:r>
      <w:r w:rsidRPr="003D2A5F" w:rsidR="003D2A5F">
        <w:t xml:space="preserve">agricultural water assessments.  </w:t>
      </w:r>
      <w:r w:rsidR="00D76B8E">
        <w:t>We are</w:t>
      </w:r>
      <w:r w:rsidR="003A7DAE">
        <w:t xml:space="preserve"> </w:t>
      </w:r>
      <w:r w:rsidR="00540647">
        <w:t>also establish</w:t>
      </w:r>
      <w:r w:rsidR="00D76B8E">
        <w:t>ing</w:t>
      </w:r>
      <w:r w:rsidR="00540647">
        <w:t xml:space="preserve"> requirements for</w:t>
      </w:r>
      <w:r w:rsidRPr="003D2A5F" w:rsidR="003D2A5F">
        <w:t xml:space="preserve"> expedited mitigation for hazards related to certain activities associated with adjacent and nearby lands, in light of findings from several recent produce outbreak investigations.  </w:t>
      </w:r>
    </w:p>
    <w:p w:rsidR="00686133" w:rsidP="00197D50" w14:paraId="7B685609" w14:textId="77777777">
      <w:pPr>
        <w:pStyle w:val="BodyText"/>
        <w:spacing w:after="0"/>
        <w:ind w:left="720" w:right="403"/>
      </w:pPr>
    </w:p>
    <w:p w:rsidR="00686133" w:rsidP="00197D50" w14:paraId="6CB994EC" w14:textId="60CD225C">
      <w:pPr>
        <w:pStyle w:val="BodyText"/>
        <w:spacing w:after="0"/>
        <w:ind w:left="720" w:right="403"/>
      </w:pPr>
      <w:r>
        <w:t xml:space="preserve">We are therefore requesting approval of the information collection </w:t>
      </w:r>
      <w:r w:rsidR="00445EF1">
        <w:t xml:space="preserve">provisions </w:t>
      </w:r>
      <w:r w:rsidR="00F73B61">
        <w:t>found in 21 CFR part 11</w:t>
      </w:r>
      <w:r w:rsidR="00FC48AE">
        <w:t>2</w:t>
      </w:r>
      <w:r w:rsidR="00E53EAF">
        <w:t xml:space="preserve"> as revised by the subject rulemaking</w:t>
      </w:r>
      <w:r w:rsidR="005F6AD8">
        <w:t xml:space="preserve"> and discussed in this supporting statement.</w:t>
      </w:r>
    </w:p>
    <w:p w:rsidR="008B30AB" w:rsidRPr="002746DB" w:rsidP="008B30AB" w14:paraId="2693131A"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B50E8C" w:rsidRPr="004A3E77" w:rsidP="004A3E77" w14:paraId="73509F8A" w14:textId="0C7C9717">
      <w:pPr>
        <w:pStyle w:val="BodyText"/>
        <w:spacing w:before="90"/>
        <w:ind w:left="720" w:right="401"/>
      </w:pPr>
      <w:r w:rsidRPr="00CE266E">
        <w:t>Th</w:t>
      </w:r>
      <w:r w:rsidR="00843E2B">
        <w:t>e</w:t>
      </w:r>
      <w:r w:rsidRPr="00CE266E">
        <w:t xml:space="preserve"> </w:t>
      </w:r>
      <w:r w:rsidR="004D1781">
        <w:t xml:space="preserve">revised </w:t>
      </w:r>
      <w:r w:rsidR="00C24B0D">
        <w:t xml:space="preserve">regulations </w:t>
      </w:r>
      <w:r w:rsidR="00775685">
        <w:t>establish requirements for</w:t>
      </w:r>
      <w:r w:rsidRPr="00CE266E" w:rsidR="00CE266E">
        <w:t xml:space="preserve"> </w:t>
      </w:r>
      <w:r w:rsidRPr="00CE266E">
        <w:t xml:space="preserve">systems-based </w:t>
      </w:r>
      <w:r w:rsidRPr="00CE266E" w:rsidR="00CE266E">
        <w:t xml:space="preserve">pre-harvest </w:t>
      </w:r>
      <w:r w:rsidRPr="00CE266E">
        <w:t>agricultural water assessments</w:t>
      </w:r>
      <w:r w:rsidR="00190959">
        <w:t xml:space="preserve"> </w:t>
      </w:r>
      <w:r w:rsidR="00AC13F6">
        <w:t xml:space="preserve">and </w:t>
      </w:r>
      <w:r w:rsidR="00AB5D78">
        <w:t xml:space="preserve">appropriate </w:t>
      </w:r>
      <w:r w:rsidR="00AC13F6">
        <w:t>measur</w:t>
      </w:r>
      <w:r w:rsidR="00626CB2">
        <w:t>e</w:t>
      </w:r>
      <w:r w:rsidR="00AC13F6">
        <w:t>s</w:t>
      </w:r>
      <w:r w:rsidR="00C24B0D">
        <w:t xml:space="preserve"> and FDA intends to use the information collected to determine compliance with the requirements to better ensure </w:t>
      </w:r>
      <w:r w:rsidR="004A3E77">
        <w:t xml:space="preserve">that produce entering the marketplace is reasonably </w:t>
      </w:r>
      <w:r w:rsidRPr="00C51A48" w:rsidR="004A3E77">
        <w:t>unlikely to be associated with foodborne illness</w:t>
      </w:r>
      <w:r w:rsidR="004A3E77">
        <w:t>.</w:t>
      </w:r>
    </w:p>
    <w:p w:rsidR="00544138" w:rsidP="00544138" w14:paraId="77055BD4" w14:textId="77777777">
      <w:pPr>
        <w:ind w:left="720"/>
      </w:pPr>
    </w:p>
    <w:p w:rsidR="00CC2894" w:rsidRPr="00B50E8C" w:rsidP="00F207A4" w14:paraId="23A0C708" w14:textId="04DA42F4">
      <w:pPr>
        <w:ind w:left="720"/>
      </w:pPr>
      <w:r w:rsidRPr="00971E99">
        <w:rPr>
          <w:i/>
        </w:rPr>
        <w:t>Description of Respondents:</w:t>
      </w:r>
      <w:r>
        <w:t xml:space="preserve">  </w:t>
      </w:r>
      <w:r w:rsidRPr="00B50E8C" w:rsidR="00B50E8C">
        <w:t>Respondents to th</w:t>
      </w:r>
      <w:r w:rsidR="004D2945">
        <w:t>e</w:t>
      </w:r>
      <w:r w:rsidRPr="00B50E8C" w:rsidR="00B50E8C">
        <w:t xml:space="preserve"> collection of information </w:t>
      </w:r>
      <w:r w:rsidR="004D2945">
        <w:t xml:space="preserve">are </w:t>
      </w:r>
      <w:r w:rsidRPr="00B50E8C" w:rsidR="00B50E8C">
        <w:t xml:space="preserve">farms that grow, harvest, pack, or hold produce for human consumption, meaning fruits and vegetables such as berries, tree nuts, </w:t>
      </w:r>
      <w:r w:rsidR="00447737">
        <w:t xml:space="preserve">and </w:t>
      </w:r>
      <w:r w:rsidRPr="00B50E8C" w:rsidR="00B50E8C">
        <w:t>herbs</w:t>
      </w:r>
      <w:r w:rsidR="00447737">
        <w:t xml:space="preserve">, and who use </w:t>
      </w:r>
      <w:r w:rsidR="00BB500C">
        <w:t>pre-harvest agricultural water for non-sprout covered produce</w:t>
      </w:r>
      <w:r w:rsidRPr="00B50E8C" w:rsidR="00B50E8C">
        <w:t>.  Respondents are from the private sector (for-profit businesses).</w:t>
      </w:r>
    </w:p>
    <w:p w:rsidR="002746DB" w:rsidRPr="004C6979" w:rsidP="00EB7538" w14:paraId="6A0050DA"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F84FD4" w:rsidRPr="00405CFF" w:rsidP="00831132" w14:paraId="089EDD60" w14:textId="584DB392">
      <w:pPr>
        <w:pStyle w:val="BodyText"/>
        <w:spacing w:before="90"/>
        <w:ind w:left="720" w:right="428"/>
      </w:pPr>
      <w:r>
        <w:t xml:space="preserve">While it does not so require, we believe </w:t>
      </w:r>
      <w:r w:rsidR="00FF46BF">
        <w:t>the majority</w:t>
      </w:r>
      <w:r>
        <w:t xml:space="preserve"> of respondents affected by this collection will rely on information technology to store, retrieve, and otherwise comply with data collection requirements.</w:t>
      </w:r>
      <w:r w:rsidR="00831132">
        <w:t xml:space="preserve"> </w:t>
      </w:r>
      <w:r w:rsidR="00AE148B">
        <w:t xml:space="preserve">FDA may </w:t>
      </w:r>
      <w:r w:rsidRPr="007E4440" w:rsidR="007D23C8">
        <w:t>collect</w:t>
      </w:r>
      <w:r w:rsidR="00AE148B">
        <w:t xml:space="preserve"> records</w:t>
      </w:r>
      <w:r w:rsidR="00553F32">
        <w:t xml:space="preserve"> from covered farms</w:t>
      </w:r>
      <w:r w:rsidR="00AE148B">
        <w:t xml:space="preserve"> in paper or electronic (e.g. </w:t>
      </w:r>
      <w:r w:rsidR="00DE7253">
        <w:t xml:space="preserve">documents sent </w:t>
      </w:r>
      <w:r w:rsidR="00AE148B">
        <w:t>via email) form</w:t>
      </w:r>
      <w:r w:rsidR="00783476">
        <w:t>at</w:t>
      </w:r>
      <w:r w:rsidR="00AE148B">
        <w:t xml:space="preserve">. </w:t>
      </w:r>
      <w:r w:rsidR="00DE7253">
        <w:t>FDA</w:t>
      </w:r>
      <w:r w:rsidR="00CE648B">
        <w:t xml:space="preserve"> will </w:t>
      </w:r>
      <w:r w:rsidR="00DA4B5A">
        <w:t xml:space="preserve">use existing </w:t>
      </w:r>
      <w:r w:rsidR="00965D27">
        <w:t>systems—including the Electronic Inspection System (eNSpect) and, when appropriate, the Compliance Management System (CMS)</w:t>
      </w:r>
      <w:r w:rsidR="00553F32">
        <w:t xml:space="preserve">—to </w:t>
      </w:r>
      <w:r w:rsidR="00CE648B">
        <w:t>collect and store records</w:t>
      </w:r>
      <w:r w:rsidR="00495380">
        <w:t>.</w:t>
      </w:r>
    </w:p>
    <w:p w:rsidR="002746DB" w:rsidRPr="002746DB" w:rsidP="00EB7538" w14:paraId="43BC57AD"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P="00B50E8C" w14:paraId="2B7C64AF" w14:textId="798634D4">
      <w:pPr>
        <w:pStyle w:val="BodyText"/>
        <w:spacing w:before="90"/>
        <w:ind w:left="720"/>
      </w:pPr>
      <w:r>
        <w:t xml:space="preserve">We are unaware of </w:t>
      </w:r>
      <w:r w:rsidR="004D2945">
        <w:t xml:space="preserve">duplicative </w:t>
      </w:r>
      <w:r>
        <w:t>information collection.</w:t>
      </w:r>
    </w:p>
    <w:p w:rsidR="002746DB" w:rsidRPr="004C6979" w:rsidP="00EB7538" w14:paraId="5E2F696F" w14:textId="77777777">
      <w:pPr>
        <w:numPr>
          <w:ilvl w:val="0"/>
          <w:numId w:val="1"/>
        </w:numPr>
        <w:spacing w:before="100" w:beforeAutospacing="1" w:after="100" w:afterAutospacing="1"/>
        <w:rPr>
          <w:u w:val="single"/>
        </w:rPr>
      </w:pPr>
      <w:r w:rsidRPr="004C6979">
        <w:rPr>
          <w:u w:val="single"/>
        </w:rPr>
        <w:t>Impact on Small Businesses or Other Small Entities</w:t>
      </w:r>
    </w:p>
    <w:p w:rsidR="007005ED" w:rsidP="00B00133" w14:paraId="73E4C2BF" w14:textId="30B4C120">
      <w:pPr>
        <w:pStyle w:val="BodyText"/>
        <w:spacing w:before="90"/>
        <w:ind w:left="720" w:right="495"/>
      </w:pPr>
      <w:r>
        <w:rPr>
          <w:iCs/>
        </w:rPr>
        <w:t>The recordkeeping requirements</w:t>
      </w:r>
      <w:r w:rsidRPr="007005ED">
        <w:rPr>
          <w:iCs/>
        </w:rPr>
        <w:t xml:space="preserve"> </w:t>
      </w:r>
      <w:r>
        <w:rPr>
          <w:iCs/>
        </w:rPr>
        <w:t>for pre-harvest agricultural water assessments</w:t>
      </w:r>
      <w:r w:rsidRPr="007005ED">
        <w:rPr>
          <w:iCs/>
        </w:rPr>
        <w:t xml:space="preserve"> apply to </w:t>
      </w:r>
      <w:r>
        <w:rPr>
          <w:iCs/>
        </w:rPr>
        <w:t xml:space="preserve">covered </w:t>
      </w:r>
      <w:r w:rsidRPr="007005ED">
        <w:rPr>
          <w:iCs/>
        </w:rPr>
        <w:t xml:space="preserve">farms </w:t>
      </w:r>
      <w:r w:rsidRPr="00B83FF8">
        <w:rPr>
          <w:iCs/>
        </w:rPr>
        <w:t>of all sizes</w:t>
      </w:r>
      <w:r>
        <w:rPr>
          <w:iCs/>
        </w:rPr>
        <w:t>. W</w:t>
      </w:r>
      <w:r w:rsidR="00EF0936">
        <w:rPr>
          <w:iCs/>
        </w:rPr>
        <w:t>e are</w:t>
      </w:r>
      <w:r w:rsidR="00875136">
        <w:rPr>
          <w:iCs/>
        </w:rPr>
        <w:t xml:space="preserve"> providing for staggered compliance dates for the pre-harvest agricultural water requirements for non-sprout covered produce based on farm size</w:t>
      </w:r>
      <w:r w:rsidR="00BF0C65">
        <w:rPr>
          <w:iCs/>
        </w:rPr>
        <w:t>, beginning with large farms</w:t>
      </w:r>
      <w:r w:rsidR="00875136">
        <w:rPr>
          <w:iCs/>
        </w:rPr>
        <w:t xml:space="preserve">. </w:t>
      </w:r>
      <w:r w:rsidRPr="00D361C9" w:rsidR="00D361C9">
        <w:rPr>
          <w:iCs/>
        </w:rPr>
        <w:t xml:space="preserve">The purpose of staggered compliance dates is to give businesses of various sizes time to come into compliance with the </w:t>
      </w:r>
      <w:r w:rsidR="0056317E">
        <w:rPr>
          <w:iCs/>
        </w:rPr>
        <w:t>requirements</w:t>
      </w:r>
      <w:r w:rsidRPr="00D361C9" w:rsidR="00D361C9">
        <w:rPr>
          <w:iCs/>
        </w:rPr>
        <w:t xml:space="preserve"> technically, financially, and operationally. In light of practical considerations for small and very small businesses, we consider that additional time for small and very small farms to come into compliance </w:t>
      </w:r>
      <w:r w:rsidR="00221D61">
        <w:rPr>
          <w:iCs/>
        </w:rPr>
        <w:t xml:space="preserve">with the pre-harvest agricultural water requirements, including the recordkeeping requirements for </w:t>
      </w:r>
      <w:r w:rsidR="00156063">
        <w:rPr>
          <w:iCs/>
        </w:rPr>
        <w:t xml:space="preserve">agricultural water assessments, </w:t>
      </w:r>
      <w:r w:rsidRPr="00D361C9" w:rsidR="00D361C9">
        <w:rPr>
          <w:iCs/>
        </w:rPr>
        <w:t>is warranted.</w:t>
      </w:r>
    </w:p>
    <w:p w:rsidR="00D9488D" w:rsidRPr="00614F86" w:rsidP="005B0A4D" w14:paraId="4C3CF136" w14:textId="01FA39D9">
      <w:pPr>
        <w:pStyle w:val="BodyText"/>
        <w:spacing w:before="90"/>
        <w:ind w:left="720" w:right="495"/>
      </w:pPr>
      <w:r w:rsidRPr="00E57C22">
        <w:rPr>
          <w:rFonts w:eastAsia="Calibri"/>
        </w:rPr>
        <w:t xml:space="preserve">We </w:t>
      </w:r>
      <w:r>
        <w:rPr>
          <w:rFonts w:eastAsia="Calibri"/>
        </w:rPr>
        <w:t>also</w:t>
      </w:r>
      <w:r w:rsidR="00F27C2E">
        <w:rPr>
          <w:rFonts w:eastAsia="Calibri"/>
        </w:rPr>
        <w:t xml:space="preserve"> </w:t>
      </w:r>
      <w:r w:rsidRPr="00431F03">
        <w:rPr>
          <w:rFonts w:eastAsia="Calibri"/>
        </w:rPr>
        <w:t xml:space="preserve">provide </w:t>
      </w:r>
      <w:r w:rsidR="00673DB8">
        <w:rPr>
          <w:rFonts w:eastAsia="Calibri"/>
        </w:rPr>
        <w:t>s</w:t>
      </w:r>
      <w:r w:rsidRPr="00431F03">
        <w:rPr>
          <w:rFonts w:eastAsia="Calibri"/>
        </w:rPr>
        <w:t xml:space="preserve">mall </w:t>
      </w:r>
      <w:r w:rsidR="00673DB8">
        <w:rPr>
          <w:rFonts w:eastAsia="Calibri"/>
        </w:rPr>
        <w:t>b</w:t>
      </w:r>
      <w:r w:rsidRPr="00431F03">
        <w:rPr>
          <w:rFonts w:eastAsia="Calibri"/>
        </w:rPr>
        <w:t xml:space="preserve">usiness assistance </w:t>
      </w:r>
      <w:r>
        <w:rPr>
          <w:rFonts w:eastAsia="Calibri"/>
        </w:rPr>
        <w:t xml:space="preserve">on our </w:t>
      </w:r>
      <w:r w:rsidRPr="00431F03">
        <w:rPr>
          <w:rFonts w:eastAsia="Calibri"/>
        </w:rPr>
        <w:t xml:space="preserve">website at </w:t>
      </w:r>
      <w:hyperlink r:id="rId6" w:history="1">
        <w:r w:rsidRPr="00F774E2">
          <w:rPr>
            <w:rStyle w:val="Hyperlink"/>
            <w:rFonts w:eastAsia="Calibri"/>
          </w:rPr>
          <w:t>https://www.fda.gov/industry/small-business-assistance</w:t>
        </w:r>
      </w:hyperlink>
      <w:r w:rsidRPr="00431F03">
        <w:rPr>
          <w:rFonts w:eastAsia="Calibri"/>
        </w:rPr>
        <w:t>.</w:t>
      </w:r>
    </w:p>
    <w:p w:rsidR="00CD77C3" w:rsidRPr="004C6979" w:rsidP="00EB7538" w14:paraId="23E92C26"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7A6647" w:rsidP="00320553" w14:paraId="434F8625" w14:textId="5B87453A">
      <w:pPr>
        <w:pStyle w:val="BodyText"/>
        <w:spacing w:before="90"/>
        <w:ind w:left="720"/>
      </w:pPr>
      <w:r>
        <w:t xml:space="preserve">Information collection is consistent with statutory and regulatory requirements.  There are no legal obstacles to reducing burden.  </w:t>
      </w:r>
    </w:p>
    <w:p w:rsidR="00CD77C3" w:rsidRPr="004C6979" w:rsidP="00EB7538" w14:paraId="5CDA1933"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5B0A4D" w14:paraId="3605989D" w14:textId="77777777">
      <w:pPr>
        <w:pStyle w:val="BodyText"/>
        <w:spacing w:before="90"/>
        <w:ind w:left="720"/>
      </w:pPr>
      <w:r>
        <w:t>There are no special circumstances for this collection of information.</w:t>
      </w:r>
    </w:p>
    <w:p w:rsidR="00CD77C3" w:rsidP="00EB7538" w14:paraId="0FBC85C5"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2147C8" w:rsidP="00034225" w14:paraId="3190FA40" w14:textId="0EC55520">
      <w:pPr>
        <w:ind w:left="720"/>
      </w:pPr>
      <w:r w:rsidRPr="00C034BC">
        <w:t xml:space="preserve">In accordance with </w:t>
      </w:r>
      <w:r w:rsidRPr="00C034BC" w:rsidR="00CF79F0">
        <w:t xml:space="preserve">5 CFR 1320.8(d), FDA provided an opportunity for public comment on the information collection requirements of the proposed rule that published in the </w:t>
      </w:r>
      <w:r w:rsidRPr="00C034BC" w:rsidR="00CF79F0">
        <w:rPr>
          <w:i/>
          <w:iCs/>
        </w:rPr>
        <w:t>Federal Register</w:t>
      </w:r>
      <w:r w:rsidRPr="00C034BC" w:rsidR="00CF79F0">
        <w:t xml:space="preserve"> on </w:t>
      </w:r>
      <w:r w:rsidRPr="00C034BC" w:rsidR="002826F2">
        <w:t xml:space="preserve">December 6, </w:t>
      </w:r>
      <w:r w:rsidRPr="00B5427A" w:rsidR="002826F2">
        <w:t>2021</w:t>
      </w:r>
      <w:r w:rsidRPr="00B5427A" w:rsidR="00CF79F0">
        <w:t xml:space="preserve"> (</w:t>
      </w:r>
      <w:r w:rsidRPr="00B5427A" w:rsidR="00671425">
        <w:t xml:space="preserve">86 </w:t>
      </w:r>
      <w:r w:rsidRPr="00B5427A" w:rsidR="00CF79F0">
        <w:t xml:space="preserve">FR </w:t>
      </w:r>
      <w:r w:rsidRPr="00B5427A" w:rsidR="00671425">
        <w:t>69120</w:t>
      </w:r>
      <w:r w:rsidRPr="00B5427A" w:rsidR="00CF79F0">
        <w:t xml:space="preserve">). </w:t>
      </w:r>
      <w:r w:rsidR="008C4819">
        <w:t xml:space="preserve"> </w:t>
      </w:r>
      <w:r w:rsidRPr="00B5427A" w:rsidR="00CF79F0">
        <w:t xml:space="preserve">Comments received in response to the rulemaking are discussed in </w:t>
      </w:r>
      <w:r w:rsidR="00BA1BDD">
        <w:t>section IX</w:t>
      </w:r>
      <w:r w:rsidR="00442557">
        <w:t xml:space="preserve"> </w:t>
      </w:r>
      <w:r w:rsidR="00FC2CE1">
        <w:t xml:space="preserve">of the </w:t>
      </w:r>
      <w:r w:rsidRPr="00B5427A" w:rsidR="00CF79F0">
        <w:t>final rule</w:t>
      </w:r>
      <w:r w:rsidR="00B5427A">
        <w:t>.</w:t>
      </w:r>
      <w:r w:rsidRPr="00B5427A" w:rsidR="00CF79F0">
        <w:t xml:space="preserve"> </w:t>
      </w:r>
      <w:r w:rsidRPr="00C034BC" w:rsidR="00CF79F0">
        <w:t>All comments may be found in the agency Docket (FDA-20</w:t>
      </w:r>
      <w:r w:rsidRPr="00C034BC" w:rsidR="00671425">
        <w:t>2</w:t>
      </w:r>
      <w:r w:rsidR="001F63C3">
        <w:t>1</w:t>
      </w:r>
      <w:r w:rsidRPr="00C034BC" w:rsidR="00671425">
        <w:t>-</w:t>
      </w:r>
      <w:r w:rsidRPr="00C034BC" w:rsidR="00C034BC">
        <w:t>N-0471</w:t>
      </w:r>
      <w:r w:rsidRPr="00C034BC" w:rsidR="00CF79F0">
        <w:t>).</w:t>
      </w:r>
      <w:r w:rsidR="004A7F88">
        <w:t xml:space="preserve"> </w:t>
      </w:r>
    </w:p>
    <w:p w:rsidR="002147C8" w:rsidP="00034225" w14:paraId="73C8DB5C" w14:textId="77777777">
      <w:pPr>
        <w:ind w:left="720"/>
      </w:pPr>
    </w:p>
    <w:p w:rsidR="00DC2D22" w:rsidP="00034225" w14:paraId="53C19613" w14:textId="559FEDE6">
      <w:pPr>
        <w:ind w:left="720"/>
      </w:pPr>
      <w:r>
        <w:t xml:space="preserve">As discussed in section IX of the final rule, we received </w:t>
      </w:r>
      <w:r w:rsidR="00817776">
        <w:t xml:space="preserve">one </w:t>
      </w:r>
      <w:r>
        <w:t>comment suggesting th</w:t>
      </w:r>
      <w:r w:rsidR="00694455">
        <w:t>at the recordkeeping time burden in the proposed rule may have been underestimated if activities such as reassessments were not included</w:t>
      </w:r>
      <w:r w:rsidR="00817776">
        <w:t>.</w:t>
      </w:r>
      <w:r w:rsidR="0086408C">
        <w:t xml:space="preserve"> </w:t>
      </w:r>
      <w:r w:rsidR="0091554D">
        <w:t>We also received a few comments suggesting that the estimates</w:t>
      </w:r>
      <w:r w:rsidR="0021047B">
        <w:t xml:space="preserve"> for </w:t>
      </w:r>
      <w:r w:rsidR="009902CB">
        <w:t>assessment recordkeeping in the proposed rule, which ranged from 4-9 hours depending on farm size, may have been too low</w:t>
      </w:r>
      <w:r w:rsidR="001E0A88">
        <w:t>, since some farms may face various challenges in conducting agricultural water assessments</w:t>
      </w:r>
      <w:r w:rsidR="009902CB">
        <w:t xml:space="preserve">. </w:t>
      </w:r>
      <w:r w:rsidR="004C56D5">
        <w:t>In response to these comments, we explain that reassessments are included in the recordkeeping estimates. We also expl</w:t>
      </w:r>
      <w:r w:rsidR="000034D4">
        <w:t xml:space="preserve">ain that </w:t>
      </w:r>
      <w:r w:rsidR="006F72AE">
        <w:t xml:space="preserve">the </w:t>
      </w:r>
      <w:r w:rsidR="00CC73B5">
        <w:t>Final Regulatory Impact Analysis (</w:t>
      </w:r>
      <w:r w:rsidR="006F72AE">
        <w:t>FRIA</w:t>
      </w:r>
      <w:r w:rsidR="00CC73B5">
        <w:t>)</w:t>
      </w:r>
      <w:r w:rsidR="006F72AE">
        <w:t xml:space="preserve"> provides low, most likely, and high estimates </w:t>
      </w:r>
      <w:r w:rsidR="00831132">
        <w:t xml:space="preserve">for recordkeeping </w:t>
      </w:r>
      <w:r w:rsidR="006F72AE">
        <w:t>based on farm size in the recognition that</w:t>
      </w:r>
      <w:r>
        <w:t xml:space="preserve"> </w:t>
      </w:r>
      <w:r w:rsidR="002147C8">
        <w:t>the time it takes covered farms</w:t>
      </w:r>
      <w:r w:rsidR="00831132">
        <w:t xml:space="preserve"> to conduct recordkeeping for agricultural water assessments</w:t>
      </w:r>
      <w:r w:rsidR="002147C8">
        <w:t xml:space="preserve"> is likely to </w:t>
      </w:r>
      <w:r w:rsidR="00831132">
        <w:t>r</w:t>
      </w:r>
      <w:r w:rsidR="002147C8">
        <w:t xml:space="preserve">ange for a variety of reasons; </w:t>
      </w:r>
      <w:r w:rsidR="00B07985">
        <w:t>and</w:t>
      </w:r>
      <w:r w:rsidR="002147C8">
        <w:t xml:space="preserve"> that </w:t>
      </w:r>
      <w:r w:rsidR="00831132">
        <w:t xml:space="preserve">for the purposes of estimating the burden of information collection associated with agricultural water assessment recordkeeping, </w:t>
      </w:r>
      <w:r w:rsidR="002147C8">
        <w:t>we use the “most likely” values</w:t>
      </w:r>
      <w:r w:rsidR="00831132">
        <w:t xml:space="preserve"> from the FRIA</w:t>
      </w:r>
      <w:r w:rsidR="002147C8">
        <w:t>.</w:t>
      </w:r>
      <w:r w:rsidR="00B07985">
        <w:t xml:space="preserve"> </w:t>
      </w:r>
      <w:r w:rsidR="002147C8">
        <w:t xml:space="preserve"> </w:t>
      </w:r>
      <w:r w:rsidR="006F72AE">
        <w:t xml:space="preserve"> </w:t>
      </w:r>
    </w:p>
    <w:p w:rsidR="004C56D5" w:rsidP="00034225" w14:paraId="7A2F1C69" w14:textId="4EB66D49">
      <w:pPr>
        <w:ind w:left="720"/>
      </w:pPr>
    </w:p>
    <w:p w:rsidR="004C56D5" w:rsidP="00034225" w14:paraId="478B6335" w14:textId="05B02921">
      <w:pPr>
        <w:ind w:left="720"/>
      </w:pPr>
      <w:r>
        <w:t>As comments did not provide data o</w:t>
      </w:r>
      <w:r w:rsidR="00736DED">
        <w:t>r</w:t>
      </w:r>
      <w:r>
        <w:t xml:space="preserve"> information suggesting </w:t>
      </w:r>
      <w:r w:rsidR="00214C93">
        <w:t xml:space="preserve">recordkeeping </w:t>
      </w:r>
      <w:r w:rsidR="00E83FD9">
        <w:t xml:space="preserve">estimates that would be more applicable across </w:t>
      </w:r>
      <w:r w:rsidRPr="00183DF3" w:rsidR="00183DF3">
        <w:t>the diversity that exists in industry in agricultural water systems, operations, and conditions</w:t>
      </w:r>
      <w:r w:rsidR="00183DF3">
        <w:t>, we are not revising our estimates</w:t>
      </w:r>
      <w:r w:rsidR="00A374F3">
        <w:t xml:space="preserve"> </w:t>
      </w:r>
      <w:r w:rsidR="00831132">
        <w:t>for</w:t>
      </w:r>
      <w:r w:rsidR="00A374F3">
        <w:t xml:space="preserve"> information collection burden in response to comments. However, as discussed </w:t>
      </w:r>
      <w:r w:rsidR="00B3579C">
        <w:t>in section 12</w:t>
      </w:r>
      <w:r w:rsidR="00A374F3">
        <w:t xml:space="preserve">, </w:t>
      </w:r>
      <w:r w:rsidR="00713D8E">
        <w:t xml:space="preserve">we </w:t>
      </w:r>
      <w:r w:rsidR="00B3579C">
        <w:t>are</w:t>
      </w:r>
      <w:r w:rsidR="00713D8E">
        <w:t xml:space="preserve"> revis</w:t>
      </w:r>
      <w:r w:rsidR="00B3579C">
        <w:t>ing</w:t>
      </w:r>
      <w:r w:rsidR="00713D8E">
        <w:t xml:space="preserve"> some of our estimates to account for more recent data sources </w:t>
      </w:r>
      <w:r w:rsidR="00914402">
        <w:t>on covered farm counts.</w:t>
      </w:r>
      <w:r w:rsidR="00713D8E">
        <w:t xml:space="preserve"> </w:t>
      </w:r>
    </w:p>
    <w:p w:rsidR="00CD77C3" w:rsidRPr="005D77C7" w:rsidP="00034225" w14:paraId="2EF4F639" w14:textId="77777777">
      <w:pPr>
        <w:numPr>
          <w:ilvl w:val="0"/>
          <w:numId w:val="1"/>
        </w:numPr>
        <w:spacing w:before="100" w:beforeAutospacing="1" w:after="100" w:afterAutospacing="1"/>
        <w:rPr>
          <w:u w:val="single"/>
        </w:rPr>
      </w:pPr>
      <w:r w:rsidRPr="005D77C7">
        <w:rPr>
          <w:u w:val="single"/>
        </w:rPr>
        <w:t>Explanation of Any Payment or Gift to Respondents</w:t>
      </w:r>
    </w:p>
    <w:p w:rsidR="007A6647" w:rsidP="00320553" w14:paraId="0696ABB2" w14:textId="77777777">
      <w:pPr>
        <w:pStyle w:val="BodyText"/>
        <w:spacing w:before="90"/>
        <w:ind w:left="720"/>
      </w:pPr>
      <w:r>
        <w:t>This information collection does not provide for payment or gifts to respondents.</w:t>
      </w:r>
    </w:p>
    <w:p w:rsidR="00CD77C3" w:rsidRPr="00441FBE" w:rsidP="00EB7538" w14:paraId="5D458DF9" w14:textId="77777777">
      <w:pPr>
        <w:numPr>
          <w:ilvl w:val="0"/>
          <w:numId w:val="1"/>
        </w:numPr>
        <w:spacing w:before="100" w:beforeAutospacing="1" w:after="100" w:afterAutospacing="1"/>
        <w:rPr>
          <w:u w:val="single"/>
        </w:rPr>
      </w:pPr>
      <w:r w:rsidRPr="00441FBE">
        <w:rPr>
          <w:u w:val="single"/>
        </w:rPr>
        <w:t>Assurance of Confidentiality Provided to Respondents</w:t>
      </w:r>
    </w:p>
    <w:p w:rsidR="00E8166C" w:rsidRPr="00441FBE" w:rsidP="00E8166C" w14:paraId="7C33360A" w14:textId="77777777">
      <w:pPr>
        <w:spacing w:before="100" w:beforeAutospacing="1" w:after="100" w:afterAutospacing="1"/>
        <w:ind w:left="720"/>
      </w:pPr>
      <w:r w:rsidRPr="00441FBE">
        <w:t>In preparing this Supporting Statement, we consulted our Privacy Office to ensure appropriate identification and handling of information collected.</w:t>
      </w:r>
    </w:p>
    <w:p w:rsidR="00E8166C" w:rsidRPr="00441FBE" w:rsidP="00E8166C" w14:paraId="53AD0FF9" w14:textId="37772C9C">
      <w:pPr>
        <w:spacing w:before="100" w:beforeAutospacing="1" w:after="100" w:afterAutospacing="1"/>
        <w:ind w:left="720"/>
      </w:pPr>
      <w:r w:rsidRPr="00441FBE">
        <w:t xml:space="preserve">This ICR collects personally identifiable information (PII).  PII is collected in the context of the subject individuals’ professional capacity and the FDA-related work they perform for their employer (e.g., point of contact at a regulated entity).  </w:t>
      </w:r>
      <w:r w:rsidRPr="00544539">
        <w:t xml:space="preserve">The PII </w:t>
      </w:r>
      <w:r w:rsidR="001B6FDA">
        <w:t>collected</w:t>
      </w:r>
      <w:r w:rsidRPr="00441FBE" w:rsidR="001B6FDA">
        <w:t xml:space="preserve"> </w:t>
      </w:r>
      <w:r w:rsidRPr="00441FBE">
        <w:t xml:space="preserve">may include farm point of contact, farm address, and farm phone number. FDA determined that although PII is collected and stored in a Privacy Act system, eNSpect, the collection is not subject to the Privacy Act of 1974 and the particular notice and other requirements of the Act do not apply. Specifically, the contractor or FDA does not use name or any </w:t>
      </w:r>
      <w:r w:rsidRPr="00441FBE">
        <w:t>other personal identifier to retrieve records from the information collected. Through appropriate form and webpage design, FDA limited submission fields and minimized the PII collected to protect the privacy of the individuals.</w:t>
      </w:r>
    </w:p>
    <w:p w:rsidR="00E8166C" w:rsidRPr="00441FBE" w:rsidP="00E8166C" w14:paraId="314AA47E" w14:textId="77777777">
      <w:pPr>
        <w:spacing w:before="100" w:beforeAutospacing="1" w:after="100" w:afterAutospacing="1"/>
        <w:ind w:left="720"/>
      </w:pPr>
      <w:r w:rsidRPr="00441FBE">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4C6979" w:rsidRPr="004C6979" w:rsidP="00EB7538" w14:paraId="331F2A27" w14:textId="77777777">
      <w:pPr>
        <w:numPr>
          <w:ilvl w:val="0"/>
          <w:numId w:val="1"/>
        </w:numPr>
        <w:spacing w:before="100" w:beforeAutospacing="1" w:after="100" w:afterAutospacing="1"/>
        <w:rPr>
          <w:u w:val="single"/>
        </w:rPr>
      </w:pPr>
      <w:r w:rsidRPr="004C6979">
        <w:rPr>
          <w:u w:val="single"/>
        </w:rPr>
        <w:t>Justification for Sensitive Questions</w:t>
      </w:r>
    </w:p>
    <w:p w:rsidR="004C6979" w:rsidP="002B3CEC" w14:paraId="4DA0D8E2" w14:textId="77777777">
      <w:pPr>
        <w:pStyle w:val="BodyText"/>
        <w:spacing w:before="90"/>
        <w:ind w:left="720"/>
      </w:pPr>
      <w:r>
        <w:t>This information collection does not contain questions of a sensitive nature.</w:t>
      </w:r>
    </w:p>
    <w:p w:rsidR="004C6979" w:rsidRPr="004C6979" w:rsidP="00EB7538" w14:paraId="2EAD3137" w14:textId="77777777">
      <w:pPr>
        <w:numPr>
          <w:ilvl w:val="0"/>
          <w:numId w:val="1"/>
        </w:numPr>
        <w:spacing w:before="100" w:beforeAutospacing="1" w:after="100" w:afterAutospacing="1"/>
        <w:rPr>
          <w:u w:val="single"/>
        </w:rPr>
      </w:pPr>
      <w:r w:rsidRPr="004C6979">
        <w:rPr>
          <w:u w:val="single"/>
        </w:rPr>
        <w:t>Estimates of Annualized Burden Hours and Costs</w:t>
      </w:r>
    </w:p>
    <w:p w:rsidR="00747996" w:rsidRPr="00747996" w:rsidP="00747996" w14:paraId="4545E006" w14:textId="77777777">
      <w:pPr>
        <w:pStyle w:val="BodyText"/>
        <w:spacing w:before="90"/>
        <w:ind w:left="720" w:right="634"/>
      </w:pPr>
      <w:r>
        <w:tab/>
      </w:r>
      <w:r w:rsidRPr="004E3564">
        <w:rPr>
          <w:i/>
        </w:rPr>
        <w:t>12a.  Annualized Hour Burden Estimate</w:t>
      </w:r>
    </w:p>
    <w:p w:rsidR="002B3CEC" w:rsidP="002B3CEC" w14:paraId="24B0263D" w14:textId="0661EB57">
      <w:pPr>
        <w:pStyle w:val="BodyText"/>
        <w:spacing w:before="90"/>
        <w:ind w:left="720" w:right="628"/>
      </w:pPr>
      <w:r>
        <w:tab/>
      </w:r>
    </w:p>
    <w:p w:rsidR="00E66E94" w:rsidRPr="008C4819" w:rsidP="008C4819" w14:paraId="4E296D2A" w14:textId="3EF87EBA">
      <w:pPr>
        <w:ind w:firstLine="720"/>
        <w:jc w:val="center"/>
        <w:rPr>
          <w:sz w:val="22"/>
          <w:szCs w:val="22"/>
        </w:rPr>
      </w:pPr>
      <w:r w:rsidRPr="008C4819">
        <w:rPr>
          <w:sz w:val="22"/>
          <w:szCs w:val="22"/>
        </w:rPr>
        <w:t xml:space="preserve">Table </w:t>
      </w:r>
      <w:r w:rsidRPr="008C4819" w:rsidR="00027785">
        <w:rPr>
          <w:sz w:val="22"/>
          <w:szCs w:val="22"/>
        </w:rPr>
        <w:t>1</w:t>
      </w:r>
      <w:r w:rsidRPr="008C4819">
        <w:rPr>
          <w:sz w:val="22"/>
          <w:szCs w:val="22"/>
        </w:rPr>
        <w:t xml:space="preserve">.--Cumulative Average </w:t>
      </w:r>
      <w:r w:rsidRPr="008C4819" w:rsidR="009A0148">
        <w:rPr>
          <w:sz w:val="22"/>
          <w:szCs w:val="22"/>
        </w:rPr>
        <w:t xml:space="preserve">Recordkeeping </w:t>
      </w:r>
      <w:r w:rsidRPr="008C4819">
        <w:rPr>
          <w:sz w:val="22"/>
          <w:szCs w:val="22"/>
        </w:rPr>
        <w:t>Annual Burden, Covered Farms of All Sizes</w:t>
      </w:r>
    </w:p>
    <w:tbl>
      <w:tblPr>
        <w:tblW w:w="87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2970"/>
        <w:gridCol w:w="1350"/>
        <w:gridCol w:w="1260"/>
        <w:gridCol w:w="990"/>
        <w:gridCol w:w="1170"/>
        <w:gridCol w:w="963"/>
      </w:tblGrid>
      <w:tr w14:paraId="2EDC5D42" w14:textId="77777777" w:rsidTr="008C4819">
        <w:tblPrEx>
          <w:tblW w:w="87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rHeight w:val="1091"/>
        </w:trPr>
        <w:tc>
          <w:tcPr>
            <w:tcW w:w="2970" w:type="dxa"/>
          </w:tcPr>
          <w:p w:rsidR="00E66E94" w:rsidRPr="00AA39F4" w:rsidP="00A54F43" w14:paraId="264DB88E" w14:textId="77777777">
            <w:pPr>
              <w:contextualSpacing/>
              <w:jc w:val="center"/>
              <w:rPr>
                <w:sz w:val="21"/>
                <w:szCs w:val="21"/>
              </w:rPr>
            </w:pPr>
            <w:r w:rsidRPr="00AA39F4">
              <w:rPr>
                <w:sz w:val="21"/>
                <w:szCs w:val="21"/>
              </w:rPr>
              <w:t xml:space="preserve">21 CFR 112 subpart E:  Requirements that apply regarding records </w:t>
            </w:r>
          </w:p>
        </w:tc>
        <w:tc>
          <w:tcPr>
            <w:tcW w:w="1350" w:type="dxa"/>
          </w:tcPr>
          <w:p w:rsidR="00E66E94" w:rsidRPr="00AA39F4" w:rsidP="00A54F43" w14:paraId="0EADE054" w14:textId="77777777">
            <w:pPr>
              <w:contextualSpacing/>
              <w:jc w:val="center"/>
              <w:rPr>
                <w:sz w:val="21"/>
                <w:szCs w:val="21"/>
              </w:rPr>
            </w:pPr>
            <w:r w:rsidRPr="00AA39F4">
              <w:rPr>
                <w:sz w:val="21"/>
                <w:szCs w:val="21"/>
              </w:rPr>
              <w:t>Total No. of Respondents</w:t>
            </w:r>
          </w:p>
        </w:tc>
        <w:tc>
          <w:tcPr>
            <w:tcW w:w="1260" w:type="dxa"/>
          </w:tcPr>
          <w:p w:rsidR="00E66E94" w:rsidRPr="00AA39F4" w:rsidP="00A54F43" w14:paraId="3F83A798" w14:textId="77777777">
            <w:pPr>
              <w:contextualSpacing/>
              <w:jc w:val="center"/>
              <w:rPr>
                <w:sz w:val="21"/>
                <w:szCs w:val="21"/>
              </w:rPr>
            </w:pPr>
            <w:r w:rsidRPr="00AA39F4">
              <w:rPr>
                <w:sz w:val="21"/>
                <w:szCs w:val="21"/>
              </w:rPr>
              <w:t>No. of Records per Respondent</w:t>
            </w:r>
          </w:p>
        </w:tc>
        <w:tc>
          <w:tcPr>
            <w:tcW w:w="990" w:type="dxa"/>
          </w:tcPr>
          <w:p w:rsidR="00E66E94" w:rsidRPr="00AA39F4" w:rsidP="00A54F43" w14:paraId="38C14B16" w14:textId="77777777">
            <w:pPr>
              <w:contextualSpacing/>
              <w:jc w:val="center"/>
              <w:rPr>
                <w:sz w:val="21"/>
                <w:szCs w:val="21"/>
              </w:rPr>
            </w:pPr>
            <w:r w:rsidRPr="00AA39F4">
              <w:rPr>
                <w:sz w:val="21"/>
                <w:szCs w:val="21"/>
              </w:rPr>
              <w:t>Total Annual Records</w:t>
            </w:r>
          </w:p>
        </w:tc>
        <w:tc>
          <w:tcPr>
            <w:tcW w:w="1170" w:type="dxa"/>
          </w:tcPr>
          <w:p w:rsidR="00E66E94" w:rsidRPr="00AA39F4" w:rsidP="00A54F43" w14:paraId="6A6A4ECD" w14:textId="77777777">
            <w:pPr>
              <w:contextualSpacing/>
              <w:jc w:val="center"/>
              <w:rPr>
                <w:sz w:val="21"/>
                <w:szCs w:val="21"/>
              </w:rPr>
            </w:pPr>
            <w:r w:rsidRPr="00AA39F4">
              <w:rPr>
                <w:sz w:val="21"/>
                <w:szCs w:val="21"/>
              </w:rPr>
              <w:t>Average Burden per Farm (in hours)</w:t>
            </w:r>
          </w:p>
        </w:tc>
        <w:tc>
          <w:tcPr>
            <w:tcW w:w="963" w:type="dxa"/>
          </w:tcPr>
          <w:p w:rsidR="00E66E94" w:rsidRPr="00AA39F4" w:rsidP="00A54F43" w14:paraId="0B5DF713" w14:textId="77777777">
            <w:pPr>
              <w:contextualSpacing/>
              <w:jc w:val="center"/>
              <w:rPr>
                <w:sz w:val="21"/>
                <w:szCs w:val="21"/>
              </w:rPr>
            </w:pPr>
            <w:r w:rsidRPr="00AA39F4">
              <w:rPr>
                <w:sz w:val="21"/>
                <w:szCs w:val="21"/>
              </w:rPr>
              <w:t>Total Hours</w:t>
            </w:r>
          </w:p>
        </w:tc>
      </w:tr>
      <w:tr w14:paraId="71B09ECC" w14:textId="77777777" w:rsidTr="008C4819">
        <w:tblPrEx>
          <w:tblW w:w="8703" w:type="dxa"/>
          <w:tblInd w:w="535" w:type="dxa"/>
          <w:tblLayout w:type="fixed"/>
          <w:tblCellMar>
            <w:left w:w="120" w:type="dxa"/>
            <w:right w:w="120" w:type="dxa"/>
          </w:tblCellMar>
          <w:tblLook w:val="04A0"/>
        </w:tblPrEx>
        <w:trPr>
          <w:trHeight w:val="282"/>
        </w:trPr>
        <w:tc>
          <w:tcPr>
            <w:tcW w:w="2970" w:type="dxa"/>
          </w:tcPr>
          <w:p w:rsidR="00E66E94" w:rsidRPr="00665AFE" w:rsidP="00A54F43" w14:paraId="56F28025" w14:textId="1485C8CA">
            <w:pPr>
              <w:contextualSpacing/>
              <w:rPr>
                <w:sz w:val="22"/>
                <w:szCs w:val="22"/>
              </w:rPr>
            </w:pPr>
            <w:r w:rsidRPr="00665AFE">
              <w:rPr>
                <w:sz w:val="22"/>
                <w:szCs w:val="22"/>
              </w:rPr>
              <w:t xml:space="preserve">Agricultural Water Assessment and Records Maintenance--Very </w:t>
            </w:r>
            <w:r w:rsidRPr="00665AFE" w:rsidR="00032D90">
              <w:rPr>
                <w:sz w:val="22"/>
                <w:szCs w:val="22"/>
              </w:rPr>
              <w:t>small, covered</w:t>
            </w:r>
            <w:r w:rsidRPr="00665AFE">
              <w:rPr>
                <w:sz w:val="22"/>
                <w:szCs w:val="22"/>
              </w:rPr>
              <w:t xml:space="preserve"> farms (§</w:t>
            </w:r>
            <w:r w:rsidRPr="00665AFE" w:rsidR="00AA39F4">
              <w:rPr>
                <w:sz w:val="22"/>
                <w:szCs w:val="22"/>
              </w:rPr>
              <w:t> </w:t>
            </w:r>
            <w:r w:rsidRPr="00665AFE">
              <w:rPr>
                <w:sz w:val="22"/>
                <w:szCs w:val="22"/>
              </w:rPr>
              <w:t>112.50(b)(2))</w:t>
            </w:r>
          </w:p>
        </w:tc>
        <w:tc>
          <w:tcPr>
            <w:tcW w:w="1350" w:type="dxa"/>
          </w:tcPr>
          <w:p w:rsidR="00E66E94" w:rsidRPr="00665AFE" w:rsidP="00A54F43" w14:paraId="302AFD1C" w14:textId="2295486F">
            <w:pPr>
              <w:contextualSpacing/>
              <w:jc w:val="right"/>
              <w:rPr>
                <w:sz w:val="22"/>
                <w:szCs w:val="22"/>
              </w:rPr>
            </w:pPr>
            <w:r>
              <w:rPr>
                <w:sz w:val="22"/>
                <w:szCs w:val="22"/>
              </w:rPr>
              <w:t>9911</w:t>
            </w:r>
          </w:p>
        </w:tc>
        <w:tc>
          <w:tcPr>
            <w:tcW w:w="1260" w:type="dxa"/>
          </w:tcPr>
          <w:p w:rsidR="00E66E94" w:rsidRPr="00665AFE" w:rsidP="00A54F43" w14:paraId="7C3CE3B3" w14:textId="77777777">
            <w:pPr>
              <w:contextualSpacing/>
              <w:jc w:val="right"/>
              <w:rPr>
                <w:sz w:val="22"/>
                <w:szCs w:val="22"/>
              </w:rPr>
            </w:pPr>
            <w:r w:rsidRPr="00665AFE">
              <w:rPr>
                <w:sz w:val="22"/>
                <w:szCs w:val="22"/>
              </w:rPr>
              <w:t>1.1</w:t>
            </w:r>
          </w:p>
        </w:tc>
        <w:tc>
          <w:tcPr>
            <w:tcW w:w="990" w:type="dxa"/>
          </w:tcPr>
          <w:p w:rsidR="00E66E94" w:rsidRPr="00665AFE" w:rsidP="00A54F43" w14:paraId="46F843A3" w14:textId="0FAB0F57">
            <w:pPr>
              <w:contextualSpacing/>
              <w:jc w:val="right"/>
              <w:rPr>
                <w:sz w:val="22"/>
                <w:szCs w:val="22"/>
              </w:rPr>
            </w:pPr>
            <w:r>
              <w:rPr>
                <w:sz w:val="22"/>
                <w:szCs w:val="22"/>
              </w:rPr>
              <w:t>10902</w:t>
            </w:r>
          </w:p>
        </w:tc>
        <w:tc>
          <w:tcPr>
            <w:tcW w:w="1170" w:type="dxa"/>
          </w:tcPr>
          <w:p w:rsidR="00E66E94" w:rsidRPr="00665AFE" w:rsidP="00A54F43" w14:paraId="3D479690" w14:textId="77777777">
            <w:pPr>
              <w:contextualSpacing/>
              <w:jc w:val="right"/>
              <w:rPr>
                <w:sz w:val="22"/>
                <w:szCs w:val="22"/>
              </w:rPr>
            </w:pPr>
            <w:r w:rsidRPr="00665AFE">
              <w:rPr>
                <w:sz w:val="22"/>
                <w:szCs w:val="22"/>
              </w:rPr>
              <w:t>4</w:t>
            </w:r>
          </w:p>
        </w:tc>
        <w:tc>
          <w:tcPr>
            <w:tcW w:w="963" w:type="dxa"/>
          </w:tcPr>
          <w:p w:rsidR="00E66E94" w:rsidP="00A54F43" w14:paraId="7E67DDB0" w14:textId="4A273661">
            <w:pPr>
              <w:contextualSpacing/>
              <w:jc w:val="right"/>
            </w:pPr>
            <w:r>
              <w:t>43608</w:t>
            </w:r>
          </w:p>
        </w:tc>
      </w:tr>
      <w:tr w14:paraId="54ADB4D9" w14:textId="77777777" w:rsidTr="008C4819">
        <w:tblPrEx>
          <w:tblW w:w="8703" w:type="dxa"/>
          <w:tblInd w:w="535" w:type="dxa"/>
          <w:tblLayout w:type="fixed"/>
          <w:tblCellMar>
            <w:left w:w="120" w:type="dxa"/>
            <w:right w:w="120" w:type="dxa"/>
          </w:tblCellMar>
          <w:tblLook w:val="04A0"/>
        </w:tblPrEx>
        <w:trPr>
          <w:trHeight w:val="282"/>
        </w:trPr>
        <w:tc>
          <w:tcPr>
            <w:tcW w:w="2970" w:type="dxa"/>
          </w:tcPr>
          <w:p w:rsidR="00E66E94" w:rsidRPr="00665AFE" w:rsidP="00A54F43" w14:paraId="1FC8EDAD" w14:textId="0D5BC448">
            <w:pPr>
              <w:contextualSpacing/>
              <w:rPr>
                <w:sz w:val="22"/>
                <w:szCs w:val="22"/>
              </w:rPr>
            </w:pPr>
            <w:r w:rsidRPr="00665AFE">
              <w:rPr>
                <w:sz w:val="22"/>
                <w:szCs w:val="22"/>
              </w:rPr>
              <w:t>Agricultural Water Assessment and Records Maintenance--Small covered farms (§</w:t>
            </w:r>
            <w:r w:rsidRPr="00665AFE" w:rsidR="00AA39F4">
              <w:rPr>
                <w:sz w:val="22"/>
                <w:szCs w:val="22"/>
              </w:rPr>
              <w:t> </w:t>
            </w:r>
            <w:r w:rsidRPr="00665AFE">
              <w:rPr>
                <w:sz w:val="22"/>
                <w:szCs w:val="22"/>
              </w:rPr>
              <w:t>112.50(b)(2))</w:t>
            </w:r>
          </w:p>
        </w:tc>
        <w:tc>
          <w:tcPr>
            <w:tcW w:w="1350" w:type="dxa"/>
          </w:tcPr>
          <w:p w:rsidR="00E66E94" w:rsidRPr="00665AFE" w:rsidP="00A54F43" w14:paraId="7A52B92C" w14:textId="600EEAD6">
            <w:pPr>
              <w:contextualSpacing/>
              <w:jc w:val="right"/>
              <w:rPr>
                <w:sz w:val="22"/>
                <w:szCs w:val="22"/>
              </w:rPr>
            </w:pPr>
            <w:r>
              <w:rPr>
                <w:sz w:val="22"/>
                <w:szCs w:val="22"/>
              </w:rPr>
              <w:t>2057</w:t>
            </w:r>
          </w:p>
        </w:tc>
        <w:tc>
          <w:tcPr>
            <w:tcW w:w="1260" w:type="dxa"/>
          </w:tcPr>
          <w:p w:rsidR="00E66E94" w:rsidRPr="00665AFE" w:rsidP="00A54F43" w14:paraId="5296B715" w14:textId="77777777">
            <w:pPr>
              <w:contextualSpacing/>
              <w:jc w:val="right"/>
              <w:rPr>
                <w:sz w:val="22"/>
                <w:szCs w:val="22"/>
              </w:rPr>
            </w:pPr>
            <w:r w:rsidRPr="00665AFE">
              <w:rPr>
                <w:sz w:val="22"/>
                <w:szCs w:val="22"/>
              </w:rPr>
              <w:t>1.1</w:t>
            </w:r>
          </w:p>
        </w:tc>
        <w:tc>
          <w:tcPr>
            <w:tcW w:w="990" w:type="dxa"/>
          </w:tcPr>
          <w:p w:rsidR="00E66E94" w:rsidRPr="00665AFE" w:rsidP="00A54F43" w14:paraId="7AFA8242" w14:textId="548AF0E5">
            <w:pPr>
              <w:contextualSpacing/>
              <w:jc w:val="right"/>
              <w:rPr>
                <w:sz w:val="22"/>
                <w:szCs w:val="22"/>
              </w:rPr>
            </w:pPr>
            <w:r>
              <w:rPr>
                <w:sz w:val="22"/>
                <w:szCs w:val="22"/>
              </w:rPr>
              <w:t>2263</w:t>
            </w:r>
          </w:p>
        </w:tc>
        <w:tc>
          <w:tcPr>
            <w:tcW w:w="1170" w:type="dxa"/>
          </w:tcPr>
          <w:p w:rsidR="00E66E94" w:rsidRPr="00665AFE" w:rsidP="00A54F43" w14:paraId="776411D0" w14:textId="77777777">
            <w:pPr>
              <w:contextualSpacing/>
              <w:jc w:val="right"/>
              <w:rPr>
                <w:sz w:val="22"/>
                <w:szCs w:val="22"/>
              </w:rPr>
            </w:pPr>
            <w:r w:rsidRPr="00665AFE">
              <w:rPr>
                <w:sz w:val="22"/>
                <w:szCs w:val="22"/>
              </w:rPr>
              <w:t>8</w:t>
            </w:r>
          </w:p>
        </w:tc>
        <w:tc>
          <w:tcPr>
            <w:tcW w:w="963" w:type="dxa"/>
          </w:tcPr>
          <w:p w:rsidR="00E66E94" w:rsidP="00A54F43" w14:paraId="550C51DF" w14:textId="78943EBC">
            <w:pPr>
              <w:contextualSpacing/>
              <w:jc w:val="right"/>
            </w:pPr>
            <w:r>
              <w:t>18102</w:t>
            </w:r>
          </w:p>
        </w:tc>
      </w:tr>
      <w:tr w14:paraId="7AF78782" w14:textId="77777777" w:rsidTr="008C4819">
        <w:tblPrEx>
          <w:tblW w:w="8703" w:type="dxa"/>
          <w:tblInd w:w="535" w:type="dxa"/>
          <w:tblLayout w:type="fixed"/>
          <w:tblCellMar>
            <w:left w:w="120" w:type="dxa"/>
            <w:right w:w="120" w:type="dxa"/>
          </w:tblCellMar>
          <w:tblLook w:val="04A0"/>
        </w:tblPrEx>
        <w:trPr>
          <w:trHeight w:val="282"/>
        </w:trPr>
        <w:tc>
          <w:tcPr>
            <w:tcW w:w="2970" w:type="dxa"/>
          </w:tcPr>
          <w:p w:rsidR="00E66E94" w:rsidRPr="00665AFE" w:rsidP="00A54F43" w14:paraId="26FFC4B2" w14:textId="4CD47365">
            <w:pPr>
              <w:contextualSpacing/>
              <w:rPr>
                <w:sz w:val="22"/>
                <w:szCs w:val="22"/>
              </w:rPr>
            </w:pPr>
            <w:r w:rsidRPr="00665AFE">
              <w:rPr>
                <w:sz w:val="22"/>
                <w:szCs w:val="22"/>
              </w:rPr>
              <w:t>Agricultural Water Assessment and Records Maintenance--All other (Large) Covered Farms (§ 112.50(b)(2))</w:t>
            </w:r>
          </w:p>
        </w:tc>
        <w:tc>
          <w:tcPr>
            <w:tcW w:w="1350" w:type="dxa"/>
          </w:tcPr>
          <w:p w:rsidR="00E66E94" w:rsidRPr="00665AFE" w:rsidP="00A54F43" w14:paraId="3D29AEAA" w14:textId="0F2E8BD6">
            <w:pPr>
              <w:contextualSpacing/>
              <w:jc w:val="right"/>
              <w:rPr>
                <w:sz w:val="22"/>
                <w:szCs w:val="22"/>
              </w:rPr>
            </w:pPr>
            <w:r>
              <w:rPr>
                <w:sz w:val="22"/>
                <w:szCs w:val="22"/>
              </w:rPr>
              <w:t>5392</w:t>
            </w:r>
          </w:p>
        </w:tc>
        <w:tc>
          <w:tcPr>
            <w:tcW w:w="1260" w:type="dxa"/>
          </w:tcPr>
          <w:p w:rsidR="00E66E94" w:rsidRPr="00665AFE" w:rsidP="00A54F43" w14:paraId="031E8CF9" w14:textId="77777777">
            <w:pPr>
              <w:contextualSpacing/>
              <w:jc w:val="right"/>
              <w:rPr>
                <w:sz w:val="22"/>
                <w:szCs w:val="22"/>
              </w:rPr>
            </w:pPr>
            <w:r w:rsidRPr="00665AFE">
              <w:rPr>
                <w:sz w:val="22"/>
                <w:szCs w:val="22"/>
              </w:rPr>
              <w:t>1.1</w:t>
            </w:r>
          </w:p>
        </w:tc>
        <w:tc>
          <w:tcPr>
            <w:tcW w:w="990" w:type="dxa"/>
          </w:tcPr>
          <w:p w:rsidR="00E66E94" w:rsidRPr="00665AFE" w:rsidP="00A54F43" w14:paraId="4612DE6F" w14:textId="104E2823">
            <w:pPr>
              <w:contextualSpacing/>
              <w:jc w:val="right"/>
              <w:rPr>
                <w:sz w:val="22"/>
                <w:szCs w:val="22"/>
              </w:rPr>
            </w:pPr>
            <w:r>
              <w:rPr>
                <w:sz w:val="22"/>
                <w:szCs w:val="22"/>
              </w:rPr>
              <w:t>5931</w:t>
            </w:r>
          </w:p>
        </w:tc>
        <w:tc>
          <w:tcPr>
            <w:tcW w:w="1170" w:type="dxa"/>
          </w:tcPr>
          <w:p w:rsidR="00E66E94" w:rsidRPr="00665AFE" w:rsidP="00A54F43" w14:paraId="5CEC2815" w14:textId="77777777">
            <w:pPr>
              <w:contextualSpacing/>
              <w:jc w:val="right"/>
              <w:rPr>
                <w:sz w:val="22"/>
                <w:szCs w:val="22"/>
              </w:rPr>
            </w:pPr>
            <w:r w:rsidRPr="00665AFE">
              <w:rPr>
                <w:sz w:val="22"/>
                <w:szCs w:val="22"/>
              </w:rPr>
              <w:t>9</w:t>
            </w:r>
          </w:p>
        </w:tc>
        <w:tc>
          <w:tcPr>
            <w:tcW w:w="963" w:type="dxa"/>
          </w:tcPr>
          <w:p w:rsidR="00E66E94" w:rsidP="00A54F43" w14:paraId="6ACAA3B7" w14:textId="7548A9E5">
            <w:pPr>
              <w:contextualSpacing/>
              <w:jc w:val="right"/>
            </w:pPr>
            <w:r>
              <w:t>53381</w:t>
            </w:r>
          </w:p>
        </w:tc>
      </w:tr>
      <w:tr w14:paraId="3EB8A3D0" w14:textId="77777777" w:rsidTr="008C4819">
        <w:tblPrEx>
          <w:tblW w:w="8703" w:type="dxa"/>
          <w:tblInd w:w="535" w:type="dxa"/>
          <w:tblLayout w:type="fixed"/>
          <w:tblCellMar>
            <w:left w:w="120" w:type="dxa"/>
            <w:right w:w="120" w:type="dxa"/>
          </w:tblCellMar>
          <w:tblLook w:val="04A0"/>
        </w:tblPrEx>
        <w:trPr>
          <w:trHeight w:val="282"/>
        </w:trPr>
        <w:tc>
          <w:tcPr>
            <w:tcW w:w="2970" w:type="dxa"/>
          </w:tcPr>
          <w:p w:rsidR="00E66E94" w:rsidRPr="00665AFE" w:rsidP="00A54F43" w14:paraId="051672F4" w14:textId="77777777">
            <w:pPr>
              <w:rPr>
                <w:sz w:val="22"/>
                <w:szCs w:val="22"/>
              </w:rPr>
            </w:pPr>
            <w:r w:rsidRPr="00665AFE">
              <w:rPr>
                <w:sz w:val="22"/>
                <w:szCs w:val="22"/>
              </w:rPr>
              <w:t>Cumulative totals for covered farms of all sizes</w:t>
            </w:r>
          </w:p>
        </w:tc>
        <w:tc>
          <w:tcPr>
            <w:tcW w:w="1350" w:type="dxa"/>
          </w:tcPr>
          <w:p w:rsidR="00E66E94" w:rsidRPr="00182127" w:rsidP="00A54F43" w14:paraId="49449D55" w14:textId="53EE3580">
            <w:pPr>
              <w:contextualSpacing/>
              <w:jc w:val="right"/>
              <w:rPr>
                <w:b/>
                <w:bCs/>
                <w:sz w:val="22"/>
                <w:szCs w:val="22"/>
              </w:rPr>
            </w:pPr>
            <w:r w:rsidRPr="00182127">
              <w:rPr>
                <w:b/>
                <w:bCs/>
                <w:sz w:val="22"/>
                <w:szCs w:val="22"/>
              </w:rPr>
              <w:t>17360</w:t>
            </w:r>
          </w:p>
        </w:tc>
        <w:tc>
          <w:tcPr>
            <w:tcW w:w="1260" w:type="dxa"/>
          </w:tcPr>
          <w:p w:rsidR="00E66E94" w:rsidRPr="00665AFE" w:rsidP="00A54F43" w14:paraId="6854A38A" w14:textId="3D72AC3C">
            <w:pPr>
              <w:contextualSpacing/>
              <w:jc w:val="right"/>
              <w:rPr>
                <w:sz w:val="22"/>
                <w:szCs w:val="22"/>
              </w:rPr>
            </w:pPr>
          </w:p>
        </w:tc>
        <w:tc>
          <w:tcPr>
            <w:tcW w:w="990" w:type="dxa"/>
          </w:tcPr>
          <w:p w:rsidR="00E66E94" w:rsidRPr="00182127" w:rsidP="00A54F43" w14:paraId="1212C0EC" w14:textId="535D72A7">
            <w:pPr>
              <w:contextualSpacing/>
              <w:jc w:val="right"/>
              <w:rPr>
                <w:b/>
                <w:bCs/>
                <w:sz w:val="22"/>
                <w:szCs w:val="22"/>
              </w:rPr>
            </w:pPr>
            <w:r w:rsidRPr="00182127">
              <w:rPr>
                <w:b/>
                <w:bCs/>
                <w:sz w:val="22"/>
                <w:szCs w:val="22"/>
              </w:rPr>
              <w:t>1</w:t>
            </w:r>
            <w:r w:rsidRPr="00182127" w:rsidR="000C2537">
              <w:rPr>
                <w:b/>
                <w:bCs/>
                <w:sz w:val="22"/>
                <w:szCs w:val="22"/>
              </w:rPr>
              <w:t>9096</w:t>
            </w:r>
          </w:p>
        </w:tc>
        <w:tc>
          <w:tcPr>
            <w:tcW w:w="1170" w:type="dxa"/>
          </w:tcPr>
          <w:p w:rsidR="00E66E94" w:rsidRPr="00665AFE" w:rsidP="00A54F43" w14:paraId="747FE4C3" w14:textId="4F88C34A">
            <w:pPr>
              <w:contextualSpacing/>
              <w:jc w:val="right"/>
              <w:rPr>
                <w:sz w:val="22"/>
                <w:szCs w:val="22"/>
              </w:rPr>
            </w:pPr>
          </w:p>
        </w:tc>
        <w:tc>
          <w:tcPr>
            <w:tcW w:w="963" w:type="dxa"/>
          </w:tcPr>
          <w:p w:rsidR="00E66E94" w:rsidRPr="00182127" w:rsidP="00A54F43" w14:paraId="69781488" w14:textId="5CA17974">
            <w:pPr>
              <w:contextualSpacing/>
              <w:jc w:val="right"/>
              <w:rPr>
                <w:b/>
                <w:bCs/>
              </w:rPr>
            </w:pPr>
            <w:r w:rsidRPr="00182127">
              <w:rPr>
                <w:b/>
                <w:bCs/>
              </w:rPr>
              <w:t>115091</w:t>
            </w:r>
          </w:p>
        </w:tc>
      </w:tr>
      <w:tr w14:paraId="2BDCD2FC" w14:textId="77777777" w:rsidTr="00665AFE">
        <w:tblPrEx>
          <w:tblW w:w="8703" w:type="dxa"/>
          <w:tblInd w:w="535" w:type="dxa"/>
          <w:tblLayout w:type="fixed"/>
          <w:tblCellMar>
            <w:left w:w="120" w:type="dxa"/>
            <w:right w:w="120" w:type="dxa"/>
          </w:tblCellMar>
          <w:tblLook w:val="04A0"/>
        </w:tblPrEx>
        <w:trPr>
          <w:trHeight w:val="282"/>
        </w:trPr>
        <w:tc>
          <w:tcPr>
            <w:tcW w:w="8703" w:type="dxa"/>
            <w:gridSpan w:val="6"/>
          </w:tcPr>
          <w:p w:rsidR="00E66E94" w:rsidRPr="00665AFE" w:rsidP="00A54F43" w14:paraId="4C712672" w14:textId="77777777">
            <w:pPr>
              <w:contextualSpacing/>
              <w:rPr>
                <w:sz w:val="22"/>
                <w:szCs w:val="22"/>
              </w:rPr>
            </w:pPr>
            <w:r w:rsidRPr="00665AFE">
              <w:rPr>
                <w:sz w:val="22"/>
                <w:szCs w:val="22"/>
              </w:rPr>
              <w:t>Cumulative average 7.0 burden hours per covered farm annually</w:t>
            </w:r>
          </w:p>
        </w:tc>
      </w:tr>
    </w:tbl>
    <w:p w:rsidR="00AA39F4" w:rsidP="006758AC" w14:paraId="6809BD42" w14:textId="77777777">
      <w:pPr>
        <w:pStyle w:val="BodyText2"/>
        <w:ind w:left="720"/>
      </w:pPr>
    </w:p>
    <w:p w:rsidR="008D4256" w:rsidP="006758AC" w14:paraId="1921BA5C" w14:textId="5653C9C7">
      <w:pPr>
        <w:pStyle w:val="BodyText2"/>
        <w:ind w:left="720"/>
      </w:pPr>
      <w:r w:rsidRPr="002C7F47">
        <w:t>Section</w:t>
      </w:r>
      <w:r w:rsidRPr="002C7F47" w:rsidR="00076159">
        <w:t xml:space="preserve"> 112.50(b)(2) require</w:t>
      </w:r>
      <w:r w:rsidRPr="002C7F47">
        <w:t>s</w:t>
      </w:r>
      <w:r w:rsidRPr="002C7F47" w:rsidR="00076159">
        <w:t xml:space="preserve"> c</w:t>
      </w:r>
      <w:r w:rsidRPr="002C7F47" w:rsidR="00D2298E">
        <w:t xml:space="preserve">overed farms using pre-harvest agricultural water for non-sprout covered produce </w:t>
      </w:r>
      <w:r w:rsidRPr="002C7F47" w:rsidR="00076159">
        <w:t>to</w:t>
      </w:r>
      <w:r w:rsidRPr="002C7F47" w:rsidR="00D2298E">
        <w:t xml:space="preserve"> prepare and maintain records of their agricultural water assessments unless </w:t>
      </w:r>
      <w:r w:rsidRPr="002C7F47">
        <w:t>exempt</w:t>
      </w:r>
      <w:r w:rsidRPr="002C7F47" w:rsidR="00D2298E">
        <w:t xml:space="preserve"> under § 112.43(b</w:t>
      </w:r>
      <w:r w:rsidRPr="00661F5B" w:rsidR="00D2298E">
        <w:t xml:space="preserve">). </w:t>
      </w:r>
      <w:r w:rsidRPr="00661F5B" w:rsidR="00D84964">
        <w:t>We estimate that a total of 1</w:t>
      </w:r>
      <w:r w:rsidRPr="00661F5B" w:rsidR="008040FC">
        <w:t>7,360</w:t>
      </w:r>
      <w:r w:rsidRPr="00661F5B" w:rsidR="00D84964">
        <w:t xml:space="preserve"> covered farms (</w:t>
      </w:r>
      <w:r w:rsidRPr="00661F5B" w:rsidR="008040FC">
        <w:t>9,911</w:t>
      </w:r>
      <w:r w:rsidRPr="00661F5B" w:rsidR="00D84964">
        <w:t xml:space="preserve"> very small farms, </w:t>
      </w:r>
      <w:r w:rsidRPr="00661F5B" w:rsidR="00E95AFD">
        <w:t>2,057</w:t>
      </w:r>
      <w:r w:rsidRPr="00661F5B" w:rsidR="00D84964">
        <w:t xml:space="preserve"> small farms, and </w:t>
      </w:r>
      <w:r w:rsidRPr="00661F5B" w:rsidR="00E95AFD">
        <w:t>5,392</w:t>
      </w:r>
      <w:r w:rsidRPr="00661F5B" w:rsidR="00D84964">
        <w:t xml:space="preserve"> other (large) covered farms) </w:t>
      </w:r>
      <w:r w:rsidRPr="00661F5B" w:rsidR="00E95AFD">
        <w:t>will</w:t>
      </w:r>
      <w:r w:rsidRPr="00661F5B" w:rsidR="00D84964">
        <w:t xml:space="preserve"> be subject to information collection requirements, consistent with figures in our </w:t>
      </w:r>
      <w:r w:rsidRPr="00661F5B" w:rsidR="00661F5B">
        <w:t>FRIA</w:t>
      </w:r>
      <w:r w:rsidRPr="00661F5B" w:rsidR="00D84964">
        <w:t xml:space="preserve"> </w:t>
      </w:r>
      <w:r w:rsidRPr="00B36DBC" w:rsidR="00D84964">
        <w:t>and informed by a 2018 USDA survey of covered farms’ irrigation practices</w:t>
      </w:r>
      <w:r>
        <w:rPr>
          <w:rStyle w:val="FootnoteReference"/>
        </w:rPr>
        <w:footnoteReference w:id="2"/>
      </w:r>
      <w:r w:rsidRPr="00B36DBC" w:rsidR="00D84964">
        <w:t xml:space="preserve">. </w:t>
      </w:r>
      <w:r w:rsidRPr="00644A55" w:rsidR="00644A55">
        <w:t xml:space="preserve">The change in these numbers compared to estimates provided in the </w:t>
      </w:r>
      <w:r w:rsidRPr="00C41A00" w:rsidR="00644A55">
        <w:t>proposed rule</w:t>
      </w:r>
      <w:r w:rsidRPr="00644A55" w:rsidR="00644A55">
        <w:t xml:space="preserve"> are a result of updates to covered farm counts between the </w:t>
      </w:r>
      <w:r w:rsidR="00CC73B5">
        <w:t>Preliminary Regulatory Impact Analysis (</w:t>
      </w:r>
      <w:r w:rsidRPr="00644A55" w:rsidR="00644A55">
        <w:t>PRIA</w:t>
      </w:r>
      <w:r w:rsidR="00CC73B5">
        <w:t>)</w:t>
      </w:r>
      <w:r>
        <w:rPr>
          <w:rStyle w:val="FootnoteReference"/>
        </w:rPr>
        <w:footnoteReference w:id="3"/>
      </w:r>
      <w:r w:rsidRPr="00644A55" w:rsidR="006D734B">
        <w:t xml:space="preserve"> </w:t>
      </w:r>
      <w:r w:rsidRPr="00644A55" w:rsidR="00644A55">
        <w:t xml:space="preserve">and the FRIA. The PRIA relied on farm counts based on 2012 NASS Census of Agriculture data, whereas the FRIA relies on 2017 NASS Census of Agriculture data (the most recent available).   </w:t>
      </w:r>
    </w:p>
    <w:p w:rsidR="008D4256" w:rsidP="006758AC" w14:paraId="7BC3E9D4" w14:textId="77777777">
      <w:pPr>
        <w:pStyle w:val="BodyText2"/>
        <w:ind w:left="720"/>
      </w:pPr>
    </w:p>
    <w:p w:rsidR="006D7112" w:rsidP="006758AC" w14:paraId="6C23196C" w14:textId="64EB56A8">
      <w:pPr>
        <w:pStyle w:val="BodyText2"/>
        <w:ind w:left="720"/>
      </w:pPr>
      <w:r>
        <w:t>Consistent with the FRIA, w</w:t>
      </w:r>
      <w:r w:rsidRPr="00B36DBC" w:rsidR="007D2805">
        <w:t>e assume affected farms will conduct approximately 1.1 assessments annually, in accordance with the</w:t>
      </w:r>
      <w:r w:rsidRPr="00B36DBC" w:rsidR="009B064B">
        <w:t xml:space="preserve"> </w:t>
      </w:r>
      <w:r w:rsidRPr="00B36DBC" w:rsidR="007D2805">
        <w:t>requirement to conduct</w:t>
      </w:r>
      <w:r w:rsidRPr="00B36DBC" w:rsidR="009B064B">
        <w:t xml:space="preserve"> assessments annually and </w:t>
      </w:r>
      <w:r w:rsidRPr="00B36DBC" w:rsidR="007D2805">
        <w:t xml:space="preserve">whenever a significant change occurs </w:t>
      </w:r>
      <w:r w:rsidRPr="00B36DBC" w:rsidR="008C7436">
        <w:t>that increases the likelihood that a known or reasonably foreseeable hazard will be introduced into or onto covered produce or food contact surfaces</w:t>
      </w:r>
      <w:r w:rsidRPr="00B36DBC" w:rsidR="00F70654">
        <w:t xml:space="preserve">. </w:t>
      </w:r>
    </w:p>
    <w:p w:rsidR="006D7112" w:rsidP="006758AC" w14:paraId="1BD68BAE" w14:textId="77777777">
      <w:pPr>
        <w:pStyle w:val="BodyText2"/>
        <w:ind w:left="720"/>
      </w:pPr>
    </w:p>
    <w:p w:rsidR="00264207" w:rsidP="006758AC" w14:paraId="2CD61886" w14:textId="2B44AF6A">
      <w:pPr>
        <w:pStyle w:val="BodyText2"/>
        <w:ind w:left="720"/>
        <w:rPr>
          <w:szCs w:val="24"/>
        </w:rPr>
      </w:pPr>
      <w:r w:rsidRPr="006D7112">
        <w:rPr>
          <w:szCs w:val="24"/>
        </w:rPr>
        <w:t>To account for a range in the amount of time recordkeeping for agricultural water assessments may take, in the FRIA, we provide low, most likely, and high estimates based on farm size (see tables 31-33 in that document). To estimate the burden of information collection associated with the requirements for pre-harvest agricultural water assessments, we use the “most likely” values in the FRIA for each farm size.</w:t>
      </w:r>
      <w:r>
        <w:rPr>
          <w:szCs w:val="24"/>
        </w:rPr>
        <w:t xml:space="preserve"> Thus, w</w:t>
      </w:r>
      <w:r w:rsidRPr="00B36DBC" w:rsidR="00B7233D">
        <w:rPr>
          <w:szCs w:val="24"/>
        </w:rPr>
        <w:t xml:space="preserve">e are </w:t>
      </w:r>
      <w:r w:rsidR="009100D4">
        <w:rPr>
          <w:szCs w:val="24"/>
        </w:rPr>
        <w:t>assuming</w:t>
      </w:r>
      <w:r w:rsidRPr="00B36DBC" w:rsidR="009100D4">
        <w:rPr>
          <w:szCs w:val="24"/>
        </w:rPr>
        <w:t xml:space="preserve"> </w:t>
      </w:r>
      <w:r w:rsidRPr="00B36DBC" w:rsidR="00B7233D">
        <w:rPr>
          <w:szCs w:val="24"/>
        </w:rPr>
        <w:t xml:space="preserve">a range of burden: 4 hours of burden for very small farms, 8 hours of burden for small farms, and 9 hours for other (large) farms, based on estimates of </w:t>
      </w:r>
      <w:r w:rsidRPr="008D5002" w:rsidR="00B7233D">
        <w:rPr>
          <w:szCs w:val="24"/>
        </w:rPr>
        <w:t xml:space="preserve">the amount of time in hours to conduct recordkeeping for pre-harvest agricultural water assessments. </w:t>
      </w:r>
      <w:r w:rsidRPr="00264207">
        <w:rPr>
          <w:szCs w:val="24"/>
        </w:rPr>
        <w:t xml:space="preserve">These numbers are consistent with that used in the proposed rule as well as the PRIA and the FRIA. </w:t>
      </w:r>
    </w:p>
    <w:p w:rsidR="00264207" w:rsidP="006758AC" w14:paraId="43254DDA" w14:textId="77777777">
      <w:pPr>
        <w:pStyle w:val="BodyText2"/>
        <w:ind w:left="720"/>
      </w:pPr>
    </w:p>
    <w:p w:rsidR="00C03851" w:rsidRPr="00702706" w:rsidP="006758AC" w14:paraId="14B7C6C2" w14:textId="69A6E829">
      <w:pPr>
        <w:pStyle w:val="BodyText2"/>
        <w:ind w:left="720"/>
        <w:rPr>
          <w:color w:val="FF0000"/>
        </w:rPr>
      </w:pPr>
      <w:r w:rsidRPr="008D5002">
        <w:t xml:space="preserve">For very small farms, for example, </w:t>
      </w:r>
      <w:r w:rsidRPr="008D5002" w:rsidR="003E7B99">
        <w:t>9,911</w:t>
      </w:r>
      <w:r w:rsidRPr="008D5002">
        <w:t xml:space="preserve"> </w:t>
      </w:r>
      <w:r w:rsidRPr="008D5002" w:rsidR="000A6B28">
        <w:t xml:space="preserve">farms x 1.1 records per farm = </w:t>
      </w:r>
      <w:r w:rsidRPr="008D5002" w:rsidR="003E7B99">
        <w:t>10,902</w:t>
      </w:r>
      <w:r w:rsidRPr="008D5002" w:rsidR="00EC1181">
        <w:t xml:space="preserve"> </w:t>
      </w:r>
      <w:r w:rsidRPr="008D5002" w:rsidR="00B7233D">
        <w:t xml:space="preserve">total annual records; and </w:t>
      </w:r>
      <w:r w:rsidRPr="008D5002" w:rsidR="003E7B99">
        <w:t>10,902</w:t>
      </w:r>
      <w:r w:rsidRPr="008D5002" w:rsidR="00FC4D16">
        <w:rPr>
          <w:szCs w:val="24"/>
        </w:rPr>
        <w:t xml:space="preserve"> total annual records x 4 hou</w:t>
      </w:r>
      <w:r w:rsidRPr="008D5002" w:rsidR="0048116A">
        <w:rPr>
          <w:szCs w:val="24"/>
        </w:rPr>
        <w:t xml:space="preserve">rs of average burden = </w:t>
      </w:r>
      <w:r w:rsidRPr="008D5002" w:rsidR="008D5002">
        <w:rPr>
          <w:szCs w:val="24"/>
        </w:rPr>
        <w:t>43,608</w:t>
      </w:r>
      <w:r w:rsidRPr="008D5002" w:rsidR="00DA5D0F">
        <w:rPr>
          <w:szCs w:val="24"/>
        </w:rPr>
        <w:t xml:space="preserve"> hours to meet the recordkeeping requirements of § 112.50(b)(2).</w:t>
      </w:r>
      <w:r w:rsidRPr="008D5002" w:rsidR="00FB0FF7">
        <w:rPr>
          <w:szCs w:val="24"/>
        </w:rPr>
        <w:t xml:space="preserve"> </w:t>
      </w:r>
    </w:p>
    <w:p w:rsidR="00182422" w:rsidRPr="00182422" w:rsidP="00182422" w14:paraId="3262E1A9" w14:textId="77777777">
      <w:pPr>
        <w:ind w:left="720"/>
        <w:rPr>
          <w:szCs w:val="20"/>
        </w:rPr>
      </w:pPr>
    </w:p>
    <w:p w:rsidR="00A93ED9" w:rsidRPr="00C03851" w:rsidP="00F369A7" w14:paraId="1677D8A1" w14:textId="77777777">
      <w:pPr>
        <w:pStyle w:val="BodyText2"/>
        <w:ind w:left="360" w:firstLine="360"/>
        <w:rPr>
          <w:i/>
        </w:rPr>
      </w:pPr>
      <w:r w:rsidRPr="00C03851">
        <w:rPr>
          <w:i/>
        </w:rPr>
        <w:t xml:space="preserve">12b. </w:t>
      </w:r>
      <w:r w:rsidRPr="00C03851" w:rsidR="00411D11">
        <w:rPr>
          <w:i/>
        </w:rPr>
        <w:t>Annualized Cost Burden Estimate</w:t>
      </w:r>
    </w:p>
    <w:p w:rsidR="00A93ED9" w:rsidP="001D495A" w14:paraId="0EBE4FDD" w14:textId="77777777">
      <w:pPr>
        <w:pStyle w:val="BodyText2"/>
        <w:ind w:left="720"/>
      </w:pPr>
    </w:p>
    <w:p w:rsidR="007B4A56" w:rsidRPr="002C7F47" w:rsidP="007B4A56" w14:paraId="360A8DAE" w14:textId="4A1EB722">
      <w:pPr>
        <w:pStyle w:val="BodyText"/>
        <w:spacing w:before="90"/>
        <w:ind w:left="828"/>
      </w:pPr>
      <w:r>
        <w:t>As detailed in the FRIA</w:t>
      </w:r>
      <w:r w:rsidR="00AF436B">
        <w:t>, w</w:t>
      </w:r>
      <w:r w:rsidRPr="001550B2">
        <w:t xml:space="preserve">e </w:t>
      </w:r>
      <w:r w:rsidRPr="002C7F47">
        <w:t>estimate the annualized cost burden to farms covered by the collection of information:</w:t>
      </w:r>
    </w:p>
    <w:tbl>
      <w:tblPr>
        <w:tblW w:w="936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050"/>
        <w:gridCol w:w="1327"/>
        <w:gridCol w:w="1328"/>
        <w:gridCol w:w="1327"/>
        <w:gridCol w:w="1328"/>
      </w:tblGrid>
      <w:tr w14:paraId="2752F9F8" w14:textId="77777777" w:rsidTr="0042050B">
        <w:tblPrEx>
          <w:tblW w:w="936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89"/>
        </w:trPr>
        <w:tc>
          <w:tcPr>
            <w:tcW w:w="9360" w:type="dxa"/>
            <w:gridSpan w:val="5"/>
          </w:tcPr>
          <w:p w:rsidR="007B4A56" w:rsidRPr="002C7F47" w:rsidP="007B4A56" w14:paraId="4DEA0F1F" w14:textId="6B551FD3">
            <w:pPr>
              <w:pStyle w:val="TableParagraph"/>
              <w:spacing w:before="28" w:line="241" w:lineRule="exact"/>
              <w:ind w:left="274"/>
              <w:jc w:val="center"/>
            </w:pPr>
            <w:r w:rsidRPr="002C7F47">
              <w:t xml:space="preserve">Table </w:t>
            </w:r>
            <w:r w:rsidRPr="002C7F47" w:rsidR="00E03D15">
              <w:t>2</w:t>
            </w:r>
            <w:r w:rsidRPr="002C7F47">
              <w:t>.--Estimated Annual Cost to Farms</w:t>
            </w:r>
            <w:r w:rsidRPr="002C7F47" w:rsidR="006F2470">
              <w:t xml:space="preserve"> (Millions)</w:t>
            </w:r>
          </w:p>
        </w:tc>
      </w:tr>
      <w:tr w14:paraId="62A69D00" w14:textId="77777777" w:rsidTr="007D493B">
        <w:tblPrEx>
          <w:tblW w:w="9360" w:type="dxa"/>
          <w:tblInd w:w="530" w:type="dxa"/>
          <w:tblLayout w:type="fixed"/>
          <w:tblCellMar>
            <w:left w:w="0" w:type="dxa"/>
            <w:right w:w="0" w:type="dxa"/>
          </w:tblCellMar>
          <w:tblLook w:val="01E0"/>
        </w:tblPrEx>
        <w:trPr>
          <w:trHeight w:val="289"/>
        </w:trPr>
        <w:tc>
          <w:tcPr>
            <w:tcW w:w="4050" w:type="dxa"/>
          </w:tcPr>
          <w:p w:rsidR="007B4A56" w:rsidRPr="002C7F47" w:rsidP="006F4349" w14:paraId="354C738A" w14:textId="77777777">
            <w:pPr>
              <w:pStyle w:val="TableParagraph"/>
              <w:spacing w:before="28" w:line="241" w:lineRule="exact"/>
              <w:ind w:left="106"/>
              <w:rPr>
                <w:b/>
              </w:rPr>
            </w:pPr>
            <w:r w:rsidRPr="002C7F47">
              <w:rPr>
                <w:b/>
              </w:rPr>
              <w:t>Recording activity</w:t>
            </w:r>
          </w:p>
        </w:tc>
        <w:tc>
          <w:tcPr>
            <w:tcW w:w="1327" w:type="dxa"/>
          </w:tcPr>
          <w:p w:rsidR="007B4A56" w:rsidRPr="002C7F47" w:rsidP="006F4349" w14:paraId="50F943CF" w14:textId="77777777">
            <w:pPr>
              <w:pStyle w:val="TableParagraph"/>
              <w:spacing w:before="28" w:line="241" w:lineRule="exact"/>
              <w:ind w:right="31"/>
              <w:jc w:val="right"/>
              <w:rPr>
                <w:b/>
              </w:rPr>
            </w:pPr>
            <w:r w:rsidRPr="002C7F47">
              <w:rPr>
                <w:b/>
              </w:rPr>
              <w:t>Very Small</w:t>
            </w:r>
          </w:p>
        </w:tc>
        <w:tc>
          <w:tcPr>
            <w:tcW w:w="1328" w:type="dxa"/>
          </w:tcPr>
          <w:p w:rsidR="007B4A56" w:rsidRPr="002C7F47" w:rsidP="006F4349" w14:paraId="05AB2B67" w14:textId="77777777">
            <w:pPr>
              <w:pStyle w:val="TableParagraph"/>
              <w:spacing w:before="28" w:line="241" w:lineRule="exact"/>
              <w:ind w:left="200"/>
              <w:rPr>
                <w:b/>
              </w:rPr>
            </w:pPr>
            <w:r w:rsidRPr="002C7F47">
              <w:rPr>
                <w:b/>
              </w:rPr>
              <w:t>Small</w:t>
            </w:r>
          </w:p>
        </w:tc>
        <w:tc>
          <w:tcPr>
            <w:tcW w:w="1327" w:type="dxa"/>
          </w:tcPr>
          <w:p w:rsidR="007B4A56" w:rsidRPr="002C7F47" w:rsidP="006F4349" w14:paraId="12ACC1AC" w14:textId="77777777">
            <w:pPr>
              <w:pStyle w:val="TableParagraph"/>
              <w:spacing w:before="28" w:line="241" w:lineRule="exact"/>
              <w:ind w:left="234"/>
              <w:rPr>
                <w:b/>
              </w:rPr>
            </w:pPr>
            <w:r w:rsidRPr="002C7F47">
              <w:rPr>
                <w:b/>
              </w:rPr>
              <w:t>Large</w:t>
            </w:r>
          </w:p>
        </w:tc>
        <w:tc>
          <w:tcPr>
            <w:tcW w:w="1328" w:type="dxa"/>
          </w:tcPr>
          <w:p w:rsidR="007B4A56" w:rsidRPr="002C7F47" w:rsidP="006F4349" w14:paraId="088EA041" w14:textId="77777777">
            <w:pPr>
              <w:pStyle w:val="TableParagraph"/>
              <w:spacing w:before="28" w:line="241" w:lineRule="exact"/>
              <w:ind w:left="274"/>
              <w:rPr>
                <w:b/>
              </w:rPr>
            </w:pPr>
            <w:r w:rsidRPr="002C7F47">
              <w:rPr>
                <w:b/>
              </w:rPr>
              <w:t>Total</w:t>
            </w:r>
          </w:p>
        </w:tc>
      </w:tr>
      <w:tr w14:paraId="3916A5F1" w14:textId="77777777" w:rsidTr="007D493B">
        <w:tblPrEx>
          <w:tblW w:w="9360" w:type="dxa"/>
          <w:tblInd w:w="530" w:type="dxa"/>
          <w:tblLayout w:type="fixed"/>
          <w:tblCellMar>
            <w:left w:w="0" w:type="dxa"/>
            <w:right w:w="0" w:type="dxa"/>
          </w:tblCellMar>
          <w:tblLook w:val="01E0"/>
        </w:tblPrEx>
        <w:trPr>
          <w:trHeight w:val="460"/>
        </w:trPr>
        <w:tc>
          <w:tcPr>
            <w:tcW w:w="4050" w:type="dxa"/>
          </w:tcPr>
          <w:p w:rsidR="007B4A56" w:rsidRPr="002C7F47" w:rsidP="006F4349" w14:paraId="2CE1FC77" w14:textId="32CCE0C1">
            <w:pPr>
              <w:pStyle w:val="TableParagraph"/>
              <w:spacing w:line="222" w:lineRule="exact"/>
              <w:ind w:left="106"/>
            </w:pPr>
            <w:r w:rsidRPr="002C7F47">
              <w:t>Agricultural Water Assessment and Records Maintenance (§ 112.50(b)(2))</w:t>
            </w:r>
          </w:p>
        </w:tc>
        <w:tc>
          <w:tcPr>
            <w:tcW w:w="1327" w:type="dxa"/>
          </w:tcPr>
          <w:p w:rsidR="007B4A56" w:rsidRPr="002C7F47" w:rsidP="006F2470" w14:paraId="749F378C" w14:textId="791466A9">
            <w:pPr>
              <w:pStyle w:val="TableParagraph"/>
              <w:spacing w:before="104"/>
              <w:ind w:right="60"/>
              <w:jc w:val="right"/>
            </w:pPr>
            <w:r w:rsidRPr="002C7F47">
              <w:t>$</w:t>
            </w:r>
            <w:r w:rsidR="001A5B5A">
              <w:t>4.0</w:t>
            </w:r>
            <w:r w:rsidRPr="002C7F47" w:rsidR="006F2470">
              <w:t xml:space="preserve"> </w:t>
            </w:r>
            <w:r w:rsidRPr="002C7F47" w:rsidR="007D493B">
              <w:t xml:space="preserve">  </w:t>
            </w:r>
          </w:p>
        </w:tc>
        <w:tc>
          <w:tcPr>
            <w:tcW w:w="1328" w:type="dxa"/>
          </w:tcPr>
          <w:p w:rsidR="007B4A56" w:rsidRPr="002C7F47" w:rsidP="007D493B" w14:paraId="1B22D94B" w14:textId="414DC91B">
            <w:pPr>
              <w:pStyle w:val="TableParagraph"/>
              <w:spacing w:before="104"/>
              <w:ind w:right="98"/>
              <w:jc w:val="right"/>
            </w:pPr>
            <w:r w:rsidRPr="002C7F47">
              <w:t>$</w:t>
            </w:r>
            <w:r w:rsidRPr="002C7F47" w:rsidR="00D57D9D">
              <w:t>1</w:t>
            </w:r>
            <w:r w:rsidRPr="002C7F47" w:rsidR="006F2470">
              <w:t>.3</w:t>
            </w:r>
          </w:p>
        </w:tc>
        <w:tc>
          <w:tcPr>
            <w:tcW w:w="1327" w:type="dxa"/>
          </w:tcPr>
          <w:p w:rsidR="007B4A56" w:rsidRPr="002C7F47" w:rsidP="007D493B" w14:paraId="22F6C739" w14:textId="1EB35FA7">
            <w:pPr>
              <w:pStyle w:val="TableParagraph"/>
              <w:spacing w:before="104"/>
              <w:ind w:right="68"/>
              <w:jc w:val="right"/>
            </w:pPr>
            <w:r w:rsidRPr="002C7F47">
              <w:rPr>
                <w:w w:val="95"/>
              </w:rPr>
              <w:t>$</w:t>
            </w:r>
            <w:r w:rsidRPr="002C7F47" w:rsidR="006F2470">
              <w:rPr>
                <w:w w:val="95"/>
              </w:rPr>
              <w:t>2.</w:t>
            </w:r>
            <w:r w:rsidR="001A5B5A">
              <w:rPr>
                <w:w w:val="95"/>
              </w:rPr>
              <w:t>8</w:t>
            </w:r>
          </w:p>
        </w:tc>
        <w:tc>
          <w:tcPr>
            <w:tcW w:w="1328" w:type="dxa"/>
          </w:tcPr>
          <w:p w:rsidR="007B4A56" w:rsidRPr="002C7F47" w:rsidP="0063252D" w14:paraId="7045994A" w14:textId="62693FB1">
            <w:pPr>
              <w:pStyle w:val="TableParagraph"/>
              <w:spacing w:before="104"/>
              <w:ind w:right="84"/>
              <w:jc w:val="right"/>
            </w:pPr>
            <w:r w:rsidRPr="002C7F47">
              <w:t>$</w:t>
            </w:r>
            <w:r w:rsidR="00C41AF2">
              <w:t>8.1</w:t>
            </w:r>
          </w:p>
        </w:tc>
      </w:tr>
    </w:tbl>
    <w:p w:rsidR="00B45512" w:rsidRPr="002C7F47" w:rsidP="007B4A56" w14:paraId="63A753F2" w14:textId="775EBB50">
      <w:pPr>
        <w:pStyle w:val="BodyText2"/>
      </w:pPr>
    </w:p>
    <w:p w:rsidR="004C6979" w:rsidRPr="004C6979" w:rsidP="00EB7538" w14:paraId="50B833F5" w14:textId="77777777">
      <w:pPr>
        <w:numPr>
          <w:ilvl w:val="0"/>
          <w:numId w:val="1"/>
        </w:numPr>
        <w:spacing w:before="100" w:beforeAutospacing="1" w:after="100" w:afterAutospacing="1"/>
        <w:rPr>
          <w:u w:val="single"/>
        </w:rPr>
      </w:pPr>
      <w:r w:rsidRPr="002C7F47">
        <w:rPr>
          <w:u w:val="single"/>
        </w:rPr>
        <w:t>Estimates of Other Total Annual Cost</w:t>
      </w:r>
      <w:r w:rsidRPr="002C7F47" w:rsidR="007C75B1">
        <w:rPr>
          <w:u w:val="single"/>
        </w:rPr>
        <w:t>s</w:t>
      </w:r>
      <w:r w:rsidRPr="002C7F47">
        <w:rPr>
          <w:u w:val="single"/>
        </w:rPr>
        <w:t xml:space="preserve"> to Respondents </w:t>
      </w:r>
      <w:r w:rsidRPr="004C6979">
        <w:rPr>
          <w:u w:val="single"/>
        </w:rPr>
        <w:t>and</w:t>
      </w:r>
      <w:r w:rsidR="00350523">
        <w:rPr>
          <w:u w:val="single"/>
        </w:rPr>
        <w:t>/or Recordkeepers/Capital Costs</w:t>
      </w:r>
    </w:p>
    <w:p w:rsidR="00C03851" w:rsidRPr="0042050B" w:rsidP="0042050B" w14:paraId="45AE1406" w14:textId="498EF035">
      <w:pPr>
        <w:ind w:left="720"/>
      </w:pPr>
      <w:r>
        <w:t xml:space="preserve">There are no other costs associated with the information collection.  </w:t>
      </w:r>
    </w:p>
    <w:p w:rsidR="004C6979" w:rsidRPr="004C6979" w:rsidP="00EB7538" w14:paraId="4242F1BD" w14:textId="77777777">
      <w:pPr>
        <w:numPr>
          <w:ilvl w:val="0"/>
          <w:numId w:val="1"/>
        </w:numPr>
        <w:spacing w:before="100" w:beforeAutospacing="1" w:after="100" w:afterAutospacing="1"/>
        <w:rPr>
          <w:u w:val="single"/>
        </w:rPr>
      </w:pPr>
      <w:r w:rsidRPr="004C6979">
        <w:rPr>
          <w:u w:val="single"/>
        </w:rPr>
        <w:t>Annualized Cost to the Federal Government</w:t>
      </w:r>
    </w:p>
    <w:p w:rsidR="007A6647" w:rsidRPr="00A56AC8" w:rsidP="00A56AC8" w14:paraId="1D40A50C" w14:textId="469F4D31">
      <w:pPr>
        <w:pStyle w:val="BodyText2"/>
        <w:ind w:left="720"/>
        <w:rPr>
          <w:szCs w:val="24"/>
        </w:rPr>
      </w:pPr>
      <w:r w:rsidRPr="003B471A">
        <w:rPr>
          <w:szCs w:val="24"/>
        </w:rPr>
        <w:t>Our review of agricultural water assessment records would occur as part of inspection activities.  If we devoted approximately 0.5 hours per inspection to the inspection of assessment records, we estimate the cost to the Federal government for the review of records retained by a firm to be $26.84 per review.  In this calculation of cost, we estimate the hourly cost for review and evaluation to be $53.67 per hour, the GS-13/Step-1 rate for the Washington-Baltimore locality pay area for the year 2023.  $53.67 per hour multiplied by 0.5 hours equals $26.84.  To account for overhead, this cost is increased by 100 percent, making the total annualized cost to the Federal government $53.67 per review.  If FDA inspected 200 farms that prepare agricultural water assessments annually, we estimate that the total annual cost to the Federal government would be $10,734 ($53.67 x 200).</w:t>
      </w:r>
    </w:p>
    <w:p w:rsidR="004C6979" w:rsidRPr="00601EA1" w:rsidP="00EB7538" w14:paraId="5408787A" w14:textId="77777777">
      <w:pPr>
        <w:numPr>
          <w:ilvl w:val="0"/>
          <w:numId w:val="1"/>
        </w:numPr>
        <w:spacing w:before="100" w:beforeAutospacing="1" w:after="100" w:afterAutospacing="1"/>
        <w:rPr>
          <w:u w:val="single"/>
        </w:rPr>
      </w:pPr>
      <w:r w:rsidRPr="00601EA1">
        <w:rPr>
          <w:u w:val="single"/>
        </w:rPr>
        <w:t>Explanation for Program Changes or Adjustments</w:t>
      </w:r>
    </w:p>
    <w:p w:rsidR="009F66B5" w:rsidRPr="00601EA1" w:rsidP="007B4A56" w14:paraId="6402C639" w14:textId="4BA2987C">
      <w:pPr>
        <w:ind w:left="720"/>
      </w:pPr>
      <w:r w:rsidRPr="00601EA1">
        <w:t xml:space="preserve">The information collection is associated with </w:t>
      </w:r>
      <w:r>
        <w:t>new regulatory requirements for pre-harvest agricultural water assessments for non-sprout covered produce</w:t>
      </w:r>
      <w:r w:rsidRPr="00601EA1">
        <w:t>.</w:t>
      </w:r>
      <w:r w:rsidR="008C4819">
        <w:t xml:space="preserve">  </w:t>
      </w:r>
      <w:r>
        <w:t xml:space="preserve">As discussed </w:t>
      </w:r>
      <w:r w:rsidR="00315CEB">
        <w:t xml:space="preserve">more fully </w:t>
      </w:r>
      <w:r>
        <w:t xml:space="preserve">in </w:t>
      </w:r>
      <w:r w:rsidR="00315CEB">
        <w:t>Q-</w:t>
      </w:r>
      <w:r>
        <w:t xml:space="preserve">12, </w:t>
      </w:r>
      <w:r w:rsidR="00315CEB">
        <w:t xml:space="preserve">we modified our estimate from what we proposed originally to reflect </w:t>
      </w:r>
      <w:r>
        <w:t>updates to covered farm</w:t>
      </w:r>
      <w:r w:rsidR="00315CEB">
        <w:t xml:space="preserve"> counts</w:t>
      </w:r>
      <w:r w:rsidR="00D964C7">
        <w:t>.</w:t>
      </w:r>
      <w:r w:rsidR="00315CEB">
        <w:t xml:space="preserve">  The result is a </w:t>
      </w:r>
      <w:r w:rsidRPr="00315CEB" w:rsidR="00315CEB">
        <w:rPr>
          <w:color w:val="FF0000"/>
        </w:rPr>
        <w:t>decrease</w:t>
      </w:r>
      <w:r w:rsidR="00315CEB">
        <w:t xml:space="preserve"> by </w:t>
      </w:r>
      <w:r w:rsidRPr="00315CEB" w:rsidR="00315CEB">
        <w:rPr>
          <w:b/>
          <w:bCs/>
          <w:color w:val="FF0000"/>
        </w:rPr>
        <w:t>340,980</w:t>
      </w:r>
      <w:r w:rsidRPr="00315CEB" w:rsidR="00315CEB">
        <w:rPr>
          <w:color w:val="FF0000"/>
        </w:rPr>
        <w:t xml:space="preserve"> </w:t>
      </w:r>
      <w:r w:rsidR="00315CEB">
        <w:t xml:space="preserve">responses and </w:t>
      </w:r>
      <w:r w:rsidRPr="00315CEB" w:rsidR="00315CEB">
        <w:rPr>
          <w:b/>
          <w:bCs/>
          <w:color w:val="FF0000"/>
        </w:rPr>
        <w:t>662,674</w:t>
      </w:r>
      <w:r w:rsidRPr="00315CEB" w:rsidR="00315CEB">
        <w:rPr>
          <w:color w:val="FF0000"/>
        </w:rPr>
        <w:t xml:space="preserve"> </w:t>
      </w:r>
      <w:r w:rsidR="00315CEB">
        <w:t>hours annually to the information collection.</w:t>
      </w:r>
      <w:r w:rsidRPr="00601EA1" w:rsidR="00032D90">
        <w:t xml:space="preserve"> </w:t>
      </w:r>
    </w:p>
    <w:p w:rsidR="004C6979" w:rsidRPr="004C6979" w:rsidP="00EB7538" w14:paraId="597B53BE" w14:textId="77777777">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P="003C4EBB" w14:paraId="6B489476" w14:textId="77777777">
      <w:pPr>
        <w:ind w:left="720"/>
      </w:pPr>
      <w:r w:rsidRPr="00CB7DAA">
        <w:t>No tabulation of data resulting from this information collection is planned or anticipated.</w:t>
      </w:r>
    </w:p>
    <w:p w:rsidR="004C6979" w:rsidRPr="004C6979" w:rsidP="00EB7538" w14:paraId="5A74570C"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B41789" w:rsidP="00D730BF" w14:paraId="3C3C3BA7" w14:textId="05B01198">
      <w:pPr>
        <w:ind w:left="720"/>
      </w:pPr>
      <w:r>
        <w:t xml:space="preserve">Consistent with </w:t>
      </w:r>
      <w:r w:rsidRPr="00381CAB">
        <w:t>5 CFR 1320.5(b)(2)(ii)(C)</w:t>
      </w:r>
      <w:r>
        <w:t xml:space="preserve">, </w:t>
      </w:r>
      <w:r w:rsidR="00E76C96">
        <w:t xml:space="preserve">the </w:t>
      </w:r>
      <w:r>
        <w:t>i</w:t>
      </w:r>
      <w:r w:rsidR="00296138">
        <w:t xml:space="preserve">nformation collection </w:t>
      </w:r>
      <w:r w:rsidR="00AB382C">
        <w:t xml:space="preserve">will be </w:t>
      </w:r>
      <w:r w:rsidRPr="00697B6B" w:rsidR="00697B6B">
        <w:t xml:space="preserve">published in the </w:t>
      </w:r>
      <w:r w:rsidR="00AB382C">
        <w:t>CFR</w:t>
      </w:r>
      <w:r w:rsidR="00AD5CF9">
        <w:t xml:space="preserve">.  </w:t>
      </w:r>
    </w:p>
    <w:p w:rsidR="00EB7538" w:rsidP="00EB7538" w14:paraId="6DC95CC4"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4C6979" w:rsidP="00CB7DAA" w14:paraId="60F8C902" w14:textId="77777777">
      <w:pPr>
        <w:spacing w:before="100" w:beforeAutospacing="1" w:after="100" w:afterAutospacing="1"/>
        <w:ind w:left="720"/>
        <w:rPr>
          <w:b/>
        </w:rPr>
      </w:pPr>
      <w:r w:rsidRPr="00CB7DAA">
        <w:t>There are no exceptions to the certification.</w:t>
      </w:r>
    </w:p>
    <w:sectPr w:rsidSect="00C03851">
      <w:footerReference w:type="even" r:id="rId7"/>
      <w:footerReference w:type="default" r:id="rId8"/>
      <w:pgSz w:w="12240" w:h="15840" w:code="1"/>
      <w:pgMar w:top="1584"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24D7723" w14:textId="656A4C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96DA8">
      <w:rPr>
        <w:rStyle w:val="PageNumber"/>
      </w:rPr>
      <w:fldChar w:fldCharType="separate"/>
    </w:r>
    <w:r w:rsidR="00C96DA8">
      <w:rPr>
        <w:rStyle w:val="PageNumber"/>
        <w:noProof/>
      </w:rPr>
      <w:t>2</w:t>
    </w:r>
    <w:r>
      <w:rPr>
        <w:rStyle w:val="PageNumber"/>
      </w:rPr>
      <w:fldChar w:fldCharType="end"/>
    </w:r>
  </w:p>
  <w:p w:rsidR="00E63DE5" w14:paraId="30E044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EC2058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16F8">
      <w:rPr>
        <w:rStyle w:val="PageNumber"/>
        <w:noProof/>
      </w:rPr>
      <w:t>10</w:t>
    </w:r>
    <w:r>
      <w:rPr>
        <w:rStyle w:val="PageNumber"/>
      </w:rPr>
      <w:fldChar w:fldCharType="end"/>
    </w:r>
  </w:p>
  <w:p w:rsidR="00E63DE5" w14:paraId="745C34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5B47" w14:paraId="0ED19EB6" w14:textId="77777777">
      <w:r>
        <w:separator/>
      </w:r>
    </w:p>
  </w:footnote>
  <w:footnote w:type="continuationSeparator" w:id="1">
    <w:p w:rsidR="00835B47" w14:paraId="30527F71" w14:textId="77777777">
      <w:r>
        <w:continuationSeparator/>
      </w:r>
    </w:p>
  </w:footnote>
  <w:footnote w:id="2">
    <w:p w:rsidR="00D84964" w:rsidP="00D84964" w14:paraId="4E2774B4" w14:textId="77777777">
      <w:pPr>
        <w:pStyle w:val="FootnoteText"/>
      </w:pPr>
      <w:r>
        <w:rPr>
          <w:rStyle w:val="FootnoteReference"/>
        </w:rPr>
        <w:footnoteRef/>
      </w:r>
      <w:r>
        <w:t xml:space="preserve"> </w:t>
      </w:r>
      <w:r w:rsidRPr="00573463">
        <w:t>Astill, G., T. Minor, L. Calvin, et al., “Before Implementation of the Food Safety Modernization Act’s Produce Rule:  A Survey of U.S. Produce Growers,” 2018.  Available at: https://www.ers.usda.gov/publications/pub-details/?pubid=89720.</w:t>
      </w:r>
    </w:p>
  </w:footnote>
  <w:footnote w:id="3">
    <w:p w:rsidR="006D734B" w:rsidP="006D734B" w14:paraId="0AB9D8A5" w14:textId="36DDA982">
      <w:pPr>
        <w:pStyle w:val="FootnoteText"/>
      </w:pPr>
      <w:r>
        <w:rPr>
          <w:rStyle w:val="FootnoteReference"/>
        </w:rPr>
        <w:footnoteRef/>
      </w:r>
      <w:r>
        <w:t xml:space="preserve"> </w:t>
      </w:r>
      <w:r w:rsidRPr="006D734B">
        <w:t xml:space="preserve">FDA, “Standards for the Growing, Harvesting, Packing, and Holding of Produce for Human Consumption Relating to Agricultural Water, Preliminary Regulatory Impact Analysis, Initial Regulatory Flexibility Analysis, Unfunded Mandates Reform Act Analysis,” 2021.  Available at:  https://www.fda.gov/about-fda/reports/economic-impact-analyses-fda-regulations.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6A03A0"/>
    <w:multiLevelType w:val="hybridMultilevel"/>
    <w:tmpl w:val="B4BE85DA"/>
    <w:lvl w:ilvl="0">
      <w:start w:val="1"/>
      <w:numFmt w:val="decimal"/>
      <w:lvlText w:val="%1."/>
      <w:lvlJc w:val="left"/>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B8768D5"/>
    <w:multiLevelType w:val="hybridMultilevel"/>
    <w:tmpl w:val="E2D46D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0540D62"/>
    <w:multiLevelType w:val="hybridMultilevel"/>
    <w:tmpl w:val="33325C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5CA86E91"/>
    <w:multiLevelType w:val="hybridMultilevel"/>
    <w:tmpl w:val="CD98F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7">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6A31490"/>
    <w:multiLevelType w:val="hybridMultilevel"/>
    <w:tmpl w:val="A574BBE4"/>
    <w:lvl w:ilvl="0">
      <w:start w:val="1"/>
      <w:numFmt w:val="decimal"/>
      <w:lvlText w:val="%1."/>
      <w:lvlJc w:val="left"/>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049455502">
    <w:abstractNumId w:val="13"/>
  </w:num>
  <w:num w:numId="2" w16cid:durableId="1744520127">
    <w:abstractNumId w:val="21"/>
  </w:num>
  <w:num w:numId="3" w16cid:durableId="1307660796">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683171345">
    <w:abstractNumId w:val="27"/>
  </w:num>
  <w:num w:numId="5" w16cid:durableId="1258245764">
    <w:abstractNumId w:val="9"/>
  </w:num>
  <w:num w:numId="6" w16cid:durableId="440995543">
    <w:abstractNumId w:val="30"/>
  </w:num>
  <w:num w:numId="7" w16cid:durableId="1295521877">
    <w:abstractNumId w:val="39"/>
  </w:num>
  <w:num w:numId="8" w16cid:durableId="362905008">
    <w:abstractNumId w:val="5"/>
  </w:num>
  <w:num w:numId="9" w16cid:durableId="956372609">
    <w:abstractNumId w:val="31"/>
  </w:num>
  <w:num w:numId="10" w16cid:durableId="224612969">
    <w:abstractNumId w:val="26"/>
  </w:num>
  <w:num w:numId="11" w16cid:durableId="1065907861">
    <w:abstractNumId w:val="11"/>
  </w:num>
  <w:num w:numId="12" w16cid:durableId="1347172124">
    <w:abstractNumId w:val="44"/>
  </w:num>
  <w:num w:numId="13" w16cid:durableId="858814935">
    <w:abstractNumId w:val="24"/>
  </w:num>
  <w:num w:numId="14" w16cid:durableId="569274544">
    <w:abstractNumId w:val="10"/>
  </w:num>
  <w:num w:numId="15" w16cid:durableId="968900089">
    <w:abstractNumId w:val="20"/>
  </w:num>
  <w:num w:numId="16" w16cid:durableId="814224585">
    <w:abstractNumId w:val="19"/>
  </w:num>
  <w:num w:numId="17" w16cid:durableId="1023635165">
    <w:abstractNumId w:val="38"/>
  </w:num>
  <w:num w:numId="18" w16cid:durableId="1798136948">
    <w:abstractNumId w:val="43"/>
  </w:num>
  <w:num w:numId="19" w16cid:durableId="1737049473">
    <w:abstractNumId w:val="40"/>
  </w:num>
  <w:num w:numId="20" w16cid:durableId="773790887">
    <w:abstractNumId w:val="23"/>
  </w:num>
  <w:num w:numId="21" w16cid:durableId="631444214">
    <w:abstractNumId w:val="18"/>
  </w:num>
  <w:num w:numId="22" w16cid:durableId="122162178">
    <w:abstractNumId w:val="4"/>
  </w:num>
  <w:num w:numId="23" w16cid:durableId="834763723">
    <w:abstractNumId w:val="35"/>
  </w:num>
  <w:num w:numId="24" w16cid:durableId="1043946155">
    <w:abstractNumId w:val="28"/>
  </w:num>
  <w:num w:numId="25" w16cid:durableId="1798986656">
    <w:abstractNumId w:val="14"/>
  </w:num>
  <w:num w:numId="26" w16cid:durableId="447312450">
    <w:abstractNumId w:val="8"/>
  </w:num>
  <w:num w:numId="27" w16cid:durableId="335421553">
    <w:abstractNumId w:val="45"/>
  </w:num>
  <w:num w:numId="28" w16cid:durableId="1704481906">
    <w:abstractNumId w:val="36"/>
  </w:num>
  <w:num w:numId="29" w16cid:durableId="1674599957">
    <w:abstractNumId w:val="7"/>
  </w:num>
  <w:num w:numId="30" w16cid:durableId="1366950556">
    <w:abstractNumId w:val="22"/>
  </w:num>
  <w:num w:numId="31" w16cid:durableId="2116944038">
    <w:abstractNumId w:val="3"/>
  </w:num>
  <w:num w:numId="32" w16cid:durableId="580139555">
    <w:abstractNumId w:val="1"/>
  </w:num>
  <w:num w:numId="33" w16cid:durableId="1715344627">
    <w:abstractNumId w:val="25"/>
  </w:num>
  <w:num w:numId="34" w16cid:durableId="929504273">
    <w:abstractNumId w:val="41"/>
  </w:num>
  <w:num w:numId="35" w16cid:durableId="601958574">
    <w:abstractNumId w:val="16"/>
  </w:num>
  <w:num w:numId="36" w16cid:durableId="838690425">
    <w:abstractNumId w:val="33"/>
  </w:num>
  <w:num w:numId="37" w16cid:durableId="2146853294">
    <w:abstractNumId w:val="12"/>
  </w:num>
  <w:num w:numId="38" w16cid:durableId="2057198015">
    <w:abstractNumId w:val="29"/>
  </w:num>
  <w:num w:numId="39" w16cid:durableId="1432697477">
    <w:abstractNumId w:val="34"/>
  </w:num>
  <w:num w:numId="40" w16cid:durableId="35813054">
    <w:abstractNumId w:val="2"/>
  </w:num>
  <w:num w:numId="41" w16cid:durableId="1798798487">
    <w:abstractNumId w:val="37"/>
  </w:num>
  <w:num w:numId="42" w16cid:durableId="747192842">
    <w:abstractNumId w:val="6"/>
  </w:num>
  <w:num w:numId="43" w16cid:durableId="440958275">
    <w:abstractNumId w:val="42"/>
  </w:num>
  <w:num w:numId="44" w16cid:durableId="1622305101">
    <w:abstractNumId w:val="17"/>
  </w:num>
  <w:num w:numId="45" w16cid:durableId="17458358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689987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13F"/>
    <w:rsid w:val="000034D4"/>
    <w:rsid w:val="0001395F"/>
    <w:rsid w:val="00015535"/>
    <w:rsid w:val="00017977"/>
    <w:rsid w:val="00027785"/>
    <w:rsid w:val="00031A2C"/>
    <w:rsid w:val="000324F4"/>
    <w:rsid w:val="00032D90"/>
    <w:rsid w:val="00034225"/>
    <w:rsid w:val="00037219"/>
    <w:rsid w:val="00037A69"/>
    <w:rsid w:val="00043C7F"/>
    <w:rsid w:val="00047BAE"/>
    <w:rsid w:val="0005208B"/>
    <w:rsid w:val="00053AB4"/>
    <w:rsid w:val="00063A63"/>
    <w:rsid w:val="00065012"/>
    <w:rsid w:val="0006570F"/>
    <w:rsid w:val="00075DE8"/>
    <w:rsid w:val="00076159"/>
    <w:rsid w:val="0008097C"/>
    <w:rsid w:val="00083396"/>
    <w:rsid w:val="00084241"/>
    <w:rsid w:val="000938FD"/>
    <w:rsid w:val="000A6B28"/>
    <w:rsid w:val="000B125C"/>
    <w:rsid w:val="000B5DF1"/>
    <w:rsid w:val="000C01CE"/>
    <w:rsid w:val="000C2537"/>
    <w:rsid w:val="000C3428"/>
    <w:rsid w:val="000C3B57"/>
    <w:rsid w:val="000C560C"/>
    <w:rsid w:val="000D3092"/>
    <w:rsid w:val="000D48FD"/>
    <w:rsid w:val="000D4928"/>
    <w:rsid w:val="000E1C64"/>
    <w:rsid w:val="000E1F0B"/>
    <w:rsid w:val="000E57E5"/>
    <w:rsid w:val="000E73D1"/>
    <w:rsid w:val="000F2B88"/>
    <w:rsid w:val="000F33DE"/>
    <w:rsid w:val="000F7119"/>
    <w:rsid w:val="00100739"/>
    <w:rsid w:val="001017FF"/>
    <w:rsid w:val="00107647"/>
    <w:rsid w:val="00107885"/>
    <w:rsid w:val="00112540"/>
    <w:rsid w:val="00114FC4"/>
    <w:rsid w:val="00121E8A"/>
    <w:rsid w:val="0012329C"/>
    <w:rsid w:val="00127203"/>
    <w:rsid w:val="00134FA7"/>
    <w:rsid w:val="00137950"/>
    <w:rsid w:val="00151FE3"/>
    <w:rsid w:val="00152F29"/>
    <w:rsid w:val="00153618"/>
    <w:rsid w:val="001550B2"/>
    <w:rsid w:val="00156063"/>
    <w:rsid w:val="00156076"/>
    <w:rsid w:val="001603A9"/>
    <w:rsid w:val="00161427"/>
    <w:rsid w:val="00162A2A"/>
    <w:rsid w:val="00163B68"/>
    <w:rsid w:val="0017496F"/>
    <w:rsid w:val="00174A73"/>
    <w:rsid w:val="00174D54"/>
    <w:rsid w:val="00182127"/>
    <w:rsid w:val="00182422"/>
    <w:rsid w:val="00183DF3"/>
    <w:rsid w:val="00184309"/>
    <w:rsid w:val="00185270"/>
    <w:rsid w:val="00186EFB"/>
    <w:rsid w:val="00190959"/>
    <w:rsid w:val="00193C60"/>
    <w:rsid w:val="001948B1"/>
    <w:rsid w:val="0019576E"/>
    <w:rsid w:val="00197D50"/>
    <w:rsid w:val="001A3B5A"/>
    <w:rsid w:val="001A5B5A"/>
    <w:rsid w:val="001A5C63"/>
    <w:rsid w:val="001B1D5D"/>
    <w:rsid w:val="001B5874"/>
    <w:rsid w:val="001B5C1B"/>
    <w:rsid w:val="001B6FDA"/>
    <w:rsid w:val="001B7CE9"/>
    <w:rsid w:val="001C590C"/>
    <w:rsid w:val="001C60DE"/>
    <w:rsid w:val="001C6298"/>
    <w:rsid w:val="001D0EA5"/>
    <w:rsid w:val="001D3004"/>
    <w:rsid w:val="001D495A"/>
    <w:rsid w:val="001E0A88"/>
    <w:rsid w:val="001E244C"/>
    <w:rsid w:val="001F0433"/>
    <w:rsid w:val="001F1437"/>
    <w:rsid w:val="001F1FDB"/>
    <w:rsid w:val="001F63C3"/>
    <w:rsid w:val="00201191"/>
    <w:rsid w:val="0021047B"/>
    <w:rsid w:val="0021312F"/>
    <w:rsid w:val="00213173"/>
    <w:rsid w:val="0021357E"/>
    <w:rsid w:val="002147C8"/>
    <w:rsid w:val="00214C93"/>
    <w:rsid w:val="0021770F"/>
    <w:rsid w:val="00221D61"/>
    <w:rsid w:val="002259EF"/>
    <w:rsid w:val="002408D9"/>
    <w:rsid w:val="00241CB3"/>
    <w:rsid w:val="00242ED1"/>
    <w:rsid w:val="002444BB"/>
    <w:rsid w:val="00252BC6"/>
    <w:rsid w:val="00252FC7"/>
    <w:rsid w:val="00254069"/>
    <w:rsid w:val="00256EDB"/>
    <w:rsid w:val="00257F46"/>
    <w:rsid w:val="00261D66"/>
    <w:rsid w:val="00264207"/>
    <w:rsid w:val="00267A7E"/>
    <w:rsid w:val="00270748"/>
    <w:rsid w:val="002734E5"/>
    <w:rsid w:val="002746DB"/>
    <w:rsid w:val="00280CAF"/>
    <w:rsid w:val="002826F2"/>
    <w:rsid w:val="00282F09"/>
    <w:rsid w:val="0028328B"/>
    <w:rsid w:val="00285E73"/>
    <w:rsid w:val="00286FC5"/>
    <w:rsid w:val="00291810"/>
    <w:rsid w:val="00291D10"/>
    <w:rsid w:val="00294D62"/>
    <w:rsid w:val="00296138"/>
    <w:rsid w:val="00297532"/>
    <w:rsid w:val="00297FFD"/>
    <w:rsid w:val="002A1210"/>
    <w:rsid w:val="002A320C"/>
    <w:rsid w:val="002A34C7"/>
    <w:rsid w:val="002B2074"/>
    <w:rsid w:val="002B29E4"/>
    <w:rsid w:val="002B3CEC"/>
    <w:rsid w:val="002C7F47"/>
    <w:rsid w:val="002D14D8"/>
    <w:rsid w:val="002D4799"/>
    <w:rsid w:val="002D6AD6"/>
    <w:rsid w:val="002D7D37"/>
    <w:rsid w:val="002E3FA4"/>
    <w:rsid w:val="002E53A5"/>
    <w:rsid w:val="002E6BB3"/>
    <w:rsid w:val="002F01DF"/>
    <w:rsid w:val="002F1D26"/>
    <w:rsid w:val="00301AFA"/>
    <w:rsid w:val="00301E7F"/>
    <w:rsid w:val="003113FF"/>
    <w:rsid w:val="00315BA7"/>
    <w:rsid w:val="00315CEB"/>
    <w:rsid w:val="00320553"/>
    <w:rsid w:val="00320726"/>
    <w:rsid w:val="00321DCE"/>
    <w:rsid w:val="0032277F"/>
    <w:rsid w:val="00331488"/>
    <w:rsid w:val="00331B90"/>
    <w:rsid w:val="0034038A"/>
    <w:rsid w:val="0034247E"/>
    <w:rsid w:val="00345C28"/>
    <w:rsid w:val="00346FA2"/>
    <w:rsid w:val="00350523"/>
    <w:rsid w:val="0035189D"/>
    <w:rsid w:val="00355F39"/>
    <w:rsid w:val="00361641"/>
    <w:rsid w:val="003740BC"/>
    <w:rsid w:val="003763B3"/>
    <w:rsid w:val="003801A3"/>
    <w:rsid w:val="00381CAB"/>
    <w:rsid w:val="00383D90"/>
    <w:rsid w:val="00384CC1"/>
    <w:rsid w:val="00385720"/>
    <w:rsid w:val="0038771F"/>
    <w:rsid w:val="00390933"/>
    <w:rsid w:val="0039277E"/>
    <w:rsid w:val="00393081"/>
    <w:rsid w:val="0039712A"/>
    <w:rsid w:val="00397C70"/>
    <w:rsid w:val="003A0ABC"/>
    <w:rsid w:val="003A1A27"/>
    <w:rsid w:val="003A50CC"/>
    <w:rsid w:val="003A7DAE"/>
    <w:rsid w:val="003B42B3"/>
    <w:rsid w:val="003B471A"/>
    <w:rsid w:val="003B6384"/>
    <w:rsid w:val="003B6C53"/>
    <w:rsid w:val="003C4EBB"/>
    <w:rsid w:val="003D006E"/>
    <w:rsid w:val="003D1531"/>
    <w:rsid w:val="003D2A5F"/>
    <w:rsid w:val="003D31AD"/>
    <w:rsid w:val="003D59A0"/>
    <w:rsid w:val="003E1E6F"/>
    <w:rsid w:val="003E4EC6"/>
    <w:rsid w:val="003E527E"/>
    <w:rsid w:val="003E553E"/>
    <w:rsid w:val="003E5EB4"/>
    <w:rsid w:val="003E6A7D"/>
    <w:rsid w:val="003E7078"/>
    <w:rsid w:val="003E7B99"/>
    <w:rsid w:val="003F3DF5"/>
    <w:rsid w:val="003F4AD2"/>
    <w:rsid w:val="003F4B3B"/>
    <w:rsid w:val="0040222C"/>
    <w:rsid w:val="004026DE"/>
    <w:rsid w:val="0040520B"/>
    <w:rsid w:val="0040585A"/>
    <w:rsid w:val="00405CFF"/>
    <w:rsid w:val="00407A43"/>
    <w:rsid w:val="00411D11"/>
    <w:rsid w:val="00413711"/>
    <w:rsid w:val="004146DC"/>
    <w:rsid w:val="00415E23"/>
    <w:rsid w:val="004164F9"/>
    <w:rsid w:val="0041670D"/>
    <w:rsid w:val="0041748A"/>
    <w:rsid w:val="0042050B"/>
    <w:rsid w:val="004221B4"/>
    <w:rsid w:val="00424061"/>
    <w:rsid w:val="00427D5C"/>
    <w:rsid w:val="00431F03"/>
    <w:rsid w:val="00434257"/>
    <w:rsid w:val="00441561"/>
    <w:rsid w:val="00441FBE"/>
    <w:rsid w:val="00442557"/>
    <w:rsid w:val="00442A3C"/>
    <w:rsid w:val="00443086"/>
    <w:rsid w:val="00443969"/>
    <w:rsid w:val="00443B5A"/>
    <w:rsid w:val="00445EF1"/>
    <w:rsid w:val="00447737"/>
    <w:rsid w:val="00447D74"/>
    <w:rsid w:val="00450A74"/>
    <w:rsid w:val="004546BF"/>
    <w:rsid w:val="004569F9"/>
    <w:rsid w:val="00456E35"/>
    <w:rsid w:val="00465350"/>
    <w:rsid w:val="00465D3D"/>
    <w:rsid w:val="00480EA7"/>
    <w:rsid w:val="0048116A"/>
    <w:rsid w:val="004846BF"/>
    <w:rsid w:val="004865E8"/>
    <w:rsid w:val="00492903"/>
    <w:rsid w:val="00494AF5"/>
    <w:rsid w:val="00495380"/>
    <w:rsid w:val="004A3E77"/>
    <w:rsid w:val="004A7F88"/>
    <w:rsid w:val="004B71DE"/>
    <w:rsid w:val="004B7CCD"/>
    <w:rsid w:val="004C000A"/>
    <w:rsid w:val="004C144A"/>
    <w:rsid w:val="004C56D5"/>
    <w:rsid w:val="004C6979"/>
    <w:rsid w:val="004D13A2"/>
    <w:rsid w:val="004D1781"/>
    <w:rsid w:val="004D2945"/>
    <w:rsid w:val="004D3E7A"/>
    <w:rsid w:val="004D5CEC"/>
    <w:rsid w:val="004E236E"/>
    <w:rsid w:val="004E3564"/>
    <w:rsid w:val="004F5318"/>
    <w:rsid w:val="004F594B"/>
    <w:rsid w:val="004F61E1"/>
    <w:rsid w:val="004F6622"/>
    <w:rsid w:val="00502A61"/>
    <w:rsid w:val="00503107"/>
    <w:rsid w:val="005160F9"/>
    <w:rsid w:val="00516E56"/>
    <w:rsid w:val="00517381"/>
    <w:rsid w:val="00522217"/>
    <w:rsid w:val="00524358"/>
    <w:rsid w:val="00527297"/>
    <w:rsid w:val="00540647"/>
    <w:rsid w:val="00544138"/>
    <w:rsid w:val="00544539"/>
    <w:rsid w:val="0054562D"/>
    <w:rsid w:val="00552112"/>
    <w:rsid w:val="00553F32"/>
    <w:rsid w:val="0056317E"/>
    <w:rsid w:val="00564662"/>
    <w:rsid w:val="0057219E"/>
    <w:rsid w:val="00573463"/>
    <w:rsid w:val="005837ED"/>
    <w:rsid w:val="00584583"/>
    <w:rsid w:val="005861DC"/>
    <w:rsid w:val="005868E6"/>
    <w:rsid w:val="00590EEB"/>
    <w:rsid w:val="005A0AAF"/>
    <w:rsid w:val="005A4099"/>
    <w:rsid w:val="005B0A4D"/>
    <w:rsid w:val="005C1386"/>
    <w:rsid w:val="005C38B2"/>
    <w:rsid w:val="005C5029"/>
    <w:rsid w:val="005C52E9"/>
    <w:rsid w:val="005C55C2"/>
    <w:rsid w:val="005C6E3E"/>
    <w:rsid w:val="005C745C"/>
    <w:rsid w:val="005D1106"/>
    <w:rsid w:val="005D4DF5"/>
    <w:rsid w:val="005D77C7"/>
    <w:rsid w:val="005E3A2D"/>
    <w:rsid w:val="005E3F3F"/>
    <w:rsid w:val="005F6AD8"/>
    <w:rsid w:val="00601EA1"/>
    <w:rsid w:val="00606979"/>
    <w:rsid w:val="00611D6B"/>
    <w:rsid w:val="00612AC8"/>
    <w:rsid w:val="00614F86"/>
    <w:rsid w:val="006210A2"/>
    <w:rsid w:val="00626CB2"/>
    <w:rsid w:val="0063167C"/>
    <w:rsid w:val="0063252D"/>
    <w:rsid w:val="006326EC"/>
    <w:rsid w:val="00644A55"/>
    <w:rsid w:val="00646A56"/>
    <w:rsid w:val="00647065"/>
    <w:rsid w:val="006518DB"/>
    <w:rsid w:val="006539A8"/>
    <w:rsid w:val="006552AA"/>
    <w:rsid w:val="00661F5B"/>
    <w:rsid w:val="00663A42"/>
    <w:rsid w:val="006641C7"/>
    <w:rsid w:val="00665AFE"/>
    <w:rsid w:val="00670BE2"/>
    <w:rsid w:val="00671425"/>
    <w:rsid w:val="00673DB8"/>
    <w:rsid w:val="0067586F"/>
    <w:rsid w:val="006758AC"/>
    <w:rsid w:val="006826D3"/>
    <w:rsid w:val="00686133"/>
    <w:rsid w:val="00692AF2"/>
    <w:rsid w:val="00693D59"/>
    <w:rsid w:val="0069425F"/>
    <w:rsid w:val="00694455"/>
    <w:rsid w:val="0069655E"/>
    <w:rsid w:val="00697B6B"/>
    <w:rsid w:val="006A21AB"/>
    <w:rsid w:val="006A23E5"/>
    <w:rsid w:val="006A26C6"/>
    <w:rsid w:val="006A7D5D"/>
    <w:rsid w:val="006C1966"/>
    <w:rsid w:val="006C1EEA"/>
    <w:rsid w:val="006D0DAA"/>
    <w:rsid w:val="006D5D57"/>
    <w:rsid w:val="006D7112"/>
    <w:rsid w:val="006D734B"/>
    <w:rsid w:val="006D7492"/>
    <w:rsid w:val="006E1B4E"/>
    <w:rsid w:val="006E2D8D"/>
    <w:rsid w:val="006E678F"/>
    <w:rsid w:val="006F2470"/>
    <w:rsid w:val="006F2B02"/>
    <w:rsid w:val="006F4349"/>
    <w:rsid w:val="006F4D6D"/>
    <w:rsid w:val="006F72AE"/>
    <w:rsid w:val="006F796B"/>
    <w:rsid w:val="007005ED"/>
    <w:rsid w:val="00700725"/>
    <w:rsid w:val="00702706"/>
    <w:rsid w:val="00705086"/>
    <w:rsid w:val="00705F05"/>
    <w:rsid w:val="00706885"/>
    <w:rsid w:val="00710CA3"/>
    <w:rsid w:val="00713D8E"/>
    <w:rsid w:val="00720499"/>
    <w:rsid w:val="00721C10"/>
    <w:rsid w:val="00726072"/>
    <w:rsid w:val="007316EF"/>
    <w:rsid w:val="0073447B"/>
    <w:rsid w:val="00734EA9"/>
    <w:rsid w:val="007355DF"/>
    <w:rsid w:val="00736DED"/>
    <w:rsid w:val="00747996"/>
    <w:rsid w:val="00751E66"/>
    <w:rsid w:val="007525CF"/>
    <w:rsid w:val="00754497"/>
    <w:rsid w:val="00754C5A"/>
    <w:rsid w:val="007658E3"/>
    <w:rsid w:val="007707D9"/>
    <w:rsid w:val="00775685"/>
    <w:rsid w:val="00777E48"/>
    <w:rsid w:val="007830C9"/>
    <w:rsid w:val="00783476"/>
    <w:rsid w:val="00787C39"/>
    <w:rsid w:val="00787CBA"/>
    <w:rsid w:val="007956CD"/>
    <w:rsid w:val="00795DF3"/>
    <w:rsid w:val="007A373C"/>
    <w:rsid w:val="007A6647"/>
    <w:rsid w:val="007A7F5F"/>
    <w:rsid w:val="007B225C"/>
    <w:rsid w:val="007B35D3"/>
    <w:rsid w:val="007B3E3D"/>
    <w:rsid w:val="007B4A56"/>
    <w:rsid w:val="007B6EC0"/>
    <w:rsid w:val="007B70D4"/>
    <w:rsid w:val="007C192E"/>
    <w:rsid w:val="007C75B1"/>
    <w:rsid w:val="007D21CB"/>
    <w:rsid w:val="007D23C8"/>
    <w:rsid w:val="007D2805"/>
    <w:rsid w:val="007D3DFC"/>
    <w:rsid w:val="007D493B"/>
    <w:rsid w:val="007D6946"/>
    <w:rsid w:val="007E0CA5"/>
    <w:rsid w:val="007E16F8"/>
    <w:rsid w:val="007E2F07"/>
    <w:rsid w:val="007E4440"/>
    <w:rsid w:val="007E75C8"/>
    <w:rsid w:val="007F379A"/>
    <w:rsid w:val="007F4B64"/>
    <w:rsid w:val="008040FC"/>
    <w:rsid w:val="0080776D"/>
    <w:rsid w:val="00810145"/>
    <w:rsid w:val="008108FA"/>
    <w:rsid w:val="00810FF1"/>
    <w:rsid w:val="008119E7"/>
    <w:rsid w:val="00817776"/>
    <w:rsid w:val="00822336"/>
    <w:rsid w:val="00823DFA"/>
    <w:rsid w:val="00824186"/>
    <w:rsid w:val="008243B4"/>
    <w:rsid w:val="00826215"/>
    <w:rsid w:val="00827E6E"/>
    <w:rsid w:val="00831132"/>
    <w:rsid w:val="00834463"/>
    <w:rsid w:val="00835B47"/>
    <w:rsid w:val="0084194C"/>
    <w:rsid w:val="008419B6"/>
    <w:rsid w:val="00843752"/>
    <w:rsid w:val="00843A7A"/>
    <w:rsid w:val="00843E2B"/>
    <w:rsid w:val="0084479F"/>
    <w:rsid w:val="0085725E"/>
    <w:rsid w:val="0086132C"/>
    <w:rsid w:val="0086408C"/>
    <w:rsid w:val="00865A71"/>
    <w:rsid w:val="00875136"/>
    <w:rsid w:val="00880624"/>
    <w:rsid w:val="0088124E"/>
    <w:rsid w:val="00885043"/>
    <w:rsid w:val="00885B09"/>
    <w:rsid w:val="008869C8"/>
    <w:rsid w:val="0089029F"/>
    <w:rsid w:val="0089119B"/>
    <w:rsid w:val="00892400"/>
    <w:rsid w:val="00892781"/>
    <w:rsid w:val="008954E4"/>
    <w:rsid w:val="008972DC"/>
    <w:rsid w:val="008A209D"/>
    <w:rsid w:val="008A22BB"/>
    <w:rsid w:val="008A6776"/>
    <w:rsid w:val="008A7337"/>
    <w:rsid w:val="008B0E29"/>
    <w:rsid w:val="008B0EFA"/>
    <w:rsid w:val="008B30AB"/>
    <w:rsid w:val="008C0895"/>
    <w:rsid w:val="008C4819"/>
    <w:rsid w:val="008C7436"/>
    <w:rsid w:val="008D37C5"/>
    <w:rsid w:val="008D3D11"/>
    <w:rsid w:val="008D4256"/>
    <w:rsid w:val="008D4709"/>
    <w:rsid w:val="008D48A8"/>
    <w:rsid w:val="008D5002"/>
    <w:rsid w:val="008D715E"/>
    <w:rsid w:val="008D7F5E"/>
    <w:rsid w:val="008E37E0"/>
    <w:rsid w:val="008E3B54"/>
    <w:rsid w:val="008E5F55"/>
    <w:rsid w:val="008F1738"/>
    <w:rsid w:val="008F6FA8"/>
    <w:rsid w:val="008F76A7"/>
    <w:rsid w:val="00905DEF"/>
    <w:rsid w:val="00906DB7"/>
    <w:rsid w:val="009072EC"/>
    <w:rsid w:val="009100D4"/>
    <w:rsid w:val="00910EAA"/>
    <w:rsid w:val="00913B43"/>
    <w:rsid w:val="00914160"/>
    <w:rsid w:val="00914402"/>
    <w:rsid w:val="0091554D"/>
    <w:rsid w:val="00915CDB"/>
    <w:rsid w:val="00917E87"/>
    <w:rsid w:val="009206FD"/>
    <w:rsid w:val="00924B1C"/>
    <w:rsid w:val="00930203"/>
    <w:rsid w:val="009311D2"/>
    <w:rsid w:val="009311E6"/>
    <w:rsid w:val="00931275"/>
    <w:rsid w:val="009317EB"/>
    <w:rsid w:val="00934A0F"/>
    <w:rsid w:val="009351B3"/>
    <w:rsid w:val="00935C20"/>
    <w:rsid w:val="00936AC7"/>
    <w:rsid w:val="00937BF3"/>
    <w:rsid w:val="00940EED"/>
    <w:rsid w:val="00941F81"/>
    <w:rsid w:val="00953B64"/>
    <w:rsid w:val="00965D27"/>
    <w:rsid w:val="00970A88"/>
    <w:rsid w:val="00971255"/>
    <w:rsid w:val="00971E99"/>
    <w:rsid w:val="00975BBE"/>
    <w:rsid w:val="009823D4"/>
    <w:rsid w:val="009833D9"/>
    <w:rsid w:val="009856ED"/>
    <w:rsid w:val="0099023A"/>
    <w:rsid w:val="009902CB"/>
    <w:rsid w:val="0099109B"/>
    <w:rsid w:val="00993BE9"/>
    <w:rsid w:val="00996424"/>
    <w:rsid w:val="00997CE9"/>
    <w:rsid w:val="009A0148"/>
    <w:rsid w:val="009A1674"/>
    <w:rsid w:val="009A3045"/>
    <w:rsid w:val="009A592C"/>
    <w:rsid w:val="009B009B"/>
    <w:rsid w:val="009B064B"/>
    <w:rsid w:val="009B08EA"/>
    <w:rsid w:val="009B66EA"/>
    <w:rsid w:val="009C5DC7"/>
    <w:rsid w:val="009C684F"/>
    <w:rsid w:val="009D074C"/>
    <w:rsid w:val="009D07B9"/>
    <w:rsid w:val="009E2240"/>
    <w:rsid w:val="009E310A"/>
    <w:rsid w:val="009E4BF2"/>
    <w:rsid w:val="009E67C6"/>
    <w:rsid w:val="009F1F1D"/>
    <w:rsid w:val="009F2B4F"/>
    <w:rsid w:val="009F3C63"/>
    <w:rsid w:val="009F66B5"/>
    <w:rsid w:val="009F76A8"/>
    <w:rsid w:val="00A034FE"/>
    <w:rsid w:val="00A13565"/>
    <w:rsid w:val="00A16221"/>
    <w:rsid w:val="00A20A7D"/>
    <w:rsid w:val="00A211CC"/>
    <w:rsid w:val="00A31742"/>
    <w:rsid w:val="00A3292F"/>
    <w:rsid w:val="00A35D42"/>
    <w:rsid w:val="00A374F3"/>
    <w:rsid w:val="00A4652B"/>
    <w:rsid w:val="00A465E7"/>
    <w:rsid w:val="00A46CCF"/>
    <w:rsid w:val="00A53451"/>
    <w:rsid w:val="00A54F43"/>
    <w:rsid w:val="00A56AC8"/>
    <w:rsid w:val="00A6500E"/>
    <w:rsid w:val="00A66740"/>
    <w:rsid w:val="00A67511"/>
    <w:rsid w:val="00A70426"/>
    <w:rsid w:val="00A80CA4"/>
    <w:rsid w:val="00A81944"/>
    <w:rsid w:val="00A86001"/>
    <w:rsid w:val="00A91E9A"/>
    <w:rsid w:val="00A92041"/>
    <w:rsid w:val="00A9212C"/>
    <w:rsid w:val="00A923FF"/>
    <w:rsid w:val="00A93ED9"/>
    <w:rsid w:val="00A95926"/>
    <w:rsid w:val="00A96221"/>
    <w:rsid w:val="00AA39F4"/>
    <w:rsid w:val="00AA63C6"/>
    <w:rsid w:val="00AB382C"/>
    <w:rsid w:val="00AB5D78"/>
    <w:rsid w:val="00AB7232"/>
    <w:rsid w:val="00AC13F6"/>
    <w:rsid w:val="00AC33C1"/>
    <w:rsid w:val="00AC5DD6"/>
    <w:rsid w:val="00AC6A99"/>
    <w:rsid w:val="00AD384D"/>
    <w:rsid w:val="00AD5CF9"/>
    <w:rsid w:val="00AE148B"/>
    <w:rsid w:val="00AE4CEE"/>
    <w:rsid w:val="00AF1B32"/>
    <w:rsid w:val="00AF2E4D"/>
    <w:rsid w:val="00AF422C"/>
    <w:rsid w:val="00AF436B"/>
    <w:rsid w:val="00B00133"/>
    <w:rsid w:val="00B055EF"/>
    <w:rsid w:val="00B06B5B"/>
    <w:rsid w:val="00B07829"/>
    <w:rsid w:val="00B07985"/>
    <w:rsid w:val="00B15876"/>
    <w:rsid w:val="00B23769"/>
    <w:rsid w:val="00B26183"/>
    <w:rsid w:val="00B26D16"/>
    <w:rsid w:val="00B3579C"/>
    <w:rsid w:val="00B36DBC"/>
    <w:rsid w:val="00B41009"/>
    <w:rsid w:val="00B41789"/>
    <w:rsid w:val="00B44101"/>
    <w:rsid w:val="00B45512"/>
    <w:rsid w:val="00B46ACB"/>
    <w:rsid w:val="00B50E8C"/>
    <w:rsid w:val="00B51846"/>
    <w:rsid w:val="00B5427A"/>
    <w:rsid w:val="00B60AD0"/>
    <w:rsid w:val="00B71DB5"/>
    <w:rsid w:val="00B7233D"/>
    <w:rsid w:val="00B73C57"/>
    <w:rsid w:val="00B8041C"/>
    <w:rsid w:val="00B8082F"/>
    <w:rsid w:val="00B81808"/>
    <w:rsid w:val="00B83FF8"/>
    <w:rsid w:val="00B8493A"/>
    <w:rsid w:val="00B86510"/>
    <w:rsid w:val="00B86DFA"/>
    <w:rsid w:val="00B91AB6"/>
    <w:rsid w:val="00B936D0"/>
    <w:rsid w:val="00B94FCF"/>
    <w:rsid w:val="00BA1BDD"/>
    <w:rsid w:val="00BA4198"/>
    <w:rsid w:val="00BA5B46"/>
    <w:rsid w:val="00BA7C2F"/>
    <w:rsid w:val="00BB3CC6"/>
    <w:rsid w:val="00BB4D27"/>
    <w:rsid w:val="00BB500C"/>
    <w:rsid w:val="00BC1B89"/>
    <w:rsid w:val="00BC21FD"/>
    <w:rsid w:val="00BC27BE"/>
    <w:rsid w:val="00BD3D5B"/>
    <w:rsid w:val="00BE2224"/>
    <w:rsid w:val="00BE3600"/>
    <w:rsid w:val="00BE4616"/>
    <w:rsid w:val="00BE51F9"/>
    <w:rsid w:val="00BF0C65"/>
    <w:rsid w:val="00BF7B3F"/>
    <w:rsid w:val="00C01F6F"/>
    <w:rsid w:val="00C034BC"/>
    <w:rsid w:val="00C03851"/>
    <w:rsid w:val="00C041EA"/>
    <w:rsid w:val="00C04FD6"/>
    <w:rsid w:val="00C11D10"/>
    <w:rsid w:val="00C126BF"/>
    <w:rsid w:val="00C12A22"/>
    <w:rsid w:val="00C149AB"/>
    <w:rsid w:val="00C16929"/>
    <w:rsid w:val="00C24B0D"/>
    <w:rsid w:val="00C35767"/>
    <w:rsid w:val="00C36020"/>
    <w:rsid w:val="00C40694"/>
    <w:rsid w:val="00C41A00"/>
    <w:rsid w:val="00C41AF2"/>
    <w:rsid w:val="00C465A0"/>
    <w:rsid w:val="00C47659"/>
    <w:rsid w:val="00C51A48"/>
    <w:rsid w:val="00C57A9D"/>
    <w:rsid w:val="00C70542"/>
    <w:rsid w:val="00C717A4"/>
    <w:rsid w:val="00C71FE6"/>
    <w:rsid w:val="00C75CBF"/>
    <w:rsid w:val="00C8033B"/>
    <w:rsid w:val="00C82650"/>
    <w:rsid w:val="00C85F49"/>
    <w:rsid w:val="00C86D04"/>
    <w:rsid w:val="00C8771B"/>
    <w:rsid w:val="00C90020"/>
    <w:rsid w:val="00C92951"/>
    <w:rsid w:val="00C93329"/>
    <w:rsid w:val="00C96DA8"/>
    <w:rsid w:val="00C96F3A"/>
    <w:rsid w:val="00C971E1"/>
    <w:rsid w:val="00CB7DAA"/>
    <w:rsid w:val="00CC2894"/>
    <w:rsid w:val="00CC2EAF"/>
    <w:rsid w:val="00CC4954"/>
    <w:rsid w:val="00CC6C0A"/>
    <w:rsid w:val="00CC6D79"/>
    <w:rsid w:val="00CC73B5"/>
    <w:rsid w:val="00CD0FD8"/>
    <w:rsid w:val="00CD77C3"/>
    <w:rsid w:val="00CE112C"/>
    <w:rsid w:val="00CE266E"/>
    <w:rsid w:val="00CE4DF5"/>
    <w:rsid w:val="00CE569A"/>
    <w:rsid w:val="00CE648B"/>
    <w:rsid w:val="00CF272B"/>
    <w:rsid w:val="00CF33B1"/>
    <w:rsid w:val="00CF48F4"/>
    <w:rsid w:val="00CF55D4"/>
    <w:rsid w:val="00CF79F0"/>
    <w:rsid w:val="00D010D8"/>
    <w:rsid w:val="00D153F0"/>
    <w:rsid w:val="00D2298E"/>
    <w:rsid w:val="00D2580F"/>
    <w:rsid w:val="00D361C9"/>
    <w:rsid w:val="00D36FD0"/>
    <w:rsid w:val="00D410B2"/>
    <w:rsid w:val="00D44789"/>
    <w:rsid w:val="00D45392"/>
    <w:rsid w:val="00D457F8"/>
    <w:rsid w:val="00D57A55"/>
    <w:rsid w:val="00D57D9D"/>
    <w:rsid w:val="00D608DA"/>
    <w:rsid w:val="00D60A52"/>
    <w:rsid w:val="00D730BF"/>
    <w:rsid w:val="00D76B8E"/>
    <w:rsid w:val="00D8041C"/>
    <w:rsid w:val="00D84964"/>
    <w:rsid w:val="00D86C7B"/>
    <w:rsid w:val="00D90AC0"/>
    <w:rsid w:val="00D91AE3"/>
    <w:rsid w:val="00D9488D"/>
    <w:rsid w:val="00D964C7"/>
    <w:rsid w:val="00D97EE0"/>
    <w:rsid w:val="00DA0D62"/>
    <w:rsid w:val="00DA2DE3"/>
    <w:rsid w:val="00DA39D6"/>
    <w:rsid w:val="00DA4B5A"/>
    <w:rsid w:val="00DA5D0F"/>
    <w:rsid w:val="00DA5D4D"/>
    <w:rsid w:val="00DB1110"/>
    <w:rsid w:val="00DB2595"/>
    <w:rsid w:val="00DB3EE4"/>
    <w:rsid w:val="00DC00CA"/>
    <w:rsid w:val="00DC2D22"/>
    <w:rsid w:val="00DC3788"/>
    <w:rsid w:val="00DC76C7"/>
    <w:rsid w:val="00DD02C4"/>
    <w:rsid w:val="00DD09F5"/>
    <w:rsid w:val="00DD14B3"/>
    <w:rsid w:val="00DD38C2"/>
    <w:rsid w:val="00DD4201"/>
    <w:rsid w:val="00DD5E9F"/>
    <w:rsid w:val="00DE5711"/>
    <w:rsid w:val="00DE7253"/>
    <w:rsid w:val="00DF7161"/>
    <w:rsid w:val="00DF7544"/>
    <w:rsid w:val="00E00EA0"/>
    <w:rsid w:val="00E014E0"/>
    <w:rsid w:val="00E03D15"/>
    <w:rsid w:val="00E05F5B"/>
    <w:rsid w:val="00E104B3"/>
    <w:rsid w:val="00E127C6"/>
    <w:rsid w:val="00E130A1"/>
    <w:rsid w:val="00E138F1"/>
    <w:rsid w:val="00E15DE4"/>
    <w:rsid w:val="00E16D72"/>
    <w:rsid w:val="00E2309D"/>
    <w:rsid w:val="00E23B48"/>
    <w:rsid w:val="00E26758"/>
    <w:rsid w:val="00E3632C"/>
    <w:rsid w:val="00E41DF7"/>
    <w:rsid w:val="00E420AC"/>
    <w:rsid w:val="00E4357B"/>
    <w:rsid w:val="00E43C42"/>
    <w:rsid w:val="00E53C59"/>
    <w:rsid w:val="00E53EAF"/>
    <w:rsid w:val="00E54C10"/>
    <w:rsid w:val="00E55B4C"/>
    <w:rsid w:val="00E57C22"/>
    <w:rsid w:val="00E63DE5"/>
    <w:rsid w:val="00E65A37"/>
    <w:rsid w:val="00E65EF7"/>
    <w:rsid w:val="00E66E94"/>
    <w:rsid w:val="00E67DFD"/>
    <w:rsid w:val="00E71080"/>
    <w:rsid w:val="00E76C96"/>
    <w:rsid w:val="00E77B48"/>
    <w:rsid w:val="00E8166C"/>
    <w:rsid w:val="00E83FD9"/>
    <w:rsid w:val="00E857FB"/>
    <w:rsid w:val="00E91799"/>
    <w:rsid w:val="00E948B2"/>
    <w:rsid w:val="00E95AFD"/>
    <w:rsid w:val="00EA21FE"/>
    <w:rsid w:val="00EA34E3"/>
    <w:rsid w:val="00EA7DAF"/>
    <w:rsid w:val="00EB24FB"/>
    <w:rsid w:val="00EB63B1"/>
    <w:rsid w:val="00EB7538"/>
    <w:rsid w:val="00EC1181"/>
    <w:rsid w:val="00EC150C"/>
    <w:rsid w:val="00EC33B3"/>
    <w:rsid w:val="00ED3910"/>
    <w:rsid w:val="00ED4A3B"/>
    <w:rsid w:val="00ED4F9C"/>
    <w:rsid w:val="00EE6468"/>
    <w:rsid w:val="00EF0936"/>
    <w:rsid w:val="00F04CB2"/>
    <w:rsid w:val="00F07E09"/>
    <w:rsid w:val="00F10669"/>
    <w:rsid w:val="00F1299B"/>
    <w:rsid w:val="00F1772B"/>
    <w:rsid w:val="00F207A4"/>
    <w:rsid w:val="00F23AB5"/>
    <w:rsid w:val="00F27C2E"/>
    <w:rsid w:val="00F33B04"/>
    <w:rsid w:val="00F355AC"/>
    <w:rsid w:val="00F369A7"/>
    <w:rsid w:val="00F43AB4"/>
    <w:rsid w:val="00F515F4"/>
    <w:rsid w:val="00F523B5"/>
    <w:rsid w:val="00F536E5"/>
    <w:rsid w:val="00F60A62"/>
    <w:rsid w:val="00F64139"/>
    <w:rsid w:val="00F70654"/>
    <w:rsid w:val="00F71A5A"/>
    <w:rsid w:val="00F73B61"/>
    <w:rsid w:val="00F74C2D"/>
    <w:rsid w:val="00F767FA"/>
    <w:rsid w:val="00F769E0"/>
    <w:rsid w:val="00F774E2"/>
    <w:rsid w:val="00F7787C"/>
    <w:rsid w:val="00F80A8D"/>
    <w:rsid w:val="00F80BF9"/>
    <w:rsid w:val="00F84FD4"/>
    <w:rsid w:val="00F9174C"/>
    <w:rsid w:val="00F92BCD"/>
    <w:rsid w:val="00F9534A"/>
    <w:rsid w:val="00F9740A"/>
    <w:rsid w:val="00FA758D"/>
    <w:rsid w:val="00FA75FE"/>
    <w:rsid w:val="00FB0FF7"/>
    <w:rsid w:val="00FB1032"/>
    <w:rsid w:val="00FB356B"/>
    <w:rsid w:val="00FC2CE1"/>
    <w:rsid w:val="00FC3105"/>
    <w:rsid w:val="00FC46A9"/>
    <w:rsid w:val="00FC48AE"/>
    <w:rsid w:val="00FC4D16"/>
    <w:rsid w:val="00FC5022"/>
    <w:rsid w:val="00FC6BDE"/>
    <w:rsid w:val="00FC6F8E"/>
    <w:rsid w:val="00FD0041"/>
    <w:rsid w:val="00FE2CA3"/>
    <w:rsid w:val="00FF2A0E"/>
    <w:rsid w:val="00FF46BF"/>
    <w:rsid w:val="00FF5A71"/>
    <w:rsid w:val="00FF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4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BodyText">
    <w:name w:val="Body Text"/>
    <w:basedOn w:val="Normal"/>
    <w:link w:val="BodyTextChar"/>
    <w:rsid w:val="00880624"/>
    <w:pPr>
      <w:spacing w:after="120"/>
    </w:pPr>
  </w:style>
  <w:style w:type="character" w:customStyle="1" w:styleId="BodyTextChar">
    <w:name w:val="Body Text Char"/>
    <w:basedOn w:val="DefaultParagraphFont"/>
    <w:link w:val="BodyText"/>
    <w:rsid w:val="00880624"/>
    <w:rPr>
      <w:sz w:val="24"/>
      <w:szCs w:val="24"/>
    </w:rPr>
  </w:style>
  <w:style w:type="paragraph" w:styleId="ListParagraph">
    <w:name w:val="List Paragraph"/>
    <w:basedOn w:val="Normal"/>
    <w:uiPriority w:val="34"/>
    <w:qFormat/>
    <w:rsid w:val="005B0A4D"/>
    <w:pPr>
      <w:widowControl w:val="0"/>
      <w:autoSpaceDE w:val="0"/>
      <w:autoSpaceDN w:val="0"/>
      <w:ind w:left="828" w:hanging="360"/>
    </w:pPr>
    <w:rPr>
      <w:sz w:val="22"/>
      <w:szCs w:val="22"/>
    </w:rPr>
  </w:style>
  <w:style w:type="paragraph" w:customStyle="1" w:styleId="TableParagraph">
    <w:name w:val="Table Paragraph"/>
    <w:basedOn w:val="Normal"/>
    <w:uiPriority w:val="1"/>
    <w:qFormat/>
    <w:rsid w:val="007B4A56"/>
    <w:pPr>
      <w:widowControl w:val="0"/>
      <w:autoSpaceDE w:val="0"/>
      <w:autoSpaceDN w:val="0"/>
    </w:pPr>
    <w:rPr>
      <w:sz w:val="22"/>
      <w:szCs w:val="22"/>
    </w:rPr>
  </w:style>
  <w:style w:type="character" w:styleId="Hyperlink">
    <w:name w:val="Hyperlink"/>
    <w:basedOn w:val="DefaultParagraphFont"/>
    <w:unhideWhenUsed/>
    <w:rsid w:val="00CF272B"/>
    <w:rPr>
      <w:color w:val="0000FF" w:themeColor="hyperlink"/>
      <w:u w:val="single"/>
    </w:rPr>
  </w:style>
  <w:style w:type="character" w:styleId="UnresolvedMention">
    <w:name w:val="Unresolved Mention"/>
    <w:basedOn w:val="DefaultParagraphFont"/>
    <w:uiPriority w:val="99"/>
    <w:semiHidden/>
    <w:unhideWhenUsed/>
    <w:rsid w:val="00CF272B"/>
    <w:rPr>
      <w:color w:val="808080"/>
      <w:shd w:val="clear" w:color="auto" w:fill="E6E6E6"/>
    </w:rPr>
  </w:style>
  <w:style w:type="character" w:styleId="FollowedHyperlink">
    <w:name w:val="FollowedHyperlink"/>
    <w:basedOn w:val="DefaultParagraphFont"/>
    <w:semiHidden/>
    <w:unhideWhenUsed/>
    <w:rsid w:val="00CF272B"/>
    <w:rPr>
      <w:color w:val="800080" w:themeColor="followedHyperlink"/>
      <w:u w:val="single"/>
    </w:rPr>
  </w:style>
  <w:style w:type="paragraph" w:styleId="Header">
    <w:name w:val="header"/>
    <w:basedOn w:val="Normal"/>
    <w:link w:val="HeaderChar"/>
    <w:unhideWhenUsed/>
    <w:rsid w:val="00441561"/>
    <w:pPr>
      <w:tabs>
        <w:tab w:val="center" w:pos="4680"/>
        <w:tab w:val="right" w:pos="9360"/>
      </w:tabs>
    </w:pPr>
  </w:style>
  <w:style w:type="character" w:customStyle="1" w:styleId="HeaderChar">
    <w:name w:val="Header Char"/>
    <w:basedOn w:val="DefaultParagraphFont"/>
    <w:link w:val="Header"/>
    <w:rsid w:val="00441561"/>
    <w:rPr>
      <w:sz w:val="24"/>
      <w:szCs w:val="24"/>
    </w:rPr>
  </w:style>
  <w:style w:type="character" w:styleId="CommentReference">
    <w:name w:val="annotation reference"/>
    <w:aliases w:val="Comment Text Style"/>
    <w:basedOn w:val="DefaultParagraphFont"/>
    <w:uiPriority w:val="99"/>
    <w:unhideWhenUsed/>
    <w:rsid w:val="00C11D10"/>
    <w:rPr>
      <w:sz w:val="16"/>
      <w:szCs w:val="16"/>
    </w:rPr>
  </w:style>
  <w:style w:type="paragraph" w:styleId="CommentText">
    <w:name w:val="annotation text"/>
    <w:basedOn w:val="Normal"/>
    <w:link w:val="CommentTextChar"/>
    <w:uiPriority w:val="99"/>
    <w:unhideWhenUsed/>
    <w:rsid w:val="00C11D10"/>
    <w:rPr>
      <w:sz w:val="20"/>
      <w:szCs w:val="20"/>
    </w:rPr>
  </w:style>
  <w:style w:type="character" w:customStyle="1" w:styleId="CommentTextChar">
    <w:name w:val="Comment Text Char"/>
    <w:basedOn w:val="DefaultParagraphFont"/>
    <w:link w:val="CommentText"/>
    <w:uiPriority w:val="99"/>
    <w:rsid w:val="00C11D10"/>
  </w:style>
  <w:style w:type="paragraph" w:styleId="CommentSubject">
    <w:name w:val="annotation subject"/>
    <w:basedOn w:val="CommentText"/>
    <w:next w:val="CommentText"/>
    <w:link w:val="CommentSubjectChar"/>
    <w:semiHidden/>
    <w:unhideWhenUsed/>
    <w:rsid w:val="00C11D10"/>
    <w:rPr>
      <w:b/>
      <w:bCs/>
    </w:rPr>
  </w:style>
  <w:style w:type="character" w:customStyle="1" w:styleId="CommentSubjectChar">
    <w:name w:val="Comment Subject Char"/>
    <w:basedOn w:val="CommentTextChar"/>
    <w:link w:val="CommentSubject"/>
    <w:semiHidden/>
    <w:rsid w:val="00C11D10"/>
    <w:rPr>
      <w:b/>
      <w:bCs/>
    </w:rPr>
  </w:style>
  <w:style w:type="paragraph" w:styleId="FootnoteText">
    <w:name w:val="footnote text"/>
    <w:basedOn w:val="Normal"/>
    <w:link w:val="FootnoteTextChar"/>
    <w:semiHidden/>
    <w:unhideWhenUsed/>
    <w:rsid w:val="0001395F"/>
    <w:rPr>
      <w:sz w:val="20"/>
      <w:szCs w:val="20"/>
    </w:rPr>
  </w:style>
  <w:style w:type="character" w:customStyle="1" w:styleId="FootnoteTextChar">
    <w:name w:val="Footnote Text Char"/>
    <w:basedOn w:val="DefaultParagraphFont"/>
    <w:link w:val="FootnoteText"/>
    <w:semiHidden/>
    <w:rsid w:val="0001395F"/>
  </w:style>
  <w:style w:type="character" w:styleId="FootnoteReference">
    <w:name w:val="footnote reference"/>
    <w:basedOn w:val="DefaultParagraphFont"/>
    <w:semiHidden/>
    <w:unhideWhenUsed/>
    <w:rsid w:val="0001395F"/>
    <w:rPr>
      <w:vertAlign w:val="superscript"/>
    </w:rPr>
  </w:style>
  <w:style w:type="paragraph" w:styleId="Revision">
    <w:name w:val="Revision"/>
    <w:hidden/>
    <w:uiPriority w:val="99"/>
    <w:semiHidden/>
    <w:rsid w:val="00C96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industry/small-business-assistanc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4C31-04E7-4523-B77E-D4399243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11845</Characters>
  <Application>Microsoft Office Word</Application>
  <DocSecurity>0</DocSecurity>
  <Lines>98</Lines>
  <Paragraphs>27</Paragraphs>
  <ScaleCrop>false</ScaleCrop>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2024-04-30T13:17:00Z</dcterms:created>
  <dcterms:modified xsi:type="dcterms:W3CDTF">2024-04-30T13:17:00Z</dcterms:modified>
</cp:coreProperties>
</file>