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92213" w:rsidP="00141DC6" w14:paraId="75DCFEB3" w14:textId="5332306A">
      <w:pPr>
        <w:spacing w:before="66" w:after="0" w:line="271" w:lineRule="exact"/>
        <w:ind w:left="227" w:right="-20"/>
        <w:jc w:val="center"/>
        <w:rPr>
          <w:rFonts w:ascii="Times New Roman" w:eastAsia="Times New Roman" w:hAnsi="Times New Roman" w:cs="Times New Roman"/>
          <w:b/>
          <w:bCs/>
          <w:spacing w:val="1"/>
          <w:position w:val="-1"/>
          <w:sz w:val="28"/>
          <w:szCs w:val="28"/>
        </w:rPr>
      </w:pPr>
      <w:bookmarkStart w:id="0" w:name="_Hlk146040946"/>
      <w:r w:rsidRPr="00C87370">
        <w:rPr>
          <w:rFonts w:ascii="Times New Roman" w:eastAsia="Times New Roman" w:hAnsi="Times New Roman" w:cs="Times New Roman"/>
          <w:b/>
          <w:bCs/>
          <w:spacing w:val="1"/>
          <w:position w:val="-1"/>
          <w:sz w:val="28"/>
          <w:szCs w:val="28"/>
        </w:rPr>
        <w:t>Supp</w:t>
      </w:r>
      <w:r w:rsidRPr="00C87370">
        <w:rPr>
          <w:rFonts w:ascii="Times New Roman" w:eastAsia="Times New Roman" w:hAnsi="Times New Roman" w:cs="Times New Roman"/>
          <w:b/>
          <w:bCs/>
          <w:position w:val="-1"/>
          <w:sz w:val="28"/>
          <w:szCs w:val="28"/>
        </w:rPr>
        <w:t>o</w:t>
      </w:r>
      <w:r w:rsidRPr="00C87370">
        <w:rPr>
          <w:rFonts w:ascii="Times New Roman" w:eastAsia="Times New Roman" w:hAnsi="Times New Roman" w:cs="Times New Roman"/>
          <w:b/>
          <w:bCs/>
          <w:spacing w:val="-1"/>
          <w:position w:val="-1"/>
          <w:sz w:val="28"/>
          <w:szCs w:val="28"/>
        </w:rPr>
        <w:t>rt</w:t>
      </w:r>
      <w:r w:rsidRPr="00C87370">
        <w:rPr>
          <w:rFonts w:ascii="Times New Roman" w:eastAsia="Times New Roman" w:hAnsi="Times New Roman" w:cs="Times New Roman"/>
          <w:b/>
          <w:bCs/>
          <w:position w:val="-1"/>
          <w:sz w:val="28"/>
          <w:szCs w:val="28"/>
        </w:rPr>
        <w:t>i</w:t>
      </w:r>
      <w:r w:rsidRPr="00C87370">
        <w:rPr>
          <w:rFonts w:ascii="Times New Roman" w:eastAsia="Times New Roman" w:hAnsi="Times New Roman" w:cs="Times New Roman"/>
          <w:b/>
          <w:bCs/>
          <w:spacing w:val="1"/>
          <w:position w:val="-1"/>
          <w:sz w:val="28"/>
          <w:szCs w:val="28"/>
        </w:rPr>
        <w:t>ng</w:t>
      </w:r>
      <w:r w:rsidRPr="00C87370">
        <w:rPr>
          <w:rFonts w:ascii="Times New Roman" w:eastAsia="Times New Roman" w:hAnsi="Times New Roman" w:cs="Times New Roman"/>
          <w:b/>
          <w:bCs/>
          <w:spacing w:val="-1"/>
          <w:position w:val="-1"/>
          <w:sz w:val="28"/>
          <w:szCs w:val="28"/>
        </w:rPr>
        <w:t xml:space="preserve"> </w:t>
      </w:r>
      <w:r w:rsidRPr="00C87370">
        <w:rPr>
          <w:rFonts w:ascii="Times New Roman" w:eastAsia="Times New Roman" w:hAnsi="Times New Roman" w:cs="Times New Roman"/>
          <w:b/>
          <w:bCs/>
          <w:spacing w:val="1"/>
          <w:position w:val="-1"/>
          <w:sz w:val="28"/>
          <w:szCs w:val="28"/>
        </w:rPr>
        <w:t>S</w:t>
      </w:r>
      <w:r w:rsidRPr="00C87370">
        <w:rPr>
          <w:rFonts w:ascii="Times New Roman" w:eastAsia="Times New Roman" w:hAnsi="Times New Roman" w:cs="Times New Roman"/>
          <w:b/>
          <w:bCs/>
          <w:spacing w:val="-1"/>
          <w:position w:val="-1"/>
          <w:sz w:val="28"/>
          <w:szCs w:val="28"/>
        </w:rPr>
        <w:t>t</w:t>
      </w:r>
      <w:r w:rsidRPr="00C87370">
        <w:rPr>
          <w:rFonts w:ascii="Times New Roman" w:eastAsia="Times New Roman" w:hAnsi="Times New Roman" w:cs="Times New Roman"/>
          <w:b/>
          <w:bCs/>
          <w:position w:val="-1"/>
          <w:sz w:val="28"/>
          <w:szCs w:val="28"/>
        </w:rPr>
        <w:t>a</w:t>
      </w:r>
      <w:r w:rsidRPr="00C87370">
        <w:rPr>
          <w:rFonts w:ascii="Times New Roman" w:eastAsia="Times New Roman" w:hAnsi="Times New Roman" w:cs="Times New Roman"/>
          <w:b/>
          <w:bCs/>
          <w:spacing w:val="-1"/>
          <w:position w:val="-1"/>
          <w:sz w:val="28"/>
          <w:szCs w:val="28"/>
        </w:rPr>
        <w:t>te</w:t>
      </w:r>
      <w:r w:rsidRPr="00C87370">
        <w:rPr>
          <w:rFonts w:ascii="Times New Roman" w:eastAsia="Times New Roman" w:hAnsi="Times New Roman" w:cs="Times New Roman"/>
          <w:b/>
          <w:bCs/>
          <w:spacing w:val="-3"/>
          <w:position w:val="-1"/>
          <w:sz w:val="28"/>
          <w:szCs w:val="28"/>
        </w:rPr>
        <w:t>m</w:t>
      </w:r>
      <w:r w:rsidRPr="00C87370">
        <w:rPr>
          <w:rFonts w:ascii="Times New Roman" w:eastAsia="Times New Roman" w:hAnsi="Times New Roman" w:cs="Times New Roman"/>
          <w:b/>
          <w:bCs/>
          <w:spacing w:val="-1"/>
          <w:position w:val="-1"/>
          <w:sz w:val="28"/>
          <w:szCs w:val="28"/>
        </w:rPr>
        <w:t>e</w:t>
      </w:r>
      <w:r w:rsidRPr="00C87370">
        <w:rPr>
          <w:rFonts w:ascii="Times New Roman" w:eastAsia="Times New Roman" w:hAnsi="Times New Roman" w:cs="Times New Roman"/>
          <w:b/>
          <w:bCs/>
          <w:spacing w:val="1"/>
          <w:position w:val="-1"/>
          <w:sz w:val="28"/>
          <w:szCs w:val="28"/>
        </w:rPr>
        <w:t xml:space="preserve">nt for </w:t>
      </w:r>
      <w:r w:rsidR="00B33D4C">
        <w:rPr>
          <w:rFonts w:ascii="Times New Roman" w:eastAsia="Times New Roman" w:hAnsi="Times New Roman" w:cs="Times New Roman"/>
          <w:b/>
          <w:bCs/>
          <w:spacing w:val="1"/>
          <w:position w:val="-1"/>
          <w:sz w:val="28"/>
          <w:szCs w:val="28"/>
        </w:rPr>
        <w:t>Direct Enrollment Entities</w:t>
      </w:r>
      <w:r w:rsidRPr="00274CA1" w:rsidR="00E45973">
        <w:rPr>
          <w:rFonts w:ascii="Times New Roman" w:eastAsia="Times New Roman" w:hAnsi="Times New Roman" w:cs="Times New Roman"/>
          <w:b/>
          <w:bCs/>
          <w:spacing w:val="1"/>
          <w:position w:val="-1"/>
          <w:sz w:val="28"/>
          <w:szCs w:val="28"/>
        </w:rPr>
        <w:t xml:space="preserve"> </w:t>
      </w:r>
    </w:p>
    <w:p w:rsidR="00E45973" w:rsidRPr="00274CA1" w:rsidP="00E45973" w14:paraId="566C8BC4" w14:textId="749E73DC">
      <w:pPr>
        <w:spacing w:before="66" w:after="0" w:line="271" w:lineRule="exact"/>
        <w:ind w:left="227" w:right="-20"/>
        <w:jc w:val="center"/>
        <w:rPr>
          <w:rFonts w:ascii="Times New Roman" w:eastAsia="Times New Roman" w:hAnsi="Times New Roman" w:cs="Times New Roman"/>
          <w:b/>
          <w:bCs/>
          <w:spacing w:val="1"/>
          <w:position w:val="-1"/>
          <w:sz w:val="28"/>
          <w:szCs w:val="28"/>
        </w:rPr>
      </w:pPr>
      <w:r>
        <w:rPr>
          <w:rFonts w:ascii="Times New Roman" w:eastAsia="Times New Roman" w:hAnsi="Times New Roman" w:cs="Times New Roman"/>
          <w:b/>
          <w:bCs/>
          <w:spacing w:val="1"/>
          <w:position w:val="-1"/>
          <w:sz w:val="28"/>
          <w:szCs w:val="28"/>
        </w:rPr>
        <w:t>(</w:t>
      </w:r>
      <w:r w:rsidRPr="00634823" w:rsidR="00634823">
        <w:rPr>
          <w:rFonts w:ascii="Times New Roman" w:eastAsia="Times New Roman" w:hAnsi="Times New Roman" w:cs="Times New Roman"/>
          <w:b/>
          <w:bCs/>
          <w:spacing w:val="1"/>
          <w:position w:val="-1"/>
          <w:sz w:val="28"/>
          <w:szCs w:val="28"/>
        </w:rPr>
        <w:t>CMS-</w:t>
      </w:r>
      <w:r w:rsidR="00C21159">
        <w:rPr>
          <w:rFonts w:ascii="Times New Roman" w:eastAsia="Times New Roman" w:hAnsi="Times New Roman" w:cs="Times New Roman"/>
          <w:b/>
          <w:bCs/>
          <w:spacing w:val="1"/>
          <w:position w:val="-1"/>
          <w:sz w:val="28"/>
          <w:szCs w:val="28"/>
        </w:rPr>
        <w:t>10877</w:t>
      </w:r>
      <w:r>
        <w:rPr>
          <w:rFonts w:ascii="Times New Roman" w:eastAsia="Times New Roman" w:hAnsi="Times New Roman" w:cs="Times New Roman"/>
          <w:b/>
          <w:bCs/>
          <w:spacing w:val="1"/>
          <w:position w:val="-1"/>
          <w:sz w:val="28"/>
          <w:szCs w:val="28"/>
        </w:rPr>
        <w:t>/OMB control number</w:t>
      </w:r>
      <w:r w:rsidR="00851345">
        <w:rPr>
          <w:rFonts w:ascii="Times New Roman" w:eastAsia="Times New Roman" w:hAnsi="Times New Roman" w:cs="Times New Roman"/>
          <w:b/>
          <w:bCs/>
          <w:spacing w:val="1"/>
          <w:position w:val="-1"/>
          <w:sz w:val="28"/>
          <w:szCs w:val="28"/>
        </w:rPr>
        <w:t>:</w:t>
      </w:r>
      <w:r>
        <w:rPr>
          <w:rFonts w:ascii="Times New Roman" w:eastAsia="Times New Roman" w:hAnsi="Times New Roman" w:cs="Times New Roman"/>
          <w:b/>
          <w:bCs/>
          <w:spacing w:val="1"/>
          <w:position w:val="-1"/>
          <w:sz w:val="28"/>
          <w:szCs w:val="28"/>
        </w:rPr>
        <w:t xml:space="preserve"> 0938-</w:t>
      </w:r>
      <w:r w:rsidR="009B2A70">
        <w:rPr>
          <w:rFonts w:ascii="Times New Roman" w:eastAsia="Times New Roman" w:hAnsi="Times New Roman" w:cs="Times New Roman"/>
          <w:b/>
          <w:bCs/>
          <w:spacing w:val="1"/>
          <w:position w:val="-1"/>
          <w:sz w:val="28"/>
          <w:szCs w:val="28"/>
        </w:rPr>
        <w:t>1463</w:t>
      </w:r>
      <w:r>
        <w:rPr>
          <w:rFonts w:ascii="Times New Roman" w:eastAsia="Times New Roman" w:hAnsi="Times New Roman" w:cs="Times New Roman"/>
          <w:b/>
          <w:bCs/>
          <w:spacing w:val="1"/>
          <w:position w:val="-1"/>
          <w:sz w:val="28"/>
          <w:szCs w:val="28"/>
        </w:rPr>
        <w:t>)</w:t>
      </w:r>
    </w:p>
    <w:p w:rsidR="00D91479" w:rsidP="00D91479" w14:paraId="0C8E0DCF" w14:textId="77777777">
      <w:pPr>
        <w:spacing w:before="6" w:after="0" w:line="260" w:lineRule="exact"/>
        <w:rPr>
          <w:sz w:val="26"/>
          <w:szCs w:val="26"/>
        </w:rPr>
      </w:pPr>
    </w:p>
    <w:p w:rsidR="00361F63" w:rsidRPr="00141DC6" w:rsidP="00361F63" w14:paraId="4FD32525" w14:textId="77777777">
      <w:pPr>
        <w:pStyle w:val="Heading2"/>
        <w:numPr>
          <w:ilvl w:val="0"/>
          <w:numId w:val="22"/>
        </w:numPr>
        <w:tabs>
          <w:tab w:val="left" w:pos="360"/>
        </w:tabs>
        <w:ind w:left="360" w:right="18"/>
        <w:rPr>
          <w:u w:val="thick"/>
        </w:rPr>
      </w:pPr>
      <w:r w:rsidRPr="00141DC6">
        <w:rPr>
          <w:u w:val="thick"/>
        </w:rPr>
        <w:t>Background</w:t>
      </w:r>
    </w:p>
    <w:p w:rsidR="00361F63" w:rsidP="00361F63" w14:paraId="7244D454" w14:textId="77777777">
      <w:pPr>
        <w:spacing w:before="2" w:after="0" w:line="260" w:lineRule="exact"/>
        <w:rPr>
          <w:sz w:val="26"/>
          <w:szCs w:val="26"/>
        </w:rPr>
      </w:pPr>
    </w:p>
    <w:p w:rsidR="00361F63" w:rsidP="00361F63" w14:paraId="55929D31" w14:textId="77777777">
      <w:pPr>
        <w:spacing w:after="0" w:line="240" w:lineRule="auto"/>
        <w:ind w:right="-20"/>
        <w:rPr>
          <w:rFonts w:ascii="Times New Roman" w:eastAsia="Times New Roman" w:hAnsi="Times New Roman" w:cs="Times New Roman"/>
          <w:sz w:val="24"/>
          <w:szCs w:val="24"/>
        </w:rPr>
      </w:pPr>
      <w:r w:rsidRPr="00844A34">
        <w:rPr>
          <w:rFonts w:ascii="Times New Roman" w:eastAsia="Times New Roman" w:hAnsi="Times New Roman" w:cs="Times New Roman"/>
          <w:sz w:val="24"/>
          <w:szCs w:val="24"/>
        </w:rPr>
        <w:t xml:space="preserve">On March 23, 2010, the President signed into law the Patient Protection and Affordable Care Act (P.L. 111-148). On March 30, 2010, the Health Care and Education Reconciliation Act of 2010 (P.L.111-152) was signed into law. The two laws are collectively referred to as the Affordable Care Act (ACA). The </w:t>
      </w:r>
      <w:r>
        <w:rPr>
          <w:rFonts w:ascii="Times New Roman" w:eastAsia="Times New Roman" w:hAnsi="Times New Roman" w:cs="Times New Roman"/>
          <w:sz w:val="24"/>
          <w:szCs w:val="24"/>
        </w:rPr>
        <w:t xml:space="preserve">ACA </w:t>
      </w:r>
      <w:r w:rsidRPr="00844A34">
        <w:rPr>
          <w:rFonts w:ascii="Times New Roman" w:eastAsia="Times New Roman" w:hAnsi="Times New Roman" w:cs="Times New Roman"/>
          <w:sz w:val="24"/>
          <w:szCs w:val="24"/>
        </w:rPr>
        <w:t>established new competitive private health insurance markets called Marketplaces, or Exchanges, which gave millions of Americans and small businesses access to qualified health plans (QHPs), including stand-alone dental plans (SADPs)</w:t>
      </w:r>
      <w:r w:rsidRPr="004D11FE">
        <w:rPr>
          <w:rFonts w:ascii="Times New Roman" w:eastAsia="Times New Roman" w:hAnsi="Times New Roman" w:cs="Times New Roman"/>
          <w:sz w:val="24"/>
          <w:szCs w:val="24"/>
        </w:rPr>
        <w:t>—</w:t>
      </w:r>
      <w:r w:rsidRPr="00844A34">
        <w:rPr>
          <w:rFonts w:ascii="Times New Roman" w:eastAsia="Times New Roman" w:hAnsi="Times New Roman" w:cs="Times New Roman"/>
          <w:sz w:val="24"/>
          <w:szCs w:val="24"/>
        </w:rPr>
        <w:t>private health and dental insurance plans that have been certified as meeting certain standards.</w:t>
      </w:r>
    </w:p>
    <w:p w:rsidR="00361F63" w:rsidP="00361F63" w14:paraId="74A5323F" w14:textId="77777777">
      <w:pPr>
        <w:spacing w:before="4" w:after="0" w:line="280" w:lineRule="exact"/>
        <w:ind w:left="180" w:right="-20"/>
        <w:rPr>
          <w:sz w:val="28"/>
          <w:szCs w:val="28"/>
        </w:rPr>
      </w:pPr>
    </w:p>
    <w:p w:rsidR="00361F63" w:rsidP="00361F63" w14:paraId="008585BD" w14:textId="5379927A">
      <w:pPr>
        <w:spacing w:after="0" w:line="240" w:lineRule="auto"/>
        <w:ind w:right="-20"/>
        <w:rPr>
          <w:rFonts w:ascii="Times New Roman" w:eastAsia="Times New Roman" w:hAnsi="Times New Roman" w:cs="Times New Roman"/>
          <w:sz w:val="24"/>
          <w:szCs w:val="24"/>
        </w:rPr>
      </w:pPr>
      <w:r w:rsidRPr="006C25F6">
        <w:rPr>
          <w:rFonts w:ascii="Times New Roman" w:eastAsia="Times New Roman" w:hAnsi="Times New Roman" w:cs="Times New Roman"/>
          <w:sz w:val="24"/>
          <w:szCs w:val="24"/>
        </w:rPr>
        <w:t xml:space="preserve">This Information Collection Request (ICR) serves as the formal request for a new clearance associated with the Department of Health and Human Services (HHS) </w:t>
      </w:r>
      <w:r w:rsidRPr="00234238">
        <w:rPr>
          <w:rFonts w:ascii="Times New Roman" w:eastAsia="Times New Roman" w:hAnsi="Times New Roman" w:cs="Times New Roman"/>
          <w:sz w:val="24"/>
          <w:szCs w:val="24"/>
        </w:rPr>
        <w:t xml:space="preserve">Program Integrity: Exchange, SHOP, and Eligibility Appeals </w:t>
      </w:r>
      <w:r>
        <w:rPr>
          <w:rFonts w:ascii="Times New Roman" w:eastAsia="Times New Roman" w:hAnsi="Times New Roman" w:cs="Times New Roman"/>
          <w:sz w:val="24"/>
          <w:szCs w:val="24"/>
        </w:rPr>
        <w:t>F</w:t>
      </w:r>
      <w:r w:rsidRPr="00234238">
        <w:rPr>
          <w:rFonts w:ascii="Times New Roman" w:eastAsia="Times New Roman" w:hAnsi="Times New Roman" w:cs="Times New Roman"/>
          <w:sz w:val="24"/>
          <w:szCs w:val="24"/>
        </w:rPr>
        <w:t xml:space="preserve">inal </w:t>
      </w:r>
      <w:r>
        <w:rPr>
          <w:rFonts w:ascii="Times New Roman" w:eastAsia="Times New Roman" w:hAnsi="Times New Roman" w:cs="Times New Roman"/>
          <w:sz w:val="24"/>
          <w:szCs w:val="24"/>
        </w:rPr>
        <w:t>R</w:t>
      </w:r>
      <w:r w:rsidRPr="00234238">
        <w:rPr>
          <w:rFonts w:ascii="Times New Roman" w:eastAsia="Times New Roman" w:hAnsi="Times New Roman" w:cs="Times New Roman"/>
          <w:sz w:val="24"/>
          <w:szCs w:val="24"/>
        </w:rPr>
        <w:t>ule</w:t>
      </w:r>
      <w:r>
        <w:rPr>
          <w:rFonts w:ascii="Times New Roman" w:eastAsia="Times New Roman" w:hAnsi="Times New Roman" w:cs="Times New Roman"/>
          <w:sz w:val="24"/>
          <w:szCs w:val="24"/>
        </w:rPr>
        <w:t xml:space="preserve">, </w:t>
      </w:r>
      <w:r w:rsidRPr="006C25F6">
        <w:rPr>
          <w:rFonts w:ascii="Times New Roman" w:eastAsia="Times New Roman" w:hAnsi="Times New Roman" w:cs="Times New Roman"/>
          <w:sz w:val="24"/>
          <w:szCs w:val="24"/>
        </w:rPr>
        <w:t xml:space="preserve">Notice of Benefit and Payment Parameters for </w:t>
      </w:r>
      <w:r>
        <w:rPr>
          <w:rFonts w:ascii="Times New Roman" w:eastAsia="Times New Roman" w:hAnsi="Times New Roman" w:cs="Times New Roman"/>
          <w:sz w:val="24"/>
          <w:szCs w:val="24"/>
        </w:rPr>
        <w:t xml:space="preserve">2018 Final Rule (2018 Payment Notice), 2020 Final Rule (2020 Payment Notice), </w:t>
      </w:r>
      <w:r w:rsidRPr="006C25F6">
        <w:rPr>
          <w:rFonts w:ascii="Times New Roman" w:eastAsia="Times New Roman" w:hAnsi="Times New Roman" w:cs="Times New Roman"/>
          <w:sz w:val="24"/>
          <w:szCs w:val="24"/>
        </w:rPr>
        <w:t>2022 Final Rule (2022 Payment Notice), 2023 Final Rule (2023 Payment Notice)</w:t>
      </w:r>
      <w:r>
        <w:rPr>
          <w:rFonts w:ascii="Times New Roman" w:eastAsia="Times New Roman" w:hAnsi="Times New Roman" w:cs="Times New Roman"/>
          <w:sz w:val="24"/>
          <w:szCs w:val="24"/>
        </w:rPr>
        <w:t xml:space="preserve">, and the 2025 </w:t>
      </w:r>
      <w:r w:rsidR="00C21159">
        <w:rPr>
          <w:rFonts w:ascii="Times New Roman" w:eastAsia="Times New Roman" w:hAnsi="Times New Roman" w:cs="Times New Roman"/>
          <w:sz w:val="24"/>
          <w:szCs w:val="24"/>
        </w:rPr>
        <w:t xml:space="preserve">Final </w:t>
      </w:r>
      <w:r>
        <w:rPr>
          <w:rFonts w:ascii="Times New Roman" w:eastAsia="Times New Roman" w:hAnsi="Times New Roman" w:cs="Times New Roman"/>
          <w:sz w:val="24"/>
          <w:szCs w:val="24"/>
        </w:rPr>
        <w:t>Rule (2025 Payment Notice)</w:t>
      </w:r>
      <w:r w:rsidRPr="006C25F6">
        <w:rPr>
          <w:rFonts w:ascii="Times New Roman" w:eastAsia="Times New Roman" w:hAnsi="Times New Roman" w:cs="Times New Roman"/>
          <w:sz w:val="24"/>
          <w:szCs w:val="24"/>
        </w:rPr>
        <w:t xml:space="preserve">. This ICR details the burden associated with direct enrollment (DE) requirements that affect DE Entities (i.e., web-brokers and QHP issuers) as finalized in the </w:t>
      </w:r>
      <w:r>
        <w:rPr>
          <w:rFonts w:ascii="Times New Roman" w:eastAsia="Times New Roman" w:hAnsi="Times New Roman" w:cs="Times New Roman"/>
          <w:sz w:val="24"/>
          <w:szCs w:val="24"/>
        </w:rPr>
        <w:t xml:space="preserve">2020 Payment Notice </w:t>
      </w:r>
      <w:r w:rsidRPr="007A254B">
        <w:rPr>
          <w:rFonts w:ascii="Times New Roman" w:eastAsia="Times New Roman" w:hAnsi="Times New Roman" w:cs="Times New Roman"/>
          <w:sz w:val="24"/>
          <w:szCs w:val="24"/>
        </w:rPr>
        <w:t>covered under regulations in 45 C.F.R. §§ 155.205, 155.220, 155.221, and 156.1230; agreements between the Centers for Medicare &amp; Medicaid Services (CMS) and DE Entities; and applicable program guidance issued by CMS</w:t>
      </w:r>
      <w:r>
        <w:rPr>
          <w:rFonts w:ascii="Times New Roman" w:eastAsia="Times New Roman" w:hAnsi="Times New Roman" w:cs="Times New Roman"/>
          <w:sz w:val="24"/>
          <w:szCs w:val="24"/>
        </w:rPr>
        <w:t xml:space="preserve">; and </w:t>
      </w:r>
      <w:r w:rsidRPr="006C25F6">
        <w:rPr>
          <w:rFonts w:ascii="Times New Roman" w:eastAsia="Times New Roman" w:hAnsi="Times New Roman" w:cs="Times New Roman"/>
          <w:sz w:val="24"/>
          <w:szCs w:val="24"/>
        </w:rPr>
        <w:t>2022 and 2023 Payment Notices at 45 C.F.R. §§155.220 and 155.221.</w:t>
      </w:r>
      <w:r>
        <w:rPr>
          <w:rFonts w:ascii="Times New Roman" w:eastAsia="Times New Roman" w:hAnsi="Times New Roman" w:cs="Times New Roman"/>
          <w:sz w:val="24"/>
          <w:szCs w:val="24"/>
        </w:rPr>
        <w:t xml:space="preserve"> These requirements </w:t>
      </w:r>
      <w:r w:rsidRPr="005A2D07">
        <w:rPr>
          <w:rFonts w:ascii="Times New Roman" w:eastAsia="Times New Roman" w:hAnsi="Times New Roman" w:cs="Times New Roman"/>
          <w:sz w:val="24"/>
          <w:szCs w:val="24"/>
        </w:rPr>
        <w:t>relat</w:t>
      </w:r>
      <w:r>
        <w:rPr>
          <w:rFonts w:ascii="Times New Roman" w:eastAsia="Times New Roman" w:hAnsi="Times New Roman" w:cs="Times New Roman"/>
          <w:sz w:val="24"/>
          <w:szCs w:val="24"/>
        </w:rPr>
        <w:t>e</w:t>
      </w:r>
      <w:r w:rsidRPr="005A2D07">
        <w:rPr>
          <w:rFonts w:ascii="Times New Roman" w:eastAsia="Times New Roman" w:hAnsi="Times New Roman" w:cs="Times New Roman"/>
          <w:sz w:val="24"/>
          <w:szCs w:val="24"/>
        </w:rPr>
        <w:t xml:space="preserve"> to Web-broker Operational Readiness Reviews (ORR); DE Entity ORR; Web-broker display of QHP comparative information and disclaimer; Web-broker rationale for QHP recommendations and methodology of QHP display; and required Disclaimers.</w:t>
      </w:r>
    </w:p>
    <w:p w:rsidR="00141DC6" w:rsidP="00234238" w14:paraId="16B1D6F9" w14:textId="77777777">
      <w:pPr>
        <w:pStyle w:val="Heading2"/>
        <w:tabs>
          <w:tab w:val="left" w:pos="360"/>
        </w:tabs>
        <w:ind w:left="0" w:right="-20" w:firstLine="0"/>
        <w:rPr>
          <w:u w:val="thick"/>
        </w:rPr>
      </w:pPr>
    </w:p>
    <w:p w:rsidR="0091010A" w:rsidRPr="00141DC6" w:rsidP="00234238" w14:paraId="1D2C6D5B" w14:textId="0BD53A10">
      <w:pPr>
        <w:pStyle w:val="Heading2"/>
        <w:numPr>
          <w:ilvl w:val="0"/>
          <w:numId w:val="22"/>
        </w:numPr>
        <w:tabs>
          <w:tab w:val="left" w:pos="360"/>
        </w:tabs>
        <w:ind w:left="360" w:right="-20"/>
        <w:rPr>
          <w:u w:val="thick"/>
        </w:rPr>
      </w:pPr>
      <w:r w:rsidRPr="00141DC6">
        <w:rPr>
          <w:u w:val="thick"/>
        </w:rPr>
        <w:t>Justification</w:t>
      </w:r>
    </w:p>
    <w:p w:rsidR="0091010A" w:rsidP="00234238" w14:paraId="4C6BF2FB" w14:textId="77777777">
      <w:pPr>
        <w:spacing w:before="2" w:after="0" w:line="260" w:lineRule="exact"/>
        <w:ind w:right="-20"/>
        <w:rPr>
          <w:sz w:val="26"/>
          <w:szCs w:val="26"/>
        </w:rPr>
      </w:pPr>
    </w:p>
    <w:p w:rsidR="0091010A" w:rsidRPr="00FC0D27" w:rsidP="00234238" w14:paraId="6455667E" w14:textId="6FE12766">
      <w:pPr>
        <w:tabs>
          <w:tab w:val="left" w:pos="360"/>
        </w:tabs>
        <w:spacing w:after="0" w:line="240" w:lineRule="auto"/>
        <w:ind w:right="-20"/>
        <w:rPr>
          <w:rFonts w:ascii="Times New Roman" w:eastAsia="Times New Roman" w:hAnsi="Times New Roman" w:cs="Times New Roman"/>
          <w:position w:val="-1"/>
          <w:sz w:val="24"/>
          <w:szCs w:val="24"/>
          <w:u w:val="single"/>
        </w:rPr>
      </w:pPr>
      <w:r w:rsidRPr="0078061B">
        <w:rPr>
          <w:rFonts w:ascii="Times New Roman" w:eastAsia="Times New Roman" w:hAnsi="Times New Roman" w:cs="Times New Roman"/>
          <w:position w:val="-1"/>
          <w:sz w:val="24"/>
          <w:szCs w:val="24"/>
        </w:rPr>
        <w:t>1.</w:t>
      </w:r>
      <w:r w:rsidRPr="0078061B">
        <w:rPr>
          <w:rFonts w:ascii="Times New Roman" w:eastAsia="Times New Roman" w:hAnsi="Times New Roman" w:cs="Times New Roman"/>
          <w:position w:val="-1"/>
          <w:sz w:val="24"/>
          <w:szCs w:val="24"/>
        </w:rPr>
        <w:tab/>
      </w:r>
      <w:r w:rsidRPr="00FC0D27">
        <w:rPr>
          <w:rFonts w:ascii="Times New Roman" w:eastAsia="Times New Roman" w:hAnsi="Times New Roman" w:cs="Times New Roman"/>
          <w:position w:val="-1"/>
          <w:sz w:val="24"/>
          <w:szCs w:val="24"/>
          <w:u w:val="single"/>
        </w:rPr>
        <w:t>Need and Legal Basis</w:t>
      </w:r>
    </w:p>
    <w:p w:rsidR="0091010A" w:rsidP="00234238" w14:paraId="3B49CB69" w14:textId="77777777">
      <w:pPr>
        <w:spacing w:before="14" w:after="0" w:line="280" w:lineRule="exact"/>
        <w:ind w:right="-20"/>
        <w:rPr>
          <w:sz w:val="28"/>
          <w:szCs w:val="28"/>
        </w:rPr>
      </w:pPr>
    </w:p>
    <w:p w:rsidR="001D12F0" w:rsidP="00234238" w14:paraId="04C4F22E" w14:textId="304D2E48">
      <w:pPr>
        <w:spacing w:after="0" w:line="240" w:lineRule="auto"/>
        <w:ind w:right="-20"/>
        <w:rPr>
          <w:rFonts w:ascii="Times New Roman" w:eastAsia="Times New Roman" w:hAnsi="Times New Roman" w:cs="Times New Roman"/>
          <w:sz w:val="24"/>
          <w:szCs w:val="24"/>
        </w:rPr>
      </w:pPr>
      <w:r w:rsidRPr="006A0910">
        <w:rPr>
          <w:rFonts w:ascii="Times New Roman" w:eastAsia="Times New Roman" w:hAnsi="Times New Roman" w:cs="Times New Roman"/>
          <w:sz w:val="24"/>
          <w:szCs w:val="24"/>
        </w:rPr>
        <w:t xml:space="preserve">Section 1321(a) </w:t>
      </w:r>
      <w:r w:rsidRPr="006A0910" w:rsidR="004E3DFD">
        <w:rPr>
          <w:rFonts w:ascii="Times New Roman" w:eastAsia="Times New Roman" w:hAnsi="Times New Roman" w:cs="Times New Roman"/>
          <w:sz w:val="24"/>
          <w:szCs w:val="24"/>
        </w:rPr>
        <w:t xml:space="preserve">of the ACA </w:t>
      </w:r>
      <w:r w:rsidRPr="006A0910">
        <w:rPr>
          <w:rFonts w:ascii="Times New Roman" w:eastAsia="Times New Roman" w:hAnsi="Times New Roman" w:cs="Times New Roman"/>
          <w:sz w:val="24"/>
          <w:szCs w:val="24"/>
        </w:rPr>
        <w:t xml:space="preserve">directs the Secretary of the Department of Health &amp; Human Services (Secretary) to issue regulations to establish and operate health insurance Exchanges offering QHPs. </w:t>
      </w:r>
      <w:r w:rsidRPr="006A0910" w:rsidR="0091010A">
        <w:rPr>
          <w:rFonts w:ascii="Times New Roman" w:eastAsia="Times New Roman" w:hAnsi="Times New Roman" w:cs="Times New Roman"/>
          <w:sz w:val="24"/>
          <w:szCs w:val="24"/>
        </w:rPr>
        <w:t>Sec</w:t>
      </w:r>
      <w:r w:rsidR="0091010A">
        <w:rPr>
          <w:rFonts w:ascii="Times New Roman" w:eastAsia="Times New Roman" w:hAnsi="Times New Roman" w:cs="Times New Roman"/>
          <w:sz w:val="24"/>
          <w:szCs w:val="24"/>
        </w:rPr>
        <w:t>tion 1312</w:t>
      </w:r>
      <w:r w:rsidRPr="006A0910" w:rsidR="0091010A">
        <w:rPr>
          <w:rFonts w:ascii="Times New Roman" w:eastAsia="Times New Roman" w:hAnsi="Times New Roman" w:cs="Times New Roman"/>
          <w:sz w:val="24"/>
          <w:szCs w:val="24"/>
        </w:rPr>
        <w:t>(e</w:t>
      </w:r>
      <w:r w:rsidR="0091010A">
        <w:rPr>
          <w:rFonts w:ascii="Times New Roman" w:eastAsia="Times New Roman" w:hAnsi="Times New Roman" w:cs="Times New Roman"/>
          <w:sz w:val="24"/>
          <w:szCs w:val="24"/>
        </w:rPr>
        <w:t>)</w:t>
      </w:r>
      <w:r w:rsidRPr="006A0910" w:rsidR="0091010A">
        <w:rPr>
          <w:rFonts w:ascii="Times New Roman" w:eastAsia="Times New Roman" w:hAnsi="Times New Roman" w:cs="Times New Roman"/>
          <w:sz w:val="24"/>
          <w:szCs w:val="24"/>
        </w:rPr>
        <w:t xml:space="preserve"> </w:t>
      </w:r>
      <w:r w:rsidR="0091010A">
        <w:rPr>
          <w:rFonts w:ascii="Times New Roman" w:eastAsia="Times New Roman" w:hAnsi="Times New Roman" w:cs="Times New Roman"/>
          <w:sz w:val="24"/>
          <w:szCs w:val="24"/>
        </w:rPr>
        <w:t>of</w:t>
      </w:r>
      <w:r w:rsidRPr="006A0910" w:rsidR="0091010A">
        <w:rPr>
          <w:rFonts w:ascii="Times New Roman" w:eastAsia="Times New Roman" w:hAnsi="Times New Roman" w:cs="Times New Roman"/>
          <w:sz w:val="24"/>
          <w:szCs w:val="24"/>
        </w:rPr>
        <w:t xml:space="preserve"> </w:t>
      </w:r>
      <w:r w:rsidR="0091010A">
        <w:rPr>
          <w:rFonts w:ascii="Times New Roman" w:eastAsia="Times New Roman" w:hAnsi="Times New Roman" w:cs="Times New Roman"/>
          <w:sz w:val="24"/>
          <w:szCs w:val="24"/>
        </w:rPr>
        <w:t>the</w:t>
      </w:r>
      <w:r w:rsidRPr="006A0910" w:rsidR="0091010A">
        <w:rPr>
          <w:rFonts w:ascii="Times New Roman" w:eastAsia="Times New Roman" w:hAnsi="Times New Roman" w:cs="Times New Roman"/>
          <w:sz w:val="24"/>
          <w:szCs w:val="24"/>
        </w:rPr>
        <w:t xml:space="preserve"> </w:t>
      </w:r>
      <w:r w:rsidR="004E3DFD">
        <w:rPr>
          <w:rFonts w:ascii="Times New Roman" w:eastAsia="Times New Roman" w:hAnsi="Times New Roman" w:cs="Times New Roman"/>
          <w:sz w:val="24"/>
          <w:szCs w:val="24"/>
        </w:rPr>
        <w:t>ACA</w:t>
      </w:r>
      <w:r w:rsidR="0091010A">
        <w:rPr>
          <w:rFonts w:ascii="Times New Roman" w:eastAsia="Times New Roman" w:hAnsi="Times New Roman" w:cs="Times New Roman"/>
          <w:sz w:val="24"/>
          <w:szCs w:val="24"/>
        </w:rPr>
        <w:t xml:space="preserve"> di</w:t>
      </w:r>
      <w:r w:rsidRPr="006A0910" w:rsidR="0091010A">
        <w:rPr>
          <w:rFonts w:ascii="Times New Roman" w:eastAsia="Times New Roman" w:hAnsi="Times New Roman" w:cs="Times New Roman"/>
          <w:sz w:val="24"/>
          <w:szCs w:val="24"/>
        </w:rPr>
        <w:t>rec</w:t>
      </w:r>
      <w:r w:rsidR="0091010A">
        <w:rPr>
          <w:rFonts w:ascii="Times New Roman" w:eastAsia="Times New Roman" w:hAnsi="Times New Roman" w:cs="Times New Roman"/>
          <w:sz w:val="24"/>
          <w:szCs w:val="24"/>
        </w:rPr>
        <w:t>ts the</w:t>
      </w:r>
      <w:r w:rsidRPr="006A0910" w:rsidR="0091010A">
        <w:rPr>
          <w:rFonts w:ascii="Times New Roman" w:eastAsia="Times New Roman" w:hAnsi="Times New Roman" w:cs="Times New Roman"/>
          <w:sz w:val="24"/>
          <w:szCs w:val="24"/>
        </w:rPr>
        <w:t xml:space="preserve"> Secre</w:t>
      </w:r>
      <w:r w:rsidR="0091010A">
        <w:rPr>
          <w:rFonts w:ascii="Times New Roman" w:eastAsia="Times New Roman" w:hAnsi="Times New Roman" w:cs="Times New Roman"/>
          <w:sz w:val="24"/>
          <w:szCs w:val="24"/>
        </w:rPr>
        <w:t>t</w:t>
      </w:r>
      <w:r w:rsidRPr="006A0910" w:rsidR="0091010A">
        <w:rPr>
          <w:rFonts w:ascii="Times New Roman" w:eastAsia="Times New Roman" w:hAnsi="Times New Roman" w:cs="Times New Roman"/>
          <w:sz w:val="24"/>
          <w:szCs w:val="24"/>
        </w:rPr>
        <w:t>ar</w:t>
      </w:r>
      <w:r w:rsidR="0091010A">
        <w:rPr>
          <w:rFonts w:ascii="Times New Roman" w:eastAsia="Times New Roman" w:hAnsi="Times New Roman" w:cs="Times New Roman"/>
          <w:sz w:val="24"/>
          <w:szCs w:val="24"/>
        </w:rPr>
        <w:t>y</w:t>
      </w:r>
      <w:r w:rsidRPr="006A0910" w:rsidR="0091010A">
        <w:rPr>
          <w:rFonts w:ascii="Times New Roman" w:eastAsia="Times New Roman" w:hAnsi="Times New Roman" w:cs="Times New Roman"/>
          <w:sz w:val="24"/>
          <w:szCs w:val="24"/>
        </w:rPr>
        <w:t xml:space="preserve"> </w:t>
      </w:r>
      <w:r w:rsidR="0091010A">
        <w:rPr>
          <w:rFonts w:ascii="Times New Roman" w:eastAsia="Times New Roman" w:hAnsi="Times New Roman" w:cs="Times New Roman"/>
          <w:sz w:val="24"/>
          <w:szCs w:val="24"/>
        </w:rPr>
        <w:t xml:space="preserve">to </w:t>
      </w:r>
      <w:r w:rsidRPr="006A0910" w:rsidR="0091010A">
        <w:rPr>
          <w:rFonts w:ascii="Times New Roman" w:eastAsia="Times New Roman" w:hAnsi="Times New Roman" w:cs="Times New Roman"/>
          <w:sz w:val="24"/>
          <w:szCs w:val="24"/>
        </w:rPr>
        <w:t>e</w:t>
      </w:r>
      <w:r w:rsidR="0091010A">
        <w:rPr>
          <w:rFonts w:ascii="Times New Roman" w:eastAsia="Times New Roman" w:hAnsi="Times New Roman" w:cs="Times New Roman"/>
          <w:sz w:val="24"/>
          <w:szCs w:val="24"/>
        </w:rPr>
        <w:t>st</w:t>
      </w:r>
      <w:r w:rsidRPr="006A0910" w:rsidR="0091010A">
        <w:rPr>
          <w:rFonts w:ascii="Times New Roman" w:eastAsia="Times New Roman" w:hAnsi="Times New Roman" w:cs="Times New Roman"/>
          <w:sz w:val="24"/>
          <w:szCs w:val="24"/>
        </w:rPr>
        <w:t>a</w:t>
      </w:r>
      <w:r w:rsidR="0091010A">
        <w:rPr>
          <w:rFonts w:ascii="Times New Roman" w:eastAsia="Times New Roman" w:hAnsi="Times New Roman" w:cs="Times New Roman"/>
          <w:sz w:val="24"/>
          <w:szCs w:val="24"/>
        </w:rPr>
        <w:t>blish p</w:t>
      </w:r>
      <w:r w:rsidRPr="006A0910" w:rsidR="0091010A">
        <w:rPr>
          <w:rFonts w:ascii="Times New Roman" w:eastAsia="Times New Roman" w:hAnsi="Times New Roman" w:cs="Times New Roman"/>
          <w:sz w:val="24"/>
          <w:szCs w:val="24"/>
        </w:rPr>
        <w:t>r</w:t>
      </w:r>
      <w:r w:rsidR="0091010A">
        <w:rPr>
          <w:rFonts w:ascii="Times New Roman" w:eastAsia="Times New Roman" w:hAnsi="Times New Roman" w:cs="Times New Roman"/>
          <w:sz w:val="24"/>
          <w:szCs w:val="24"/>
        </w:rPr>
        <w:t>o</w:t>
      </w:r>
      <w:r w:rsidRPr="006A0910" w:rsidR="0091010A">
        <w:rPr>
          <w:rFonts w:ascii="Times New Roman" w:eastAsia="Times New Roman" w:hAnsi="Times New Roman" w:cs="Times New Roman"/>
          <w:sz w:val="24"/>
          <w:szCs w:val="24"/>
        </w:rPr>
        <w:t>ce</w:t>
      </w:r>
      <w:r w:rsidR="0091010A">
        <w:rPr>
          <w:rFonts w:ascii="Times New Roman" w:eastAsia="Times New Roman" w:hAnsi="Times New Roman" w:cs="Times New Roman"/>
          <w:sz w:val="24"/>
          <w:szCs w:val="24"/>
        </w:rPr>
        <w:t>du</w:t>
      </w:r>
      <w:r w:rsidRPr="006A0910" w:rsidR="0091010A">
        <w:rPr>
          <w:rFonts w:ascii="Times New Roman" w:eastAsia="Times New Roman" w:hAnsi="Times New Roman" w:cs="Times New Roman"/>
          <w:sz w:val="24"/>
          <w:szCs w:val="24"/>
        </w:rPr>
        <w:t xml:space="preserve">res </w:t>
      </w:r>
      <w:r w:rsidR="0091010A">
        <w:rPr>
          <w:rFonts w:ascii="Times New Roman" w:eastAsia="Times New Roman" w:hAnsi="Times New Roman" w:cs="Times New Roman"/>
          <w:sz w:val="24"/>
          <w:szCs w:val="24"/>
        </w:rPr>
        <w:t>und</w:t>
      </w:r>
      <w:r w:rsidRPr="006A0910" w:rsidR="0091010A">
        <w:rPr>
          <w:rFonts w:ascii="Times New Roman" w:eastAsia="Times New Roman" w:hAnsi="Times New Roman" w:cs="Times New Roman"/>
          <w:sz w:val="24"/>
          <w:szCs w:val="24"/>
        </w:rPr>
        <w:t>e</w:t>
      </w:r>
      <w:r w:rsidR="0091010A">
        <w:rPr>
          <w:rFonts w:ascii="Times New Roman" w:eastAsia="Times New Roman" w:hAnsi="Times New Roman" w:cs="Times New Roman"/>
          <w:sz w:val="24"/>
          <w:szCs w:val="24"/>
        </w:rPr>
        <w:t>r</w:t>
      </w:r>
      <w:r w:rsidRPr="006A0910" w:rsidR="0091010A">
        <w:rPr>
          <w:rFonts w:ascii="Times New Roman" w:eastAsia="Times New Roman" w:hAnsi="Times New Roman" w:cs="Times New Roman"/>
          <w:sz w:val="24"/>
          <w:szCs w:val="24"/>
        </w:rPr>
        <w:t xml:space="preserve"> </w:t>
      </w:r>
      <w:r w:rsidR="0091010A">
        <w:rPr>
          <w:rFonts w:ascii="Times New Roman" w:eastAsia="Times New Roman" w:hAnsi="Times New Roman" w:cs="Times New Roman"/>
          <w:sz w:val="24"/>
          <w:szCs w:val="24"/>
        </w:rPr>
        <w:t>whi</w:t>
      </w:r>
      <w:r w:rsidRPr="006A0910" w:rsidR="0091010A">
        <w:rPr>
          <w:rFonts w:ascii="Times New Roman" w:eastAsia="Times New Roman" w:hAnsi="Times New Roman" w:cs="Times New Roman"/>
          <w:sz w:val="24"/>
          <w:szCs w:val="24"/>
        </w:rPr>
        <w:t>c</w:t>
      </w:r>
      <w:r w:rsidR="0091010A">
        <w:rPr>
          <w:rFonts w:ascii="Times New Roman" w:eastAsia="Times New Roman" w:hAnsi="Times New Roman" w:cs="Times New Roman"/>
          <w:sz w:val="24"/>
          <w:szCs w:val="24"/>
        </w:rPr>
        <w:t>h a</w:t>
      </w:r>
      <w:r w:rsidRPr="006A0910" w:rsidR="0091010A">
        <w:rPr>
          <w:rFonts w:ascii="Times New Roman" w:eastAsia="Times New Roman" w:hAnsi="Times New Roman" w:cs="Times New Roman"/>
          <w:sz w:val="24"/>
          <w:szCs w:val="24"/>
        </w:rPr>
        <w:t xml:space="preserve"> S</w:t>
      </w:r>
      <w:r w:rsidR="0091010A">
        <w:rPr>
          <w:rFonts w:ascii="Times New Roman" w:eastAsia="Times New Roman" w:hAnsi="Times New Roman" w:cs="Times New Roman"/>
          <w:sz w:val="24"/>
          <w:szCs w:val="24"/>
        </w:rPr>
        <w:t>t</w:t>
      </w:r>
      <w:r w:rsidRPr="006A0910" w:rsidR="0091010A">
        <w:rPr>
          <w:rFonts w:ascii="Times New Roman" w:eastAsia="Times New Roman" w:hAnsi="Times New Roman" w:cs="Times New Roman"/>
          <w:sz w:val="24"/>
          <w:szCs w:val="24"/>
        </w:rPr>
        <w:t>a</w:t>
      </w:r>
      <w:r w:rsidR="0091010A">
        <w:rPr>
          <w:rFonts w:ascii="Times New Roman" w:eastAsia="Times New Roman" w:hAnsi="Times New Roman" w:cs="Times New Roman"/>
          <w:sz w:val="24"/>
          <w:szCs w:val="24"/>
        </w:rPr>
        <w:t>te</w:t>
      </w:r>
      <w:r w:rsidRPr="006A0910" w:rsidR="0091010A">
        <w:rPr>
          <w:rFonts w:ascii="Times New Roman" w:eastAsia="Times New Roman" w:hAnsi="Times New Roman" w:cs="Times New Roman"/>
          <w:sz w:val="24"/>
          <w:szCs w:val="24"/>
        </w:rPr>
        <w:t xml:space="preserve"> </w:t>
      </w:r>
      <w:r w:rsidR="0091010A">
        <w:rPr>
          <w:rFonts w:ascii="Times New Roman" w:eastAsia="Times New Roman" w:hAnsi="Times New Roman" w:cs="Times New Roman"/>
          <w:sz w:val="24"/>
          <w:szCs w:val="24"/>
        </w:rPr>
        <w:t>m</w:t>
      </w:r>
      <w:r w:rsidRPr="006A0910" w:rsidR="0091010A">
        <w:rPr>
          <w:rFonts w:ascii="Times New Roman" w:eastAsia="Times New Roman" w:hAnsi="Times New Roman" w:cs="Times New Roman"/>
          <w:sz w:val="24"/>
          <w:szCs w:val="24"/>
        </w:rPr>
        <w:t>a</w:t>
      </w:r>
      <w:r w:rsidR="0091010A">
        <w:rPr>
          <w:rFonts w:ascii="Times New Roman" w:eastAsia="Times New Roman" w:hAnsi="Times New Roman" w:cs="Times New Roman"/>
          <w:sz w:val="24"/>
          <w:szCs w:val="24"/>
        </w:rPr>
        <w:t>y</w:t>
      </w:r>
      <w:r w:rsidRPr="006A0910" w:rsidR="0091010A">
        <w:rPr>
          <w:rFonts w:ascii="Times New Roman" w:eastAsia="Times New Roman" w:hAnsi="Times New Roman" w:cs="Times New Roman"/>
          <w:sz w:val="24"/>
          <w:szCs w:val="24"/>
        </w:rPr>
        <w:t xml:space="preserve"> </w:t>
      </w:r>
      <w:r w:rsidR="0091010A">
        <w:rPr>
          <w:rFonts w:ascii="Times New Roman" w:eastAsia="Times New Roman" w:hAnsi="Times New Roman" w:cs="Times New Roman"/>
          <w:sz w:val="24"/>
          <w:szCs w:val="24"/>
        </w:rPr>
        <w:t>p</w:t>
      </w:r>
      <w:r w:rsidRPr="006A0910" w:rsidR="0091010A">
        <w:rPr>
          <w:rFonts w:ascii="Times New Roman" w:eastAsia="Times New Roman" w:hAnsi="Times New Roman" w:cs="Times New Roman"/>
          <w:sz w:val="24"/>
          <w:szCs w:val="24"/>
        </w:rPr>
        <w:t>er</w:t>
      </w:r>
      <w:r w:rsidR="0091010A">
        <w:rPr>
          <w:rFonts w:ascii="Times New Roman" w:eastAsia="Times New Roman" w:hAnsi="Times New Roman" w:cs="Times New Roman"/>
          <w:sz w:val="24"/>
          <w:szCs w:val="24"/>
        </w:rPr>
        <w:t xml:space="preserve">mit </w:t>
      </w:r>
      <w:r w:rsidRPr="006A0910" w:rsidR="0091010A">
        <w:rPr>
          <w:rFonts w:ascii="Times New Roman" w:eastAsia="Times New Roman" w:hAnsi="Times New Roman" w:cs="Times New Roman"/>
          <w:sz w:val="24"/>
          <w:szCs w:val="24"/>
        </w:rPr>
        <w:t>age</w:t>
      </w:r>
      <w:r w:rsidR="0091010A">
        <w:rPr>
          <w:rFonts w:ascii="Times New Roman" w:eastAsia="Times New Roman" w:hAnsi="Times New Roman" w:cs="Times New Roman"/>
          <w:sz w:val="24"/>
          <w:szCs w:val="24"/>
        </w:rPr>
        <w:t xml:space="preserve">nts </w:t>
      </w:r>
      <w:r w:rsidRPr="006A0910" w:rsidR="0091010A">
        <w:rPr>
          <w:rFonts w:ascii="Times New Roman" w:eastAsia="Times New Roman" w:hAnsi="Times New Roman" w:cs="Times New Roman"/>
          <w:sz w:val="24"/>
          <w:szCs w:val="24"/>
        </w:rPr>
        <w:t>a</w:t>
      </w:r>
      <w:r w:rsidR="0091010A">
        <w:rPr>
          <w:rFonts w:ascii="Times New Roman" w:eastAsia="Times New Roman" w:hAnsi="Times New Roman" w:cs="Times New Roman"/>
          <w:sz w:val="24"/>
          <w:szCs w:val="24"/>
        </w:rPr>
        <w:t>nd b</w:t>
      </w:r>
      <w:r w:rsidRPr="006A0910" w:rsidR="0091010A">
        <w:rPr>
          <w:rFonts w:ascii="Times New Roman" w:eastAsia="Times New Roman" w:hAnsi="Times New Roman" w:cs="Times New Roman"/>
          <w:sz w:val="24"/>
          <w:szCs w:val="24"/>
        </w:rPr>
        <w:t>r</w:t>
      </w:r>
      <w:r w:rsidR="0091010A">
        <w:rPr>
          <w:rFonts w:ascii="Times New Roman" w:eastAsia="Times New Roman" w:hAnsi="Times New Roman" w:cs="Times New Roman"/>
          <w:sz w:val="24"/>
          <w:szCs w:val="24"/>
        </w:rPr>
        <w:t>ok</w:t>
      </w:r>
      <w:r w:rsidRPr="006A0910" w:rsidR="0091010A">
        <w:rPr>
          <w:rFonts w:ascii="Times New Roman" w:eastAsia="Times New Roman" w:hAnsi="Times New Roman" w:cs="Times New Roman"/>
          <w:sz w:val="24"/>
          <w:szCs w:val="24"/>
        </w:rPr>
        <w:t>er</w:t>
      </w:r>
      <w:r w:rsidR="0091010A">
        <w:rPr>
          <w:rFonts w:ascii="Times New Roman" w:eastAsia="Times New Roman" w:hAnsi="Times New Roman" w:cs="Times New Roman"/>
          <w:sz w:val="24"/>
          <w:szCs w:val="24"/>
        </w:rPr>
        <w:t xml:space="preserve">s to </w:t>
      </w:r>
      <w:r w:rsidRPr="006A0910" w:rsidR="0091010A">
        <w:rPr>
          <w:rFonts w:ascii="Times New Roman" w:eastAsia="Times New Roman" w:hAnsi="Times New Roman" w:cs="Times New Roman"/>
          <w:sz w:val="24"/>
          <w:szCs w:val="24"/>
        </w:rPr>
        <w:t>e</w:t>
      </w:r>
      <w:r w:rsidR="0091010A">
        <w:rPr>
          <w:rFonts w:ascii="Times New Roman" w:eastAsia="Times New Roman" w:hAnsi="Times New Roman" w:cs="Times New Roman"/>
          <w:sz w:val="24"/>
          <w:szCs w:val="24"/>
        </w:rPr>
        <w:t>n</w:t>
      </w:r>
      <w:r w:rsidRPr="006A0910" w:rsidR="0091010A">
        <w:rPr>
          <w:rFonts w:ascii="Times New Roman" w:eastAsia="Times New Roman" w:hAnsi="Times New Roman" w:cs="Times New Roman"/>
          <w:sz w:val="24"/>
          <w:szCs w:val="24"/>
        </w:rPr>
        <w:t>r</w:t>
      </w:r>
      <w:r w:rsidR="0091010A">
        <w:rPr>
          <w:rFonts w:ascii="Times New Roman" w:eastAsia="Times New Roman" w:hAnsi="Times New Roman" w:cs="Times New Roman"/>
          <w:sz w:val="24"/>
          <w:szCs w:val="24"/>
        </w:rPr>
        <w:t>oll qu</w:t>
      </w:r>
      <w:r w:rsidRPr="006A0910" w:rsidR="0091010A">
        <w:rPr>
          <w:rFonts w:ascii="Times New Roman" w:eastAsia="Times New Roman" w:hAnsi="Times New Roman" w:cs="Times New Roman"/>
          <w:sz w:val="24"/>
          <w:szCs w:val="24"/>
        </w:rPr>
        <w:t>a</w:t>
      </w:r>
      <w:r w:rsidR="0091010A">
        <w:rPr>
          <w:rFonts w:ascii="Times New Roman" w:eastAsia="Times New Roman" w:hAnsi="Times New Roman" w:cs="Times New Roman"/>
          <w:sz w:val="24"/>
          <w:szCs w:val="24"/>
        </w:rPr>
        <w:t>li</w:t>
      </w:r>
      <w:r w:rsidRPr="006A0910" w:rsidR="0091010A">
        <w:rPr>
          <w:rFonts w:ascii="Times New Roman" w:eastAsia="Times New Roman" w:hAnsi="Times New Roman" w:cs="Times New Roman"/>
          <w:sz w:val="24"/>
          <w:szCs w:val="24"/>
        </w:rPr>
        <w:t>f</w:t>
      </w:r>
      <w:r w:rsidR="0091010A">
        <w:rPr>
          <w:rFonts w:ascii="Times New Roman" w:eastAsia="Times New Roman" w:hAnsi="Times New Roman" w:cs="Times New Roman"/>
          <w:sz w:val="24"/>
          <w:szCs w:val="24"/>
        </w:rPr>
        <w:t>i</w:t>
      </w:r>
      <w:r w:rsidRPr="006A0910" w:rsidR="0091010A">
        <w:rPr>
          <w:rFonts w:ascii="Times New Roman" w:eastAsia="Times New Roman" w:hAnsi="Times New Roman" w:cs="Times New Roman"/>
          <w:sz w:val="24"/>
          <w:szCs w:val="24"/>
        </w:rPr>
        <w:t>e</w:t>
      </w:r>
      <w:r w:rsidR="0091010A">
        <w:rPr>
          <w:rFonts w:ascii="Times New Roman" w:eastAsia="Times New Roman" w:hAnsi="Times New Roman" w:cs="Times New Roman"/>
          <w:sz w:val="24"/>
          <w:szCs w:val="24"/>
        </w:rPr>
        <w:t>d individu</w:t>
      </w:r>
      <w:r w:rsidRPr="006A0910" w:rsidR="0091010A">
        <w:rPr>
          <w:rFonts w:ascii="Times New Roman" w:eastAsia="Times New Roman" w:hAnsi="Times New Roman" w:cs="Times New Roman"/>
          <w:sz w:val="24"/>
          <w:szCs w:val="24"/>
        </w:rPr>
        <w:t>a</w:t>
      </w:r>
      <w:r w:rsidR="0091010A">
        <w:rPr>
          <w:rFonts w:ascii="Times New Roman" w:eastAsia="Times New Roman" w:hAnsi="Times New Roman" w:cs="Times New Roman"/>
          <w:sz w:val="24"/>
          <w:szCs w:val="24"/>
        </w:rPr>
        <w:t xml:space="preserve">ls </w:t>
      </w:r>
      <w:r w:rsidRPr="006A0910" w:rsidR="0091010A">
        <w:rPr>
          <w:rFonts w:ascii="Times New Roman" w:eastAsia="Times New Roman" w:hAnsi="Times New Roman" w:cs="Times New Roman"/>
          <w:sz w:val="24"/>
          <w:szCs w:val="24"/>
        </w:rPr>
        <w:t>a</w:t>
      </w:r>
      <w:r w:rsidR="0091010A">
        <w:rPr>
          <w:rFonts w:ascii="Times New Roman" w:eastAsia="Times New Roman" w:hAnsi="Times New Roman" w:cs="Times New Roman"/>
          <w:sz w:val="24"/>
          <w:szCs w:val="24"/>
        </w:rPr>
        <w:t>nd qu</w:t>
      </w:r>
      <w:r w:rsidRPr="006A0910" w:rsidR="0091010A">
        <w:rPr>
          <w:rFonts w:ascii="Times New Roman" w:eastAsia="Times New Roman" w:hAnsi="Times New Roman" w:cs="Times New Roman"/>
          <w:sz w:val="24"/>
          <w:szCs w:val="24"/>
        </w:rPr>
        <w:t>a</w:t>
      </w:r>
      <w:r w:rsidR="0091010A">
        <w:rPr>
          <w:rFonts w:ascii="Times New Roman" w:eastAsia="Times New Roman" w:hAnsi="Times New Roman" w:cs="Times New Roman"/>
          <w:sz w:val="24"/>
          <w:szCs w:val="24"/>
        </w:rPr>
        <w:t>li</w:t>
      </w:r>
      <w:r w:rsidRPr="006A0910" w:rsidR="0091010A">
        <w:rPr>
          <w:rFonts w:ascii="Times New Roman" w:eastAsia="Times New Roman" w:hAnsi="Times New Roman" w:cs="Times New Roman"/>
          <w:sz w:val="24"/>
          <w:szCs w:val="24"/>
        </w:rPr>
        <w:t>f</w:t>
      </w:r>
      <w:r w:rsidR="0091010A">
        <w:rPr>
          <w:rFonts w:ascii="Times New Roman" w:eastAsia="Times New Roman" w:hAnsi="Times New Roman" w:cs="Times New Roman"/>
          <w:sz w:val="24"/>
          <w:szCs w:val="24"/>
        </w:rPr>
        <w:t>i</w:t>
      </w:r>
      <w:r w:rsidRPr="006A0910" w:rsidR="0091010A">
        <w:rPr>
          <w:rFonts w:ascii="Times New Roman" w:eastAsia="Times New Roman" w:hAnsi="Times New Roman" w:cs="Times New Roman"/>
          <w:sz w:val="24"/>
          <w:szCs w:val="24"/>
        </w:rPr>
        <w:t>e</w:t>
      </w:r>
      <w:r w:rsidR="0091010A">
        <w:rPr>
          <w:rFonts w:ascii="Times New Roman" w:eastAsia="Times New Roman" w:hAnsi="Times New Roman" w:cs="Times New Roman"/>
          <w:sz w:val="24"/>
          <w:szCs w:val="24"/>
        </w:rPr>
        <w:t xml:space="preserve">d </w:t>
      </w:r>
      <w:r w:rsidRPr="006A0910" w:rsidR="0091010A">
        <w:rPr>
          <w:rFonts w:ascii="Times New Roman" w:eastAsia="Times New Roman" w:hAnsi="Times New Roman" w:cs="Times New Roman"/>
          <w:sz w:val="24"/>
          <w:szCs w:val="24"/>
        </w:rPr>
        <w:t>e</w:t>
      </w:r>
      <w:r w:rsidR="0091010A">
        <w:rPr>
          <w:rFonts w:ascii="Times New Roman" w:eastAsia="Times New Roman" w:hAnsi="Times New Roman" w:cs="Times New Roman"/>
          <w:sz w:val="24"/>
          <w:szCs w:val="24"/>
        </w:rPr>
        <w:t>mplo</w:t>
      </w:r>
      <w:r w:rsidRPr="006A0910" w:rsidR="0091010A">
        <w:rPr>
          <w:rFonts w:ascii="Times New Roman" w:eastAsia="Times New Roman" w:hAnsi="Times New Roman" w:cs="Times New Roman"/>
          <w:sz w:val="24"/>
          <w:szCs w:val="24"/>
        </w:rPr>
        <w:t>yer</w:t>
      </w:r>
      <w:r w:rsidR="0091010A">
        <w:rPr>
          <w:rFonts w:ascii="Times New Roman" w:eastAsia="Times New Roman" w:hAnsi="Times New Roman" w:cs="Times New Roman"/>
          <w:sz w:val="24"/>
          <w:szCs w:val="24"/>
        </w:rPr>
        <w:t>s in QH</w:t>
      </w:r>
      <w:r w:rsidRPr="006A0910" w:rsidR="0091010A">
        <w:rPr>
          <w:rFonts w:ascii="Times New Roman" w:eastAsia="Times New Roman" w:hAnsi="Times New Roman" w:cs="Times New Roman"/>
          <w:sz w:val="24"/>
          <w:szCs w:val="24"/>
        </w:rPr>
        <w:t>P</w:t>
      </w:r>
      <w:r w:rsidR="0091010A">
        <w:rPr>
          <w:rFonts w:ascii="Times New Roman" w:eastAsia="Times New Roman" w:hAnsi="Times New Roman" w:cs="Times New Roman"/>
          <w:sz w:val="24"/>
          <w:szCs w:val="24"/>
        </w:rPr>
        <w:t>s th</w:t>
      </w:r>
      <w:r w:rsidRPr="006A0910" w:rsidR="0091010A">
        <w:rPr>
          <w:rFonts w:ascii="Times New Roman" w:eastAsia="Times New Roman" w:hAnsi="Times New Roman" w:cs="Times New Roman"/>
          <w:sz w:val="24"/>
          <w:szCs w:val="24"/>
        </w:rPr>
        <w:t>r</w:t>
      </w:r>
      <w:r w:rsidR="0091010A">
        <w:rPr>
          <w:rFonts w:ascii="Times New Roman" w:eastAsia="Times New Roman" w:hAnsi="Times New Roman" w:cs="Times New Roman"/>
          <w:sz w:val="24"/>
          <w:szCs w:val="24"/>
        </w:rPr>
        <w:t>ou</w:t>
      </w:r>
      <w:r w:rsidRPr="006A0910" w:rsidR="0091010A">
        <w:rPr>
          <w:rFonts w:ascii="Times New Roman" w:eastAsia="Times New Roman" w:hAnsi="Times New Roman" w:cs="Times New Roman"/>
          <w:sz w:val="24"/>
          <w:szCs w:val="24"/>
        </w:rPr>
        <w:t>g</w:t>
      </w:r>
      <w:r w:rsidR="0091010A">
        <w:rPr>
          <w:rFonts w:ascii="Times New Roman" w:eastAsia="Times New Roman" w:hAnsi="Times New Roman" w:cs="Times New Roman"/>
          <w:sz w:val="24"/>
          <w:szCs w:val="24"/>
        </w:rPr>
        <w:t xml:space="preserve">h </w:t>
      </w:r>
      <w:r w:rsidRPr="006A0910" w:rsidR="0091010A">
        <w:rPr>
          <w:rFonts w:ascii="Times New Roman" w:eastAsia="Times New Roman" w:hAnsi="Times New Roman" w:cs="Times New Roman"/>
          <w:sz w:val="24"/>
          <w:szCs w:val="24"/>
        </w:rPr>
        <w:t>a</w:t>
      </w:r>
      <w:r w:rsidR="0091010A">
        <w:rPr>
          <w:rFonts w:ascii="Times New Roman" w:eastAsia="Times New Roman" w:hAnsi="Times New Roman" w:cs="Times New Roman"/>
          <w:sz w:val="24"/>
          <w:szCs w:val="24"/>
        </w:rPr>
        <w:t>n E</w:t>
      </w:r>
      <w:r w:rsidRPr="006A0910" w:rsidR="0091010A">
        <w:rPr>
          <w:rFonts w:ascii="Times New Roman" w:eastAsia="Times New Roman" w:hAnsi="Times New Roman" w:cs="Times New Roman"/>
          <w:sz w:val="24"/>
          <w:szCs w:val="24"/>
        </w:rPr>
        <w:t>xc</w:t>
      </w:r>
      <w:r w:rsidR="0091010A">
        <w:rPr>
          <w:rFonts w:ascii="Times New Roman" w:eastAsia="Times New Roman" w:hAnsi="Times New Roman" w:cs="Times New Roman"/>
          <w:sz w:val="24"/>
          <w:szCs w:val="24"/>
        </w:rPr>
        <w:t>h</w:t>
      </w:r>
      <w:r w:rsidRPr="006A0910" w:rsidR="0091010A">
        <w:rPr>
          <w:rFonts w:ascii="Times New Roman" w:eastAsia="Times New Roman" w:hAnsi="Times New Roman" w:cs="Times New Roman"/>
          <w:sz w:val="24"/>
          <w:szCs w:val="24"/>
        </w:rPr>
        <w:t>a</w:t>
      </w:r>
      <w:r w:rsidR="0091010A">
        <w:rPr>
          <w:rFonts w:ascii="Times New Roman" w:eastAsia="Times New Roman" w:hAnsi="Times New Roman" w:cs="Times New Roman"/>
          <w:sz w:val="24"/>
          <w:szCs w:val="24"/>
        </w:rPr>
        <w:t>n</w:t>
      </w:r>
      <w:r w:rsidRPr="006A0910" w:rsidR="0091010A">
        <w:rPr>
          <w:rFonts w:ascii="Times New Roman" w:eastAsia="Times New Roman" w:hAnsi="Times New Roman" w:cs="Times New Roman"/>
          <w:sz w:val="24"/>
          <w:szCs w:val="24"/>
        </w:rPr>
        <w:t>ge</w:t>
      </w:r>
      <w:r w:rsidR="0091010A">
        <w:rPr>
          <w:rFonts w:ascii="Times New Roman" w:eastAsia="Times New Roman" w:hAnsi="Times New Roman" w:cs="Times New Roman"/>
          <w:sz w:val="24"/>
          <w:szCs w:val="24"/>
        </w:rPr>
        <w:t xml:space="preserve">, </w:t>
      </w:r>
      <w:r w:rsidRPr="006A0910" w:rsidR="0091010A">
        <w:rPr>
          <w:rFonts w:ascii="Times New Roman" w:eastAsia="Times New Roman" w:hAnsi="Times New Roman" w:cs="Times New Roman"/>
          <w:sz w:val="24"/>
          <w:szCs w:val="24"/>
        </w:rPr>
        <w:t>a</w:t>
      </w:r>
      <w:r w:rsidR="0091010A">
        <w:rPr>
          <w:rFonts w:ascii="Times New Roman" w:eastAsia="Times New Roman" w:hAnsi="Times New Roman" w:cs="Times New Roman"/>
          <w:sz w:val="24"/>
          <w:szCs w:val="24"/>
        </w:rPr>
        <w:t xml:space="preserve">nd to </w:t>
      </w:r>
      <w:r w:rsidRPr="006A0910" w:rsidR="0091010A">
        <w:rPr>
          <w:rFonts w:ascii="Times New Roman" w:eastAsia="Times New Roman" w:hAnsi="Times New Roman" w:cs="Times New Roman"/>
          <w:sz w:val="24"/>
          <w:szCs w:val="24"/>
        </w:rPr>
        <w:t>a</w:t>
      </w:r>
      <w:r w:rsidR="0091010A">
        <w:rPr>
          <w:rFonts w:ascii="Times New Roman" w:eastAsia="Times New Roman" w:hAnsi="Times New Roman" w:cs="Times New Roman"/>
          <w:sz w:val="24"/>
          <w:szCs w:val="24"/>
        </w:rPr>
        <w:t>ssist individu</w:t>
      </w:r>
      <w:r w:rsidRPr="006A0910" w:rsidR="0091010A">
        <w:rPr>
          <w:rFonts w:ascii="Times New Roman" w:eastAsia="Times New Roman" w:hAnsi="Times New Roman" w:cs="Times New Roman"/>
          <w:sz w:val="24"/>
          <w:szCs w:val="24"/>
        </w:rPr>
        <w:t>a</w:t>
      </w:r>
      <w:r w:rsidR="0091010A">
        <w:rPr>
          <w:rFonts w:ascii="Times New Roman" w:eastAsia="Times New Roman" w:hAnsi="Times New Roman" w:cs="Times New Roman"/>
          <w:sz w:val="24"/>
          <w:szCs w:val="24"/>
        </w:rPr>
        <w:t xml:space="preserve">ls in </w:t>
      </w:r>
      <w:r w:rsidRPr="006A0910" w:rsidR="0091010A">
        <w:rPr>
          <w:rFonts w:ascii="Times New Roman" w:eastAsia="Times New Roman" w:hAnsi="Times New Roman" w:cs="Times New Roman"/>
          <w:sz w:val="24"/>
          <w:szCs w:val="24"/>
        </w:rPr>
        <w:t>a</w:t>
      </w:r>
      <w:r w:rsidR="0091010A">
        <w:rPr>
          <w:rFonts w:ascii="Times New Roman" w:eastAsia="Times New Roman" w:hAnsi="Times New Roman" w:cs="Times New Roman"/>
          <w:sz w:val="24"/>
          <w:szCs w:val="24"/>
        </w:rPr>
        <w:t>ppl</w:t>
      </w:r>
      <w:r w:rsidRPr="006A0910" w:rsidR="0091010A">
        <w:rPr>
          <w:rFonts w:ascii="Times New Roman" w:eastAsia="Times New Roman" w:hAnsi="Times New Roman" w:cs="Times New Roman"/>
          <w:sz w:val="24"/>
          <w:szCs w:val="24"/>
        </w:rPr>
        <w:t>y</w:t>
      </w:r>
      <w:r w:rsidR="0091010A">
        <w:rPr>
          <w:rFonts w:ascii="Times New Roman" w:eastAsia="Times New Roman" w:hAnsi="Times New Roman" w:cs="Times New Roman"/>
          <w:sz w:val="24"/>
          <w:szCs w:val="24"/>
        </w:rPr>
        <w:t>ing</w:t>
      </w:r>
      <w:r w:rsidRPr="006A0910" w:rsidR="0091010A">
        <w:rPr>
          <w:rFonts w:ascii="Times New Roman" w:eastAsia="Times New Roman" w:hAnsi="Times New Roman" w:cs="Times New Roman"/>
          <w:sz w:val="24"/>
          <w:szCs w:val="24"/>
        </w:rPr>
        <w:t xml:space="preserve"> f</w:t>
      </w:r>
      <w:r w:rsidR="0091010A">
        <w:rPr>
          <w:rFonts w:ascii="Times New Roman" w:eastAsia="Times New Roman" w:hAnsi="Times New Roman" w:cs="Times New Roman"/>
          <w:sz w:val="24"/>
          <w:szCs w:val="24"/>
        </w:rPr>
        <w:t>or</w:t>
      </w:r>
      <w:r w:rsidRPr="006A0910" w:rsidR="0091010A">
        <w:rPr>
          <w:rFonts w:ascii="Times New Roman" w:eastAsia="Times New Roman" w:hAnsi="Times New Roman" w:cs="Times New Roman"/>
          <w:sz w:val="24"/>
          <w:szCs w:val="24"/>
        </w:rPr>
        <w:t xml:space="preserve"> a</w:t>
      </w:r>
      <w:r w:rsidR="0091010A">
        <w:rPr>
          <w:rFonts w:ascii="Times New Roman" w:eastAsia="Times New Roman" w:hAnsi="Times New Roman" w:cs="Times New Roman"/>
          <w:sz w:val="24"/>
          <w:szCs w:val="24"/>
        </w:rPr>
        <w:t>dv</w:t>
      </w:r>
      <w:r w:rsidRPr="006A0910" w:rsidR="0091010A">
        <w:rPr>
          <w:rFonts w:ascii="Times New Roman" w:eastAsia="Times New Roman" w:hAnsi="Times New Roman" w:cs="Times New Roman"/>
          <w:sz w:val="24"/>
          <w:szCs w:val="24"/>
        </w:rPr>
        <w:t>a</w:t>
      </w:r>
      <w:r w:rsidR="0091010A">
        <w:rPr>
          <w:rFonts w:ascii="Times New Roman" w:eastAsia="Times New Roman" w:hAnsi="Times New Roman" w:cs="Times New Roman"/>
          <w:sz w:val="24"/>
          <w:szCs w:val="24"/>
        </w:rPr>
        <w:t>n</w:t>
      </w:r>
      <w:r w:rsidRPr="006A0910" w:rsidR="0091010A">
        <w:rPr>
          <w:rFonts w:ascii="Times New Roman" w:eastAsia="Times New Roman" w:hAnsi="Times New Roman" w:cs="Times New Roman"/>
          <w:sz w:val="24"/>
          <w:szCs w:val="24"/>
        </w:rPr>
        <w:t xml:space="preserve">ce </w:t>
      </w:r>
      <w:r w:rsidR="0091010A">
        <w:rPr>
          <w:rFonts w:ascii="Times New Roman" w:eastAsia="Times New Roman" w:hAnsi="Times New Roman" w:cs="Times New Roman"/>
          <w:sz w:val="24"/>
          <w:szCs w:val="24"/>
        </w:rPr>
        <w:t>p</w:t>
      </w:r>
      <w:r w:rsidRPr="006A0910" w:rsidR="0091010A">
        <w:rPr>
          <w:rFonts w:ascii="Times New Roman" w:eastAsia="Times New Roman" w:hAnsi="Times New Roman" w:cs="Times New Roman"/>
          <w:sz w:val="24"/>
          <w:szCs w:val="24"/>
        </w:rPr>
        <w:t>ay</w:t>
      </w:r>
      <w:r w:rsidR="0091010A">
        <w:rPr>
          <w:rFonts w:ascii="Times New Roman" w:eastAsia="Times New Roman" w:hAnsi="Times New Roman" w:cs="Times New Roman"/>
          <w:sz w:val="24"/>
          <w:szCs w:val="24"/>
        </w:rPr>
        <w:t>m</w:t>
      </w:r>
      <w:r w:rsidRPr="006A0910" w:rsidR="0091010A">
        <w:rPr>
          <w:rFonts w:ascii="Times New Roman" w:eastAsia="Times New Roman" w:hAnsi="Times New Roman" w:cs="Times New Roman"/>
          <w:sz w:val="24"/>
          <w:szCs w:val="24"/>
        </w:rPr>
        <w:t>e</w:t>
      </w:r>
      <w:r w:rsidR="0091010A">
        <w:rPr>
          <w:rFonts w:ascii="Times New Roman" w:eastAsia="Times New Roman" w:hAnsi="Times New Roman" w:cs="Times New Roman"/>
          <w:sz w:val="24"/>
          <w:szCs w:val="24"/>
        </w:rPr>
        <w:t>nts of</w:t>
      </w:r>
      <w:r w:rsidRPr="006A0910" w:rsidR="0091010A">
        <w:rPr>
          <w:rFonts w:ascii="Times New Roman" w:eastAsia="Times New Roman" w:hAnsi="Times New Roman" w:cs="Times New Roman"/>
          <w:sz w:val="24"/>
          <w:szCs w:val="24"/>
        </w:rPr>
        <w:t xml:space="preserve"> </w:t>
      </w:r>
      <w:r w:rsidR="0091010A">
        <w:rPr>
          <w:rFonts w:ascii="Times New Roman" w:eastAsia="Times New Roman" w:hAnsi="Times New Roman" w:cs="Times New Roman"/>
          <w:sz w:val="24"/>
          <w:szCs w:val="24"/>
        </w:rPr>
        <w:t>the</w:t>
      </w:r>
      <w:r w:rsidRPr="006A0910" w:rsidR="0091010A">
        <w:rPr>
          <w:rFonts w:ascii="Times New Roman" w:eastAsia="Times New Roman" w:hAnsi="Times New Roman" w:cs="Times New Roman"/>
          <w:sz w:val="24"/>
          <w:szCs w:val="24"/>
        </w:rPr>
        <w:t xml:space="preserve"> </w:t>
      </w:r>
      <w:r w:rsidR="0091010A">
        <w:rPr>
          <w:rFonts w:ascii="Times New Roman" w:eastAsia="Times New Roman" w:hAnsi="Times New Roman" w:cs="Times New Roman"/>
          <w:sz w:val="24"/>
          <w:szCs w:val="24"/>
        </w:rPr>
        <w:t>p</w:t>
      </w:r>
      <w:r w:rsidRPr="006A0910" w:rsidR="0091010A">
        <w:rPr>
          <w:rFonts w:ascii="Times New Roman" w:eastAsia="Times New Roman" w:hAnsi="Times New Roman" w:cs="Times New Roman"/>
          <w:sz w:val="24"/>
          <w:szCs w:val="24"/>
        </w:rPr>
        <w:t>re</w:t>
      </w:r>
      <w:r w:rsidR="0091010A">
        <w:rPr>
          <w:rFonts w:ascii="Times New Roman" w:eastAsia="Times New Roman" w:hAnsi="Times New Roman" w:cs="Times New Roman"/>
          <w:sz w:val="24"/>
          <w:szCs w:val="24"/>
        </w:rPr>
        <w:t>mium t</w:t>
      </w:r>
      <w:r w:rsidRPr="006A0910" w:rsidR="0091010A">
        <w:rPr>
          <w:rFonts w:ascii="Times New Roman" w:eastAsia="Times New Roman" w:hAnsi="Times New Roman" w:cs="Times New Roman"/>
          <w:sz w:val="24"/>
          <w:szCs w:val="24"/>
        </w:rPr>
        <w:t>a</w:t>
      </w:r>
      <w:r w:rsidR="0091010A">
        <w:rPr>
          <w:rFonts w:ascii="Times New Roman" w:eastAsia="Times New Roman" w:hAnsi="Times New Roman" w:cs="Times New Roman"/>
          <w:sz w:val="24"/>
          <w:szCs w:val="24"/>
        </w:rPr>
        <w:t>x</w:t>
      </w:r>
      <w:r w:rsidRPr="006A0910" w:rsidR="0091010A">
        <w:rPr>
          <w:rFonts w:ascii="Times New Roman" w:eastAsia="Times New Roman" w:hAnsi="Times New Roman" w:cs="Times New Roman"/>
          <w:sz w:val="24"/>
          <w:szCs w:val="24"/>
        </w:rPr>
        <w:t xml:space="preserve"> cre</w:t>
      </w:r>
      <w:r w:rsidR="0091010A">
        <w:rPr>
          <w:rFonts w:ascii="Times New Roman" w:eastAsia="Times New Roman" w:hAnsi="Times New Roman" w:cs="Times New Roman"/>
          <w:sz w:val="24"/>
          <w:szCs w:val="24"/>
        </w:rPr>
        <w:t>dit</w:t>
      </w:r>
      <w:r w:rsidR="008E5BB8">
        <w:rPr>
          <w:rFonts w:ascii="Times New Roman" w:eastAsia="Times New Roman" w:hAnsi="Times New Roman" w:cs="Times New Roman"/>
          <w:sz w:val="24"/>
          <w:szCs w:val="24"/>
        </w:rPr>
        <w:t xml:space="preserve"> (APTC)</w:t>
      </w:r>
      <w:r w:rsidR="0091010A">
        <w:rPr>
          <w:rFonts w:ascii="Times New Roman" w:eastAsia="Times New Roman" w:hAnsi="Times New Roman" w:cs="Times New Roman"/>
          <w:sz w:val="24"/>
          <w:szCs w:val="24"/>
        </w:rPr>
        <w:t xml:space="preserve"> </w:t>
      </w:r>
      <w:r w:rsidRPr="006A0910" w:rsidR="0091010A">
        <w:rPr>
          <w:rFonts w:ascii="Times New Roman" w:eastAsia="Times New Roman" w:hAnsi="Times New Roman" w:cs="Times New Roman"/>
          <w:sz w:val="24"/>
          <w:szCs w:val="24"/>
        </w:rPr>
        <w:t>a</w:t>
      </w:r>
      <w:r w:rsidR="0091010A">
        <w:rPr>
          <w:rFonts w:ascii="Times New Roman" w:eastAsia="Times New Roman" w:hAnsi="Times New Roman" w:cs="Times New Roman"/>
          <w:sz w:val="24"/>
          <w:szCs w:val="24"/>
        </w:rPr>
        <w:t xml:space="preserve">nd </w:t>
      </w:r>
      <w:r w:rsidRPr="006A0910" w:rsidR="0091010A">
        <w:rPr>
          <w:rFonts w:ascii="Times New Roman" w:eastAsia="Times New Roman" w:hAnsi="Times New Roman" w:cs="Times New Roman"/>
          <w:sz w:val="24"/>
          <w:szCs w:val="24"/>
        </w:rPr>
        <w:t>c</w:t>
      </w:r>
      <w:r w:rsidR="0091010A">
        <w:rPr>
          <w:rFonts w:ascii="Times New Roman" w:eastAsia="Times New Roman" w:hAnsi="Times New Roman" w:cs="Times New Roman"/>
          <w:sz w:val="24"/>
          <w:szCs w:val="24"/>
        </w:rPr>
        <w:t>ost</w:t>
      </w:r>
      <w:r w:rsidRPr="006A0910" w:rsidR="0091010A">
        <w:rPr>
          <w:rFonts w:ascii="Times New Roman" w:eastAsia="Times New Roman" w:hAnsi="Times New Roman" w:cs="Times New Roman"/>
          <w:sz w:val="24"/>
          <w:szCs w:val="24"/>
        </w:rPr>
        <w:t>-</w:t>
      </w:r>
      <w:r w:rsidR="0091010A">
        <w:rPr>
          <w:rFonts w:ascii="Times New Roman" w:eastAsia="Times New Roman" w:hAnsi="Times New Roman" w:cs="Times New Roman"/>
          <w:sz w:val="24"/>
          <w:szCs w:val="24"/>
        </w:rPr>
        <w:t>sh</w:t>
      </w:r>
      <w:r w:rsidRPr="006A0910" w:rsidR="0091010A">
        <w:rPr>
          <w:rFonts w:ascii="Times New Roman" w:eastAsia="Times New Roman" w:hAnsi="Times New Roman" w:cs="Times New Roman"/>
          <w:sz w:val="24"/>
          <w:szCs w:val="24"/>
        </w:rPr>
        <w:t>ar</w:t>
      </w:r>
      <w:r w:rsidR="0091010A">
        <w:rPr>
          <w:rFonts w:ascii="Times New Roman" w:eastAsia="Times New Roman" w:hAnsi="Times New Roman" w:cs="Times New Roman"/>
          <w:sz w:val="24"/>
          <w:szCs w:val="24"/>
        </w:rPr>
        <w:t>ing</w:t>
      </w:r>
      <w:r w:rsidRPr="006A0910" w:rsidR="0091010A">
        <w:rPr>
          <w:rFonts w:ascii="Times New Roman" w:eastAsia="Times New Roman" w:hAnsi="Times New Roman" w:cs="Times New Roman"/>
          <w:sz w:val="24"/>
          <w:szCs w:val="24"/>
        </w:rPr>
        <w:t xml:space="preserve"> re</w:t>
      </w:r>
      <w:r w:rsidR="0091010A">
        <w:rPr>
          <w:rFonts w:ascii="Times New Roman" w:eastAsia="Times New Roman" w:hAnsi="Times New Roman" w:cs="Times New Roman"/>
          <w:sz w:val="24"/>
          <w:szCs w:val="24"/>
        </w:rPr>
        <w:t>du</w:t>
      </w:r>
      <w:r w:rsidRPr="006A0910" w:rsidR="0091010A">
        <w:rPr>
          <w:rFonts w:ascii="Times New Roman" w:eastAsia="Times New Roman" w:hAnsi="Times New Roman" w:cs="Times New Roman"/>
          <w:sz w:val="24"/>
          <w:szCs w:val="24"/>
        </w:rPr>
        <w:t>c</w:t>
      </w:r>
      <w:r w:rsidR="0091010A">
        <w:rPr>
          <w:rFonts w:ascii="Times New Roman" w:eastAsia="Times New Roman" w:hAnsi="Times New Roman" w:cs="Times New Roman"/>
          <w:sz w:val="24"/>
          <w:szCs w:val="24"/>
        </w:rPr>
        <w:t>tions</w:t>
      </w:r>
      <w:r w:rsidR="008E5BB8">
        <w:rPr>
          <w:rFonts w:ascii="Times New Roman" w:eastAsia="Times New Roman" w:hAnsi="Times New Roman" w:cs="Times New Roman"/>
          <w:sz w:val="24"/>
          <w:szCs w:val="24"/>
        </w:rPr>
        <w:t xml:space="preserve"> (CSR)</w:t>
      </w:r>
      <w:r w:rsidR="0091010A">
        <w:rPr>
          <w:rFonts w:ascii="Times New Roman" w:eastAsia="Times New Roman" w:hAnsi="Times New Roman" w:cs="Times New Roman"/>
          <w:sz w:val="24"/>
          <w:szCs w:val="24"/>
        </w:rPr>
        <w:t>.</w:t>
      </w:r>
    </w:p>
    <w:p w:rsidR="001D12F0" w:rsidP="00234238" w14:paraId="0F0B0639" w14:textId="77777777">
      <w:pPr>
        <w:spacing w:after="0" w:line="246" w:lineRule="auto"/>
        <w:ind w:left="160" w:right="-20" w:firstLine="432"/>
        <w:rPr>
          <w:rFonts w:ascii="Times New Roman" w:eastAsia="Times New Roman" w:hAnsi="Times New Roman" w:cs="Times New Roman"/>
          <w:sz w:val="24"/>
          <w:szCs w:val="24"/>
        </w:rPr>
      </w:pPr>
    </w:p>
    <w:p w:rsidR="00A06D09" w:rsidRPr="003D0B57" w:rsidP="00234238" w14:paraId="6D65B4BA" w14:textId="142171C9">
      <w:pPr>
        <w:spacing w:after="0" w:line="240" w:lineRule="auto"/>
        <w:ind w:right="-20"/>
        <w:rPr>
          <w:rFonts w:ascii="Times New Roman" w:eastAsia="Times New Roman" w:hAnsi="Times New Roman" w:cs="Times New Roman"/>
          <w:sz w:val="24"/>
          <w:szCs w:val="24"/>
        </w:rPr>
      </w:pPr>
      <w:r w:rsidRPr="1A1C7303">
        <w:rPr>
          <w:rFonts w:ascii="Times New Roman" w:eastAsia="Times New Roman" w:hAnsi="Times New Roman" w:cs="Times New Roman"/>
          <w:sz w:val="24"/>
          <w:szCs w:val="24"/>
        </w:rPr>
        <w:t xml:space="preserve">The </w:t>
      </w:r>
      <w:r w:rsidRPr="1A1C7303" w:rsidR="000037E1">
        <w:rPr>
          <w:rFonts w:ascii="Times New Roman" w:eastAsia="Times New Roman" w:hAnsi="Times New Roman" w:cs="Times New Roman"/>
          <w:sz w:val="24"/>
          <w:szCs w:val="24"/>
        </w:rPr>
        <w:t>following sub</w:t>
      </w:r>
      <w:r w:rsidRPr="1A1C7303">
        <w:rPr>
          <w:rFonts w:ascii="Times New Roman" w:eastAsia="Times New Roman" w:hAnsi="Times New Roman" w:cs="Times New Roman"/>
          <w:sz w:val="24"/>
          <w:szCs w:val="24"/>
        </w:rPr>
        <w:t xml:space="preserve">sections outline the specific requirements </w:t>
      </w:r>
      <w:r w:rsidRPr="1A1C7303" w:rsidR="2AAA5282">
        <w:rPr>
          <w:rFonts w:ascii="Times New Roman" w:eastAsia="Times New Roman" w:hAnsi="Times New Roman" w:cs="Times New Roman"/>
          <w:sz w:val="24"/>
          <w:szCs w:val="24"/>
        </w:rPr>
        <w:t xml:space="preserve">for </w:t>
      </w:r>
      <w:r w:rsidRPr="1A1C7303">
        <w:rPr>
          <w:rFonts w:ascii="Times New Roman" w:eastAsia="Times New Roman" w:hAnsi="Times New Roman" w:cs="Times New Roman"/>
          <w:sz w:val="24"/>
          <w:szCs w:val="24"/>
        </w:rPr>
        <w:t xml:space="preserve">which </w:t>
      </w:r>
      <w:r w:rsidRPr="1A1C7303" w:rsidR="00B26021">
        <w:rPr>
          <w:rFonts w:ascii="Times New Roman" w:eastAsia="Times New Roman" w:hAnsi="Times New Roman" w:cs="Times New Roman"/>
          <w:sz w:val="24"/>
          <w:szCs w:val="24"/>
        </w:rPr>
        <w:t>HHS</w:t>
      </w:r>
      <w:r w:rsidRPr="1A1C7303">
        <w:rPr>
          <w:rFonts w:ascii="Times New Roman" w:eastAsia="Times New Roman" w:hAnsi="Times New Roman" w:cs="Times New Roman"/>
          <w:sz w:val="24"/>
          <w:szCs w:val="24"/>
        </w:rPr>
        <w:t xml:space="preserve"> expects information collections to occur.</w:t>
      </w:r>
    </w:p>
    <w:p w:rsidR="009B4066" w:rsidP="00234238" w14:paraId="46779A52" w14:textId="1D937CA1">
      <w:pPr>
        <w:spacing w:after="0" w:line="240" w:lineRule="auto"/>
        <w:ind w:right="-20"/>
        <w:rPr>
          <w:rFonts w:ascii="Times New Roman" w:eastAsia="Times New Roman" w:hAnsi="Times New Roman" w:cs="Times New Roman"/>
          <w:b/>
          <w:spacing w:val="1"/>
          <w:sz w:val="24"/>
          <w:szCs w:val="24"/>
        </w:rPr>
      </w:pPr>
      <w:bookmarkStart w:id="1" w:name="_Hlk147854327"/>
    </w:p>
    <w:p w:rsidR="00234238" w:rsidRPr="006A0910" w:rsidP="00234238" w14:paraId="5378418B" w14:textId="16318066">
      <w:pPr>
        <w:spacing w:after="0" w:line="240" w:lineRule="auto"/>
        <w:rPr>
          <w:rFonts w:ascii="Times New Roman" w:eastAsia="Times New Roman" w:hAnsi="Times New Roman" w:cs="Times New Roman"/>
          <w:sz w:val="24"/>
          <w:szCs w:val="24"/>
        </w:rPr>
      </w:pPr>
      <w:r w:rsidRPr="006A0910">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a</w:t>
      </w:r>
      <w:r w:rsidRPr="006A0910">
        <w:rPr>
          <w:rFonts w:ascii="Times New Roman" w:eastAsia="Times New Roman" w:hAnsi="Times New Roman" w:cs="Times New Roman"/>
          <w:b/>
          <w:sz w:val="24"/>
          <w:szCs w:val="24"/>
        </w:rPr>
        <w:t>.</w:t>
      </w:r>
      <w:r w:rsidRPr="00813A3B">
        <w:rPr>
          <w:rFonts w:ascii="Times New Roman" w:eastAsia="Times New Roman" w:hAnsi="Times New Roman" w:cs="Times New Roman"/>
          <w:b/>
          <w:sz w:val="24"/>
          <w:szCs w:val="24"/>
        </w:rPr>
        <w:t xml:space="preserve"> Web-broker </w:t>
      </w:r>
      <w:r w:rsidRPr="00DF5A71">
        <w:rPr>
          <w:rFonts w:ascii="Times New Roman" w:eastAsia="Times New Roman" w:hAnsi="Times New Roman" w:cs="Times New Roman"/>
          <w:b/>
          <w:sz w:val="24"/>
          <w:szCs w:val="24"/>
        </w:rPr>
        <w:t>Operational Readiness Review (ORR) Requirements (</w:t>
      </w:r>
      <w:bookmarkStart w:id="2" w:name="_Hlk147163075"/>
      <w:r w:rsidRPr="00DF5A71">
        <w:rPr>
          <w:rFonts w:ascii="Times New Roman" w:eastAsia="Times New Roman" w:hAnsi="Times New Roman" w:cs="Times New Roman"/>
          <w:b/>
          <w:sz w:val="24"/>
          <w:szCs w:val="24"/>
        </w:rPr>
        <w:t>45 C.F.R. §</w:t>
      </w:r>
      <w:r w:rsidRPr="006A0910">
        <w:rPr>
          <w:rFonts w:ascii="Times New Roman" w:eastAsia="Times New Roman" w:hAnsi="Times New Roman" w:cs="Times New Roman"/>
          <w:b/>
          <w:sz w:val="24"/>
          <w:szCs w:val="24"/>
        </w:rPr>
        <w:t>155.220</w:t>
      </w:r>
      <w:bookmarkStart w:id="3" w:name="_Hlk159951929"/>
      <w:r w:rsidRPr="006A0910">
        <w:rPr>
          <w:rFonts w:ascii="Times New Roman" w:eastAsia="Times New Roman" w:hAnsi="Times New Roman" w:cs="Times New Roman"/>
          <w:b/>
          <w:sz w:val="24"/>
          <w:szCs w:val="24"/>
        </w:rPr>
        <w:t>(c)(6</w:t>
      </w:r>
      <w:bookmarkEnd w:id="3"/>
      <w:r w:rsidRPr="006A0910">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bookmarkEnd w:id="2"/>
      <w:r>
        <w:rPr>
          <w:rFonts w:ascii="Times New Roman" w:eastAsia="Times New Roman" w:hAnsi="Times New Roman" w:cs="Times New Roman"/>
          <w:sz w:val="24"/>
          <w:szCs w:val="24"/>
        </w:rPr>
        <w:t xml:space="preserve">As finalized in the 2022 Payment Notice, §155.220(c)(6) requires that web-brokers demonstrate operational readiness and compliance with applicable requirements prior to their non-Exchange websites being used to complete an Exchange eligibility application or QHP </w:t>
      </w:r>
      <w:r>
        <w:rPr>
          <w:rFonts w:ascii="Times New Roman" w:eastAsia="Times New Roman" w:hAnsi="Times New Roman" w:cs="Times New Roman"/>
          <w:sz w:val="24"/>
          <w:szCs w:val="24"/>
        </w:rPr>
        <w:t>selection. The operational information, agreements, and security and privacy assessment documentation web-brokers are required to submit to demonstrate operational readiness and compliance with applicable requirements are described in subsections 1.a.i. and 1.a.ii. below.</w:t>
      </w:r>
    </w:p>
    <w:p w:rsidR="00234238" w:rsidRPr="001B5D40" w:rsidP="00234238" w14:paraId="47775BAB" w14:textId="77777777">
      <w:pPr>
        <w:spacing w:after="0" w:line="240" w:lineRule="auto"/>
        <w:rPr>
          <w:rFonts w:ascii="Times New Roman" w:eastAsia="Times New Roman" w:hAnsi="Times New Roman" w:cs="Times New Roman"/>
          <w:b/>
          <w:sz w:val="24"/>
          <w:szCs w:val="24"/>
        </w:rPr>
      </w:pPr>
    </w:p>
    <w:p w:rsidR="00234238" w:rsidP="00234238" w14:paraId="490497B9" w14:textId="03DFAEBB">
      <w:pPr>
        <w:spacing w:after="0" w:line="240" w:lineRule="auto"/>
        <w:ind w:left="720"/>
        <w:rPr>
          <w:rFonts w:ascii="Times New Roman" w:eastAsia="Times New Roman" w:hAnsi="Times New Roman" w:cs="Times New Roman"/>
          <w:sz w:val="24"/>
          <w:szCs w:val="24"/>
        </w:rPr>
      </w:pPr>
      <w:r w:rsidRPr="1A1C7303">
        <w:rPr>
          <w:rFonts w:ascii="Times New Roman" w:eastAsia="Times New Roman" w:hAnsi="Times New Roman" w:cs="Times New Roman"/>
          <w:b/>
          <w:bCs/>
          <w:sz w:val="24"/>
          <w:szCs w:val="24"/>
        </w:rPr>
        <w:t>1</w:t>
      </w:r>
      <w:r w:rsidRPr="1A1C7303">
        <w:rPr>
          <w:rFonts w:ascii="Times New Roman" w:eastAsia="Times New Roman" w:hAnsi="Times New Roman" w:cs="Times New Roman"/>
          <w:b/>
          <w:bCs/>
          <w:i/>
          <w:iCs/>
          <w:sz w:val="24"/>
          <w:szCs w:val="24"/>
        </w:rPr>
        <w:t>.</w:t>
      </w:r>
      <w:r>
        <w:rPr>
          <w:rFonts w:ascii="Times New Roman" w:eastAsia="Times New Roman" w:hAnsi="Times New Roman" w:cs="Times New Roman"/>
          <w:b/>
          <w:bCs/>
          <w:sz w:val="24"/>
          <w:szCs w:val="24"/>
        </w:rPr>
        <w:t>a</w:t>
      </w:r>
      <w:r w:rsidRPr="1A1C7303">
        <w:rPr>
          <w:rFonts w:ascii="Times New Roman" w:eastAsia="Times New Roman" w:hAnsi="Times New Roman" w:cs="Times New Roman"/>
          <w:b/>
          <w:bCs/>
          <w:sz w:val="24"/>
          <w:szCs w:val="24"/>
        </w:rPr>
        <w:t>.i. Web-broker ORR Operational Information and Agreements:</w:t>
      </w:r>
      <w:r w:rsidRPr="1A1C7303">
        <w:rPr>
          <w:rFonts w:ascii="Times New Roman" w:eastAsia="Times New Roman" w:hAnsi="Times New Roman" w:cs="Times New Roman"/>
          <w:sz w:val="24"/>
          <w:szCs w:val="24"/>
        </w:rPr>
        <w:t xml:space="preserve"> Sections 155.220(c)(6)(i) and (c)(6)(v) require web-brokers to submit the following operational information and agreements:</w:t>
      </w:r>
    </w:p>
    <w:p w:rsidR="00234238" w:rsidRPr="002B61A6" w:rsidP="00234238" w14:paraId="503D5D90" w14:textId="77777777">
      <w:pPr>
        <w:pStyle w:val="ListParagraph"/>
        <w:numPr>
          <w:ilvl w:val="1"/>
          <w:numId w:val="39"/>
        </w:numPr>
        <w:spacing w:after="0" w:line="240" w:lineRule="auto"/>
        <w:rPr>
          <w:rFonts w:ascii="Times New Roman" w:eastAsia="Times New Roman" w:hAnsi="Times New Roman" w:cs="Times New Roman"/>
          <w:sz w:val="24"/>
          <w:szCs w:val="24"/>
        </w:rPr>
      </w:pPr>
      <w:r w:rsidRPr="002B61A6">
        <w:rPr>
          <w:rFonts w:ascii="Times New Roman" w:eastAsia="Times New Roman" w:hAnsi="Times New Roman" w:cs="Times New Roman"/>
          <w:sz w:val="24"/>
          <w:szCs w:val="24"/>
        </w:rPr>
        <w:t>Operational data, collected through the Operational and Oversight Information Collection instrument, including:</w:t>
      </w:r>
    </w:p>
    <w:p w:rsidR="00234238" w:rsidRPr="002B61A6" w:rsidP="00234238" w14:paraId="5D3B307B" w14:textId="77777777">
      <w:pPr>
        <w:pStyle w:val="ListParagraph"/>
        <w:numPr>
          <w:ilvl w:val="2"/>
          <w:numId w:val="39"/>
        </w:numPr>
        <w:spacing w:after="0" w:line="240" w:lineRule="auto"/>
        <w:rPr>
          <w:rFonts w:ascii="Times New Roman" w:eastAsia="Times New Roman" w:hAnsi="Times New Roman" w:cs="Times New Roman"/>
          <w:sz w:val="24"/>
          <w:szCs w:val="24"/>
        </w:rPr>
      </w:pPr>
      <w:r w:rsidRPr="002B61A6">
        <w:rPr>
          <w:rFonts w:ascii="Times New Roman" w:eastAsia="Times New Roman" w:hAnsi="Times New Roman" w:cs="Times New Roman"/>
          <w:sz w:val="24"/>
          <w:szCs w:val="24"/>
        </w:rPr>
        <w:t xml:space="preserve">Licensure information, </w:t>
      </w:r>
    </w:p>
    <w:p w:rsidR="00234238" w:rsidRPr="002B61A6" w:rsidP="00234238" w14:paraId="42BFD05A" w14:textId="77777777">
      <w:pPr>
        <w:pStyle w:val="ListParagraph"/>
        <w:numPr>
          <w:ilvl w:val="2"/>
          <w:numId w:val="39"/>
        </w:numPr>
        <w:spacing w:after="0" w:line="240" w:lineRule="auto"/>
        <w:rPr>
          <w:rFonts w:ascii="Times New Roman" w:eastAsia="Times New Roman" w:hAnsi="Times New Roman" w:cs="Times New Roman"/>
          <w:sz w:val="24"/>
          <w:szCs w:val="24"/>
        </w:rPr>
      </w:pPr>
      <w:r w:rsidRPr="002B61A6">
        <w:rPr>
          <w:rFonts w:ascii="Times New Roman" w:eastAsia="Times New Roman" w:hAnsi="Times New Roman" w:cs="Times New Roman"/>
          <w:sz w:val="24"/>
          <w:szCs w:val="24"/>
        </w:rPr>
        <w:t xml:space="preserve">Points of contact, and </w:t>
      </w:r>
    </w:p>
    <w:p w:rsidR="00234238" w:rsidRPr="002B61A6" w:rsidP="00234238" w14:paraId="53A8D53A" w14:textId="77777777">
      <w:pPr>
        <w:pStyle w:val="ListParagraph"/>
        <w:numPr>
          <w:ilvl w:val="2"/>
          <w:numId w:val="39"/>
        </w:numPr>
        <w:spacing w:after="0" w:line="240" w:lineRule="auto"/>
        <w:rPr>
          <w:rFonts w:ascii="Times New Roman" w:eastAsia="Times New Roman" w:hAnsi="Times New Roman" w:cs="Times New Roman"/>
          <w:sz w:val="24"/>
          <w:szCs w:val="24"/>
        </w:rPr>
      </w:pPr>
      <w:r w:rsidRPr="002B61A6">
        <w:rPr>
          <w:rFonts w:ascii="Times New Roman" w:eastAsia="Times New Roman" w:hAnsi="Times New Roman" w:cs="Times New Roman"/>
          <w:sz w:val="24"/>
          <w:szCs w:val="24"/>
        </w:rPr>
        <w:t xml:space="preserve">Third-party relationships; and </w:t>
      </w:r>
    </w:p>
    <w:p w:rsidR="00234238" w:rsidRPr="002B61A6" w:rsidP="00234238" w14:paraId="0F08E552" w14:textId="7D63C7F7">
      <w:pPr>
        <w:pStyle w:val="ListParagraph"/>
        <w:numPr>
          <w:ilvl w:val="1"/>
          <w:numId w:val="39"/>
        </w:numPr>
        <w:spacing w:after="0" w:line="240" w:lineRule="auto"/>
        <w:rPr>
          <w:rFonts w:ascii="Times New Roman" w:eastAsia="Times New Roman" w:hAnsi="Times New Roman" w:cs="Times New Roman"/>
          <w:sz w:val="24"/>
          <w:szCs w:val="24"/>
        </w:rPr>
      </w:pPr>
      <w:r w:rsidRPr="002B61A6">
        <w:rPr>
          <w:rFonts w:ascii="Times New Roman" w:eastAsia="Times New Roman" w:hAnsi="Times New Roman" w:cs="Times New Roman"/>
          <w:sz w:val="24"/>
          <w:szCs w:val="24"/>
        </w:rPr>
        <w:t>The Web-broker Agreement instrument</w:t>
      </w:r>
      <w:r w:rsidR="0011265C">
        <w:rPr>
          <w:rFonts w:ascii="Times New Roman" w:eastAsia="Times New Roman" w:hAnsi="Times New Roman" w:cs="Times New Roman"/>
          <w:sz w:val="24"/>
          <w:szCs w:val="24"/>
        </w:rPr>
        <w:t xml:space="preserve"> (see Appendix A)</w:t>
      </w:r>
      <w:r w:rsidRPr="002B61A6">
        <w:rPr>
          <w:rFonts w:ascii="Times New Roman" w:eastAsia="Times New Roman" w:hAnsi="Times New Roman" w:cs="Times New Roman"/>
          <w:sz w:val="24"/>
          <w:szCs w:val="24"/>
        </w:rPr>
        <w:t>.</w:t>
      </w:r>
    </w:p>
    <w:p w:rsidR="00234238" w:rsidP="00234238" w14:paraId="635226B2" w14:textId="77777777">
      <w:pPr>
        <w:spacing w:after="0" w:line="240" w:lineRule="auto"/>
        <w:ind w:left="520"/>
        <w:rPr>
          <w:rFonts w:ascii="Times New Roman" w:eastAsia="Times New Roman" w:hAnsi="Times New Roman" w:cs="Times New Roman"/>
          <w:sz w:val="24"/>
          <w:szCs w:val="24"/>
        </w:rPr>
      </w:pPr>
    </w:p>
    <w:p w:rsidR="00234238" w:rsidP="00234238" w14:paraId="61A3656F" w14:textId="1D0C5812">
      <w:pPr>
        <w:spacing w:after="0" w:line="240" w:lineRule="auto"/>
        <w:ind w:left="720"/>
        <w:rPr>
          <w:rFonts w:ascii="Times New Roman" w:eastAsia="Times New Roman" w:hAnsi="Times New Roman" w:cs="Times New Roman"/>
          <w:sz w:val="24"/>
          <w:szCs w:val="24"/>
        </w:rPr>
      </w:pPr>
      <w:r w:rsidRPr="1A1C7303">
        <w:rPr>
          <w:rFonts w:ascii="Times New Roman" w:eastAsia="Times New Roman" w:hAnsi="Times New Roman" w:cs="Times New Roman"/>
          <w:b/>
          <w:bCs/>
          <w:sz w:val="24"/>
          <w:szCs w:val="24"/>
        </w:rPr>
        <w:t>1</w:t>
      </w:r>
      <w:r w:rsidRPr="1A1C7303">
        <w:rPr>
          <w:rFonts w:ascii="Times New Roman" w:eastAsia="Times New Roman" w:hAnsi="Times New Roman" w:cs="Times New Roman"/>
          <w:b/>
          <w:bCs/>
          <w:i/>
          <w:iCs/>
          <w:sz w:val="24"/>
          <w:szCs w:val="24"/>
        </w:rPr>
        <w:t>.</w:t>
      </w:r>
      <w:r>
        <w:rPr>
          <w:rFonts w:ascii="Times New Roman" w:eastAsia="Times New Roman" w:hAnsi="Times New Roman" w:cs="Times New Roman"/>
          <w:b/>
          <w:bCs/>
          <w:sz w:val="24"/>
          <w:szCs w:val="24"/>
        </w:rPr>
        <w:t>a</w:t>
      </w:r>
      <w:r w:rsidRPr="1A1C7303">
        <w:rPr>
          <w:rFonts w:ascii="Times New Roman" w:eastAsia="Times New Roman" w:hAnsi="Times New Roman" w:cs="Times New Roman"/>
          <w:b/>
          <w:bCs/>
          <w:sz w:val="24"/>
          <w:szCs w:val="24"/>
        </w:rPr>
        <w:t>.ii. Web-broker ORR Security and Privacy Assessment Documentation:</w:t>
      </w:r>
      <w:r w:rsidRPr="1A1C7303">
        <w:rPr>
          <w:rFonts w:ascii="Times New Roman" w:eastAsia="Times New Roman" w:hAnsi="Times New Roman" w:cs="Times New Roman"/>
          <w:sz w:val="24"/>
          <w:szCs w:val="24"/>
        </w:rPr>
        <w:t xml:space="preserve"> Section 155.220(c)(6)(iv) requires web-brokers to submit the following security and privacy assessment documentation:</w:t>
      </w:r>
    </w:p>
    <w:p w:rsidR="00234238" w:rsidRPr="002B61A6" w:rsidP="00234238" w14:paraId="54774D4E" w14:textId="77777777">
      <w:pPr>
        <w:pStyle w:val="ListParagraph"/>
        <w:numPr>
          <w:ilvl w:val="0"/>
          <w:numId w:val="37"/>
        </w:numPr>
        <w:spacing w:after="0" w:line="240" w:lineRule="auto"/>
        <w:rPr>
          <w:rFonts w:ascii="Times New Roman" w:eastAsia="Times New Roman" w:hAnsi="Times New Roman" w:cs="Times New Roman"/>
          <w:sz w:val="24"/>
          <w:szCs w:val="24"/>
        </w:rPr>
      </w:pPr>
      <w:r w:rsidRPr="002B61A6">
        <w:rPr>
          <w:rFonts w:ascii="Times New Roman" w:eastAsia="Times New Roman" w:hAnsi="Times New Roman" w:cs="Times New Roman"/>
          <w:sz w:val="24"/>
          <w:szCs w:val="24"/>
        </w:rPr>
        <w:t xml:space="preserve">Vulnerability scan results, </w:t>
      </w:r>
    </w:p>
    <w:p w:rsidR="00234238" w:rsidRPr="002B61A6" w:rsidP="00234238" w14:paraId="7FDD9E72" w14:textId="77777777">
      <w:pPr>
        <w:pStyle w:val="ListParagraph"/>
        <w:numPr>
          <w:ilvl w:val="0"/>
          <w:numId w:val="37"/>
        </w:numPr>
        <w:spacing w:after="0" w:line="240" w:lineRule="auto"/>
        <w:rPr>
          <w:rFonts w:ascii="Times New Roman" w:eastAsia="Times New Roman" w:hAnsi="Times New Roman" w:cs="Times New Roman"/>
          <w:sz w:val="24"/>
          <w:szCs w:val="24"/>
        </w:rPr>
      </w:pPr>
      <w:r w:rsidRPr="002B61A6">
        <w:rPr>
          <w:rFonts w:ascii="Times New Roman" w:eastAsia="Times New Roman" w:hAnsi="Times New Roman" w:cs="Times New Roman"/>
          <w:sz w:val="24"/>
          <w:szCs w:val="24"/>
        </w:rPr>
        <w:t xml:space="preserve">Penetration testing results, </w:t>
      </w:r>
    </w:p>
    <w:p w:rsidR="00234238" w:rsidRPr="002B61A6" w:rsidP="00234238" w14:paraId="741477F1" w14:textId="4D9634B8">
      <w:pPr>
        <w:pStyle w:val="ListParagraph"/>
        <w:numPr>
          <w:ilvl w:val="0"/>
          <w:numId w:val="37"/>
        </w:numPr>
        <w:spacing w:after="0" w:line="240" w:lineRule="auto"/>
        <w:rPr>
          <w:rFonts w:ascii="Times New Roman" w:eastAsia="Times New Roman" w:hAnsi="Times New Roman" w:cs="Times New Roman"/>
          <w:sz w:val="24"/>
          <w:szCs w:val="24"/>
        </w:rPr>
      </w:pPr>
      <w:r w:rsidRPr="002B61A6">
        <w:rPr>
          <w:rFonts w:ascii="Times New Roman" w:eastAsia="Times New Roman" w:hAnsi="Times New Roman" w:cs="Times New Roman"/>
          <w:sz w:val="24"/>
          <w:szCs w:val="24"/>
        </w:rPr>
        <w:t>The Security and Privacy Assessment Reports (SARs) template instrument</w:t>
      </w:r>
      <w:r w:rsidR="0011265C">
        <w:rPr>
          <w:rFonts w:ascii="Times New Roman" w:eastAsia="Times New Roman" w:hAnsi="Times New Roman" w:cs="Times New Roman"/>
          <w:sz w:val="24"/>
          <w:szCs w:val="24"/>
        </w:rPr>
        <w:t xml:space="preserve"> (see Appendix B)</w:t>
      </w:r>
      <w:r w:rsidRPr="002B61A6">
        <w:rPr>
          <w:rFonts w:ascii="Times New Roman" w:eastAsia="Times New Roman" w:hAnsi="Times New Roman" w:cs="Times New Roman"/>
          <w:sz w:val="24"/>
          <w:szCs w:val="24"/>
        </w:rPr>
        <w:t xml:space="preserve">, </w:t>
      </w:r>
    </w:p>
    <w:p w:rsidR="00234238" w:rsidRPr="002B61A6" w:rsidP="00234238" w14:paraId="504A548E" w14:textId="5F81979B">
      <w:pPr>
        <w:pStyle w:val="ListParagraph"/>
        <w:numPr>
          <w:ilvl w:val="0"/>
          <w:numId w:val="37"/>
        </w:numPr>
        <w:spacing w:after="0" w:line="240" w:lineRule="auto"/>
        <w:rPr>
          <w:rFonts w:ascii="Times New Roman" w:eastAsia="Times New Roman" w:hAnsi="Times New Roman" w:cs="Times New Roman"/>
          <w:sz w:val="24"/>
          <w:szCs w:val="24"/>
        </w:rPr>
      </w:pPr>
      <w:r w:rsidRPr="002B61A6">
        <w:rPr>
          <w:rFonts w:ascii="Times New Roman" w:eastAsia="Times New Roman" w:hAnsi="Times New Roman" w:cs="Times New Roman"/>
          <w:sz w:val="24"/>
          <w:szCs w:val="24"/>
        </w:rPr>
        <w:t>Plans of Action and Milestones (POA&amp;Ms) template instrument</w:t>
      </w:r>
      <w:r w:rsidR="0011265C">
        <w:rPr>
          <w:rFonts w:ascii="Times New Roman" w:eastAsia="Times New Roman" w:hAnsi="Times New Roman" w:cs="Times New Roman"/>
          <w:sz w:val="24"/>
          <w:szCs w:val="24"/>
        </w:rPr>
        <w:t xml:space="preserve"> (see Appendix C)</w:t>
      </w:r>
      <w:r w:rsidRPr="002B61A6">
        <w:rPr>
          <w:rFonts w:ascii="Times New Roman" w:eastAsia="Times New Roman" w:hAnsi="Times New Roman" w:cs="Times New Roman"/>
          <w:sz w:val="24"/>
          <w:szCs w:val="24"/>
        </w:rPr>
        <w:t xml:space="preserve">, and </w:t>
      </w:r>
    </w:p>
    <w:p w:rsidR="00234238" w:rsidRPr="002B61A6" w:rsidP="00234238" w14:paraId="4E9ABD1A" w14:textId="47DC8888">
      <w:pPr>
        <w:pStyle w:val="ListParagraph"/>
        <w:numPr>
          <w:ilvl w:val="0"/>
          <w:numId w:val="37"/>
        </w:numPr>
        <w:spacing w:after="0" w:line="240" w:lineRule="auto"/>
        <w:rPr>
          <w:rFonts w:ascii="Times New Roman" w:eastAsia="Times New Roman" w:hAnsi="Times New Roman" w:cs="Times New Roman"/>
          <w:sz w:val="24"/>
          <w:szCs w:val="24"/>
        </w:rPr>
      </w:pPr>
      <w:r w:rsidRPr="002B61A6">
        <w:rPr>
          <w:rFonts w:ascii="Times New Roman" w:eastAsia="Times New Roman" w:hAnsi="Times New Roman" w:cs="Times New Roman"/>
          <w:sz w:val="24"/>
          <w:szCs w:val="24"/>
        </w:rPr>
        <w:t>System Security and Privacy Plans (SSPs) workbook instrument</w:t>
      </w:r>
      <w:r w:rsidR="003B3619">
        <w:rPr>
          <w:rFonts w:ascii="Times New Roman" w:eastAsia="Times New Roman" w:hAnsi="Times New Roman" w:cs="Times New Roman"/>
          <w:sz w:val="24"/>
          <w:szCs w:val="24"/>
        </w:rPr>
        <w:t xml:space="preserve"> (see Appendix D)</w:t>
      </w:r>
      <w:r w:rsidRPr="002B61A6">
        <w:rPr>
          <w:rFonts w:ascii="Times New Roman" w:eastAsia="Times New Roman" w:hAnsi="Times New Roman" w:cs="Times New Roman"/>
          <w:sz w:val="24"/>
          <w:szCs w:val="24"/>
        </w:rPr>
        <w:t>.</w:t>
      </w:r>
    </w:p>
    <w:p w:rsidR="00234238" w:rsidP="00234238" w14:paraId="21556F68" w14:textId="77777777">
      <w:pPr>
        <w:pStyle w:val="ListParagraph"/>
        <w:spacing w:after="0" w:line="240" w:lineRule="auto"/>
        <w:rPr>
          <w:rFonts w:ascii="Times New Roman" w:eastAsia="Times New Roman" w:hAnsi="Times New Roman" w:cs="Times New Roman"/>
          <w:sz w:val="24"/>
          <w:szCs w:val="24"/>
        </w:rPr>
      </w:pPr>
    </w:p>
    <w:p w:rsidR="00234238" w:rsidRPr="006A0910" w:rsidP="00234238" w14:paraId="659F9DE7" w14:textId="20650E9E">
      <w:pPr>
        <w:spacing w:after="0" w:line="240" w:lineRule="auto"/>
        <w:rPr>
          <w:rFonts w:ascii="Times New Roman" w:eastAsia="Times New Roman" w:hAnsi="Times New Roman" w:cs="Times New Roman"/>
          <w:sz w:val="24"/>
          <w:szCs w:val="24"/>
        </w:rPr>
      </w:pPr>
      <w:r w:rsidRPr="00813A3B">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b</w:t>
      </w:r>
      <w:r w:rsidRPr="00813A3B">
        <w:rPr>
          <w:rFonts w:ascii="Times New Roman" w:eastAsia="Times New Roman" w:hAnsi="Times New Roman" w:cs="Times New Roman"/>
          <w:b/>
          <w:sz w:val="24"/>
          <w:szCs w:val="24"/>
        </w:rPr>
        <w:t>.</w:t>
      </w:r>
      <w:r w:rsidRPr="00DF5A71">
        <w:rPr>
          <w:rFonts w:ascii="Times New Roman" w:eastAsia="Times New Roman" w:hAnsi="Times New Roman" w:cs="Times New Roman"/>
          <w:b/>
          <w:sz w:val="24"/>
          <w:szCs w:val="24"/>
        </w:rPr>
        <w:t xml:space="preserve"> </w:t>
      </w:r>
      <w:r w:rsidRPr="006A0910">
        <w:rPr>
          <w:rFonts w:ascii="Times New Roman" w:eastAsia="Times New Roman" w:hAnsi="Times New Roman" w:cs="Times New Roman"/>
          <w:b/>
          <w:sz w:val="24"/>
          <w:szCs w:val="24"/>
        </w:rPr>
        <w:t>DE Entity ORR Requirements (</w:t>
      </w:r>
      <w:bookmarkStart w:id="4" w:name="_Hlk147163121"/>
      <w:r w:rsidRPr="006A0910">
        <w:rPr>
          <w:rFonts w:ascii="Times New Roman" w:eastAsia="Times New Roman" w:hAnsi="Times New Roman" w:cs="Times New Roman"/>
          <w:b/>
          <w:sz w:val="24"/>
          <w:szCs w:val="24"/>
        </w:rPr>
        <w:t>45 C.F.R. §155.221(b)(4)):</w:t>
      </w:r>
      <w:r>
        <w:rPr>
          <w:rFonts w:ascii="Times New Roman" w:eastAsia="Times New Roman" w:hAnsi="Times New Roman" w:cs="Times New Roman"/>
          <w:sz w:val="24"/>
          <w:szCs w:val="24"/>
        </w:rPr>
        <w:t xml:space="preserve"> </w:t>
      </w:r>
      <w:bookmarkEnd w:id="4"/>
      <w:r>
        <w:rPr>
          <w:rFonts w:ascii="Times New Roman" w:eastAsia="Times New Roman" w:hAnsi="Times New Roman" w:cs="Times New Roman"/>
          <w:sz w:val="24"/>
          <w:szCs w:val="24"/>
        </w:rPr>
        <w:t xml:space="preserve">As finalized in the 2022 Payment Notice, </w:t>
      </w:r>
      <w:r w:rsidRPr="006A0910">
        <w:rPr>
          <w:rFonts w:ascii="Times New Roman" w:eastAsia="Times New Roman" w:hAnsi="Times New Roman" w:cs="Times New Roman"/>
          <w:sz w:val="24"/>
          <w:szCs w:val="24"/>
        </w:rPr>
        <w:t>§155.221(b)(4) require</w:t>
      </w:r>
      <w:r>
        <w:rPr>
          <w:rFonts w:ascii="Times New Roman" w:eastAsia="Times New Roman" w:hAnsi="Times New Roman" w:cs="Times New Roman"/>
          <w:sz w:val="24"/>
          <w:szCs w:val="24"/>
        </w:rPr>
        <w:t>s</w:t>
      </w:r>
      <w:r w:rsidRPr="006A0910">
        <w:rPr>
          <w:rFonts w:ascii="Times New Roman" w:eastAsia="Times New Roman" w:hAnsi="Times New Roman" w:cs="Times New Roman"/>
          <w:sz w:val="24"/>
          <w:szCs w:val="24"/>
        </w:rPr>
        <w:t xml:space="preserve"> that DE Entities demonstrate operational readiness and compliance with applicable requirements prior to the DE Entity’s website being used to complete an Exchange eligibility application or a QHP selection. The documentation DE Entities </w:t>
      </w:r>
      <w:r>
        <w:rPr>
          <w:rFonts w:ascii="Times New Roman" w:eastAsia="Times New Roman" w:hAnsi="Times New Roman" w:cs="Times New Roman"/>
          <w:sz w:val="24"/>
          <w:szCs w:val="24"/>
        </w:rPr>
        <w:t>are</w:t>
      </w:r>
      <w:r w:rsidRPr="006A0910">
        <w:rPr>
          <w:rFonts w:ascii="Times New Roman" w:eastAsia="Times New Roman" w:hAnsi="Times New Roman" w:cs="Times New Roman"/>
          <w:sz w:val="24"/>
          <w:szCs w:val="24"/>
        </w:rPr>
        <w:t xml:space="preserve"> required to submit to demonstrate operational readiness and compliance with applicable requirements include</w:t>
      </w:r>
      <w:r>
        <w:rPr>
          <w:rFonts w:ascii="Times New Roman" w:eastAsia="Times New Roman" w:hAnsi="Times New Roman" w:cs="Times New Roman"/>
          <w:sz w:val="24"/>
          <w:szCs w:val="24"/>
        </w:rPr>
        <w:t>s</w:t>
      </w:r>
      <w:r w:rsidRPr="006A0910">
        <w:rPr>
          <w:rFonts w:ascii="Times New Roman" w:eastAsia="Times New Roman" w:hAnsi="Times New Roman" w:cs="Times New Roman"/>
          <w:sz w:val="24"/>
          <w:szCs w:val="24"/>
        </w:rPr>
        <w:t xml:space="preserve"> business audit documentation, agreements, and security and privacy audit documentation as described in subsections 1.</w:t>
      </w:r>
      <w:r>
        <w:rPr>
          <w:rFonts w:ascii="Times New Roman" w:eastAsia="Times New Roman" w:hAnsi="Times New Roman" w:cs="Times New Roman"/>
          <w:sz w:val="24"/>
          <w:szCs w:val="24"/>
        </w:rPr>
        <w:t>b</w:t>
      </w:r>
      <w:r w:rsidRPr="006A0910">
        <w:rPr>
          <w:rFonts w:ascii="Times New Roman" w:eastAsia="Times New Roman" w:hAnsi="Times New Roman" w:cs="Times New Roman"/>
          <w:sz w:val="24"/>
          <w:szCs w:val="24"/>
        </w:rPr>
        <w:t>.i. and 1.</w:t>
      </w:r>
      <w:r>
        <w:rPr>
          <w:rFonts w:ascii="Times New Roman" w:eastAsia="Times New Roman" w:hAnsi="Times New Roman" w:cs="Times New Roman"/>
          <w:sz w:val="24"/>
          <w:szCs w:val="24"/>
        </w:rPr>
        <w:t>b</w:t>
      </w:r>
      <w:r w:rsidRPr="006A0910">
        <w:rPr>
          <w:rFonts w:ascii="Times New Roman" w:eastAsia="Times New Roman" w:hAnsi="Times New Roman" w:cs="Times New Roman"/>
          <w:sz w:val="24"/>
          <w:szCs w:val="24"/>
        </w:rPr>
        <w:t xml:space="preserve">.ii. below. Consistent with the description in the Collection of Information Requirements section of the 2022 Payment Notice, while §155.221(b)(4) is applicable to all DE Entities, only DE Entities participating in the Enhanced Direct Enrollment (EDE) program </w:t>
      </w:r>
      <w:r>
        <w:rPr>
          <w:rFonts w:ascii="Times New Roman" w:eastAsia="Times New Roman" w:hAnsi="Times New Roman" w:cs="Times New Roman"/>
          <w:sz w:val="24"/>
          <w:szCs w:val="24"/>
        </w:rPr>
        <w:t>are</w:t>
      </w:r>
      <w:r w:rsidRPr="006A0910">
        <w:rPr>
          <w:rFonts w:ascii="Times New Roman" w:eastAsia="Times New Roman" w:hAnsi="Times New Roman" w:cs="Times New Roman"/>
          <w:sz w:val="24"/>
          <w:szCs w:val="24"/>
        </w:rPr>
        <w:t xml:space="preserve"> subject to this information collection.   </w:t>
      </w:r>
    </w:p>
    <w:p w:rsidR="00234238" w:rsidRPr="003D0B57" w:rsidP="00234238" w14:paraId="37799ECE" w14:textId="77777777">
      <w:pPr>
        <w:spacing w:after="0" w:line="240" w:lineRule="auto"/>
        <w:rPr>
          <w:rFonts w:ascii="Times New Roman" w:hAnsi="Times New Roman" w:cs="Times New Roman"/>
          <w:b/>
          <w:sz w:val="24"/>
          <w:szCs w:val="24"/>
        </w:rPr>
      </w:pPr>
    </w:p>
    <w:p w:rsidR="00234238" w:rsidP="00234238" w14:paraId="4FCE104A" w14:textId="4AEF9978">
      <w:pPr>
        <w:spacing w:after="0" w:line="246" w:lineRule="auto"/>
        <w:ind w:left="720"/>
        <w:rPr>
          <w:rFonts w:ascii="Times New Roman" w:eastAsia="Times New Roman" w:hAnsi="Times New Roman" w:cs="Times New Roman"/>
          <w:spacing w:val="1"/>
          <w:sz w:val="24"/>
          <w:szCs w:val="24"/>
        </w:rPr>
      </w:pPr>
      <w:r w:rsidRPr="004643AC">
        <w:rPr>
          <w:rFonts w:ascii="Times New Roman" w:eastAsia="Times New Roman" w:hAnsi="Times New Roman" w:cs="Times New Roman"/>
          <w:b/>
          <w:spacing w:val="1"/>
          <w:sz w:val="24"/>
          <w:szCs w:val="24"/>
        </w:rPr>
        <w:t>1.</w:t>
      </w:r>
      <w:r>
        <w:rPr>
          <w:rFonts w:ascii="Times New Roman" w:eastAsia="Times New Roman" w:hAnsi="Times New Roman" w:cs="Times New Roman"/>
          <w:b/>
          <w:spacing w:val="1"/>
          <w:sz w:val="24"/>
          <w:szCs w:val="24"/>
        </w:rPr>
        <w:t xml:space="preserve">b.i. </w:t>
      </w:r>
      <w:r w:rsidRPr="004643AC">
        <w:rPr>
          <w:rFonts w:ascii="Times New Roman" w:eastAsia="Times New Roman" w:hAnsi="Times New Roman" w:cs="Times New Roman"/>
          <w:b/>
          <w:spacing w:val="1"/>
          <w:sz w:val="24"/>
          <w:szCs w:val="24"/>
        </w:rPr>
        <w:t>DE Entity Business Audit Documentation</w:t>
      </w:r>
      <w:r>
        <w:rPr>
          <w:rFonts w:ascii="Times New Roman" w:eastAsia="Times New Roman" w:hAnsi="Times New Roman" w:cs="Times New Roman"/>
          <w:b/>
          <w:spacing w:val="1"/>
          <w:sz w:val="24"/>
          <w:szCs w:val="24"/>
        </w:rPr>
        <w:t xml:space="preserve"> and Agreements</w:t>
      </w:r>
      <w:r w:rsidRPr="004643AC">
        <w:rPr>
          <w:rFonts w:ascii="Times New Roman" w:eastAsia="Times New Roman" w:hAnsi="Times New Roman" w:cs="Times New Roman"/>
          <w:b/>
          <w:spacing w:val="1"/>
          <w:sz w:val="24"/>
          <w:szCs w:val="24"/>
        </w:rPr>
        <w:t>:</w:t>
      </w:r>
      <w:r w:rsidRPr="00A40C22">
        <w:rPr>
          <w:rFonts w:ascii="Times New Roman" w:eastAsia="Times New Roman" w:hAnsi="Times New Roman" w:cs="Times New Roman"/>
          <w:b/>
          <w:spacing w:val="1"/>
          <w:sz w:val="24"/>
          <w:szCs w:val="24"/>
        </w:rPr>
        <w:t xml:space="preserve"> </w:t>
      </w:r>
      <w:r>
        <w:rPr>
          <w:rFonts w:ascii="Times New Roman" w:eastAsia="Times New Roman" w:hAnsi="Times New Roman" w:cs="Times New Roman"/>
          <w:bCs/>
          <w:spacing w:val="1"/>
          <w:sz w:val="24"/>
          <w:szCs w:val="24"/>
        </w:rPr>
        <w:t xml:space="preserve">Sections </w:t>
      </w:r>
      <w:r>
        <w:rPr>
          <w:rFonts w:ascii="Times New Roman" w:eastAsia="Times New Roman" w:hAnsi="Times New Roman" w:cs="Times New Roman"/>
          <w:spacing w:val="1"/>
          <w:sz w:val="24"/>
          <w:szCs w:val="24"/>
        </w:rPr>
        <w:t>155.221(b)(4)(i) and (b)(4)(v) require DE Entities to submit the following business audit documentation:</w:t>
      </w:r>
    </w:p>
    <w:p w:rsidR="00234238" w:rsidP="00234238" w14:paraId="2F53BD5A" w14:textId="77777777">
      <w:pPr>
        <w:pStyle w:val="ListParagraph"/>
        <w:numPr>
          <w:ilvl w:val="0"/>
          <w:numId w:val="10"/>
        </w:numPr>
        <w:spacing w:after="0" w:line="246" w:lineRule="auto"/>
        <w:ind w:left="1440"/>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Notices of intent to participate, including auditor information,</w:t>
      </w:r>
    </w:p>
    <w:p w:rsidR="00234238" w:rsidP="00234238" w14:paraId="3A93F0B3" w14:textId="40A8F366">
      <w:pPr>
        <w:pStyle w:val="ListParagraph"/>
        <w:numPr>
          <w:ilvl w:val="0"/>
          <w:numId w:val="10"/>
        </w:numPr>
        <w:spacing w:after="0" w:line="246" w:lineRule="auto"/>
        <w:ind w:left="1440"/>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Documentation packages</w:t>
      </w:r>
      <w:r w:rsidR="0011265C">
        <w:rPr>
          <w:rFonts w:ascii="Times New Roman" w:eastAsia="Times New Roman" w:hAnsi="Times New Roman" w:cs="Times New Roman"/>
          <w:spacing w:val="1"/>
          <w:sz w:val="24"/>
          <w:szCs w:val="24"/>
        </w:rPr>
        <w:t xml:space="preserve"> (see Appendix </w:t>
      </w:r>
      <w:r w:rsidR="003B3619">
        <w:rPr>
          <w:rFonts w:ascii="Times New Roman" w:eastAsia="Times New Roman" w:hAnsi="Times New Roman" w:cs="Times New Roman"/>
          <w:spacing w:val="1"/>
          <w:sz w:val="24"/>
          <w:szCs w:val="24"/>
        </w:rPr>
        <w:t>E</w:t>
      </w:r>
      <w:r w:rsidR="0011265C">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 xml:space="preserve"> including:</w:t>
      </w:r>
    </w:p>
    <w:p w:rsidR="00234238" w:rsidP="00234238" w14:paraId="5885D60C" w14:textId="1B514274">
      <w:pPr>
        <w:pStyle w:val="ListParagraph"/>
        <w:numPr>
          <w:ilvl w:val="1"/>
          <w:numId w:val="10"/>
        </w:numPr>
        <w:spacing w:after="0" w:line="246" w:lineRule="auto"/>
        <w:ind w:left="2160"/>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The Privacy Questionnaire instrument</w:t>
      </w:r>
      <w:r w:rsidR="0011265C">
        <w:rPr>
          <w:rFonts w:ascii="Times New Roman" w:eastAsia="Times New Roman" w:hAnsi="Times New Roman" w:cs="Times New Roman"/>
          <w:spacing w:val="1"/>
          <w:sz w:val="24"/>
          <w:szCs w:val="24"/>
        </w:rPr>
        <w:t xml:space="preserve"> (see Appendix </w:t>
      </w:r>
      <w:r w:rsidR="003B3619">
        <w:rPr>
          <w:rFonts w:ascii="Times New Roman" w:eastAsia="Times New Roman" w:hAnsi="Times New Roman" w:cs="Times New Roman"/>
          <w:spacing w:val="1"/>
          <w:sz w:val="24"/>
          <w:szCs w:val="24"/>
        </w:rPr>
        <w:t>F</w:t>
      </w:r>
      <w:r w:rsidR="0011265C">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w:t>
      </w:r>
    </w:p>
    <w:p w:rsidR="00234238" w:rsidP="00234238" w14:paraId="21716E17" w14:textId="77777777">
      <w:pPr>
        <w:pStyle w:val="ListParagraph"/>
        <w:numPr>
          <w:ilvl w:val="1"/>
          <w:numId w:val="10"/>
        </w:numPr>
        <w:spacing w:after="0" w:line="246" w:lineRule="auto"/>
        <w:ind w:left="2160"/>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Privacy policy statements, and</w:t>
      </w:r>
    </w:p>
    <w:p w:rsidR="00234238" w:rsidRPr="005A67C1" w:rsidP="00234238" w14:paraId="17993922" w14:textId="77777777">
      <w:pPr>
        <w:pStyle w:val="ListParagraph"/>
        <w:numPr>
          <w:ilvl w:val="1"/>
          <w:numId w:val="10"/>
        </w:numPr>
        <w:spacing w:after="0" w:line="246" w:lineRule="auto"/>
        <w:ind w:left="2160"/>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T</w:t>
      </w:r>
      <w:r w:rsidRPr="005A67C1">
        <w:rPr>
          <w:rFonts w:ascii="Times New Roman" w:eastAsia="Times New Roman" w:hAnsi="Times New Roman" w:cs="Times New Roman"/>
          <w:spacing w:val="1"/>
          <w:sz w:val="24"/>
          <w:szCs w:val="24"/>
        </w:rPr>
        <w:t xml:space="preserve">erms of </w:t>
      </w:r>
      <w:r>
        <w:rPr>
          <w:rFonts w:ascii="Times New Roman" w:eastAsia="Times New Roman" w:hAnsi="Times New Roman" w:cs="Times New Roman"/>
          <w:spacing w:val="1"/>
          <w:sz w:val="24"/>
          <w:szCs w:val="24"/>
        </w:rPr>
        <w:t>s</w:t>
      </w:r>
      <w:r w:rsidRPr="005A67C1">
        <w:rPr>
          <w:rFonts w:ascii="Times New Roman" w:eastAsia="Times New Roman" w:hAnsi="Times New Roman" w:cs="Times New Roman"/>
          <w:spacing w:val="1"/>
          <w:sz w:val="24"/>
          <w:szCs w:val="24"/>
        </w:rPr>
        <w:t>ervice</w:t>
      </w:r>
      <w:r>
        <w:rPr>
          <w:rFonts w:ascii="Times New Roman" w:eastAsia="Times New Roman" w:hAnsi="Times New Roman" w:cs="Times New Roman"/>
          <w:spacing w:val="1"/>
          <w:sz w:val="24"/>
          <w:szCs w:val="24"/>
        </w:rPr>
        <w:t>.</w:t>
      </w:r>
    </w:p>
    <w:p w:rsidR="00234238" w:rsidP="007F68B7" w14:paraId="6C31797B" w14:textId="77777777">
      <w:pPr>
        <w:pStyle w:val="ListParagraph"/>
        <w:numPr>
          <w:ilvl w:val="0"/>
          <w:numId w:val="10"/>
        </w:numPr>
        <w:tabs>
          <w:tab w:val="left" w:pos="3510"/>
        </w:tabs>
        <w:spacing w:after="0" w:line="246" w:lineRule="auto"/>
        <w:ind w:left="1440"/>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Business audit reports including: </w:t>
      </w:r>
    </w:p>
    <w:p w:rsidR="003C2B23" w:rsidP="003C2B23" w14:paraId="08EA654A" w14:textId="77777777">
      <w:pPr>
        <w:pStyle w:val="ListParagraph"/>
        <w:tabs>
          <w:tab w:val="left" w:pos="3510"/>
        </w:tabs>
        <w:spacing w:after="0" w:line="246" w:lineRule="auto"/>
        <w:ind w:left="1440"/>
        <w:rPr>
          <w:rFonts w:ascii="Times New Roman" w:eastAsia="Times New Roman" w:hAnsi="Times New Roman" w:cs="Times New Roman"/>
          <w:spacing w:val="1"/>
          <w:sz w:val="24"/>
          <w:szCs w:val="24"/>
        </w:rPr>
      </w:pPr>
    </w:p>
    <w:p w:rsidR="00234238" w:rsidP="00234238" w14:paraId="410E635D" w14:textId="38B9FD84">
      <w:pPr>
        <w:pStyle w:val="ListParagraph"/>
        <w:numPr>
          <w:ilvl w:val="1"/>
          <w:numId w:val="10"/>
        </w:numPr>
        <w:spacing w:after="0" w:line="246" w:lineRule="auto"/>
        <w:ind w:left="2160"/>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The Application Programming Interface (API) Functional Integration Toolkit (FIT) instrument</w:t>
      </w:r>
      <w:r w:rsidR="0011265C">
        <w:rPr>
          <w:rFonts w:ascii="Times New Roman" w:eastAsia="Times New Roman" w:hAnsi="Times New Roman" w:cs="Times New Roman"/>
          <w:spacing w:val="1"/>
          <w:sz w:val="24"/>
          <w:szCs w:val="24"/>
        </w:rPr>
        <w:t xml:space="preserve"> (see Appendix</w:t>
      </w:r>
      <w:r w:rsidR="000119E0">
        <w:rPr>
          <w:rFonts w:ascii="Times New Roman" w:eastAsia="Times New Roman" w:hAnsi="Times New Roman" w:cs="Times New Roman"/>
          <w:spacing w:val="1"/>
          <w:sz w:val="24"/>
          <w:szCs w:val="24"/>
        </w:rPr>
        <w:t xml:space="preserve"> </w:t>
      </w:r>
      <w:r w:rsidR="003B3619">
        <w:rPr>
          <w:rFonts w:ascii="Times New Roman" w:eastAsia="Times New Roman" w:hAnsi="Times New Roman" w:cs="Times New Roman"/>
          <w:spacing w:val="1"/>
          <w:sz w:val="24"/>
          <w:szCs w:val="24"/>
        </w:rPr>
        <w:t>G</w:t>
      </w:r>
      <w:r w:rsidR="0011265C">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w:t>
      </w:r>
    </w:p>
    <w:p w:rsidR="00234238" w:rsidP="00234238" w14:paraId="6006AE0A" w14:textId="664B24E7">
      <w:pPr>
        <w:pStyle w:val="ListParagraph"/>
        <w:numPr>
          <w:ilvl w:val="1"/>
          <w:numId w:val="10"/>
        </w:numPr>
        <w:spacing w:after="0" w:line="246" w:lineRule="auto"/>
        <w:ind w:left="2160"/>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The Application User Interface Toolkit instrument</w:t>
      </w:r>
      <w:r w:rsidR="0011265C">
        <w:rPr>
          <w:rFonts w:ascii="Times New Roman" w:eastAsia="Times New Roman" w:hAnsi="Times New Roman" w:cs="Times New Roman"/>
          <w:spacing w:val="1"/>
          <w:sz w:val="24"/>
          <w:szCs w:val="24"/>
        </w:rPr>
        <w:t xml:space="preserve"> (see Appendix </w:t>
      </w:r>
      <w:r w:rsidR="003B3619">
        <w:rPr>
          <w:rFonts w:ascii="Times New Roman" w:eastAsia="Times New Roman" w:hAnsi="Times New Roman" w:cs="Times New Roman"/>
          <w:spacing w:val="1"/>
          <w:sz w:val="24"/>
          <w:szCs w:val="24"/>
        </w:rPr>
        <w:t>H</w:t>
      </w:r>
      <w:r w:rsidR="0011265C">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w:t>
      </w:r>
    </w:p>
    <w:p w:rsidR="00234238" w:rsidP="00234238" w14:paraId="7B4FABDE" w14:textId="755D1CDE">
      <w:pPr>
        <w:pStyle w:val="ListParagraph"/>
        <w:numPr>
          <w:ilvl w:val="1"/>
          <w:numId w:val="10"/>
        </w:numPr>
        <w:spacing w:after="0" w:line="246" w:lineRule="auto"/>
        <w:ind w:left="2160"/>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The Communications Toolkit instrument</w:t>
      </w:r>
      <w:r w:rsidR="0011265C">
        <w:rPr>
          <w:rFonts w:ascii="Times New Roman" w:eastAsia="Times New Roman" w:hAnsi="Times New Roman" w:cs="Times New Roman"/>
          <w:spacing w:val="1"/>
          <w:sz w:val="24"/>
          <w:szCs w:val="24"/>
        </w:rPr>
        <w:t xml:space="preserve"> (see Appendix </w:t>
      </w:r>
      <w:r w:rsidR="003B3619">
        <w:rPr>
          <w:rFonts w:ascii="Times New Roman" w:eastAsia="Times New Roman" w:hAnsi="Times New Roman" w:cs="Times New Roman"/>
          <w:spacing w:val="1"/>
          <w:sz w:val="24"/>
          <w:szCs w:val="24"/>
        </w:rPr>
        <w:t>I</w:t>
      </w:r>
      <w:r w:rsidR="0011265C">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w:t>
      </w:r>
    </w:p>
    <w:p w:rsidR="00234238" w:rsidP="00234238" w14:paraId="3A81559D" w14:textId="7196D33E">
      <w:pPr>
        <w:pStyle w:val="ListParagraph"/>
        <w:numPr>
          <w:ilvl w:val="1"/>
          <w:numId w:val="10"/>
        </w:numPr>
        <w:spacing w:after="0" w:line="246" w:lineRule="auto"/>
        <w:ind w:left="2160"/>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The Business Audit Instructions and Report Template instrument</w:t>
      </w:r>
      <w:r w:rsidR="0011265C">
        <w:rPr>
          <w:rFonts w:ascii="Times New Roman" w:eastAsia="Times New Roman" w:hAnsi="Times New Roman" w:cs="Times New Roman"/>
          <w:spacing w:val="1"/>
          <w:sz w:val="24"/>
          <w:szCs w:val="24"/>
        </w:rPr>
        <w:t xml:space="preserve"> (see Appendix </w:t>
      </w:r>
      <w:r w:rsidR="003B3619">
        <w:rPr>
          <w:rFonts w:ascii="Times New Roman" w:eastAsia="Times New Roman" w:hAnsi="Times New Roman" w:cs="Times New Roman"/>
          <w:spacing w:val="1"/>
          <w:sz w:val="24"/>
          <w:szCs w:val="24"/>
        </w:rPr>
        <w:t>J</w:t>
      </w:r>
      <w:r w:rsidR="0011265C">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 and</w:t>
      </w:r>
    </w:p>
    <w:p w:rsidR="00234238" w:rsidP="00234238" w14:paraId="0EBE4C84" w14:textId="0CD94058">
      <w:pPr>
        <w:pStyle w:val="ListParagraph"/>
        <w:numPr>
          <w:ilvl w:val="1"/>
          <w:numId w:val="10"/>
        </w:numPr>
        <w:spacing w:after="0" w:line="246" w:lineRule="auto"/>
        <w:ind w:left="2160"/>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The Eligibility Results Toolkit instruments</w:t>
      </w:r>
      <w:r w:rsidR="0011265C">
        <w:rPr>
          <w:rFonts w:ascii="Times New Roman" w:eastAsia="Times New Roman" w:hAnsi="Times New Roman" w:cs="Times New Roman"/>
          <w:spacing w:val="1"/>
          <w:sz w:val="24"/>
          <w:szCs w:val="24"/>
        </w:rPr>
        <w:t xml:space="preserve"> (see Appendices K, </w:t>
      </w:r>
      <w:r w:rsidR="003B3619">
        <w:rPr>
          <w:rFonts w:ascii="Times New Roman" w:eastAsia="Times New Roman" w:hAnsi="Times New Roman" w:cs="Times New Roman"/>
          <w:spacing w:val="1"/>
          <w:sz w:val="24"/>
          <w:szCs w:val="24"/>
        </w:rPr>
        <w:t xml:space="preserve">L, </w:t>
      </w:r>
      <w:r w:rsidR="0011265C">
        <w:rPr>
          <w:rFonts w:ascii="Times New Roman" w:eastAsia="Times New Roman" w:hAnsi="Times New Roman" w:cs="Times New Roman"/>
          <w:spacing w:val="1"/>
          <w:sz w:val="24"/>
          <w:szCs w:val="24"/>
        </w:rPr>
        <w:t xml:space="preserve">and </w:t>
      </w:r>
      <w:r w:rsidR="003B3619">
        <w:rPr>
          <w:rFonts w:ascii="Times New Roman" w:eastAsia="Times New Roman" w:hAnsi="Times New Roman" w:cs="Times New Roman"/>
          <w:spacing w:val="1"/>
          <w:sz w:val="24"/>
          <w:szCs w:val="24"/>
        </w:rPr>
        <w:t>M</w:t>
      </w:r>
      <w:r w:rsidR="0011265C">
        <w:rPr>
          <w:rFonts w:ascii="Times New Roman" w:eastAsia="Times New Roman" w:hAnsi="Times New Roman" w:cs="Times New Roman"/>
          <w:spacing w:val="1"/>
          <w:sz w:val="24"/>
          <w:szCs w:val="24"/>
        </w:rPr>
        <w:t xml:space="preserve"> for Phase 1, Phase 2, and Phase 3, respectively)</w:t>
      </w:r>
      <w:r>
        <w:rPr>
          <w:rFonts w:ascii="Times New Roman" w:eastAsia="Times New Roman" w:hAnsi="Times New Roman" w:cs="Times New Roman"/>
          <w:spacing w:val="1"/>
          <w:sz w:val="24"/>
          <w:szCs w:val="24"/>
        </w:rPr>
        <w:t>;</w:t>
      </w:r>
    </w:p>
    <w:p w:rsidR="00234238" w:rsidP="00234238" w14:paraId="358A2DAF" w14:textId="05AFB4B7">
      <w:pPr>
        <w:pStyle w:val="ListParagraph"/>
        <w:numPr>
          <w:ilvl w:val="0"/>
          <w:numId w:val="10"/>
        </w:numPr>
        <w:spacing w:after="0" w:line="246" w:lineRule="auto"/>
        <w:ind w:left="1440"/>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The Entity-initiated Change Request Form instrument</w:t>
      </w:r>
      <w:r w:rsidR="000055D8">
        <w:rPr>
          <w:rFonts w:ascii="Times New Roman" w:eastAsia="Times New Roman" w:hAnsi="Times New Roman" w:cs="Times New Roman"/>
          <w:spacing w:val="1"/>
          <w:sz w:val="24"/>
          <w:szCs w:val="24"/>
        </w:rPr>
        <w:t xml:space="preserve"> (see Appendix N)</w:t>
      </w:r>
      <w:r>
        <w:rPr>
          <w:rFonts w:ascii="Times New Roman" w:eastAsia="Times New Roman" w:hAnsi="Times New Roman" w:cs="Times New Roman"/>
          <w:spacing w:val="1"/>
          <w:sz w:val="24"/>
          <w:szCs w:val="24"/>
        </w:rPr>
        <w:t>; and</w:t>
      </w:r>
    </w:p>
    <w:p w:rsidR="00234238" w:rsidP="00234238" w14:paraId="1107623A" w14:textId="257ADE7F">
      <w:pPr>
        <w:pStyle w:val="ListParagraph"/>
        <w:numPr>
          <w:ilvl w:val="0"/>
          <w:numId w:val="10"/>
        </w:numPr>
        <w:spacing w:after="0" w:line="246" w:lineRule="auto"/>
        <w:ind w:left="1440"/>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The EDE Business Agreement instrument</w:t>
      </w:r>
      <w:r w:rsidR="0011265C">
        <w:rPr>
          <w:rFonts w:ascii="Times New Roman" w:eastAsia="Times New Roman" w:hAnsi="Times New Roman" w:cs="Times New Roman"/>
          <w:spacing w:val="1"/>
          <w:sz w:val="24"/>
          <w:szCs w:val="24"/>
        </w:rPr>
        <w:t xml:space="preserve"> (see Appendix </w:t>
      </w:r>
      <w:r w:rsidR="000055D8">
        <w:rPr>
          <w:rFonts w:ascii="Times New Roman" w:eastAsia="Times New Roman" w:hAnsi="Times New Roman" w:cs="Times New Roman"/>
          <w:spacing w:val="1"/>
          <w:sz w:val="24"/>
          <w:szCs w:val="24"/>
        </w:rPr>
        <w:t>O</w:t>
      </w:r>
      <w:r w:rsidR="0011265C">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 xml:space="preserve">. </w:t>
      </w:r>
    </w:p>
    <w:p w:rsidR="00234238" w:rsidRPr="0094041C" w:rsidP="00234238" w14:paraId="635001C4" w14:textId="77777777">
      <w:pPr>
        <w:spacing w:after="0" w:line="246" w:lineRule="auto"/>
        <w:ind w:left="1440"/>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 </w:t>
      </w:r>
    </w:p>
    <w:p w:rsidR="00234238" w:rsidRPr="004643AC" w:rsidP="00234238" w14:paraId="0F60ACF9" w14:textId="374F944D">
      <w:pPr>
        <w:spacing w:after="0" w:line="246" w:lineRule="auto"/>
        <w:ind w:left="720"/>
        <w:rPr>
          <w:rFonts w:ascii="Times New Roman" w:eastAsia="Times New Roman" w:hAnsi="Times New Roman" w:cs="Times New Roman"/>
          <w:spacing w:val="1"/>
          <w:sz w:val="24"/>
          <w:szCs w:val="24"/>
        </w:rPr>
      </w:pPr>
      <w:r w:rsidRPr="1A1C7303">
        <w:rPr>
          <w:rFonts w:ascii="Times New Roman" w:eastAsia="Times New Roman" w:hAnsi="Times New Roman" w:cs="Times New Roman"/>
          <w:b/>
          <w:bCs/>
          <w:spacing w:val="1"/>
          <w:sz w:val="24"/>
          <w:szCs w:val="24"/>
        </w:rPr>
        <w:t>1.</w:t>
      </w:r>
      <w:r>
        <w:rPr>
          <w:rFonts w:ascii="Times New Roman" w:eastAsia="Times New Roman" w:hAnsi="Times New Roman" w:cs="Times New Roman"/>
          <w:b/>
          <w:bCs/>
          <w:spacing w:val="1"/>
          <w:sz w:val="24"/>
          <w:szCs w:val="24"/>
        </w:rPr>
        <w:t>b</w:t>
      </w:r>
      <w:r w:rsidRPr="1A1C7303">
        <w:rPr>
          <w:rFonts w:ascii="Times New Roman" w:eastAsia="Times New Roman" w:hAnsi="Times New Roman" w:cs="Times New Roman"/>
          <w:b/>
          <w:bCs/>
          <w:spacing w:val="1"/>
          <w:sz w:val="24"/>
          <w:szCs w:val="24"/>
        </w:rPr>
        <w:t xml:space="preserve">.ii. DE Entity Security and Privacy Audit Documentation: </w:t>
      </w:r>
      <w:r w:rsidRPr="1A1C7303">
        <w:rPr>
          <w:rFonts w:ascii="Times New Roman" w:eastAsia="Times New Roman" w:hAnsi="Times New Roman" w:cs="Times New Roman"/>
          <w:spacing w:val="1"/>
          <w:sz w:val="24"/>
          <w:szCs w:val="24"/>
        </w:rPr>
        <w:t xml:space="preserve">Section </w:t>
      </w:r>
      <w:r w:rsidRPr="004643AC">
        <w:rPr>
          <w:rFonts w:ascii="Times New Roman" w:eastAsia="Times New Roman" w:hAnsi="Times New Roman" w:cs="Times New Roman"/>
          <w:spacing w:val="1"/>
          <w:sz w:val="24"/>
          <w:szCs w:val="24"/>
        </w:rPr>
        <w:t>155.221(b)(4)</w:t>
      </w:r>
      <w:r>
        <w:rPr>
          <w:rFonts w:ascii="Times New Roman" w:eastAsia="Times New Roman" w:hAnsi="Times New Roman" w:cs="Times New Roman"/>
          <w:spacing w:val="1"/>
          <w:sz w:val="24"/>
          <w:szCs w:val="24"/>
        </w:rPr>
        <w:t xml:space="preserve">(ii) requires </w:t>
      </w:r>
      <w:r w:rsidRPr="004643AC">
        <w:rPr>
          <w:rFonts w:ascii="Times New Roman" w:eastAsia="Times New Roman" w:hAnsi="Times New Roman" w:cs="Times New Roman"/>
          <w:spacing w:val="1"/>
          <w:sz w:val="24"/>
          <w:szCs w:val="24"/>
        </w:rPr>
        <w:t xml:space="preserve">DE Entities </w:t>
      </w:r>
      <w:r>
        <w:rPr>
          <w:rFonts w:ascii="Times New Roman" w:eastAsia="Times New Roman" w:hAnsi="Times New Roman" w:cs="Times New Roman"/>
          <w:spacing w:val="1"/>
          <w:sz w:val="24"/>
          <w:szCs w:val="24"/>
        </w:rPr>
        <w:t>to submit the following security and</w:t>
      </w:r>
      <w:r w:rsidRPr="004643AC">
        <w:rPr>
          <w:rFonts w:ascii="Times New Roman" w:eastAsia="Times New Roman" w:hAnsi="Times New Roman" w:cs="Times New Roman"/>
          <w:spacing w:val="1"/>
          <w:sz w:val="24"/>
          <w:szCs w:val="24"/>
        </w:rPr>
        <w:t xml:space="preserve"> privacy audit </w:t>
      </w:r>
      <w:r>
        <w:rPr>
          <w:rFonts w:ascii="Times New Roman" w:eastAsia="Times New Roman" w:hAnsi="Times New Roman" w:cs="Times New Roman"/>
          <w:spacing w:val="1"/>
          <w:sz w:val="24"/>
          <w:szCs w:val="24"/>
        </w:rPr>
        <w:t>documentation:</w:t>
      </w:r>
      <w:r w:rsidRPr="004643AC">
        <w:rPr>
          <w:rFonts w:ascii="Times New Roman" w:eastAsia="Times New Roman" w:hAnsi="Times New Roman" w:cs="Times New Roman"/>
          <w:spacing w:val="1"/>
          <w:sz w:val="24"/>
          <w:szCs w:val="24"/>
        </w:rPr>
        <w:t xml:space="preserve"> </w:t>
      </w:r>
    </w:p>
    <w:p w:rsidR="00234238" w:rsidRPr="00123A06" w:rsidP="00234238" w14:paraId="0AD88E19" w14:textId="1C1C5858">
      <w:pPr>
        <w:pStyle w:val="ListParagraph"/>
        <w:numPr>
          <w:ilvl w:val="0"/>
          <w:numId w:val="18"/>
        </w:numPr>
        <w:spacing w:after="0" w:line="246" w:lineRule="auto"/>
        <w:ind w:left="1440"/>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The </w:t>
      </w:r>
      <w:r w:rsidRPr="009D16D7">
        <w:rPr>
          <w:rFonts w:ascii="Times New Roman" w:eastAsia="Times New Roman" w:hAnsi="Times New Roman" w:cs="Times New Roman"/>
          <w:spacing w:val="1"/>
          <w:sz w:val="24"/>
          <w:szCs w:val="24"/>
        </w:rPr>
        <w:t xml:space="preserve">Security </w:t>
      </w:r>
      <w:r>
        <w:rPr>
          <w:rFonts w:ascii="Times New Roman" w:eastAsia="Times New Roman" w:hAnsi="Times New Roman" w:cs="Times New Roman"/>
          <w:spacing w:val="1"/>
          <w:sz w:val="24"/>
          <w:szCs w:val="24"/>
        </w:rPr>
        <w:t xml:space="preserve">and </w:t>
      </w:r>
      <w:r w:rsidRPr="00123A06">
        <w:rPr>
          <w:rFonts w:ascii="Times New Roman" w:eastAsia="Times New Roman" w:hAnsi="Times New Roman" w:cs="Times New Roman"/>
          <w:spacing w:val="1"/>
          <w:sz w:val="24"/>
          <w:szCs w:val="24"/>
        </w:rPr>
        <w:t xml:space="preserve">Privacy Controls Assessment Test </w:t>
      </w:r>
      <w:r w:rsidRPr="009D16D7">
        <w:rPr>
          <w:rFonts w:ascii="Times New Roman" w:eastAsia="Times New Roman" w:hAnsi="Times New Roman" w:cs="Times New Roman"/>
          <w:spacing w:val="1"/>
          <w:sz w:val="24"/>
          <w:szCs w:val="24"/>
        </w:rPr>
        <w:t>Plan</w:t>
      </w:r>
      <w:r>
        <w:rPr>
          <w:rFonts w:ascii="Times New Roman" w:eastAsia="Times New Roman" w:hAnsi="Times New Roman" w:cs="Times New Roman"/>
          <w:spacing w:val="1"/>
          <w:sz w:val="24"/>
          <w:szCs w:val="24"/>
        </w:rPr>
        <w:t>s</w:t>
      </w:r>
      <w:r w:rsidRPr="009D16D7">
        <w:rPr>
          <w:rFonts w:ascii="Times New Roman" w:eastAsia="Times New Roman" w:hAnsi="Times New Roman" w:cs="Times New Roman"/>
          <w:spacing w:val="1"/>
          <w:sz w:val="24"/>
          <w:szCs w:val="24"/>
        </w:rPr>
        <w:t xml:space="preserve"> (SAP</w:t>
      </w:r>
      <w:r>
        <w:rPr>
          <w:rFonts w:ascii="Times New Roman" w:eastAsia="Times New Roman" w:hAnsi="Times New Roman" w:cs="Times New Roman"/>
          <w:spacing w:val="1"/>
          <w:sz w:val="24"/>
          <w:szCs w:val="24"/>
        </w:rPr>
        <w:t>s</w:t>
      </w:r>
      <w:r w:rsidRPr="00123A06">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 xml:space="preserve"> template instrument</w:t>
      </w:r>
      <w:r w:rsidR="00CA6D31">
        <w:rPr>
          <w:rFonts w:ascii="Times New Roman" w:eastAsia="Times New Roman" w:hAnsi="Times New Roman" w:cs="Times New Roman"/>
          <w:spacing w:val="1"/>
          <w:sz w:val="24"/>
          <w:szCs w:val="24"/>
        </w:rPr>
        <w:t xml:space="preserve"> (see Appendix </w:t>
      </w:r>
      <w:r w:rsidR="000055D8">
        <w:rPr>
          <w:rFonts w:ascii="Times New Roman" w:eastAsia="Times New Roman" w:hAnsi="Times New Roman" w:cs="Times New Roman"/>
          <w:spacing w:val="1"/>
          <w:sz w:val="24"/>
          <w:szCs w:val="24"/>
        </w:rPr>
        <w:t>P</w:t>
      </w:r>
      <w:r w:rsidR="00CA6D31">
        <w:rPr>
          <w:rFonts w:ascii="Times New Roman" w:eastAsia="Times New Roman" w:hAnsi="Times New Roman" w:cs="Times New Roman"/>
          <w:spacing w:val="1"/>
          <w:sz w:val="24"/>
          <w:szCs w:val="24"/>
        </w:rPr>
        <w:t>)</w:t>
      </w:r>
      <w:r w:rsidRPr="00123A06">
        <w:rPr>
          <w:rFonts w:ascii="Times New Roman" w:eastAsia="Times New Roman" w:hAnsi="Times New Roman" w:cs="Times New Roman"/>
          <w:spacing w:val="1"/>
          <w:sz w:val="24"/>
          <w:szCs w:val="24"/>
        </w:rPr>
        <w:t>,</w:t>
      </w:r>
    </w:p>
    <w:p w:rsidR="00234238" w:rsidRPr="006F715A" w:rsidP="00234238" w14:paraId="30D00D0E" w14:textId="18340B25">
      <w:pPr>
        <w:pStyle w:val="ListParagraph"/>
        <w:numPr>
          <w:ilvl w:val="0"/>
          <w:numId w:val="10"/>
        </w:numPr>
        <w:spacing w:after="0" w:line="246" w:lineRule="auto"/>
        <w:ind w:left="1440"/>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The </w:t>
      </w:r>
      <w:r w:rsidRPr="006F715A">
        <w:rPr>
          <w:rFonts w:ascii="Times New Roman" w:eastAsia="Times New Roman" w:hAnsi="Times New Roman" w:cs="Times New Roman"/>
          <w:spacing w:val="1"/>
          <w:sz w:val="24"/>
          <w:szCs w:val="24"/>
        </w:rPr>
        <w:t xml:space="preserve">Security </w:t>
      </w:r>
      <w:r>
        <w:rPr>
          <w:rFonts w:ascii="Times New Roman" w:eastAsia="Times New Roman" w:hAnsi="Times New Roman" w:cs="Times New Roman"/>
          <w:spacing w:val="1"/>
          <w:sz w:val="24"/>
          <w:szCs w:val="24"/>
        </w:rPr>
        <w:t xml:space="preserve">and </w:t>
      </w:r>
      <w:r w:rsidRPr="006F715A">
        <w:rPr>
          <w:rFonts w:ascii="Times New Roman" w:eastAsia="Times New Roman" w:hAnsi="Times New Roman" w:cs="Times New Roman"/>
          <w:spacing w:val="1"/>
          <w:sz w:val="24"/>
          <w:szCs w:val="24"/>
        </w:rPr>
        <w:t>Privacy Assessment Report</w:t>
      </w:r>
      <w:r>
        <w:rPr>
          <w:rFonts w:ascii="Times New Roman" w:eastAsia="Times New Roman" w:hAnsi="Times New Roman" w:cs="Times New Roman"/>
          <w:spacing w:val="1"/>
          <w:sz w:val="24"/>
          <w:szCs w:val="24"/>
        </w:rPr>
        <w:t>s</w:t>
      </w:r>
      <w:r w:rsidRPr="006F715A">
        <w:rPr>
          <w:rFonts w:ascii="Times New Roman" w:eastAsia="Times New Roman" w:hAnsi="Times New Roman" w:cs="Times New Roman"/>
          <w:spacing w:val="1"/>
          <w:sz w:val="24"/>
          <w:szCs w:val="24"/>
        </w:rPr>
        <w:t xml:space="preserve"> (SAR</w:t>
      </w:r>
      <w:r>
        <w:rPr>
          <w:rFonts w:ascii="Times New Roman" w:eastAsia="Times New Roman" w:hAnsi="Times New Roman" w:cs="Times New Roman"/>
          <w:spacing w:val="1"/>
          <w:sz w:val="24"/>
          <w:szCs w:val="24"/>
        </w:rPr>
        <w:t>s</w:t>
      </w:r>
      <w:r w:rsidRPr="006F715A">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 xml:space="preserve"> template instrument</w:t>
      </w:r>
      <w:r w:rsidR="003B0DEC">
        <w:rPr>
          <w:rFonts w:ascii="Times New Roman" w:eastAsia="Times New Roman" w:hAnsi="Times New Roman" w:cs="Times New Roman"/>
          <w:spacing w:val="1"/>
          <w:sz w:val="24"/>
          <w:szCs w:val="24"/>
        </w:rPr>
        <w:t xml:space="preserve"> (see Appendix B, as noted above)</w:t>
      </w:r>
      <w:r w:rsidRPr="006F715A">
        <w:rPr>
          <w:rFonts w:ascii="Times New Roman" w:eastAsia="Times New Roman" w:hAnsi="Times New Roman" w:cs="Times New Roman"/>
          <w:spacing w:val="1"/>
          <w:sz w:val="24"/>
          <w:szCs w:val="24"/>
        </w:rPr>
        <w:t>,</w:t>
      </w:r>
    </w:p>
    <w:p w:rsidR="00234238" w:rsidRPr="006F715A" w:rsidP="00234238" w14:paraId="38919FDD" w14:textId="03FEE18E">
      <w:pPr>
        <w:pStyle w:val="ListParagraph"/>
        <w:numPr>
          <w:ilvl w:val="0"/>
          <w:numId w:val="10"/>
        </w:numPr>
        <w:spacing w:after="0" w:line="246" w:lineRule="auto"/>
        <w:ind w:left="1440"/>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The </w:t>
      </w:r>
      <w:r w:rsidRPr="006F715A">
        <w:rPr>
          <w:rFonts w:ascii="Times New Roman" w:eastAsia="Times New Roman" w:hAnsi="Times New Roman" w:cs="Times New Roman"/>
          <w:spacing w:val="1"/>
          <w:sz w:val="24"/>
          <w:szCs w:val="24"/>
        </w:rPr>
        <w:t>Plan</w:t>
      </w:r>
      <w:r>
        <w:rPr>
          <w:rFonts w:ascii="Times New Roman" w:eastAsia="Times New Roman" w:hAnsi="Times New Roman" w:cs="Times New Roman"/>
          <w:spacing w:val="1"/>
          <w:sz w:val="24"/>
          <w:szCs w:val="24"/>
        </w:rPr>
        <w:t>s</w:t>
      </w:r>
      <w:r w:rsidRPr="006F715A">
        <w:rPr>
          <w:rFonts w:ascii="Times New Roman" w:eastAsia="Times New Roman" w:hAnsi="Times New Roman" w:cs="Times New Roman"/>
          <w:spacing w:val="1"/>
          <w:sz w:val="24"/>
          <w:szCs w:val="24"/>
        </w:rPr>
        <w:t xml:space="preserve"> of Action &amp; Milestones (POA&amp;M</w:t>
      </w:r>
      <w:r>
        <w:rPr>
          <w:rFonts w:ascii="Times New Roman" w:eastAsia="Times New Roman" w:hAnsi="Times New Roman" w:cs="Times New Roman"/>
          <w:spacing w:val="1"/>
          <w:sz w:val="24"/>
          <w:szCs w:val="24"/>
        </w:rPr>
        <w:t>s</w:t>
      </w:r>
      <w:r w:rsidRPr="006F715A">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 xml:space="preserve"> template instrument</w:t>
      </w:r>
      <w:r w:rsidR="003B0DEC">
        <w:rPr>
          <w:rFonts w:ascii="Times New Roman" w:eastAsia="Times New Roman" w:hAnsi="Times New Roman" w:cs="Times New Roman"/>
          <w:spacing w:val="1"/>
          <w:sz w:val="24"/>
          <w:szCs w:val="24"/>
        </w:rPr>
        <w:t xml:space="preserve"> (see Appendix C, as noted above)</w:t>
      </w:r>
      <w:r w:rsidRPr="006F715A">
        <w:rPr>
          <w:rFonts w:ascii="Times New Roman" w:eastAsia="Times New Roman" w:hAnsi="Times New Roman" w:cs="Times New Roman"/>
          <w:spacing w:val="1"/>
          <w:sz w:val="24"/>
          <w:szCs w:val="24"/>
        </w:rPr>
        <w:t>,</w:t>
      </w:r>
    </w:p>
    <w:p w:rsidR="00234238" w:rsidRPr="006F715A" w:rsidP="00234238" w14:paraId="45AEA997" w14:textId="77777777">
      <w:pPr>
        <w:pStyle w:val="ListParagraph"/>
        <w:numPr>
          <w:ilvl w:val="0"/>
          <w:numId w:val="10"/>
        </w:numPr>
        <w:spacing w:after="0" w:line="246" w:lineRule="auto"/>
        <w:ind w:left="1440"/>
        <w:rPr>
          <w:rFonts w:ascii="Times New Roman" w:eastAsia="Times New Roman" w:hAnsi="Times New Roman" w:cs="Times New Roman"/>
          <w:spacing w:val="1"/>
          <w:sz w:val="24"/>
          <w:szCs w:val="24"/>
        </w:rPr>
      </w:pPr>
      <w:r w:rsidRPr="006F715A">
        <w:rPr>
          <w:rFonts w:ascii="Times New Roman" w:eastAsia="Times New Roman" w:hAnsi="Times New Roman" w:cs="Times New Roman"/>
          <w:spacing w:val="1"/>
          <w:sz w:val="24"/>
          <w:szCs w:val="24"/>
        </w:rPr>
        <w:t>Privacy Impact Assessment</w:t>
      </w:r>
      <w:r>
        <w:rPr>
          <w:rFonts w:ascii="Times New Roman" w:eastAsia="Times New Roman" w:hAnsi="Times New Roman" w:cs="Times New Roman"/>
          <w:spacing w:val="1"/>
          <w:sz w:val="24"/>
          <w:szCs w:val="24"/>
        </w:rPr>
        <w:t>s</w:t>
      </w:r>
      <w:r w:rsidRPr="006F715A">
        <w:rPr>
          <w:rFonts w:ascii="Times New Roman" w:eastAsia="Times New Roman" w:hAnsi="Times New Roman" w:cs="Times New Roman"/>
          <w:spacing w:val="1"/>
          <w:sz w:val="24"/>
          <w:szCs w:val="24"/>
        </w:rPr>
        <w:t xml:space="preserve"> (PIA</w:t>
      </w:r>
      <w:r>
        <w:rPr>
          <w:rFonts w:ascii="Times New Roman" w:eastAsia="Times New Roman" w:hAnsi="Times New Roman" w:cs="Times New Roman"/>
          <w:spacing w:val="1"/>
          <w:sz w:val="24"/>
          <w:szCs w:val="24"/>
        </w:rPr>
        <w:t>s</w:t>
      </w:r>
      <w:r w:rsidRPr="006F715A">
        <w:rPr>
          <w:rFonts w:ascii="Times New Roman" w:eastAsia="Times New Roman" w:hAnsi="Times New Roman" w:cs="Times New Roman"/>
          <w:spacing w:val="1"/>
          <w:sz w:val="24"/>
          <w:szCs w:val="24"/>
        </w:rPr>
        <w:t>),</w:t>
      </w:r>
    </w:p>
    <w:p w:rsidR="00234238" w:rsidRPr="006F715A" w:rsidP="00234238" w14:paraId="58ACEA8F" w14:textId="47FC5D06">
      <w:pPr>
        <w:pStyle w:val="ListParagraph"/>
        <w:numPr>
          <w:ilvl w:val="0"/>
          <w:numId w:val="10"/>
        </w:numPr>
        <w:spacing w:after="0" w:line="246" w:lineRule="auto"/>
        <w:ind w:left="1440"/>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The </w:t>
      </w:r>
      <w:r w:rsidRPr="006F715A">
        <w:rPr>
          <w:rFonts w:ascii="Times New Roman" w:eastAsia="Times New Roman" w:hAnsi="Times New Roman" w:cs="Times New Roman"/>
          <w:spacing w:val="1"/>
          <w:sz w:val="24"/>
          <w:szCs w:val="24"/>
        </w:rPr>
        <w:t>System Security and Privacy Plan</w:t>
      </w:r>
      <w:r>
        <w:rPr>
          <w:rFonts w:ascii="Times New Roman" w:eastAsia="Times New Roman" w:hAnsi="Times New Roman" w:cs="Times New Roman"/>
          <w:spacing w:val="1"/>
          <w:sz w:val="24"/>
          <w:szCs w:val="24"/>
        </w:rPr>
        <w:t>s</w:t>
      </w:r>
      <w:r w:rsidRPr="006F715A">
        <w:rPr>
          <w:rFonts w:ascii="Times New Roman" w:eastAsia="Times New Roman" w:hAnsi="Times New Roman" w:cs="Times New Roman"/>
          <w:spacing w:val="1"/>
          <w:sz w:val="24"/>
          <w:szCs w:val="24"/>
        </w:rPr>
        <w:t xml:space="preserve"> (SSP</w:t>
      </w:r>
      <w:r>
        <w:rPr>
          <w:rFonts w:ascii="Times New Roman" w:eastAsia="Times New Roman" w:hAnsi="Times New Roman" w:cs="Times New Roman"/>
          <w:spacing w:val="1"/>
          <w:sz w:val="24"/>
          <w:szCs w:val="24"/>
        </w:rPr>
        <w:t>s</w:t>
      </w:r>
      <w:r w:rsidRPr="006F715A">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 xml:space="preserve"> workbook instrument</w:t>
      </w:r>
      <w:r w:rsidR="00CA6D31">
        <w:rPr>
          <w:rFonts w:ascii="Times New Roman" w:eastAsia="Times New Roman" w:hAnsi="Times New Roman" w:cs="Times New Roman"/>
          <w:spacing w:val="1"/>
          <w:sz w:val="24"/>
          <w:szCs w:val="24"/>
        </w:rPr>
        <w:t xml:space="preserve"> (see Appendix </w:t>
      </w:r>
      <w:r w:rsidR="003B3619">
        <w:rPr>
          <w:rFonts w:ascii="Times New Roman" w:eastAsia="Times New Roman" w:hAnsi="Times New Roman" w:cs="Times New Roman"/>
          <w:spacing w:val="1"/>
          <w:sz w:val="24"/>
          <w:szCs w:val="24"/>
        </w:rPr>
        <w:t>D</w:t>
      </w:r>
      <w:r w:rsidR="003B0DEC">
        <w:rPr>
          <w:rFonts w:ascii="Times New Roman" w:eastAsia="Times New Roman" w:hAnsi="Times New Roman" w:cs="Times New Roman"/>
          <w:spacing w:val="1"/>
          <w:sz w:val="24"/>
          <w:szCs w:val="24"/>
        </w:rPr>
        <w:t>, as noted above</w:t>
      </w:r>
      <w:r w:rsidR="00CA6D31">
        <w:rPr>
          <w:rFonts w:ascii="Times New Roman" w:eastAsia="Times New Roman" w:hAnsi="Times New Roman" w:cs="Times New Roman"/>
          <w:spacing w:val="1"/>
          <w:sz w:val="24"/>
          <w:szCs w:val="24"/>
        </w:rPr>
        <w:t>)</w:t>
      </w:r>
      <w:r w:rsidRPr="006F715A">
        <w:rPr>
          <w:rFonts w:ascii="Times New Roman" w:eastAsia="Times New Roman" w:hAnsi="Times New Roman" w:cs="Times New Roman"/>
          <w:spacing w:val="1"/>
          <w:sz w:val="24"/>
          <w:szCs w:val="24"/>
        </w:rPr>
        <w:t>,</w:t>
      </w:r>
    </w:p>
    <w:p w:rsidR="00234238" w:rsidRPr="006F715A" w:rsidP="00234238" w14:paraId="7CAF4E95" w14:textId="77777777">
      <w:pPr>
        <w:pStyle w:val="ListParagraph"/>
        <w:numPr>
          <w:ilvl w:val="0"/>
          <w:numId w:val="10"/>
        </w:numPr>
        <w:spacing w:after="0" w:line="246" w:lineRule="auto"/>
        <w:ind w:left="1440"/>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I</w:t>
      </w:r>
      <w:r w:rsidRPr="006F715A">
        <w:rPr>
          <w:rFonts w:ascii="Times New Roman" w:eastAsia="Times New Roman" w:hAnsi="Times New Roman" w:cs="Times New Roman"/>
          <w:spacing w:val="1"/>
          <w:sz w:val="24"/>
          <w:szCs w:val="24"/>
        </w:rPr>
        <w:t xml:space="preserve">ncident </w:t>
      </w:r>
      <w:r>
        <w:rPr>
          <w:rFonts w:ascii="Times New Roman" w:eastAsia="Times New Roman" w:hAnsi="Times New Roman" w:cs="Times New Roman"/>
          <w:spacing w:val="1"/>
          <w:sz w:val="24"/>
          <w:szCs w:val="24"/>
        </w:rPr>
        <w:t>r</w:t>
      </w:r>
      <w:r w:rsidRPr="006F715A">
        <w:rPr>
          <w:rFonts w:ascii="Times New Roman" w:eastAsia="Times New Roman" w:hAnsi="Times New Roman" w:cs="Times New Roman"/>
          <w:spacing w:val="1"/>
          <w:sz w:val="24"/>
          <w:szCs w:val="24"/>
        </w:rPr>
        <w:t xml:space="preserve">esponse </w:t>
      </w:r>
      <w:r>
        <w:rPr>
          <w:rFonts w:ascii="Times New Roman" w:eastAsia="Times New Roman" w:hAnsi="Times New Roman" w:cs="Times New Roman"/>
          <w:spacing w:val="1"/>
          <w:sz w:val="24"/>
          <w:szCs w:val="24"/>
        </w:rPr>
        <w:t>pl</w:t>
      </w:r>
      <w:r w:rsidRPr="006F715A">
        <w:rPr>
          <w:rFonts w:ascii="Times New Roman" w:eastAsia="Times New Roman" w:hAnsi="Times New Roman" w:cs="Times New Roman"/>
          <w:spacing w:val="1"/>
          <w:sz w:val="24"/>
          <w:szCs w:val="24"/>
        </w:rPr>
        <w:t>an</w:t>
      </w:r>
      <w:r>
        <w:rPr>
          <w:rFonts w:ascii="Times New Roman" w:eastAsia="Times New Roman" w:hAnsi="Times New Roman" w:cs="Times New Roman"/>
          <w:spacing w:val="1"/>
          <w:sz w:val="24"/>
          <w:szCs w:val="24"/>
        </w:rPr>
        <w:t>s</w:t>
      </w:r>
      <w:r w:rsidRPr="006F715A">
        <w:rPr>
          <w:rFonts w:ascii="Times New Roman" w:eastAsia="Times New Roman" w:hAnsi="Times New Roman" w:cs="Times New Roman"/>
          <w:spacing w:val="1"/>
          <w:sz w:val="24"/>
          <w:szCs w:val="24"/>
        </w:rPr>
        <w:t xml:space="preserve">, </w:t>
      </w:r>
    </w:p>
    <w:p w:rsidR="00234238" w:rsidP="00234238" w14:paraId="6C6693C7" w14:textId="77777777">
      <w:pPr>
        <w:pStyle w:val="ListParagraph"/>
        <w:numPr>
          <w:ilvl w:val="0"/>
          <w:numId w:val="10"/>
        </w:numPr>
        <w:spacing w:after="0" w:line="246" w:lineRule="auto"/>
        <w:ind w:left="1440"/>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V</w:t>
      </w:r>
      <w:r w:rsidRPr="006F715A">
        <w:rPr>
          <w:rFonts w:ascii="Times New Roman" w:eastAsia="Times New Roman" w:hAnsi="Times New Roman" w:cs="Times New Roman"/>
          <w:spacing w:val="1"/>
          <w:sz w:val="24"/>
          <w:szCs w:val="24"/>
        </w:rPr>
        <w:t xml:space="preserve">ulnerability </w:t>
      </w:r>
      <w:r>
        <w:rPr>
          <w:rFonts w:ascii="Times New Roman" w:eastAsia="Times New Roman" w:hAnsi="Times New Roman" w:cs="Times New Roman"/>
          <w:spacing w:val="1"/>
          <w:sz w:val="24"/>
          <w:szCs w:val="24"/>
        </w:rPr>
        <w:t>s</w:t>
      </w:r>
      <w:r w:rsidRPr="006F715A">
        <w:rPr>
          <w:rFonts w:ascii="Times New Roman" w:eastAsia="Times New Roman" w:hAnsi="Times New Roman" w:cs="Times New Roman"/>
          <w:spacing w:val="1"/>
          <w:sz w:val="24"/>
          <w:szCs w:val="24"/>
        </w:rPr>
        <w:t>can</w:t>
      </w:r>
      <w:r>
        <w:rPr>
          <w:rFonts w:ascii="Times New Roman" w:eastAsia="Times New Roman" w:hAnsi="Times New Roman" w:cs="Times New Roman"/>
          <w:spacing w:val="1"/>
          <w:sz w:val="24"/>
          <w:szCs w:val="24"/>
        </w:rPr>
        <w:t xml:space="preserve"> results, and</w:t>
      </w:r>
    </w:p>
    <w:p w:rsidR="00234238" w:rsidP="00234238" w14:paraId="364017A1" w14:textId="0554435B">
      <w:pPr>
        <w:pStyle w:val="ListParagraph"/>
        <w:numPr>
          <w:ilvl w:val="0"/>
          <w:numId w:val="10"/>
        </w:numPr>
        <w:spacing w:after="0" w:line="246" w:lineRule="auto"/>
        <w:ind w:left="1440"/>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I</w:t>
      </w:r>
      <w:r w:rsidRPr="00FF3A3E">
        <w:rPr>
          <w:rFonts w:ascii="Times New Roman" w:eastAsia="Times New Roman" w:hAnsi="Times New Roman" w:cs="Times New Roman"/>
          <w:spacing w:val="1"/>
          <w:sz w:val="24"/>
          <w:szCs w:val="24"/>
        </w:rPr>
        <w:t>nterconnection security agreement</w:t>
      </w:r>
      <w:r>
        <w:rPr>
          <w:rFonts w:ascii="Times New Roman" w:eastAsia="Times New Roman" w:hAnsi="Times New Roman" w:cs="Times New Roman"/>
          <w:spacing w:val="1"/>
          <w:sz w:val="24"/>
          <w:szCs w:val="24"/>
        </w:rPr>
        <w:t xml:space="preserve"> (ISA) instrument</w:t>
      </w:r>
      <w:r w:rsidR="00CA6D31">
        <w:rPr>
          <w:rFonts w:ascii="Times New Roman" w:eastAsia="Times New Roman" w:hAnsi="Times New Roman" w:cs="Times New Roman"/>
          <w:spacing w:val="1"/>
          <w:sz w:val="24"/>
          <w:szCs w:val="24"/>
        </w:rPr>
        <w:t xml:space="preserve"> (see Appendix </w:t>
      </w:r>
      <w:r w:rsidR="000055D8">
        <w:rPr>
          <w:rFonts w:ascii="Times New Roman" w:eastAsia="Times New Roman" w:hAnsi="Times New Roman" w:cs="Times New Roman"/>
          <w:spacing w:val="1"/>
          <w:sz w:val="24"/>
          <w:szCs w:val="24"/>
        </w:rPr>
        <w:t>Q</w:t>
      </w:r>
      <w:r w:rsidR="00CA6D31">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w:t>
      </w:r>
    </w:p>
    <w:p w:rsidR="00234238" w:rsidP="00234238" w14:paraId="3E20ECC7" w14:textId="77777777">
      <w:pPr>
        <w:spacing w:after="0" w:line="240" w:lineRule="auto"/>
        <w:ind w:right="-20"/>
        <w:rPr>
          <w:rFonts w:ascii="Times New Roman" w:eastAsia="Times New Roman" w:hAnsi="Times New Roman" w:cs="Times New Roman"/>
          <w:b/>
          <w:spacing w:val="1"/>
          <w:sz w:val="24"/>
          <w:szCs w:val="24"/>
        </w:rPr>
      </w:pPr>
    </w:p>
    <w:p w:rsidR="00234238" w:rsidP="00234238" w14:paraId="3428964B" w14:textId="0BC54120">
      <w:pPr>
        <w:spacing w:after="0" w:line="240" w:lineRule="auto"/>
        <w:rPr>
          <w:rFonts w:ascii="Times New Roman" w:eastAsia="Times New Roman" w:hAnsi="Times New Roman" w:cs="Times New Roman"/>
          <w:sz w:val="24"/>
          <w:szCs w:val="24"/>
        </w:rPr>
      </w:pPr>
      <w:r w:rsidRPr="00180A25">
        <w:rPr>
          <w:rFonts w:ascii="Times New Roman" w:eastAsia="Times New Roman" w:hAnsi="Times New Roman" w:cs="Times New Roman"/>
          <w:b/>
          <w:spacing w:val="1"/>
          <w:sz w:val="24"/>
          <w:szCs w:val="24"/>
        </w:rPr>
        <w:t>1.</w:t>
      </w:r>
      <w:r>
        <w:rPr>
          <w:rFonts w:ascii="Times New Roman" w:eastAsia="Times New Roman" w:hAnsi="Times New Roman" w:cs="Times New Roman"/>
          <w:b/>
          <w:spacing w:val="1"/>
          <w:sz w:val="24"/>
          <w:szCs w:val="24"/>
        </w:rPr>
        <w:t>c</w:t>
      </w:r>
      <w:r w:rsidRPr="00180A25">
        <w:rPr>
          <w:rFonts w:ascii="Times New Roman" w:eastAsia="Times New Roman" w:hAnsi="Times New Roman" w:cs="Times New Roman"/>
          <w:b/>
          <w:spacing w:val="1"/>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b/>
          <w:sz w:val="24"/>
          <w:szCs w:val="24"/>
        </w:rPr>
        <w:t xml:space="preserve">Web-broker Website Required QHP Comparative Information and Enrollment Support Disclaimer (45 C.F.R. </w:t>
      </w:r>
      <w:bookmarkStart w:id="5" w:name="_Hlk147163159"/>
      <w:r>
        <w:rPr>
          <w:rFonts w:ascii="Times New Roman" w:eastAsia="Times New Roman" w:hAnsi="Times New Roman" w:cs="Times New Roman"/>
          <w:b/>
          <w:sz w:val="24"/>
          <w:szCs w:val="24"/>
        </w:rPr>
        <w:t xml:space="preserve">§ 155.220(c)(3)(i)(A)): </w:t>
      </w:r>
      <w:bookmarkEnd w:id="5"/>
      <w:r>
        <w:rPr>
          <w:rFonts w:ascii="Times New Roman" w:eastAsia="Times New Roman" w:hAnsi="Times New Roman" w:cs="Times New Roman"/>
          <w:sz w:val="24"/>
          <w:szCs w:val="24"/>
        </w:rPr>
        <w:t xml:space="preserve">As finalized in the 2023 Payment Notice, § 155.220(c)(3)(i)(A) requires web-brokers to disclose and display the following QHP comparative information: 1) premium and cost-sharing information, 2) the summary of benefits and coverage, 3) identification of the plan’s metal level or whether it is a catastrophic plan, 4) results of the enrollee satisfaction survey, 5) quality ratings, and 6) the provider directory. In addition, to the extent that enrollment support for a QHP is not available using the web-broker’s website, the website must </w:t>
      </w:r>
      <w:r w:rsidRPr="00F04D57">
        <w:rPr>
          <w:rFonts w:ascii="Times New Roman" w:eastAsia="Times New Roman" w:hAnsi="Times New Roman" w:cs="Times New Roman"/>
          <w:sz w:val="24"/>
          <w:szCs w:val="24"/>
        </w:rPr>
        <w:t>prominently display</w:t>
      </w:r>
      <w:r>
        <w:rPr>
          <w:rFonts w:ascii="Times New Roman" w:eastAsia="Times New Roman" w:hAnsi="Times New Roman" w:cs="Times New Roman"/>
          <w:sz w:val="24"/>
          <w:szCs w:val="24"/>
        </w:rPr>
        <w:t xml:space="preserve"> the following </w:t>
      </w:r>
      <w:r w:rsidRPr="00F04D57">
        <w:rPr>
          <w:rFonts w:ascii="Times New Roman" w:eastAsia="Times New Roman" w:hAnsi="Times New Roman" w:cs="Times New Roman"/>
          <w:sz w:val="24"/>
          <w:szCs w:val="24"/>
        </w:rPr>
        <w:t>standardized</w:t>
      </w:r>
      <w:r>
        <w:rPr>
          <w:rFonts w:ascii="Times New Roman" w:eastAsia="Times New Roman" w:hAnsi="Times New Roman" w:cs="Times New Roman"/>
          <w:sz w:val="24"/>
          <w:szCs w:val="24"/>
        </w:rPr>
        <w:t xml:space="preserve"> </w:t>
      </w:r>
      <w:r w:rsidRPr="00F04D57">
        <w:rPr>
          <w:rFonts w:ascii="Times New Roman" w:eastAsia="Times New Roman" w:hAnsi="Times New Roman" w:cs="Times New Roman"/>
          <w:sz w:val="24"/>
          <w:szCs w:val="24"/>
        </w:rPr>
        <w:t>disclaimer provided by</w:t>
      </w:r>
      <w:r>
        <w:rPr>
          <w:rFonts w:ascii="Times New Roman" w:eastAsia="Times New Roman" w:hAnsi="Times New Roman" w:cs="Times New Roman"/>
          <w:sz w:val="24"/>
          <w:szCs w:val="24"/>
        </w:rPr>
        <w:t xml:space="preserve"> </w:t>
      </w:r>
      <w:r w:rsidRPr="00F04D57">
        <w:rPr>
          <w:rFonts w:ascii="Times New Roman" w:eastAsia="Times New Roman" w:hAnsi="Times New Roman" w:cs="Times New Roman"/>
          <w:sz w:val="24"/>
          <w:szCs w:val="24"/>
        </w:rPr>
        <w:t>HHS stating that enrollment support is</w:t>
      </w:r>
      <w:r>
        <w:rPr>
          <w:rFonts w:ascii="Times New Roman" w:eastAsia="Times New Roman" w:hAnsi="Times New Roman" w:cs="Times New Roman"/>
          <w:sz w:val="24"/>
          <w:szCs w:val="24"/>
        </w:rPr>
        <w:t xml:space="preserve"> </w:t>
      </w:r>
      <w:r w:rsidRPr="00F04D57">
        <w:rPr>
          <w:rFonts w:ascii="Times New Roman" w:eastAsia="Times New Roman" w:hAnsi="Times New Roman" w:cs="Times New Roman"/>
          <w:sz w:val="24"/>
          <w:szCs w:val="24"/>
        </w:rPr>
        <w:t>available on the Exchange website and</w:t>
      </w:r>
      <w:r>
        <w:rPr>
          <w:rFonts w:ascii="Times New Roman" w:eastAsia="Times New Roman" w:hAnsi="Times New Roman" w:cs="Times New Roman"/>
          <w:sz w:val="24"/>
          <w:szCs w:val="24"/>
        </w:rPr>
        <w:t xml:space="preserve"> </w:t>
      </w:r>
      <w:r w:rsidRPr="00F04D57">
        <w:rPr>
          <w:rFonts w:ascii="Times New Roman" w:eastAsia="Times New Roman" w:hAnsi="Times New Roman" w:cs="Times New Roman"/>
          <w:sz w:val="24"/>
          <w:szCs w:val="24"/>
        </w:rPr>
        <w:t>provide a web link to the Exchange</w:t>
      </w:r>
      <w:r>
        <w:rPr>
          <w:rFonts w:ascii="Times New Roman" w:eastAsia="Times New Roman" w:hAnsi="Times New Roman" w:cs="Times New Roman"/>
          <w:sz w:val="24"/>
          <w:szCs w:val="24"/>
        </w:rPr>
        <w:t xml:space="preserve"> </w:t>
      </w:r>
      <w:r w:rsidRPr="00F04D57">
        <w:rPr>
          <w:rFonts w:ascii="Times New Roman" w:eastAsia="Times New Roman" w:hAnsi="Times New Roman" w:cs="Times New Roman"/>
          <w:sz w:val="24"/>
          <w:szCs w:val="24"/>
        </w:rPr>
        <w:t>website</w:t>
      </w:r>
      <w:r>
        <w:rPr>
          <w:rFonts w:ascii="Times New Roman" w:eastAsia="Times New Roman" w:hAnsi="Times New Roman" w:cs="Times New Roman"/>
          <w:sz w:val="24"/>
          <w:szCs w:val="24"/>
        </w:rPr>
        <w:t>:</w:t>
      </w:r>
    </w:p>
    <w:p w:rsidR="00234238" w:rsidP="00234238" w14:paraId="141A9B02" w14:textId="77777777">
      <w:pPr>
        <w:spacing w:after="0" w:line="240" w:lineRule="auto"/>
        <w:ind w:left="720"/>
        <w:rPr>
          <w:rFonts w:ascii="Times New Roman" w:eastAsia="Times New Roman" w:hAnsi="Times New Roman" w:cs="Times New Roman"/>
          <w:sz w:val="24"/>
          <w:szCs w:val="24"/>
        </w:rPr>
      </w:pPr>
      <w:r w:rsidRPr="00BC48A1">
        <w:rPr>
          <w:rFonts w:ascii="Times New Roman" w:eastAsia="Times New Roman" w:hAnsi="Times New Roman" w:cs="Times New Roman"/>
          <w:sz w:val="24"/>
          <w:szCs w:val="24"/>
        </w:rPr>
        <w:t>“[Name of Company] does not support enrollment in this Qualified Health Plan at this time. To</w:t>
      </w:r>
      <w:r>
        <w:rPr>
          <w:rFonts w:ascii="Times New Roman" w:eastAsia="Times New Roman" w:hAnsi="Times New Roman" w:cs="Times New Roman"/>
          <w:sz w:val="24"/>
          <w:szCs w:val="24"/>
        </w:rPr>
        <w:t xml:space="preserve"> </w:t>
      </w:r>
      <w:r w:rsidRPr="00BC48A1">
        <w:rPr>
          <w:rFonts w:ascii="Times New Roman" w:eastAsia="Times New Roman" w:hAnsi="Times New Roman" w:cs="Times New Roman"/>
          <w:sz w:val="24"/>
          <w:szCs w:val="24"/>
        </w:rPr>
        <w:t>enroll in this Qualified Health Plan, visit the Health Insurance Marketplace® website at</w:t>
      </w:r>
      <w:r>
        <w:rPr>
          <w:rFonts w:ascii="Times New Roman" w:eastAsia="Times New Roman" w:hAnsi="Times New Roman" w:cs="Times New Roman"/>
          <w:sz w:val="24"/>
          <w:szCs w:val="24"/>
        </w:rPr>
        <w:t xml:space="preserve"> </w:t>
      </w:r>
      <w:r w:rsidRPr="00BC48A1">
        <w:rPr>
          <w:rFonts w:ascii="Times New Roman" w:eastAsia="Times New Roman" w:hAnsi="Times New Roman" w:cs="Times New Roman"/>
          <w:sz w:val="24"/>
          <w:szCs w:val="24"/>
        </w:rPr>
        <w:t>HealthCare.gov.”</w:t>
      </w:r>
    </w:p>
    <w:p w:rsidR="00234238" w:rsidRPr="00BC48A1" w:rsidP="00234238" w14:paraId="5BB95472" w14:textId="77777777">
      <w:pPr>
        <w:spacing w:after="0" w:line="240" w:lineRule="auto"/>
        <w:rPr>
          <w:rFonts w:ascii="Times New Roman" w:eastAsia="Times New Roman" w:hAnsi="Times New Roman" w:cs="Times New Roman"/>
          <w:sz w:val="24"/>
          <w:szCs w:val="24"/>
        </w:rPr>
      </w:pPr>
    </w:p>
    <w:p w:rsidR="00234238" w:rsidRPr="00BC48A1" w:rsidP="00234238" w14:paraId="6FE98682" w14:textId="77777777">
      <w:pPr>
        <w:spacing w:after="0" w:line="240" w:lineRule="auto"/>
        <w:rPr>
          <w:rFonts w:ascii="Times New Roman" w:eastAsia="Times New Roman" w:hAnsi="Times New Roman" w:cs="Times New Roman"/>
          <w:sz w:val="24"/>
          <w:szCs w:val="24"/>
        </w:rPr>
      </w:pPr>
      <w:r w:rsidRPr="00BC48A1">
        <w:rPr>
          <w:rFonts w:ascii="Times New Roman" w:eastAsia="Times New Roman" w:hAnsi="Times New Roman" w:cs="Times New Roman"/>
          <w:sz w:val="24"/>
          <w:szCs w:val="24"/>
        </w:rPr>
        <w:t>The mandatory standardized Enrollment Support Disclaimer must:</w:t>
      </w:r>
    </w:p>
    <w:p w:rsidR="00234238" w:rsidP="00234238" w14:paraId="6CDA150C" w14:textId="77777777">
      <w:pPr>
        <w:pStyle w:val="ListParagraph"/>
        <w:numPr>
          <w:ilvl w:val="0"/>
          <w:numId w:val="34"/>
        </w:numPr>
        <w:spacing w:after="0" w:line="240" w:lineRule="auto"/>
        <w:rPr>
          <w:rFonts w:ascii="Times New Roman" w:eastAsia="Times New Roman" w:hAnsi="Times New Roman" w:cs="Times New Roman"/>
          <w:sz w:val="24"/>
          <w:szCs w:val="24"/>
        </w:rPr>
      </w:pPr>
      <w:r w:rsidRPr="00D15A00">
        <w:rPr>
          <w:rFonts w:ascii="Times New Roman" w:eastAsia="Times New Roman" w:hAnsi="Times New Roman" w:cs="Times New Roman"/>
          <w:sz w:val="24"/>
          <w:szCs w:val="24"/>
        </w:rPr>
        <w:t>Be prominently displayed on any website page where plan information for QHPs is displayed if the web-broker does not support enrollment in any such QHPs, so it is noticeable to the qualified individual (QI) or Agent/Broker assisting the QI;</w:t>
      </w:r>
    </w:p>
    <w:p w:rsidR="003C2B23" w:rsidRPr="00D15A00" w:rsidP="003C2B23" w14:paraId="60CB7BCF" w14:textId="77777777">
      <w:pPr>
        <w:pStyle w:val="ListParagraph"/>
        <w:spacing w:after="0" w:line="240" w:lineRule="auto"/>
        <w:rPr>
          <w:rFonts w:ascii="Times New Roman" w:eastAsia="Times New Roman" w:hAnsi="Times New Roman" w:cs="Times New Roman"/>
          <w:sz w:val="24"/>
          <w:szCs w:val="24"/>
        </w:rPr>
      </w:pPr>
    </w:p>
    <w:p w:rsidR="00234238" w:rsidRPr="00BC48A1" w:rsidP="00234238" w14:paraId="056655E3" w14:textId="77777777">
      <w:pPr>
        <w:pStyle w:val="ListParagraph"/>
        <w:numPr>
          <w:ilvl w:val="0"/>
          <w:numId w:val="28"/>
        </w:numPr>
        <w:spacing w:after="0" w:line="240" w:lineRule="auto"/>
        <w:rPr>
          <w:rFonts w:ascii="Times New Roman" w:eastAsia="Times New Roman" w:hAnsi="Times New Roman" w:cs="Times New Roman"/>
          <w:sz w:val="24"/>
          <w:szCs w:val="24"/>
        </w:rPr>
      </w:pPr>
      <w:r w:rsidRPr="00BC48A1">
        <w:rPr>
          <w:rFonts w:ascii="Times New Roman" w:eastAsia="Times New Roman" w:hAnsi="Times New Roman" w:cs="Times New Roman"/>
          <w:sz w:val="24"/>
          <w:szCs w:val="24"/>
        </w:rPr>
        <w:t>Be provided where the enrollment button (or other similar mechanism) would otherwise appear</w:t>
      </w:r>
      <w:r>
        <w:rPr>
          <w:rFonts w:ascii="Times New Roman" w:eastAsia="Times New Roman" w:hAnsi="Times New Roman" w:cs="Times New Roman"/>
          <w:sz w:val="24"/>
          <w:szCs w:val="24"/>
        </w:rPr>
        <w:t xml:space="preserve"> </w:t>
      </w:r>
      <w:r w:rsidRPr="00BC48A1">
        <w:rPr>
          <w:rFonts w:ascii="Times New Roman" w:eastAsia="Times New Roman" w:hAnsi="Times New Roman" w:cs="Times New Roman"/>
          <w:sz w:val="24"/>
          <w:szCs w:val="24"/>
        </w:rPr>
        <w:t>for a particular QHP, although we will consider a web-broker website in compliance if a visual</w:t>
      </w:r>
      <w:r>
        <w:rPr>
          <w:rFonts w:ascii="Times New Roman" w:eastAsia="Times New Roman" w:hAnsi="Times New Roman" w:cs="Times New Roman"/>
          <w:sz w:val="24"/>
          <w:szCs w:val="24"/>
        </w:rPr>
        <w:t xml:space="preserve"> </w:t>
      </w:r>
      <w:r w:rsidRPr="00BC48A1">
        <w:rPr>
          <w:rFonts w:ascii="Times New Roman" w:eastAsia="Times New Roman" w:hAnsi="Times New Roman" w:cs="Times New Roman"/>
          <w:sz w:val="24"/>
          <w:szCs w:val="24"/>
        </w:rPr>
        <w:t>cue is displayed where the enrollment button (or other similar mechanism) would otherwise</w:t>
      </w:r>
      <w:r>
        <w:rPr>
          <w:rFonts w:ascii="Times New Roman" w:eastAsia="Times New Roman" w:hAnsi="Times New Roman" w:cs="Times New Roman"/>
          <w:sz w:val="24"/>
          <w:szCs w:val="24"/>
        </w:rPr>
        <w:t xml:space="preserve"> </w:t>
      </w:r>
      <w:r w:rsidRPr="00BC48A1">
        <w:rPr>
          <w:rFonts w:ascii="Times New Roman" w:eastAsia="Times New Roman" w:hAnsi="Times New Roman" w:cs="Times New Roman"/>
          <w:sz w:val="24"/>
          <w:szCs w:val="24"/>
        </w:rPr>
        <w:t>appear for a particular QHP if the visual cue provides clear direction to the standardized</w:t>
      </w:r>
      <w:r>
        <w:rPr>
          <w:rFonts w:ascii="Times New Roman" w:eastAsia="Times New Roman" w:hAnsi="Times New Roman" w:cs="Times New Roman"/>
          <w:sz w:val="24"/>
          <w:szCs w:val="24"/>
        </w:rPr>
        <w:t xml:space="preserve"> </w:t>
      </w:r>
      <w:r w:rsidRPr="00BC48A1">
        <w:rPr>
          <w:rFonts w:ascii="Times New Roman" w:eastAsia="Times New Roman" w:hAnsi="Times New Roman" w:cs="Times New Roman"/>
          <w:sz w:val="24"/>
          <w:szCs w:val="24"/>
        </w:rPr>
        <w:t>disclaimer text on the same website page or otherwise displays the standardized disclaimer text</w:t>
      </w:r>
      <w:r>
        <w:rPr>
          <w:rFonts w:ascii="Times New Roman" w:eastAsia="Times New Roman" w:hAnsi="Times New Roman" w:cs="Times New Roman"/>
          <w:sz w:val="24"/>
          <w:szCs w:val="24"/>
        </w:rPr>
        <w:t xml:space="preserve"> </w:t>
      </w:r>
      <w:r w:rsidRPr="00BC48A1">
        <w:rPr>
          <w:rFonts w:ascii="Times New Roman" w:eastAsia="Times New Roman" w:hAnsi="Times New Roman" w:cs="Times New Roman"/>
          <w:sz w:val="24"/>
          <w:szCs w:val="24"/>
        </w:rPr>
        <w:t>(e.g., in a pop-up bubble that appears while hovering over the visual cue on the website);</w:t>
      </w:r>
    </w:p>
    <w:p w:rsidR="00234238" w:rsidRPr="00BC48A1" w:rsidP="00234238" w14:paraId="41F9A7ED" w14:textId="77777777">
      <w:pPr>
        <w:pStyle w:val="ListParagraph"/>
        <w:numPr>
          <w:ilvl w:val="0"/>
          <w:numId w:val="28"/>
        </w:numPr>
        <w:spacing w:after="0" w:line="240" w:lineRule="auto"/>
        <w:rPr>
          <w:rFonts w:ascii="Times New Roman" w:eastAsia="Times New Roman" w:hAnsi="Times New Roman" w:cs="Times New Roman"/>
          <w:sz w:val="24"/>
          <w:szCs w:val="24"/>
        </w:rPr>
      </w:pPr>
      <w:r w:rsidRPr="00BC48A1">
        <w:rPr>
          <w:rFonts w:ascii="Times New Roman" w:eastAsia="Times New Roman" w:hAnsi="Times New Roman" w:cs="Times New Roman"/>
          <w:sz w:val="24"/>
          <w:szCs w:val="24"/>
        </w:rPr>
        <w:t>Use the exact language provided by HHS; and</w:t>
      </w:r>
    </w:p>
    <w:p w:rsidR="00234238" w:rsidRPr="00F205D1" w:rsidP="00234238" w14:paraId="21AC0D5C" w14:textId="77777777">
      <w:pPr>
        <w:pStyle w:val="ListParagraph"/>
        <w:numPr>
          <w:ilvl w:val="0"/>
          <w:numId w:val="28"/>
        </w:numPr>
        <w:spacing w:after="0" w:line="240" w:lineRule="auto"/>
        <w:rPr>
          <w:rFonts w:ascii="Times New Roman" w:eastAsia="Times New Roman" w:hAnsi="Times New Roman" w:cs="Times New Roman"/>
          <w:sz w:val="24"/>
          <w:szCs w:val="24"/>
        </w:rPr>
      </w:pPr>
      <w:r w:rsidRPr="00BC48A1">
        <w:rPr>
          <w:rFonts w:ascii="Times New Roman" w:eastAsia="Times New Roman" w:hAnsi="Times New Roman" w:cs="Times New Roman"/>
          <w:sz w:val="24"/>
          <w:szCs w:val="24"/>
        </w:rPr>
        <w:t>Include an operational link to the Health Insurance Marketplace® website (HealthCare.gov).</w:t>
      </w:r>
    </w:p>
    <w:p w:rsidR="00234238" w:rsidP="00234238" w14:paraId="0A85C9AC" w14:textId="77777777">
      <w:pPr>
        <w:spacing w:after="0" w:line="240" w:lineRule="auto"/>
        <w:ind w:right="-20"/>
        <w:rPr>
          <w:rFonts w:ascii="Times New Roman" w:eastAsia="Times New Roman" w:hAnsi="Times New Roman" w:cs="Times New Roman"/>
          <w:b/>
          <w:spacing w:val="1"/>
          <w:sz w:val="24"/>
          <w:szCs w:val="24"/>
        </w:rPr>
      </w:pPr>
    </w:p>
    <w:p w:rsidR="00234238" w:rsidP="00234238" w14:paraId="2E893EFE" w14:textId="14A33103">
      <w:pPr>
        <w:spacing w:after="0" w:line="246" w:lineRule="auto"/>
        <w:rPr>
          <w:rFonts w:ascii="Times New Roman" w:eastAsia="Times New Roman" w:hAnsi="Times New Roman" w:cs="Times New Roman"/>
          <w:spacing w:val="1"/>
          <w:sz w:val="24"/>
          <w:szCs w:val="24"/>
        </w:rPr>
      </w:pPr>
      <w:r w:rsidRPr="00180A25">
        <w:rPr>
          <w:rFonts w:ascii="Times New Roman" w:eastAsia="Times New Roman" w:hAnsi="Times New Roman" w:cs="Times New Roman"/>
          <w:b/>
          <w:spacing w:val="1"/>
          <w:sz w:val="24"/>
          <w:szCs w:val="24"/>
        </w:rPr>
        <w:t>1.</w:t>
      </w:r>
      <w:r>
        <w:rPr>
          <w:rFonts w:ascii="Times New Roman" w:eastAsia="Times New Roman" w:hAnsi="Times New Roman" w:cs="Times New Roman"/>
          <w:b/>
          <w:spacing w:val="1"/>
          <w:sz w:val="24"/>
          <w:szCs w:val="24"/>
        </w:rPr>
        <w:t>d</w:t>
      </w:r>
      <w:r w:rsidRPr="00180A25">
        <w:rPr>
          <w:rFonts w:ascii="Times New Roman" w:eastAsia="Times New Roman" w:hAnsi="Times New Roman" w:cs="Times New Roman"/>
          <w:b/>
          <w:spacing w:val="1"/>
          <w:sz w:val="24"/>
          <w:szCs w:val="24"/>
        </w:rPr>
        <w:t>.</w:t>
      </w:r>
      <w:r>
        <w:rPr>
          <w:rFonts w:ascii="Times New Roman" w:eastAsia="Times New Roman" w:hAnsi="Times New Roman" w:cs="Times New Roman"/>
          <w:spacing w:val="1"/>
          <w:sz w:val="24"/>
          <w:szCs w:val="24"/>
        </w:rPr>
        <w:t xml:space="preserve"> </w:t>
      </w:r>
      <w:r w:rsidRPr="00DC5442">
        <w:rPr>
          <w:rFonts w:ascii="Times New Roman" w:eastAsia="Times New Roman" w:hAnsi="Times New Roman" w:cs="Times New Roman"/>
          <w:b/>
          <w:spacing w:val="1"/>
          <w:sz w:val="24"/>
          <w:szCs w:val="24"/>
        </w:rPr>
        <w:t>Web-broker Website</w:t>
      </w:r>
      <w:r>
        <w:rPr>
          <w:rFonts w:ascii="Times New Roman" w:eastAsia="Times New Roman" w:hAnsi="Times New Roman" w:cs="Times New Roman"/>
          <w:spacing w:val="1"/>
          <w:sz w:val="24"/>
          <w:szCs w:val="24"/>
        </w:rPr>
        <w:t xml:space="preserve"> </w:t>
      </w:r>
      <w:r w:rsidRPr="00C02405">
        <w:rPr>
          <w:rFonts w:ascii="Times New Roman" w:eastAsia="Times New Roman" w:hAnsi="Times New Roman" w:cs="Times New Roman"/>
          <w:b/>
          <w:spacing w:val="1"/>
          <w:sz w:val="24"/>
          <w:szCs w:val="24"/>
        </w:rPr>
        <w:t>Explanation of Rationale for QHP Recommendations and Methodology for Default Display</w:t>
      </w:r>
      <w:r>
        <w:rPr>
          <w:rFonts w:ascii="Times New Roman" w:eastAsia="Times New Roman" w:hAnsi="Times New Roman" w:cs="Times New Roman"/>
          <w:b/>
          <w:spacing w:val="1"/>
          <w:sz w:val="24"/>
          <w:szCs w:val="24"/>
        </w:rPr>
        <w:t xml:space="preserve"> (</w:t>
      </w:r>
      <w:bookmarkStart w:id="6" w:name="_Hlk147163181"/>
      <w:r>
        <w:rPr>
          <w:rFonts w:ascii="Times New Roman" w:eastAsia="Times New Roman" w:hAnsi="Times New Roman" w:cs="Times New Roman"/>
          <w:b/>
          <w:spacing w:val="1"/>
          <w:sz w:val="24"/>
          <w:szCs w:val="24"/>
        </w:rPr>
        <w:t xml:space="preserve">45 C.F.R. § 155.220(c)(3)(i)(M)): </w:t>
      </w:r>
      <w:bookmarkEnd w:id="6"/>
      <w:r>
        <w:rPr>
          <w:rFonts w:ascii="Times New Roman" w:eastAsia="Times New Roman" w:hAnsi="Times New Roman" w:cs="Times New Roman"/>
          <w:spacing w:val="1"/>
          <w:sz w:val="24"/>
          <w:szCs w:val="24"/>
        </w:rPr>
        <w:t xml:space="preserve">As finalized in the 2023 Payment Notice, § 155.220(c)(3)(i)(M) requires </w:t>
      </w:r>
      <w:r w:rsidRPr="00C02405">
        <w:rPr>
          <w:rFonts w:ascii="Times New Roman" w:eastAsia="Times New Roman" w:hAnsi="Times New Roman" w:cs="Times New Roman"/>
          <w:spacing w:val="1"/>
          <w:sz w:val="24"/>
          <w:szCs w:val="24"/>
        </w:rPr>
        <w:t>web-broker website</w:t>
      </w:r>
      <w:r>
        <w:rPr>
          <w:rFonts w:ascii="Times New Roman" w:eastAsia="Times New Roman" w:hAnsi="Times New Roman" w:cs="Times New Roman"/>
          <w:spacing w:val="1"/>
          <w:sz w:val="24"/>
          <w:szCs w:val="24"/>
        </w:rPr>
        <w:t>s</w:t>
      </w:r>
      <w:r w:rsidRPr="00C02405">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to p</w:t>
      </w:r>
      <w:r w:rsidRPr="00C02405">
        <w:rPr>
          <w:rFonts w:ascii="Times New Roman" w:eastAsia="Times New Roman" w:hAnsi="Times New Roman" w:cs="Times New Roman"/>
          <w:spacing w:val="1"/>
          <w:sz w:val="24"/>
          <w:szCs w:val="24"/>
        </w:rPr>
        <w:t xml:space="preserve">rominently display a clear explanation of the rationale for QHP recommendations and the methodology for </w:t>
      </w:r>
      <w:r>
        <w:rPr>
          <w:rFonts w:ascii="Times New Roman" w:eastAsia="Times New Roman" w:hAnsi="Times New Roman" w:cs="Times New Roman"/>
          <w:spacing w:val="1"/>
          <w:sz w:val="24"/>
          <w:szCs w:val="24"/>
        </w:rPr>
        <w:t>their</w:t>
      </w:r>
      <w:r w:rsidRPr="00C02405">
        <w:rPr>
          <w:rFonts w:ascii="Times New Roman" w:eastAsia="Times New Roman" w:hAnsi="Times New Roman" w:cs="Times New Roman"/>
          <w:spacing w:val="1"/>
          <w:sz w:val="24"/>
          <w:szCs w:val="24"/>
        </w:rPr>
        <w:t xml:space="preserve"> default display of QHPs.</w:t>
      </w:r>
      <w:r>
        <w:rPr>
          <w:rFonts w:ascii="Times New Roman" w:eastAsia="Times New Roman" w:hAnsi="Times New Roman" w:cs="Times New Roman"/>
          <w:spacing w:val="1"/>
          <w:sz w:val="24"/>
          <w:szCs w:val="24"/>
        </w:rPr>
        <w:t xml:space="preserve"> </w:t>
      </w:r>
    </w:p>
    <w:p w:rsidR="004D629E" w:rsidP="00234238" w14:paraId="48B92514" w14:textId="2D985E05">
      <w:pPr>
        <w:spacing w:after="0" w:line="240" w:lineRule="auto"/>
        <w:rPr>
          <w:rFonts w:ascii="Times New Roman" w:eastAsia="Times New Roman" w:hAnsi="Times New Roman" w:cs="Times New Roman"/>
          <w:b/>
          <w:spacing w:val="1"/>
          <w:sz w:val="24"/>
          <w:szCs w:val="24"/>
        </w:rPr>
      </w:pPr>
    </w:p>
    <w:p w:rsidR="00234238" w:rsidP="00234238" w14:paraId="199C4D22" w14:textId="752715E1">
      <w:pPr>
        <w:spacing w:after="0" w:line="240" w:lineRule="auto"/>
        <w:rPr>
          <w:rFonts w:ascii="Times New Roman" w:eastAsia="Times New Roman" w:hAnsi="Times New Roman" w:cs="Times New Roman"/>
          <w:spacing w:val="1"/>
          <w:sz w:val="24"/>
          <w:szCs w:val="24"/>
        </w:rPr>
      </w:pPr>
      <w:r>
        <w:rPr>
          <w:rFonts w:ascii="Times New Roman" w:eastAsia="Times New Roman" w:hAnsi="Times New Roman" w:cs="Times New Roman"/>
          <w:b/>
          <w:spacing w:val="1"/>
          <w:sz w:val="24"/>
          <w:szCs w:val="24"/>
        </w:rPr>
        <w:t>1.</w:t>
      </w:r>
      <w:r>
        <w:rPr>
          <w:rFonts w:ascii="Times New Roman" w:eastAsia="Times New Roman" w:hAnsi="Times New Roman" w:cs="Times New Roman"/>
          <w:b/>
          <w:iCs/>
          <w:spacing w:val="1"/>
          <w:sz w:val="24"/>
          <w:szCs w:val="24"/>
        </w:rPr>
        <w:t>e</w:t>
      </w:r>
      <w:r>
        <w:rPr>
          <w:rFonts w:ascii="Times New Roman" w:eastAsia="Times New Roman" w:hAnsi="Times New Roman" w:cs="Times New Roman"/>
          <w:b/>
          <w:i/>
          <w:spacing w:val="1"/>
          <w:sz w:val="24"/>
          <w:szCs w:val="24"/>
        </w:rPr>
        <w:t>.</w:t>
      </w:r>
      <w:r>
        <w:rPr>
          <w:rFonts w:ascii="Times New Roman" w:eastAsia="Times New Roman" w:hAnsi="Times New Roman" w:cs="Times New Roman"/>
          <w:b/>
          <w:spacing w:val="1"/>
          <w:sz w:val="24"/>
          <w:szCs w:val="24"/>
        </w:rPr>
        <w:t xml:space="preserve"> </w:t>
      </w:r>
      <w:r w:rsidRPr="00261B42">
        <w:rPr>
          <w:rFonts w:ascii="Times New Roman" w:eastAsia="Times New Roman" w:hAnsi="Times New Roman" w:cs="Times New Roman"/>
          <w:b/>
          <w:spacing w:val="1"/>
          <w:sz w:val="24"/>
          <w:szCs w:val="24"/>
        </w:rPr>
        <w:t xml:space="preserve">Standardized </w:t>
      </w:r>
      <w:r>
        <w:rPr>
          <w:rFonts w:ascii="Times New Roman" w:eastAsia="Times New Roman" w:hAnsi="Times New Roman" w:cs="Times New Roman"/>
          <w:b/>
          <w:spacing w:val="1"/>
          <w:sz w:val="24"/>
          <w:szCs w:val="24"/>
        </w:rPr>
        <w:t>D</w:t>
      </w:r>
      <w:r w:rsidRPr="00261B42">
        <w:rPr>
          <w:rFonts w:ascii="Times New Roman" w:eastAsia="Times New Roman" w:hAnsi="Times New Roman" w:cs="Times New Roman"/>
          <w:b/>
          <w:spacing w:val="1"/>
          <w:sz w:val="24"/>
          <w:szCs w:val="24"/>
        </w:rPr>
        <w:t>isclaimer</w:t>
      </w:r>
      <w:r>
        <w:rPr>
          <w:rFonts w:ascii="Times New Roman" w:eastAsia="Times New Roman" w:hAnsi="Times New Roman" w:cs="Times New Roman"/>
          <w:b/>
          <w:spacing w:val="1"/>
          <w:sz w:val="24"/>
          <w:szCs w:val="24"/>
        </w:rPr>
        <w:t xml:space="preserve"> (45 C.F.R. </w:t>
      </w:r>
      <w:r>
        <w:rPr>
          <w:rFonts w:ascii="Times New Roman" w:eastAsia="Times New Roman" w:hAnsi="Times New Roman" w:cs="Times New Roman"/>
          <w:b/>
          <w:sz w:val="24"/>
          <w:szCs w:val="24"/>
        </w:rPr>
        <w:t>§155.221(b)(2))</w:t>
      </w:r>
      <w:r w:rsidRPr="00261B42">
        <w:rPr>
          <w:rFonts w:ascii="Times New Roman" w:eastAsia="Times New Roman" w:hAnsi="Times New Roman" w:cs="Times New Roman"/>
          <w:b/>
          <w:spacing w:val="1"/>
          <w:sz w:val="24"/>
          <w:szCs w:val="24"/>
        </w:rPr>
        <w:t>:</w:t>
      </w:r>
      <w:r>
        <w:rPr>
          <w:rFonts w:ascii="Times New Roman" w:eastAsia="Times New Roman" w:hAnsi="Times New Roman" w:cs="Times New Roman"/>
          <w:spacing w:val="1"/>
          <w:sz w:val="24"/>
          <w:szCs w:val="24"/>
        </w:rPr>
        <w:t xml:space="preserve"> As finalized in the 2020 Payment Notice, 45 C.F.R. § 155.221(b)(2) requires non-Exchange web sites operated by DE Entities in Federally-facilitated Exchange (FFE) and State Exchange</w:t>
      </w:r>
      <w:r>
        <w:rPr>
          <w:rStyle w:val="FootnoteReference"/>
          <w:rFonts w:ascii="Times New Roman" w:eastAsia="Times New Roman" w:hAnsi="Times New Roman" w:cs="Times New Roman"/>
          <w:spacing w:val="1"/>
          <w:sz w:val="24"/>
          <w:szCs w:val="24"/>
        </w:rPr>
        <w:footnoteReference w:id="3"/>
      </w:r>
      <w:r>
        <w:rPr>
          <w:rFonts w:ascii="Times New Roman" w:eastAsia="Times New Roman" w:hAnsi="Times New Roman" w:cs="Times New Roman"/>
          <w:spacing w:val="1"/>
          <w:sz w:val="24"/>
          <w:szCs w:val="24"/>
        </w:rPr>
        <w:t xml:space="preserve"> states to prominently display a standardized disclaimer in the form and manner provided by HHS. Its purpose will be to assist consumers in distinguishing between DE Entity website pages that display QHPs </w:t>
      </w:r>
      <w:r w:rsidRPr="004E70F5">
        <w:rPr>
          <w:rFonts w:ascii="Times New Roman" w:eastAsia="Times New Roman" w:hAnsi="Times New Roman" w:cs="Times New Roman"/>
          <w:spacing w:val="1"/>
          <w:sz w:val="24"/>
          <w:szCs w:val="24"/>
        </w:rPr>
        <w:t>and those that display non-QHPs, and for which products APTC and CSRs are avail</w:t>
      </w:r>
      <w:r>
        <w:rPr>
          <w:rFonts w:ascii="Times New Roman" w:eastAsia="Times New Roman" w:hAnsi="Times New Roman" w:cs="Times New Roman"/>
          <w:spacing w:val="1"/>
          <w:sz w:val="24"/>
          <w:szCs w:val="24"/>
        </w:rPr>
        <w:t>able. HHS expects the disclaimer text to contain the following information:</w:t>
      </w:r>
    </w:p>
    <w:p w:rsidR="00234238" w:rsidP="003C2B23" w14:paraId="1C47CD39" w14:textId="77777777">
      <w:pPr>
        <w:spacing w:line="240" w:lineRule="auto"/>
        <w:ind w:left="720" w:right="180"/>
        <w:rPr>
          <w:rFonts w:ascii="Times New Roman" w:eastAsia="Times New Roman" w:hAnsi="Times New Roman" w:cs="Times New Roman"/>
          <w:spacing w:val="-1"/>
          <w:sz w:val="24"/>
          <w:szCs w:val="24"/>
        </w:rPr>
      </w:pPr>
      <w:r w:rsidRPr="00F81788">
        <w:rPr>
          <w:rFonts w:ascii="Times New Roman" w:eastAsia="Times New Roman" w:hAnsi="Times New Roman" w:cs="Times New Roman"/>
          <w:spacing w:val="-1"/>
          <w:sz w:val="24"/>
          <w:szCs w:val="24"/>
        </w:rPr>
        <w:t xml:space="preserve">“You are now leaving the shopping experience for qualified health plans </w:t>
      </w:r>
      <w:r>
        <w:rPr>
          <w:rFonts w:ascii="Times New Roman" w:eastAsia="Times New Roman" w:hAnsi="Times New Roman" w:cs="Times New Roman"/>
          <w:spacing w:val="-1"/>
          <w:sz w:val="24"/>
          <w:szCs w:val="24"/>
        </w:rPr>
        <w:t>offered through</w:t>
      </w:r>
      <w:r w:rsidRPr="00F81788">
        <w:rPr>
          <w:rFonts w:ascii="Times New Roman" w:eastAsia="Times New Roman" w:hAnsi="Times New Roman" w:cs="Times New Roman"/>
          <w:spacing w:val="-1"/>
          <w:sz w:val="24"/>
          <w:szCs w:val="24"/>
        </w:rPr>
        <w:t xml:space="preserve"> the Marketplace. </w:t>
      </w:r>
      <w:r>
        <w:rPr>
          <w:rFonts w:ascii="Times New Roman" w:eastAsia="Times New Roman" w:hAnsi="Times New Roman" w:cs="Times New Roman"/>
          <w:spacing w:val="-1"/>
          <w:sz w:val="24"/>
          <w:szCs w:val="24"/>
        </w:rPr>
        <w:t xml:space="preserve">You must enroll in a qualified health plan offered through the Marketplace to receive financial assistance like tax credits that could reduce your costs (if eligible). You must </w:t>
      </w:r>
      <w:r w:rsidRPr="00F81788">
        <w:rPr>
          <w:rFonts w:ascii="Times New Roman" w:eastAsia="Times New Roman" w:hAnsi="Times New Roman" w:cs="Times New Roman"/>
          <w:spacing w:val="-1"/>
          <w:sz w:val="24"/>
          <w:szCs w:val="24"/>
        </w:rPr>
        <w:t>complete a</w:t>
      </w:r>
      <w:r>
        <w:rPr>
          <w:rFonts w:ascii="Times New Roman" w:eastAsia="Times New Roman" w:hAnsi="Times New Roman" w:cs="Times New Roman"/>
          <w:spacing w:val="-1"/>
          <w:sz w:val="24"/>
          <w:szCs w:val="24"/>
        </w:rPr>
        <w:t xml:space="preserve"> Marketplace</w:t>
      </w:r>
      <w:r w:rsidRPr="00F81788">
        <w:rPr>
          <w:rFonts w:ascii="Times New Roman" w:eastAsia="Times New Roman" w:hAnsi="Times New Roman" w:cs="Times New Roman"/>
          <w:spacing w:val="-1"/>
          <w:sz w:val="24"/>
          <w:szCs w:val="24"/>
        </w:rPr>
        <w:t xml:space="preserve"> eligibility application</w:t>
      </w:r>
      <w:r>
        <w:rPr>
          <w:rFonts w:ascii="Times New Roman" w:eastAsia="Times New Roman" w:hAnsi="Times New Roman" w:cs="Times New Roman"/>
          <w:spacing w:val="-1"/>
          <w:sz w:val="24"/>
          <w:szCs w:val="24"/>
        </w:rPr>
        <w:t xml:space="preserve"> to determine if you are eligible for financial assistance or other programs like Medicaid</w:t>
      </w:r>
      <w:r w:rsidRPr="00F81788">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 xml:space="preserve"> </w:t>
      </w:r>
    </w:p>
    <w:p w:rsidR="00234238" w:rsidP="003C2B23" w14:paraId="0998BC35" w14:textId="77777777">
      <w:pPr>
        <w:spacing w:line="240" w:lineRule="auto"/>
        <w:ind w:left="720" w:right="180"/>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Click here to return to the shopping experience for qualified health plans offered through the Marketplace. [Alternatively, “Go back” or a similar link or button could be utilized here in place of “Click here” to clearly indicate to the consumer they can return to viewing QHPs.]</w:t>
      </w:r>
    </w:p>
    <w:p w:rsidR="00234238" w:rsidP="003C2B23" w14:paraId="4378EF15" w14:textId="77777777">
      <w:pPr>
        <w:spacing w:line="240" w:lineRule="auto"/>
        <w:ind w:left="720" w:right="180"/>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Click here to view other options. [Alternatively, “Continue” or a similar link or button could be utilized here in place of “Click here” to clearly indicate to the consumer they can proceed with viewing other, non-QHP options.] </w:t>
      </w:r>
    </w:p>
    <w:p w:rsidR="00234238" w:rsidP="003C2B23" w14:paraId="1178CA74" w14:textId="77777777">
      <w:pPr>
        <w:spacing w:line="240" w:lineRule="auto"/>
        <w:ind w:left="720" w:right="180"/>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[Optional:] For more information, click here.</w:t>
      </w:r>
    </w:p>
    <w:p w:rsidR="00234238" w:rsidRPr="00F81788" w:rsidP="003C2B23" w14:paraId="61FB851A" w14:textId="77777777">
      <w:pPr>
        <w:spacing w:line="240" w:lineRule="auto"/>
        <w:ind w:left="720" w:right="180"/>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[This final statement is only required if an automatic redirect is utilized:]</w:t>
      </w:r>
      <w:r w:rsidRPr="00F81788">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 xml:space="preserve">You will be automatically redirected to view other options in 30 seconds.” </w:t>
      </w:r>
    </w:p>
    <w:p w:rsidR="00234238" w:rsidP="00234238" w14:paraId="092E22CC" w14:textId="77777777">
      <w:pPr>
        <w:spacing w:after="0" w:line="246" w:lineRule="auto"/>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This disclaimer must</w:t>
      </w:r>
      <w:r w:rsidRPr="00DD34EB">
        <w:rPr>
          <w:rFonts w:ascii="Times New Roman" w:eastAsia="Times New Roman" w:hAnsi="Times New Roman" w:cs="Times New Roman"/>
          <w:spacing w:val="1"/>
          <w:sz w:val="24"/>
          <w:szCs w:val="24"/>
        </w:rPr>
        <w:t xml:space="preserve"> be displayed prominently on a DE </w:t>
      </w:r>
      <w:r>
        <w:rPr>
          <w:rFonts w:ascii="Times New Roman" w:eastAsia="Times New Roman" w:hAnsi="Times New Roman" w:cs="Times New Roman"/>
          <w:spacing w:val="1"/>
          <w:sz w:val="24"/>
          <w:szCs w:val="24"/>
        </w:rPr>
        <w:t>E</w:t>
      </w:r>
      <w:r w:rsidRPr="00DD34EB">
        <w:rPr>
          <w:rFonts w:ascii="Times New Roman" w:eastAsia="Times New Roman" w:hAnsi="Times New Roman" w:cs="Times New Roman"/>
          <w:spacing w:val="1"/>
          <w:sz w:val="24"/>
          <w:szCs w:val="24"/>
        </w:rPr>
        <w:t>ntity</w:t>
      </w:r>
      <w:r>
        <w:rPr>
          <w:rFonts w:ascii="Times New Roman" w:eastAsia="Times New Roman" w:hAnsi="Times New Roman" w:cs="Times New Roman"/>
          <w:spacing w:val="1"/>
          <w:sz w:val="24"/>
          <w:szCs w:val="24"/>
        </w:rPr>
        <w:t>’</w:t>
      </w:r>
      <w:r w:rsidRPr="00DD34EB">
        <w:rPr>
          <w:rFonts w:ascii="Times New Roman" w:eastAsia="Times New Roman" w:hAnsi="Times New Roman" w:cs="Times New Roman"/>
          <w:spacing w:val="1"/>
          <w:sz w:val="24"/>
          <w:szCs w:val="24"/>
        </w:rPr>
        <w:t xml:space="preserve">s website when a consumer </w:t>
      </w:r>
      <w:r>
        <w:rPr>
          <w:rFonts w:ascii="Times New Roman" w:eastAsia="Times New Roman" w:hAnsi="Times New Roman" w:cs="Times New Roman"/>
          <w:spacing w:val="1"/>
          <w:sz w:val="24"/>
          <w:szCs w:val="24"/>
        </w:rPr>
        <w:t>navigates away from</w:t>
      </w:r>
      <w:r w:rsidRPr="00DD34EB">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 xml:space="preserve">any website page that markets or displays QHPs offered through the </w:t>
      </w:r>
      <w:r>
        <w:rPr>
          <w:rFonts w:ascii="Times New Roman" w:eastAsia="Times New Roman" w:hAnsi="Times New Roman" w:cs="Times New Roman"/>
          <w:spacing w:val="1"/>
          <w:sz w:val="24"/>
          <w:szCs w:val="24"/>
        </w:rPr>
        <w:t>Marketplace (i.e., on-Exchange QHPs) to any website page that markets or displays QHPs offered outside the Marketplace (i.e., off-Exchange QHPs) or non-QHPs</w:t>
      </w:r>
      <w:r w:rsidRPr="00DD34EB">
        <w:rPr>
          <w:rFonts w:ascii="Times New Roman" w:eastAsia="Times New Roman" w:hAnsi="Times New Roman" w:cs="Times New Roman"/>
          <w:spacing w:val="1"/>
          <w:sz w:val="24"/>
          <w:szCs w:val="24"/>
        </w:rPr>
        <w:t xml:space="preserve">. DE </w:t>
      </w:r>
      <w:r>
        <w:rPr>
          <w:rFonts w:ascii="Times New Roman" w:eastAsia="Times New Roman" w:hAnsi="Times New Roman" w:cs="Times New Roman"/>
          <w:spacing w:val="1"/>
          <w:sz w:val="24"/>
          <w:szCs w:val="24"/>
        </w:rPr>
        <w:t>E</w:t>
      </w:r>
      <w:r w:rsidRPr="00DD34EB">
        <w:rPr>
          <w:rFonts w:ascii="Times New Roman" w:eastAsia="Times New Roman" w:hAnsi="Times New Roman" w:cs="Times New Roman"/>
          <w:spacing w:val="1"/>
          <w:sz w:val="24"/>
          <w:szCs w:val="24"/>
        </w:rPr>
        <w:t xml:space="preserve">ntities are required to display this disclaimer on </w:t>
      </w:r>
      <w:r>
        <w:rPr>
          <w:rFonts w:ascii="Times New Roman" w:eastAsia="Times New Roman" w:hAnsi="Times New Roman" w:cs="Times New Roman"/>
          <w:spacing w:val="1"/>
          <w:sz w:val="24"/>
          <w:szCs w:val="24"/>
        </w:rPr>
        <w:t>its own interstitial</w:t>
      </w:r>
      <w:r w:rsidRPr="00DD34EB">
        <w:rPr>
          <w:rFonts w:ascii="Times New Roman" w:eastAsia="Times New Roman" w:hAnsi="Times New Roman" w:cs="Times New Roman"/>
          <w:spacing w:val="1"/>
          <w:sz w:val="24"/>
          <w:szCs w:val="24"/>
        </w:rPr>
        <w:t xml:space="preserve"> web</w:t>
      </w:r>
      <w:r>
        <w:rPr>
          <w:rFonts w:ascii="Times New Roman" w:eastAsia="Times New Roman" w:hAnsi="Times New Roman" w:cs="Times New Roman"/>
          <w:spacing w:val="1"/>
          <w:sz w:val="24"/>
          <w:szCs w:val="24"/>
        </w:rPr>
        <w:t xml:space="preserve">site </w:t>
      </w:r>
      <w:r w:rsidRPr="00DD34EB">
        <w:rPr>
          <w:rFonts w:ascii="Times New Roman" w:eastAsia="Times New Roman" w:hAnsi="Times New Roman" w:cs="Times New Roman"/>
          <w:spacing w:val="1"/>
          <w:sz w:val="24"/>
          <w:szCs w:val="24"/>
        </w:rPr>
        <w:t xml:space="preserve">page or </w:t>
      </w:r>
      <w:r>
        <w:rPr>
          <w:rFonts w:ascii="Times New Roman" w:eastAsia="Times New Roman" w:hAnsi="Times New Roman" w:cs="Times New Roman"/>
          <w:spacing w:val="1"/>
          <w:sz w:val="24"/>
          <w:szCs w:val="24"/>
        </w:rPr>
        <w:t>on a</w:t>
      </w:r>
      <w:r w:rsidRPr="00DD34EB">
        <w:rPr>
          <w:rFonts w:ascii="Times New Roman" w:eastAsia="Times New Roman" w:hAnsi="Times New Roman" w:cs="Times New Roman"/>
          <w:spacing w:val="1"/>
          <w:sz w:val="24"/>
          <w:szCs w:val="24"/>
        </w:rPr>
        <w:t xml:space="preserve"> pop-up </w:t>
      </w:r>
      <w:r>
        <w:rPr>
          <w:rFonts w:ascii="Times New Roman" w:eastAsia="Times New Roman" w:hAnsi="Times New Roman" w:cs="Times New Roman"/>
          <w:spacing w:val="1"/>
          <w:sz w:val="24"/>
          <w:szCs w:val="24"/>
        </w:rPr>
        <w:t>window</w:t>
      </w:r>
      <w:r w:rsidRPr="00DD34EB">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 xml:space="preserve">The interstitial website page or pop-up window may be configured to automatically redirect to the page the consumer was navigating to in no less than 30 seconds. </w:t>
      </w:r>
      <w:r w:rsidRPr="00DD34EB">
        <w:rPr>
          <w:rFonts w:ascii="Times New Roman" w:eastAsia="Times New Roman" w:hAnsi="Times New Roman" w:cs="Times New Roman"/>
          <w:spacing w:val="1"/>
          <w:sz w:val="24"/>
          <w:szCs w:val="24"/>
        </w:rPr>
        <w:t xml:space="preserve">The </w:t>
      </w:r>
      <w:r>
        <w:rPr>
          <w:rFonts w:ascii="Times New Roman" w:eastAsia="Times New Roman" w:hAnsi="Times New Roman" w:cs="Times New Roman"/>
          <w:spacing w:val="1"/>
          <w:sz w:val="24"/>
          <w:szCs w:val="24"/>
        </w:rPr>
        <w:t xml:space="preserve">interstitial website </w:t>
      </w:r>
      <w:r w:rsidRPr="00DD34EB">
        <w:rPr>
          <w:rFonts w:ascii="Times New Roman" w:eastAsia="Times New Roman" w:hAnsi="Times New Roman" w:cs="Times New Roman"/>
          <w:spacing w:val="1"/>
          <w:sz w:val="24"/>
          <w:szCs w:val="24"/>
        </w:rPr>
        <w:t xml:space="preserve">page or pop-up </w:t>
      </w:r>
      <w:r>
        <w:rPr>
          <w:rFonts w:ascii="Times New Roman" w:eastAsia="Times New Roman" w:hAnsi="Times New Roman" w:cs="Times New Roman"/>
          <w:spacing w:val="1"/>
          <w:sz w:val="24"/>
          <w:szCs w:val="24"/>
        </w:rPr>
        <w:t>window must</w:t>
      </w:r>
      <w:r w:rsidRPr="00DD34EB">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hyperlink the following text “Click here to return to the shopping experience for qualified health plans offered through the Marketplace” (or similar as described above) to return the consumer to the website page they were last on if that link is selected</w:t>
      </w:r>
      <w:r w:rsidRPr="00DD34EB">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 xml:space="preserve">Similarly, the interstitial website page or pop-up window must hyperlink the following text “Click here to view other options” (or similar as described above) to allow the consumer to advance to the next page before the automatic redirect (if implemented), if desired. </w:t>
      </w:r>
      <w:r w:rsidRPr="00DD34EB">
        <w:rPr>
          <w:rFonts w:ascii="Times New Roman" w:eastAsia="Times New Roman" w:hAnsi="Times New Roman" w:cs="Times New Roman"/>
          <w:spacing w:val="1"/>
          <w:sz w:val="24"/>
          <w:szCs w:val="24"/>
        </w:rPr>
        <w:t xml:space="preserve">Consistent with current practice for the other standardized disclaimers provided by HHS under </w:t>
      </w:r>
      <w:r>
        <w:rPr>
          <w:rFonts w:ascii="Times New Roman" w:eastAsia="Times New Roman" w:hAnsi="Times New Roman" w:cs="Times New Roman"/>
          <w:spacing w:val="1"/>
          <w:sz w:val="24"/>
          <w:szCs w:val="24"/>
        </w:rPr>
        <w:t xml:space="preserve">45 C.F.R. </w:t>
      </w:r>
      <w:r w:rsidRPr="00DD34EB">
        <w:rPr>
          <w:rFonts w:ascii="Times New Roman" w:eastAsia="Times New Roman" w:hAnsi="Times New Roman" w:cs="Times New Roman"/>
          <w:spacing w:val="1"/>
          <w:sz w:val="24"/>
          <w:szCs w:val="24"/>
        </w:rPr>
        <w:t>§§ 155.220 and 156.1230, HHS will provide further details about display parameters</w:t>
      </w:r>
      <w:r>
        <w:rPr>
          <w:rFonts w:ascii="Times New Roman" w:eastAsia="Times New Roman" w:hAnsi="Times New Roman" w:cs="Times New Roman"/>
          <w:spacing w:val="1"/>
          <w:sz w:val="24"/>
          <w:szCs w:val="24"/>
        </w:rPr>
        <w:t xml:space="preserve"> for this disclaimer in future guidance</w:t>
      </w:r>
      <w:r w:rsidRPr="00DD34EB">
        <w:rPr>
          <w:rFonts w:ascii="Times New Roman" w:eastAsia="Times New Roman" w:hAnsi="Times New Roman" w:cs="Times New Roman"/>
          <w:spacing w:val="1"/>
          <w:sz w:val="24"/>
          <w:szCs w:val="24"/>
        </w:rPr>
        <w:t xml:space="preserve">. </w:t>
      </w:r>
    </w:p>
    <w:p w:rsidR="00234238" w:rsidP="00234238" w14:paraId="60AF464C" w14:textId="77777777">
      <w:pPr>
        <w:spacing w:after="0" w:line="240" w:lineRule="auto"/>
        <w:rPr>
          <w:rFonts w:ascii="Times New Roman" w:eastAsia="Times New Roman" w:hAnsi="Times New Roman" w:cs="Times New Roman"/>
          <w:b/>
          <w:spacing w:val="1"/>
          <w:sz w:val="24"/>
          <w:szCs w:val="24"/>
        </w:rPr>
      </w:pPr>
    </w:p>
    <w:p w:rsidR="00234238" w:rsidP="00234238" w14:paraId="018B85C6" w14:textId="01A8A929">
      <w:pPr>
        <w:spacing w:after="0" w:line="240" w:lineRule="auto"/>
        <w:textAlignment w:val="center"/>
        <w:rPr>
          <w:rFonts w:ascii="Times New Roman" w:eastAsia="Times New Roman" w:hAnsi="Times New Roman" w:cs="Times New Roman"/>
          <w:sz w:val="24"/>
          <w:szCs w:val="24"/>
        </w:rPr>
      </w:pPr>
      <w:r>
        <w:rPr>
          <w:rFonts w:ascii="Times New Roman" w:eastAsia="Times New Roman" w:hAnsi="Times New Roman" w:cs="Times New Roman"/>
          <w:b/>
          <w:spacing w:val="1"/>
          <w:sz w:val="24"/>
          <w:szCs w:val="24"/>
        </w:rPr>
        <w:t>1.</w:t>
      </w:r>
      <w:r>
        <w:rPr>
          <w:rFonts w:ascii="Times New Roman" w:eastAsia="Times New Roman" w:hAnsi="Times New Roman" w:cs="Times New Roman"/>
          <w:b/>
          <w:iCs/>
          <w:spacing w:val="1"/>
          <w:sz w:val="24"/>
          <w:szCs w:val="24"/>
        </w:rPr>
        <w:t>f.</w:t>
      </w:r>
      <w:r>
        <w:rPr>
          <w:rFonts w:ascii="Times New Roman" w:eastAsia="Times New Roman" w:hAnsi="Times New Roman" w:cs="Times New Roman"/>
          <w:b/>
          <w:sz w:val="24"/>
          <w:szCs w:val="24"/>
        </w:rPr>
        <w:t xml:space="preserve"> General non-FFE Disclaimer (45 C.F.R. §155.220(c)(3)(i)(G)): </w:t>
      </w:r>
      <w:r w:rsidRPr="00914430">
        <w:rPr>
          <w:rFonts w:ascii="Times New Roman" w:eastAsia="Times New Roman" w:hAnsi="Times New Roman" w:cs="Times New Roman"/>
          <w:bCs/>
          <w:sz w:val="24"/>
          <w:szCs w:val="24"/>
        </w:rPr>
        <w:t>As finalized in the 2020 Payment Notice,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per 45 C.F.R. § 155.220(c)(3)(i)(G), web-broker websites must prominently display a standardized disclaimer provided by HHS that includes a link to HealthCare.gov. Consistent with other disclaimers, HHS provides the required disclaimer text in</w:t>
      </w:r>
      <w:r w:rsidRPr="0040212C">
        <w:rPr>
          <w:rFonts w:ascii="Times New Roman" w:eastAsia="Times New Roman" w:hAnsi="Times New Roman" w:cs="Times New Roman"/>
          <w:sz w:val="24"/>
          <w:szCs w:val="24"/>
        </w:rPr>
        <w:t xml:space="preserve"> FFE Enrollment Manual</w:t>
      </w:r>
      <w:r>
        <w:rPr>
          <w:rStyle w:val="FootnoteReference"/>
          <w:rFonts w:ascii="Times New Roman" w:eastAsia="Times New Roman" w:hAnsi="Times New Roman" w:cs="Times New Roman"/>
          <w:sz w:val="24"/>
          <w:szCs w:val="24"/>
        </w:rPr>
        <w:footnoteReference w:id="4"/>
      </w:r>
      <w:r>
        <w:rPr>
          <w:rFonts w:ascii="Times New Roman" w:eastAsia="Times New Roman" w:hAnsi="Times New Roman" w:cs="Times New Roman"/>
          <w:sz w:val="24"/>
          <w:szCs w:val="24"/>
        </w:rPr>
        <w:t xml:space="preserve">. </w:t>
      </w:r>
      <w:r w:rsidRPr="0015508B">
        <w:rPr>
          <w:rFonts w:ascii="Times New Roman" w:eastAsia="Times New Roman" w:hAnsi="Times New Roman" w:cs="Times New Roman"/>
          <w:sz w:val="24"/>
          <w:szCs w:val="24"/>
        </w:rPr>
        <w:t xml:space="preserve">The disclaimer must read: </w:t>
      </w:r>
    </w:p>
    <w:p w:rsidR="00234238" w:rsidP="00234238" w14:paraId="6097B6D9" w14:textId="77777777">
      <w:pPr>
        <w:spacing w:after="0" w:line="240" w:lineRule="auto"/>
        <w:ind w:left="720"/>
        <w:textAlignment w:val="center"/>
        <w:rPr>
          <w:rFonts w:ascii="Times New Roman" w:eastAsia="Times New Roman" w:hAnsi="Times New Roman" w:cs="Times New Roman"/>
          <w:sz w:val="24"/>
          <w:szCs w:val="24"/>
        </w:rPr>
      </w:pPr>
      <w:r w:rsidRPr="0015508B">
        <w:rPr>
          <w:rFonts w:ascii="Times New Roman" w:eastAsia="Times New Roman" w:hAnsi="Times New Roman" w:cs="Times New Roman"/>
          <w:sz w:val="24"/>
          <w:szCs w:val="24"/>
        </w:rPr>
        <w:t xml:space="preserve">“Attention: This website is operated by [Name of Company] and is not the Health Insurance Marketplace® website. In offering this website, [Name of Company] is required to comply with all applicable Federal law, including the standards established under 45 CFR 155.220(c) and (d) and standards established under 45 CFR 155.260 to protect the privacy and security of personally identifiable information. This website may not support enrollment in all Qualified Health Plans (QHPs) being offered in your state through the Health Insurance Marketplace® website. For enrollment support in all available QHP options in your state, go to the Health Insurance Marketplace® website at HealthCare.gov. </w:t>
      </w:r>
    </w:p>
    <w:p w:rsidR="00234238" w:rsidP="00234238" w14:paraId="374E97D5" w14:textId="77777777">
      <w:pPr>
        <w:spacing w:after="0" w:line="240" w:lineRule="auto"/>
        <w:ind w:left="720"/>
        <w:textAlignment w:val="center"/>
        <w:rPr>
          <w:rFonts w:ascii="Times New Roman" w:eastAsia="Times New Roman" w:hAnsi="Times New Roman" w:cs="Times New Roman"/>
          <w:sz w:val="24"/>
          <w:szCs w:val="24"/>
        </w:rPr>
      </w:pPr>
    </w:p>
    <w:p w:rsidR="00234238" w:rsidP="00234238" w14:paraId="5D238E4F" w14:textId="77777777">
      <w:pPr>
        <w:spacing w:after="0" w:line="240" w:lineRule="auto"/>
        <w:ind w:left="720"/>
        <w:textAlignment w:val="center"/>
        <w:rPr>
          <w:rFonts w:ascii="Times New Roman" w:eastAsia="Times New Roman" w:hAnsi="Times New Roman" w:cs="Times New Roman"/>
          <w:sz w:val="24"/>
          <w:szCs w:val="24"/>
        </w:rPr>
      </w:pPr>
      <w:r w:rsidRPr="0015508B">
        <w:rPr>
          <w:rFonts w:ascii="Times New Roman" w:eastAsia="Times New Roman" w:hAnsi="Times New Roman" w:cs="Times New Roman"/>
          <w:sz w:val="24"/>
          <w:szCs w:val="24"/>
        </w:rPr>
        <w:t xml:space="preserve">Also, you should visit the Health Insurance Marketplace® website at HealthCare.gov if: </w:t>
      </w:r>
    </w:p>
    <w:p w:rsidR="00234238" w:rsidRPr="007A1DC0" w:rsidP="00234238" w14:paraId="381754ED" w14:textId="77777777">
      <w:pPr>
        <w:pStyle w:val="ListParagraph"/>
        <w:numPr>
          <w:ilvl w:val="0"/>
          <w:numId w:val="26"/>
        </w:numPr>
        <w:spacing w:after="0" w:line="240" w:lineRule="auto"/>
        <w:ind w:left="1440"/>
        <w:textAlignment w:val="center"/>
        <w:rPr>
          <w:rFonts w:ascii="Times New Roman" w:eastAsia="Times New Roman" w:hAnsi="Times New Roman" w:cs="Times New Roman"/>
          <w:sz w:val="24"/>
          <w:szCs w:val="24"/>
        </w:rPr>
      </w:pPr>
      <w:r w:rsidRPr="007A1DC0">
        <w:rPr>
          <w:rFonts w:ascii="Times New Roman" w:eastAsia="Times New Roman" w:hAnsi="Times New Roman" w:cs="Times New Roman"/>
          <w:sz w:val="24"/>
          <w:szCs w:val="24"/>
        </w:rPr>
        <w:t>You want to select a catastrophic health plan. (</w:t>
      </w:r>
      <w:r w:rsidRPr="007A1DC0">
        <w:rPr>
          <w:rFonts w:ascii="Times New Roman" w:eastAsia="Times New Roman" w:hAnsi="Times New Roman" w:cs="Times New Roman"/>
          <w:b/>
          <w:bCs/>
          <w:sz w:val="24"/>
          <w:szCs w:val="24"/>
        </w:rPr>
        <w:t>This only needs to be included if catastrophic plans are not offered by the web-broker</w:t>
      </w:r>
      <w:r w:rsidRPr="007A1DC0">
        <w:rPr>
          <w:rFonts w:ascii="Times New Roman" w:eastAsia="Times New Roman" w:hAnsi="Times New Roman" w:cs="Times New Roman"/>
          <w:sz w:val="24"/>
          <w:szCs w:val="24"/>
        </w:rPr>
        <w:t xml:space="preserve">.) </w:t>
      </w:r>
    </w:p>
    <w:p w:rsidR="00234238" w:rsidRPr="007A1DC0" w:rsidP="00234238" w14:paraId="7221D4F9" w14:textId="77777777">
      <w:pPr>
        <w:pStyle w:val="ListParagraph"/>
        <w:numPr>
          <w:ilvl w:val="0"/>
          <w:numId w:val="26"/>
        </w:numPr>
        <w:spacing w:after="0" w:line="240" w:lineRule="auto"/>
        <w:ind w:left="1440"/>
        <w:textAlignment w:val="center"/>
        <w:rPr>
          <w:rFonts w:ascii="Times New Roman" w:eastAsia="Times New Roman" w:hAnsi="Times New Roman" w:cs="Times New Roman"/>
          <w:sz w:val="24"/>
          <w:szCs w:val="24"/>
        </w:rPr>
      </w:pPr>
      <w:r w:rsidRPr="007A1DC0">
        <w:rPr>
          <w:rFonts w:ascii="Times New Roman" w:eastAsia="Times New Roman" w:hAnsi="Times New Roman" w:cs="Times New Roman"/>
          <w:sz w:val="24"/>
          <w:szCs w:val="24"/>
        </w:rPr>
        <w:t>You want to enroll members of your household in separate QHPs. (</w:t>
      </w:r>
      <w:r w:rsidRPr="007A1DC0">
        <w:rPr>
          <w:rFonts w:ascii="Times New Roman" w:eastAsia="Times New Roman" w:hAnsi="Times New Roman" w:cs="Times New Roman"/>
          <w:b/>
          <w:bCs/>
          <w:sz w:val="24"/>
          <w:szCs w:val="24"/>
        </w:rPr>
        <w:t>This only needs to be included if the web-broker does not allow multiple enrollment groups for its classic DE pathway; note that EDE Entities are required to support multiple enrollment groups.</w:t>
      </w:r>
      <w:r w:rsidRPr="007A1DC0">
        <w:rPr>
          <w:rFonts w:ascii="Times New Roman" w:eastAsia="Times New Roman" w:hAnsi="Times New Roman" w:cs="Times New Roman"/>
          <w:sz w:val="24"/>
          <w:szCs w:val="24"/>
        </w:rPr>
        <w:t xml:space="preserve">) </w:t>
      </w:r>
    </w:p>
    <w:p w:rsidR="00234238" w:rsidRPr="007A1DC0" w:rsidP="00234238" w14:paraId="16F43C3C" w14:textId="77777777">
      <w:pPr>
        <w:pStyle w:val="ListParagraph"/>
        <w:numPr>
          <w:ilvl w:val="0"/>
          <w:numId w:val="26"/>
        </w:numPr>
        <w:spacing w:after="0" w:line="240" w:lineRule="auto"/>
        <w:ind w:left="1440"/>
        <w:textAlignment w:val="center"/>
        <w:rPr>
          <w:rFonts w:ascii="Times New Roman" w:eastAsia="Times New Roman" w:hAnsi="Times New Roman" w:cs="Times New Roman"/>
          <w:sz w:val="24"/>
          <w:szCs w:val="24"/>
        </w:rPr>
      </w:pPr>
      <w:r w:rsidRPr="007A1DC0">
        <w:rPr>
          <w:rFonts w:ascii="Times New Roman" w:eastAsia="Times New Roman" w:hAnsi="Times New Roman" w:cs="Times New Roman"/>
          <w:sz w:val="24"/>
          <w:szCs w:val="24"/>
        </w:rPr>
        <w:t>You want to enroll members of your household in dental coverage. [The plans offered here do not offer pediatric dental coverage and you want to choose a QHP offered by a different issuer that covers pediatric dental services or a separate dental plan with pediatric coverage.] (</w:t>
      </w:r>
      <w:r w:rsidRPr="007A1DC0">
        <w:rPr>
          <w:rFonts w:ascii="Times New Roman" w:eastAsia="Times New Roman" w:hAnsi="Times New Roman" w:cs="Times New Roman"/>
          <w:b/>
          <w:bCs/>
          <w:sz w:val="24"/>
          <w:szCs w:val="24"/>
        </w:rPr>
        <w:t>This only needs to be included if the web-broker does not offer assistance with enrollment in adult dental coverage or pediatric dental coverage.</w:t>
      </w:r>
      <w:r w:rsidRPr="007A1DC0">
        <w:rPr>
          <w:rFonts w:ascii="Times New Roman" w:eastAsia="Times New Roman" w:hAnsi="Times New Roman" w:cs="Times New Roman"/>
          <w:sz w:val="24"/>
          <w:szCs w:val="24"/>
        </w:rPr>
        <w:t xml:space="preserve">) </w:t>
      </w:r>
    </w:p>
    <w:p w:rsidR="00234238" w:rsidP="00234238" w14:paraId="32B7934D" w14:textId="77777777">
      <w:pPr>
        <w:spacing w:after="0" w:line="240" w:lineRule="auto"/>
        <w:ind w:left="1440"/>
        <w:textAlignment w:val="center"/>
        <w:rPr>
          <w:rFonts w:ascii="Times New Roman" w:eastAsia="Times New Roman" w:hAnsi="Times New Roman" w:cs="Times New Roman"/>
          <w:sz w:val="24"/>
          <w:szCs w:val="24"/>
        </w:rPr>
      </w:pPr>
    </w:p>
    <w:p w:rsidR="00192B1D" w:rsidP="00234238" w14:paraId="2D4D74B4" w14:textId="77777777">
      <w:pPr>
        <w:spacing w:after="0" w:line="240" w:lineRule="auto"/>
        <w:ind w:left="720"/>
        <w:textAlignment w:val="center"/>
        <w:rPr>
          <w:rFonts w:ascii="Times New Roman" w:eastAsia="Times New Roman" w:hAnsi="Times New Roman" w:cs="Times New Roman"/>
          <w:sz w:val="24"/>
          <w:szCs w:val="24"/>
        </w:rPr>
      </w:pPr>
    </w:p>
    <w:p w:rsidR="00234238" w:rsidP="00234238" w14:paraId="479AD214" w14:textId="3A8577B0">
      <w:pPr>
        <w:spacing w:after="0" w:line="240" w:lineRule="auto"/>
        <w:ind w:left="720"/>
        <w:textAlignment w:val="center"/>
        <w:rPr>
          <w:rFonts w:ascii="Times New Roman" w:eastAsia="Times New Roman" w:hAnsi="Times New Roman" w:cs="Times New Roman"/>
          <w:sz w:val="24"/>
          <w:szCs w:val="24"/>
        </w:rPr>
      </w:pPr>
      <w:r w:rsidRPr="0015508B">
        <w:rPr>
          <w:rFonts w:ascii="Times New Roman" w:eastAsia="Times New Roman" w:hAnsi="Times New Roman" w:cs="Times New Roman"/>
          <w:sz w:val="24"/>
          <w:szCs w:val="24"/>
        </w:rPr>
        <w:t>[Name of web-broker’s website] offers the opportunity to enroll in either QHPs or off-Marketplace coverage. Please visit HealthCare.gov for information on the benefits of enrolling in a QHP. Off</w:t>
      </w:r>
      <w:r>
        <w:rPr>
          <w:rFonts w:ascii="Times New Roman" w:eastAsia="Times New Roman" w:hAnsi="Times New Roman" w:cs="Times New Roman"/>
          <w:sz w:val="24"/>
          <w:szCs w:val="24"/>
        </w:rPr>
        <w:t xml:space="preserve"> </w:t>
      </w:r>
      <w:r w:rsidRPr="0015508B">
        <w:rPr>
          <w:rFonts w:ascii="Times New Roman" w:eastAsia="Times New Roman" w:hAnsi="Times New Roman" w:cs="Times New Roman"/>
          <w:sz w:val="24"/>
          <w:szCs w:val="24"/>
        </w:rPr>
        <w:t>Marketplace coverage is not eligible for the cost savings offered for coverage through the Marketplaces.” (</w:t>
      </w:r>
      <w:r w:rsidRPr="00B724DC">
        <w:rPr>
          <w:rFonts w:ascii="Times New Roman" w:eastAsia="Times New Roman" w:hAnsi="Times New Roman" w:cs="Times New Roman"/>
          <w:b/>
          <w:bCs/>
          <w:sz w:val="24"/>
          <w:szCs w:val="24"/>
        </w:rPr>
        <w:t>This final paragraph must be displayed if the web-broker offers consumers assistance with off-Marketplace coverage options.</w:t>
      </w:r>
      <w:r w:rsidRPr="0015508B">
        <w:rPr>
          <w:rFonts w:ascii="Times New Roman" w:eastAsia="Times New Roman" w:hAnsi="Times New Roman" w:cs="Times New Roman"/>
          <w:sz w:val="24"/>
          <w:szCs w:val="24"/>
        </w:rPr>
        <w:t>)</w:t>
      </w:r>
    </w:p>
    <w:p w:rsidR="00234238" w:rsidP="00234238" w14:paraId="197A32B1" w14:textId="77777777">
      <w:pPr>
        <w:spacing w:after="0" w:line="240" w:lineRule="auto"/>
        <w:textAlignment w:val="center"/>
        <w:rPr>
          <w:rFonts w:ascii="Times New Roman" w:eastAsia="Times New Roman" w:hAnsi="Times New Roman" w:cs="Times New Roman"/>
          <w:sz w:val="24"/>
          <w:szCs w:val="24"/>
        </w:rPr>
      </w:pPr>
    </w:p>
    <w:p w:rsidR="00234238" w:rsidRPr="00910C12" w:rsidP="00234238" w14:paraId="7FF77994" w14:textId="77777777">
      <w:pPr>
        <w:spacing w:after="0" w:line="240" w:lineRule="auto"/>
        <w:textAlignment w:val="center"/>
        <w:rPr>
          <w:rFonts w:ascii="Times New Roman" w:eastAsia="Times New Roman" w:hAnsi="Times New Roman" w:cs="Times New Roman"/>
          <w:sz w:val="24"/>
          <w:szCs w:val="24"/>
        </w:rPr>
      </w:pPr>
      <w:r w:rsidRPr="00910C12">
        <w:rPr>
          <w:rFonts w:ascii="Times New Roman" w:eastAsia="Times New Roman" w:hAnsi="Times New Roman" w:cs="Times New Roman"/>
          <w:sz w:val="24"/>
          <w:szCs w:val="24"/>
        </w:rPr>
        <w:t>The web-broker DE Entity must observe the following requirements for displaying the General non</w:t>
      </w:r>
      <w:r>
        <w:rPr>
          <w:rFonts w:ascii="Times New Roman" w:eastAsia="Times New Roman" w:hAnsi="Times New Roman" w:cs="Times New Roman"/>
          <w:sz w:val="24"/>
          <w:szCs w:val="24"/>
        </w:rPr>
        <w:t>-</w:t>
      </w:r>
      <w:r w:rsidRPr="00910C12">
        <w:rPr>
          <w:rFonts w:ascii="Times New Roman" w:eastAsia="Times New Roman" w:hAnsi="Times New Roman" w:cs="Times New Roman"/>
          <w:sz w:val="24"/>
          <w:szCs w:val="24"/>
        </w:rPr>
        <w:t>FFE Disclaimer:</w:t>
      </w:r>
    </w:p>
    <w:p w:rsidR="00234238" w:rsidP="00234238" w14:paraId="54001555" w14:textId="77777777">
      <w:pPr>
        <w:pStyle w:val="ListParagraph"/>
        <w:numPr>
          <w:ilvl w:val="0"/>
          <w:numId w:val="36"/>
        </w:numPr>
        <w:spacing w:after="0" w:line="240" w:lineRule="auto"/>
        <w:textAlignment w:val="center"/>
        <w:rPr>
          <w:rFonts w:ascii="Times New Roman" w:eastAsia="Times New Roman" w:hAnsi="Times New Roman" w:cs="Times New Roman"/>
          <w:sz w:val="24"/>
          <w:szCs w:val="24"/>
        </w:rPr>
      </w:pPr>
      <w:r w:rsidRPr="00D15A00">
        <w:rPr>
          <w:rFonts w:ascii="Times New Roman" w:eastAsia="Times New Roman" w:hAnsi="Times New Roman" w:cs="Times New Roman"/>
          <w:sz w:val="24"/>
          <w:szCs w:val="24"/>
        </w:rPr>
        <w:t>The Disclaimer must be prominently displayed on both the initial QI landing page and on the landing page displaying QHP options that appear before the applicant makes a decision to purchase coverage (QHP selection page).</w:t>
      </w:r>
    </w:p>
    <w:p w:rsidR="00234238" w:rsidP="00234238" w14:paraId="223F2D61" w14:textId="77777777">
      <w:pPr>
        <w:pStyle w:val="ListParagraph"/>
        <w:numPr>
          <w:ilvl w:val="0"/>
          <w:numId w:val="36"/>
        </w:numPr>
        <w:spacing w:after="0" w:line="240" w:lineRule="auto"/>
        <w:textAlignment w:val="center"/>
        <w:rPr>
          <w:rFonts w:ascii="Times New Roman" w:eastAsia="Times New Roman" w:hAnsi="Times New Roman" w:cs="Times New Roman"/>
          <w:sz w:val="24"/>
          <w:szCs w:val="24"/>
        </w:rPr>
      </w:pPr>
      <w:r w:rsidRPr="00D15A00">
        <w:rPr>
          <w:rFonts w:ascii="Times New Roman" w:eastAsia="Times New Roman" w:hAnsi="Times New Roman" w:cs="Times New Roman"/>
          <w:sz w:val="24"/>
          <w:szCs w:val="24"/>
        </w:rPr>
        <w:t>The Disclaimer must use the exact language provided by HHS.</w:t>
      </w:r>
    </w:p>
    <w:p w:rsidR="00234238" w:rsidRPr="00D15A00" w:rsidP="00234238" w14:paraId="6CBCB15C" w14:textId="77777777">
      <w:pPr>
        <w:pStyle w:val="ListParagraph"/>
        <w:numPr>
          <w:ilvl w:val="0"/>
          <w:numId w:val="36"/>
        </w:numPr>
        <w:spacing w:after="0" w:line="240" w:lineRule="auto"/>
        <w:textAlignment w:val="center"/>
        <w:rPr>
          <w:rFonts w:ascii="Times New Roman" w:eastAsia="Times New Roman" w:hAnsi="Times New Roman" w:cs="Times New Roman"/>
          <w:sz w:val="24"/>
          <w:szCs w:val="24"/>
        </w:rPr>
      </w:pPr>
      <w:r w:rsidRPr="00D15A00">
        <w:rPr>
          <w:rFonts w:ascii="Times New Roman" w:eastAsia="Times New Roman" w:hAnsi="Times New Roman" w:cs="Times New Roman"/>
          <w:sz w:val="24"/>
          <w:szCs w:val="24"/>
        </w:rPr>
        <w:t>The Disclaimer must include a functioning web link to the Health Insurance Marketplace® website (HealthCare.gov).</w:t>
      </w:r>
    </w:p>
    <w:p w:rsidR="004D629E" w:rsidP="00A06D09" w14:paraId="030BC485" w14:textId="2C6CF5A9">
      <w:pPr>
        <w:spacing w:after="0" w:line="240" w:lineRule="auto"/>
        <w:rPr>
          <w:rFonts w:ascii="Times New Roman" w:eastAsia="Times New Roman" w:hAnsi="Times New Roman" w:cs="Times New Roman"/>
          <w:b/>
          <w:spacing w:val="1"/>
          <w:sz w:val="24"/>
          <w:szCs w:val="24"/>
        </w:rPr>
      </w:pPr>
    </w:p>
    <w:p w:rsidR="004D629E" w:rsidRPr="00F205D1" w:rsidP="004D629E" w14:paraId="0036F0AB" w14:textId="2AEB789C">
      <w:pPr>
        <w:spacing w:after="0" w:line="240" w:lineRule="auto"/>
        <w:rPr>
          <w:rFonts w:ascii="Times New Roman" w:eastAsia="Times New Roman" w:hAnsi="Times New Roman" w:cs="Times New Roman"/>
          <w:b/>
          <w:bCs/>
          <w:sz w:val="24"/>
          <w:szCs w:val="24"/>
        </w:rPr>
      </w:pPr>
      <w:r w:rsidRPr="00F205D1">
        <w:rPr>
          <w:rFonts w:ascii="Times New Roman" w:eastAsia="Times New Roman" w:hAnsi="Times New Roman" w:cs="Times New Roman"/>
          <w:b/>
          <w:bCs/>
          <w:sz w:val="24"/>
          <w:szCs w:val="24"/>
        </w:rPr>
        <w:t>1.</w:t>
      </w:r>
      <w:r w:rsidR="002846E8">
        <w:rPr>
          <w:rFonts w:ascii="Times New Roman" w:eastAsia="Times New Roman" w:hAnsi="Times New Roman" w:cs="Times New Roman"/>
          <w:b/>
          <w:bCs/>
          <w:sz w:val="24"/>
          <w:szCs w:val="24"/>
        </w:rPr>
        <w:t>g</w:t>
      </w:r>
      <w:r>
        <w:rPr>
          <w:rFonts w:ascii="Times New Roman" w:eastAsia="Times New Roman" w:hAnsi="Times New Roman" w:cs="Times New Roman"/>
          <w:b/>
          <w:bCs/>
          <w:sz w:val="24"/>
          <w:szCs w:val="24"/>
        </w:rPr>
        <w:t>.</w:t>
      </w:r>
      <w:r w:rsidRPr="00F205D1">
        <w:rPr>
          <w:rFonts w:ascii="Times New Roman" w:eastAsia="Times New Roman" w:hAnsi="Times New Roman" w:cs="Times New Roman"/>
          <w:b/>
          <w:bCs/>
          <w:sz w:val="24"/>
          <w:szCs w:val="24"/>
        </w:rPr>
        <w:t xml:space="preserve"> Direct Enrollment Entity Separate Plan Display Requirements (</w:t>
      </w:r>
      <w:bookmarkStart w:id="7" w:name="_Hlk147163262"/>
      <w:r w:rsidRPr="00F205D1">
        <w:rPr>
          <w:rFonts w:ascii="Times New Roman" w:eastAsia="Times New Roman" w:hAnsi="Times New Roman" w:cs="Times New Roman"/>
          <w:b/>
          <w:bCs/>
          <w:sz w:val="24"/>
          <w:szCs w:val="24"/>
        </w:rPr>
        <w:t>45 C.F.R. §</w:t>
      </w:r>
      <w:r w:rsidR="002846E8">
        <w:rPr>
          <w:rFonts w:ascii="Times New Roman" w:eastAsia="Times New Roman" w:hAnsi="Times New Roman" w:cs="Times New Roman"/>
          <w:b/>
          <w:bCs/>
          <w:sz w:val="24"/>
          <w:szCs w:val="24"/>
        </w:rPr>
        <w:t xml:space="preserve"> </w:t>
      </w:r>
      <w:r w:rsidRPr="00F205D1">
        <w:rPr>
          <w:rFonts w:ascii="Times New Roman" w:eastAsia="Times New Roman" w:hAnsi="Times New Roman" w:cs="Times New Roman"/>
          <w:b/>
          <w:bCs/>
          <w:sz w:val="24"/>
          <w:szCs w:val="24"/>
        </w:rPr>
        <w:t>155.221(b)(1)):</w:t>
      </w:r>
      <w:bookmarkEnd w:id="7"/>
      <w:r>
        <w:rPr>
          <w:rFonts w:ascii="Times New Roman" w:eastAsia="Times New Roman" w:hAnsi="Times New Roman" w:cs="Times New Roman"/>
          <w:b/>
          <w:bCs/>
          <w:sz w:val="24"/>
          <w:szCs w:val="24"/>
        </w:rPr>
        <w:t xml:space="preserve"> </w:t>
      </w:r>
      <w:r w:rsidRPr="005726AB">
        <w:rPr>
          <w:rFonts w:ascii="Times New Roman" w:eastAsia="Times New Roman" w:hAnsi="Times New Roman" w:cs="Times New Roman"/>
          <w:sz w:val="24"/>
          <w:szCs w:val="24"/>
        </w:rPr>
        <w:t xml:space="preserve">As finalized in the 2022 Payment Notice, § 155.221(b)(1) requires that direct enrollment (DE) entities, inclusive of QHP issuers and web-brokers consistent with § 155.221(a), display and market QHPs offered through the Exchange, individual health insurance coverage offered outside the Exchange, and any other products (e.g., excepted benefits) on at least three separate website pages on the DE Entity’s website. This requirement has an exception described below in the discussion for § 155.221(c). </w:t>
      </w:r>
    </w:p>
    <w:p w:rsidR="004D629E" w:rsidP="004D629E" w14:paraId="56BB907C" w14:textId="77777777">
      <w:pPr>
        <w:spacing w:after="0" w:line="240" w:lineRule="auto"/>
        <w:rPr>
          <w:rFonts w:ascii="Times New Roman" w:eastAsia="Times New Roman" w:hAnsi="Times New Roman" w:cs="Times New Roman"/>
          <w:sz w:val="24"/>
          <w:szCs w:val="24"/>
        </w:rPr>
      </w:pPr>
    </w:p>
    <w:p w:rsidR="004D629E" w:rsidP="004D629E" w14:paraId="74A2C002" w14:textId="77777777">
      <w:pPr>
        <w:spacing w:after="0" w:line="240" w:lineRule="auto"/>
        <w:rPr>
          <w:rFonts w:ascii="Times New Roman" w:eastAsia="Times New Roman" w:hAnsi="Times New Roman" w:cs="Times New Roman"/>
          <w:sz w:val="24"/>
          <w:szCs w:val="24"/>
        </w:rPr>
      </w:pPr>
      <w:r w:rsidRPr="005726AB">
        <w:rPr>
          <w:rFonts w:ascii="Times New Roman" w:eastAsia="Times New Roman" w:hAnsi="Times New Roman" w:cs="Times New Roman"/>
          <w:sz w:val="24"/>
          <w:szCs w:val="24"/>
        </w:rPr>
        <w:t>Section 155.221(b)(1) requires DE Entities to create—or modify—its website display to separates QHPs offered through the Exchange, individual health coverage, and other products. Each DE Entity’s QHP display is regulated separately under § 155.220(c) and associated provisions (for web-brokers) or 156.1230(a)(1)(ii) (for issuers). Accordingly, the burden associated with § 155.221(b)(1) is reflective of the labor necessary to separate the plan displays (if necessary) consistent with this requirement.</w:t>
      </w:r>
    </w:p>
    <w:p w:rsidR="004D629E" w:rsidP="004D629E" w14:paraId="22AD0896" w14:textId="77777777">
      <w:pPr>
        <w:spacing w:after="0" w:line="240" w:lineRule="auto"/>
        <w:rPr>
          <w:rFonts w:ascii="Times New Roman" w:eastAsia="Times New Roman" w:hAnsi="Times New Roman" w:cs="Times New Roman"/>
          <w:sz w:val="24"/>
          <w:szCs w:val="24"/>
        </w:rPr>
      </w:pPr>
    </w:p>
    <w:p w:rsidR="004D629E" w:rsidP="00234238" w14:paraId="632F1FB5" w14:textId="35C22F45">
      <w:pPr>
        <w:spacing w:after="0" w:line="240" w:lineRule="auto"/>
        <w:rPr>
          <w:rFonts w:ascii="Times New Roman" w:eastAsia="Times New Roman" w:hAnsi="Times New Roman" w:cs="Times New Roman"/>
          <w:sz w:val="24"/>
          <w:szCs w:val="24"/>
        </w:rPr>
      </w:pPr>
      <w:r w:rsidRPr="00F205D1">
        <w:rPr>
          <w:rFonts w:ascii="Times New Roman" w:eastAsia="Times New Roman" w:hAnsi="Times New Roman" w:cs="Times New Roman"/>
          <w:b/>
          <w:bCs/>
          <w:snapToGrid w:val="0"/>
          <w:sz w:val="24"/>
          <w:szCs w:val="24"/>
        </w:rPr>
        <w:t>1.</w:t>
      </w:r>
      <w:r w:rsidR="002846E8">
        <w:rPr>
          <w:rFonts w:ascii="Times New Roman" w:eastAsia="Times New Roman" w:hAnsi="Times New Roman" w:cs="Times New Roman"/>
          <w:b/>
          <w:bCs/>
          <w:snapToGrid w:val="0"/>
          <w:sz w:val="24"/>
          <w:szCs w:val="24"/>
        </w:rPr>
        <w:t>h</w:t>
      </w:r>
      <w:r w:rsidRPr="00F205D1">
        <w:rPr>
          <w:rFonts w:ascii="Times New Roman" w:eastAsia="Times New Roman" w:hAnsi="Times New Roman" w:cs="Times New Roman"/>
          <w:b/>
          <w:bCs/>
          <w:snapToGrid w:val="0"/>
          <w:sz w:val="24"/>
          <w:szCs w:val="24"/>
        </w:rPr>
        <w:t xml:space="preserve">. Direct Enrollment Entity Separate Plan Display Exceptions (45 C.F.R. </w:t>
      </w:r>
      <w:bookmarkStart w:id="8" w:name="_Hlk147163294"/>
      <w:r w:rsidRPr="00F205D1">
        <w:rPr>
          <w:rFonts w:ascii="Times New Roman" w:eastAsia="Times New Roman" w:hAnsi="Times New Roman" w:cs="Times New Roman"/>
          <w:b/>
          <w:bCs/>
          <w:snapToGrid w:val="0"/>
          <w:sz w:val="24"/>
          <w:szCs w:val="24"/>
        </w:rPr>
        <w:t>§ 155.221(c)(1)-(2))</w:t>
      </w:r>
      <w:bookmarkEnd w:id="8"/>
      <w:r>
        <w:rPr>
          <w:rFonts w:ascii="Times New Roman" w:eastAsia="Times New Roman" w:hAnsi="Times New Roman" w:cs="Times New Roman"/>
          <w:b/>
          <w:bCs/>
          <w:snapToGrid w:val="0"/>
          <w:sz w:val="24"/>
          <w:szCs w:val="24"/>
        </w:rPr>
        <w:t xml:space="preserve">: </w:t>
      </w:r>
      <w:r w:rsidRPr="00267104">
        <w:rPr>
          <w:rFonts w:ascii="Times New Roman" w:eastAsia="Times New Roman" w:hAnsi="Times New Roman" w:cs="Times New Roman"/>
          <w:sz w:val="24"/>
          <w:szCs w:val="24"/>
        </w:rPr>
        <w:t xml:space="preserve">As finalized in the 2022 Payment Notice, § 155.221(c)(1) permits DE Entities, inclusive of QHP issuers and web-brokers consistent with 45 C.F.R. § 155.221(a), an exception to the general requirements in 45 C.F.R. § 155.221(b)(1). This exception permits DE Entities to display QHPs through the Exchange and individual health insurance coverage offered outside the Exchange (including QHPs and non-QHPs other than excepted benefits) on the same website pages when assisting individuals who have received an offer of an individual coverage health reimbursement arrangement as described in 45 C.F.R. § 146.123(c). Section § 155.221(c)(2) permits DE Entities, inclusive of QHP issuers and web-brokers consistent with 45 C.F.R. § 155.221(a), an exception to the general requirements in 45 C.F.R. § 155.221(b)(1). This exception permits DE Entities to display Exchange-certified stand-alone dental plans offered outside the Exchange and non-certified stand-alone dental plans on the same website pages. Sections 155.221(c)(1) and (c)(2) allow, but do not require, DE Entities to create an alternative website display as an exception to the requirements in § 155.221(b)(1). </w:t>
      </w:r>
    </w:p>
    <w:p w:rsidR="00192B1D" w:rsidRPr="00F205D1" w:rsidP="00234238" w14:paraId="2C0EBE3B" w14:textId="77777777">
      <w:pPr>
        <w:spacing w:after="0" w:line="240" w:lineRule="auto"/>
        <w:rPr>
          <w:rFonts w:ascii="Times New Roman" w:eastAsia="Times New Roman" w:hAnsi="Times New Roman" w:cs="Times New Roman"/>
          <w:b/>
          <w:bCs/>
          <w:snapToGrid w:val="0"/>
          <w:sz w:val="24"/>
          <w:szCs w:val="24"/>
        </w:rPr>
      </w:pPr>
    </w:p>
    <w:p w:rsidR="004D629E" w:rsidP="00234238" w14:paraId="110E628C" w14:textId="77777777">
      <w:pPr>
        <w:spacing w:after="0" w:line="240" w:lineRule="auto"/>
        <w:rPr>
          <w:rFonts w:ascii="Times New Roman" w:eastAsia="Times New Roman" w:hAnsi="Times New Roman" w:cs="Times New Roman"/>
          <w:b/>
          <w:spacing w:val="1"/>
          <w:sz w:val="24"/>
          <w:szCs w:val="24"/>
        </w:rPr>
      </w:pPr>
    </w:p>
    <w:p w:rsidR="00234238" w:rsidRPr="00F205D1" w:rsidP="00234238" w14:paraId="56FD2E7D" w14:textId="298B815A">
      <w:pPr>
        <w:spacing w:after="0" w:line="240" w:lineRule="auto"/>
        <w:rPr>
          <w:rFonts w:ascii="Times New Roman" w:eastAsia="Times New Roman" w:hAnsi="Times New Roman" w:cs="Times New Roman"/>
          <w:b/>
          <w:bCs/>
          <w:sz w:val="24"/>
          <w:szCs w:val="24"/>
        </w:rPr>
      </w:pPr>
      <w:bookmarkStart w:id="9" w:name="_Hlk145495724"/>
      <w:r w:rsidRPr="00F205D1">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i</w:t>
      </w:r>
      <w:r w:rsidRPr="00F205D1">
        <w:rPr>
          <w:rFonts w:ascii="Times New Roman" w:eastAsia="Times New Roman" w:hAnsi="Times New Roman" w:cs="Times New Roman"/>
          <w:b/>
          <w:bCs/>
          <w:sz w:val="24"/>
          <w:szCs w:val="24"/>
        </w:rPr>
        <w:t xml:space="preserve">. Direct Enrollment Entity Third-Party Entity Contractual Requirements </w:t>
      </w:r>
      <w:bookmarkStart w:id="10" w:name="_Hlk147163322"/>
      <w:bookmarkEnd w:id="9"/>
      <w:r w:rsidRPr="00F205D1">
        <w:rPr>
          <w:rFonts w:ascii="Times New Roman" w:eastAsia="Times New Roman" w:hAnsi="Times New Roman" w:cs="Times New Roman"/>
          <w:b/>
          <w:bCs/>
          <w:sz w:val="24"/>
          <w:szCs w:val="24"/>
        </w:rPr>
        <w:t>(45 C.F.R. § 155.221(g)(3), (4), and (7)):</w:t>
      </w:r>
      <w:bookmarkEnd w:id="10"/>
      <w:r>
        <w:rPr>
          <w:rFonts w:ascii="Times New Roman" w:eastAsia="Times New Roman" w:hAnsi="Times New Roman" w:cs="Times New Roman"/>
          <w:b/>
          <w:bCs/>
          <w:sz w:val="24"/>
          <w:szCs w:val="24"/>
        </w:rPr>
        <w:t xml:space="preserve"> </w:t>
      </w:r>
      <w:r w:rsidRPr="004D11FE">
        <w:rPr>
          <w:rFonts w:ascii="Times New Roman" w:eastAsia="Times New Roman" w:hAnsi="Times New Roman" w:cs="Times New Roman"/>
          <w:sz w:val="24"/>
          <w:szCs w:val="24"/>
        </w:rPr>
        <w:t>As finalized in the HHS Notice of Benefit and Payment Parameters for 2020, 45 C.F.R. § 155.220(g) contains various requirements that DE Entities must include in an executed written agreement with a third-party entity. In particular, § 155.221(g)(3), (g)(4), and (g)(7) reflect standards required in the contract between a DE Entity and a third-party entity (an independent third-party auditor) related to the third-party entity’s function in assessing the DE Entity’s operations and its DE environment. Section 155.221(g)(3) requires that the contract stipulate the third-party entity will collect, store, and share with HHS all data related to the third-party entity’s audit of the DE Entity until 10 years from the date of creation of the data.</w:t>
      </w:r>
      <w:r>
        <w:rPr>
          <w:rFonts w:ascii="Times New Roman" w:eastAsia="Times New Roman" w:hAnsi="Times New Roman" w:cs="Times New Roman"/>
          <w:sz w:val="24"/>
          <w:szCs w:val="24"/>
        </w:rPr>
        <w:t xml:space="preserve"> </w:t>
      </w:r>
      <w:r w:rsidRPr="004D11FE">
        <w:rPr>
          <w:rFonts w:ascii="Times New Roman" w:eastAsia="Times New Roman" w:hAnsi="Times New Roman" w:cs="Times New Roman"/>
          <w:sz w:val="24"/>
          <w:szCs w:val="24"/>
        </w:rPr>
        <w:t xml:space="preserve">Furthermore, the third-party entity must comply with the privacy and security standards in 45 C.F.R. § 155.260. </w:t>
      </w:r>
    </w:p>
    <w:p w:rsidR="00234238" w:rsidRPr="004D11FE" w:rsidP="00234238" w14:paraId="49ED4960" w14:textId="77777777">
      <w:pPr>
        <w:spacing w:after="0" w:line="240" w:lineRule="auto"/>
        <w:rPr>
          <w:rFonts w:ascii="Times New Roman" w:eastAsia="Times New Roman" w:hAnsi="Times New Roman" w:cs="Times New Roman"/>
          <w:sz w:val="24"/>
          <w:szCs w:val="24"/>
        </w:rPr>
      </w:pPr>
    </w:p>
    <w:p w:rsidR="00234238" w:rsidP="00192B1D" w14:paraId="2F24CB28" w14:textId="77777777">
      <w:pPr>
        <w:spacing w:after="0" w:line="240" w:lineRule="auto"/>
        <w:ind w:right="180"/>
        <w:rPr>
          <w:rFonts w:ascii="Times New Roman" w:eastAsia="Times New Roman" w:hAnsi="Times New Roman" w:cs="Times New Roman"/>
          <w:sz w:val="24"/>
          <w:szCs w:val="24"/>
        </w:rPr>
      </w:pPr>
      <w:r w:rsidRPr="004D11FE">
        <w:rPr>
          <w:rFonts w:ascii="Times New Roman" w:eastAsia="Times New Roman" w:hAnsi="Times New Roman" w:cs="Times New Roman"/>
          <w:sz w:val="24"/>
          <w:szCs w:val="24"/>
        </w:rPr>
        <w:t xml:space="preserve">Section 155.221(g)(4) requires that the contract between the DE Entity and the third-party entity require disclosure to HHS of any financial relationships between the third-party entity and individuals who own or are employed by a DE Entity for which the third-party entity is conducting an operational readiness review. </w:t>
      </w:r>
    </w:p>
    <w:p w:rsidR="00234238" w:rsidRPr="004D11FE" w:rsidP="00192B1D" w14:paraId="31928ADC" w14:textId="77777777">
      <w:pPr>
        <w:spacing w:after="0" w:line="240" w:lineRule="auto"/>
        <w:ind w:right="180"/>
        <w:rPr>
          <w:rFonts w:ascii="Times New Roman" w:eastAsia="Times New Roman" w:hAnsi="Times New Roman" w:cs="Times New Roman"/>
          <w:sz w:val="24"/>
          <w:szCs w:val="24"/>
        </w:rPr>
      </w:pPr>
    </w:p>
    <w:p w:rsidR="00234238" w:rsidRPr="004D11FE" w:rsidP="00192B1D" w14:paraId="5DE5DEC8" w14:textId="77777777">
      <w:pPr>
        <w:spacing w:after="0" w:line="240" w:lineRule="auto"/>
        <w:ind w:right="180"/>
        <w:rPr>
          <w:rFonts w:ascii="Times New Roman" w:eastAsia="Times New Roman" w:hAnsi="Times New Roman" w:cs="Times New Roman"/>
          <w:sz w:val="24"/>
          <w:szCs w:val="24"/>
        </w:rPr>
      </w:pPr>
      <w:r w:rsidRPr="004D11FE">
        <w:rPr>
          <w:rFonts w:ascii="Times New Roman" w:eastAsia="Times New Roman" w:hAnsi="Times New Roman" w:cs="Times New Roman"/>
          <w:sz w:val="24"/>
          <w:szCs w:val="24"/>
        </w:rPr>
        <w:t xml:space="preserve">Section 155.221(g)(7) requires that the contract between the DE Entity and the third-party entity require that the third-party entity permit access by the Secretary and the Office of the Inspector General—or their designees—in connection with their right to evaluate through audit, inspection, or other means, the third-party entity’s books, contracts, computers or other electronic systems related to the third-party entity’s audit of the DE Entity’s obligations until 10 years from the date of creation of a specific audit. </w:t>
      </w:r>
    </w:p>
    <w:p w:rsidR="00234238" w:rsidP="00192B1D" w14:paraId="79766F48" w14:textId="77777777">
      <w:pPr>
        <w:spacing w:after="0" w:line="240" w:lineRule="auto"/>
        <w:ind w:right="180"/>
        <w:rPr>
          <w:rFonts w:ascii="Times New Roman" w:eastAsia="Times New Roman" w:hAnsi="Times New Roman" w:cs="Times New Roman"/>
          <w:b/>
          <w:bCs/>
          <w:sz w:val="24"/>
          <w:szCs w:val="24"/>
        </w:rPr>
      </w:pPr>
    </w:p>
    <w:p w:rsidR="00234238" w:rsidRPr="00234238" w:rsidP="00192B1D" w14:paraId="748ADBF0" w14:textId="09B10CB0">
      <w:pPr>
        <w:spacing w:after="0" w:line="240" w:lineRule="auto"/>
        <w:ind w:right="180"/>
        <w:rPr>
          <w:rFonts w:ascii="Times New Roman" w:eastAsia="Times New Roman" w:hAnsi="Times New Roman" w:cs="Times New Roman"/>
          <w:sz w:val="24"/>
          <w:szCs w:val="24"/>
        </w:rPr>
      </w:pPr>
      <w:r w:rsidRPr="00234238">
        <w:rPr>
          <w:rFonts w:ascii="Times New Roman" w:eastAsia="Times New Roman" w:hAnsi="Times New Roman" w:cs="Times New Roman"/>
          <w:b/>
          <w:bCs/>
          <w:sz w:val="24"/>
          <w:szCs w:val="24"/>
        </w:rPr>
        <w:t xml:space="preserve">1.j. Qualified Health Plan Issuer Website Display Requirements for QHPs (45 C.F.R. § </w:t>
      </w:r>
      <w:bookmarkStart w:id="11" w:name="_Hlk147163354"/>
      <w:r w:rsidRPr="00234238">
        <w:rPr>
          <w:rFonts w:ascii="Times New Roman" w:eastAsia="Times New Roman" w:hAnsi="Times New Roman" w:cs="Times New Roman"/>
          <w:b/>
          <w:bCs/>
          <w:sz w:val="24"/>
          <w:szCs w:val="24"/>
        </w:rPr>
        <w:t>156.1230(a)(1)(ii)):</w:t>
      </w:r>
      <w:r w:rsidRPr="00234238">
        <w:rPr>
          <w:rFonts w:ascii="Times New Roman" w:eastAsia="Times New Roman" w:hAnsi="Times New Roman" w:cs="Times New Roman"/>
          <w:sz w:val="24"/>
          <w:szCs w:val="24"/>
        </w:rPr>
        <w:t xml:space="preserve"> </w:t>
      </w:r>
      <w:bookmarkEnd w:id="11"/>
      <w:r w:rsidRPr="00234238">
        <w:rPr>
          <w:rFonts w:ascii="Times New Roman" w:eastAsia="Times New Roman" w:hAnsi="Times New Roman" w:cs="Times New Roman"/>
          <w:sz w:val="24"/>
          <w:szCs w:val="24"/>
        </w:rPr>
        <w:t xml:space="preserve">As finalized by HHS in the Program Integrity: Exchange, SHOP, and Eligibility Appeals final rule in 2013, 45 C.F.R. § 156.1230(a)(1)(ii) requires qualified health </w:t>
      </w:r>
      <w:r w:rsidRPr="00AC5C16">
        <w:rPr>
          <w:rFonts w:ascii="Times New Roman" w:eastAsia="Times New Roman" w:hAnsi="Times New Roman" w:cs="Times New Roman"/>
          <w:sz w:val="24"/>
          <w:szCs w:val="24"/>
        </w:rPr>
        <w:t>plan (QHP) issuers who assist a consumer with enrollment in a QHP in a mann</w:t>
      </w:r>
      <w:r w:rsidRPr="00234238">
        <w:rPr>
          <w:rFonts w:ascii="Times New Roman" w:eastAsia="Times New Roman" w:hAnsi="Times New Roman" w:cs="Times New Roman"/>
          <w:sz w:val="24"/>
          <w:szCs w:val="24"/>
        </w:rPr>
        <w:t>er that is considered through the Exchange to provide a website that displays all QHPs offered by the issuer with the data elements required in 45 C.F.R. § 155.205(b)(1)(i) through (viii).</w:t>
      </w:r>
    </w:p>
    <w:p w:rsidR="00951441" w:rsidP="00192B1D" w14:paraId="550F9F46" w14:textId="50353B36">
      <w:pPr>
        <w:spacing w:after="0" w:line="240" w:lineRule="auto"/>
        <w:ind w:right="180"/>
        <w:rPr>
          <w:rFonts w:ascii="Times New Roman" w:eastAsia="Times New Roman" w:hAnsi="Times New Roman" w:cs="Times New Roman"/>
          <w:sz w:val="24"/>
          <w:szCs w:val="24"/>
        </w:rPr>
      </w:pPr>
    </w:p>
    <w:p w:rsidR="00951441" w:rsidRPr="0082038E" w:rsidP="00192B1D" w14:paraId="687F1B5D" w14:textId="4DBB6BE4">
      <w:pPr>
        <w:spacing w:after="0" w:line="240" w:lineRule="auto"/>
        <w:ind w:right="180"/>
        <w:rPr>
          <w:rFonts w:ascii="Times New Roman" w:eastAsia="Times New Roman" w:hAnsi="Times New Roman" w:cs="Times New Roman"/>
          <w:snapToGrid w:val="0"/>
          <w:sz w:val="24"/>
          <w:szCs w:val="24"/>
          <w:u w:val="single"/>
        </w:rPr>
      </w:pPr>
      <w:r w:rsidRPr="00F205D1">
        <w:rPr>
          <w:rFonts w:ascii="Times New Roman" w:eastAsia="Times New Roman" w:hAnsi="Times New Roman" w:cs="Times New Roman"/>
          <w:b/>
          <w:bCs/>
          <w:snapToGrid w:val="0"/>
          <w:sz w:val="24"/>
          <w:szCs w:val="24"/>
        </w:rPr>
        <w:t>1.</w:t>
      </w:r>
      <w:r w:rsidR="002846E8">
        <w:rPr>
          <w:rFonts w:ascii="Times New Roman" w:eastAsia="Times New Roman" w:hAnsi="Times New Roman" w:cs="Times New Roman"/>
          <w:b/>
          <w:bCs/>
          <w:snapToGrid w:val="0"/>
          <w:sz w:val="24"/>
          <w:szCs w:val="24"/>
        </w:rPr>
        <w:t>k</w:t>
      </w:r>
      <w:r w:rsidRPr="00F205D1" w:rsidR="00A83073">
        <w:rPr>
          <w:rFonts w:ascii="Times New Roman" w:eastAsia="Times New Roman" w:hAnsi="Times New Roman" w:cs="Times New Roman"/>
          <w:b/>
          <w:bCs/>
          <w:snapToGrid w:val="0"/>
          <w:sz w:val="24"/>
          <w:szCs w:val="24"/>
        </w:rPr>
        <w:t>.</w:t>
      </w:r>
      <w:r w:rsidRPr="00F205D1">
        <w:rPr>
          <w:rFonts w:ascii="Times New Roman" w:eastAsia="Times New Roman" w:hAnsi="Times New Roman" w:cs="Times New Roman"/>
          <w:snapToGrid w:val="0"/>
          <w:sz w:val="24"/>
          <w:szCs w:val="24"/>
        </w:rPr>
        <w:t xml:space="preserve"> </w:t>
      </w:r>
      <w:r w:rsidRPr="00F205D1">
        <w:rPr>
          <w:rFonts w:ascii="Times New Roman" w:eastAsia="Times New Roman" w:hAnsi="Times New Roman" w:cs="Times New Roman"/>
          <w:b/>
          <w:bCs/>
          <w:snapToGrid w:val="0"/>
          <w:sz w:val="24"/>
          <w:szCs w:val="24"/>
        </w:rPr>
        <w:t xml:space="preserve">Mandate for </w:t>
      </w:r>
      <w:r w:rsidRPr="00F205D1">
        <w:rPr>
          <w:rFonts w:ascii="Times New Roman" w:eastAsia="Times New Roman" w:hAnsi="Times New Roman" w:cs="Times New Roman"/>
          <w:b/>
          <w:bCs/>
          <w:i/>
          <w:iCs/>
          <w:snapToGrid w:val="0"/>
          <w:sz w:val="24"/>
          <w:szCs w:val="24"/>
        </w:rPr>
        <w:t>HealthCare.gov</w:t>
      </w:r>
      <w:r w:rsidRPr="00F205D1">
        <w:rPr>
          <w:rFonts w:ascii="Times New Roman" w:eastAsia="Times New Roman" w:hAnsi="Times New Roman" w:cs="Times New Roman"/>
          <w:b/>
          <w:bCs/>
          <w:snapToGrid w:val="0"/>
          <w:sz w:val="24"/>
          <w:szCs w:val="24"/>
        </w:rPr>
        <w:t xml:space="preserve"> Changes to Be Reflected on DE Entity Issuer and Web-Broker Websites</w:t>
      </w:r>
      <w:r w:rsidRPr="00F205D1" w:rsidR="00CB7C10">
        <w:rPr>
          <w:rFonts w:ascii="Times New Roman" w:eastAsia="Times New Roman" w:hAnsi="Times New Roman" w:cs="Times New Roman"/>
          <w:b/>
          <w:bCs/>
          <w:snapToGrid w:val="0"/>
          <w:sz w:val="24"/>
          <w:szCs w:val="24"/>
        </w:rPr>
        <w:t xml:space="preserve"> (</w:t>
      </w:r>
      <w:bookmarkStart w:id="12" w:name="_Hlk146873070"/>
      <w:r w:rsidRPr="00F205D1" w:rsidR="00CB7C10">
        <w:rPr>
          <w:rFonts w:ascii="Times New Roman" w:eastAsia="Times New Roman" w:hAnsi="Times New Roman" w:cs="Times New Roman"/>
          <w:b/>
          <w:bCs/>
          <w:snapToGrid w:val="0"/>
          <w:sz w:val="24"/>
          <w:szCs w:val="24"/>
        </w:rPr>
        <w:t xml:space="preserve">45 C.F.R </w:t>
      </w:r>
      <w:r w:rsidRPr="00F205D1" w:rsidR="00CB7C10">
        <w:rPr>
          <w:rFonts w:ascii="Times New Roman" w:eastAsia="Times New Roman" w:hAnsi="Times New Roman" w:cs="Times New Roman"/>
          <w:b/>
          <w:sz w:val="24"/>
          <w:szCs w:val="24"/>
        </w:rPr>
        <w:t>§</w:t>
      </w:r>
      <w:bookmarkEnd w:id="12"/>
      <w:r w:rsidRPr="00F205D1" w:rsidR="00CB7C10">
        <w:rPr>
          <w:rFonts w:ascii="Times New Roman" w:eastAsia="Times New Roman" w:hAnsi="Times New Roman" w:cs="Times New Roman"/>
          <w:b/>
          <w:bCs/>
          <w:snapToGrid w:val="0"/>
          <w:sz w:val="24"/>
          <w:szCs w:val="24"/>
        </w:rPr>
        <w:t>155.221(b)(6))</w:t>
      </w:r>
      <w:r w:rsidRPr="00F205D1">
        <w:rPr>
          <w:rFonts w:ascii="Times New Roman" w:eastAsia="Times New Roman" w:hAnsi="Times New Roman" w:cs="Times New Roman"/>
          <w:b/>
          <w:bCs/>
          <w:snapToGrid w:val="0"/>
          <w:sz w:val="24"/>
          <w:szCs w:val="24"/>
        </w:rPr>
        <w:t>:</w:t>
      </w:r>
      <w:r w:rsidRPr="00F205D1" w:rsidR="00EE33ED">
        <w:rPr>
          <w:rFonts w:ascii="Times New Roman" w:eastAsia="Times New Roman" w:hAnsi="Times New Roman" w:cs="Times New Roman"/>
          <w:snapToGrid w:val="0"/>
          <w:sz w:val="24"/>
          <w:szCs w:val="24"/>
        </w:rPr>
        <w:t xml:space="preserve"> </w:t>
      </w:r>
      <w:r w:rsidRPr="00267104">
        <w:rPr>
          <w:rFonts w:ascii="Times New Roman" w:hAnsi="Times New Roman" w:cs="Times New Roman"/>
          <w:sz w:val="24"/>
          <w:szCs w:val="24"/>
        </w:rPr>
        <w:t xml:space="preserve">As discussed in the preamble of the </w:t>
      </w:r>
      <w:r w:rsidRPr="00267104" w:rsidR="00D61B27">
        <w:rPr>
          <w:rFonts w:ascii="Times New Roman" w:hAnsi="Times New Roman" w:cs="Times New Roman"/>
          <w:sz w:val="24"/>
          <w:szCs w:val="24"/>
        </w:rPr>
        <w:t>proposed 2025 Payment Notice</w:t>
      </w:r>
      <w:r w:rsidRPr="00267104">
        <w:rPr>
          <w:rFonts w:ascii="Times New Roman" w:hAnsi="Times New Roman" w:cs="Times New Roman"/>
          <w:sz w:val="24"/>
          <w:szCs w:val="24"/>
        </w:rPr>
        <w:t xml:space="preserve">, </w:t>
      </w:r>
      <w:r w:rsidRPr="00267104" w:rsidR="00D61B27">
        <w:rPr>
          <w:rFonts w:ascii="Times New Roman" w:hAnsi="Times New Roman" w:cs="Times New Roman"/>
          <w:sz w:val="24"/>
          <w:szCs w:val="24"/>
        </w:rPr>
        <w:t xml:space="preserve">CMS is </w:t>
      </w:r>
      <w:r w:rsidRPr="00267104">
        <w:rPr>
          <w:rFonts w:ascii="Times New Roman" w:hAnsi="Times New Roman" w:cs="Times New Roman"/>
          <w:sz w:val="24"/>
          <w:szCs w:val="24"/>
        </w:rPr>
        <w:t xml:space="preserve">proposing adding </w:t>
      </w:r>
      <w:r w:rsidRPr="00120996">
        <w:rPr>
          <w:rFonts w:ascii="Times New Roman" w:hAnsi="Times New Roman" w:cs="Times New Roman"/>
          <w:sz w:val="24"/>
          <w:szCs w:val="24"/>
        </w:rPr>
        <w:t xml:space="preserve">language to 45 CFR § 155.221 requiring </w:t>
      </w:r>
      <w:r w:rsidRPr="00120996">
        <w:rPr>
          <w:rFonts w:ascii="Times New Roman" w:hAnsi="Times New Roman" w:cs="Times New Roman"/>
          <w:i/>
          <w:iCs/>
          <w:sz w:val="24"/>
          <w:szCs w:val="24"/>
        </w:rPr>
        <w:t>HealthCare.gov</w:t>
      </w:r>
      <w:r w:rsidR="00120996">
        <w:rPr>
          <w:rFonts w:ascii="Times New Roman" w:hAnsi="Times New Roman" w:cs="Times New Roman"/>
          <w:i/>
          <w:iCs/>
          <w:sz w:val="24"/>
          <w:szCs w:val="24"/>
        </w:rPr>
        <w:t xml:space="preserve"> </w:t>
      </w:r>
      <w:r w:rsidR="00120996">
        <w:rPr>
          <w:rFonts w:ascii="Times New Roman" w:hAnsi="Times New Roman" w:cs="Times New Roman"/>
          <w:sz w:val="24"/>
          <w:szCs w:val="24"/>
        </w:rPr>
        <w:t>changes</w:t>
      </w:r>
      <w:r w:rsidRPr="00120996">
        <w:rPr>
          <w:rFonts w:ascii="Times New Roman" w:hAnsi="Times New Roman" w:cs="Times New Roman"/>
          <w:sz w:val="24"/>
          <w:szCs w:val="24"/>
        </w:rPr>
        <w:t xml:space="preserve"> be reflected</w:t>
      </w:r>
      <w:r w:rsidR="00120996">
        <w:rPr>
          <w:rFonts w:ascii="Times New Roman" w:hAnsi="Times New Roman" w:cs="Times New Roman"/>
          <w:sz w:val="24"/>
          <w:szCs w:val="24"/>
        </w:rPr>
        <w:t xml:space="preserve"> and prominently displayed</w:t>
      </w:r>
      <w:r w:rsidRPr="00120996">
        <w:rPr>
          <w:rFonts w:ascii="Times New Roman" w:hAnsi="Times New Roman" w:cs="Times New Roman"/>
          <w:sz w:val="24"/>
          <w:szCs w:val="24"/>
        </w:rPr>
        <w:t xml:space="preserve"> on DE entity websites</w:t>
      </w:r>
      <w:r w:rsidRPr="00120996" w:rsidR="004834AE">
        <w:rPr>
          <w:rFonts w:ascii="Times New Roman" w:hAnsi="Times New Roman" w:cs="Times New Roman"/>
          <w:sz w:val="24"/>
          <w:szCs w:val="24"/>
        </w:rPr>
        <w:t xml:space="preserve"> </w:t>
      </w:r>
      <w:r w:rsidR="00120996">
        <w:rPr>
          <w:rFonts w:ascii="Times New Roman" w:hAnsi="Times New Roman" w:cs="Times New Roman"/>
          <w:sz w:val="24"/>
          <w:szCs w:val="24"/>
        </w:rPr>
        <w:t>within a specific notice period set by HHS,</w:t>
      </w:r>
      <w:r w:rsidRPr="00120996">
        <w:rPr>
          <w:rFonts w:ascii="Times New Roman" w:hAnsi="Times New Roman" w:cs="Times New Roman"/>
          <w:sz w:val="24"/>
          <w:szCs w:val="24"/>
        </w:rPr>
        <w:t xml:space="preserve"> unless HHS approves a deviation in advance. </w:t>
      </w:r>
      <w:bookmarkStart w:id="13" w:name="_Hlk145421171"/>
      <w:r w:rsidRPr="00120996">
        <w:rPr>
          <w:rFonts w:ascii="Times New Roman" w:hAnsi="Times New Roman" w:cs="Times New Roman"/>
          <w:sz w:val="24"/>
          <w:szCs w:val="24"/>
        </w:rPr>
        <w:t>We estimate that approximately three or fewer display changes</w:t>
      </w:r>
      <w:r w:rsidRPr="00267104">
        <w:rPr>
          <w:rFonts w:ascii="Times New Roman" w:hAnsi="Times New Roman" w:cs="Times New Roman"/>
          <w:sz w:val="24"/>
          <w:szCs w:val="24"/>
        </w:rPr>
        <w:t xml:space="preserve"> will be required during each plan year. These display changes may range from relatively simple text-based updates to more complex </w:t>
      </w:r>
      <w:r w:rsidR="008755B0">
        <w:rPr>
          <w:rFonts w:ascii="Times New Roman" w:hAnsi="Times New Roman" w:cs="Times New Roman"/>
          <w:sz w:val="24"/>
          <w:szCs w:val="24"/>
        </w:rPr>
        <w:t>user interface</w:t>
      </w:r>
      <w:r w:rsidRPr="00267104">
        <w:rPr>
          <w:rFonts w:ascii="Times New Roman" w:hAnsi="Times New Roman" w:cs="Times New Roman"/>
          <w:sz w:val="24"/>
          <w:szCs w:val="24"/>
        </w:rPr>
        <w:t xml:space="preserve"> changes</w:t>
      </w:r>
      <w:r w:rsidR="00E96039">
        <w:rPr>
          <w:rFonts w:ascii="Times New Roman" w:hAnsi="Times New Roman" w:cs="Times New Roman"/>
          <w:sz w:val="24"/>
          <w:szCs w:val="24"/>
        </w:rPr>
        <w:t xml:space="preserve"> </w:t>
      </w:r>
      <w:r w:rsidRPr="00B84E7B" w:rsidR="00E96039">
        <w:rPr>
          <w:rFonts w:ascii="Times New Roman" w:hAnsi="Times New Roman" w:cs="Times New Roman"/>
          <w:sz w:val="24"/>
          <w:szCs w:val="24"/>
        </w:rPr>
        <w:t>involving the website’s backend display methodology or algorithms</w:t>
      </w:r>
      <w:r w:rsidRPr="00267104">
        <w:rPr>
          <w:rFonts w:ascii="Times New Roman" w:hAnsi="Times New Roman" w:cs="Times New Roman"/>
          <w:sz w:val="24"/>
          <w:szCs w:val="24"/>
        </w:rPr>
        <w:t>. We anticipate approximately two simple</w:t>
      </w:r>
      <w:r w:rsidR="00120996">
        <w:rPr>
          <w:rFonts w:ascii="Times New Roman" w:hAnsi="Times New Roman" w:cs="Times New Roman"/>
          <w:sz w:val="24"/>
          <w:szCs w:val="24"/>
        </w:rPr>
        <w:t>r</w:t>
      </w:r>
      <w:r w:rsidRPr="00267104">
        <w:rPr>
          <w:rFonts w:ascii="Times New Roman" w:hAnsi="Times New Roman" w:cs="Times New Roman"/>
          <w:sz w:val="24"/>
          <w:szCs w:val="24"/>
        </w:rPr>
        <w:t xml:space="preserve"> and one </w:t>
      </w:r>
      <w:r w:rsidR="00120996">
        <w:rPr>
          <w:rFonts w:ascii="Times New Roman" w:hAnsi="Times New Roman" w:cs="Times New Roman"/>
          <w:sz w:val="24"/>
          <w:szCs w:val="24"/>
        </w:rPr>
        <w:t>more</w:t>
      </w:r>
      <w:r w:rsidRPr="00267104" w:rsidR="00120996">
        <w:rPr>
          <w:rFonts w:ascii="Times New Roman" w:hAnsi="Times New Roman" w:cs="Times New Roman"/>
          <w:sz w:val="24"/>
          <w:szCs w:val="24"/>
        </w:rPr>
        <w:t xml:space="preserve"> </w:t>
      </w:r>
      <w:r w:rsidRPr="00267104">
        <w:rPr>
          <w:rFonts w:ascii="Times New Roman" w:hAnsi="Times New Roman" w:cs="Times New Roman"/>
          <w:sz w:val="24"/>
          <w:szCs w:val="24"/>
        </w:rPr>
        <w:t xml:space="preserve">complex display changes per plan year. </w:t>
      </w:r>
    </w:p>
    <w:bookmarkEnd w:id="13"/>
    <w:p w:rsidR="00267104" w:rsidRPr="00267104" w:rsidP="00192B1D" w14:paraId="72A492F4" w14:textId="77777777">
      <w:pPr>
        <w:spacing w:after="0" w:line="240" w:lineRule="auto"/>
        <w:ind w:right="180"/>
        <w:rPr>
          <w:rFonts w:ascii="Times New Roman" w:hAnsi="Times New Roman" w:cs="Times New Roman"/>
          <w:sz w:val="24"/>
          <w:szCs w:val="24"/>
        </w:rPr>
      </w:pPr>
    </w:p>
    <w:p w:rsidR="00951441" w:rsidP="00192B1D" w14:paraId="6F49AC2E" w14:textId="5072D492">
      <w:pPr>
        <w:spacing w:after="0" w:line="240" w:lineRule="auto"/>
        <w:ind w:right="180"/>
        <w:rPr>
          <w:rFonts w:ascii="Times New Roman" w:hAnsi="Times New Roman" w:cs="Times New Roman"/>
          <w:sz w:val="24"/>
          <w:szCs w:val="24"/>
        </w:rPr>
      </w:pPr>
      <w:r w:rsidRPr="00267104">
        <w:rPr>
          <w:rFonts w:ascii="Times New Roman" w:hAnsi="Times New Roman" w:cs="Times New Roman"/>
          <w:sz w:val="24"/>
          <w:szCs w:val="24"/>
        </w:rPr>
        <w:t xml:space="preserve">We recognize that system constraints may prevent web-broker and QHP issuers from mirroring the </w:t>
      </w:r>
      <w:r w:rsidRPr="00267104">
        <w:rPr>
          <w:rFonts w:ascii="Times New Roman" w:hAnsi="Times New Roman" w:cs="Times New Roman"/>
          <w:i/>
          <w:iCs/>
          <w:sz w:val="24"/>
          <w:szCs w:val="24"/>
        </w:rPr>
        <w:t>HealthCare.gov</w:t>
      </w:r>
      <w:r w:rsidRPr="00267104">
        <w:rPr>
          <w:rFonts w:ascii="Times New Roman" w:hAnsi="Times New Roman" w:cs="Times New Roman"/>
          <w:sz w:val="24"/>
          <w:szCs w:val="24"/>
        </w:rPr>
        <w:t xml:space="preserve"> display</w:t>
      </w:r>
      <w:r w:rsidR="00120996">
        <w:rPr>
          <w:rFonts w:ascii="Times New Roman" w:hAnsi="Times New Roman" w:cs="Times New Roman"/>
          <w:sz w:val="24"/>
          <w:szCs w:val="24"/>
        </w:rPr>
        <w:t xml:space="preserve">, </w:t>
      </w:r>
      <w:r w:rsidRPr="00C624B4" w:rsidR="00120996">
        <w:rPr>
          <w:rFonts w:ascii="Times New Roman" w:hAnsi="Times New Roman" w:cs="Times New Roman"/>
          <w:sz w:val="24"/>
          <w:szCs w:val="24"/>
        </w:rPr>
        <w:t>and that DE entities may have an idea for implementation that does not meet the</w:t>
      </w:r>
      <w:r w:rsidR="00120996">
        <w:rPr>
          <w:rFonts w:ascii="Times New Roman" w:hAnsi="Times New Roman" w:cs="Times New Roman"/>
          <w:i/>
          <w:iCs/>
          <w:sz w:val="24"/>
          <w:szCs w:val="24"/>
        </w:rPr>
        <w:t xml:space="preserve"> </w:t>
      </w:r>
      <w:r w:rsidR="00120996">
        <w:rPr>
          <w:rFonts w:ascii="Times New Roman" w:hAnsi="Times New Roman" w:cs="Times New Roman"/>
          <w:sz w:val="24"/>
          <w:szCs w:val="24"/>
        </w:rPr>
        <w:t>display</w:t>
      </w:r>
      <w:r w:rsidRPr="00C624B4" w:rsidR="00120996">
        <w:rPr>
          <w:rFonts w:ascii="Times New Roman" w:hAnsi="Times New Roman" w:cs="Times New Roman"/>
          <w:sz w:val="24"/>
          <w:szCs w:val="24"/>
        </w:rPr>
        <w:t xml:space="preserve"> standards but would effectively communicate the same information to consumers</w:t>
      </w:r>
      <w:r w:rsidRPr="00267104">
        <w:rPr>
          <w:rFonts w:ascii="Times New Roman" w:hAnsi="Times New Roman" w:cs="Times New Roman"/>
          <w:sz w:val="24"/>
          <w:szCs w:val="24"/>
        </w:rPr>
        <w:t xml:space="preserve">. We would therefore continue to permit web-brokers and QHP issuers that use a direct enrollment pathway to facilitate enrollment through the Exchange to submit a request to </w:t>
      </w:r>
      <w:r w:rsidRPr="00267104">
        <w:rPr>
          <w:rFonts w:ascii="Times New Roman" w:hAnsi="Times New Roman" w:cs="Times New Roman"/>
          <w:sz w:val="24"/>
          <w:szCs w:val="24"/>
        </w:rPr>
        <w:t xml:space="preserve">deviate from the display on </w:t>
      </w:r>
      <w:r w:rsidRPr="00C624B4">
        <w:rPr>
          <w:rFonts w:ascii="Times New Roman" w:hAnsi="Times New Roman" w:cs="Times New Roman"/>
          <w:sz w:val="24"/>
          <w:szCs w:val="24"/>
        </w:rPr>
        <w:t>HealthCare.gov</w:t>
      </w:r>
      <w:r w:rsidRPr="00267104">
        <w:rPr>
          <w:rFonts w:ascii="Times New Roman" w:hAnsi="Times New Roman" w:cs="Times New Roman"/>
          <w:sz w:val="24"/>
          <w:szCs w:val="24"/>
        </w:rPr>
        <w:t xml:space="preserve">, with prior approval from HHS. Any requests from web-brokers and QHP issuers seeking approval for an alternate display would be reviewed based on whether the same level of information and clarity is being provided under the requested deviation as is provided on </w:t>
      </w:r>
      <w:r w:rsidRPr="00267104">
        <w:rPr>
          <w:rFonts w:ascii="Times New Roman" w:hAnsi="Times New Roman" w:cs="Times New Roman"/>
          <w:i/>
          <w:iCs/>
          <w:sz w:val="24"/>
          <w:szCs w:val="24"/>
        </w:rPr>
        <w:t>HealthCare.gov</w:t>
      </w:r>
      <w:r w:rsidRPr="00267104">
        <w:rPr>
          <w:rFonts w:ascii="Times New Roman" w:hAnsi="Times New Roman" w:cs="Times New Roman"/>
          <w:sz w:val="24"/>
          <w:szCs w:val="24"/>
        </w:rPr>
        <w:t xml:space="preserve">. </w:t>
      </w:r>
    </w:p>
    <w:p w:rsidR="00141742" w:rsidP="0082038E" w14:paraId="290A9A95" w14:textId="77777777">
      <w:pPr>
        <w:spacing w:after="0" w:line="240" w:lineRule="auto"/>
        <w:rPr>
          <w:rFonts w:ascii="Times New Roman" w:hAnsi="Times New Roman" w:cs="Times New Roman"/>
          <w:sz w:val="24"/>
          <w:szCs w:val="24"/>
        </w:rPr>
      </w:pPr>
    </w:p>
    <w:p w:rsidR="00141742" w:rsidRPr="00120996" w:rsidP="00192B1D" w14:paraId="605E462F" w14:textId="11152D4A">
      <w:pPr>
        <w:spacing w:after="0" w:line="240" w:lineRule="auto"/>
        <w:ind w:right="90"/>
        <w:rPr>
          <w:rFonts w:ascii="Times New Roman" w:hAnsi="Times New Roman" w:cs="Times New Roman"/>
          <w:sz w:val="24"/>
          <w:szCs w:val="24"/>
        </w:rPr>
      </w:pPr>
      <w:r w:rsidRPr="00120996">
        <w:rPr>
          <w:rFonts w:ascii="Times New Roman" w:hAnsi="Times New Roman" w:cs="Times New Roman"/>
          <w:b/>
          <w:bCs/>
          <w:sz w:val="24"/>
          <w:szCs w:val="24"/>
        </w:rPr>
        <w:t>1.</w:t>
      </w:r>
      <w:r w:rsidRPr="00120996" w:rsidR="002846E8">
        <w:rPr>
          <w:rFonts w:ascii="Times New Roman" w:hAnsi="Times New Roman" w:cs="Times New Roman"/>
          <w:b/>
          <w:bCs/>
          <w:sz w:val="24"/>
          <w:szCs w:val="24"/>
        </w:rPr>
        <w:t>l</w:t>
      </w:r>
      <w:r w:rsidRPr="00120996" w:rsidR="00A83073">
        <w:rPr>
          <w:rFonts w:ascii="Times New Roman" w:hAnsi="Times New Roman" w:cs="Times New Roman"/>
          <w:b/>
          <w:bCs/>
          <w:sz w:val="24"/>
          <w:szCs w:val="24"/>
        </w:rPr>
        <w:t>.</w:t>
      </w:r>
      <w:r w:rsidRPr="00120996">
        <w:rPr>
          <w:rFonts w:ascii="Times New Roman" w:hAnsi="Times New Roman" w:cs="Times New Roman"/>
          <w:b/>
          <w:bCs/>
          <w:sz w:val="24"/>
          <w:szCs w:val="24"/>
        </w:rPr>
        <w:t xml:space="preserve"> </w:t>
      </w:r>
      <w:bookmarkStart w:id="14" w:name="_Hlk146881316"/>
      <w:r w:rsidRPr="00120996" w:rsidR="0071296A">
        <w:rPr>
          <w:rFonts w:ascii="Times New Roman" w:hAnsi="Times New Roman" w:cs="Times New Roman"/>
          <w:b/>
          <w:bCs/>
          <w:sz w:val="24"/>
          <w:szCs w:val="24"/>
        </w:rPr>
        <w:t xml:space="preserve">Requirements for </w:t>
      </w:r>
      <w:r w:rsidRPr="00120996" w:rsidR="00FB51A5">
        <w:rPr>
          <w:rFonts w:ascii="Times New Roman" w:hAnsi="Times New Roman" w:cs="Times New Roman"/>
          <w:b/>
          <w:bCs/>
          <w:sz w:val="24"/>
          <w:szCs w:val="24"/>
        </w:rPr>
        <w:t>Web-brokers</w:t>
      </w:r>
      <w:r w:rsidRPr="00120996" w:rsidR="007F0011">
        <w:rPr>
          <w:rFonts w:ascii="Times New Roman" w:hAnsi="Times New Roman" w:cs="Times New Roman"/>
          <w:b/>
          <w:bCs/>
          <w:sz w:val="24"/>
          <w:szCs w:val="24"/>
        </w:rPr>
        <w:t>’ Oversight of Agents and Brokers</w:t>
      </w:r>
      <w:r w:rsidRPr="00120996" w:rsidR="0071296A">
        <w:rPr>
          <w:rFonts w:ascii="Times New Roman" w:hAnsi="Times New Roman" w:cs="Times New Roman"/>
          <w:b/>
          <w:bCs/>
          <w:sz w:val="24"/>
          <w:szCs w:val="24"/>
        </w:rPr>
        <w:t xml:space="preserve"> in State Exchanges </w:t>
      </w:r>
      <w:r w:rsidRPr="00120996">
        <w:rPr>
          <w:rFonts w:ascii="Times New Roman" w:hAnsi="Times New Roman" w:cs="Times New Roman"/>
          <w:b/>
          <w:bCs/>
          <w:sz w:val="24"/>
          <w:szCs w:val="24"/>
        </w:rPr>
        <w:t>(</w:t>
      </w:r>
      <w:bookmarkStart w:id="15" w:name="_Hlk147163725"/>
      <w:r w:rsidRPr="00120996" w:rsidR="00FB1417">
        <w:rPr>
          <w:rFonts w:ascii="Times New Roman" w:hAnsi="Times New Roman" w:cs="Times New Roman"/>
          <w:b/>
          <w:bCs/>
          <w:sz w:val="24"/>
          <w:szCs w:val="24"/>
        </w:rPr>
        <w:t>45 C.F.R §</w:t>
      </w:r>
      <w:r w:rsidRPr="00120996">
        <w:rPr>
          <w:rFonts w:ascii="Times New Roman" w:hAnsi="Times New Roman" w:cs="Times New Roman"/>
          <w:b/>
          <w:bCs/>
          <w:sz w:val="24"/>
          <w:szCs w:val="24"/>
        </w:rPr>
        <w:t>155.220(c)(4)(iii</w:t>
      </w:r>
      <w:bookmarkEnd w:id="15"/>
      <w:r w:rsidRPr="00120996">
        <w:rPr>
          <w:rFonts w:ascii="Times New Roman" w:hAnsi="Times New Roman" w:cs="Times New Roman"/>
          <w:b/>
          <w:bCs/>
          <w:sz w:val="24"/>
          <w:szCs w:val="24"/>
        </w:rPr>
        <w:t>)</w:t>
      </w:r>
      <w:r w:rsidRPr="00120996" w:rsidR="000A46F1">
        <w:rPr>
          <w:rFonts w:ascii="Times New Roman" w:hAnsi="Times New Roman" w:cs="Times New Roman"/>
          <w:b/>
          <w:bCs/>
          <w:sz w:val="24"/>
          <w:szCs w:val="24"/>
        </w:rPr>
        <w:t>)</w:t>
      </w:r>
      <w:r w:rsidRPr="00120996" w:rsidR="00872335">
        <w:rPr>
          <w:rFonts w:ascii="Times New Roman" w:hAnsi="Times New Roman" w:cs="Times New Roman"/>
          <w:b/>
          <w:bCs/>
          <w:sz w:val="24"/>
          <w:szCs w:val="24"/>
        </w:rPr>
        <w:t>:</w:t>
      </w:r>
      <w:r w:rsidRPr="00120996">
        <w:rPr>
          <w:rFonts w:ascii="Times New Roman" w:hAnsi="Times New Roman" w:cs="Times New Roman"/>
          <w:sz w:val="24"/>
          <w:szCs w:val="24"/>
        </w:rPr>
        <w:t xml:space="preserve"> </w:t>
      </w:r>
      <w:r w:rsidRPr="00120996" w:rsidR="00E50F4A">
        <w:t xml:space="preserve"> </w:t>
      </w:r>
      <w:bookmarkEnd w:id="14"/>
      <w:r w:rsidRPr="00120996" w:rsidR="00E50F4A">
        <w:rPr>
          <w:rFonts w:ascii="Times New Roman" w:hAnsi="Times New Roman" w:cs="Times New Roman"/>
          <w:sz w:val="24"/>
          <w:szCs w:val="24"/>
        </w:rPr>
        <w:t xml:space="preserve">Section 155.220(c)(4) requires a web-broker to comply with several standards when the web-broker permits other agents and brokers to use its website to enroll a consumer through the FFE, pursuant to a contractual or other arrangement between the web-broker and the other agent or broker. </w:t>
      </w:r>
      <w:r w:rsidRPr="00120996" w:rsidR="00383626">
        <w:rPr>
          <w:rFonts w:ascii="Times New Roman" w:hAnsi="Times New Roman" w:cs="Times New Roman"/>
          <w:sz w:val="24"/>
          <w:szCs w:val="24"/>
        </w:rPr>
        <w:t xml:space="preserve">As discussed in the preamble of the proposed 2025 Payment Notice, CMS is proposing adding language to 45 C.F.R §155.220 requiring that </w:t>
      </w:r>
      <w:r w:rsidRPr="00120996" w:rsidR="00B20FFE">
        <w:rPr>
          <w:rFonts w:ascii="Times New Roman" w:hAnsi="Times New Roman" w:cs="Times New Roman"/>
          <w:sz w:val="24"/>
          <w:szCs w:val="24"/>
        </w:rPr>
        <w:t>web-brokers</w:t>
      </w:r>
      <w:r w:rsidRPr="00120996">
        <w:rPr>
          <w:rFonts w:ascii="Times New Roman" w:hAnsi="Times New Roman" w:cs="Times New Roman"/>
          <w:sz w:val="24"/>
          <w:szCs w:val="24"/>
        </w:rPr>
        <w:t xml:space="preserve"> operating in State Exchanges</w:t>
      </w:r>
      <w:r w:rsidRPr="00120996" w:rsidR="00B20FFE">
        <w:rPr>
          <w:rFonts w:ascii="Times New Roman" w:hAnsi="Times New Roman" w:cs="Times New Roman"/>
          <w:sz w:val="24"/>
          <w:szCs w:val="24"/>
        </w:rPr>
        <w:t xml:space="preserve"> that provide a website to agents and brokers</w:t>
      </w:r>
      <w:r w:rsidRPr="00120996">
        <w:rPr>
          <w:rFonts w:ascii="Times New Roman" w:hAnsi="Times New Roman" w:cs="Times New Roman"/>
          <w:sz w:val="24"/>
          <w:szCs w:val="24"/>
        </w:rPr>
        <w:t xml:space="preserve">, through a contract or other arrangement, </w:t>
      </w:r>
      <w:bookmarkStart w:id="16" w:name="_Hlk146882035"/>
      <w:r w:rsidRPr="00120996">
        <w:rPr>
          <w:rFonts w:ascii="Times New Roman" w:hAnsi="Times New Roman" w:cs="Times New Roman"/>
          <w:sz w:val="24"/>
          <w:szCs w:val="24"/>
        </w:rPr>
        <w:t>must implement similar standards to (i) and (ii) of this subsection, but by replacing “HHS” with “State Exchange” in subsections (i) and (ii). </w:t>
      </w:r>
      <w:bookmarkEnd w:id="16"/>
    </w:p>
    <w:p w:rsidR="00566ADF" w:rsidRPr="00120996" w:rsidP="00192B1D" w14:paraId="495452EF" w14:textId="10827877">
      <w:pPr>
        <w:spacing w:after="0" w:line="240" w:lineRule="auto"/>
        <w:ind w:right="90"/>
        <w:rPr>
          <w:rFonts w:ascii="Times New Roman" w:hAnsi="Times New Roman" w:cs="Times New Roman"/>
          <w:sz w:val="24"/>
          <w:szCs w:val="24"/>
        </w:rPr>
      </w:pPr>
    </w:p>
    <w:p w:rsidR="00566ADF" w:rsidRPr="00274221" w:rsidP="00192B1D" w14:paraId="78543682" w14:textId="55F95D83">
      <w:pPr>
        <w:spacing w:after="0" w:line="240" w:lineRule="auto"/>
        <w:ind w:right="90"/>
        <w:rPr>
          <w:rFonts w:ascii="Times New Roman" w:eastAsia="Times New Roman" w:hAnsi="Times New Roman" w:cs="Times New Roman"/>
          <w:sz w:val="24"/>
          <w:szCs w:val="24"/>
        </w:rPr>
      </w:pPr>
      <w:r w:rsidRPr="00120996">
        <w:rPr>
          <w:rFonts w:ascii="Times New Roman" w:eastAsia="Times New Roman" w:hAnsi="Times New Roman" w:cs="Times New Roman"/>
          <w:sz w:val="24"/>
          <w:szCs w:val="24"/>
        </w:rPr>
        <w:t>Per the Supporting Statement for Information Collection Requirements</w:t>
      </w:r>
      <w:r w:rsidRPr="00120996" w:rsidR="00D15A00">
        <w:rPr>
          <w:rFonts w:ascii="Times New Roman" w:eastAsia="Times New Roman" w:hAnsi="Times New Roman" w:cs="Times New Roman"/>
          <w:sz w:val="24"/>
          <w:szCs w:val="24"/>
        </w:rPr>
        <w:t xml:space="preserve"> </w:t>
      </w:r>
      <w:r w:rsidRPr="00120996">
        <w:rPr>
          <w:rFonts w:ascii="Times New Roman" w:eastAsia="Times New Roman" w:hAnsi="Times New Roman" w:cs="Times New Roman"/>
          <w:sz w:val="24"/>
          <w:szCs w:val="24"/>
        </w:rPr>
        <w:t>for State Permissions for Enrollment in Qualified Health Plans in the Federally-Facilitated Exchange &amp; Non-Exchange Entities(CMS-10650/OMB control number 0938-1349), Section 155.220(c)(4) requires a web-broker to comply with several standards when the web-broker permits other agents and brokers to use its website to enroll a consumer through the FFE, pursuant to a contractual or other arrangement between the web-broker and the other agent or broker. One of the standards requires the web-broker to provide to the FFE a list of agents or brokers who enter into such an arrangement, if requested by HHS. We understand that web-brokers who work with other agents and brokers typically obtain and manage information on each of their agents or brokers as part of an agent onboarding process. As a result, web-brokers already have</w:t>
      </w:r>
      <w:r w:rsidRPr="00566ADF">
        <w:rPr>
          <w:rFonts w:ascii="Times New Roman" w:eastAsia="Times New Roman" w:hAnsi="Times New Roman" w:cs="Times New Roman"/>
          <w:sz w:val="24"/>
          <w:szCs w:val="24"/>
        </w:rPr>
        <w:t xml:space="preserve"> the necessary data to list each of their agents or brokers that it contracts with under such arrangements. </w:t>
      </w:r>
      <w:r w:rsidRPr="00274221">
        <w:rPr>
          <w:rFonts w:ascii="Times New Roman" w:eastAsia="Times New Roman" w:hAnsi="Times New Roman" w:cs="Times New Roman"/>
          <w:sz w:val="24"/>
          <w:szCs w:val="24"/>
        </w:rPr>
        <w:t xml:space="preserve">Pursuant to </w:t>
      </w:r>
      <w:r w:rsidRPr="00274221">
        <w:rPr>
          <w:rFonts w:ascii="Times New Roman" w:eastAsia="Times New Roman" w:hAnsi="Times New Roman" w:cs="Times New Roman"/>
          <w:spacing w:val="-1"/>
          <w:sz w:val="24"/>
          <w:szCs w:val="24"/>
        </w:rPr>
        <w:t>§1</w:t>
      </w:r>
      <w:r w:rsidRPr="00274221">
        <w:rPr>
          <w:rFonts w:ascii="Times New Roman" w:eastAsia="Times New Roman" w:hAnsi="Times New Roman" w:cs="Times New Roman"/>
          <w:spacing w:val="1"/>
          <w:sz w:val="24"/>
          <w:szCs w:val="24"/>
        </w:rPr>
        <w:t>55.220(c)(4)(i), web-brokers who permit other agents and brokers to use its website to enroll consumers in QHPs through the FFE must provide a list of those agents and brokers</w:t>
      </w:r>
      <w:r w:rsidR="00274221">
        <w:rPr>
          <w:rFonts w:ascii="Times New Roman" w:eastAsia="Times New Roman" w:hAnsi="Times New Roman" w:cs="Times New Roman"/>
          <w:spacing w:val="1"/>
          <w:sz w:val="24"/>
          <w:szCs w:val="24"/>
        </w:rPr>
        <w:t>.</w:t>
      </w:r>
    </w:p>
    <w:p w:rsidR="00013E7F" w:rsidP="00192B1D" w14:paraId="0EF8A561" w14:textId="77777777">
      <w:pPr>
        <w:spacing w:after="0" w:line="240" w:lineRule="auto"/>
        <w:ind w:right="90"/>
        <w:rPr>
          <w:rFonts w:ascii="Times New Roman" w:hAnsi="Times New Roman" w:cs="Times New Roman"/>
          <w:sz w:val="24"/>
          <w:szCs w:val="24"/>
        </w:rPr>
      </w:pPr>
    </w:p>
    <w:p w:rsidR="0076089E" w:rsidP="00192B1D" w14:paraId="7E529D06" w14:textId="48674893">
      <w:pPr>
        <w:spacing w:after="0" w:line="240" w:lineRule="auto"/>
        <w:ind w:right="90"/>
        <w:rPr>
          <w:rFonts w:ascii="Times New Roman" w:hAnsi="Times New Roman" w:cs="Times New Roman"/>
          <w:sz w:val="24"/>
          <w:szCs w:val="24"/>
        </w:rPr>
      </w:pPr>
      <w:bookmarkStart w:id="17" w:name="_Hlk146888640"/>
      <w:r w:rsidRPr="00C624B4">
        <w:rPr>
          <w:rFonts w:ascii="Times New Roman" w:hAnsi="Times New Roman" w:cs="Times New Roman"/>
          <w:b/>
          <w:bCs/>
          <w:sz w:val="24"/>
          <w:szCs w:val="24"/>
        </w:rPr>
        <w:t>1.</w:t>
      </w:r>
      <w:r w:rsidRPr="00C624B4" w:rsidR="002846E8">
        <w:rPr>
          <w:rFonts w:ascii="Times New Roman" w:hAnsi="Times New Roman" w:cs="Times New Roman"/>
          <w:b/>
          <w:bCs/>
          <w:sz w:val="24"/>
          <w:szCs w:val="24"/>
        </w:rPr>
        <w:t>m</w:t>
      </w:r>
      <w:r w:rsidRPr="00C624B4" w:rsidR="00A83073">
        <w:rPr>
          <w:rFonts w:ascii="Times New Roman" w:hAnsi="Times New Roman" w:cs="Times New Roman"/>
          <w:b/>
          <w:bCs/>
          <w:sz w:val="24"/>
          <w:szCs w:val="24"/>
        </w:rPr>
        <w:t>.</w:t>
      </w:r>
      <w:r w:rsidRPr="00C624B4">
        <w:rPr>
          <w:rFonts w:ascii="Times New Roman" w:hAnsi="Times New Roman" w:cs="Times New Roman"/>
          <w:b/>
          <w:bCs/>
          <w:sz w:val="24"/>
          <w:szCs w:val="24"/>
        </w:rPr>
        <w:t xml:space="preserve"> </w:t>
      </w:r>
      <w:r w:rsidRPr="00C624B4" w:rsidR="000C2F3B">
        <w:rPr>
          <w:rFonts w:ascii="Times New Roman" w:hAnsi="Times New Roman" w:cs="Times New Roman"/>
          <w:b/>
          <w:bCs/>
          <w:sz w:val="24"/>
          <w:szCs w:val="24"/>
        </w:rPr>
        <w:t>Direct enrollment entity application assister requirements</w:t>
      </w:r>
      <w:r w:rsidRPr="00C624B4">
        <w:rPr>
          <w:rFonts w:ascii="Times New Roman" w:hAnsi="Times New Roman" w:cs="Times New Roman"/>
          <w:b/>
          <w:bCs/>
          <w:sz w:val="24"/>
          <w:szCs w:val="24"/>
        </w:rPr>
        <w:t xml:space="preserve"> (45 C.F.R §155.22</w:t>
      </w:r>
      <w:r w:rsidRPr="00C624B4" w:rsidR="00085FE8">
        <w:rPr>
          <w:rFonts w:ascii="Times New Roman" w:hAnsi="Times New Roman" w:cs="Times New Roman"/>
          <w:b/>
          <w:bCs/>
          <w:sz w:val="24"/>
          <w:szCs w:val="24"/>
        </w:rPr>
        <w:t>1</w:t>
      </w:r>
      <w:r w:rsidRPr="00C624B4">
        <w:rPr>
          <w:rFonts w:ascii="Times New Roman" w:hAnsi="Times New Roman" w:cs="Times New Roman"/>
          <w:b/>
          <w:bCs/>
          <w:sz w:val="24"/>
          <w:szCs w:val="24"/>
        </w:rPr>
        <w:t>(d)</w:t>
      </w:r>
      <w:r w:rsidRPr="00C624B4" w:rsidR="000A46F1">
        <w:rPr>
          <w:rFonts w:ascii="Times New Roman" w:hAnsi="Times New Roman" w:cs="Times New Roman"/>
          <w:b/>
          <w:bCs/>
          <w:sz w:val="24"/>
          <w:szCs w:val="24"/>
        </w:rPr>
        <w:t>)</w:t>
      </w:r>
      <w:r w:rsidRPr="00C624B4" w:rsidR="00872335">
        <w:rPr>
          <w:rFonts w:ascii="Times New Roman" w:hAnsi="Times New Roman" w:cs="Times New Roman"/>
          <w:b/>
          <w:bCs/>
          <w:sz w:val="24"/>
          <w:szCs w:val="24"/>
        </w:rPr>
        <w:t>:</w:t>
      </w:r>
      <w:r w:rsidRPr="000C2F3B" w:rsidR="000C2F3B">
        <w:rPr>
          <w:rFonts w:ascii="Times New Roman" w:hAnsi="Times New Roman" w:cs="Times New Roman"/>
          <w:sz w:val="24"/>
          <w:szCs w:val="24"/>
        </w:rPr>
        <w:t> </w:t>
      </w:r>
    </w:p>
    <w:p w:rsidR="00694364" w:rsidRPr="00F205D1" w:rsidP="00192B1D" w14:paraId="43A5A479" w14:textId="34302615">
      <w:pPr>
        <w:spacing w:after="0" w:line="240" w:lineRule="auto"/>
        <w:ind w:right="90"/>
        <w:rPr>
          <w:rFonts w:ascii="Times New Roman" w:hAnsi="Times New Roman" w:cs="Times New Roman"/>
          <w:sz w:val="24"/>
          <w:szCs w:val="24"/>
        </w:rPr>
      </w:pPr>
      <w:r w:rsidRPr="00CF2D2C">
        <w:t xml:space="preserve"> </w:t>
      </w:r>
      <w:r w:rsidRPr="00CF2D2C">
        <w:rPr>
          <w:rFonts w:ascii="Times New Roman" w:hAnsi="Times New Roman" w:cs="Times New Roman"/>
          <w:sz w:val="24"/>
          <w:szCs w:val="24"/>
        </w:rPr>
        <w:t>As discussed in the preamble of the proposed 2025 Payment Notice, CMS is proposing</w:t>
      </w:r>
      <w:r w:rsidR="00207B09">
        <w:rPr>
          <w:rFonts w:ascii="Times New Roman" w:hAnsi="Times New Roman" w:cs="Times New Roman"/>
          <w:sz w:val="24"/>
          <w:szCs w:val="24"/>
        </w:rPr>
        <w:t xml:space="preserve"> to modify </w:t>
      </w:r>
      <w:r w:rsidRPr="00B7383B" w:rsidR="00B7383B">
        <w:rPr>
          <w:rFonts w:ascii="Times New Roman" w:hAnsi="Times New Roman" w:cs="Times New Roman"/>
          <w:sz w:val="24"/>
          <w:szCs w:val="24"/>
        </w:rPr>
        <w:t>45 C.F.R §155.221(d)</w:t>
      </w:r>
      <w:r w:rsidR="00B7383B">
        <w:rPr>
          <w:rFonts w:ascii="Times New Roman" w:hAnsi="Times New Roman" w:cs="Times New Roman"/>
          <w:sz w:val="24"/>
          <w:szCs w:val="24"/>
        </w:rPr>
        <w:t xml:space="preserve"> </w:t>
      </w:r>
      <w:r w:rsidR="00207B09">
        <w:rPr>
          <w:rFonts w:ascii="Times New Roman" w:hAnsi="Times New Roman" w:cs="Times New Roman"/>
          <w:sz w:val="24"/>
          <w:szCs w:val="24"/>
        </w:rPr>
        <w:t xml:space="preserve">to </w:t>
      </w:r>
      <w:r w:rsidRPr="00F205D1" w:rsidR="00207B09">
        <w:rPr>
          <w:rFonts w:ascii="Times New Roman" w:hAnsi="Times New Roman" w:cs="Times New Roman"/>
          <w:sz w:val="24"/>
          <w:szCs w:val="24"/>
        </w:rPr>
        <w:t xml:space="preserve">implement minimum standards to allow </w:t>
      </w:r>
      <w:r w:rsidRPr="00F205D1" w:rsidR="00E96039">
        <w:rPr>
          <w:rFonts w:ascii="Times New Roman" w:hAnsi="Times New Roman" w:cs="Times New Roman"/>
          <w:sz w:val="24"/>
          <w:szCs w:val="24"/>
        </w:rPr>
        <w:t>State</w:t>
      </w:r>
      <w:r w:rsidRPr="00F205D1" w:rsidR="00207B09">
        <w:rPr>
          <w:rFonts w:ascii="Times New Roman" w:hAnsi="Times New Roman" w:cs="Times New Roman"/>
          <w:sz w:val="24"/>
          <w:szCs w:val="24"/>
        </w:rPr>
        <w:t xml:space="preserve"> Exchanges to create Direct Enrollment program requirements related to the use of application assister</w:t>
      </w:r>
      <w:r w:rsidRPr="00F205D1" w:rsidR="00987F46">
        <w:rPr>
          <w:rFonts w:ascii="Times New Roman" w:hAnsi="Times New Roman" w:cs="Times New Roman"/>
          <w:sz w:val="24"/>
          <w:szCs w:val="24"/>
        </w:rPr>
        <w:t>s</w:t>
      </w:r>
      <w:r w:rsidRPr="00F205D1" w:rsidR="00207B09">
        <w:rPr>
          <w:rFonts w:ascii="Times New Roman" w:hAnsi="Times New Roman" w:cs="Times New Roman"/>
          <w:sz w:val="24"/>
          <w:szCs w:val="24"/>
        </w:rPr>
        <w:t>.</w:t>
      </w:r>
      <w:r w:rsidRPr="00F205D1">
        <w:rPr>
          <w:rFonts w:ascii="Times New Roman" w:hAnsi="Times New Roman" w:cs="Times New Roman"/>
          <w:sz w:val="24"/>
          <w:szCs w:val="24"/>
        </w:rPr>
        <w:t xml:space="preserve"> </w:t>
      </w:r>
      <w:r w:rsidRPr="00F205D1" w:rsidR="00144BD9">
        <w:rPr>
          <w:rFonts w:ascii="Times New Roman" w:hAnsi="Times New Roman" w:cs="Times New Roman"/>
          <w:sz w:val="24"/>
          <w:szCs w:val="24"/>
        </w:rPr>
        <w:t>To the extent permitted under state law</w:t>
      </w:r>
      <w:r w:rsidRPr="00F205D1" w:rsidR="00A902A3">
        <w:rPr>
          <w:rFonts w:ascii="Times New Roman" w:hAnsi="Times New Roman" w:cs="Times New Roman"/>
          <w:sz w:val="24"/>
          <w:szCs w:val="24"/>
        </w:rPr>
        <w:t xml:space="preserve"> for State Exchanges</w:t>
      </w:r>
      <w:r w:rsidRPr="00F205D1" w:rsidR="00144BD9">
        <w:rPr>
          <w:rFonts w:ascii="Times New Roman" w:hAnsi="Times New Roman" w:cs="Times New Roman"/>
          <w:sz w:val="24"/>
          <w:szCs w:val="24"/>
        </w:rPr>
        <w:t>, a</w:t>
      </w:r>
      <w:r w:rsidRPr="00F205D1" w:rsidR="000C2F3B">
        <w:rPr>
          <w:rFonts w:ascii="Times New Roman" w:hAnsi="Times New Roman" w:cs="Times New Roman"/>
          <w:sz w:val="24"/>
          <w:szCs w:val="24"/>
        </w:rPr>
        <w:t> </w:t>
      </w:r>
      <w:hyperlink r:id="rId9" w:history="1">
        <w:r w:rsidRPr="00F205D1" w:rsidR="000C2F3B">
          <w:rPr>
            <w:rFonts w:ascii="Times New Roman" w:hAnsi="Times New Roman" w:cs="Times New Roman"/>
            <w:sz w:val="24"/>
            <w:szCs w:val="24"/>
          </w:rPr>
          <w:t>direct enrollment entity</w:t>
        </w:r>
      </w:hyperlink>
      <w:r w:rsidRPr="00F205D1" w:rsidR="000C2F3B">
        <w:rPr>
          <w:rFonts w:ascii="Times New Roman" w:hAnsi="Times New Roman" w:cs="Times New Roman"/>
          <w:sz w:val="24"/>
          <w:szCs w:val="24"/>
        </w:rPr>
        <w:t> may permit </w:t>
      </w:r>
      <w:hyperlink r:id="rId9" w:history="1">
        <w:r w:rsidRPr="00F205D1" w:rsidR="000C2F3B">
          <w:rPr>
            <w:rFonts w:ascii="Times New Roman" w:hAnsi="Times New Roman" w:cs="Times New Roman"/>
            <w:sz w:val="24"/>
            <w:szCs w:val="24"/>
          </w:rPr>
          <w:t>direct enrollment entity</w:t>
        </w:r>
      </w:hyperlink>
      <w:r w:rsidRPr="00F205D1" w:rsidR="000C2F3B">
        <w:rPr>
          <w:rFonts w:ascii="Times New Roman" w:hAnsi="Times New Roman" w:cs="Times New Roman"/>
          <w:sz w:val="24"/>
          <w:szCs w:val="24"/>
        </w:rPr>
        <w:t> application assisters, as defined at </w:t>
      </w:r>
      <w:hyperlink r:id="rId10" w:history="1">
        <w:r w:rsidRPr="00F205D1" w:rsidR="000C2F3B">
          <w:rPr>
            <w:rFonts w:ascii="Times New Roman" w:hAnsi="Times New Roman" w:cs="Times New Roman"/>
            <w:sz w:val="24"/>
            <w:szCs w:val="24"/>
          </w:rPr>
          <w:t>§ 155.20</w:t>
        </w:r>
      </w:hyperlink>
      <w:r w:rsidRPr="00F205D1" w:rsidR="000C2F3B">
        <w:rPr>
          <w:rFonts w:ascii="Times New Roman" w:hAnsi="Times New Roman" w:cs="Times New Roman"/>
          <w:sz w:val="24"/>
          <w:szCs w:val="24"/>
        </w:rPr>
        <w:t>, to assist individuals in the </w:t>
      </w:r>
      <w:hyperlink r:id="rId11" w:history="1">
        <w:r w:rsidRPr="00F205D1" w:rsidR="000C2F3B">
          <w:rPr>
            <w:rFonts w:ascii="Times New Roman" w:hAnsi="Times New Roman" w:cs="Times New Roman"/>
            <w:sz w:val="24"/>
            <w:szCs w:val="24"/>
          </w:rPr>
          <w:t>individual market</w:t>
        </w:r>
      </w:hyperlink>
      <w:r w:rsidRPr="00F205D1" w:rsidR="000C2F3B">
        <w:rPr>
          <w:rFonts w:ascii="Times New Roman" w:hAnsi="Times New Roman" w:cs="Times New Roman"/>
          <w:sz w:val="24"/>
          <w:szCs w:val="24"/>
        </w:rPr>
        <w:t> with applying for a determination or redetermination of eligibility for coverage through the </w:t>
      </w:r>
      <w:hyperlink r:id="rId12" w:history="1">
        <w:r w:rsidRPr="00F205D1" w:rsidR="000C2F3B">
          <w:rPr>
            <w:rFonts w:ascii="Times New Roman" w:hAnsi="Times New Roman" w:cs="Times New Roman"/>
            <w:sz w:val="24"/>
            <w:szCs w:val="24"/>
          </w:rPr>
          <w:t>Exchange</w:t>
        </w:r>
      </w:hyperlink>
      <w:r w:rsidRPr="00F205D1" w:rsidR="000C2F3B">
        <w:rPr>
          <w:rFonts w:ascii="Times New Roman" w:hAnsi="Times New Roman" w:cs="Times New Roman"/>
          <w:sz w:val="24"/>
          <w:szCs w:val="24"/>
        </w:rPr>
        <w:t> and for insurance affordability programs, provided that such </w:t>
      </w:r>
      <w:hyperlink r:id="rId9" w:history="1">
        <w:r w:rsidRPr="00F205D1" w:rsidR="000C2F3B">
          <w:rPr>
            <w:rFonts w:ascii="Times New Roman" w:hAnsi="Times New Roman" w:cs="Times New Roman"/>
            <w:sz w:val="24"/>
            <w:szCs w:val="24"/>
          </w:rPr>
          <w:t>direct enrollment entity</w:t>
        </w:r>
      </w:hyperlink>
      <w:r w:rsidRPr="00F205D1" w:rsidR="000C2F3B">
        <w:rPr>
          <w:rFonts w:ascii="Times New Roman" w:hAnsi="Times New Roman" w:cs="Times New Roman"/>
          <w:sz w:val="24"/>
          <w:szCs w:val="24"/>
        </w:rPr>
        <w:t> ensures that each of its </w:t>
      </w:r>
      <w:hyperlink r:id="rId13" w:history="1">
        <w:r w:rsidRPr="00F205D1" w:rsidR="000C2F3B">
          <w:rPr>
            <w:rFonts w:ascii="Times New Roman" w:hAnsi="Times New Roman" w:cs="Times New Roman"/>
            <w:sz w:val="24"/>
            <w:szCs w:val="24"/>
          </w:rPr>
          <w:t>direct enrollment entity application assisters</w:t>
        </w:r>
      </w:hyperlink>
      <w:r w:rsidRPr="00F205D1" w:rsidR="000C2F3B">
        <w:rPr>
          <w:rFonts w:ascii="Times New Roman" w:hAnsi="Times New Roman" w:cs="Times New Roman"/>
          <w:sz w:val="24"/>
          <w:szCs w:val="24"/>
        </w:rPr>
        <w:t> meets the requirements in </w:t>
      </w:r>
      <w:hyperlink r:id="rId14" w:anchor="b" w:history="1">
        <w:r w:rsidRPr="00F205D1" w:rsidR="000C2F3B">
          <w:rPr>
            <w:rFonts w:ascii="Times New Roman" w:hAnsi="Times New Roman" w:cs="Times New Roman"/>
            <w:sz w:val="24"/>
            <w:szCs w:val="24"/>
          </w:rPr>
          <w:t>§ 155.415(b)</w:t>
        </w:r>
      </w:hyperlink>
      <w:r w:rsidRPr="00F205D1" w:rsidR="000C2F3B">
        <w:rPr>
          <w:rFonts w:ascii="Times New Roman" w:hAnsi="Times New Roman" w:cs="Times New Roman"/>
          <w:sz w:val="24"/>
          <w:szCs w:val="24"/>
        </w:rPr>
        <w:t>.</w:t>
      </w:r>
      <w:r w:rsidRPr="00F205D1" w:rsidR="00144BD9">
        <w:rPr>
          <w:rFonts w:ascii="Times New Roman" w:hAnsi="Times New Roman" w:cs="Times New Roman"/>
          <w:sz w:val="24"/>
          <w:szCs w:val="24"/>
        </w:rPr>
        <w:t xml:space="preserve"> </w:t>
      </w:r>
    </w:p>
    <w:bookmarkEnd w:id="17"/>
    <w:p w:rsidR="00694364" w:rsidP="00192B1D" w14:paraId="61C16751" w14:textId="77777777">
      <w:pPr>
        <w:spacing w:after="0" w:line="240" w:lineRule="auto"/>
        <w:ind w:right="90"/>
        <w:rPr>
          <w:rFonts w:ascii="Times New Roman" w:hAnsi="Times New Roman" w:cs="Times New Roman"/>
          <w:sz w:val="24"/>
          <w:szCs w:val="24"/>
        </w:rPr>
      </w:pPr>
    </w:p>
    <w:p w:rsidR="00013E7F" w:rsidRPr="00120996" w:rsidP="00192B1D" w14:paraId="50C73ECC" w14:textId="7AF4B683">
      <w:pPr>
        <w:spacing w:after="0" w:line="240" w:lineRule="auto"/>
        <w:ind w:right="90"/>
        <w:rPr>
          <w:rFonts w:ascii="Times New Roman" w:hAnsi="Times New Roman" w:cs="Times New Roman"/>
          <w:sz w:val="24"/>
          <w:szCs w:val="24"/>
        </w:rPr>
      </w:pPr>
      <w:r w:rsidRPr="00F205D1">
        <w:rPr>
          <w:rFonts w:ascii="Times New Roman" w:hAnsi="Times New Roman" w:cs="Times New Roman"/>
          <w:b/>
          <w:bCs/>
          <w:sz w:val="24"/>
          <w:szCs w:val="24"/>
        </w:rPr>
        <w:t>1.</w:t>
      </w:r>
      <w:bookmarkStart w:id="18" w:name="_Hlk146881626"/>
      <w:r w:rsidR="002846E8">
        <w:rPr>
          <w:rFonts w:ascii="Times New Roman" w:hAnsi="Times New Roman" w:cs="Times New Roman"/>
          <w:b/>
          <w:bCs/>
          <w:sz w:val="24"/>
          <w:szCs w:val="24"/>
        </w:rPr>
        <w:t>n</w:t>
      </w:r>
      <w:r w:rsidRPr="00F205D1" w:rsidR="00A83073">
        <w:rPr>
          <w:rFonts w:ascii="Times New Roman" w:hAnsi="Times New Roman" w:cs="Times New Roman"/>
          <w:b/>
          <w:bCs/>
          <w:sz w:val="24"/>
          <w:szCs w:val="24"/>
        </w:rPr>
        <w:t>.</w:t>
      </w:r>
      <w:r w:rsidRPr="00F205D1" w:rsidR="008C3EDC">
        <w:rPr>
          <w:rFonts w:ascii="Times New Roman" w:hAnsi="Times New Roman" w:cs="Times New Roman"/>
          <w:b/>
          <w:bCs/>
          <w:sz w:val="24"/>
          <w:szCs w:val="24"/>
        </w:rPr>
        <w:t xml:space="preserve"> </w:t>
      </w:r>
      <w:r w:rsidRPr="00F205D1">
        <w:rPr>
          <w:rFonts w:ascii="Times New Roman" w:hAnsi="Times New Roman" w:cs="Times New Roman"/>
          <w:b/>
          <w:bCs/>
          <w:sz w:val="24"/>
          <w:szCs w:val="24"/>
        </w:rPr>
        <w:t>Application to State Exchanges</w:t>
      </w:r>
      <w:r w:rsidRPr="00F205D1">
        <w:rPr>
          <w:rFonts w:ascii="Times New Roman" w:hAnsi="Times New Roman" w:cs="Times New Roman"/>
          <w:sz w:val="24"/>
          <w:szCs w:val="24"/>
        </w:rPr>
        <w:t xml:space="preserve"> </w:t>
      </w:r>
      <w:r w:rsidRPr="00F205D1">
        <w:rPr>
          <w:rFonts w:ascii="Times New Roman" w:hAnsi="Times New Roman" w:cs="Times New Roman"/>
          <w:sz w:val="24"/>
          <w:szCs w:val="24"/>
        </w:rPr>
        <w:t>(</w:t>
      </w:r>
      <w:r w:rsidRPr="00F205D1">
        <w:rPr>
          <w:rFonts w:ascii="Times New Roman" w:hAnsi="Times New Roman" w:cs="Times New Roman"/>
          <w:b/>
          <w:bCs/>
          <w:sz w:val="24"/>
          <w:szCs w:val="24"/>
        </w:rPr>
        <w:t xml:space="preserve">45 C.F.R </w:t>
      </w:r>
      <w:r w:rsidRPr="00F205D1">
        <w:rPr>
          <w:rFonts w:ascii="Times New Roman" w:hAnsi="Times New Roman" w:cs="Times New Roman"/>
          <w:b/>
          <w:sz w:val="24"/>
          <w:szCs w:val="24"/>
        </w:rPr>
        <w:t>§</w:t>
      </w:r>
      <w:r w:rsidRPr="00F205D1">
        <w:rPr>
          <w:rFonts w:ascii="Times New Roman" w:hAnsi="Times New Roman" w:cs="Times New Roman"/>
          <w:b/>
          <w:bCs/>
          <w:sz w:val="24"/>
          <w:szCs w:val="24"/>
        </w:rPr>
        <w:t>155.220(n</w:t>
      </w:r>
      <w:bookmarkEnd w:id="18"/>
      <w:r w:rsidRPr="00F205D1">
        <w:rPr>
          <w:rFonts w:ascii="Times New Roman" w:hAnsi="Times New Roman" w:cs="Times New Roman"/>
          <w:b/>
          <w:bCs/>
          <w:sz w:val="24"/>
          <w:szCs w:val="24"/>
        </w:rPr>
        <w:t>)</w:t>
      </w:r>
      <w:r w:rsidRPr="00F205D1" w:rsidR="000A46F1">
        <w:rPr>
          <w:rFonts w:ascii="Times New Roman" w:hAnsi="Times New Roman" w:cs="Times New Roman"/>
          <w:b/>
          <w:bCs/>
          <w:sz w:val="24"/>
          <w:szCs w:val="24"/>
        </w:rPr>
        <w:t>)</w:t>
      </w:r>
      <w:r w:rsidRPr="00F205D1">
        <w:rPr>
          <w:rFonts w:ascii="Times New Roman" w:hAnsi="Times New Roman" w:cs="Times New Roman"/>
          <w:b/>
          <w:bCs/>
          <w:sz w:val="24"/>
          <w:szCs w:val="24"/>
        </w:rPr>
        <w:t>:</w:t>
      </w:r>
      <w:bookmarkStart w:id="19" w:name="_Hlk146877227"/>
      <w:r w:rsidR="00F205D1">
        <w:rPr>
          <w:rFonts w:ascii="Times New Roman" w:hAnsi="Times New Roman" w:cs="Times New Roman"/>
          <w:sz w:val="24"/>
          <w:szCs w:val="24"/>
        </w:rPr>
        <w:t xml:space="preserve"> </w:t>
      </w:r>
      <w:r>
        <w:rPr>
          <w:rFonts w:ascii="Times New Roman" w:hAnsi="Times New Roman" w:cs="Times New Roman"/>
          <w:sz w:val="24"/>
          <w:szCs w:val="24"/>
        </w:rPr>
        <w:t>As discussed in the preamble of the proposed 2025 Payment Notice, CMS is</w:t>
      </w:r>
      <w:r w:rsidR="003D1733">
        <w:rPr>
          <w:rFonts w:ascii="Times New Roman" w:hAnsi="Times New Roman" w:cs="Times New Roman"/>
          <w:sz w:val="24"/>
          <w:szCs w:val="24"/>
        </w:rPr>
        <w:t xml:space="preserve"> proposing adding</w:t>
      </w:r>
      <w:r w:rsidR="00ED078A">
        <w:rPr>
          <w:rFonts w:ascii="Times New Roman" w:hAnsi="Times New Roman" w:cs="Times New Roman"/>
          <w:sz w:val="24"/>
          <w:szCs w:val="24"/>
        </w:rPr>
        <w:t xml:space="preserve"> language to </w:t>
      </w:r>
      <w:r w:rsidRPr="004B505E" w:rsidR="004B505E">
        <w:rPr>
          <w:rFonts w:ascii="Times New Roman" w:hAnsi="Times New Roman" w:cs="Times New Roman"/>
          <w:sz w:val="24"/>
          <w:szCs w:val="24"/>
        </w:rPr>
        <w:t>45 C.F.R §155.220</w:t>
      </w:r>
      <w:r w:rsidR="004B505E">
        <w:rPr>
          <w:rFonts w:ascii="Times New Roman" w:hAnsi="Times New Roman" w:cs="Times New Roman"/>
          <w:sz w:val="24"/>
          <w:szCs w:val="24"/>
        </w:rPr>
        <w:t xml:space="preserve"> requiring</w:t>
      </w:r>
      <w:r w:rsidR="00A71125">
        <w:rPr>
          <w:rFonts w:ascii="Times New Roman" w:hAnsi="Times New Roman" w:cs="Times New Roman"/>
          <w:sz w:val="24"/>
          <w:szCs w:val="24"/>
        </w:rPr>
        <w:t xml:space="preserve"> that a</w:t>
      </w:r>
      <w:bookmarkEnd w:id="19"/>
      <w:r w:rsidRPr="00013E7F">
        <w:rPr>
          <w:rFonts w:ascii="Times New Roman" w:hAnsi="Times New Roman" w:cs="Times New Roman"/>
          <w:sz w:val="24"/>
          <w:szCs w:val="24"/>
        </w:rPr>
        <w:t xml:space="preserve"> web-broker that assists or enrolls consumers in coverage in a manner that constitutes enrollment through </w:t>
      </w:r>
      <w:r w:rsidRPr="00120996">
        <w:rPr>
          <w:rFonts w:ascii="Times New Roman" w:hAnsi="Times New Roman" w:cs="Times New Roman"/>
          <w:sz w:val="24"/>
          <w:szCs w:val="24"/>
        </w:rPr>
        <w:t>a State Exchange, for both its individual Marketplace or SHOP, or assists consumers with submission of applications for advance payments of the premium tax credit and cost-sharing reductions through a State</w:t>
      </w:r>
      <w:r w:rsidRPr="00120996" w:rsidR="00F205D1">
        <w:rPr>
          <w:rFonts w:ascii="Times New Roman" w:hAnsi="Times New Roman" w:cs="Times New Roman"/>
          <w:sz w:val="24"/>
          <w:szCs w:val="24"/>
        </w:rPr>
        <w:t xml:space="preserve"> </w:t>
      </w:r>
      <w:r w:rsidRPr="00120996">
        <w:rPr>
          <w:rFonts w:ascii="Times New Roman" w:hAnsi="Times New Roman" w:cs="Times New Roman"/>
          <w:sz w:val="24"/>
          <w:szCs w:val="24"/>
        </w:rPr>
        <w:t xml:space="preserve">Exchange, must comply with the following </w:t>
      </w:r>
      <w:r w:rsidRPr="00120996">
        <w:rPr>
          <w:rFonts w:ascii="Times New Roman" w:hAnsi="Times New Roman" w:cs="Times New Roman"/>
          <w:sz w:val="24"/>
          <w:szCs w:val="24"/>
        </w:rPr>
        <w:t xml:space="preserve">Federally-facilitated Exchange standards in § 155.220, including (c)(3)(i)(A), (c)(3)(i)(G), </w:t>
      </w:r>
      <w:r w:rsidRPr="00120996" w:rsidR="00E82240">
        <w:rPr>
          <w:rFonts w:ascii="Times New Roman" w:hAnsi="Times New Roman" w:cs="Times New Roman"/>
          <w:sz w:val="24"/>
          <w:szCs w:val="24"/>
        </w:rPr>
        <w:t xml:space="preserve">and </w:t>
      </w:r>
      <w:r w:rsidRPr="00120996">
        <w:rPr>
          <w:rFonts w:ascii="Times New Roman" w:hAnsi="Times New Roman" w:cs="Times New Roman"/>
          <w:sz w:val="24"/>
          <w:szCs w:val="24"/>
        </w:rPr>
        <w:t>(c)(3)(i)(I)</w:t>
      </w:r>
      <w:r w:rsidRPr="00120996" w:rsidR="00E559AD">
        <w:rPr>
          <w:rFonts w:ascii="Times New Roman" w:hAnsi="Times New Roman" w:cs="Times New Roman"/>
          <w:sz w:val="24"/>
          <w:szCs w:val="24"/>
        </w:rPr>
        <w:t>, including any additional State-specific standards under paragraphs (n)(1), and the State Exchange’s operational readiness standards under paragraph (n)(2).</w:t>
      </w:r>
    </w:p>
    <w:p w:rsidR="00BB25DC" w:rsidRPr="00120996" w:rsidP="00013E7F" w14:paraId="0A0BCC41" w14:textId="77777777">
      <w:pPr>
        <w:spacing w:after="0" w:line="240" w:lineRule="auto"/>
        <w:rPr>
          <w:rFonts w:ascii="Times New Roman" w:hAnsi="Times New Roman" w:cs="Times New Roman"/>
          <w:sz w:val="24"/>
          <w:szCs w:val="24"/>
        </w:rPr>
      </w:pPr>
    </w:p>
    <w:p w:rsidR="00013E7F" w:rsidRPr="00120996" w:rsidP="00192B1D" w14:paraId="06C10090" w14:textId="39AB9894">
      <w:pPr>
        <w:spacing w:after="0" w:line="240" w:lineRule="auto"/>
        <w:ind w:right="450"/>
        <w:rPr>
          <w:rFonts w:ascii="Times New Roman" w:hAnsi="Times New Roman" w:cs="Times New Roman"/>
          <w:sz w:val="24"/>
          <w:szCs w:val="24"/>
        </w:rPr>
      </w:pPr>
      <w:r w:rsidRPr="00120996">
        <w:rPr>
          <w:rFonts w:ascii="Times New Roman" w:hAnsi="Times New Roman" w:cs="Times New Roman"/>
          <w:sz w:val="24"/>
          <w:szCs w:val="24"/>
        </w:rPr>
        <w:t xml:space="preserve">Regarding (n)(1), </w:t>
      </w:r>
      <w:r w:rsidRPr="00120996">
        <w:rPr>
          <w:rFonts w:ascii="Times New Roman" w:hAnsi="Times New Roman" w:cs="Times New Roman"/>
          <w:sz w:val="24"/>
          <w:szCs w:val="24"/>
        </w:rPr>
        <w:t>State Exchanges</w:t>
      </w:r>
      <w:r w:rsidR="005F2D48">
        <w:rPr>
          <w:rFonts w:ascii="Times New Roman" w:hAnsi="Times New Roman" w:cs="Times New Roman"/>
          <w:sz w:val="24"/>
          <w:szCs w:val="24"/>
        </w:rPr>
        <w:t xml:space="preserve"> have </w:t>
      </w:r>
      <w:r w:rsidRPr="00395C2F" w:rsidR="005F2D48">
        <w:rPr>
          <w:rFonts w:ascii="Times New Roman" w:hAnsi="Times New Roman" w:cs="Times New Roman"/>
          <w:sz w:val="24"/>
          <w:szCs w:val="24"/>
        </w:rPr>
        <w:t>flexibility regarding the standardized disclaimer language</w:t>
      </w:r>
      <w:r w:rsidR="005F2D48">
        <w:rPr>
          <w:rFonts w:ascii="Times New Roman" w:hAnsi="Times New Roman" w:cs="Times New Roman"/>
          <w:sz w:val="24"/>
          <w:szCs w:val="24"/>
        </w:rPr>
        <w:t xml:space="preserve"> and information</w:t>
      </w:r>
      <w:r w:rsidRPr="00395C2F" w:rsidR="005F2D48">
        <w:rPr>
          <w:rFonts w:ascii="Times New Roman" w:hAnsi="Times New Roman" w:cs="Times New Roman"/>
          <w:sz w:val="24"/>
          <w:szCs w:val="24"/>
        </w:rPr>
        <w:t xml:space="preserve"> that would be required to be displayed by their DE entities</w:t>
      </w:r>
      <w:r w:rsidR="005F2D48">
        <w:rPr>
          <w:rFonts w:ascii="Times New Roman" w:hAnsi="Times New Roman" w:cs="Times New Roman"/>
          <w:sz w:val="24"/>
          <w:szCs w:val="24"/>
        </w:rPr>
        <w:t xml:space="preserve"> per </w:t>
      </w:r>
      <w:r w:rsidRPr="00120996" w:rsidR="005F2D48">
        <w:rPr>
          <w:rFonts w:ascii="Times New Roman" w:hAnsi="Times New Roman" w:cs="Times New Roman"/>
          <w:sz w:val="24"/>
          <w:szCs w:val="24"/>
        </w:rPr>
        <w:t>(c)(3)(i)(A),(c)(3)(i)(G), (c)(3)(i)(I)</w:t>
      </w:r>
      <w:r w:rsidRPr="00395C2F" w:rsidR="005F2D48">
        <w:rPr>
          <w:rFonts w:ascii="Times New Roman" w:hAnsi="Times New Roman" w:cs="Times New Roman"/>
          <w:sz w:val="24"/>
          <w:szCs w:val="24"/>
        </w:rPr>
        <w:t>, provided that the additional language does not conflict with the HHS-provided standardized disclaimer</w:t>
      </w:r>
      <w:r w:rsidR="005F2D48">
        <w:rPr>
          <w:rFonts w:ascii="Times New Roman" w:hAnsi="Times New Roman" w:cs="Times New Roman"/>
          <w:sz w:val="24"/>
          <w:szCs w:val="24"/>
        </w:rPr>
        <w:t>.</w:t>
      </w:r>
    </w:p>
    <w:p w:rsidR="00192B1D" w:rsidRPr="00120996" w:rsidP="00192B1D" w14:paraId="324D3F0D" w14:textId="77777777">
      <w:pPr>
        <w:spacing w:after="0" w:line="240" w:lineRule="auto"/>
        <w:ind w:right="450"/>
        <w:rPr>
          <w:rFonts w:ascii="Times New Roman" w:hAnsi="Times New Roman" w:cs="Times New Roman"/>
          <w:sz w:val="24"/>
          <w:szCs w:val="24"/>
        </w:rPr>
      </w:pPr>
    </w:p>
    <w:p w:rsidR="00013E7F" w:rsidP="00192B1D" w14:paraId="353F4FBB" w14:textId="3169B398">
      <w:pPr>
        <w:spacing w:after="0" w:line="240" w:lineRule="auto"/>
        <w:ind w:right="450"/>
        <w:rPr>
          <w:rFonts w:ascii="Times New Roman" w:hAnsi="Times New Roman" w:cs="Times New Roman"/>
          <w:sz w:val="24"/>
          <w:szCs w:val="24"/>
        </w:rPr>
      </w:pPr>
      <w:r w:rsidRPr="00120996">
        <w:rPr>
          <w:rFonts w:ascii="Times New Roman" w:hAnsi="Times New Roman" w:cs="Times New Roman"/>
          <w:sz w:val="24"/>
          <w:szCs w:val="24"/>
        </w:rPr>
        <w:t>Regarding (</w:t>
      </w:r>
      <w:r w:rsidRPr="00120996" w:rsidR="00E559AD">
        <w:rPr>
          <w:rFonts w:ascii="Times New Roman" w:hAnsi="Times New Roman" w:cs="Times New Roman"/>
          <w:sz w:val="24"/>
          <w:szCs w:val="24"/>
        </w:rPr>
        <w:t>n)(2)</w:t>
      </w:r>
      <w:r w:rsidRPr="00120996">
        <w:rPr>
          <w:rFonts w:ascii="Times New Roman" w:hAnsi="Times New Roman" w:cs="Times New Roman"/>
          <w:sz w:val="24"/>
          <w:szCs w:val="24"/>
        </w:rPr>
        <w:t xml:space="preserve">, </w:t>
      </w:r>
      <w:r w:rsidRPr="00120996" w:rsidR="00B84E7B">
        <w:rPr>
          <w:rFonts w:ascii="Times New Roman" w:hAnsi="Times New Roman" w:cs="Times New Roman"/>
          <w:sz w:val="24"/>
          <w:szCs w:val="24"/>
        </w:rPr>
        <w:t>State Exchanges</w:t>
      </w:r>
      <w:r w:rsidRPr="00120996">
        <w:rPr>
          <w:rFonts w:ascii="Times New Roman" w:hAnsi="Times New Roman" w:cs="Times New Roman"/>
          <w:sz w:val="24"/>
          <w:szCs w:val="24"/>
        </w:rPr>
        <w:t xml:space="preserve"> may establish the form and manner for web-brokers to demonstrate operational readiness, which may include, but not be limited to, submission</w:t>
      </w:r>
      <w:r w:rsidRPr="00013E7F">
        <w:rPr>
          <w:rFonts w:ascii="Times New Roman" w:hAnsi="Times New Roman" w:cs="Times New Roman"/>
          <w:sz w:val="24"/>
          <w:szCs w:val="24"/>
        </w:rPr>
        <w:t xml:space="preserve"> or completion, in the form and manner specified by the </w:t>
      </w:r>
      <w:r w:rsidR="00F205D1">
        <w:rPr>
          <w:rFonts w:ascii="Times New Roman" w:hAnsi="Times New Roman" w:cs="Times New Roman"/>
          <w:sz w:val="24"/>
          <w:szCs w:val="24"/>
        </w:rPr>
        <w:t>State Exchange</w:t>
      </w:r>
      <w:r w:rsidRPr="00013E7F">
        <w:rPr>
          <w:rFonts w:ascii="Times New Roman" w:hAnsi="Times New Roman" w:cs="Times New Roman"/>
          <w:sz w:val="24"/>
          <w:szCs w:val="24"/>
        </w:rPr>
        <w:t>, items as noted in § § 155.220(</w:t>
      </w:r>
      <w:r w:rsidR="00537363">
        <w:rPr>
          <w:rFonts w:ascii="Times New Roman" w:hAnsi="Times New Roman" w:cs="Times New Roman"/>
          <w:sz w:val="24"/>
          <w:szCs w:val="24"/>
        </w:rPr>
        <w:t>n</w:t>
      </w:r>
      <w:r w:rsidRPr="00013E7F">
        <w:rPr>
          <w:rFonts w:ascii="Times New Roman" w:hAnsi="Times New Roman" w:cs="Times New Roman"/>
          <w:sz w:val="24"/>
          <w:szCs w:val="24"/>
        </w:rPr>
        <w:t>)(</w:t>
      </w:r>
      <w:r w:rsidR="00537363">
        <w:rPr>
          <w:rFonts w:ascii="Times New Roman" w:hAnsi="Times New Roman" w:cs="Times New Roman"/>
          <w:sz w:val="24"/>
          <w:szCs w:val="24"/>
        </w:rPr>
        <w:t>2</w:t>
      </w:r>
      <w:r w:rsidRPr="00013E7F">
        <w:rPr>
          <w:rFonts w:ascii="Times New Roman" w:hAnsi="Times New Roman" w:cs="Times New Roman"/>
          <w:sz w:val="24"/>
          <w:szCs w:val="24"/>
        </w:rPr>
        <w:t>)(i)-(v). </w:t>
      </w:r>
    </w:p>
    <w:p w:rsidR="004B505E" w:rsidP="00192B1D" w14:paraId="73C10DEE" w14:textId="77777777">
      <w:pPr>
        <w:spacing w:after="0" w:line="240" w:lineRule="auto"/>
        <w:ind w:right="450"/>
        <w:rPr>
          <w:rFonts w:ascii="Times New Roman" w:hAnsi="Times New Roman" w:cs="Times New Roman"/>
          <w:sz w:val="24"/>
          <w:szCs w:val="24"/>
        </w:rPr>
      </w:pPr>
    </w:p>
    <w:p w:rsidR="00171F54" w:rsidP="00192B1D" w14:paraId="7F8C815A" w14:textId="7C5265C8">
      <w:pPr>
        <w:spacing w:after="0" w:line="240" w:lineRule="auto"/>
        <w:ind w:right="180"/>
        <w:rPr>
          <w:rFonts w:ascii="Times New Roman" w:hAnsi="Times New Roman" w:cs="Times New Roman"/>
          <w:sz w:val="24"/>
          <w:szCs w:val="24"/>
        </w:rPr>
      </w:pPr>
      <w:r w:rsidRPr="007D115C">
        <w:rPr>
          <w:rFonts w:ascii="Times New Roman" w:hAnsi="Times New Roman" w:cs="Times New Roman"/>
          <w:b/>
          <w:bCs/>
          <w:sz w:val="24"/>
          <w:szCs w:val="24"/>
        </w:rPr>
        <w:t>1.</w:t>
      </w:r>
      <w:r w:rsidR="002846E8">
        <w:rPr>
          <w:rFonts w:ascii="Times New Roman" w:hAnsi="Times New Roman" w:cs="Times New Roman"/>
          <w:b/>
          <w:bCs/>
          <w:sz w:val="24"/>
          <w:szCs w:val="24"/>
        </w:rPr>
        <w:t>o</w:t>
      </w:r>
      <w:r w:rsidR="00A83073">
        <w:rPr>
          <w:rFonts w:ascii="Times New Roman" w:hAnsi="Times New Roman" w:cs="Times New Roman"/>
          <w:b/>
          <w:bCs/>
          <w:sz w:val="24"/>
          <w:szCs w:val="24"/>
        </w:rPr>
        <w:t>.</w:t>
      </w:r>
      <w:r w:rsidR="008C3EDC">
        <w:rPr>
          <w:rFonts w:ascii="Times New Roman" w:hAnsi="Times New Roman" w:cs="Times New Roman"/>
          <w:b/>
          <w:bCs/>
          <w:sz w:val="24"/>
          <w:szCs w:val="24"/>
        </w:rPr>
        <w:t xml:space="preserve"> </w:t>
      </w:r>
      <w:r w:rsidRPr="007D115C" w:rsidR="00064B7C">
        <w:rPr>
          <w:rFonts w:ascii="Times New Roman" w:hAnsi="Times New Roman" w:cs="Times New Roman"/>
          <w:b/>
          <w:bCs/>
          <w:sz w:val="24"/>
          <w:szCs w:val="24"/>
        </w:rPr>
        <w:t>Application to State Exchanges that do not use the Federal platform</w:t>
      </w:r>
      <w:r w:rsidRPr="007D115C" w:rsidR="00064B7C">
        <w:rPr>
          <w:rFonts w:ascii="Times New Roman" w:hAnsi="Times New Roman" w:cs="Times New Roman"/>
          <w:b/>
          <w:bCs/>
          <w:i/>
          <w:iCs/>
          <w:sz w:val="24"/>
          <w:szCs w:val="24"/>
        </w:rPr>
        <w:t xml:space="preserve"> </w:t>
      </w:r>
      <w:r w:rsidRPr="007D115C" w:rsidR="00064B7C">
        <w:rPr>
          <w:rFonts w:ascii="Times New Roman" w:hAnsi="Times New Roman" w:cs="Times New Roman"/>
          <w:b/>
          <w:bCs/>
          <w:sz w:val="24"/>
          <w:szCs w:val="24"/>
        </w:rPr>
        <w:t>(</w:t>
      </w:r>
      <w:r w:rsidRPr="00F205D1" w:rsidR="00064B7C">
        <w:rPr>
          <w:rFonts w:ascii="Times New Roman" w:hAnsi="Times New Roman" w:cs="Times New Roman"/>
          <w:b/>
          <w:bCs/>
          <w:sz w:val="24"/>
          <w:szCs w:val="24"/>
        </w:rPr>
        <w:t>45 C.F.R</w:t>
      </w:r>
      <w:r w:rsidRPr="00BB25DC" w:rsidR="00064B7C">
        <w:rPr>
          <w:rFonts w:ascii="Times New Roman" w:hAnsi="Times New Roman" w:cs="Times New Roman"/>
          <w:b/>
          <w:bCs/>
          <w:sz w:val="24"/>
          <w:szCs w:val="24"/>
          <w:u w:val="single"/>
        </w:rPr>
        <w:t xml:space="preserve"> </w:t>
      </w:r>
      <w:bookmarkStart w:id="20" w:name="_Hlk147164073"/>
      <w:r w:rsidRPr="00BB25DC" w:rsidR="00064B7C">
        <w:rPr>
          <w:rFonts w:ascii="Times New Roman" w:hAnsi="Times New Roman" w:cs="Times New Roman"/>
          <w:b/>
          <w:sz w:val="24"/>
          <w:szCs w:val="24"/>
        </w:rPr>
        <w:t>§</w:t>
      </w:r>
      <w:r w:rsidRPr="00013E7F" w:rsidR="00064B7C">
        <w:rPr>
          <w:rFonts w:ascii="Times New Roman" w:hAnsi="Times New Roman" w:cs="Times New Roman"/>
          <w:b/>
          <w:bCs/>
          <w:sz w:val="24"/>
          <w:szCs w:val="24"/>
        </w:rPr>
        <w:t>155.22</w:t>
      </w:r>
      <w:r w:rsidR="00E96039">
        <w:rPr>
          <w:rFonts w:ascii="Times New Roman" w:hAnsi="Times New Roman" w:cs="Times New Roman"/>
          <w:b/>
          <w:bCs/>
          <w:sz w:val="24"/>
          <w:szCs w:val="24"/>
        </w:rPr>
        <w:t>1</w:t>
      </w:r>
      <w:r w:rsidRPr="00013E7F" w:rsidR="00064B7C">
        <w:rPr>
          <w:rFonts w:ascii="Times New Roman" w:hAnsi="Times New Roman" w:cs="Times New Roman"/>
          <w:b/>
          <w:bCs/>
          <w:sz w:val="24"/>
          <w:szCs w:val="24"/>
        </w:rPr>
        <w:t>(</w:t>
      </w:r>
      <w:r w:rsidR="00064B7C">
        <w:rPr>
          <w:rFonts w:ascii="Times New Roman" w:hAnsi="Times New Roman" w:cs="Times New Roman"/>
          <w:b/>
          <w:bCs/>
          <w:sz w:val="24"/>
          <w:szCs w:val="24"/>
        </w:rPr>
        <w:t>j</w:t>
      </w:r>
      <w:r w:rsidRPr="00013E7F" w:rsidR="00064B7C">
        <w:rPr>
          <w:rFonts w:ascii="Times New Roman" w:hAnsi="Times New Roman" w:cs="Times New Roman"/>
          <w:b/>
          <w:bCs/>
          <w:sz w:val="24"/>
          <w:szCs w:val="24"/>
        </w:rPr>
        <w:t>)</w:t>
      </w:r>
      <w:r w:rsidR="000772DE">
        <w:rPr>
          <w:rFonts w:ascii="Times New Roman" w:hAnsi="Times New Roman" w:cs="Times New Roman"/>
          <w:b/>
          <w:bCs/>
          <w:sz w:val="24"/>
          <w:szCs w:val="24"/>
        </w:rPr>
        <w:t>)</w:t>
      </w:r>
      <w:r w:rsidR="00064B7C">
        <w:rPr>
          <w:rFonts w:ascii="Times New Roman" w:hAnsi="Times New Roman" w:cs="Times New Roman"/>
          <w:b/>
          <w:bCs/>
          <w:sz w:val="24"/>
          <w:szCs w:val="24"/>
        </w:rPr>
        <w:t>:</w:t>
      </w:r>
      <w:r>
        <w:rPr>
          <w:rFonts w:ascii="Times New Roman" w:hAnsi="Times New Roman" w:cs="Times New Roman"/>
          <w:sz w:val="24"/>
          <w:szCs w:val="24"/>
        </w:rPr>
        <w:t xml:space="preserve"> </w:t>
      </w:r>
      <w:bookmarkEnd w:id="20"/>
      <w:r w:rsidRPr="00171F54">
        <w:rPr>
          <w:rFonts w:ascii="Times New Roman" w:hAnsi="Times New Roman" w:cs="Times New Roman"/>
          <w:sz w:val="24"/>
          <w:szCs w:val="24"/>
        </w:rPr>
        <w:t>As discussed in the preamble of the proposed 2025 Payment Notice, CMS is proposing adding language to 45 C.F.R §155.22</w:t>
      </w:r>
      <w:r w:rsidR="00E96039">
        <w:rPr>
          <w:rFonts w:ascii="Times New Roman" w:hAnsi="Times New Roman" w:cs="Times New Roman"/>
          <w:sz w:val="24"/>
          <w:szCs w:val="24"/>
        </w:rPr>
        <w:t>1</w:t>
      </w:r>
      <w:r w:rsidRPr="00171F54">
        <w:rPr>
          <w:rFonts w:ascii="Times New Roman" w:hAnsi="Times New Roman" w:cs="Times New Roman"/>
          <w:sz w:val="24"/>
          <w:szCs w:val="24"/>
        </w:rPr>
        <w:t xml:space="preserve"> requiring</w:t>
      </w:r>
      <w:r w:rsidR="00A71125">
        <w:rPr>
          <w:rFonts w:ascii="Times New Roman" w:hAnsi="Times New Roman" w:cs="Times New Roman"/>
          <w:sz w:val="24"/>
          <w:szCs w:val="24"/>
        </w:rPr>
        <w:t xml:space="preserve"> that a</w:t>
      </w:r>
      <w:r w:rsidRPr="00064B7C" w:rsidR="00064B7C">
        <w:rPr>
          <w:rFonts w:ascii="Times New Roman" w:hAnsi="Times New Roman" w:cs="Times New Roman"/>
          <w:sz w:val="24"/>
          <w:szCs w:val="24"/>
        </w:rPr>
        <w:t xml:space="preserve"> direct enrollment entity that enrolls qualified individuals in coverage in a manner that constitutes enrollment through a State Exchange, for both its individual Marketplace or SHOP, or assists consumers with submission of applications for advance payments of the premium tax credit and cost-sharing reductions through a State Exchange, must comply with the following Federally-facilitated Exchange standards in § 155.221, including (</w:t>
      </w:r>
      <w:r w:rsidRPr="00C624B4" w:rsidR="00064B7C">
        <w:rPr>
          <w:rFonts w:ascii="Times New Roman" w:hAnsi="Times New Roman" w:cs="Times New Roman"/>
          <w:sz w:val="24"/>
          <w:szCs w:val="24"/>
        </w:rPr>
        <w:t xml:space="preserve">b)(1), (b)(2), (b)(3),  and (d), </w:t>
      </w:r>
      <w:r w:rsidRPr="00C624B4" w:rsidR="000C3D10">
        <w:rPr>
          <w:rFonts w:ascii="Times New Roman" w:hAnsi="Times New Roman" w:cs="Times New Roman"/>
          <w:sz w:val="24"/>
          <w:szCs w:val="24"/>
        </w:rPr>
        <w:t>including any state-specific standards under paragraph (j)(1), the State Exchange’s operational readiness standards under paragraph (j)(2), and the State Exchange’s website display change standards under paragraph (j)(3).</w:t>
      </w:r>
      <w:r w:rsidR="000C3D10">
        <w:rPr>
          <w:rFonts w:ascii="Times New Roman" w:hAnsi="Times New Roman" w:cs="Times New Roman"/>
          <w:sz w:val="24"/>
          <w:szCs w:val="24"/>
        </w:rPr>
        <w:t xml:space="preserve"> </w:t>
      </w:r>
    </w:p>
    <w:p w:rsidR="00171F54" w:rsidP="00192B1D" w14:paraId="0AA297A7" w14:textId="77777777">
      <w:pPr>
        <w:spacing w:after="0" w:line="240" w:lineRule="auto"/>
        <w:ind w:right="180"/>
        <w:rPr>
          <w:rFonts w:ascii="Times New Roman" w:hAnsi="Times New Roman" w:cs="Times New Roman"/>
          <w:sz w:val="24"/>
          <w:szCs w:val="24"/>
        </w:rPr>
      </w:pPr>
    </w:p>
    <w:p w:rsidR="00064B7C" w:rsidRPr="00064B7C" w:rsidP="00192B1D" w14:paraId="6960AD32" w14:textId="66A4E295">
      <w:pPr>
        <w:spacing w:after="0" w:line="240" w:lineRule="auto"/>
        <w:ind w:right="180"/>
        <w:rPr>
          <w:rFonts w:ascii="Times New Roman" w:hAnsi="Times New Roman" w:cs="Times New Roman"/>
          <w:sz w:val="24"/>
          <w:szCs w:val="24"/>
        </w:rPr>
      </w:pPr>
      <w:r w:rsidRPr="00064B7C">
        <w:rPr>
          <w:rFonts w:ascii="Times New Roman" w:hAnsi="Times New Roman" w:cs="Times New Roman"/>
          <w:sz w:val="24"/>
          <w:szCs w:val="24"/>
        </w:rPr>
        <w:t>Regarding (</w:t>
      </w:r>
      <w:r w:rsidR="000C3D10">
        <w:rPr>
          <w:rFonts w:ascii="Times New Roman" w:hAnsi="Times New Roman" w:cs="Times New Roman"/>
          <w:sz w:val="24"/>
          <w:szCs w:val="24"/>
        </w:rPr>
        <w:t>j</w:t>
      </w:r>
      <w:r w:rsidRPr="00064B7C">
        <w:rPr>
          <w:rFonts w:ascii="Times New Roman" w:hAnsi="Times New Roman" w:cs="Times New Roman"/>
          <w:sz w:val="24"/>
          <w:szCs w:val="24"/>
        </w:rPr>
        <w:t>)(</w:t>
      </w:r>
      <w:r w:rsidR="000C3D10">
        <w:rPr>
          <w:rFonts w:ascii="Times New Roman" w:hAnsi="Times New Roman" w:cs="Times New Roman"/>
          <w:sz w:val="24"/>
          <w:szCs w:val="24"/>
        </w:rPr>
        <w:t>1</w:t>
      </w:r>
      <w:r w:rsidRPr="00064B7C">
        <w:rPr>
          <w:rFonts w:ascii="Times New Roman" w:hAnsi="Times New Roman" w:cs="Times New Roman"/>
          <w:sz w:val="24"/>
          <w:szCs w:val="24"/>
        </w:rPr>
        <w:t xml:space="preserve">), State Exchanges </w:t>
      </w:r>
      <w:r w:rsidR="0055122A">
        <w:rPr>
          <w:rFonts w:ascii="Times New Roman" w:hAnsi="Times New Roman" w:cs="Times New Roman"/>
          <w:sz w:val="24"/>
          <w:szCs w:val="24"/>
        </w:rPr>
        <w:t xml:space="preserve">have </w:t>
      </w:r>
      <w:r w:rsidRPr="00C624B4" w:rsidR="0055122A">
        <w:rPr>
          <w:rFonts w:ascii="Times New Roman" w:hAnsi="Times New Roman" w:cs="Times New Roman"/>
          <w:sz w:val="24"/>
          <w:szCs w:val="24"/>
        </w:rPr>
        <w:t>flexibility regarding the standardized disclaimer language that would be required to be displayed by their DE entities</w:t>
      </w:r>
      <w:r w:rsidR="0055122A">
        <w:rPr>
          <w:rFonts w:ascii="Times New Roman" w:hAnsi="Times New Roman" w:cs="Times New Roman"/>
          <w:sz w:val="24"/>
          <w:szCs w:val="24"/>
        </w:rPr>
        <w:t xml:space="preserve"> per (b)(2)</w:t>
      </w:r>
      <w:r w:rsidRPr="00C624B4" w:rsidR="0055122A">
        <w:rPr>
          <w:rFonts w:ascii="Times New Roman" w:hAnsi="Times New Roman" w:cs="Times New Roman"/>
          <w:sz w:val="24"/>
          <w:szCs w:val="24"/>
        </w:rPr>
        <w:t>, provided that the additional language does not conflict with the HHS-provided standardized disclaimer</w:t>
      </w:r>
      <w:r w:rsidR="0055122A">
        <w:rPr>
          <w:rFonts w:ascii="Times New Roman" w:hAnsi="Times New Roman" w:cs="Times New Roman"/>
          <w:sz w:val="24"/>
          <w:szCs w:val="24"/>
        </w:rPr>
        <w:t>.</w:t>
      </w:r>
    </w:p>
    <w:p w:rsidR="00171F54" w:rsidP="00192B1D" w14:paraId="7FDB7767" w14:textId="77777777">
      <w:pPr>
        <w:spacing w:after="0" w:line="240" w:lineRule="auto"/>
        <w:ind w:right="180"/>
        <w:rPr>
          <w:rFonts w:ascii="Times New Roman" w:hAnsi="Times New Roman" w:cs="Times New Roman"/>
          <w:sz w:val="24"/>
          <w:szCs w:val="24"/>
        </w:rPr>
      </w:pPr>
    </w:p>
    <w:p w:rsidR="00064B7C" w:rsidRPr="00064B7C" w:rsidP="00192B1D" w14:paraId="3CE151BF" w14:textId="7B5E1D11">
      <w:pPr>
        <w:spacing w:after="0" w:line="240" w:lineRule="auto"/>
        <w:ind w:right="180"/>
        <w:rPr>
          <w:rFonts w:ascii="Times New Roman" w:hAnsi="Times New Roman" w:cs="Times New Roman"/>
          <w:sz w:val="24"/>
          <w:szCs w:val="24"/>
        </w:rPr>
      </w:pPr>
      <w:r w:rsidRPr="00064B7C">
        <w:rPr>
          <w:rFonts w:ascii="Times New Roman" w:hAnsi="Times New Roman" w:cs="Times New Roman"/>
          <w:sz w:val="24"/>
          <w:szCs w:val="24"/>
        </w:rPr>
        <w:t>Regarding (</w:t>
      </w:r>
      <w:r w:rsidR="000C3D10">
        <w:rPr>
          <w:rFonts w:ascii="Times New Roman" w:hAnsi="Times New Roman" w:cs="Times New Roman"/>
          <w:sz w:val="24"/>
          <w:szCs w:val="24"/>
        </w:rPr>
        <w:t>j</w:t>
      </w:r>
      <w:r w:rsidRPr="00064B7C">
        <w:rPr>
          <w:rFonts w:ascii="Times New Roman" w:hAnsi="Times New Roman" w:cs="Times New Roman"/>
          <w:sz w:val="24"/>
          <w:szCs w:val="24"/>
        </w:rPr>
        <w:t>)(</w:t>
      </w:r>
      <w:r w:rsidR="000C3D10">
        <w:rPr>
          <w:rFonts w:ascii="Times New Roman" w:hAnsi="Times New Roman" w:cs="Times New Roman"/>
          <w:sz w:val="24"/>
          <w:szCs w:val="24"/>
        </w:rPr>
        <w:t>2</w:t>
      </w:r>
      <w:r w:rsidRPr="00064B7C">
        <w:rPr>
          <w:rFonts w:ascii="Times New Roman" w:hAnsi="Times New Roman" w:cs="Times New Roman"/>
          <w:sz w:val="24"/>
          <w:szCs w:val="24"/>
        </w:rPr>
        <w:t>), S</w:t>
      </w:r>
      <w:r w:rsidR="00E96039">
        <w:rPr>
          <w:rFonts w:ascii="Times New Roman" w:hAnsi="Times New Roman" w:cs="Times New Roman"/>
          <w:sz w:val="24"/>
          <w:szCs w:val="24"/>
        </w:rPr>
        <w:t>tate Exchange</w:t>
      </w:r>
      <w:r w:rsidRPr="00064B7C">
        <w:rPr>
          <w:rFonts w:ascii="Times New Roman" w:hAnsi="Times New Roman" w:cs="Times New Roman"/>
          <w:sz w:val="24"/>
          <w:szCs w:val="24"/>
        </w:rPr>
        <w:t xml:space="preserve">s may establish the form and manner for DE entities to demonstrate operational readiness, which may include, but not be limited to, submission or completion, the form and manner specified by the </w:t>
      </w:r>
      <w:r w:rsidR="00E96039">
        <w:rPr>
          <w:rFonts w:ascii="Times New Roman" w:hAnsi="Times New Roman" w:cs="Times New Roman"/>
          <w:sz w:val="24"/>
          <w:szCs w:val="24"/>
        </w:rPr>
        <w:t>State Exchange</w:t>
      </w:r>
      <w:r w:rsidRPr="00064B7C">
        <w:rPr>
          <w:rFonts w:ascii="Times New Roman" w:hAnsi="Times New Roman" w:cs="Times New Roman"/>
          <w:sz w:val="24"/>
          <w:szCs w:val="24"/>
        </w:rPr>
        <w:t>, business audit documentation or security and privacy audit documentation, as noted in § 155.221(</w:t>
      </w:r>
      <w:r w:rsidR="000C3D10">
        <w:rPr>
          <w:rFonts w:ascii="Times New Roman" w:hAnsi="Times New Roman" w:cs="Times New Roman"/>
          <w:sz w:val="24"/>
          <w:szCs w:val="24"/>
        </w:rPr>
        <w:t>j</w:t>
      </w:r>
      <w:r w:rsidRPr="00064B7C">
        <w:rPr>
          <w:rFonts w:ascii="Times New Roman" w:hAnsi="Times New Roman" w:cs="Times New Roman"/>
          <w:sz w:val="24"/>
          <w:szCs w:val="24"/>
        </w:rPr>
        <w:t>)(</w:t>
      </w:r>
      <w:r w:rsidR="000C3D10">
        <w:rPr>
          <w:rFonts w:ascii="Times New Roman" w:hAnsi="Times New Roman" w:cs="Times New Roman"/>
          <w:sz w:val="24"/>
          <w:szCs w:val="24"/>
        </w:rPr>
        <w:t>2</w:t>
      </w:r>
      <w:r w:rsidRPr="00064B7C">
        <w:rPr>
          <w:rFonts w:ascii="Times New Roman" w:hAnsi="Times New Roman" w:cs="Times New Roman"/>
          <w:sz w:val="24"/>
          <w:szCs w:val="24"/>
        </w:rPr>
        <w:t>)(i) and (ii).  </w:t>
      </w:r>
    </w:p>
    <w:p w:rsidR="00171F54" w:rsidP="00192B1D" w14:paraId="667C4E85" w14:textId="77777777">
      <w:pPr>
        <w:spacing w:after="0" w:line="240" w:lineRule="auto"/>
        <w:ind w:right="180"/>
        <w:rPr>
          <w:rFonts w:ascii="Times New Roman" w:hAnsi="Times New Roman" w:cs="Times New Roman"/>
          <w:sz w:val="24"/>
          <w:szCs w:val="24"/>
        </w:rPr>
      </w:pPr>
    </w:p>
    <w:p w:rsidR="00064B7C" w:rsidP="00192B1D" w14:paraId="2B09EC85" w14:textId="114DD924">
      <w:pPr>
        <w:spacing w:after="0" w:line="240" w:lineRule="auto"/>
        <w:ind w:right="180"/>
        <w:rPr>
          <w:rFonts w:ascii="Times New Roman" w:hAnsi="Times New Roman" w:cs="Times New Roman"/>
          <w:sz w:val="24"/>
          <w:szCs w:val="24"/>
        </w:rPr>
      </w:pPr>
      <w:r w:rsidRPr="00064B7C">
        <w:rPr>
          <w:rFonts w:ascii="Times New Roman" w:hAnsi="Times New Roman" w:cs="Times New Roman"/>
          <w:sz w:val="24"/>
          <w:szCs w:val="24"/>
        </w:rPr>
        <w:t>Regarding (</w:t>
      </w:r>
      <w:r w:rsidR="000C3D10">
        <w:rPr>
          <w:rFonts w:ascii="Times New Roman" w:hAnsi="Times New Roman" w:cs="Times New Roman"/>
          <w:sz w:val="24"/>
          <w:szCs w:val="24"/>
        </w:rPr>
        <w:t>j</w:t>
      </w:r>
      <w:r w:rsidRPr="00064B7C">
        <w:rPr>
          <w:rFonts w:ascii="Times New Roman" w:hAnsi="Times New Roman" w:cs="Times New Roman"/>
          <w:sz w:val="24"/>
          <w:szCs w:val="24"/>
        </w:rPr>
        <w:t>)(</w:t>
      </w:r>
      <w:r w:rsidR="000C3D10">
        <w:rPr>
          <w:rFonts w:ascii="Times New Roman" w:hAnsi="Times New Roman" w:cs="Times New Roman"/>
          <w:sz w:val="24"/>
          <w:szCs w:val="24"/>
        </w:rPr>
        <w:t>3</w:t>
      </w:r>
      <w:r w:rsidRPr="00064B7C">
        <w:rPr>
          <w:rFonts w:ascii="Times New Roman" w:hAnsi="Times New Roman" w:cs="Times New Roman"/>
          <w:sz w:val="24"/>
          <w:szCs w:val="24"/>
        </w:rPr>
        <w:t xml:space="preserve">), </w:t>
      </w:r>
      <w:r w:rsidR="00E96039">
        <w:rPr>
          <w:rFonts w:ascii="Times New Roman" w:hAnsi="Times New Roman" w:cs="Times New Roman"/>
          <w:sz w:val="24"/>
          <w:szCs w:val="24"/>
        </w:rPr>
        <w:t>State Exchanges</w:t>
      </w:r>
      <w:r w:rsidRPr="00064B7C">
        <w:rPr>
          <w:rFonts w:ascii="Times New Roman" w:hAnsi="Times New Roman" w:cs="Times New Roman"/>
          <w:sz w:val="24"/>
          <w:szCs w:val="24"/>
        </w:rPr>
        <w:t xml:space="preserve"> </w:t>
      </w:r>
      <w:r w:rsidR="00F205D1">
        <w:rPr>
          <w:rFonts w:ascii="Times New Roman" w:hAnsi="Times New Roman" w:cs="Times New Roman"/>
          <w:sz w:val="24"/>
          <w:szCs w:val="24"/>
        </w:rPr>
        <w:t xml:space="preserve">must </w:t>
      </w:r>
      <w:r w:rsidRPr="00F205D1" w:rsidR="00F205D1">
        <w:rPr>
          <w:rFonts w:ascii="Times New Roman" w:hAnsi="Times New Roman" w:cs="Times New Roman"/>
          <w:sz w:val="24"/>
          <w:szCs w:val="24"/>
        </w:rPr>
        <w:t>establish a requirement for DE entities operating in states with State Exchanges to prominently display and reflect changes to the State Exchange website on their non-Exchange website for the purposes of assisting consumers with plan shopping and enrollment in a manner that constitutes enrollment through the Exchange.</w:t>
      </w:r>
      <w:r w:rsidR="00F205D1">
        <w:rPr>
          <w:rFonts w:ascii="Times New Roman" w:hAnsi="Times New Roman" w:cs="Times New Roman"/>
          <w:sz w:val="24"/>
          <w:szCs w:val="24"/>
        </w:rPr>
        <w:t xml:space="preserve"> State Exchange m</w:t>
      </w:r>
      <w:r w:rsidR="004834AE">
        <w:rPr>
          <w:rFonts w:ascii="Times New Roman" w:hAnsi="Times New Roman" w:cs="Times New Roman"/>
          <w:sz w:val="24"/>
          <w:szCs w:val="24"/>
        </w:rPr>
        <w:t xml:space="preserve">ust establish their own processes for communicating </w:t>
      </w:r>
      <w:r w:rsidR="005F2D48">
        <w:rPr>
          <w:rFonts w:ascii="Times New Roman" w:hAnsi="Times New Roman" w:cs="Times New Roman"/>
          <w:sz w:val="24"/>
          <w:szCs w:val="24"/>
        </w:rPr>
        <w:t>display requirements</w:t>
      </w:r>
      <w:r w:rsidR="000C3D10">
        <w:rPr>
          <w:rFonts w:ascii="Times New Roman" w:hAnsi="Times New Roman" w:cs="Times New Roman"/>
          <w:sz w:val="24"/>
          <w:szCs w:val="24"/>
        </w:rPr>
        <w:t xml:space="preserve">, </w:t>
      </w:r>
      <w:r w:rsidR="004834AE">
        <w:rPr>
          <w:rFonts w:ascii="Times New Roman" w:hAnsi="Times New Roman" w:cs="Times New Roman"/>
          <w:sz w:val="24"/>
          <w:szCs w:val="24"/>
        </w:rPr>
        <w:t>setting the advance notice period</w:t>
      </w:r>
      <w:r w:rsidR="000C3D10">
        <w:rPr>
          <w:rFonts w:ascii="Times New Roman" w:hAnsi="Times New Roman" w:cs="Times New Roman"/>
          <w:sz w:val="24"/>
          <w:szCs w:val="24"/>
        </w:rPr>
        <w:t>, and reviewing any deviation requests</w:t>
      </w:r>
      <w:r w:rsidR="00C72D78">
        <w:rPr>
          <w:rFonts w:ascii="Times New Roman" w:hAnsi="Times New Roman" w:cs="Times New Roman"/>
          <w:sz w:val="24"/>
          <w:szCs w:val="24"/>
        </w:rPr>
        <w:t xml:space="preserve"> if the State Exchange wants to permit deviations</w:t>
      </w:r>
      <w:r w:rsidR="004834AE">
        <w:rPr>
          <w:rFonts w:ascii="Times New Roman" w:hAnsi="Times New Roman" w:cs="Times New Roman"/>
          <w:sz w:val="24"/>
          <w:szCs w:val="24"/>
        </w:rPr>
        <w:t xml:space="preserve">. </w:t>
      </w:r>
    </w:p>
    <w:p w:rsidR="0091010A" w:rsidP="00192B1D" w14:paraId="3059AF85" w14:textId="76DCCECB">
      <w:pPr>
        <w:spacing w:after="0" w:line="240" w:lineRule="auto"/>
        <w:ind w:right="180"/>
        <w:rPr>
          <w:rFonts w:ascii="Times New Roman" w:eastAsia="Times New Roman" w:hAnsi="Times New Roman" w:cs="Times New Roman"/>
          <w:spacing w:val="-6"/>
          <w:sz w:val="24"/>
          <w:szCs w:val="24"/>
          <w:u w:val="single" w:color="000000"/>
        </w:rPr>
      </w:pPr>
    </w:p>
    <w:p w:rsidR="00C21159" w:rsidP="00192B1D" w14:paraId="218F6C2D" w14:textId="77777777">
      <w:pPr>
        <w:spacing w:after="0" w:line="240" w:lineRule="auto"/>
        <w:ind w:right="180"/>
        <w:rPr>
          <w:rFonts w:ascii="Times New Roman" w:hAnsi="Times New Roman" w:cs="Times New Roman"/>
          <w:sz w:val="24"/>
          <w:szCs w:val="24"/>
        </w:rPr>
      </w:pPr>
      <w:bookmarkStart w:id="21" w:name="_Hlk147484434"/>
      <w:r w:rsidRPr="000772DE">
        <w:rPr>
          <w:rFonts w:ascii="Times New Roman" w:hAnsi="Times New Roman" w:cs="Times New Roman"/>
          <w:b/>
          <w:bCs/>
          <w:sz w:val="24"/>
          <w:szCs w:val="24"/>
        </w:rPr>
        <w:t>1</w:t>
      </w:r>
      <w:r>
        <w:rPr>
          <w:rFonts w:ascii="Times New Roman" w:hAnsi="Times New Roman" w:cs="Times New Roman"/>
          <w:b/>
          <w:bCs/>
          <w:sz w:val="24"/>
          <w:szCs w:val="24"/>
        </w:rPr>
        <w:t>.p</w:t>
      </w:r>
      <w:r w:rsidRPr="000772DE">
        <w:rPr>
          <w:rFonts w:ascii="Times New Roman" w:hAnsi="Times New Roman" w:cs="Times New Roman"/>
          <w:b/>
          <w:bCs/>
          <w:sz w:val="24"/>
          <w:szCs w:val="24"/>
        </w:rPr>
        <w:t xml:space="preserve">. </w:t>
      </w:r>
      <w:r>
        <w:rPr>
          <w:rFonts w:ascii="Times New Roman" w:hAnsi="Times New Roman" w:cs="Times New Roman"/>
          <w:b/>
          <w:bCs/>
          <w:sz w:val="24"/>
          <w:szCs w:val="24"/>
        </w:rPr>
        <w:t xml:space="preserve">Requirement for </w:t>
      </w:r>
      <w:r w:rsidRPr="0060087E">
        <w:rPr>
          <w:rFonts w:ascii="Times New Roman" w:hAnsi="Times New Roman" w:cs="Times New Roman"/>
          <w:b/>
          <w:bCs/>
          <w:sz w:val="24"/>
          <w:szCs w:val="24"/>
        </w:rPr>
        <w:t xml:space="preserve">Web-brokers to </w:t>
      </w:r>
      <w:r>
        <w:rPr>
          <w:rFonts w:ascii="Times New Roman" w:hAnsi="Times New Roman" w:cs="Times New Roman"/>
          <w:b/>
          <w:bCs/>
          <w:sz w:val="24"/>
          <w:szCs w:val="24"/>
        </w:rPr>
        <w:t>Prominently Display Consumer Eligibility Results for Advance Payments of the Premium Tax Credit and Cost-sharing (</w:t>
      </w:r>
      <w:r w:rsidRPr="000772DE">
        <w:rPr>
          <w:rFonts w:ascii="Times New Roman" w:hAnsi="Times New Roman" w:cs="Times New Roman"/>
          <w:b/>
          <w:sz w:val="24"/>
          <w:szCs w:val="24"/>
        </w:rPr>
        <w:t>45 C.F.R §155.220(c)(3)(i)(</w:t>
      </w:r>
      <w:r>
        <w:rPr>
          <w:rFonts w:ascii="Times New Roman" w:hAnsi="Times New Roman" w:cs="Times New Roman"/>
          <w:b/>
          <w:sz w:val="24"/>
          <w:szCs w:val="24"/>
        </w:rPr>
        <w:t>I</w:t>
      </w:r>
      <w:r w:rsidRPr="000772DE">
        <w:rPr>
          <w:rFonts w:ascii="Times New Roman" w:hAnsi="Times New Roman" w:cs="Times New Roman"/>
          <w:b/>
          <w:sz w:val="24"/>
          <w:szCs w:val="24"/>
        </w:rPr>
        <w:t>)</w:t>
      </w:r>
      <w:r>
        <w:rPr>
          <w:rFonts w:ascii="Times New Roman" w:hAnsi="Times New Roman" w:cs="Times New Roman"/>
          <w:b/>
          <w:bCs/>
          <w:sz w:val="24"/>
          <w:szCs w:val="24"/>
        </w:rPr>
        <w:t>)</w:t>
      </w:r>
      <w:r w:rsidRPr="000772DE">
        <w:rPr>
          <w:rFonts w:ascii="Times New Roman" w:hAnsi="Times New Roman" w:cs="Times New Roman"/>
          <w:b/>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 xml:space="preserve">As finalized in the 2018 Payment Notice final rule, CMS requires that web-brokers prominently display information provided by HHS pertaining to a consumer’s eligibility for advance payments of the premium tax credit or cost-sharing reductions. </w:t>
      </w:r>
    </w:p>
    <w:p w:rsidR="00234238" w:rsidRPr="004834AE" w:rsidP="00192B1D" w14:paraId="493BE84D" w14:textId="581E682D">
      <w:pPr>
        <w:spacing w:after="0" w:line="240" w:lineRule="auto"/>
        <w:ind w:right="180"/>
        <w:rPr>
          <w:rFonts w:ascii="Times New Roman" w:hAnsi="Times New Roman" w:cs="Times New Roman"/>
          <w:b/>
          <w:bCs/>
          <w:sz w:val="24"/>
          <w:szCs w:val="24"/>
        </w:rPr>
      </w:pPr>
      <w:r>
        <w:rPr>
          <w:rFonts w:ascii="Times New Roman" w:hAnsi="Times New Roman" w:cs="Times New Roman"/>
          <w:sz w:val="24"/>
          <w:szCs w:val="24"/>
        </w:rPr>
        <w:t xml:space="preserve"> </w:t>
      </w:r>
    </w:p>
    <w:bookmarkEnd w:id="1"/>
    <w:bookmarkEnd w:id="21"/>
    <w:p w:rsidR="0091010A" w:rsidRPr="00AA4CC9" w:rsidP="00234238" w14:paraId="7BAF5888" w14:textId="32E7E312">
      <w:pPr>
        <w:tabs>
          <w:tab w:val="left" w:pos="360"/>
        </w:tabs>
        <w:spacing w:after="0" w:line="240" w:lineRule="auto"/>
        <w:ind w:right="-20"/>
        <w:rPr>
          <w:rFonts w:ascii="Times New Roman" w:eastAsia="Times New Roman" w:hAnsi="Times New Roman" w:cs="Times New Roman"/>
          <w:position w:val="-1"/>
          <w:sz w:val="24"/>
          <w:szCs w:val="24"/>
          <w:u w:val="single"/>
        </w:rPr>
      </w:pPr>
      <w:r w:rsidRPr="0078061B">
        <w:rPr>
          <w:rFonts w:ascii="Times New Roman" w:eastAsia="Times New Roman" w:hAnsi="Times New Roman" w:cs="Times New Roman"/>
          <w:position w:val="-1"/>
          <w:sz w:val="24"/>
          <w:szCs w:val="24"/>
        </w:rPr>
        <w:t>2.</w:t>
      </w:r>
      <w:r w:rsidRPr="0078061B">
        <w:rPr>
          <w:rFonts w:ascii="Times New Roman" w:eastAsia="Times New Roman" w:hAnsi="Times New Roman" w:cs="Times New Roman"/>
          <w:position w:val="-1"/>
          <w:sz w:val="24"/>
          <w:szCs w:val="24"/>
        </w:rPr>
        <w:tab/>
      </w:r>
      <w:r w:rsidRPr="00AA4CC9">
        <w:rPr>
          <w:rFonts w:ascii="Times New Roman" w:eastAsia="Times New Roman" w:hAnsi="Times New Roman" w:cs="Times New Roman"/>
          <w:position w:val="-1"/>
          <w:sz w:val="24"/>
          <w:szCs w:val="24"/>
          <w:u w:val="single"/>
        </w:rPr>
        <w:t>Information Users</w:t>
      </w:r>
    </w:p>
    <w:p w:rsidR="0091010A" w:rsidP="00234238" w14:paraId="10E443BC" w14:textId="39DF1DEF">
      <w:pPr>
        <w:spacing w:before="10" w:after="0" w:line="280" w:lineRule="exact"/>
        <w:ind w:right="-20"/>
        <w:rPr>
          <w:sz w:val="28"/>
          <w:szCs w:val="28"/>
        </w:rPr>
      </w:pPr>
    </w:p>
    <w:p w:rsidR="0091010A" w:rsidP="00192B1D" w14:paraId="20072D2F" w14:textId="1DC670E7">
      <w:pPr>
        <w:spacing w:after="0" w:line="240" w:lineRule="auto"/>
        <w:ind w:right="9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HHS </w:t>
      </w:r>
      <w:r w:rsidR="00211CC9">
        <w:rPr>
          <w:rFonts w:ascii="Times New Roman" w:eastAsia="Times New Roman" w:hAnsi="Times New Roman" w:cs="Times New Roman"/>
          <w:sz w:val="24"/>
          <w:szCs w:val="24"/>
        </w:rPr>
        <w:t>will use the information provided via the information</w:t>
      </w:r>
      <w:r w:rsidR="00D20E9B">
        <w:rPr>
          <w:rFonts w:ascii="Times New Roman" w:eastAsia="Times New Roman" w:hAnsi="Times New Roman" w:cs="Times New Roman"/>
          <w:sz w:val="24"/>
          <w:szCs w:val="24"/>
        </w:rPr>
        <w:t xml:space="preserve"> collections</w:t>
      </w:r>
      <w:r w:rsidR="00D0143C">
        <w:rPr>
          <w:rFonts w:ascii="Times New Roman" w:eastAsia="Times New Roman" w:hAnsi="Times New Roman" w:cs="Times New Roman"/>
          <w:sz w:val="24"/>
          <w:szCs w:val="24"/>
        </w:rPr>
        <w:t>, as described in subsections 1.</w:t>
      </w:r>
      <w:r w:rsidR="00621D39">
        <w:rPr>
          <w:rFonts w:ascii="Times New Roman" w:eastAsia="Times New Roman" w:hAnsi="Times New Roman" w:cs="Times New Roman"/>
          <w:sz w:val="24"/>
          <w:szCs w:val="24"/>
        </w:rPr>
        <w:t>a</w:t>
      </w:r>
      <w:r w:rsidR="00D0143C">
        <w:rPr>
          <w:rFonts w:ascii="Times New Roman" w:eastAsia="Times New Roman" w:hAnsi="Times New Roman" w:cs="Times New Roman"/>
          <w:sz w:val="24"/>
          <w:szCs w:val="24"/>
        </w:rPr>
        <w:t xml:space="preserve">. </w:t>
      </w:r>
      <w:r w:rsidR="008116DE">
        <w:rPr>
          <w:rFonts w:ascii="Times New Roman" w:eastAsia="Times New Roman" w:hAnsi="Times New Roman" w:cs="Times New Roman"/>
          <w:sz w:val="24"/>
          <w:szCs w:val="24"/>
        </w:rPr>
        <w:t xml:space="preserve"> through 1.p.</w:t>
      </w:r>
      <w:r w:rsidR="00D0143C">
        <w:rPr>
          <w:rFonts w:ascii="Times New Roman" w:eastAsia="Times New Roman" w:hAnsi="Times New Roman" w:cs="Times New Roman"/>
          <w:sz w:val="24"/>
          <w:szCs w:val="24"/>
        </w:rPr>
        <w:t xml:space="preserve"> above,</w:t>
      </w:r>
      <w:r w:rsidR="00211CC9">
        <w:rPr>
          <w:rFonts w:ascii="Times New Roman" w:eastAsia="Times New Roman" w:hAnsi="Times New Roman" w:cs="Times New Roman"/>
          <w:sz w:val="24"/>
          <w:szCs w:val="24"/>
        </w:rPr>
        <w:t xml:space="preserve"> to </w:t>
      </w:r>
      <w:r w:rsidR="00D0143C">
        <w:rPr>
          <w:rFonts w:ascii="Times New Roman" w:eastAsia="Times New Roman" w:hAnsi="Times New Roman" w:cs="Times New Roman"/>
          <w:sz w:val="24"/>
          <w:szCs w:val="24"/>
        </w:rPr>
        <w:t xml:space="preserve">review and </w:t>
      </w:r>
      <w:r w:rsidR="001259C8">
        <w:rPr>
          <w:rFonts w:ascii="Times New Roman" w:eastAsia="Times New Roman" w:hAnsi="Times New Roman" w:cs="Times New Roman"/>
          <w:sz w:val="24"/>
          <w:szCs w:val="24"/>
        </w:rPr>
        <w:t>approve</w:t>
      </w:r>
      <w:r w:rsidR="00D20E9B">
        <w:rPr>
          <w:rFonts w:ascii="Times New Roman" w:eastAsia="Times New Roman" w:hAnsi="Times New Roman" w:cs="Times New Roman"/>
          <w:sz w:val="24"/>
          <w:szCs w:val="24"/>
        </w:rPr>
        <w:t xml:space="preserve"> </w:t>
      </w:r>
      <w:r w:rsidR="00091122">
        <w:rPr>
          <w:rFonts w:ascii="Times New Roman" w:eastAsia="Times New Roman" w:hAnsi="Times New Roman" w:cs="Times New Roman"/>
          <w:sz w:val="24"/>
          <w:szCs w:val="24"/>
        </w:rPr>
        <w:t xml:space="preserve">prospective web-brokers and DE Entities </w:t>
      </w:r>
      <w:r w:rsidR="00D20E9B">
        <w:rPr>
          <w:rFonts w:ascii="Times New Roman" w:eastAsia="Times New Roman" w:hAnsi="Times New Roman" w:cs="Times New Roman"/>
          <w:sz w:val="24"/>
          <w:szCs w:val="24"/>
        </w:rPr>
        <w:t>and evaluate the ongoing compliance of</w:t>
      </w:r>
      <w:r w:rsidR="001259C8">
        <w:rPr>
          <w:rFonts w:ascii="Times New Roman" w:eastAsia="Times New Roman" w:hAnsi="Times New Roman" w:cs="Times New Roman"/>
          <w:sz w:val="24"/>
          <w:szCs w:val="24"/>
        </w:rPr>
        <w:t xml:space="preserve"> </w:t>
      </w:r>
      <w:r w:rsidR="00091122">
        <w:rPr>
          <w:rFonts w:ascii="Times New Roman" w:eastAsia="Times New Roman" w:hAnsi="Times New Roman" w:cs="Times New Roman"/>
          <w:sz w:val="24"/>
          <w:szCs w:val="24"/>
        </w:rPr>
        <w:t xml:space="preserve">participating web-brokers </w:t>
      </w:r>
      <w:r w:rsidRPr="0040212C" w:rsidR="00091122">
        <w:rPr>
          <w:rFonts w:ascii="Times New Roman" w:eastAsia="Times New Roman" w:hAnsi="Times New Roman" w:cs="Times New Roman"/>
          <w:sz w:val="24"/>
          <w:szCs w:val="24"/>
        </w:rPr>
        <w:t xml:space="preserve">and </w:t>
      </w:r>
      <w:r w:rsidRPr="0040212C" w:rsidR="001259C8">
        <w:rPr>
          <w:rFonts w:ascii="Times New Roman" w:eastAsia="Times New Roman" w:hAnsi="Times New Roman" w:cs="Times New Roman"/>
          <w:sz w:val="24"/>
          <w:szCs w:val="24"/>
        </w:rPr>
        <w:t>DE Entities</w:t>
      </w:r>
      <w:r w:rsidR="00EC76C4">
        <w:rPr>
          <w:rFonts w:ascii="Times New Roman" w:eastAsia="Times New Roman" w:hAnsi="Times New Roman" w:cs="Times New Roman"/>
          <w:sz w:val="24"/>
          <w:szCs w:val="24"/>
        </w:rPr>
        <w:t xml:space="preserve">. </w:t>
      </w:r>
    </w:p>
    <w:p w:rsidR="00771991" w:rsidP="00192B1D" w14:paraId="17227726" w14:textId="2041AED2">
      <w:pPr>
        <w:spacing w:after="0" w:line="240" w:lineRule="auto"/>
        <w:ind w:right="90"/>
        <w:rPr>
          <w:rFonts w:ascii="Times New Roman" w:eastAsia="Times New Roman" w:hAnsi="Times New Roman" w:cs="Times New Roman"/>
          <w:sz w:val="24"/>
          <w:szCs w:val="24"/>
        </w:rPr>
      </w:pPr>
    </w:p>
    <w:p w:rsidR="00F810C5" w:rsidP="00192B1D" w14:paraId="7E163460" w14:textId="1AB1E01A">
      <w:pPr>
        <w:spacing w:after="0" w:line="240" w:lineRule="auto"/>
        <w:ind w:right="9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Consumers </w:t>
      </w:r>
      <w:r w:rsidR="00A32CAD">
        <w:rPr>
          <w:rFonts w:ascii="Times New Roman" w:eastAsia="Times New Roman" w:hAnsi="Times New Roman" w:cs="Times New Roman"/>
          <w:sz w:val="24"/>
          <w:szCs w:val="24"/>
        </w:rPr>
        <w:t>using web-broker</w:t>
      </w:r>
      <w:r w:rsidR="00A71125">
        <w:rPr>
          <w:rFonts w:ascii="Times New Roman" w:eastAsia="Times New Roman" w:hAnsi="Times New Roman" w:cs="Times New Roman"/>
          <w:sz w:val="24"/>
          <w:szCs w:val="24"/>
        </w:rPr>
        <w:t xml:space="preserve"> and issuer</w:t>
      </w:r>
      <w:r w:rsidR="00A32CAD">
        <w:rPr>
          <w:rFonts w:ascii="Times New Roman" w:eastAsia="Times New Roman" w:hAnsi="Times New Roman" w:cs="Times New Roman"/>
          <w:sz w:val="24"/>
          <w:szCs w:val="24"/>
        </w:rPr>
        <w:t xml:space="preserve"> websites </w:t>
      </w:r>
      <w:r>
        <w:rPr>
          <w:rFonts w:ascii="Times New Roman" w:eastAsia="Times New Roman" w:hAnsi="Times New Roman" w:cs="Times New Roman"/>
          <w:sz w:val="24"/>
          <w:szCs w:val="24"/>
        </w:rPr>
        <w:t xml:space="preserve">to </w:t>
      </w:r>
      <w:r w:rsidR="00EB328C">
        <w:rPr>
          <w:rFonts w:ascii="Times New Roman" w:eastAsia="Times New Roman" w:hAnsi="Times New Roman" w:cs="Times New Roman"/>
          <w:sz w:val="24"/>
          <w:szCs w:val="24"/>
        </w:rPr>
        <w:t>shop for</w:t>
      </w:r>
      <w:r>
        <w:rPr>
          <w:rFonts w:ascii="Times New Roman" w:eastAsia="Times New Roman" w:hAnsi="Times New Roman" w:cs="Times New Roman"/>
          <w:sz w:val="24"/>
          <w:szCs w:val="24"/>
        </w:rPr>
        <w:t xml:space="preserve"> QHPs will use the </w:t>
      </w:r>
      <w:r w:rsidR="00EB328C">
        <w:rPr>
          <w:rFonts w:ascii="Times New Roman" w:eastAsia="Times New Roman" w:hAnsi="Times New Roman" w:cs="Times New Roman"/>
          <w:sz w:val="24"/>
          <w:szCs w:val="24"/>
        </w:rPr>
        <w:t xml:space="preserve">comparative </w:t>
      </w:r>
      <w:r>
        <w:rPr>
          <w:rFonts w:ascii="Times New Roman" w:eastAsia="Times New Roman" w:hAnsi="Times New Roman" w:cs="Times New Roman"/>
          <w:sz w:val="24"/>
          <w:szCs w:val="24"/>
        </w:rPr>
        <w:t>information</w:t>
      </w:r>
      <w:r w:rsidR="00A71125">
        <w:rPr>
          <w:rFonts w:ascii="Times New Roman" w:eastAsia="Times New Roman" w:hAnsi="Times New Roman" w:cs="Times New Roman"/>
          <w:sz w:val="24"/>
          <w:szCs w:val="24"/>
        </w:rPr>
        <w:t>, plan displays,</w:t>
      </w:r>
      <w:r>
        <w:rPr>
          <w:rFonts w:ascii="Times New Roman" w:eastAsia="Times New Roman" w:hAnsi="Times New Roman" w:cs="Times New Roman"/>
          <w:sz w:val="24"/>
          <w:szCs w:val="24"/>
        </w:rPr>
        <w:t xml:space="preserve"> </w:t>
      </w:r>
      <w:r w:rsidR="00EB328C">
        <w:rPr>
          <w:rFonts w:ascii="Times New Roman" w:eastAsia="Times New Roman" w:hAnsi="Times New Roman" w:cs="Times New Roman"/>
          <w:sz w:val="24"/>
          <w:szCs w:val="24"/>
        </w:rPr>
        <w:t>and standardized disclaimers displayed on</w:t>
      </w:r>
      <w:r>
        <w:rPr>
          <w:rFonts w:ascii="Times New Roman" w:eastAsia="Times New Roman" w:hAnsi="Times New Roman" w:cs="Times New Roman"/>
          <w:sz w:val="24"/>
          <w:szCs w:val="24"/>
        </w:rPr>
        <w:t xml:space="preserve"> web-broker</w:t>
      </w:r>
      <w:r w:rsidR="00A71125">
        <w:rPr>
          <w:rFonts w:ascii="Times New Roman" w:eastAsia="Times New Roman" w:hAnsi="Times New Roman" w:cs="Times New Roman"/>
          <w:sz w:val="24"/>
          <w:szCs w:val="24"/>
        </w:rPr>
        <w:t xml:space="preserve"> and issuer</w:t>
      </w:r>
      <w:r w:rsidR="00EB328C">
        <w:rPr>
          <w:rFonts w:ascii="Times New Roman" w:eastAsia="Times New Roman" w:hAnsi="Times New Roman" w:cs="Times New Roman"/>
          <w:sz w:val="24"/>
          <w:szCs w:val="24"/>
        </w:rPr>
        <w:t xml:space="preserve"> website</w:t>
      </w:r>
      <w:r>
        <w:rPr>
          <w:rFonts w:ascii="Times New Roman" w:eastAsia="Times New Roman" w:hAnsi="Times New Roman" w:cs="Times New Roman"/>
          <w:sz w:val="24"/>
          <w:szCs w:val="24"/>
        </w:rPr>
        <w:t>s, as described in subsection</w:t>
      </w:r>
      <w:r w:rsidR="00A71125">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1.c.</w:t>
      </w:r>
      <w:r w:rsidR="00A71125">
        <w:rPr>
          <w:rFonts w:ascii="Times New Roman" w:eastAsia="Times New Roman" w:hAnsi="Times New Roman" w:cs="Times New Roman"/>
          <w:sz w:val="24"/>
          <w:szCs w:val="24"/>
        </w:rPr>
        <w:t xml:space="preserve"> through 1.i., 1.k., and 1.p. </w:t>
      </w:r>
      <w:r>
        <w:rPr>
          <w:rFonts w:ascii="Times New Roman" w:eastAsia="Times New Roman" w:hAnsi="Times New Roman" w:cs="Times New Roman"/>
          <w:sz w:val="24"/>
          <w:szCs w:val="24"/>
        </w:rPr>
        <w:t xml:space="preserve">above, to </w:t>
      </w:r>
      <w:r w:rsidR="00EB328C">
        <w:rPr>
          <w:rFonts w:ascii="Times New Roman" w:eastAsia="Times New Roman" w:hAnsi="Times New Roman" w:cs="Times New Roman"/>
          <w:sz w:val="24"/>
          <w:szCs w:val="24"/>
        </w:rPr>
        <w:t xml:space="preserve">compare QHPs and identify </w:t>
      </w:r>
      <w:r>
        <w:rPr>
          <w:rFonts w:ascii="Times New Roman" w:eastAsia="Times New Roman" w:hAnsi="Times New Roman" w:cs="Times New Roman"/>
          <w:sz w:val="24"/>
          <w:szCs w:val="24"/>
        </w:rPr>
        <w:t>enroll</w:t>
      </w:r>
      <w:r w:rsidR="00EB328C">
        <w:rPr>
          <w:rFonts w:ascii="Times New Roman" w:eastAsia="Times New Roman" w:hAnsi="Times New Roman" w:cs="Times New Roman"/>
          <w:sz w:val="24"/>
          <w:szCs w:val="24"/>
        </w:rPr>
        <w:t>ment options</w:t>
      </w:r>
      <w:r>
        <w:rPr>
          <w:rFonts w:ascii="Times New Roman" w:eastAsia="Times New Roman" w:hAnsi="Times New Roman" w:cs="Times New Roman"/>
          <w:sz w:val="24"/>
          <w:szCs w:val="24"/>
        </w:rPr>
        <w:t xml:space="preserve">. </w:t>
      </w:r>
    </w:p>
    <w:p w:rsidR="00771991" w:rsidP="00192B1D" w14:paraId="2BC4CC32" w14:textId="5ED720E7">
      <w:pPr>
        <w:spacing w:after="0" w:line="240" w:lineRule="auto"/>
        <w:ind w:right="90"/>
      </w:pPr>
      <w:r>
        <w:rPr>
          <w:rFonts w:ascii="Times New Roman" w:eastAsia="Times New Roman" w:hAnsi="Times New Roman" w:cs="Times New Roman"/>
          <w:sz w:val="24"/>
          <w:szCs w:val="24"/>
        </w:rPr>
        <w:t xml:space="preserve"> </w:t>
      </w:r>
    </w:p>
    <w:p w:rsidR="0091010A" w:rsidP="00192B1D" w14:paraId="6773CA54" w14:textId="50D122D6">
      <w:pPr>
        <w:tabs>
          <w:tab w:val="left" w:pos="360"/>
        </w:tabs>
        <w:spacing w:after="0" w:line="240" w:lineRule="auto"/>
        <w:ind w:right="9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3.</w:t>
      </w:r>
      <w:r>
        <w:rPr>
          <w:rFonts w:ascii="Times New Roman" w:eastAsia="Times New Roman" w:hAnsi="Times New Roman" w:cs="Times New Roman"/>
          <w:position w:val="-1"/>
          <w:sz w:val="24"/>
          <w:szCs w:val="24"/>
        </w:rPr>
        <w:tab/>
      </w:r>
      <w:r w:rsidRPr="00771991">
        <w:rPr>
          <w:rFonts w:ascii="Times New Roman" w:eastAsia="Times New Roman" w:hAnsi="Times New Roman" w:cs="Times New Roman"/>
          <w:position w:val="-1"/>
          <w:sz w:val="24"/>
          <w:szCs w:val="24"/>
          <w:u w:val="single"/>
        </w:rPr>
        <w:t>Use of Information Technology</w:t>
      </w:r>
    </w:p>
    <w:p w:rsidR="0091010A" w:rsidP="00192B1D" w14:paraId="6025E383" w14:textId="77777777">
      <w:pPr>
        <w:spacing w:before="6" w:after="0" w:line="260" w:lineRule="exact"/>
        <w:ind w:right="90"/>
        <w:rPr>
          <w:sz w:val="26"/>
          <w:szCs w:val="26"/>
        </w:rPr>
      </w:pPr>
    </w:p>
    <w:p w:rsidR="0091010A" w:rsidP="00192B1D" w14:paraId="2896011E" w14:textId="33DF0E42">
      <w:pPr>
        <w:spacing w:after="0" w:line="240" w:lineRule="auto"/>
        <w:ind w:right="90"/>
        <w:rPr>
          <w:rFonts w:ascii="Times New Roman" w:eastAsia="Times New Roman" w:hAnsi="Times New Roman" w:cs="Times New Roman"/>
          <w:sz w:val="24"/>
          <w:szCs w:val="24"/>
        </w:rPr>
      </w:pPr>
      <w:r>
        <w:rPr>
          <w:rFonts w:ascii="Times New Roman" w:eastAsia="Times New Roman" w:hAnsi="Times New Roman" w:cs="Times New Roman"/>
          <w:sz w:val="24"/>
          <w:szCs w:val="24"/>
        </w:rPr>
        <w:t>This requirement only impacts processes that are already 100% electronically based.</w:t>
      </w:r>
      <w:r w:rsidR="0050384B">
        <w:rPr>
          <w:rFonts w:ascii="Times New Roman" w:eastAsia="Times New Roman" w:hAnsi="Times New Roman" w:cs="Times New Roman"/>
          <w:sz w:val="24"/>
          <w:szCs w:val="24"/>
        </w:rPr>
        <w:t xml:space="preserve"> </w:t>
      </w:r>
    </w:p>
    <w:p w:rsidR="0091010A" w:rsidP="00192B1D" w14:paraId="1DB59E4A" w14:textId="77777777">
      <w:pPr>
        <w:spacing w:before="4" w:after="0" w:line="280" w:lineRule="exact"/>
        <w:ind w:right="90"/>
        <w:rPr>
          <w:sz w:val="28"/>
          <w:szCs w:val="28"/>
        </w:rPr>
      </w:pPr>
    </w:p>
    <w:p w:rsidR="0091010A" w:rsidP="00192B1D" w14:paraId="5B862DCF" w14:textId="77777777">
      <w:pPr>
        <w:tabs>
          <w:tab w:val="left" w:pos="360"/>
        </w:tabs>
        <w:spacing w:after="0" w:line="240" w:lineRule="auto"/>
        <w:ind w:right="9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r>
      <w:r w:rsidRPr="00771991">
        <w:rPr>
          <w:rFonts w:ascii="Times New Roman" w:eastAsia="Times New Roman" w:hAnsi="Times New Roman" w:cs="Times New Roman"/>
          <w:sz w:val="24"/>
          <w:szCs w:val="24"/>
          <w:u w:val="single"/>
        </w:rPr>
        <w:t>Duplication of Efforts</w:t>
      </w:r>
    </w:p>
    <w:p w:rsidR="0091010A" w:rsidP="00192B1D" w14:paraId="45984F7E" w14:textId="77777777">
      <w:pPr>
        <w:spacing w:before="10" w:after="0" w:line="280" w:lineRule="exact"/>
        <w:ind w:right="90"/>
        <w:rPr>
          <w:sz w:val="28"/>
          <w:szCs w:val="28"/>
        </w:rPr>
      </w:pPr>
    </w:p>
    <w:p w:rsidR="0091010A" w:rsidP="00192B1D" w14:paraId="7F2E60D2" w14:textId="77777777">
      <w:pPr>
        <w:spacing w:after="0" w:line="240" w:lineRule="auto"/>
        <w:ind w:right="90"/>
        <w:rPr>
          <w:rFonts w:ascii="Times New Roman" w:eastAsia="Times New Roman" w:hAnsi="Times New Roman" w:cs="Times New Roman"/>
          <w:sz w:val="24"/>
          <w:szCs w:val="24"/>
        </w:rPr>
      </w:pPr>
      <w:r w:rsidRPr="006A0910">
        <w:rPr>
          <w:rFonts w:ascii="Times New Roman" w:eastAsia="Times New Roman" w:hAnsi="Times New Roman" w:cs="Times New Roman"/>
          <w:sz w:val="24"/>
          <w:szCs w:val="24"/>
        </w:rPr>
        <w:t>This information collection does not duplicate any other Federal effort.</w:t>
      </w:r>
    </w:p>
    <w:p w:rsidR="0091010A" w:rsidRPr="00771991" w:rsidP="00192B1D" w14:paraId="31456681" w14:textId="77777777">
      <w:pPr>
        <w:spacing w:before="6" w:after="0" w:line="260" w:lineRule="exact"/>
        <w:ind w:right="90"/>
        <w:rPr>
          <w:sz w:val="26"/>
          <w:szCs w:val="26"/>
          <w:u w:val="single"/>
        </w:rPr>
      </w:pPr>
    </w:p>
    <w:p w:rsidR="0091010A" w:rsidRPr="00771991" w:rsidP="00192B1D" w14:paraId="4E7A3369" w14:textId="77777777">
      <w:pPr>
        <w:tabs>
          <w:tab w:val="left" w:pos="360"/>
        </w:tabs>
        <w:spacing w:after="0" w:line="240" w:lineRule="auto"/>
        <w:ind w:right="90"/>
        <w:rPr>
          <w:rFonts w:ascii="Times New Roman" w:eastAsia="Times New Roman" w:hAnsi="Times New Roman" w:cs="Times New Roman"/>
          <w:position w:val="-1"/>
          <w:sz w:val="24"/>
          <w:szCs w:val="24"/>
          <w:u w:val="single"/>
        </w:rPr>
      </w:pPr>
      <w:r w:rsidRPr="0078061B">
        <w:rPr>
          <w:rFonts w:ascii="Times New Roman" w:eastAsia="Times New Roman" w:hAnsi="Times New Roman" w:cs="Times New Roman"/>
          <w:position w:val="-1"/>
          <w:sz w:val="24"/>
          <w:szCs w:val="24"/>
        </w:rPr>
        <w:t>5.</w:t>
      </w:r>
      <w:r w:rsidRPr="0078061B">
        <w:rPr>
          <w:rFonts w:ascii="Times New Roman" w:eastAsia="Times New Roman" w:hAnsi="Times New Roman" w:cs="Times New Roman"/>
          <w:position w:val="-1"/>
          <w:sz w:val="24"/>
          <w:szCs w:val="24"/>
        </w:rPr>
        <w:tab/>
      </w:r>
      <w:r w:rsidRPr="00771991">
        <w:rPr>
          <w:rFonts w:ascii="Times New Roman" w:eastAsia="Times New Roman" w:hAnsi="Times New Roman" w:cs="Times New Roman"/>
          <w:position w:val="-1"/>
          <w:sz w:val="24"/>
          <w:szCs w:val="24"/>
          <w:u w:val="single"/>
        </w:rPr>
        <w:t>Small Businesses</w:t>
      </w:r>
    </w:p>
    <w:p w:rsidR="0091010A" w:rsidP="00192B1D" w14:paraId="41132719" w14:textId="77777777">
      <w:pPr>
        <w:spacing w:before="6" w:after="0" w:line="260" w:lineRule="exact"/>
        <w:ind w:right="90"/>
        <w:rPr>
          <w:sz w:val="26"/>
          <w:szCs w:val="26"/>
        </w:rPr>
      </w:pPr>
    </w:p>
    <w:p w:rsidR="0091010A" w:rsidP="00192B1D" w14:paraId="16CFCFC3" w14:textId="77777777">
      <w:pPr>
        <w:spacing w:after="0" w:line="240" w:lineRule="auto"/>
        <w:ind w:right="90"/>
        <w:rPr>
          <w:rFonts w:ascii="Times New Roman" w:eastAsia="Times New Roman" w:hAnsi="Times New Roman" w:cs="Times New Roman"/>
          <w:sz w:val="24"/>
          <w:szCs w:val="24"/>
        </w:rPr>
      </w:pPr>
      <w:r>
        <w:rPr>
          <w:rFonts w:ascii="Times New Roman" w:eastAsia="Times New Roman" w:hAnsi="Times New Roman" w:cs="Times New Roman"/>
          <w:sz w:val="24"/>
          <w:szCs w:val="24"/>
        </w:rPr>
        <w:t>This in</w:t>
      </w:r>
      <w:r w:rsidRPr="006A0910">
        <w:rPr>
          <w:rFonts w:ascii="Times New Roman" w:eastAsia="Times New Roman" w:hAnsi="Times New Roman" w:cs="Times New Roman"/>
          <w:sz w:val="24"/>
          <w:szCs w:val="24"/>
        </w:rPr>
        <w:t>f</w:t>
      </w:r>
      <w:r>
        <w:rPr>
          <w:rFonts w:ascii="Times New Roman" w:eastAsia="Times New Roman" w:hAnsi="Times New Roman" w:cs="Times New Roman"/>
          <w:sz w:val="24"/>
          <w:szCs w:val="24"/>
        </w:rPr>
        <w:t>o</w:t>
      </w:r>
      <w:r w:rsidRPr="006A0910">
        <w:rPr>
          <w:rFonts w:ascii="Times New Roman" w:eastAsia="Times New Roman" w:hAnsi="Times New Roman" w:cs="Times New Roman"/>
          <w:sz w:val="24"/>
          <w:szCs w:val="24"/>
        </w:rPr>
        <w:t>r</w:t>
      </w:r>
      <w:r>
        <w:rPr>
          <w:rFonts w:ascii="Times New Roman" w:eastAsia="Times New Roman" w:hAnsi="Times New Roman" w:cs="Times New Roman"/>
          <w:sz w:val="24"/>
          <w:szCs w:val="24"/>
        </w:rPr>
        <w:t>m</w:t>
      </w:r>
      <w:r w:rsidRPr="006A0910">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tion </w:t>
      </w:r>
      <w:r w:rsidRPr="006A0910">
        <w:rPr>
          <w:rFonts w:ascii="Times New Roman" w:eastAsia="Times New Roman" w:hAnsi="Times New Roman" w:cs="Times New Roman"/>
          <w:sz w:val="24"/>
          <w:szCs w:val="24"/>
        </w:rPr>
        <w:t>c</w:t>
      </w:r>
      <w:r>
        <w:rPr>
          <w:rFonts w:ascii="Times New Roman" w:eastAsia="Times New Roman" w:hAnsi="Times New Roman" w:cs="Times New Roman"/>
          <w:sz w:val="24"/>
          <w:szCs w:val="24"/>
        </w:rPr>
        <w:t>oll</w:t>
      </w:r>
      <w:r w:rsidRPr="006A0910">
        <w:rPr>
          <w:rFonts w:ascii="Times New Roman" w:eastAsia="Times New Roman" w:hAnsi="Times New Roman" w:cs="Times New Roman"/>
          <w:sz w:val="24"/>
          <w:szCs w:val="24"/>
        </w:rPr>
        <w:t>ec</w:t>
      </w:r>
      <w:r>
        <w:rPr>
          <w:rFonts w:ascii="Times New Roman" w:eastAsia="Times New Roman" w:hAnsi="Times New Roman" w:cs="Times New Roman"/>
          <w:sz w:val="24"/>
          <w:szCs w:val="24"/>
        </w:rPr>
        <w:t>tion will not h</w:t>
      </w:r>
      <w:r w:rsidRPr="006A0910">
        <w:rPr>
          <w:rFonts w:ascii="Times New Roman" w:eastAsia="Times New Roman" w:hAnsi="Times New Roman" w:cs="Times New Roman"/>
          <w:sz w:val="24"/>
          <w:szCs w:val="24"/>
        </w:rPr>
        <w:t>a</w:t>
      </w:r>
      <w:r>
        <w:rPr>
          <w:rFonts w:ascii="Times New Roman" w:eastAsia="Times New Roman" w:hAnsi="Times New Roman" w:cs="Times New Roman"/>
          <w:sz w:val="24"/>
          <w:szCs w:val="24"/>
        </w:rPr>
        <w:t>ve</w:t>
      </w:r>
      <w:r w:rsidRPr="006A091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Pr="006A091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si</w:t>
      </w:r>
      <w:r w:rsidRPr="006A0910">
        <w:rPr>
          <w:rFonts w:ascii="Times New Roman" w:eastAsia="Times New Roman" w:hAnsi="Times New Roman" w:cs="Times New Roman"/>
          <w:sz w:val="24"/>
          <w:szCs w:val="24"/>
        </w:rPr>
        <w:t>g</w:t>
      </w:r>
      <w:r>
        <w:rPr>
          <w:rFonts w:ascii="Times New Roman" w:eastAsia="Times New Roman" w:hAnsi="Times New Roman" w:cs="Times New Roman"/>
          <w:sz w:val="24"/>
          <w:szCs w:val="24"/>
        </w:rPr>
        <w:t>ni</w:t>
      </w:r>
      <w:r w:rsidRPr="006A0910">
        <w:rPr>
          <w:rFonts w:ascii="Times New Roman" w:eastAsia="Times New Roman" w:hAnsi="Times New Roman" w:cs="Times New Roman"/>
          <w:sz w:val="24"/>
          <w:szCs w:val="24"/>
        </w:rPr>
        <w:t>f</w:t>
      </w:r>
      <w:r>
        <w:rPr>
          <w:rFonts w:ascii="Times New Roman" w:eastAsia="Times New Roman" w:hAnsi="Times New Roman" w:cs="Times New Roman"/>
          <w:sz w:val="24"/>
          <w:szCs w:val="24"/>
        </w:rPr>
        <w:t>i</w:t>
      </w:r>
      <w:r w:rsidRPr="006A0910">
        <w:rPr>
          <w:rFonts w:ascii="Times New Roman" w:eastAsia="Times New Roman" w:hAnsi="Times New Roman" w:cs="Times New Roman"/>
          <w:sz w:val="24"/>
          <w:szCs w:val="24"/>
        </w:rPr>
        <w:t>ca</w:t>
      </w:r>
      <w:r>
        <w:rPr>
          <w:rFonts w:ascii="Times New Roman" w:eastAsia="Times New Roman" w:hAnsi="Times New Roman" w:cs="Times New Roman"/>
          <w:sz w:val="24"/>
          <w:szCs w:val="24"/>
        </w:rPr>
        <w:t>nt imp</w:t>
      </w:r>
      <w:r w:rsidRPr="006A0910">
        <w:rPr>
          <w:rFonts w:ascii="Times New Roman" w:eastAsia="Times New Roman" w:hAnsi="Times New Roman" w:cs="Times New Roman"/>
          <w:sz w:val="24"/>
          <w:szCs w:val="24"/>
        </w:rPr>
        <w:t>ac</w:t>
      </w:r>
      <w:r>
        <w:rPr>
          <w:rFonts w:ascii="Times New Roman" w:eastAsia="Times New Roman" w:hAnsi="Times New Roman" w:cs="Times New Roman"/>
          <w:sz w:val="24"/>
          <w:szCs w:val="24"/>
        </w:rPr>
        <w:t>t on sm</w:t>
      </w:r>
      <w:r w:rsidRPr="006A0910">
        <w:rPr>
          <w:rFonts w:ascii="Times New Roman" w:eastAsia="Times New Roman" w:hAnsi="Times New Roman" w:cs="Times New Roman"/>
          <w:sz w:val="24"/>
          <w:szCs w:val="24"/>
        </w:rPr>
        <w:t>a</w:t>
      </w:r>
      <w:r>
        <w:rPr>
          <w:rFonts w:ascii="Times New Roman" w:eastAsia="Times New Roman" w:hAnsi="Times New Roman" w:cs="Times New Roman"/>
          <w:sz w:val="24"/>
          <w:szCs w:val="24"/>
        </w:rPr>
        <w:t>ll busin</w:t>
      </w:r>
      <w:r w:rsidRPr="006A0910">
        <w:rPr>
          <w:rFonts w:ascii="Times New Roman" w:eastAsia="Times New Roman" w:hAnsi="Times New Roman" w:cs="Times New Roman"/>
          <w:sz w:val="24"/>
          <w:szCs w:val="24"/>
        </w:rPr>
        <w:t>e</w:t>
      </w:r>
      <w:r>
        <w:rPr>
          <w:rFonts w:ascii="Times New Roman" w:eastAsia="Times New Roman" w:hAnsi="Times New Roman" w:cs="Times New Roman"/>
          <w:sz w:val="24"/>
          <w:szCs w:val="24"/>
        </w:rPr>
        <w:t>ss.</w:t>
      </w:r>
    </w:p>
    <w:p w:rsidR="0091010A" w:rsidP="00192B1D" w14:paraId="3D6231F9" w14:textId="77777777">
      <w:pPr>
        <w:spacing w:before="10" w:after="0" w:line="280" w:lineRule="exact"/>
        <w:ind w:right="90"/>
        <w:rPr>
          <w:sz w:val="28"/>
          <w:szCs w:val="28"/>
        </w:rPr>
      </w:pPr>
    </w:p>
    <w:p w:rsidR="0091010A" w:rsidRPr="00771991" w:rsidP="00192B1D" w14:paraId="7B23F7E4" w14:textId="77777777">
      <w:pPr>
        <w:tabs>
          <w:tab w:val="left" w:pos="360"/>
        </w:tabs>
        <w:spacing w:after="0" w:line="240" w:lineRule="auto"/>
        <w:ind w:right="9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rPr>
        <w:tab/>
      </w:r>
      <w:r w:rsidRPr="00771991">
        <w:rPr>
          <w:rFonts w:ascii="Times New Roman" w:eastAsia="Times New Roman" w:hAnsi="Times New Roman" w:cs="Times New Roman"/>
          <w:sz w:val="24"/>
          <w:szCs w:val="24"/>
          <w:u w:val="single"/>
        </w:rPr>
        <w:t>Less Frequent Collection</w:t>
      </w:r>
    </w:p>
    <w:p w:rsidR="0091010A" w:rsidP="00192B1D" w14:paraId="2DE9EF40" w14:textId="77777777">
      <w:pPr>
        <w:spacing w:before="10" w:after="0" w:line="280" w:lineRule="exact"/>
        <w:ind w:right="90"/>
        <w:rPr>
          <w:sz w:val="28"/>
          <w:szCs w:val="28"/>
        </w:rPr>
      </w:pPr>
    </w:p>
    <w:p w:rsidR="0091010A" w:rsidP="00192B1D" w14:paraId="028C22D3" w14:textId="7F3018BD">
      <w:pPr>
        <w:spacing w:after="0" w:line="240" w:lineRule="auto"/>
        <w:ind w:right="90"/>
        <w:rPr>
          <w:rFonts w:ascii="Times New Roman" w:eastAsia="Times New Roman" w:hAnsi="Times New Roman" w:cs="Times New Roman"/>
          <w:sz w:val="24"/>
          <w:szCs w:val="24"/>
        </w:rPr>
      </w:pPr>
      <w:r>
        <w:rPr>
          <w:rFonts w:ascii="Times New Roman" w:eastAsia="Times New Roman" w:hAnsi="Times New Roman" w:cs="Times New Roman"/>
          <w:sz w:val="24"/>
          <w:szCs w:val="24"/>
        </w:rPr>
        <w:t>The frequency of this requirement is already at the minimum level necessary to meet statutory needs.</w:t>
      </w:r>
    </w:p>
    <w:p w:rsidR="002A432F" w:rsidP="00192B1D" w14:paraId="5520B172" w14:textId="77777777">
      <w:pPr>
        <w:spacing w:before="4" w:after="0" w:line="280" w:lineRule="exact"/>
        <w:ind w:left="630" w:right="90"/>
        <w:rPr>
          <w:sz w:val="28"/>
          <w:szCs w:val="28"/>
        </w:rPr>
      </w:pPr>
    </w:p>
    <w:p w:rsidR="0091010A" w:rsidRPr="00771991" w:rsidP="00192B1D" w14:paraId="6244567B" w14:textId="77777777">
      <w:pPr>
        <w:tabs>
          <w:tab w:val="left" w:pos="360"/>
        </w:tabs>
        <w:spacing w:after="0" w:line="240" w:lineRule="auto"/>
        <w:ind w:right="9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rPr>
        <w:tab/>
      </w:r>
      <w:r w:rsidRPr="00771991">
        <w:rPr>
          <w:rFonts w:ascii="Times New Roman" w:eastAsia="Times New Roman" w:hAnsi="Times New Roman" w:cs="Times New Roman"/>
          <w:sz w:val="24"/>
          <w:szCs w:val="24"/>
          <w:u w:val="single"/>
        </w:rPr>
        <w:t>Special Circumstances</w:t>
      </w:r>
    </w:p>
    <w:p w:rsidR="0091010A" w:rsidP="00192B1D" w14:paraId="72B68505" w14:textId="77777777">
      <w:pPr>
        <w:spacing w:before="10" w:after="0" w:line="280" w:lineRule="exact"/>
        <w:ind w:right="90"/>
        <w:rPr>
          <w:sz w:val="28"/>
          <w:szCs w:val="28"/>
        </w:rPr>
      </w:pPr>
    </w:p>
    <w:p w:rsidR="0091010A" w:rsidP="00192B1D" w14:paraId="5F1A16F0" w14:textId="77777777">
      <w:pPr>
        <w:spacing w:after="0" w:line="240" w:lineRule="auto"/>
        <w:ind w:right="90"/>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no special circumstances.</w:t>
      </w:r>
    </w:p>
    <w:p w:rsidR="0091010A" w:rsidP="00192B1D" w14:paraId="06EED46D" w14:textId="77777777">
      <w:pPr>
        <w:spacing w:before="14" w:after="0" w:line="240" w:lineRule="exact"/>
        <w:ind w:right="90"/>
        <w:rPr>
          <w:sz w:val="24"/>
          <w:szCs w:val="24"/>
        </w:rPr>
      </w:pPr>
    </w:p>
    <w:p w:rsidR="0091010A" w:rsidRPr="006A0910" w:rsidP="00192B1D" w14:paraId="135807E8" w14:textId="77777777">
      <w:pPr>
        <w:tabs>
          <w:tab w:val="left" w:pos="360"/>
        </w:tabs>
        <w:spacing w:after="0" w:line="240" w:lineRule="auto"/>
        <w:ind w:right="90"/>
        <w:rPr>
          <w:rFonts w:ascii="Times New Roman" w:eastAsia="Times New Roman" w:hAnsi="Times New Roman" w:cs="Times New Roman"/>
          <w:position w:val="-1"/>
          <w:sz w:val="24"/>
          <w:szCs w:val="24"/>
        </w:rPr>
      </w:pPr>
      <w:r>
        <w:rPr>
          <w:rFonts w:ascii="Times New Roman" w:eastAsia="Times New Roman" w:hAnsi="Times New Roman" w:cs="Times New Roman"/>
          <w:position w:val="-1"/>
          <w:sz w:val="24"/>
          <w:szCs w:val="24"/>
        </w:rPr>
        <w:t>8.</w:t>
      </w:r>
      <w:r>
        <w:rPr>
          <w:rFonts w:ascii="Times New Roman" w:eastAsia="Times New Roman" w:hAnsi="Times New Roman" w:cs="Times New Roman"/>
          <w:position w:val="-1"/>
          <w:sz w:val="24"/>
          <w:szCs w:val="24"/>
        </w:rPr>
        <w:tab/>
      </w:r>
      <w:r w:rsidRPr="00771991">
        <w:rPr>
          <w:rFonts w:ascii="Times New Roman" w:eastAsia="Times New Roman" w:hAnsi="Times New Roman" w:cs="Times New Roman"/>
          <w:position w:val="-1"/>
          <w:sz w:val="24"/>
          <w:szCs w:val="24"/>
          <w:u w:val="single"/>
        </w:rPr>
        <w:t>Federal Register/Outside Consultation</w:t>
      </w:r>
    </w:p>
    <w:p w:rsidR="0091010A" w:rsidP="00192B1D" w14:paraId="21D6DAEC" w14:textId="77777777">
      <w:pPr>
        <w:spacing w:before="6" w:after="0" w:line="280" w:lineRule="exact"/>
        <w:ind w:right="90"/>
        <w:rPr>
          <w:sz w:val="28"/>
          <w:szCs w:val="28"/>
        </w:rPr>
      </w:pPr>
    </w:p>
    <w:p w:rsidR="00D07502" w:rsidP="00192B1D" w14:paraId="3192B1F3" w14:textId="5B679D77">
      <w:pPr>
        <w:spacing w:after="0" w:line="240" w:lineRule="auto"/>
        <w:ind w:right="90"/>
        <w:rPr>
          <w:rFonts w:ascii="Times New Roman" w:hAnsi="Times New Roman" w:cs="Times New Roman"/>
          <w:position w:val="-1"/>
          <w:sz w:val="24"/>
          <w:szCs w:val="24"/>
        </w:rPr>
      </w:pPr>
      <w:r w:rsidRPr="004A5DF0">
        <w:rPr>
          <w:rFonts w:ascii="Times New Roman" w:hAnsi="Times New Roman" w:cs="Times New Roman"/>
          <w:sz w:val="24"/>
          <w:szCs w:val="24"/>
        </w:rPr>
        <w:t xml:space="preserve">This ICR was published as part of the Payment Notice Proposed Rule in the Federal Register on </w:t>
      </w:r>
      <w:r w:rsidR="00FF1D7A">
        <w:rPr>
          <w:rFonts w:ascii="Times New Roman" w:hAnsi="Times New Roman" w:cs="Times New Roman"/>
          <w:sz w:val="24"/>
          <w:szCs w:val="24"/>
        </w:rPr>
        <w:t>November 24, 2023</w:t>
      </w:r>
      <w:r w:rsidRPr="004A5DF0">
        <w:rPr>
          <w:rFonts w:ascii="Times New Roman" w:hAnsi="Times New Roman" w:cs="Times New Roman"/>
          <w:sz w:val="24"/>
          <w:szCs w:val="24"/>
        </w:rPr>
        <w:t xml:space="preserve"> (88</w:t>
      </w:r>
      <w:r w:rsidR="00FF1D7A">
        <w:rPr>
          <w:rFonts w:ascii="Times New Roman" w:hAnsi="Times New Roman" w:cs="Times New Roman"/>
          <w:sz w:val="24"/>
          <w:szCs w:val="24"/>
        </w:rPr>
        <w:t xml:space="preserve"> FR 82510</w:t>
      </w:r>
      <w:r w:rsidRPr="004A5DF0">
        <w:rPr>
          <w:rFonts w:ascii="Times New Roman" w:hAnsi="Times New Roman" w:cs="Times New Roman"/>
          <w:sz w:val="24"/>
          <w:szCs w:val="24"/>
        </w:rPr>
        <w:t>) for the public to submit written comment as part of a first-round public comment period.</w:t>
      </w:r>
      <w:r>
        <w:rPr>
          <w:rFonts w:ascii="Times New Roman" w:hAnsi="Times New Roman" w:cs="Times New Roman"/>
          <w:sz w:val="24"/>
          <w:szCs w:val="24"/>
        </w:rPr>
        <w:t xml:space="preserve"> Three comments were received that were directly relevant to this ICR.</w:t>
      </w:r>
      <w:r>
        <w:rPr>
          <w:rFonts w:ascii="Times New Roman" w:hAnsi="Times New Roman" w:cs="Times New Roman"/>
          <w:sz w:val="24"/>
          <w:szCs w:val="24"/>
        </w:rPr>
        <w:t xml:space="preserve"> </w:t>
      </w:r>
      <w:r w:rsidRPr="00D07502" w:rsidR="00414DE8">
        <w:rPr>
          <w:rFonts w:ascii="Times New Roman" w:hAnsi="Times New Roman" w:cs="Times New Roman"/>
          <w:position w:val="-1"/>
          <w:sz w:val="24"/>
          <w:szCs w:val="24"/>
        </w:rPr>
        <w:t xml:space="preserve">These comments are summarized, and responses provided, in Appendix R. The </w:t>
      </w:r>
      <w:r>
        <w:rPr>
          <w:rFonts w:ascii="Times New Roman" w:hAnsi="Times New Roman" w:cs="Times New Roman"/>
          <w:position w:val="-1"/>
          <w:sz w:val="24"/>
          <w:szCs w:val="24"/>
        </w:rPr>
        <w:t>three public</w:t>
      </w:r>
      <w:r w:rsidRPr="00D07502" w:rsidR="00414DE8">
        <w:rPr>
          <w:rFonts w:ascii="Times New Roman" w:hAnsi="Times New Roman" w:cs="Times New Roman"/>
          <w:position w:val="-1"/>
          <w:sz w:val="24"/>
          <w:szCs w:val="24"/>
        </w:rPr>
        <w:t xml:space="preserve"> comments</w:t>
      </w:r>
      <w:r>
        <w:rPr>
          <w:rFonts w:ascii="Times New Roman" w:hAnsi="Times New Roman" w:cs="Times New Roman"/>
          <w:position w:val="-1"/>
          <w:sz w:val="24"/>
          <w:szCs w:val="24"/>
        </w:rPr>
        <w:t xml:space="preserve"> </w:t>
      </w:r>
      <w:r w:rsidRPr="00D07502" w:rsidR="00414DE8">
        <w:rPr>
          <w:rFonts w:ascii="Times New Roman" w:hAnsi="Times New Roman" w:cs="Times New Roman"/>
          <w:position w:val="-1"/>
          <w:sz w:val="24"/>
          <w:szCs w:val="24"/>
        </w:rPr>
        <w:t>are provided in Appendix S.</w:t>
      </w:r>
    </w:p>
    <w:p w:rsidR="00AD4F2B" w:rsidRPr="00D07502" w:rsidP="00192B1D" w14:paraId="60D69EB4" w14:textId="77777777">
      <w:pPr>
        <w:spacing w:after="0" w:line="240" w:lineRule="auto"/>
        <w:ind w:right="90"/>
        <w:rPr>
          <w:rFonts w:ascii="Times New Roman" w:hAnsi="Times New Roman" w:cs="Times New Roman"/>
          <w:position w:val="-1"/>
          <w:sz w:val="24"/>
          <w:szCs w:val="24"/>
        </w:rPr>
      </w:pPr>
    </w:p>
    <w:p w:rsidR="00D07502" w:rsidRPr="00D07502" w:rsidP="00192B1D" w14:paraId="08B79EF7" w14:textId="29C7EF69">
      <w:pPr>
        <w:spacing w:after="0" w:line="240" w:lineRule="auto"/>
        <w:ind w:right="90"/>
        <w:rPr>
          <w:rFonts w:ascii="Times New Roman" w:eastAsia="Times New Roman" w:hAnsi="Times New Roman" w:cs="Times New Roman"/>
          <w:sz w:val="24"/>
          <w:szCs w:val="24"/>
        </w:rPr>
      </w:pPr>
      <w:r w:rsidRPr="00D07502">
        <w:rPr>
          <w:rFonts w:ascii="Times New Roman" w:hAnsi="Times New Roman" w:cs="Times New Roman"/>
          <w:sz w:val="24"/>
          <w:szCs w:val="24"/>
        </w:rPr>
        <w:t xml:space="preserve">This ICR will be published as part of the Payment Notice Final Rule in the Federal Register on </w:t>
      </w:r>
      <w:r w:rsidR="00FF1D7A">
        <w:rPr>
          <w:rFonts w:ascii="Times New Roman" w:hAnsi="Times New Roman" w:cs="Times New Roman"/>
          <w:sz w:val="24"/>
          <w:szCs w:val="24"/>
        </w:rPr>
        <w:t xml:space="preserve">April 15, 2024 (89 FR 26218) </w:t>
      </w:r>
      <w:r w:rsidRPr="00D07502">
        <w:rPr>
          <w:rFonts w:ascii="Times New Roman" w:hAnsi="Times New Roman" w:cs="Times New Roman"/>
          <w:sz w:val="24"/>
          <w:szCs w:val="24"/>
        </w:rPr>
        <w:t>as part of a second-round public comment period for the public to submit written comment.</w:t>
      </w:r>
    </w:p>
    <w:p w:rsidR="00B1147C" w:rsidP="00192B1D" w14:paraId="02D6724E" w14:textId="1E3526E6">
      <w:pPr>
        <w:spacing w:after="0" w:line="240" w:lineRule="auto"/>
        <w:ind w:right="90"/>
        <w:rPr>
          <w:rFonts w:ascii="Times New Roman" w:eastAsia="Times New Roman" w:hAnsi="Times New Roman" w:cs="Times New Roman"/>
          <w:sz w:val="24"/>
          <w:szCs w:val="24"/>
        </w:rPr>
      </w:pPr>
    </w:p>
    <w:p w:rsidR="00B1147C" w:rsidRPr="00771991" w:rsidP="00192B1D" w14:paraId="782207CA" w14:textId="5C0367F5">
      <w:pPr>
        <w:spacing w:after="0" w:line="240" w:lineRule="auto"/>
        <w:ind w:left="-5" w:right="90"/>
        <w:rPr>
          <w:rFonts w:ascii="Times New Roman" w:hAnsi="Times New Roman" w:cs="Times New Roman"/>
          <w:spacing w:val="-1"/>
          <w:sz w:val="24"/>
          <w:szCs w:val="24"/>
        </w:rPr>
      </w:pPr>
      <w:r w:rsidRPr="00B54808">
        <w:rPr>
          <w:rFonts w:ascii="Times New Roman" w:hAnsi="Times New Roman" w:cs="Times New Roman"/>
          <w:spacing w:val="-1"/>
          <w:sz w:val="24"/>
          <w:szCs w:val="24"/>
        </w:rPr>
        <w:t>No additional outside consultation was sought.</w:t>
      </w:r>
    </w:p>
    <w:p w:rsidR="005E01E9" w:rsidRPr="006A0910" w:rsidP="00192B1D" w14:paraId="19CABF30" w14:textId="366FC45C">
      <w:pPr>
        <w:spacing w:after="0" w:line="240" w:lineRule="auto"/>
        <w:ind w:right="90"/>
        <w:rPr>
          <w:rFonts w:ascii="Times New Roman" w:eastAsia="Times New Roman" w:hAnsi="Times New Roman" w:cs="Times New Roman"/>
          <w:sz w:val="24"/>
          <w:szCs w:val="24"/>
        </w:rPr>
      </w:pPr>
    </w:p>
    <w:p w:rsidR="0091010A" w:rsidP="00192B1D" w14:paraId="4A995E56" w14:textId="77777777">
      <w:pPr>
        <w:tabs>
          <w:tab w:val="left" w:pos="360"/>
        </w:tabs>
        <w:spacing w:after="0" w:line="240" w:lineRule="auto"/>
        <w:ind w:right="9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Pr>
          <w:rFonts w:ascii="Times New Roman" w:eastAsia="Times New Roman" w:hAnsi="Times New Roman" w:cs="Times New Roman"/>
          <w:sz w:val="24"/>
          <w:szCs w:val="24"/>
        </w:rPr>
        <w:tab/>
      </w:r>
      <w:r w:rsidRPr="00771991">
        <w:rPr>
          <w:rFonts w:ascii="Times New Roman" w:eastAsia="Times New Roman" w:hAnsi="Times New Roman" w:cs="Times New Roman"/>
          <w:sz w:val="24"/>
          <w:szCs w:val="24"/>
          <w:u w:val="single"/>
        </w:rPr>
        <w:t>Payments/Gifts to Respondents</w:t>
      </w:r>
    </w:p>
    <w:p w:rsidR="0091010A" w:rsidP="00234238" w14:paraId="78C4E879" w14:textId="77777777">
      <w:pPr>
        <w:spacing w:before="10" w:after="0" w:line="280" w:lineRule="exact"/>
        <w:rPr>
          <w:sz w:val="28"/>
          <w:szCs w:val="28"/>
        </w:rPr>
      </w:pPr>
    </w:p>
    <w:p w:rsidR="0091010A" w:rsidRPr="002A5A4B" w:rsidP="00234238" w14:paraId="351764FE" w14:textId="77777777">
      <w:pPr>
        <w:spacing w:after="0" w:line="240" w:lineRule="auto"/>
        <w:rPr>
          <w:rFonts w:ascii="Times New Roman" w:eastAsia="Times New Roman" w:hAnsi="Times New Roman" w:cs="Times New Roman"/>
          <w:sz w:val="24"/>
          <w:szCs w:val="24"/>
        </w:rPr>
      </w:pPr>
      <w:r w:rsidRPr="002A5A4B">
        <w:rPr>
          <w:rFonts w:ascii="Times New Roman" w:eastAsia="Times New Roman" w:hAnsi="Times New Roman" w:cs="Times New Roman"/>
          <w:sz w:val="24"/>
          <w:szCs w:val="24"/>
        </w:rPr>
        <w:t>No payments and/or gifts will be provided to respondents.</w:t>
      </w:r>
    </w:p>
    <w:p w:rsidR="0091010A" w:rsidP="00234238" w14:paraId="5D8A21A3" w14:textId="77777777">
      <w:pPr>
        <w:spacing w:before="6" w:after="0" w:line="260" w:lineRule="exact"/>
        <w:rPr>
          <w:sz w:val="26"/>
          <w:szCs w:val="26"/>
        </w:rPr>
      </w:pPr>
    </w:p>
    <w:p w:rsidR="0091010A" w:rsidRPr="006A0910" w:rsidP="00234238" w14:paraId="1739615B" w14:textId="77777777">
      <w:pPr>
        <w:spacing w:after="0" w:line="240" w:lineRule="auto"/>
        <w:rPr>
          <w:rFonts w:ascii="Times New Roman" w:eastAsia="Times New Roman" w:hAnsi="Times New Roman" w:cs="Times New Roman"/>
          <w:position w:val="-1"/>
          <w:sz w:val="24"/>
          <w:szCs w:val="24"/>
        </w:rPr>
      </w:pPr>
      <w:r>
        <w:rPr>
          <w:rFonts w:ascii="Times New Roman" w:eastAsia="Times New Roman" w:hAnsi="Times New Roman" w:cs="Times New Roman"/>
          <w:position w:val="-1"/>
          <w:sz w:val="24"/>
          <w:szCs w:val="24"/>
        </w:rPr>
        <w:t xml:space="preserve">10. </w:t>
      </w:r>
      <w:r w:rsidRPr="006A0910">
        <w:rPr>
          <w:rFonts w:ascii="Times New Roman" w:eastAsia="Times New Roman" w:hAnsi="Times New Roman" w:cs="Times New Roman"/>
          <w:position w:val="-1"/>
          <w:sz w:val="24"/>
          <w:szCs w:val="24"/>
        </w:rPr>
        <w:t xml:space="preserve"> </w:t>
      </w:r>
      <w:r w:rsidRPr="00771991">
        <w:rPr>
          <w:rFonts w:ascii="Times New Roman" w:eastAsia="Times New Roman" w:hAnsi="Times New Roman" w:cs="Times New Roman"/>
          <w:position w:val="-1"/>
          <w:sz w:val="24"/>
          <w:szCs w:val="24"/>
          <w:u w:val="single"/>
        </w:rPr>
        <w:t>Confidentiality</w:t>
      </w:r>
    </w:p>
    <w:p w:rsidR="0091010A" w:rsidP="00234238" w14:paraId="0F588C32" w14:textId="77777777">
      <w:pPr>
        <w:spacing w:before="6" w:after="0" w:line="260" w:lineRule="exact"/>
        <w:rPr>
          <w:sz w:val="26"/>
          <w:szCs w:val="26"/>
        </w:rPr>
      </w:pPr>
    </w:p>
    <w:p w:rsidR="0091010A" w:rsidP="00234238" w14:paraId="508EFF28" w14:textId="1F003A7C">
      <w:pPr>
        <w:spacing w:before="4" w:after="0" w:line="280" w:lineRule="exact"/>
        <w:rPr>
          <w:rFonts w:ascii="Times New Roman" w:hAnsi="Times New Roman" w:cs="Times New Roman"/>
          <w:sz w:val="24"/>
          <w:szCs w:val="24"/>
        </w:rPr>
      </w:pPr>
      <w:r w:rsidRPr="007D1903">
        <w:rPr>
          <w:rFonts w:ascii="Times New Roman" w:hAnsi="Times New Roman" w:cs="Times New Roman"/>
          <w:sz w:val="24"/>
          <w:szCs w:val="24"/>
        </w:rPr>
        <w:t>All information collected will be kept private in accordance with regulations at 45 CFR 155.</w:t>
      </w:r>
      <w:r>
        <w:rPr>
          <w:rFonts w:ascii="Times New Roman" w:hAnsi="Times New Roman" w:cs="Times New Roman"/>
          <w:sz w:val="24"/>
          <w:szCs w:val="24"/>
        </w:rPr>
        <w:t>260</w:t>
      </w:r>
      <w:r w:rsidRPr="007D1903">
        <w:rPr>
          <w:rFonts w:ascii="Times New Roman" w:hAnsi="Times New Roman" w:cs="Times New Roman"/>
          <w:sz w:val="24"/>
          <w:szCs w:val="24"/>
        </w:rPr>
        <w:t>, Privacy and Security of Personally Identifiable Information.  Pursuant to this regulation, Marketplaces may only use or disclose personally identifiable information to the extent that such information is necessary to carry out their statutory and regulatory mandated functions.</w:t>
      </w:r>
    </w:p>
    <w:p w:rsidR="00AD4F2B" w:rsidP="00234238" w14:paraId="652A4173" w14:textId="77777777">
      <w:pPr>
        <w:spacing w:before="4" w:after="0" w:line="280" w:lineRule="exact"/>
        <w:rPr>
          <w:sz w:val="28"/>
          <w:szCs w:val="28"/>
        </w:rPr>
      </w:pPr>
    </w:p>
    <w:p w:rsidR="0091010A" w:rsidRPr="00771991" w:rsidP="00234238" w14:paraId="18DF7168" w14:textId="091FCCAF">
      <w:pPr>
        <w:spacing w:after="0" w:line="240" w:lineRule="auto"/>
        <w:rPr>
          <w:rFonts w:ascii="Times New Roman" w:eastAsia="Times New Roman" w:hAnsi="Times New Roman" w:cs="Times New Roman"/>
          <w:position w:val="-1"/>
          <w:sz w:val="24"/>
          <w:szCs w:val="24"/>
          <w:u w:val="single"/>
        </w:rPr>
      </w:pPr>
      <w:r>
        <w:rPr>
          <w:rFonts w:ascii="Times New Roman" w:eastAsia="Times New Roman" w:hAnsi="Times New Roman" w:cs="Times New Roman"/>
          <w:position w:val="-1"/>
          <w:sz w:val="24"/>
          <w:szCs w:val="24"/>
        </w:rPr>
        <w:t xml:space="preserve">11. </w:t>
      </w:r>
      <w:r w:rsidRPr="006A0910">
        <w:rPr>
          <w:rFonts w:ascii="Times New Roman" w:eastAsia="Times New Roman" w:hAnsi="Times New Roman" w:cs="Times New Roman"/>
          <w:position w:val="-1"/>
          <w:sz w:val="24"/>
          <w:szCs w:val="24"/>
        </w:rPr>
        <w:t xml:space="preserve"> </w:t>
      </w:r>
      <w:r w:rsidRPr="00771991">
        <w:rPr>
          <w:rFonts w:ascii="Times New Roman" w:eastAsia="Times New Roman" w:hAnsi="Times New Roman" w:cs="Times New Roman"/>
          <w:position w:val="-1"/>
          <w:sz w:val="24"/>
          <w:szCs w:val="24"/>
          <w:u w:val="single"/>
        </w:rPr>
        <w:t>Sensitive Questions</w:t>
      </w:r>
    </w:p>
    <w:p w:rsidR="00722D7D" w:rsidRPr="006A0910" w:rsidP="00234238" w14:paraId="23FC1185" w14:textId="77777777">
      <w:pPr>
        <w:spacing w:after="0" w:line="240" w:lineRule="auto"/>
        <w:ind w:left="180"/>
        <w:rPr>
          <w:rFonts w:ascii="Times New Roman" w:eastAsia="Times New Roman" w:hAnsi="Times New Roman" w:cs="Times New Roman"/>
          <w:position w:val="-1"/>
          <w:sz w:val="24"/>
          <w:szCs w:val="24"/>
        </w:rPr>
      </w:pPr>
    </w:p>
    <w:p w:rsidR="0091010A" w:rsidP="00234238" w14:paraId="4F0E6E62"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w:t>
      </w:r>
      <w:r w:rsidRPr="006A0910">
        <w:rPr>
          <w:rFonts w:ascii="Times New Roman" w:eastAsia="Times New Roman" w:hAnsi="Times New Roman" w:cs="Times New Roman"/>
          <w:sz w:val="24"/>
          <w:szCs w:val="24"/>
        </w:rPr>
        <w:t>er</w:t>
      </w:r>
      <w:r>
        <w:rPr>
          <w:rFonts w:ascii="Times New Roman" w:eastAsia="Times New Roman" w:hAnsi="Times New Roman" w:cs="Times New Roman"/>
          <w:sz w:val="24"/>
          <w:szCs w:val="24"/>
        </w:rPr>
        <w:t>e</w:t>
      </w:r>
      <w:r w:rsidRPr="006A0910">
        <w:rPr>
          <w:rFonts w:ascii="Times New Roman" w:eastAsia="Times New Roman" w:hAnsi="Times New Roman" w:cs="Times New Roman"/>
          <w:sz w:val="24"/>
          <w:szCs w:val="24"/>
        </w:rPr>
        <w:t xml:space="preserve"> ar</w:t>
      </w:r>
      <w:r>
        <w:rPr>
          <w:rFonts w:ascii="Times New Roman" w:eastAsia="Times New Roman" w:hAnsi="Times New Roman" w:cs="Times New Roman"/>
          <w:sz w:val="24"/>
          <w:szCs w:val="24"/>
        </w:rPr>
        <w:t>e</w:t>
      </w:r>
      <w:r w:rsidRPr="006A091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 s</w:t>
      </w:r>
      <w:r w:rsidRPr="006A0910">
        <w:rPr>
          <w:rFonts w:ascii="Times New Roman" w:eastAsia="Times New Roman" w:hAnsi="Times New Roman" w:cs="Times New Roman"/>
          <w:sz w:val="24"/>
          <w:szCs w:val="24"/>
        </w:rPr>
        <w:t>e</w:t>
      </w:r>
      <w:r>
        <w:rPr>
          <w:rFonts w:ascii="Times New Roman" w:eastAsia="Times New Roman" w:hAnsi="Times New Roman" w:cs="Times New Roman"/>
          <w:sz w:val="24"/>
          <w:szCs w:val="24"/>
        </w:rPr>
        <w:t>nsitive</w:t>
      </w:r>
      <w:r w:rsidRPr="006A091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qu</w:t>
      </w:r>
      <w:r w:rsidRPr="006A0910">
        <w:rPr>
          <w:rFonts w:ascii="Times New Roman" w:eastAsia="Times New Roman" w:hAnsi="Times New Roman" w:cs="Times New Roman"/>
          <w:sz w:val="24"/>
          <w:szCs w:val="24"/>
        </w:rPr>
        <w:t>e</w:t>
      </w:r>
      <w:r>
        <w:rPr>
          <w:rFonts w:ascii="Times New Roman" w:eastAsia="Times New Roman" w:hAnsi="Times New Roman" w:cs="Times New Roman"/>
          <w:sz w:val="24"/>
          <w:szCs w:val="24"/>
        </w:rPr>
        <w:t>stions in</w:t>
      </w:r>
      <w:r w:rsidRPr="006A0910">
        <w:rPr>
          <w:rFonts w:ascii="Times New Roman" w:eastAsia="Times New Roman" w:hAnsi="Times New Roman" w:cs="Times New Roman"/>
          <w:sz w:val="24"/>
          <w:szCs w:val="24"/>
        </w:rPr>
        <w:t>c</w:t>
      </w:r>
      <w:r>
        <w:rPr>
          <w:rFonts w:ascii="Times New Roman" w:eastAsia="Times New Roman" w:hAnsi="Times New Roman" w:cs="Times New Roman"/>
          <w:sz w:val="24"/>
          <w:szCs w:val="24"/>
        </w:rPr>
        <w:t>lud</w:t>
      </w:r>
      <w:r w:rsidRPr="006A0910">
        <w:rPr>
          <w:rFonts w:ascii="Times New Roman" w:eastAsia="Times New Roman" w:hAnsi="Times New Roman" w:cs="Times New Roman"/>
          <w:sz w:val="24"/>
          <w:szCs w:val="24"/>
        </w:rPr>
        <w:t>e</w:t>
      </w:r>
      <w:r>
        <w:rPr>
          <w:rFonts w:ascii="Times New Roman" w:eastAsia="Times New Roman" w:hAnsi="Times New Roman" w:cs="Times New Roman"/>
          <w:sz w:val="24"/>
          <w:szCs w:val="24"/>
        </w:rPr>
        <w:t>d in this in</w:t>
      </w:r>
      <w:r w:rsidRPr="006A0910">
        <w:rPr>
          <w:rFonts w:ascii="Times New Roman" w:eastAsia="Times New Roman" w:hAnsi="Times New Roman" w:cs="Times New Roman"/>
          <w:sz w:val="24"/>
          <w:szCs w:val="24"/>
        </w:rPr>
        <w:t>f</w:t>
      </w:r>
      <w:r>
        <w:rPr>
          <w:rFonts w:ascii="Times New Roman" w:eastAsia="Times New Roman" w:hAnsi="Times New Roman" w:cs="Times New Roman"/>
          <w:sz w:val="24"/>
          <w:szCs w:val="24"/>
        </w:rPr>
        <w:t>o</w:t>
      </w:r>
      <w:r w:rsidRPr="006A0910">
        <w:rPr>
          <w:rFonts w:ascii="Times New Roman" w:eastAsia="Times New Roman" w:hAnsi="Times New Roman" w:cs="Times New Roman"/>
          <w:sz w:val="24"/>
          <w:szCs w:val="24"/>
        </w:rPr>
        <w:t>r</w:t>
      </w:r>
      <w:r>
        <w:rPr>
          <w:rFonts w:ascii="Times New Roman" w:eastAsia="Times New Roman" w:hAnsi="Times New Roman" w:cs="Times New Roman"/>
          <w:sz w:val="24"/>
          <w:szCs w:val="24"/>
        </w:rPr>
        <w:t>m</w:t>
      </w:r>
      <w:r w:rsidRPr="006A0910">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tion </w:t>
      </w:r>
      <w:r w:rsidRPr="006A0910">
        <w:rPr>
          <w:rFonts w:ascii="Times New Roman" w:eastAsia="Times New Roman" w:hAnsi="Times New Roman" w:cs="Times New Roman"/>
          <w:sz w:val="24"/>
          <w:szCs w:val="24"/>
        </w:rPr>
        <w:t>c</w:t>
      </w:r>
      <w:r>
        <w:rPr>
          <w:rFonts w:ascii="Times New Roman" w:eastAsia="Times New Roman" w:hAnsi="Times New Roman" w:cs="Times New Roman"/>
          <w:sz w:val="24"/>
          <w:szCs w:val="24"/>
        </w:rPr>
        <w:t>oll</w:t>
      </w:r>
      <w:r w:rsidRPr="006A0910">
        <w:rPr>
          <w:rFonts w:ascii="Times New Roman" w:eastAsia="Times New Roman" w:hAnsi="Times New Roman" w:cs="Times New Roman"/>
          <w:sz w:val="24"/>
          <w:szCs w:val="24"/>
        </w:rPr>
        <w:t>ec</w:t>
      </w:r>
      <w:r>
        <w:rPr>
          <w:rFonts w:ascii="Times New Roman" w:eastAsia="Times New Roman" w:hAnsi="Times New Roman" w:cs="Times New Roman"/>
          <w:sz w:val="24"/>
          <w:szCs w:val="24"/>
        </w:rPr>
        <w:t xml:space="preserve">tion </w:t>
      </w:r>
      <w:r w:rsidRPr="006A0910">
        <w:rPr>
          <w:rFonts w:ascii="Times New Roman" w:eastAsia="Times New Roman" w:hAnsi="Times New Roman" w:cs="Times New Roman"/>
          <w:sz w:val="24"/>
          <w:szCs w:val="24"/>
        </w:rPr>
        <w:t>eff</w:t>
      </w:r>
      <w:r>
        <w:rPr>
          <w:rFonts w:ascii="Times New Roman" w:eastAsia="Times New Roman" w:hAnsi="Times New Roman" w:cs="Times New Roman"/>
          <w:sz w:val="24"/>
          <w:szCs w:val="24"/>
        </w:rPr>
        <w:t>o</w:t>
      </w:r>
      <w:r w:rsidRPr="006A0910">
        <w:rPr>
          <w:rFonts w:ascii="Times New Roman" w:eastAsia="Times New Roman" w:hAnsi="Times New Roman" w:cs="Times New Roman"/>
          <w:sz w:val="24"/>
          <w:szCs w:val="24"/>
        </w:rPr>
        <w:t>r</w:t>
      </w:r>
      <w:r>
        <w:rPr>
          <w:rFonts w:ascii="Times New Roman" w:eastAsia="Times New Roman" w:hAnsi="Times New Roman" w:cs="Times New Roman"/>
          <w:sz w:val="24"/>
          <w:szCs w:val="24"/>
        </w:rPr>
        <w:t>t.</w:t>
      </w:r>
    </w:p>
    <w:p w:rsidR="0091010A" w:rsidP="00234238" w14:paraId="77AD8A01" w14:textId="77777777">
      <w:pPr>
        <w:spacing w:before="10" w:after="0" w:line="280" w:lineRule="exact"/>
        <w:rPr>
          <w:sz w:val="28"/>
          <w:szCs w:val="28"/>
        </w:rPr>
      </w:pPr>
    </w:p>
    <w:p w:rsidR="0091010A" w:rsidP="00234238" w14:paraId="5794317D"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r w:rsidRPr="006A0910">
        <w:rPr>
          <w:rFonts w:ascii="Times New Roman" w:eastAsia="Times New Roman" w:hAnsi="Times New Roman" w:cs="Times New Roman"/>
          <w:sz w:val="24"/>
          <w:szCs w:val="24"/>
        </w:rPr>
        <w:t xml:space="preserve"> </w:t>
      </w:r>
      <w:r w:rsidRPr="00771991">
        <w:rPr>
          <w:rFonts w:ascii="Times New Roman" w:eastAsia="Times New Roman" w:hAnsi="Times New Roman" w:cs="Times New Roman"/>
          <w:sz w:val="24"/>
          <w:szCs w:val="24"/>
          <w:u w:val="single"/>
        </w:rPr>
        <w:t>Burden Estimates (Hours &amp; Wages)</w:t>
      </w:r>
    </w:p>
    <w:p w:rsidR="0091010A" w:rsidP="00234238" w14:paraId="6B3B5C41" w14:textId="77777777">
      <w:pPr>
        <w:spacing w:before="10" w:after="0" w:line="280" w:lineRule="exact"/>
        <w:rPr>
          <w:sz w:val="28"/>
          <w:szCs w:val="28"/>
        </w:rPr>
      </w:pPr>
    </w:p>
    <w:p w:rsidR="00411DCA" w:rsidRPr="006A0910" w:rsidP="00234238" w14:paraId="1E5A5341" w14:textId="69710787">
      <w:pPr>
        <w:spacing w:after="0" w:line="240" w:lineRule="auto"/>
        <w:rPr>
          <w:rFonts w:ascii="Times New Roman" w:eastAsia="Times New Roman" w:hAnsi="Times New Roman" w:cs="Times New Roman"/>
          <w:sz w:val="24"/>
          <w:szCs w:val="24"/>
        </w:rPr>
      </w:pPr>
      <w:bookmarkStart w:id="22" w:name="_Hlk41402096"/>
      <w:r w:rsidRPr="003B4C76">
        <w:rPr>
          <w:rFonts w:ascii="Times New Roman" w:eastAsia="Times New Roman" w:hAnsi="Times New Roman" w:cs="Times New Roman"/>
          <w:sz w:val="24"/>
          <w:szCs w:val="24"/>
        </w:rPr>
        <w:t>Average labor costs (including 100 percent fringe benefits) used to estimate the costs are calculated using data available from</w:t>
      </w:r>
      <w:r w:rsidRPr="00805A00">
        <w:rPr>
          <w:rFonts w:ascii="Times New Roman" w:eastAsia="Times New Roman" w:hAnsi="Times New Roman" w:cs="Times New Roman"/>
          <w:sz w:val="24"/>
          <w:szCs w:val="24"/>
        </w:rPr>
        <w:t xml:space="preserve"> the</w:t>
      </w:r>
      <w:r w:rsidRPr="006A0910">
        <w:rPr>
          <w:rFonts w:ascii="Times New Roman" w:eastAsia="Times New Roman" w:hAnsi="Times New Roman" w:cs="Times New Roman"/>
          <w:sz w:val="24"/>
          <w:szCs w:val="24"/>
        </w:rPr>
        <w:t xml:space="preserve"> B</w:t>
      </w:r>
      <w:r w:rsidRPr="00805A00">
        <w:rPr>
          <w:rFonts w:ascii="Times New Roman" w:eastAsia="Times New Roman" w:hAnsi="Times New Roman" w:cs="Times New Roman"/>
          <w:sz w:val="24"/>
          <w:szCs w:val="24"/>
        </w:rPr>
        <w:t>u</w:t>
      </w:r>
      <w:r w:rsidRPr="006A0910">
        <w:rPr>
          <w:rFonts w:ascii="Times New Roman" w:eastAsia="Times New Roman" w:hAnsi="Times New Roman" w:cs="Times New Roman"/>
          <w:sz w:val="24"/>
          <w:szCs w:val="24"/>
        </w:rPr>
        <w:t>rea</w:t>
      </w:r>
      <w:r w:rsidRPr="00805A00">
        <w:rPr>
          <w:rFonts w:ascii="Times New Roman" w:eastAsia="Times New Roman" w:hAnsi="Times New Roman" w:cs="Times New Roman"/>
          <w:sz w:val="24"/>
          <w:szCs w:val="24"/>
        </w:rPr>
        <w:t>u of</w:t>
      </w:r>
      <w:r w:rsidRPr="006A0910">
        <w:rPr>
          <w:rFonts w:ascii="Times New Roman" w:eastAsia="Times New Roman" w:hAnsi="Times New Roman" w:cs="Times New Roman"/>
          <w:sz w:val="24"/>
          <w:szCs w:val="24"/>
        </w:rPr>
        <w:t xml:space="preserve"> La</w:t>
      </w:r>
      <w:r w:rsidRPr="00805A00">
        <w:rPr>
          <w:rFonts w:ascii="Times New Roman" w:eastAsia="Times New Roman" w:hAnsi="Times New Roman" w:cs="Times New Roman"/>
          <w:sz w:val="24"/>
          <w:szCs w:val="24"/>
        </w:rPr>
        <w:t>bor</w:t>
      </w:r>
      <w:r w:rsidRPr="006A0910">
        <w:rPr>
          <w:rFonts w:ascii="Times New Roman" w:eastAsia="Times New Roman" w:hAnsi="Times New Roman" w:cs="Times New Roman"/>
          <w:sz w:val="24"/>
          <w:szCs w:val="24"/>
        </w:rPr>
        <w:t xml:space="preserve"> S</w:t>
      </w:r>
      <w:r w:rsidRPr="00805A00">
        <w:rPr>
          <w:rFonts w:ascii="Times New Roman" w:eastAsia="Times New Roman" w:hAnsi="Times New Roman" w:cs="Times New Roman"/>
          <w:sz w:val="24"/>
          <w:szCs w:val="24"/>
        </w:rPr>
        <w:t>t</w:t>
      </w:r>
      <w:r w:rsidRPr="006A0910">
        <w:rPr>
          <w:rFonts w:ascii="Times New Roman" w:eastAsia="Times New Roman" w:hAnsi="Times New Roman" w:cs="Times New Roman"/>
          <w:sz w:val="24"/>
          <w:szCs w:val="24"/>
        </w:rPr>
        <w:t>a</w:t>
      </w:r>
      <w:r w:rsidRPr="00805A00">
        <w:rPr>
          <w:rFonts w:ascii="Times New Roman" w:eastAsia="Times New Roman" w:hAnsi="Times New Roman" w:cs="Times New Roman"/>
          <w:sz w:val="24"/>
          <w:szCs w:val="24"/>
        </w:rPr>
        <w:t>tisti</w:t>
      </w:r>
      <w:r w:rsidRPr="006A0910">
        <w:rPr>
          <w:rFonts w:ascii="Times New Roman" w:eastAsia="Times New Roman" w:hAnsi="Times New Roman" w:cs="Times New Roman"/>
          <w:sz w:val="24"/>
          <w:szCs w:val="24"/>
        </w:rPr>
        <w:t>c</w:t>
      </w:r>
      <w:r w:rsidRPr="00805A00">
        <w:rPr>
          <w:rFonts w:ascii="Times New Roman" w:eastAsia="Times New Roman" w:hAnsi="Times New Roman" w:cs="Times New Roman"/>
          <w:sz w:val="24"/>
          <w:szCs w:val="24"/>
        </w:rPr>
        <w:t xml:space="preserve">s </w:t>
      </w:r>
      <w:r w:rsidRPr="006A0910">
        <w:rPr>
          <w:rFonts w:ascii="Times New Roman" w:eastAsia="Times New Roman" w:hAnsi="Times New Roman" w:cs="Times New Roman"/>
          <w:sz w:val="24"/>
          <w:szCs w:val="24"/>
        </w:rPr>
        <w:t>(BLS</w:t>
      </w:r>
      <w:r w:rsidRPr="00805A00">
        <w:rPr>
          <w:rFonts w:ascii="Times New Roman" w:eastAsia="Times New Roman" w:hAnsi="Times New Roman" w:cs="Times New Roman"/>
          <w:sz w:val="24"/>
          <w:szCs w:val="24"/>
        </w:rPr>
        <w:t>)</w:t>
      </w:r>
      <w:r w:rsidRPr="006A0910">
        <w:rPr>
          <w:rFonts w:ascii="Times New Roman" w:eastAsia="Times New Roman" w:hAnsi="Times New Roman" w:cs="Times New Roman"/>
          <w:sz w:val="24"/>
          <w:szCs w:val="24"/>
        </w:rPr>
        <w:t xml:space="preserve">, Occupational Employment Statistics, </w:t>
      </w:r>
      <w:r>
        <w:rPr>
          <w:rFonts w:ascii="Times New Roman" w:eastAsia="Times New Roman" w:hAnsi="Times New Roman" w:cs="Times New Roman"/>
          <w:sz w:val="24"/>
          <w:szCs w:val="24"/>
        </w:rPr>
        <w:t>Ma</w:t>
      </w:r>
      <w:r w:rsidR="001660F9">
        <w:rPr>
          <w:rFonts w:ascii="Times New Roman" w:eastAsia="Times New Roman" w:hAnsi="Times New Roman" w:cs="Times New Roman"/>
          <w:sz w:val="24"/>
          <w:szCs w:val="24"/>
        </w:rPr>
        <w:t>y</w:t>
      </w:r>
      <w:r>
        <w:rPr>
          <w:rFonts w:ascii="Times New Roman" w:eastAsia="Times New Roman" w:hAnsi="Times New Roman" w:cs="Times New Roman"/>
          <w:sz w:val="24"/>
          <w:szCs w:val="24"/>
        </w:rPr>
        <w:t xml:space="preserve"> 202</w:t>
      </w:r>
      <w:r w:rsidR="001B421A">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hyperlink r:id="rId15" w:history="1">
        <w:r w:rsidRPr="00C2738D" w:rsidR="001E1029">
          <w:rPr>
            <w:rStyle w:val="Hyperlink"/>
            <w:rFonts w:ascii="Times New Roman" w:eastAsia="Times New Roman" w:hAnsi="Times New Roman" w:cs="Times New Roman"/>
            <w:sz w:val="24"/>
            <w:szCs w:val="24"/>
          </w:rPr>
          <w:t>https://www.bls.gov/oes/tables.htm</w:t>
        </w:r>
      </w:hyperlink>
      <w:r w:rsidR="001E1029">
        <w:rPr>
          <w:rFonts w:ascii="Times New Roman" w:eastAsia="Times New Roman" w:hAnsi="Times New Roman" w:cs="Times New Roman"/>
          <w:sz w:val="24"/>
          <w:szCs w:val="24"/>
        </w:rPr>
        <w:t>.</w:t>
      </w:r>
    </w:p>
    <w:p w:rsidR="00411DCA" w:rsidRPr="00805A00" w:rsidP="00234238" w14:paraId="0A3899E4" w14:textId="77777777">
      <w:pPr>
        <w:spacing w:after="0" w:line="246" w:lineRule="auto"/>
        <w:ind w:left="160" w:firstLine="432"/>
        <w:rPr>
          <w:rFonts w:ascii="Times New Roman" w:eastAsia="Times New Roman" w:hAnsi="Times New Roman" w:cs="Times New Roman"/>
          <w:spacing w:val="-1"/>
          <w:sz w:val="24"/>
          <w:szCs w:val="24"/>
        </w:rPr>
      </w:pPr>
    </w:p>
    <w:p w:rsidR="00411DCA" w:rsidRPr="00FF667B" w:rsidP="00234238" w14:paraId="387478ED" w14:textId="77777777">
      <w:pPr>
        <w:spacing w:after="0" w:line="240" w:lineRule="auto"/>
        <w:rPr>
          <w:rStyle w:val="Strong"/>
          <w:rFonts w:ascii="Times New Roman" w:hAnsi="Times New Roman" w:cs="Times New Roman"/>
          <w:sz w:val="24"/>
          <w:szCs w:val="24"/>
        </w:rPr>
      </w:pPr>
      <w:bookmarkStart w:id="23" w:name="_Hlk160634924"/>
      <w:r w:rsidRPr="00FF667B">
        <w:rPr>
          <w:rStyle w:val="Strong"/>
          <w:rFonts w:ascii="Times New Roman" w:hAnsi="Times New Roman" w:cs="Times New Roman"/>
          <w:sz w:val="24"/>
          <w:szCs w:val="24"/>
        </w:rPr>
        <w:t>Table 1: Adjusted Hourly Wages Used in Burden Estimates</w:t>
      </w:r>
    </w:p>
    <w:p w:rsidR="00411DCA" w:rsidRPr="008C1E04" w:rsidP="00411DCA" w14:paraId="674FDF4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rPr>
          <w:rFonts w:ascii="Times New Roman" w:eastAsia="Times New Roman" w:hAnsi="Times New Roman" w:cs="Times New Roman"/>
          <w:b/>
          <w:bCs/>
          <w:iCs/>
          <w:sz w:val="24"/>
          <w:szCs w:val="24"/>
          <w:lang w:val="x-none"/>
        </w:rPr>
      </w:pPr>
    </w:p>
    <w:tbl>
      <w:tblPr>
        <w:tblCaption w:val="Table 1 Adjusted Hourly Wages Used in Burden Estimates"/>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3203"/>
        <w:gridCol w:w="1460"/>
        <w:gridCol w:w="1571"/>
        <w:gridCol w:w="1754"/>
        <w:gridCol w:w="1542"/>
      </w:tblGrid>
      <w:tr w14:paraId="10F6AE3E" w14:textId="77777777" w:rsidTr="00E07E05">
        <w:tblPrEx>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Ex>
        <w:trPr>
          <w:jc w:val="center"/>
        </w:trPr>
        <w:tc>
          <w:tcPr>
            <w:tcW w:w="1680" w:type="pct"/>
            <w:vAlign w:val="center"/>
          </w:tcPr>
          <w:p w:rsidR="00411DCA" w:rsidRPr="00E519A7" w:rsidP="00050ECC" w14:paraId="7E36B0EA" w14:textId="1FBF1E84">
            <w:pPr>
              <w:tabs>
                <w:tab w:val="left" w:pos="8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80" w:right="-20"/>
              <w:rPr>
                <w:rFonts w:ascii="Times New Roman" w:eastAsia="Times New Roman" w:hAnsi="Times New Roman" w:cs="Times New Roman"/>
                <w:b/>
                <w:bCs/>
                <w:sz w:val="24"/>
                <w:szCs w:val="24"/>
              </w:rPr>
            </w:pPr>
            <w:bookmarkStart w:id="24" w:name="_Hlk148276354"/>
            <w:r>
              <w:rPr>
                <w:rFonts w:ascii="Times New Roman" w:eastAsia="Times New Roman" w:hAnsi="Times New Roman" w:cs="Times New Roman"/>
                <w:b/>
                <w:bCs/>
                <w:sz w:val="24"/>
                <w:szCs w:val="24"/>
              </w:rPr>
              <w:br/>
              <w:t>Occupational Title</w:t>
            </w:r>
          </w:p>
        </w:tc>
        <w:tc>
          <w:tcPr>
            <w:tcW w:w="766" w:type="pct"/>
            <w:vAlign w:val="center"/>
          </w:tcPr>
          <w:p w:rsidR="00411DCA" w:rsidRPr="00E519A7" w:rsidP="006C25F6" w14:paraId="132DEB5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eastAsia="Times New Roman" w:hAnsi="Times New Roman" w:cs="Times New Roman"/>
                <w:b/>
                <w:bCs/>
                <w:sz w:val="24"/>
                <w:szCs w:val="24"/>
              </w:rPr>
            </w:pPr>
            <w:r w:rsidRPr="00E519A7">
              <w:rPr>
                <w:rFonts w:ascii="Times New Roman" w:eastAsia="Times New Roman" w:hAnsi="Times New Roman" w:cs="Times New Roman"/>
                <w:b/>
                <w:bCs/>
                <w:sz w:val="24"/>
                <w:szCs w:val="24"/>
              </w:rPr>
              <w:t>Occupational Code</w:t>
            </w:r>
          </w:p>
        </w:tc>
        <w:tc>
          <w:tcPr>
            <w:tcW w:w="824" w:type="pct"/>
            <w:vAlign w:val="center"/>
          </w:tcPr>
          <w:p w:rsidR="00411DCA" w:rsidRPr="00E519A7" w:rsidP="006C25F6" w14:paraId="63A9EC20" w14:textId="34EF074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eastAsia="Times New Roman" w:hAnsi="Times New Roman" w:cs="Times New Roman"/>
                <w:b/>
                <w:bCs/>
                <w:sz w:val="24"/>
                <w:szCs w:val="24"/>
              </w:rPr>
            </w:pPr>
            <w:r w:rsidRPr="00E519A7">
              <w:rPr>
                <w:rFonts w:ascii="Times New Roman" w:eastAsia="Times New Roman" w:hAnsi="Times New Roman" w:cs="Times New Roman"/>
                <w:b/>
                <w:bCs/>
                <w:sz w:val="24"/>
                <w:szCs w:val="24"/>
              </w:rPr>
              <w:t>Me</w:t>
            </w:r>
            <w:r w:rsidR="00A3480C">
              <w:rPr>
                <w:rFonts w:ascii="Times New Roman" w:eastAsia="Times New Roman" w:hAnsi="Times New Roman" w:cs="Times New Roman"/>
                <w:b/>
                <w:bCs/>
                <w:sz w:val="24"/>
                <w:szCs w:val="24"/>
              </w:rPr>
              <w:t>dian</w:t>
            </w:r>
            <w:r w:rsidRPr="00E519A7">
              <w:rPr>
                <w:rFonts w:ascii="Times New Roman" w:eastAsia="Times New Roman" w:hAnsi="Times New Roman" w:cs="Times New Roman"/>
                <w:b/>
                <w:bCs/>
                <w:sz w:val="24"/>
                <w:szCs w:val="24"/>
              </w:rPr>
              <w:t xml:space="preserve"> Hourly Wage ($/hour)</w:t>
            </w:r>
          </w:p>
        </w:tc>
        <w:tc>
          <w:tcPr>
            <w:tcW w:w="920" w:type="pct"/>
            <w:vAlign w:val="center"/>
          </w:tcPr>
          <w:p w:rsidR="00411DCA" w:rsidRPr="00E519A7" w:rsidP="006C25F6" w14:paraId="08D47613" w14:textId="3221D31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eastAsia="Times New Roman" w:hAnsi="Times New Roman" w:cs="Times New Roman"/>
                <w:b/>
                <w:bCs/>
                <w:sz w:val="24"/>
                <w:szCs w:val="24"/>
              </w:rPr>
            </w:pPr>
            <w:r w:rsidRPr="00E519A7">
              <w:rPr>
                <w:rFonts w:ascii="Times New Roman" w:eastAsia="Times New Roman" w:hAnsi="Times New Roman" w:cs="Times New Roman"/>
                <w:b/>
                <w:bCs/>
                <w:sz w:val="24"/>
                <w:szCs w:val="24"/>
              </w:rPr>
              <w:t xml:space="preserve">Fringe Benefits </w:t>
            </w:r>
            <w:r w:rsidR="00050ECC">
              <w:rPr>
                <w:rFonts w:ascii="Times New Roman" w:eastAsia="Times New Roman" w:hAnsi="Times New Roman" w:cs="Times New Roman"/>
                <w:b/>
                <w:bCs/>
                <w:sz w:val="24"/>
                <w:szCs w:val="24"/>
              </w:rPr>
              <w:t>&amp;</w:t>
            </w:r>
            <w:r w:rsidRPr="00E519A7">
              <w:rPr>
                <w:rFonts w:ascii="Times New Roman" w:eastAsia="Times New Roman" w:hAnsi="Times New Roman" w:cs="Times New Roman"/>
                <w:b/>
                <w:bCs/>
                <w:sz w:val="24"/>
                <w:szCs w:val="24"/>
              </w:rPr>
              <w:t xml:space="preserve"> Overhead </w:t>
            </w:r>
            <w:r w:rsidR="00050ECC">
              <w:rPr>
                <w:rFonts w:ascii="Times New Roman" w:eastAsia="Times New Roman" w:hAnsi="Times New Roman" w:cs="Times New Roman"/>
                <w:b/>
                <w:bCs/>
                <w:sz w:val="24"/>
                <w:szCs w:val="24"/>
              </w:rPr>
              <w:t xml:space="preserve">(100%) </w:t>
            </w:r>
            <w:r w:rsidRPr="00E519A7">
              <w:rPr>
                <w:rFonts w:ascii="Times New Roman" w:eastAsia="Times New Roman" w:hAnsi="Times New Roman" w:cs="Times New Roman"/>
                <w:b/>
                <w:bCs/>
                <w:sz w:val="24"/>
                <w:szCs w:val="24"/>
              </w:rPr>
              <w:t>($/hour)</w:t>
            </w:r>
          </w:p>
        </w:tc>
        <w:tc>
          <w:tcPr>
            <w:tcW w:w="809" w:type="pct"/>
            <w:vAlign w:val="center"/>
          </w:tcPr>
          <w:p w:rsidR="00411DCA" w:rsidRPr="00E519A7" w:rsidP="006C25F6" w14:paraId="59C26056" w14:textId="77C85E8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eastAsia="Times New Roman" w:hAnsi="Times New Roman" w:cs="Times New Roman"/>
                <w:b/>
                <w:bCs/>
                <w:sz w:val="24"/>
                <w:szCs w:val="24"/>
              </w:rPr>
            </w:pPr>
            <w:r w:rsidRPr="00E519A7">
              <w:rPr>
                <w:rFonts w:ascii="Times New Roman" w:eastAsia="Times New Roman" w:hAnsi="Times New Roman" w:cs="Times New Roman"/>
                <w:b/>
                <w:bCs/>
                <w:sz w:val="24"/>
                <w:szCs w:val="24"/>
              </w:rPr>
              <w:t>Adjusted Hourly Wage ($/hour)</w:t>
            </w:r>
          </w:p>
        </w:tc>
      </w:tr>
      <w:tr w14:paraId="1348BC90" w14:textId="77777777" w:rsidTr="00E07E05">
        <w:tblPrEx>
          <w:tblW w:w="5000" w:type="pct"/>
          <w:jc w:val="center"/>
          <w:tblCellMar>
            <w:left w:w="0" w:type="dxa"/>
            <w:right w:w="0" w:type="dxa"/>
          </w:tblCellMar>
          <w:tblLook w:val="01E0"/>
        </w:tblPrEx>
        <w:trPr>
          <w:jc w:val="center"/>
        </w:trPr>
        <w:tc>
          <w:tcPr>
            <w:tcW w:w="1680" w:type="pct"/>
            <w:shd w:val="clear" w:color="auto" w:fill="auto"/>
          </w:tcPr>
          <w:p w:rsidR="00411DCA" w:rsidRPr="008C1E04" w:rsidP="00050ECC" w14:paraId="628742AF" w14:textId="37BF3C52">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80" w:right="-20"/>
              <w:rPr>
                <w:rFonts w:ascii="Times New Roman" w:eastAsia="Times New Roman" w:hAnsi="Times New Roman" w:cs="Times New Roman"/>
                <w:sz w:val="24"/>
                <w:szCs w:val="24"/>
              </w:rPr>
            </w:pPr>
            <w:r w:rsidRPr="00805A00">
              <w:rPr>
                <w:rFonts w:ascii="Times New Roman" w:eastAsia="Times New Roman" w:hAnsi="Times New Roman" w:cs="Times New Roman"/>
                <w:sz w:val="24"/>
                <w:szCs w:val="24"/>
              </w:rPr>
              <w:t xml:space="preserve">Business Operations Specialist </w:t>
            </w:r>
          </w:p>
        </w:tc>
        <w:tc>
          <w:tcPr>
            <w:tcW w:w="766" w:type="pct"/>
            <w:tcBorders>
              <w:top w:val="single" w:sz="4" w:space="0" w:color="auto"/>
              <w:left w:val="nil"/>
              <w:bottom w:val="single" w:sz="4" w:space="0" w:color="auto"/>
              <w:right w:val="single" w:sz="4" w:space="0" w:color="auto"/>
            </w:tcBorders>
            <w:shd w:val="clear" w:color="auto" w:fill="auto"/>
            <w:vAlign w:val="center"/>
          </w:tcPr>
          <w:p w:rsidR="00411DCA" w:rsidRPr="008C1E04" w:rsidP="006C25F6" w14:paraId="7A161C52" w14:textId="575456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13-1000</w:t>
            </w:r>
          </w:p>
        </w:tc>
        <w:tc>
          <w:tcPr>
            <w:tcW w:w="824" w:type="pct"/>
            <w:tcBorders>
              <w:top w:val="single" w:sz="4" w:space="0" w:color="auto"/>
              <w:left w:val="nil"/>
              <w:bottom w:val="single" w:sz="4" w:space="0" w:color="auto"/>
              <w:right w:val="single" w:sz="4" w:space="0" w:color="auto"/>
            </w:tcBorders>
            <w:shd w:val="clear" w:color="auto" w:fill="auto"/>
            <w:vAlign w:val="center"/>
          </w:tcPr>
          <w:p w:rsidR="00411DCA" w:rsidRPr="008C1E04" w:rsidP="006C25F6" w14:paraId="3D497372" w14:textId="50F82E9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44296">
              <w:rPr>
                <w:rFonts w:ascii="Times New Roman" w:eastAsia="Times New Roman" w:hAnsi="Times New Roman" w:cs="Times New Roman"/>
                <w:sz w:val="24"/>
                <w:szCs w:val="24"/>
              </w:rPr>
              <w:t>36.56</w:t>
            </w:r>
          </w:p>
        </w:tc>
        <w:tc>
          <w:tcPr>
            <w:tcW w:w="920" w:type="pct"/>
            <w:tcBorders>
              <w:top w:val="single" w:sz="4" w:space="0" w:color="auto"/>
              <w:left w:val="nil"/>
              <w:bottom w:val="single" w:sz="4" w:space="0" w:color="auto"/>
              <w:right w:val="single" w:sz="4" w:space="0" w:color="auto"/>
            </w:tcBorders>
            <w:shd w:val="clear" w:color="auto" w:fill="auto"/>
            <w:vAlign w:val="center"/>
          </w:tcPr>
          <w:p w:rsidR="00411DCA" w:rsidRPr="008C1E04" w:rsidP="006C25F6" w14:paraId="45DEA76B" w14:textId="5C1FA52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67293">
              <w:rPr>
                <w:rFonts w:ascii="Times New Roman" w:eastAsia="Times New Roman" w:hAnsi="Times New Roman" w:cs="Times New Roman"/>
                <w:sz w:val="24"/>
                <w:szCs w:val="24"/>
              </w:rPr>
              <w:t xml:space="preserve"> $</w:t>
            </w:r>
            <w:r w:rsidR="00F44296">
              <w:rPr>
                <w:rFonts w:ascii="Times New Roman" w:eastAsia="Times New Roman" w:hAnsi="Times New Roman" w:cs="Times New Roman"/>
                <w:sz w:val="24"/>
                <w:szCs w:val="24"/>
              </w:rPr>
              <w:t>36.56</w:t>
            </w:r>
          </w:p>
        </w:tc>
        <w:tc>
          <w:tcPr>
            <w:tcW w:w="809" w:type="pct"/>
            <w:tcBorders>
              <w:top w:val="single" w:sz="4" w:space="0" w:color="auto"/>
              <w:left w:val="nil"/>
              <w:bottom w:val="single" w:sz="4" w:space="0" w:color="auto"/>
              <w:right w:val="single" w:sz="4" w:space="0" w:color="auto"/>
            </w:tcBorders>
            <w:shd w:val="clear" w:color="auto" w:fill="auto"/>
            <w:vAlign w:val="center"/>
          </w:tcPr>
          <w:p w:rsidR="00411DCA" w:rsidRPr="008C1E04" w:rsidP="006C25F6" w14:paraId="09C986E5" w14:textId="45109F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834AE">
              <w:rPr>
                <w:rFonts w:ascii="Times New Roman" w:eastAsia="Times New Roman" w:hAnsi="Times New Roman" w:cs="Times New Roman"/>
                <w:sz w:val="24"/>
                <w:szCs w:val="24"/>
              </w:rPr>
              <w:t>$</w:t>
            </w:r>
            <w:r w:rsidR="00F44296">
              <w:rPr>
                <w:rFonts w:ascii="Times New Roman" w:eastAsia="Times New Roman" w:hAnsi="Times New Roman" w:cs="Times New Roman"/>
                <w:sz w:val="24"/>
                <w:szCs w:val="24"/>
              </w:rPr>
              <w:t>73.12</w:t>
            </w:r>
            <w:r w:rsidR="00D67293">
              <w:rPr>
                <w:rFonts w:ascii="Times New Roman" w:eastAsia="Times New Roman" w:hAnsi="Times New Roman" w:cs="Times New Roman"/>
                <w:sz w:val="24"/>
                <w:szCs w:val="24"/>
              </w:rPr>
              <w:t xml:space="preserve"> </w:t>
            </w:r>
          </w:p>
        </w:tc>
      </w:tr>
      <w:tr w14:paraId="6334F892" w14:textId="77777777" w:rsidTr="00E07E05">
        <w:tblPrEx>
          <w:tblW w:w="5000" w:type="pct"/>
          <w:jc w:val="center"/>
          <w:tblCellMar>
            <w:left w:w="0" w:type="dxa"/>
            <w:right w:w="0" w:type="dxa"/>
          </w:tblCellMar>
          <w:tblLook w:val="01E0"/>
        </w:tblPrEx>
        <w:trPr>
          <w:jc w:val="center"/>
        </w:trPr>
        <w:tc>
          <w:tcPr>
            <w:tcW w:w="1680" w:type="pct"/>
            <w:shd w:val="clear" w:color="auto" w:fill="auto"/>
          </w:tcPr>
          <w:p w:rsidR="00411DCA" w:rsidRPr="00805A00" w:rsidP="00050ECC" w14:paraId="64E93990" w14:textId="0A82A589">
            <w:pPr>
              <w:tabs>
                <w:tab w:val="left" w:pos="17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Web and Digital Interface Designer</w:t>
            </w:r>
          </w:p>
        </w:tc>
        <w:tc>
          <w:tcPr>
            <w:tcW w:w="766" w:type="pct"/>
            <w:tcBorders>
              <w:top w:val="single" w:sz="4" w:space="0" w:color="auto"/>
              <w:left w:val="nil"/>
              <w:bottom w:val="single" w:sz="4" w:space="0" w:color="auto"/>
              <w:right w:val="single" w:sz="4" w:space="0" w:color="auto"/>
            </w:tcBorders>
            <w:shd w:val="clear" w:color="auto" w:fill="auto"/>
            <w:vAlign w:val="center"/>
          </w:tcPr>
          <w:p w:rsidR="00411DCA" w:rsidRPr="00256AF0" w:rsidP="006C25F6" w14:paraId="6252356F" w14:textId="29B602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15-12</w:t>
            </w:r>
            <w:r w:rsidR="00686C97">
              <w:rPr>
                <w:rFonts w:ascii="Times New Roman" w:eastAsia="Times New Roman" w:hAnsi="Times New Roman" w:cs="Times New Roman"/>
                <w:sz w:val="24"/>
                <w:szCs w:val="24"/>
              </w:rPr>
              <w:t>55</w:t>
            </w:r>
          </w:p>
        </w:tc>
        <w:tc>
          <w:tcPr>
            <w:tcW w:w="824" w:type="pct"/>
            <w:tcBorders>
              <w:top w:val="single" w:sz="4" w:space="0" w:color="auto"/>
              <w:left w:val="nil"/>
              <w:bottom w:val="single" w:sz="4" w:space="0" w:color="auto"/>
              <w:right w:val="single" w:sz="4" w:space="0" w:color="auto"/>
            </w:tcBorders>
            <w:shd w:val="clear" w:color="auto" w:fill="auto"/>
            <w:vAlign w:val="center"/>
          </w:tcPr>
          <w:p w:rsidR="00411DCA" w:rsidRPr="00256AF0" w:rsidP="006C25F6" w14:paraId="06D8C14A" w14:textId="467FE58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61784">
              <w:rPr>
                <w:rFonts w:ascii="Times New Roman" w:eastAsia="Times New Roman" w:hAnsi="Times New Roman" w:cs="Times New Roman"/>
                <w:sz w:val="24"/>
                <w:szCs w:val="24"/>
              </w:rPr>
              <w:t xml:space="preserve"> $</w:t>
            </w:r>
            <w:r w:rsidR="00686C97">
              <w:rPr>
                <w:rFonts w:ascii="Times New Roman" w:eastAsia="Times New Roman" w:hAnsi="Times New Roman" w:cs="Times New Roman"/>
                <w:sz w:val="24"/>
                <w:szCs w:val="24"/>
              </w:rPr>
              <w:t>40.02</w:t>
            </w:r>
          </w:p>
        </w:tc>
        <w:tc>
          <w:tcPr>
            <w:tcW w:w="920" w:type="pct"/>
            <w:tcBorders>
              <w:top w:val="single" w:sz="4" w:space="0" w:color="auto"/>
              <w:left w:val="nil"/>
              <w:bottom w:val="single" w:sz="4" w:space="0" w:color="auto"/>
              <w:right w:val="single" w:sz="4" w:space="0" w:color="auto"/>
            </w:tcBorders>
            <w:shd w:val="clear" w:color="auto" w:fill="auto"/>
            <w:vAlign w:val="center"/>
          </w:tcPr>
          <w:p w:rsidR="00411DCA" w:rsidRPr="00256AF0" w:rsidP="006C25F6" w14:paraId="447BDED1" w14:textId="339534F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86C97">
              <w:rPr>
                <w:rFonts w:ascii="Times New Roman" w:eastAsia="Times New Roman" w:hAnsi="Times New Roman" w:cs="Times New Roman"/>
                <w:sz w:val="24"/>
                <w:szCs w:val="24"/>
              </w:rPr>
              <w:t>40.02</w:t>
            </w:r>
          </w:p>
        </w:tc>
        <w:tc>
          <w:tcPr>
            <w:tcW w:w="809" w:type="pct"/>
            <w:tcBorders>
              <w:top w:val="single" w:sz="4" w:space="0" w:color="auto"/>
              <w:left w:val="nil"/>
              <w:bottom w:val="single" w:sz="4" w:space="0" w:color="auto"/>
              <w:right w:val="single" w:sz="4" w:space="0" w:color="auto"/>
            </w:tcBorders>
            <w:shd w:val="clear" w:color="auto" w:fill="auto"/>
            <w:vAlign w:val="center"/>
          </w:tcPr>
          <w:p w:rsidR="00411DCA" w:rsidP="006C25F6" w14:paraId="5F1FD4D6" w14:textId="7E1D1D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61784">
              <w:rPr>
                <w:rFonts w:ascii="Times New Roman" w:eastAsia="Times New Roman" w:hAnsi="Times New Roman" w:cs="Times New Roman"/>
                <w:sz w:val="24"/>
                <w:szCs w:val="24"/>
              </w:rPr>
              <w:t xml:space="preserve"> </w:t>
            </w:r>
            <w:r w:rsidR="00333CBD">
              <w:rPr>
                <w:rFonts w:ascii="Times New Roman" w:eastAsia="Times New Roman" w:hAnsi="Times New Roman" w:cs="Times New Roman"/>
                <w:sz w:val="24"/>
                <w:szCs w:val="24"/>
              </w:rPr>
              <w:t>$</w:t>
            </w:r>
            <w:r w:rsidR="00686C97">
              <w:rPr>
                <w:rFonts w:ascii="Times New Roman" w:eastAsia="Times New Roman" w:hAnsi="Times New Roman" w:cs="Times New Roman"/>
                <w:sz w:val="24"/>
                <w:szCs w:val="24"/>
              </w:rPr>
              <w:t>80.04</w:t>
            </w:r>
          </w:p>
        </w:tc>
      </w:tr>
      <w:tr w14:paraId="21238B15" w14:textId="77777777" w:rsidTr="00E07E05">
        <w:tblPrEx>
          <w:tblW w:w="5000" w:type="pct"/>
          <w:jc w:val="center"/>
          <w:tblCellMar>
            <w:left w:w="0" w:type="dxa"/>
            <w:right w:w="0" w:type="dxa"/>
          </w:tblCellMar>
          <w:tblLook w:val="01E0"/>
        </w:tblPrEx>
        <w:trPr>
          <w:jc w:val="center"/>
        </w:trPr>
        <w:tc>
          <w:tcPr>
            <w:tcW w:w="1680" w:type="pct"/>
            <w:shd w:val="clear" w:color="auto" w:fill="auto"/>
          </w:tcPr>
          <w:p w:rsidR="00411DCA" w:rsidRPr="008C1E04" w:rsidP="00050ECC" w14:paraId="38E52E2D" w14:textId="77777777">
            <w:pPr>
              <w:tabs>
                <w:tab w:val="left" w:pos="17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Auditor</w:t>
            </w:r>
            <w:r w:rsidRPr="00343EBE">
              <w:rPr>
                <w:rFonts w:ascii="Times New Roman" w:eastAsia="Times New Roman" w:hAnsi="Times New Roman" w:cs="Times New Roman"/>
                <w:sz w:val="24"/>
                <w:szCs w:val="24"/>
              </w:rPr>
              <w:t xml:space="preserve"> </w:t>
            </w:r>
          </w:p>
        </w:tc>
        <w:tc>
          <w:tcPr>
            <w:tcW w:w="766" w:type="pct"/>
            <w:tcBorders>
              <w:top w:val="single" w:sz="4" w:space="0" w:color="auto"/>
              <w:left w:val="nil"/>
              <w:bottom w:val="single" w:sz="4" w:space="0" w:color="auto"/>
              <w:right w:val="single" w:sz="4" w:space="0" w:color="auto"/>
            </w:tcBorders>
            <w:shd w:val="clear" w:color="auto" w:fill="auto"/>
            <w:vAlign w:val="center"/>
          </w:tcPr>
          <w:p w:rsidR="00411DCA" w:rsidRPr="008C1E04" w:rsidP="006C25F6" w14:paraId="4B29377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eastAsia="Times New Roman" w:hAnsi="Times New Roman" w:cs="Times New Roman"/>
                <w:sz w:val="24"/>
                <w:szCs w:val="24"/>
              </w:rPr>
            </w:pPr>
            <w:r w:rsidRPr="00256AF0">
              <w:rPr>
                <w:rFonts w:ascii="Times New Roman" w:eastAsia="Times New Roman" w:hAnsi="Times New Roman" w:cs="Times New Roman"/>
                <w:sz w:val="24"/>
                <w:szCs w:val="24"/>
              </w:rPr>
              <w:t>13-2011</w:t>
            </w:r>
          </w:p>
        </w:tc>
        <w:tc>
          <w:tcPr>
            <w:tcW w:w="824" w:type="pct"/>
            <w:tcBorders>
              <w:top w:val="single" w:sz="4" w:space="0" w:color="auto"/>
              <w:left w:val="nil"/>
              <w:bottom w:val="single" w:sz="4" w:space="0" w:color="auto"/>
              <w:right w:val="single" w:sz="4" w:space="0" w:color="auto"/>
            </w:tcBorders>
            <w:shd w:val="clear" w:color="auto" w:fill="auto"/>
            <w:vAlign w:val="center"/>
          </w:tcPr>
          <w:p w:rsidR="00411DCA" w:rsidRPr="008C1E04" w:rsidP="006C25F6" w14:paraId="0742604D" w14:textId="3E14CA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86C97">
              <w:rPr>
                <w:rFonts w:ascii="Times New Roman" w:eastAsia="Times New Roman" w:hAnsi="Times New Roman" w:cs="Times New Roman"/>
                <w:sz w:val="24"/>
                <w:szCs w:val="24"/>
              </w:rPr>
              <w:t>37.50</w:t>
            </w:r>
          </w:p>
        </w:tc>
        <w:tc>
          <w:tcPr>
            <w:tcW w:w="920" w:type="pct"/>
            <w:tcBorders>
              <w:top w:val="single" w:sz="4" w:space="0" w:color="auto"/>
              <w:left w:val="nil"/>
              <w:bottom w:val="single" w:sz="4" w:space="0" w:color="auto"/>
              <w:right w:val="single" w:sz="4" w:space="0" w:color="auto"/>
            </w:tcBorders>
            <w:shd w:val="clear" w:color="auto" w:fill="auto"/>
            <w:vAlign w:val="center"/>
          </w:tcPr>
          <w:p w:rsidR="00411DCA" w:rsidRPr="008C1E04" w:rsidP="006C25F6" w14:paraId="18750BB1" w14:textId="3E975B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86C97">
              <w:rPr>
                <w:rFonts w:ascii="Times New Roman" w:eastAsia="Times New Roman" w:hAnsi="Times New Roman" w:cs="Times New Roman"/>
                <w:sz w:val="24"/>
                <w:szCs w:val="24"/>
              </w:rPr>
              <w:t>37.50</w:t>
            </w:r>
          </w:p>
        </w:tc>
        <w:tc>
          <w:tcPr>
            <w:tcW w:w="809" w:type="pct"/>
            <w:tcBorders>
              <w:top w:val="single" w:sz="4" w:space="0" w:color="auto"/>
              <w:left w:val="nil"/>
              <w:bottom w:val="single" w:sz="4" w:space="0" w:color="auto"/>
              <w:right w:val="single" w:sz="4" w:space="0" w:color="auto"/>
            </w:tcBorders>
            <w:shd w:val="clear" w:color="auto" w:fill="auto"/>
            <w:vAlign w:val="center"/>
          </w:tcPr>
          <w:p w:rsidR="00411DCA" w:rsidRPr="008C1E04" w:rsidP="006C25F6" w14:paraId="5D4E5519" w14:textId="4F9508A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86C97">
              <w:rPr>
                <w:rFonts w:ascii="Times New Roman" w:eastAsia="Times New Roman" w:hAnsi="Times New Roman" w:cs="Times New Roman"/>
                <w:sz w:val="24"/>
                <w:szCs w:val="24"/>
              </w:rPr>
              <w:t>75.00</w:t>
            </w:r>
          </w:p>
        </w:tc>
      </w:tr>
      <w:tr w14:paraId="367385E7" w14:textId="77777777" w:rsidTr="00E07E05">
        <w:tblPrEx>
          <w:tblW w:w="5000" w:type="pct"/>
          <w:jc w:val="center"/>
          <w:tblCellMar>
            <w:left w:w="0" w:type="dxa"/>
            <w:right w:w="0" w:type="dxa"/>
          </w:tblCellMar>
          <w:tblLook w:val="01E0"/>
        </w:tblPrEx>
        <w:trPr>
          <w:jc w:val="center"/>
        </w:trPr>
        <w:tc>
          <w:tcPr>
            <w:tcW w:w="1680" w:type="pct"/>
            <w:shd w:val="clear" w:color="auto" w:fill="auto"/>
          </w:tcPr>
          <w:p w:rsidR="00ED0594" w:rsidP="00050ECC" w14:paraId="6943098D" w14:textId="688AB816">
            <w:pPr>
              <w:tabs>
                <w:tab w:val="left" w:pos="17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Compliance Officer</w:t>
            </w:r>
          </w:p>
        </w:tc>
        <w:tc>
          <w:tcPr>
            <w:tcW w:w="766" w:type="pct"/>
            <w:tcBorders>
              <w:top w:val="single" w:sz="4" w:space="0" w:color="auto"/>
              <w:left w:val="nil"/>
              <w:bottom w:val="single" w:sz="4" w:space="0" w:color="auto"/>
              <w:right w:val="single" w:sz="4" w:space="0" w:color="auto"/>
            </w:tcBorders>
            <w:shd w:val="clear" w:color="auto" w:fill="auto"/>
            <w:vAlign w:val="center"/>
          </w:tcPr>
          <w:p w:rsidR="00ED0594" w:rsidRPr="00256AF0" w:rsidP="006C25F6" w14:paraId="4BD2448F" w14:textId="49B3FF7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13-1041</w:t>
            </w:r>
          </w:p>
        </w:tc>
        <w:tc>
          <w:tcPr>
            <w:tcW w:w="824" w:type="pct"/>
            <w:tcBorders>
              <w:top w:val="single" w:sz="4" w:space="0" w:color="auto"/>
              <w:left w:val="nil"/>
              <w:bottom w:val="single" w:sz="4" w:space="0" w:color="auto"/>
              <w:right w:val="single" w:sz="4" w:space="0" w:color="auto"/>
            </w:tcBorders>
            <w:shd w:val="clear" w:color="auto" w:fill="auto"/>
            <w:vAlign w:val="center"/>
          </w:tcPr>
          <w:p w:rsidR="00ED0594" w:rsidP="006C25F6" w14:paraId="5C9CEFB9" w14:textId="237AF84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86C97">
              <w:rPr>
                <w:rFonts w:ascii="Times New Roman" w:eastAsia="Times New Roman" w:hAnsi="Times New Roman" w:cs="Times New Roman"/>
                <w:sz w:val="24"/>
                <w:szCs w:val="24"/>
              </w:rPr>
              <w:t>34.47</w:t>
            </w:r>
          </w:p>
        </w:tc>
        <w:tc>
          <w:tcPr>
            <w:tcW w:w="920" w:type="pct"/>
            <w:tcBorders>
              <w:top w:val="single" w:sz="4" w:space="0" w:color="auto"/>
              <w:left w:val="nil"/>
              <w:bottom w:val="single" w:sz="4" w:space="0" w:color="auto"/>
              <w:right w:val="single" w:sz="4" w:space="0" w:color="auto"/>
            </w:tcBorders>
            <w:shd w:val="clear" w:color="auto" w:fill="auto"/>
            <w:vAlign w:val="center"/>
          </w:tcPr>
          <w:p w:rsidR="00ED0594" w:rsidRPr="00256AF0" w:rsidP="006C25F6" w14:paraId="0BA57AE1" w14:textId="3F93289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86C97">
              <w:rPr>
                <w:rFonts w:ascii="Times New Roman" w:eastAsia="Times New Roman" w:hAnsi="Times New Roman" w:cs="Times New Roman"/>
                <w:sz w:val="24"/>
                <w:szCs w:val="24"/>
              </w:rPr>
              <w:t>34.47</w:t>
            </w:r>
          </w:p>
        </w:tc>
        <w:tc>
          <w:tcPr>
            <w:tcW w:w="809" w:type="pct"/>
            <w:tcBorders>
              <w:top w:val="single" w:sz="4" w:space="0" w:color="auto"/>
              <w:left w:val="nil"/>
              <w:bottom w:val="single" w:sz="4" w:space="0" w:color="auto"/>
              <w:right w:val="single" w:sz="4" w:space="0" w:color="auto"/>
            </w:tcBorders>
            <w:shd w:val="clear" w:color="auto" w:fill="auto"/>
            <w:vAlign w:val="center"/>
          </w:tcPr>
          <w:p w:rsidR="00ED0594" w:rsidP="006C25F6" w14:paraId="6667C814" w14:textId="0B89D5B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86C97">
              <w:rPr>
                <w:rFonts w:ascii="Times New Roman" w:eastAsia="Times New Roman" w:hAnsi="Times New Roman" w:cs="Times New Roman"/>
                <w:sz w:val="24"/>
                <w:szCs w:val="24"/>
              </w:rPr>
              <w:t>68.94</w:t>
            </w:r>
          </w:p>
        </w:tc>
      </w:tr>
      <w:tr w14:paraId="0B8DF2C7" w14:textId="77777777" w:rsidTr="00E07E05">
        <w:tblPrEx>
          <w:tblW w:w="5000" w:type="pct"/>
          <w:jc w:val="center"/>
          <w:tblCellMar>
            <w:left w:w="0" w:type="dxa"/>
            <w:right w:w="0" w:type="dxa"/>
          </w:tblCellMar>
          <w:tblLook w:val="01E0"/>
        </w:tblPrEx>
        <w:trPr>
          <w:jc w:val="center"/>
        </w:trPr>
        <w:tc>
          <w:tcPr>
            <w:tcW w:w="1680" w:type="pct"/>
            <w:shd w:val="clear" w:color="auto" w:fill="auto"/>
          </w:tcPr>
          <w:p w:rsidR="00051F8B" w:rsidP="00050ECC" w14:paraId="76B09E7C" w14:textId="26113F7A">
            <w:pPr>
              <w:tabs>
                <w:tab w:val="left" w:pos="17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Computer Programmer</w:t>
            </w:r>
          </w:p>
        </w:tc>
        <w:tc>
          <w:tcPr>
            <w:tcW w:w="766" w:type="pct"/>
            <w:tcBorders>
              <w:top w:val="single" w:sz="4" w:space="0" w:color="auto"/>
              <w:left w:val="nil"/>
              <w:bottom w:val="single" w:sz="4" w:space="0" w:color="auto"/>
              <w:right w:val="single" w:sz="4" w:space="0" w:color="auto"/>
            </w:tcBorders>
            <w:shd w:val="clear" w:color="auto" w:fill="auto"/>
            <w:vAlign w:val="center"/>
          </w:tcPr>
          <w:p w:rsidR="00051F8B" w:rsidP="006C25F6" w14:paraId="70BCDF60" w14:textId="3A252F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15-1251</w:t>
            </w:r>
          </w:p>
        </w:tc>
        <w:tc>
          <w:tcPr>
            <w:tcW w:w="824" w:type="pct"/>
            <w:tcBorders>
              <w:top w:val="single" w:sz="4" w:space="0" w:color="auto"/>
              <w:left w:val="nil"/>
              <w:bottom w:val="single" w:sz="4" w:space="0" w:color="auto"/>
              <w:right w:val="single" w:sz="4" w:space="0" w:color="auto"/>
            </w:tcBorders>
            <w:shd w:val="clear" w:color="auto" w:fill="auto"/>
            <w:vAlign w:val="center"/>
          </w:tcPr>
          <w:p w:rsidR="00051F8B" w:rsidP="006C25F6" w14:paraId="18D2481C" w14:textId="41D7CC2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86C97">
              <w:rPr>
                <w:rFonts w:ascii="Times New Roman" w:eastAsia="Times New Roman" w:hAnsi="Times New Roman" w:cs="Times New Roman"/>
                <w:sz w:val="24"/>
                <w:szCs w:val="24"/>
              </w:rPr>
              <w:t>47.02</w:t>
            </w:r>
          </w:p>
        </w:tc>
        <w:tc>
          <w:tcPr>
            <w:tcW w:w="920" w:type="pct"/>
            <w:tcBorders>
              <w:top w:val="single" w:sz="4" w:space="0" w:color="auto"/>
              <w:left w:val="nil"/>
              <w:bottom w:val="single" w:sz="4" w:space="0" w:color="auto"/>
              <w:right w:val="single" w:sz="4" w:space="0" w:color="auto"/>
            </w:tcBorders>
            <w:shd w:val="clear" w:color="auto" w:fill="auto"/>
            <w:vAlign w:val="center"/>
          </w:tcPr>
          <w:p w:rsidR="00051F8B" w:rsidP="006C25F6" w14:paraId="562512BE" w14:textId="0EBFE0B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86C97">
              <w:rPr>
                <w:rFonts w:ascii="Times New Roman" w:eastAsia="Times New Roman" w:hAnsi="Times New Roman" w:cs="Times New Roman"/>
                <w:sz w:val="24"/>
                <w:szCs w:val="24"/>
              </w:rPr>
              <w:t>47.02</w:t>
            </w:r>
          </w:p>
        </w:tc>
        <w:tc>
          <w:tcPr>
            <w:tcW w:w="809" w:type="pct"/>
            <w:tcBorders>
              <w:top w:val="single" w:sz="4" w:space="0" w:color="auto"/>
              <w:left w:val="nil"/>
              <w:bottom w:val="single" w:sz="4" w:space="0" w:color="auto"/>
              <w:right w:val="single" w:sz="4" w:space="0" w:color="auto"/>
            </w:tcBorders>
            <w:shd w:val="clear" w:color="auto" w:fill="auto"/>
            <w:vAlign w:val="center"/>
          </w:tcPr>
          <w:p w:rsidR="00051F8B" w:rsidP="006C25F6" w14:paraId="674CE22E" w14:textId="721D941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eastAsia="Times New Roman" w:hAnsi="Times New Roman" w:cs="Times New Roman"/>
                <w:sz w:val="24"/>
                <w:szCs w:val="24"/>
              </w:rPr>
            </w:pPr>
            <w:r w:rsidRPr="00BC0928">
              <w:rPr>
                <w:rFonts w:ascii="Times New Roman" w:eastAsia="Times New Roman" w:hAnsi="Times New Roman" w:cs="Times New Roman"/>
                <w:sz w:val="24"/>
                <w:szCs w:val="24"/>
              </w:rPr>
              <w:t>$</w:t>
            </w:r>
            <w:r w:rsidR="00686C97">
              <w:rPr>
                <w:rFonts w:ascii="Times New Roman" w:eastAsia="Times New Roman" w:hAnsi="Times New Roman" w:cs="Times New Roman"/>
                <w:sz w:val="24"/>
                <w:szCs w:val="24"/>
              </w:rPr>
              <w:t>94.04</w:t>
            </w:r>
          </w:p>
        </w:tc>
      </w:tr>
      <w:bookmarkEnd w:id="23"/>
      <w:bookmarkEnd w:id="24"/>
    </w:tbl>
    <w:p w:rsidR="00D70DDA" w:rsidP="00234238" w14:paraId="3DAC0A9C" w14:textId="77777777">
      <w:pPr>
        <w:spacing w:after="0" w:line="246" w:lineRule="auto"/>
        <w:rPr>
          <w:rFonts w:ascii="Times New Roman" w:eastAsia="Times New Roman" w:hAnsi="Times New Roman" w:cs="Times New Roman"/>
          <w:sz w:val="24"/>
          <w:szCs w:val="24"/>
        </w:rPr>
      </w:pPr>
    </w:p>
    <w:p w:rsidR="00EC3480" w:rsidRPr="000C60FE" w:rsidP="00234238" w14:paraId="3136C873" w14:textId="7331197F">
      <w:pPr>
        <w:spacing w:after="0" w:line="24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ollowing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this do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impos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by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information collection requirements.</w:t>
      </w:r>
    </w:p>
    <w:p w:rsidR="006349F0" w:rsidP="00234238" w14:paraId="3E1FB644" w14:textId="61A02FE2">
      <w:pPr>
        <w:spacing w:before="15" w:after="0" w:line="240" w:lineRule="exact"/>
        <w:rPr>
          <w:sz w:val="24"/>
          <w:szCs w:val="24"/>
        </w:rPr>
      </w:pPr>
    </w:p>
    <w:p w:rsidR="00EC3480" w:rsidP="00192B1D" w14:paraId="1C4B9B01" w14:textId="47540845">
      <w:pPr>
        <w:tabs>
          <w:tab w:val="left" w:pos="9450"/>
        </w:tabs>
        <w:spacing w:after="0" w:line="246" w:lineRule="auto"/>
        <w:ind w:right="90"/>
        <w:rPr>
          <w:rFonts w:ascii="Times New Roman" w:eastAsia="Times New Roman" w:hAnsi="Times New Roman" w:cs="Times New Roman"/>
          <w:bCs/>
          <w:sz w:val="24"/>
          <w:szCs w:val="24"/>
        </w:rPr>
      </w:pPr>
      <w:bookmarkStart w:id="25" w:name="_Hlk159956756"/>
      <w:bookmarkStart w:id="26" w:name="_Hlk159956646"/>
      <w:r w:rsidRPr="00CD07E6">
        <w:rPr>
          <w:rFonts w:ascii="Times New Roman" w:eastAsia="Times New Roman" w:hAnsi="Times New Roman" w:cs="Times New Roman"/>
          <w:b/>
          <w:sz w:val="24"/>
          <w:szCs w:val="24"/>
        </w:rPr>
        <w:t>W</w:t>
      </w:r>
      <w:r w:rsidRPr="00D50D52">
        <w:rPr>
          <w:rFonts w:ascii="Times New Roman" w:eastAsia="Times New Roman" w:hAnsi="Times New Roman" w:cs="Times New Roman"/>
          <w:b/>
          <w:sz w:val="24"/>
          <w:szCs w:val="24"/>
        </w:rPr>
        <w:t>eb-broker ORR Requirements</w:t>
      </w:r>
      <w:r w:rsidR="00CB7C10">
        <w:rPr>
          <w:rFonts w:ascii="Times New Roman" w:eastAsia="Times New Roman" w:hAnsi="Times New Roman" w:cs="Times New Roman"/>
          <w:b/>
          <w:sz w:val="24"/>
          <w:szCs w:val="24"/>
        </w:rPr>
        <w:t xml:space="preserve"> (45 C.F.R §155.220(c)(6))</w:t>
      </w:r>
      <w:r w:rsidRPr="00D50D52">
        <w:rPr>
          <w:rFonts w:ascii="Times New Roman" w:eastAsia="Times New Roman" w:hAnsi="Times New Roman" w:cs="Times New Roman"/>
          <w:sz w:val="24"/>
          <w:szCs w:val="24"/>
        </w:rPr>
        <w:t>:</w:t>
      </w:r>
      <w:r w:rsidRPr="00805A00">
        <w:rPr>
          <w:rFonts w:ascii="Times New Roman" w:eastAsia="Times New Roman" w:hAnsi="Times New Roman" w:cs="Times New Roman"/>
          <w:sz w:val="24"/>
          <w:szCs w:val="24"/>
        </w:rPr>
        <w:t xml:space="preserve"> </w:t>
      </w:r>
      <w:bookmarkEnd w:id="25"/>
      <w:r w:rsidRPr="00805A00">
        <w:rPr>
          <w:rFonts w:ascii="Times New Roman" w:eastAsia="Times New Roman" w:hAnsi="Times New Roman" w:cs="Times New Roman"/>
          <w:sz w:val="24"/>
          <w:szCs w:val="24"/>
        </w:rPr>
        <w:t xml:space="preserve">We estimate that it will take up to </w:t>
      </w:r>
      <w:r>
        <w:rPr>
          <w:rFonts w:ascii="Times New Roman" w:eastAsia="Times New Roman" w:hAnsi="Times New Roman" w:cs="Times New Roman"/>
          <w:sz w:val="24"/>
          <w:szCs w:val="24"/>
        </w:rPr>
        <w:t xml:space="preserve">2 hours at an hourly cost of </w:t>
      </w:r>
      <w:r w:rsidR="00872671">
        <w:rPr>
          <w:rFonts w:ascii="Times New Roman" w:eastAsia="Times New Roman" w:hAnsi="Times New Roman" w:cs="Times New Roman"/>
          <w:sz w:val="24"/>
          <w:szCs w:val="24"/>
        </w:rPr>
        <w:t>$</w:t>
      </w:r>
      <w:r w:rsidR="00BC4E25">
        <w:rPr>
          <w:rFonts w:ascii="Times New Roman" w:eastAsia="Times New Roman" w:hAnsi="Times New Roman" w:cs="Times New Roman"/>
          <w:sz w:val="24"/>
          <w:szCs w:val="24"/>
        </w:rPr>
        <w:t>73.12</w:t>
      </w:r>
      <w:r w:rsidRPr="00A0651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for a Business Operations Specialist to complete and submit the operational data and web-broker agreement described in §155.220(c)(6)(i) and (c)(6)(v) to HHS each year. We estimate that it </w:t>
      </w:r>
      <w:r w:rsidR="004F74A6">
        <w:rPr>
          <w:rFonts w:ascii="Times New Roman" w:eastAsia="Times New Roman" w:hAnsi="Times New Roman" w:cs="Times New Roman"/>
          <w:sz w:val="24"/>
          <w:szCs w:val="24"/>
        </w:rPr>
        <w:t>will</w:t>
      </w:r>
      <w:r>
        <w:rPr>
          <w:rFonts w:ascii="Times New Roman" w:eastAsia="Times New Roman" w:hAnsi="Times New Roman" w:cs="Times New Roman"/>
          <w:sz w:val="24"/>
          <w:szCs w:val="24"/>
        </w:rPr>
        <w:t xml:space="preserve"> take up to </w:t>
      </w:r>
      <w:r w:rsidRPr="00805A00">
        <w:rPr>
          <w:rFonts w:ascii="Times New Roman" w:eastAsia="Times New Roman" w:hAnsi="Times New Roman" w:cs="Times New Roman"/>
          <w:sz w:val="24"/>
          <w:szCs w:val="24"/>
        </w:rPr>
        <w:t xml:space="preserve">17 hours at an hourly cost </w:t>
      </w:r>
      <w:r w:rsidRPr="00805A00" w:rsidR="004834AE">
        <w:rPr>
          <w:rFonts w:ascii="Times New Roman" w:eastAsia="Times New Roman" w:hAnsi="Times New Roman" w:cs="Times New Roman"/>
          <w:sz w:val="24"/>
          <w:szCs w:val="24"/>
        </w:rPr>
        <w:t>of $</w:t>
      </w:r>
      <w:r w:rsidR="00BC4E25">
        <w:rPr>
          <w:rFonts w:ascii="Times New Roman" w:eastAsia="Times New Roman" w:hAnsi="Times New Roman" w:cs="Times New Roman"/>
          <w:sz w:val="24"/>
          <w:szCs w:val="24"/>
        </w:rPr>
        <w:t>73.12</w:t>
      </w:r>
      <w:r w:rsidR="00872671">
        <w:rPr>
          <w:rFonts w:ascii="Times New Roman" w:eastAsia="Times New Roman" w:hAnsi="Times New Roman" w:cs="Times New Roman"/>
          <w:sz w:val="24"/>
          <w:szCs w:val="24"/>
        </w:rPr>
        <w:t xml:space="preserve"> </w:t>
      </w:r>
      <w:r w:rsidRPr="00805A00">
        <w:rPr>
          <w:rFonts w:ascii="Times New Roman" w:eastAsia="Times New Roman" w:hAnsi="Times New Roman" w:cs="Times New Roman"/>
          <w:sz w:val="24"/>
          <w:szCs w:val="24"/>
        </w:rPr>
        <w:t xml:space="preserve">for a Business Operations Specialist to complete and submit the </w:t>
      </w:r>
      <w:r>
        <w:rPr>
          <w:rFonts w:ascii="Times New Roman" w:eastAsia="Times New Roman" w:hAnsi="Times New Roman" w:cs="Times New Roman"/>
          <w:sz w:val="24"/>
          <w:szCs w:val="24"/>
        </w:rPr>
        <w:t xml:space="preserve">security and privacy assessment </w:t>
      </w:r>
      <w:r w:rsidRPr="00805A00">
        <w:rPr>
          <w:rFonts w:ascii="Times New Roman" w:eastAsia="Times New Roman" w:hAnsi="Times New Roman" w:cs="Times New Roman"/>
          <w:sz w:val="24"/>
          <w:szCs w:val="24"/>
        </w:rPr>
        <w:t xml:space="preserve">documentation </w:t>
      </w:r>
      <w:r>
        <w:rPr>
          <w:rFonts w:ascii="Times New Roman" w:eastAsia="Times New Roman" w:hAnsi="Times New Roman" w:cs="Times New Roman"/>
          <w:sz w:val="24"/>
          <w:szCs w:val="24"/>
        </w:rPr>
        <w:t xml:space="preserve">identified in §155.220(c)(6)(iv) </w:t>
      </w:r>
      <w:r w:rsidRPr="00805A00">
        <w:rPr>
          <w:rFonts w:ascii="Times New Roman" w:eastAsia="Times New Roman" w:hAnsi="Times New Roman" w:cs="Times New Roman"/>
          <w:sz w:val="24"/>
          <w:szCs w:val="24"/>
        </w:rPr>
        <w:t>to HHS</w:t>
      </w:r>
      <w:r>
        <w:rPr>
          <w:rFonts w:ascii="Times New Roman" w:eastAsia="Times New Roman" w:hAnsi="Times New Roman" w:cs="Times New Roman"/>
          <w:sz w:val="24"/>
          <w:szCs w:val="24"/>
        </w:rPr>
        <w:t xml:space="preserve"> each year</w:t>
      </w:r>
      <w:r w:rsidRPr="00805A0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total burden for each web-broker </w:t>
      </w:r>
      <w:r w:rsidR="004F74A6">
        <w:rPr>
          <w:rFonts w:ascii="Times New Roman" w:eastAsia="Times New Roman" w:hAnsi="Times New Roman" w:cs="Times New Roman"/>
          <w:sz w:val="24"/>
          <w:szCs w:val="24"/>
        </w:rPr>
        <w:t>will</w:t>
      </w:r>
      <w:r>
        <w:rPr>
          <w:rFonts w:ascii="Times New Roman" w:eastAsia="Times New Roman" w:hAnsi="Times New Roman" w:cs="Times New Roman"/>
          <w:sz w:val="24"/>
          <w:szCs w:val="24"/>
        </w:rPr>
        <w:t xml:space="preserve"> be approximately 19 hours, with an equivalent cost of approximately</w:t>
      </w:r>
      <w:r w:rsidRPr="00B84E7B" w:rsidR="00620262">
        <w:rPr>
          <w:rFonts w:ascii="Times New Roman" w:eastAsia="Times New Roman" w:hAnsi="Times New Roman" w:cs="Times New Roman"/>
        </w:rPr>
        <w:t xml:space="preserve"> </w:t>
      </w:r>
      <w:r w:rsidRPr="00E96039" w:rsidR="00620262">
        <w:rPr>
          <w:rFonts w:ascii="Times New Roman" w:hAnsi="Times New Roman" w:cs="Times New Roman"/>
          <w:color w:val="000000"/>
        </w:rPr>
        <w:t>$</w:t>
      </w:r>
      <w:r w:rsidR="00BC4E25">
        <w:rPr>
          <w:rFonts w:ascii="Times New Roman" w:hAnsi="Times New Roman" w:cs="Times New Roman"/>
          <w:color w:val="000000"/>
        </w:rPr>
        <w:t>1,389.28</w:t>
      </w:r>
      <w:r w:rsidRPr="00CA308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805A00">
        <w:rPr>
          <w:rFonts w:ascii="Times New Roman" w:eastAsia="Times New Roman" w:hAnsi="Times New Roman" w:cs="Times New Roman"/>
          <w:sz w:val="24"/>
          <w:szCs w:val="24"/>
        </w:rPr>
        <w:t xml:space="preserve">Based on current </w:t>
      </w:r>
      <w:r>
        <w:rPr>
          <w:rFonts w:ascii="Times New Roman" w:eastAsia="Times New Roman" w:hAnsi="Times New Roman" w:cs="Times New Roman"/>
          <w:sz w:val="24"/>
          <w:szCs w:val="24"/>
        </w:rPr>
        <w:t xml:space="preserve">web-broker </w:t>
      </w:r>
      <w:r w:rsidRPr="00805A00">
        <w:rPr>
          <w:rFonts w:ascii="Times New Roman" w:eastAsia="Times New Roman" w:hAnsi="Times New Roman" w:cs="Times New Roman"/>
          <w:sz w:val="24"/>
          <w:szCs w:val="24"/>
        </w:rPr>
        <w:t xml:space="preserve">year-to-date participation and potential </w:t>
      </w:r>
      <w:r w:rsidRPr="004E12A0">
        <w:rPr>
          <w:rFonts w:ascii="Times New Roman" w:eastAsia="Times New Roman" w:hAnsi="Times New Roman" w:cs="Times New Roman"/>
          <w:sz w:val="24"/>
          <w:szCs w:val="24"/>
        </w:rPr>
        <w:t xml:space="preserve">market size, we estimate that </w:t>
      </w:r>
      <w:r>
        <w:rPr>
          <w:rFonts w:ascii="Times New Roman" w:eastAsia="Times New Roman" w:hAnsi="Times New Roman" w:cs="Times New Roman"/>
          <w:sz w:val="24"/>
          <w:szCs w:val="24"/>
        </w:rPr>
        <w:t>20</w:t>
      </w:r>
      <w:r w:rsidRPr="004E12A0">
        <w:rPr>
          <w:rFonts w:ascii="Times New Roman" w:eastAsia="Times New Roman" w:hAnsi="Times New Roman" w:cs="Times New Roman"/>
          <w:sz w:val="24"/>
          <w:szCs w:val="24"/>
        </w:rPr>
        <w:t xml:space="preserve"> web-brokers will participate. We estimate that this data collection has a cumulative annual burden </w:t>
      </w:r>
      <w:r w:rsidRPr="004E12A0">
        <w:rPr>
          <w:rFonts w:ascii="Times New Roman" w:eastAsia="Times New Roman" w:hAnsi="Times New Roman" w:cs="Times New Roman"/>
          <w:sz w:val="24"/>
          <w:szCs w:val="24"/>
        </w:rPr>
        <w:t xml:space="preserve">of </w:t>
      </w:r>
      <w:r>
        <w:rPr>
          <w:rFonts w:ascii="Times New Roman" w:eastAsia="Times New Roman" w:hAnsi="Times New Roman" w:cs="Times New Roman"/>
          <w:sz w:val="24"/>
          <w:szCs w:val="24"/>
        </w:rPr>
        <w:t>380</w:t>
      </w:r>
      <w:r w:rsidRPr="004E12A0">
        <w:rPr>
          <w:rFonts w:ascii="Times New Roman" w:eastAsia="Times New Roman" w:hAnsi="Times New Roman" w:cs="Times New Roman"/>
          <w:sz w:val="24"/>
          <w:szCs w:val="24"/>
        </w:rPr>
        <w:t xml:space="preserve"> hours with a cost of</w:t>
      </w:r>
      <w:r w:rsidR="00641FCD">
        <w:rPr>
          <w:rFonts w:ascii="Times New Roman" w:eastAsia="Times New Roman" w:hAnsi="Times New Roman" w:cs="Times New Roman"/>
          <w:bCs/>
          <w:sz w:val="24"/>
          <w:szCs w:val="24"/>
        </w:rPr>
        <w:t xml:space="preserve"> $</w:t>
      </w:r>
      <w:r w:rsidR="00BC4E25">
        <w:rPr>
          <w:rFonts w:ascii="Times New Roman" w:eastAsia="Times New Roman" w:hAnsi="Times New Roman" w:cs="Times New Roman"/>
          <w:bCs/>
          <w:sz w:val="24"/>
          <w:szCs w:val="24"/>
        </w:rPr>
        <w:t>27,785.60</w:t>
      </w:r>
      <w:r w:rsidRPr="004E12A0">
        <w:rPr>
          <w:rFonts w:ascii="Times New Roman" w:eastAsia="Times New Roman" w:hAnsi="Times New Roman" w:cs="Times New Roman"/>
          <w:bCs/>
          <w:sz w:val="24"/>
          <w:szCs w:val="24"/>
        </w:rPr>
        <w:t>.</w:t>
      </w:r>
    </w:p>
    <w:p w:rsidR="003C2B23" w:rsidP="00234238" w14:paraId="0DCC2B89" w14:textId="77777777">
      <w:pPr>
        <w:spacing w:after="0" w:line="246" w:lineRule="auto"/>
        <w:rPr>
          <w:rFonts w:ascii="Times New Roman" w:eastAsia="Times New Roman" w:hAnsi="Times New Roman" w:cs="Times New Roman"/>
          <w:bCs/>
          <w:sz w:val="24"/>
          <w:szCs w:val="24"/>
        </w:rPr>
      </w:pPr>
    </w:p>
    <w:p w:rsidR="00EC3480" w:rsidRPr="00396933" w:rsidP="00192B1D" w14:paraId="05FBE4B8" w14:textId="7DCE2723">
      <w:pPr>
        <w:spacing w:after="0" w:line="246" w:lineRule="auto"/>
        <w:ind w:right="180"/>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Pursuant to </w:t>
      </w:r>
      <w:r w:rsidRPr="00207E7C">
        <w:rPr>
          <w:rFonts w:ascii="Times New Roman" w:eastAsia="Times New Roman" w:hAnsi="Times New Roman" w:cs="Times New Roman"/>
          <w:spacing w:val="1"/>
          <w:sz w:val="24"/>
          <w:szCs w:val="24"/>
        </w:rPr>
        <w:t>§155.220(c)(6)(i) and (c)(6)(v)</w:t>
      </w:r>
      <w:r>
        <w:rPr>
          <w:rFonts w:ascii="Times New Roman" w:eastAsia="Times New Roman" w:hAnsi="Times New Roman" w:cs="Times New Roman"/>
          <w:spacing w:val="1"/>
          <w:sz w:val="24"/>
          <w:szCs w:val="24"/>
        </w:rPr>
        <w:t xml:space="preserve">, web-brokers </w:t>
      </w:r>
      <w:r w:rsidR="007107A8">
        <w:rPr>
          <w:rFonts w:ascii="Times New Roman" w:eastAsia="Times New Roman" w:hAnsi="Times New Roman" w:cs="Times New Roman"/>
          <w:spacing w:val="1"/>
          <w:sz w:val="24"/>
          <w:szCs w:val="24"/>
        </w:rPr>
        <w:t>are</w:t>
      </w:r>
      <w:r>
        <w:rPr>
          <w:rFonts w:ascii="Times New Roman" w:eastAsia="Times New Roman" w:hAnsi="Times New Roman" w:cs="Times New Roman"/>
          <w:spacing w:val="1"/>
          <w:sz w:val="24"/>
          <w:szCs w:val="24"/>
        </w:rPr>
        <w:t xml:space="preserve"> required to </w:t>
      </w:r>
      <w:r>
        <w:rPr>
          <w:rFonts w:ascii="Times New Roman" w:eastAsia="Times New Roman" w:hAnsi="Times New Roman" w:cs="Times New Roman"/>
          <w:sz w:val="24"/>
          <w:szCs w:val="24"/>
        </w:rPr>
        <w:t xml:space="preserve">submit operational data and a web-broker agreement to HHS each year. In addition, under §155.220(c)(6)(iv) web-brokers </w:t>
      </w:r>
      <w:r w:rsidR="00196A49">
        <w:rPr>
          <w:rFonts w:ascii="Times New Roman" w:eastAsia="Times New Roman" w:hAnsi="Times New Roman" w:cs="Times New Roman"/>
          <w:sz w:val="24"/>
          <w:szCs w:val="24"/>
        </w:rPr>
        <w:t>are</w:t>
      </w:r>
      <w:r>
        <w:rPr>
          <w:rFonts w:ascii="Times New Roman" w:eastAsia="Times New Roman" w:hAnsi="Times New Roman" w:cs="Times New Roman"/>
          <w:sz w:val="24"/>
          <w:szCs w:val="24"/>
        </w:rPr>
        <w:t xml:space="preserve"> required to </w:t>
      </w:r>
      <w:r w:rsidRPr="00805A00">
        <w:rPr>
          <w:rFonts w:ascii="Times New Roman" w:eastAsia="Times New Roman" w:hAnsi="Times New Roman" w:cs="Times New Roman"/>
          <w:sz w:val="24"/>
          <w:szCs w:val="24"/>
        </w:rPr>
        <w:t>complete and submit</w:t>
      </w:r>
      <w:r>
        <w:rPr>
          <w:rFonts w:ascii="Times New Roman" w:eastAsia="Times New Roman" w:hAnsi="Times New Roman" w:cs="Times New Roman"/>
          <w:sz w:val="24"/>
          <w:szCs w:val="24"/>
        </w:rPr>
        <w:t xml:space="preserve"> security and privacy assessment </w:t>
      </w:r>
      <w:r w:rsidRPr="00805A00">
        <w:rPr>
          <w:rFonts w:ascii="Times New Roman" w:eastAsia="Times New Roman" w:hAnsi="Times New Roman" w:cs="Times New Roman"/>
          <w:sz w:val="24"/>
          <w:szCs w:val="24"/>
        </w:rPr>
        <w:t>documentation</w:t>
      </w:r>
      <w:r w:rsidRPr="00393CE5">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 xml:space="preserve">to HHS each year. </w:t>
      </w:r>
      <w:r w:rsidRPr="00393CE5">
        <w:rPr>
          <w:rFonts w:ascii="Times New Roman" w:eastAsia="Times New Roman" w:hAnsi="Times New Roman" w:cs="Times New Roman"/>
          <w:spacing w:val="1"/>
          <w:sz w:val="24"/>
          <w:szCs w:val="24"/>
        </w:rPr>
        <w:t xml:space="preserve">Table </w:t>
      </w:r>
      <w:r w:rsidR="001E1029">
        <w:rPr>
          <w:rFonts w:ascii="Times New Roman" w:eastAsia="Times New Roman" w:hAnsi="Times New Roman" w:cs="Times New Roman"/>
          <w:spacing w:val="1"/>
          <w:sz w:val="24"/>
          <w:szCs w:val="24"/>
        </w:rPr>
        <w:t xml:space="preserve">2 </w:t>
      </w:r>
      <w:r w:rsidRPr="00393CE5">
        <w:rPr>
          <w:rFonts w:ascii="Times New Roman" w:eastAsia="Times New Roman" w:hAnsi="Times New Roman" w:cs="Times New Roman"/>
          <w:spacing w:val="1"/>
          <w:sz w:val="24"/>
          <w:szCs w:val="24"/>
        </w:rPr>
        <w:t xml:space="preserve">below displays the burden for </w:t>
      </w:r>
      <w:r>
        <w:rPr>
          <w:rFonts w:ascii="Times New Roman" w:eastAsia="Times New Roman" w:hAnsi="Times New Roman" w:cs="Times New Roman"/>
          <w:spacing w:val="1"/>
          <w:sz w:val="24"/>
          <w:szCs w:val="24"/>
        </w:rPr>
        <w:t xml:space="preserve">web-brokers </w:t>
      </w:r>
      <w:r w:rsidRPr="00393CE5">
        <w:rPr>
          <w:rFonts w:ascii="Times New Roman" w:eastAsia="Times New Roman" w:hAnsi="Times New Roman" w:cs="Times New Roman"/>
          <w:spacing w:val="1"/>
          <w:sz w:val="24"/>
          <w:szCs w:val="24"/>
        </w:rPr>
        <w:t>relating to these regulatory provisions.</w:t>
      </w:r>
    </w:p>
    <w:bookmarkEnd w:id="26"/>
    <w:p w:rsidR="00EC3480" w:rsidRPr="00813A3B" w:rsidP="00234238" w14:paraId="2B821FA4" w14:textId="77777777">
      <w:pPr>
        <w:spacing w:before="15" w:after="0" w:line="240" w:lineRule="exact"/>
        <w:rPr>
          <w:sz w:val="24"/>
          <w:szCs w:val="24"/>
        </w:rPr>
      </w:pPr>
    </w:p>
    <w:p w:rsidR="00EC3480" w:rsidP="00EC3480" w14:paraId="3A04A448" w14:textId="68C07561">
      <w:pPr>
        <w:spacing w:before="15" w:after="0" w:line="240" w:lineRule="exact"/>
        <w:rPr>
          <w:rStyle w:val="Strong"/>
          <w:rFonts w:ascii="Times New Roman" w:hAnsi="Times New Roman" w:cs="Times New Roman"/>
          <w:sz w:val="24"/>
          <w:szCs w:val="24"/>
        </w:rPr>
      </w:pPr>
      <w:bookmarkStart w:id="27" w:name="_Hlk148042405"/>
      <w:r w:rsidRPr="00396933">
        <w:rPr>
          <w:rStyle w:val="Strong"/>
          <w:rFonts w:ascii="Times New Roman" w:hAnsi="Times New Roman" w:cs="Times New Roman"/>
          <w:sz w:val="24"/>
          <w:szCs w:val="24"/>
        </w:rPr>
        <w:t xml:space="preserve">Table </w:t>
      </w:r>
      <w:r w:rsidR="00BC4E25">
        <w:rPr>
          <w:rStyle w:val="Strong"/>
          <w:rFonts w:ascii="Times New Roman" w:hAnsi="Times New Roman" w:cs="Times New Roman"/>
          <w:sz w:val="24"/>
          <w:szCs w:val="24"/>
        </w:rPr>
        <w:t>2</w:t>
      </w:r>
      <w:r w:rsidRPr="00396933">
        <w:rPr>
          <w:rStyle w:val="Strong"/>
          <w:rFonts w:ascii="Times New Roman" w:hAnsi="Times New Roman" w:cs="Times New Roman"/>
          <w:sz w:val="24"/>
          <w:szCs w:val="24"/>
        </w:rPr>
        <w:t>: Burden to</w:t>
      </w:r>
      <w:r>
        <w:rPr>
          <w:rStyle w:val="Strong"/>
          <w:rFonts w:ascii="Times New Roman" w:hAnsi="Times New Roman" w:cs="Times New Roman"/>
          <w:sz w:val="24"/>
          <w:szCs w:val="24"/>
        </w:rPr>
        <w:t xml:space="preserve"> Web-Brokers to Fulfill ORR Requirements</w:t>
      </w:r>
    </w:p>
    <w:p w:rsidR="00EC3480" w:rsidRPr="00396933" w:rsidP="00EC3480" w14:paraId="5F1F1F7E" w14:textId="77777777">
      <w:pPr>
        <w:spacing w:before="15" w:after="0" w:line="240" w:lineRule="exact"/>
        <w:rPr>
          <w:rStyle w:val="Strong"/>
          <w:rFonts w:ascii="Times New Roman"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88"/>
        <w:gridCol w:w="1470"/>
        <w:gridCol w:w="1651"/>
        <w:gridCol w:w="1100"/>
        <w:gridCol w:w="1470"/>
        <w:gridCol w:w="1551"/>
      </w:tblGrid>
      <w:tr w14:paraId="30D44E90" w14:textId="77777777" w:rsidTr="00B14C42">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30"/>
          <w:jc w:val="center"/>
        </w:trPr>
        <w:tc>
          <w:tcPr>
            <w:tcW w:w="1201" w:type="pct"/>
            <w:shd w:val="clear" w:color="auto" w:fill="auto"/>
            <w:vAlign w:val="center"/>
            <w:hideMark/>
          </w:tcPr>
          <w:p w:rsidR="00EC3480" w:rsidRPr="006326F3" w:rsidP="005706FE" w14:paraId="48080D99" w14:textId="77777777">
            <w:pPr>
              <w:widowControl/>
              <w:spacing w:after="0" w:line="240" w:lineRule="auto"/>
              <w:ind w:left="-20" w:right="-110"/>
              <w:rPr>
                <w:rFonts w:ascii="Times New Roman" w:eastAsia="Times New Roman" w:hAnsi="Times New Roman" w:cs="Times New Roman"/>
                <w:b/>
                <w:sz w:val="24"/>
                <w:szCs w:val="24"/>
              </w:rPr>
            </w:pPr>
            <w:r w:rsidRPr="006326F3">
              <w:rPr>
                <w:rFonts w:ascii="Times New Roman" w:eastAsia="Times New Roman" w:hAnsi="Times New Roman" w:cs="Times New Roman"/>
                <w:b/>
                <w:sz w:val="24"/>
                <w:szCs w:val="24"/>
              </w:rPr>
              <w:t>Labor Category</w:t>
            </w:r>
          </w:p>
        </w:tc>
        <w:tc>
          <w:tcPr>
            <w:tcW w:w="771" w:type="pct"/>
            <w:shd w:val="clear" w:color="auto" w:fill="auto"/>
            <w:vAlign w:val="center"/>
            <w:hideMark/>
          </w:tcPr>
          <w:p w:rsidR="00EC3480" w:rsidRPr="006326F3" w:rsidP="006326F3" w14:paraId="77FE84D7" w14:textId="77777777">
            <w:pPr>
              <w:widowControl/>
              <w:spacing w:after="0" w:line="240" w:lineRule="auto"/>
              <w:ind w:left="-110" w:right="-110"/>
              <w:jc w:val="center"/>
              <w:rPr>
                <w:rFonts w:ascii="Times New Roman" w:eastAsia="Times New Roman" w:hAnsi="Times New Roman" w:cs="Times New Roman"/>
                <w:b/>
                <w:sz w:val="24"/>
                <w:szCs w:val="24"/>
              </w:rPr>
            </w:pPr>
            <w:r w:rsidRPr="006326F3">
              <w:rPr>
                <w:rFonts w:ascii="Times New Roman" w:eastAsia="Times New Roman" w:hAnsi="Times New Roman" w:cs="Times New Roman"/>
                <w:b/>
                <w:sz w:val="24"/>
                <w:szCs w:val="24"/>
              </w:rPr>
              <w:t>Number of Respondents</w:t>
            </w:r>
          </w:p>
        </w:tc>
        <w:tc>
          <w:tcPr>
            <w:tcW w:w="866" w:type="pct"/>
            <w:shd w:val="clear" w:color="auto" w:fill="auto"/>
            <w:vAlign w:val="center"/>
            <w:hideMark/>
          </w:tcPr>
          <w:p w:rsidR="00EC3480" w:rsidRPr="006326F3" w:rsidP="006326F3" w14:paraId="7A3B1946" w14:textId="77777777">
            <w:pPr>
              <w:widowControl/>
              <w:spacing w:after="0" w:line="240" w:lineRule="auto"/>
              <w:ind w:left="-110" w:right="-110"/>
              <w:jc w:val="center"/>
              <w:rPr>
                <w:rFonts w:ascii="Times New Roman" w:eastAsia="Times New Roman" w:hAnsi="Times New Roman" w:cs="Times New Roman"/>
                <w:b/>
                <w:sz w:val="24"/>
                <w:szCs w:val="24"/>
              </w:rPr>
            </w:pPr>
            <w:r w:rsidRPr="006326F3">
              <w:rPr>
                <w:rFonts w:ascii="Times New Roman" w:eastAsia="Times New Roman" w:hAnsi="Times New Roman" w:cs="Times New Roman"/>
                <w:b/>
                <w:sz w:val="24"/>
                <w:szCs w:val="24"/>
              </w:rPr>
              <w:t>Hourly Labor Costs (Hourly rate + 100% Fringe benefits)</w:t>
            </w:r>
          </w:p>
        </w:tc>
        <w:tc>
          <w:tcPr>
            <w:tcW w:w="577" w:type="pct"/>
            <w:shd w:val="clear" w:color="auto" w:fill="auto"/>
            <w:vAlign w:val="center"/>
            <w:hideMark/>
          </w:tcPr>
          <w:p w:rsidR="00EC3480" w:rsidRPr="006326F3" w:rsidP="006326F3" w14:paraId="4845854B" w14:textId="77777777">
            <w:pPr>
              <w:widowControl/>
              <w:spacing w:after="0" w:line="240" w:lineRule="auto"/>
              <w:ind w:left="-110" w:right="-110"/>
              <w:jc w:val="center"/>
              <w:rPr>
                <w:rFonts w:ascii="Times New Roman" w:eastAsia="Times New Roman" w:hAnsi="Times New Roman" w:cs="Times New Roman"/>
                <w:b/>
                <w:sz w:val="24"/>
                <w:szCs w:val="24"/>
              </w:rPr>
            </w:pPr>
            <w:r w:rsidRPr="006326F3">
              <w:rPr>
                <w:rFonts w:ascii="Times New Roman" w:eastAsia="Times New Roman" w:hAnsi="Times New Roman" w:cs="Times New Roman"/>
                <w:b/>
                <w:sz w:val="24"/>
                <w:szCs w:val="24"/>
              </w:rPr>
              <w:t>Burden Hours</w:t>
            </w:r>
          </w:p>
        </w:tc>
        <w:tc>
          <w:tcPr>
            <w:tcW w:w="771" w:type="pct"/>
            <w:shd w:val="clear" w:color="auto" w:fill="auto"/>
            <w:vAlign w:val="center"/>
            <w:hideMark/>
          </w:tcPr>
          <w:p w:rsidR="00EC3480" w:rsidRPr="006326F3" w:rsidP="006326F3" w14:paraId="2E17799F" w14:textId="77777777">
            <w:pPr>
              <w:widowControl/>
              <w:spacing w:after="0" w:line="240" w:lineRule="auto"/>
              <w:ind w:left="-110" w:right="-110"/>
              <w:jc w:val="center"/>
              <w:rPr>
                <w:rFonts w:ascii="Times New Roman" w:eastAsia="Times New Roman" w:hAnsi="Times New Roman" w:cs="Times New Roman"/>
                <w:b/>
                <w:sz w:val="24"/>
                <w:szCs w:val="24"/>
              </w:rPr>
            </w:pPr>
            <w:r w:rsidRPr="006326F3">
              <w:rPr>
                <w:rFonts w:ascii="Times New Roman" w:eastAsia="Times New Roman" w:hAnsi="Times New Roman" w:cs="Times New Roman"/>
                <w:b/>
                <w:sz w:val="24"/>
                <w:szCs w:val="24"/>
              </w:rPr>
              <w:t>Total Burden Costs (per Respondent)</w:t>
            </w:r>
          </w:p>
        </w:tc>
        <w:tc>
          <w:tcPr>
            <w:tcW w:w="814" w:type="pct"/>
            <w:shd w:val="clear" w:color="auto" w:fill="auto"/>
            <w:vAlign w:val="center"/>
            <w:hideMark/>
          </w:tcPr>
          <w:p w:rsidR="00EC3480" w:rsidRPr="006326F3" w:rsidP="006326F3" w14:paraId="55A18767" w14:textId="77777777">
            <w:pPr>
              <w:widowControl/>
              <w:spacing w:after="0" w:line="240" w:lineRule="auto"/>
              <w:ind w:left="-110" w:right="-110"/>
              <w:jc w:val="center"/>
              <w:rPr>
                <w:rFonts w:ascii="Times New Roman" w:eastAsia="Times New Roman" w:hAnsi="Times New Roman" w:cs="Times New Roman"/>
                <w:b/>
                <w:sz w:val="24"/>
                <w:szCs w:val="24"/>
              </w:rPr>
            </w:pPr>
            <w:r w:rsidRPr="006326F3">
              <w:rPr>
                <w:rFonts w:ascii="Times New Roman" w:eastAsia="Times New Roman" w:hAnsi="Times New Roman" w:cs="Times New Roman"/>
                <w:b/>
                <w:sz w:val="24"/>
                <w:szCs w:val="24"/>
              </w:rPr>
              <w:t>Total Burden Costs (All Respondents)</w:t>
            </w:r>
          </w:p>
        </w:tc>
      </w:tr>
      <w:tr w14:paraId="4BB41EAA" w14:textId="77777777" w:rsidTr="00A76BA5">
        <w:tblPrEx>
          <w:tblW w:w="5000" w:type="pct"/>
          <w:jc w:val="center"/>
          <w:tblLayout w:type="fixed"/>
          <w:tblLook w:val="04A0"/>
        </w:tblPrEx>
        <w:trPr>
          <w:trHeight w:hRule="exact" w:val="559"/>
          <w:jc w:val="center"/>
        </w:trPr>
        <w:tc>
          <w:tcPr>
            <w:tcW w:w="1201" w:type="pct"/>
            <w:shd w:val="clear" w:color="auto" w:fill="auto"/>
            <w:vAlign w:val="center"/>
            <w:hideMark/>
          </w:tcPr>
          <w:p w:rsidR="00641FCD" w:rsidRPr="00805A00" w:rsidP="00641FCD" w14:paraId="5BD6C37A" w14:textId="77777777">
            <w:pPr>
              <w:widowControl/>
              <w:spacing w:after="0" w:line="240" w:lineRule="auto"/>
              <w:rPr>
                <w:rFonts w:ascii="Times New Roman" w:eastAsia="Times New Roman" w:hAnsi="Times New Roman" w:cs="Times New Roman"/>
                <w:sz w:val="24"/>
                <w:szCs w:val="24"/>
              </w:rPr>
            </w:pPr>
            <w:r w:rsidRPr="00805A00">
              <w:rPr>
                <w:rFonts w:ascii="Times New Roman" w:eastAsia="Times New Roman" w:hAnsi="Times New Roman" w:cs="Times New Roman"/>
                <w:sz w:val="24"/>
                <w:szCs w:val="24"/>
              </w:rPr>
              <w:t>Business Operations Specialist</w:t>
            </w:r>
          </w:p>
        </w:tc>
        <w:tc>
          <w:tcPr>
            <w:tcW w:w="771" w:type="pct"/>
            <w:shd w:val="clear" w:color="auto" w:fill="auto"/>
            <w:vAlign w:val="center"/>
            <w:hideMark/>
          </w:tcPr>
          <w:p w:rsidR="00641FCD" w:rsidRPr="00641FCD" w:rsidP="00641FCD" w14:paraId="5915FF01" w14:textId="32708E19">
            <w:pPr>
              <w:widowControl/>
              <w:spacing w:after="0" w:line="240" w:lineRule="auto"/>
              <w:jc w:val="center"/>
              <w:rPr>
                <w:rFonts w:ascii="Times New Roman" w:eastAsia="Times New Roman" w:hAnsi="Times New Roman" w:cs="Times New Roman"/>
                <w:sz w:val="24"/>
                <w:szCs w:val="24"/>
              </w:rPr>
            </w:pPr>
            <w:r w:rsidRPr="009702C9">
              <w:rPr>
                <w:rFonts w:ascii="Times New Roman" w:hAnsi="Times New Roman" w:cs="Times New Roman"/>
                <w:color w:val="000000"/>
              </w:rPr>
              <w:t>20</w:t>
            </w:r>
          </w:p>
        </w:tc>
        <w:tc>
          <w:tcPr>
            <w:tcW w:w="866" w:type="pct"/>
            <w:shd w:val="clear" w:color="auto" w:fill="auto"/>
            <w:vAlign w:val="center"/>
            <w:hideMark/>
          </w:tcPr>
          <w:p w:rsidR="00641FCD" w:rsidRPr="00641FCD" w:rsidP="00641FCD" w14:paraId="3BE4A17B" w14:textId="3A63FA42">
            <w:pPr>
              <w:widowControl/>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rPr>
              <w:t>$</w:t>
            </w:r>
            <w:r w:rsidR="00BC4E25">
              <w:rPr>
                <w:rFonts w:ascii="Times New Roman" w:eastAsia="Times New Roman" w:hAnsi="Times New Roman" w:cs="Times New Roman"/>
                <w:sz w:val="24"/>
                <w:szCs w:val="24"/>
              </w:rPr>
              <w:t>73.12</w:t>
            </w:r>
          </w:p>
        </w:tc>
        <w:tc>
          <w:tcPr>
            <w:tcW w:w="577" w:type="pct"/>
            <w:shd w:val="clear" w:color="auto" w:fill="auto"/>
            <w:vAlign w:val="center"/>
            <w:hideMark/>
          </w:tcPr>
          <w:p w:rsidR="00641FCD" w:rsidRPr="00641FCD" w:rsidP="00641FCD" w14:paraId="4D13B689" w14:textId="230835BE">
            <w:pPr>
              <w:widowControl/>
              <w:spacing w:after="0" w:line="240" w:lineRule="auto"/>
              <w:jc w:val="center"/>
              <w:rPr>
                <w:rFonts w:ascii="Times New Roman" w:eastAsia="Times New Roman" w:hAnsi="Times New Roman" w:cs="Times New Roman"/>
                <w:sz w:val="24"/>
                <w:szCs w:val="24"/>
              </w:rPr>
            </w:pPr>
            <w:r w:rsidRPr="009702C9">
              <w:rPr>
                <w:rFonts w:ascii="Times New Roman" w:hAnsi="Times New Roman" w:cs="Times New Roman"/>
                <w:color w:val="000000"/>
              </w:rPr>
              <w:t>19</w:t>
            </w:r>
          </w:p>
        </w:tc>
        <w:tc>
          <w:tcPr>
            <w:tcW w:w="771" w:type="pct"/>
            <w:shd w:val="clear" w:color="auto" w:fill="auto"/>
            <w:vAlign w:val="center"/>
            <w:hideMark/>
          </w:tcPr>
          <w:p w:rsidR="00641FCD" w:rsidRPr="00641FCD" w:rsidP="00641FCD" w14:paraId="084E9138" w14:textId="28847EA9">
            <w:pPr>
              <w:widowControl/>
              <w:spacing w:after="0" w:line="240" w:lineRule="auto"/>
              <w:jc w:val="center"/>
              <w:rPr>
                <w:rFonts w:ascii="Times New Roman" w:eastAsia="Times New Roman" w:hAnsi="Times New Roman" w:cs="Times New Roman"/>
                <w:sz w:val="24"/>
                <w:szCs w:val="24"/>
              </w:rPr>
            </w:pPr>
            <w:r w:rsidRPr="009702C9">
              <w:rPr>
                <w:rFonts w:ascii="Times New Roman" w:hAnsi="Times New Roman" w:cs="Times New Roman"/>
                <w:color w:val="000000"/>
              </w:rPr>
              <w:t>$</w:t>
            </w:r>
            <w:r w:rsidR="00BC4E25">
              <w:rPr>
                <w:rFonts w:ascii="Times New Roman" w:hAnsi="Times New Roman" w:cs="Times New Roman"/>
                <w:color w:val="000000"/>
              </w:rPr>
              <w:t>1,389.28</w:t>
            </w:r>
            <w:r w:rsidRPr="009702C9" w:rsidR="00BC4E25">
              <w:rPr>
                <w:rFonts w:ascii="Times New Roman" w:hAnsi="Times New Roman" w:cs="Times New Roman"/>
                <w:color w:val="000000"/>
              </w:rPr>
              <w:t xml:space="preserve"> </w:t>
            </w:r>
            <w:r w:rsidRPr="009702C9">
              <w:rPr>
                <w:rFonts w:ascii="Times New Roman" w:hAnsi="Times New Roman" w:cs="Times New Roman"/>
                <w:color w:val="000000"/>
              </w:rPr>
              <w:t xml:space="preserve"> </w:t>
            </w:r>
          </w:p>
        </w:tc>
        <w:tc>
          <w:tcPr>
            <w:tcW w:w="814" w:type="pct"/>
            <w:shd w:val="clear" w:color="auto" w:fill="auto"/>
            <w:vAlign w:val="center"/>
            <w:hideMark/>
          </w:tcPr>
          <w:p w:rsidR="00641FCD" w:rsidRPr="00641FCD" w:rsidP="00641FCD" w14:paraId="4925D6F4" w14:textId="7DFBD436">
            <w:pPr>
              <w:widowControl/>
              <w:spacing w:after="0" w:line="240" w:lineRule="auto"/>
              <w:jc w:val="center"/>
              <w:rPr>
                <w:rFonts w:ascii="Times New Roman" w:eastAsia="Times New Roman" w:hAnsi="Times New Roman" w:cs="Times New Roman"/>
                <w:sz w:val="24"/>
                <w:szCs w:val="24"/>
              </w:rPr>
            </w:pPr>
            <w:r w:rsidRPr="009702C9">
              <w:rPr>
                <w:rFonts w:ascii="Times New Roman" w:hAnsi="Times New Roman" w:cs="Times New Roman"/>
                <w:color w:val="000000"/>
              </w:rPr>
              <w:t>$</w:t>
            </w:r>
            <w:r w:rsidR="00BC4E25">
              <w:rPr>
                <w:rFonts w:ascii="Times New Roman" w:hAnsi="Times New Roman" w:cs="Times New Roman"/>
                <w:color w:val="000000"/>
              </w:rPr>
              <w:t>27,785.60</w:t>
            </w:r>
            <w:r w:rsidRPr="009702C9">
              <w:rPr>
                <w:rFonts w:ascii="Times New Roman" w:hAnsi="Times New Roman" w:cs="Times New Roman"/>
                <w:color w:val="000000"/>
              </w:rPr>
              <w:t xml:space="preserve"> </w:t>
            </w:r>
          </w:p>
        </w:tc>
      </w:tr>
      <w:bookmarkEnd w:id="27"/>
    </w:tbl>
    <w:p w:rsidR="00EC3480" w:rsidRPr="00805A00" w:rsidP="00234238" w14:paraId="08B33ED8" w14:textId="77777777">
      <w:pPr>
        <w:spacing w:before="15" w:after="0" w:line="240" w:lineRule="exact"/>
        <w:rPr>
          <w:sz w:val="24"/>
          <w:szCs w:val="24"/>
        </w:rPr>
      </w:pPr>
    </w:p>
    <w:p w:rsidR="003C2B23" w:rsidP="00234238" w14:paraId="7B2F07BB" w14:textId="22C05AC5">
      <w:pPr>
        <w:spacing w:after="0" w:line="246" w:lineRule="auto"/>
        <w:rPr>
          <w:rFonts w:ascii="Times New Roman" w:eastAsia="Times New Roman" w:hAnsi="Times New Roman" w:cs="Times New Roman"/>
          <w:bCs/>
          <w:sz w:val="24"/>
          <w:szCs w:val="24"/>
        </w:rPr>
      </w:pPr>
      <w:bookmarkStart w:id="28" w:name="_Hlk159956774"/>
      <w:bookmarkEnd w:id="22"/>
      <w:r w:rsidRPr="009C30FD">
        <w:rPr>
          <w:rFonts w:ascii="Times New Roman" w:eastAsia="Times New Roman" w:hAnsi="Times New Roman" w:cs="Times New Roman"/>
          <w:b/>
          <w:sz w:val="24"/>
          <w:szCs w:val="24"/>
        </w:rPr>
        <w:t xml:space="preserve">DE Entity </w:t>
      </w:r>
      <w:r>
        <w:rPr>
          <w:rFonts w:ascii="Times New Roman" w:eastAsia="Times New Roman" w:hAnsi="Times New Roman" w:cs="Times New Roman"/>
          <w:b/>
          <w:sz w:val="24"/>
          <w:szCs w:val="24"/>
        </w:rPr>
        <w:t>ORR Requirements</w:t>
      </w:r>
      <w:r w:rsidR="00CB7C10">
        <w:rPr>
          <w:rFonts w:ascii="Times New Roman" w:eastAsia="Times New Roman" w:hAnsi="Times New Roman" w:cs="Times New Roman"/>
          <w:b/>
          <w:sz w:val="24"/>
          <w:szCs w:val="24"/>
        </w:rPr>
        <w:t xml:space="preserve"> (45 C.F.R. </w:t>
      </w:r>
      <w:r w:rsidRPr="006A0910" w:rsidR="00CB7C10">
        <w:rPr>
          <w:rFonts w:ascii="Times New Roman" w:eastAsia="Times New Roman" w:hAnsi="Times New Roman" w:cs="Times New Roman"/>
          <w:b/>
          <w:sz w:val="24"/>
          <w:szCs w:val="24"/>
        </w:rPr>
        <w:t>§</w:t>
      </w:r>
      <w:r w:rsidR="00CB7C10">
        <w:rPr>
          <w:rFonts w:ascii="Times New Roman" w:eastAsia="Times New Roman" w:hAnsi="Times New Roman" w:cs="Times New Roman"/>
          <w:b/>
          <w:sz w:val="24"/>
          <w:szCs w:val="24"/>
        </w:rPr>
        <w:t>155.221(b)(4))</w:t>
      </w:r>
      <w:bookmarkEnd w:id="28"/>
      <w:r w:rsidRPr="009C30FD">
        <w:rPr>
          <w:rFonts w:ascii="Times New Roman" w:eastAsia="Times New Roman" w:hAnsi="Times New Roman" w:cs="Times New Roman"/>
          <w:sz w:val="24"/>
          <w:szCs w:val="24"/>
        </w:rPr>
        <w:t>:</w:t>
      </w:r>
      <w:r w:rsidRPr="00805A00">
        <w:rPr>
          <w:rFonts w:ascii="Times New Roman" w:eastAsia="Times New Roman" w:hAnsi="Times New Roman" w:cs="Times New Roman"/>
          <w:b/>
          <w:sz w:val="24"/>
          <w:szCs w:val="24"/>
        </w:rPr>
        <w:t xml:space="preserve"> </w:t>
      </w:r>
      <w:r w:rsidRPr="00805A00">
        <w:rPr>
          <w:rFonts w:ascii="Times New Roman" w:eastAsia="Times New Roman" w:hAnsi="Times New Roman" w:cs="Times New Roman"/>
          <w:sz w:val="24"/>
          <w:szCs w:val="24"/>
        </w:rPr>
        <w:t xml:space="preserve">We estimate that it </w:t>
      </w:r>
      <w:r w:rsidR="00F70FDA">
        <w:rPr>
          <w:rFonts w:ascii="Times New Roman" w:eastAsia="Times New Roman" w:hAnsi="Times New Roman" w:cs="Times New Roman"/>
          <w:sz w:val="24"/>
          <w:szCs w:val="24"/>
        </w:rPr>
        <w:t>will</w:t>
      </w:r>
      <w:r w:rsidRPr="00805A00">
        <w:rPr>
          <w:rFonts w:ascii="Times New Roman" w:eastAsia="Times New Roman" w:hAnsi="Times New Roman" w:cs="Times New Roman"/>
          <w:sz w:val="24"/>
          <w:szCs w:val="24"/>
        </w:rPr>
        <w:t xml:space="preserve"> take up to 72 hours at an hourly cost of </w:t>
      </w:r>
      <w:r w:rsidR="00872671">
        <w:rPr>
          <w:rFonts w:ascii="Times New Roman" w:eastAsia="Times New Roman" w:hAnsi="Times New Roman" w:cs="Times New Roman"/>
          <w:sz w:val="24"/>
          <w:szCs w:val="24"/>
        </w:rPr>
        <w:t>$</w:t>
      </w:r>
      <w:r w:rsidR="001E1029">
        <w:rPr>
          <w:rFonts w:ascii="Times New Roman" w:eastAsia="Times New Roman" w:hAnsi="Times New Roman" w:cs="Times New Roman"/>
          <w:sz w:val="24"/>
          <w:szCs w:val="24"/>
        </w:rPr>
        <w:t>75.00</w:t>
      </w:r>
      <w:r w:rsidR="00872671">
        <w:rPr>
          <w:rFonts w:ascii="Times New Roman" w:eastAsia="Times New Roman" w:hAnsi="Times New Roman" w:cs="Times New Roman"/>
          <w:sz w:val="24"/>
          <w:szCs w:val="24"/>
        </w:rPr>
        <w:t xml:space="preserve"> </w:t>
      </w:r>
      <w:r w:rsidRPr="00805A00">
        <w:rPr>
          <w:rFonts w:ascii="Times New Roman" w:eastAsia="Times New Roman" w:hAnsi="Times New Roman" w:cs="Times New Roman"/>
          <w:sz w:val="24"/>
          <w:szCs w:val="24"/>
        </w:rPr>
        <w:t xml:space="preserve">for an </w:t>
      </w:r>
      <w:r w:rsidRPr="006326F3">
        <w:rPr>
          <w:rFonts w:ascii="Times New Roman" w:eastAsia="Times New Roman" w:hAnsi="Times New Roman" w:cs="Times New Roman"/>
          <w:sz w:val="24"/>
          <w:szCs w:val="24"/>
        </w:rPr>
        <w:t>EDE</w:t>
      </w:r>
      <w:r>
        <w:rPr>
          <w:rFonts w:ascii="Times New Roman" w:eastAsia="Times New Roman" w:hAnsi="Times New Roman" w:cs="Times New Roman"/>
          <w:sz w:val="24"/>
          <w:szCs w:val="24"/>
        </w:rPr>
        <w:t xml:space="preserve"> Entity’s </w:t>
      </w:r>
      <w:r w:rsidRPr="00805A00">
        <w:rPr>
          <w:rFonts w:ascii="Times New Roman" w:eastAsia="Times New Roman" w:hAnsi="Times New Roman" w:cs="Times New Roman"/>
          <w:sz w:val="24"/>
          <w:szCs w:val="24"/>
        </w:rPr>
        <w:t xml:space="preserve">Auditor to </w:t>
      </w:r>
      <w:r w:rsidRPr="00805A00">
        <w:rPr>
          <w:rFonts w:ascii="Times New Roman" w:eastAsia="Times New Roman" w:hAnsi="Times New Roman" w:cs="Times New Roman"/>
          <w:spacing w:val="1"/>
          <w:sz w:val="24"/>
          <w:szCs w:val="24"/>
        </w:rPr>
        <w:t xml:space="preserve">complete and submit a business </w:t>
      </w:r>
      <w:r>
        <w:rPr>
          <w:rFonts w:ascii="Times New Roman" w:eastAsia="Times New Roman" w:hAnsi="Times New Roman" w:cs="Times New Roman"/>
          <w:spacing w:val="1"/>
          <w:sz w:val="24"/>
          <w:szCs w:val="24"/>
        </w:rPr>
        <w:t xml:space="preserve">audit report </w:t>
      </w:r>
      <w:r w:rsidRPr="00805A00">
        <w:rPr>
          <w:rFonts w:ascii="Times New Roman" w:eastAsia="Times New Roman" w:hAnsi="Times New Roman" w:cs="Times New Roman"/>
          <w:spacing w:val="1"/>
          <w:sz w:val="24"/>
          <w:szCs w:val="24"/>
        </w:rPr>
        <w:t>to HHS</w:t>
      </w:r>
      <w:r>
        <w:rPr>
          <w:rFonts w:ascii="Times New Roman" w:eastAsia="Times New Roman" w:hAnsi="Times New Roman" w:cs="Times New Roman"/>
          <w:spacing w:val="1"/>
          <w:sz w:val="24"/>
          <w:szCs w:val="24"/>
        </w:rPr>
        <w:t xml:space="preserve"> each year, including testing results, as described</w:t>
      </w:r>
      <w:r w:rsidRPr="00D20B32">
        <w:rPr>
          <w:rFonts w:ascii="Times New Roman" w:eastAsia="Times New Roman" w:hAnsi="Times New Roman" w:cs="Times New Roman"/>
          <w:spacing w:val="1"/>
          <w:sz w:val="24"/>
          <w:szCs w:val="24"/>
        </w:rPr>
        <w:t xml:space="preserve"> in </w:t>
      </w:r>
      <w:r>
        <w:rPr>
          <w:rFonts w:ascii="Times New Roman" w:eastAsia="Times New Roman" w:hAnsi="Times New Roman" w:cs="Times New Roman"/>
          <w:spacing w:val="1"/>
          <w:sz w:val="24"/>
          <w:szCs w:val="24"/>
        </w:rPr>
        <w:t>§155.221(b)(4)(i)(C)</w:t>
      </w:r>
      <w:r w:rsidRPr="00805A00">
        <w:rPr>
          <w:rFonts w:ascii="Times New Roman" w:eastAsia="Times New Roman" w:hAnsi="Times New Roman" w:cs="Times New Roman"/>
          <w:spacing w:val="1"/>
          <w:sz w:val="24"/>
          <w:szCs w:val="24"/>
        </w:rPr>
        <w:t>.</w:t>
      </w:r>
      <w:r w:rsidRPr="00805A0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total burden for each EDE Entity </w:t>
      </w:r>
      <w:r w:rsidR="00F70FDA">
        <w:rPr>
          <w:rFonts w:ascii="Times New Roman" w:eastAsia="Times New Roman" w:hAnsi="Times New Roman" w:cs="Times New Roman"/>
          <w:sz w:val="24"/>
          <w:szCs w:val="24"/>
        </w:rPr>
        <w:t>will</w:t>
      </w:r>
      <w:r>
        <w:rPr>
          <w:rFonts w:ascii="Times New Roman" w:eastAsia="Times New Roman" w:hAnsi="Times New Roman" w:cs="Times New Roman"/>
          <w:sz w:val="24"/>
          <w:szCs w:val="24"/>
        </w:rPr>
        <w:t xml:space="preserve"> be approximately 72 hours, with an equivalent cost of approximately</w:t>
      </w:r>
      <w:r w:rsidR="00872671">
        <w:rPr>
          <w:rFonts w:ascii="Times New Roman" w:eastAsia="Times New Roman" w:hAnsi="Times New Roman" w:cs="Times New Roman"/>
          <w:sz w:val="24"/>
          <w:szCs w:val="24"/>
        </w:rPr>
        <w:t xml:space="preserve"> $</w:t>
      </w:r>
      <w:r w:rsidR="001E1029">
        <w:rPr>
          <w:rFonts w:ascii="Times New Roman" w:eastAsia="Times New Roman" w:hAnsi="Times New Roman" w:cs="Times New Roman"/>
          <w:sz w:val="24"/>
          <w:szCs w:val="24"/>
        </w:rPr>
        <w:t>5,400.00</w:t>
      </w:r>
      <w:r>
        <w:rPr>
          <w:rFonts w:ascii="Times New Roman" w:eastAsia="Times New Roman" w:hAnsi="Times New Roman" w:cs="Times New Roman"/>
          <w:sz w:val="24"/>
          <w:szCs w:val="24"/>
        </w:rPr>
        <w:t xml:space="preserve">. </w:t>
      </w:r>
      <w:r w:rsidRPr="00805A00">
        <w:rPr>
          <w:rFonts w:ascii="Times New Roman" w:eastAsia="Times New Roman" w:hAnsi="Times New Roman" w:cs="Times New Roman"/>
          <w:sz w:val="24"/>
          <w:szCs w:val="24"/>
        </w:rPr>
        <w:t xml:space="preserve">Based on current year-to-date </w:t>
      </w:r>
      <w:r>
        <w:rPr>
          <w:rFonts w:ascii="Times New Roman" w:eastAsia="Times New Roman" w:hAnsi="Times New Roman" w:cs="Times New Roman"/>
          <w:sz w:val="24"/>
          <w:szCs w:val="24"/>
        </w:rPr>
        <w:t xml:space="preserve">EDE Entity </w:t>
      </w:r>
      <w:r w:rsidRPr="00805A00">
        <w:rPr>
          <w:rFonts w:ascii="Times New Roman" w:eastAsia="Times New Roman" w:hAnsi="Times New Roman" w:cs="Times New Roman"/>
          <w:sz w:val="24"/>
          <w:szCs w:val="24"/>
        </w:rPr>
        <w:t xml:space="preserve">participation and potential market size, we estimate that 4 </w:t>
      </w:r>
      <w:r>
        <w:rPr>
          <w:rFonts w:ascii="Times New Roman" w:eastAsia="Times New Roman" w:hAnsi="Times New Roman" w:cs="Times New Roman"/>
          <w:sz w:val="24"/>
          <w:szCs w:val="24"/>
        </w:rPr>
        <w:t>E</w:t>
      </w:r>
      <w:r w:rsidRPr="00805A00">
        <w:rPr>
          <w:rFonts w:ascii="Times New Roman" w:eastAsia="Times New Roman" w:hAnsi="Times New Roman" w:cs="Times New Roman"/>
          <w:sz w:val="24"/>
          <w:szCs w:val="24"/>
        </w:rPr>
        <w:t>DE Entities will participate</w:t>
      </w:r>
      <w:r>
        <w:rPr>
          <w:rFonts w:ascii="Times New Roman" w:eastAsia="Times New Roman" w:hAnsi="Times New Roman" w:cs="Times New Roman"/>
          <w:sz w:val="24"/>
          <w:szCs w:val="24"/>
        </w:rPr>
        <w:t xml:space="preserve"> in a manner that would trigger this information collection</w:t>
      </w:r>
      <w:r w:rsidRPr="00805A00">
        <w:rPr>
          <w:rFonts w:ascii="Times New Roman" w:eastAsia="Times New Roman" w:hAnsi="Times New Roman" w:cs="Times New Roman"/>
          <w:sz w:val="24"/>
          <w:szCs w:val="24"/>
        </w:rPr>
        <w:t xml:space="preserve">. We estimate that it will take up to 122 hours at an hourly cost of </w:t>
      </w:r>
      <w:r w:rsidR="00872671">
        <w:rPr>
          <w:rFonts w:ascii="Times New Roman" w:eastAsia="Times New Roman" w:hAnsi="Times New Roman" w:cs="Times New Roman"/>
          <w:sz w:val="24"/>
          <w:szCs w:val="24"/>
        </w:rPr>
        <w:t>$</w:t>
      </w:r>
      <w:r w:rsidR="001E1029">
        <w:rPr>
          <w:rFonts w:ascii="Times New Roman" w:eastAsia="Times New Roman" w:hAnsi="Times New Roman" w:cs="Times New Roman"/>
          <w:sz w:val="24"/>
          <w:szCs w:val="24"/>
        </w:rPr>
        <w:t>75.00</w:t>
      </w:r>
      <w:r w:rsidR="00872671">
        <w:rPr>
          <w:rFonts w:ascii="Times New Roman" w:eastAsia="Times New Roman" w:hAnsi="Times New Roman" w:cs="Times New Roman"/>
          <w:sz w:val="24"/>
          <w:szCs w:val="24"/>
        </w:rPr>
        <w:t xml:space="preserve"> </w:t>
      </w:r>
      <w:r w:rsidRPr="00805A00">
        <w:rPr>
          <w:rFonts w:ascii="Times New Roman" w:eastAsia="Times New Roman" w:hAnsi="Times New Roman" w:cs="Times New Roman"/>
          <w:sz w:val="24"/>
          <w:szCs w:val="24"/>
        </w:rPr>
        <w:t xml:space="preserve">for an </w:t>
      </w:r>
      <w:r>
        <w:rPr>
          <w:rFonts w:ascii="Times New Roman" w:eastAsia="Times New Roman" w:hAnsi="Times New Roman" w:cs="Times New Roman"/>
          <w:sz w:val="24"/>
          <w:szCs w:val="24"/>
        </w:rPr>
        <w:t xml:space="preserve">EDE Entity’s </w:t>
      </w:r>
      <w:r w:rsidRPr="00805A00">
        <w:rPr>
          <w:rFonts w:ascii="Times New Roman" w:eastAsia="Times New Roman" w:hAnsi="Times New Roman" w:cs="Times New Roman"/>
          <w:sz w:val="24"/>
          <w:szCs w:val="24"/>
        </w:rPr>
        <w:t xml:space="preserve">Auditor to </w:t>
      </w:r>
      <w:r w:rsidRPr="00805A00">
        <w:rPr>
          <w:rFonts w:ascii="Times New Roman" w:eastAsia="Times New Roman" w:hAnsi="Times New Roman" w:cs="Times New Roman"/>
          <w:spacing w:val="1"/>
          <w:sz w:val="24"/>
          <w:szCs w:val="24"/>
        </w:rPr>
        <w:t>complete and submit a security and privacy audit package</w:t>
      </w:r>
      <w:r>
        <w:rPr>
          <w:rFonts w:ascii="Times New Roman" w:eastAsia="Times New Roman" w:hAnsi="Times New Roman" w:cs="Times New Roman"/>
          <w:spacing w:val="1"/>
          <w:sz w:val="24"/>
          <w:szCs w:val="24"/>
        </w:rPr>
        <w:t xml:space="preserve"> </w:t>
      </w:r>
      <w:r w:rsidRPr="00805A00">
        <w:rPr>
          <w:rFonts w:ascii="Times New Roman" w:eastAsia="Times New Roman" w:hAnsi="Times New Roman" w:cs="Times New Roman"/>
          <w:spacing w:val="1"/>
          <w:sz w:val="24"/>
          <w:szCs w:val="24"/>
        </w:rPr>
        <w:t xml:space="preserve">to HHS </w:t>
      </w:r>
      <w:r>
        <w:rPr>
          <w:rFonts w:ascii="Times New Roman" w:eastAsia="Times New Roman" w:hAnsi="Times New Roman" w:cs="Times New Roman"/>
          <w:spacing w:val="1"/>
          <w:sz w:val="24"/>
          <w:szCs w:val="24"/>
        </w:rPr>
        <w:t>each</w:t>
      </w:r>
      <w:r w:rsidRPr="00805A00">
        <w:rPr>
          <w:rFonts w:ascii="Times New Roman" w:eastAsia="Times New Roman" w:hAnsi="Times New Roman" w:cs="Times New Roman"/>
          <w:spacing w:val="1"/>
          <w:sz w:val="24"/>
          <w:szCs w:val="24"/>
        </w:rPr>
        <w:t xml:space="preserve"> year</w:t>
      </w:r>
      <w:r>
        <w:rPr>
          <w:rFonts w:ascii="Times New Roman" w:eastAsia="Times New Roman" w:hAnsi="Times New Roman" w:cs="Times New Roman"/>
          <w:spacing w:val="1"/>
          <w:sz w:val="24"/>
          <w:szCs w:val="24"/>
        </w:rPr>
        <w:t>, as described</w:t>
      </w:r>
      <w:r w:rsidRPr="00E62355">
        <w:rPr>
          <w:rFonts w:ascii="Times New Roman" w:eastAsia="Times New Roman" w:hAnsi="Times New Roman" w:cs="Times New Roman"/>
          <w:spacing w:val="1"/>
          <w:sz w:val="24"/>
          <w:szCs w:val="24"/>
        </w:rPr>
        <w:t xml:space="preserve"> in </w:t>
      </w:r>
      <w:r>
        <w:rPr>
          <w:rFonts w:ascii="Times New Roman" w:eastAsia="Times New Roman" w:hAnsi="Times New Roman" w:cs="Times New Roman"/>
          <w:spacing w:val="1"/>
          <w:sz w:val="24"/>
          <w:szCs w:val="24"/>
        </w:rPr>
        <w:t>§155.221(b)(4)(ii</w:t>
      </w:r>
      <w:bookmarkStart w:id="29" w:name="_Hlk145455650"/>
      <w:r>
        <w:rPr>
          <w:rFonts w:ascii="Times New Roman" w:eastAsia="Times New Roman" w:hAnsi="Times New Roman" w:cs="Times New Roman"/>
          <w:spacing w:val="1"/>
          <w:sz w:val="24"/>
          <w:szCs w:val="24"/>
        </w:rPr>
        <w:t>)</w:t>
      </w:r>
      <w:r w:rsidRPr="00805A00">
        <w:rPr>
          <w:rFonts w:ascii="Times New Roman" w:eastAsia="Times New Roman" w:hAnsi="Times New Roman" w:cs="Times New Roman"/>
          <w:spacing w:val="1"/>
          <w:sz w:val="24"/>
          <w:szCs w:val="24"/>
        </w:rPr>
        <w:t>.</w:t>
      </w:r>
      <w:r w:rsidRPr="00805A0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total burden for each EDE Entity </w:t>
      </w:r>
      <w:r w:rsidR="00F70FDA">
        <w:rPr>
          <w:rFonts w:ascii="Times New Roman" w:eastAsia="Times New Roman" w:hAnsi="Times New Roman" w:cs="Times New Roman"/>
          <w:sz w:val="24"/>
          <w:szCs w:val="24"/>
        </w:rPr>
        <w:t>will</w:t>
      </w:r>
      <w:r>
        <w:rPr>
          <w:rFonts w:ascii="Times New Roman" w:eastAsia="Times New Roman" w:hAnsi="Times New Roman" w:cs="Times New Roman"/>
          <w:sz w:val="24"/>
          <w:szCs w:val="24"/>
        </w:rPr>
        <w:t xml:space="preserve"> be approximately 122 hours, with an equivalent cost of approximately</w:t>
      </w:r>
      <w:r w:rsidR="0051489C">
        <w:rPr>
          <w:rFonts w:ascii="Times New Roman" w:eastAsia="Times New Roman" w:hAnsi="Times New Roman" w:cs="Times New Roman"/>
          <w:sz w:val="24"/>
          <w:szCs w:val="24"/>
        </w:rPr>
        <w:t xml:space="preserve"> $</w:t>
      </w:r>
      <w:r w:rsidR="001E1029">
        <w:rPr>
          <w:rFonts w:ascii="Times New Roman" w:eastAsia="Times New Roman" w:hAnsi="Times New Roman" w:cs="Times New Roman"/>
          <w:sz w:val="24"/>
          <w:szCs w:val="24"/>
        </w:rPr>
        <w:t>9,150.00</w:t>
      </w:r>
      <w:bookmarkEnd w:id="29"/>
      <w:r>
        <w:rPr>
          <w:rFonts w:ascii="Times New Roman" w:eastAsia="Times New Roman" w:hAnsi="Times New Roman" w:cs="Times New Roman"/>
          <w:sz w:val="24"/>
          <w:szCs w:val="24"/>
        </w:rPr>
        <w:t xml:space="preserve">. </w:t>
      </w:r>
      <w:r w:rsidRPr="00805A00">
        <w:rPr>
          <w:rFonts w:ascii="Times New Roman" w:eastAsia="Times New Roman" w:hAnsi="Times New Roman" w:cs="Times New Roman"/>
          <w:sz w:val="24"/>
          <w:szCs w:val="24"/>
        </w:rPr>
        <w:t xml:space="preserve">Based on current year-to-date </w:t>
      </w:r>
      <w:r>
        <w:rPr>
          <w:rFonts w:ascii="Times New Roman" w:eastAsia="Times New Roman" w:hAnsi="Times New Roman" w:cs="Times New Roman"/>
          <w:sz w:val="24"/>
          <w:szCs w:val="24"/>
        </w:rPr>
        <w:t xml:space="preserve">EDE Entity </w:t>
      </w:r>
      <w:r w:rsidRPr="00805A00">
        <w:rPr>
          <w:rFonts w:ascii="Times New Roman" w:eastAsia="Times New Roman" w:hAnsi="Times New Roman" w:cs="Times New Roman"/>
          <w:sz w:val="24"/>
          <w:szCs w:val="24"/>
        </w:rPr>
        <w:t xml:space="preserve">participation and potential market size, we estimate that </w:t>
      </w:r>
      <w:r w:rsidRPr="001A74DE">
        <w:rPr>
          <w:rFonts w:ascii="Times New Roman" w:eastAsia="Times New Roman" w:hAnsi="Times New Roman" w:cs="Times New Roman"/>
          <w:sz w:val="24"/>
          <w:szCs w:val="24"/>
        </w:rPr>
        <w:t>14</w:t>
      </w:r>
      <w:r w:rsidRPr="00805A0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w:t>
      </w:r>
      <w:r w:rsidRPr="00805A00">
        <w:rPr>
          <w:rFonts w:ascii="Times New Roman" w:eastAsia="Times New Roman" w:hAnsi="Times New Roman" w:cs="Times New Roman"/>
          <w:sz w:val="24"/>
          <w:szCs w:val="24"/>
        </w:rPr>
        <w:t>DE Entities will participate</w:t>
      </w:r>
      <w:r>
        <w:rPr>
          <w:rFonts w:ascii="Times New Roman" w:eastAsia="Times New Roman" w:hAnsi="Times New Roman" w:cs="Times New Roman"/>
          <w:sz w:val="24"/>
          <w:szCs w:val="24"/>
        </w:rPr>
        <w:t xml:space="preserve"> in a manner that would trigger this information collection</w:t>
      </w:r>
      <w:r w:rsidRPr="00805A00">
        <w:rPr>
          <w:rFonts w:ascii="Times New Roman" w:eastAsia="Times New Roman" w:hAnsi="Times New Roman" w:cs="Times New Roman"/>
          <w:sz w:val="24"/>
          <w:szCs w:val="24"/>
        </w:rPr>
        <w:t xml:space="preserve">. We estimate that it will take up to 9 hours at an hourly cost </w:t>
      </w:r>
      <w:r w:rsidRPr="00805A00" w:rsidR="00192B1D">
        <w:rPr>
          <w:rFonts w:ascii="Times New Roman" w:eastAsia="Times New Roman" w:hAnsi="Times New Roman" w:cs="Times New Roman"/>
          <w:sz w:val="24"/>
          <w:szCs w:val="24"/>
        </w:rPr>
        <w:t>of $</w:t>
      </w:r>
      <w:r w:rsidR="001E1029">
        <w:rPr>
          <w:rFonts w:ascii="Times New Roman" w:eastAsia="Times New Roman" w:hAnsi="Times New Roman" w:cs="Times New Roman"/>
          <w:sz w:val="24"/>
          <w:szCs w:val="24"/>
        </w:rPr>
        <w:t>73.12</w:t>
      </w:r>
      <w:r w:rsidR="004C3E49">
        <w:rPr>
          <w:rFonts w:ascii="Times New Roman" w:eastAsia="Times New Roman" w:hAnsi="Times New Roman" w:cs="Times New Roman"/>
          <w:sz w:val="24"/>
          <w:szCs w:val="24"/>
        </w:rPr>
        <w:t xml:space="preserve"> </w:t>
      </w:r>
      <w:r w:rsidRPr="00805A00">
        <w:rPr>
          <w:rFonts w:ascii="Times New Roman" w:eastAsia="Times New Roman" w:hAnsi="Times New Roman" w:cs="Times New Roman"/>
          <w:sz w:val="24"/>
          <w:szCs w:val="24"/>
        </w:rPr>
        <w:t xml:space="preserve">for a Business Operations Specialist to </w:t>
      </w:r>
      <w:r w:rsidRPr="00805A00">
        <w:rPr>
          <w:rFonts w:ascii="Times New Roman" w:eastAsia="Times New Roman" w:hAnsi="Times New Roman" w:cs="Times New Roman"/>
          <w:spacing w:val="1"/>
          <w:sz w:val="24"/>
          <w:szCs w:val="24"/>
        </w:rPr>
        <w:t xml:space="preserve">complete and submit </w:t>
      </w:r>
      <w:r>
        <w:rPr>
          <w:rFonts w:ascii="Times New Roman" w:eastAsia="Times New Roman" w:hAnsi="Times New Roman" w:cs="Times New Roman"/>
          <w:spacing w:val="1"/>
          <w:sz w:val="24"/>
          <w:szCs w:val="24"/>
        </w:rPr>
        <w:t>a typical EDE documentation package and related infor</w:t>
      </w:r>
      <w:r w:rsidRPr="00805A00">
        <w:rPr>
          <w:rFonts w:ascii="Times New Roman" w:eastAsia="Times New Roman" w:hAnsi="Times New Roman" w:cs="Times New Roman"/>
          <w:spacing w:val="1"/>
          <w:sz w:val="24"/>
          <w:szCs w:val="24"/>
        </w:rPr>
        <w:t>mation</w:t>
      </w:r>
      <w:r>
        <w:rPr>
          <w:rFonts w:ascii="Times New Roman" w:eastAsia="Times New Roman" w:hAnsi="Times New Roman" w:cs="Times New Roman"/>
          <w:spacing w:val="1"/>
          <w:sz w:val="24"/>
          <w:szCs w:val="24"/>
        </w:rPr>
        <w:t xml:space="preserve"> (including agreements) </w:t>
      </w:r>
      <w:r w:rsidRPr="00805A00">
        <w:rPr>
          <w:rFonts w:ascii="Times New Roman" w:eastAsia="Times New Roman" w:hAnsi="Times New Roman" w:cs="Times New Roman"/>
          <w:spacing w:val="1"/>
          <w:sz w:val="24"/>
          <w:szCs w:val="24"/>
        </w:rPr>
        <w:t xml:space="preserve">to HHS </w:t>
      </w:r>
      <w:r>
        <w:rPr>
          <w:rFonts w:ascii="Times New Roman" w:eastAsia="Times New Roman" w:hAnsi="Times New Roman" w:cs="Times New Roman"/>
          <w:spacing w:val="1"/>
          <w:sz w:val="24"/>
          <w:szCs w:val="24"/>
        </w:rPr>
        <w:t>each</w:t>
      </w:r>
      <w:r w:rsidRPr="00805A00">
        <w:rPr>
          <w:rFonts w:ascii="Times New Roman" w:eastAsia="Times New Roman" w:hAnsi="Times New Roman" w:cs="Times New Roman"/>
          <w:spacing w:val="1"/>
          <w:sz w:val="24"/>
          <w:szCs w:val="24"/>
        </w:rPr>
        <w:t xml:space="preserve"> year</w:t>
      </w:r>
      <w:r>
        <w:rPr>
          <w:rFonts w:ascii="Times New Roman" w:eastAsia="Times New Roman" w:hAnsi="Times New Roman" w:cs="Times New Roman"/>
          <w:spacing w:val="1"/>
          <w:sz w:val="24"/>
          <w:szCs w:val="24"/>
        </w:rPr>
        <w:t>, as described</w:t>
      </w:r>
      <w:r w:rsidRPr="00E62355">
        <w:rPr>
          <w:rFonts w:ascii="Times New Roman" w:eastAsia="Times New Roman" w:hAnsi="Times New Roman" w:cs="Times New Roman"/>
          <w:spacing w:val="1"/>
          <w:sz w:val="24"/>
          <w:szCs w:val="24"/>
        </w:rPr>
        <w:t xml:space="preserve"> in </w:t>
      </w:r>
      <w:r>
        <w:rPr>
          <w:rFonts w:ascii="Times New Roman" w:eastAsia="Times New Roman" w:hAnsi="Times New Roman" w:cs="Times New Roman"/>
          <w:spacing w:val="1"/>
          <w:sz w:val="24"/>
          <w:szCs w:val="24"/>
        </w:rPr>
        <w:t>§155.221(b)(4)(i)(A), (b)(4)(i)(B), and (b)(4)(v)</w:t>
      </w:r>
      <w:r w:rsidRPr="00805A0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total burden for each EDE Entity </w:t>
      </w:r>
      <w:r w:rsidR="00F70FDA">
        <w:rPr>
          <w:rFonts w:ascii="Times New Roman" w:eastAsia="Times New Roman" w:hAnsi="Times New Roman" w:cs="Times New Roman"/>
          <w:sz w:val="24"/>
          <w:szCs w:val="24"/>
        </w:rPr>
        <w:t>will</w:t>
      </w:r>
      <w:r>
        <w:rPr>
          <w:rFonts w:ascii="Times New Roman" w:eastAsia="Times New Roman" w:hAnsi="Times New Roman" w:cs="Times New Roman"/>
          <w:sz w:val="24"/>
          <w:szCs w:val="24"/>
        </w:rPr>
        <w:t xml:space="preserve"> be approximately 9 hours, with an equivalent cost of approximately</w:t>
      </w:r>
      <w:r w:rsidR="005D7020">
        <w:rPr>
          <w:rFonts w:ascii="Times New Roman" w:eastAsia="Times New Roman" w:hAnsi="Times New Roman" w:cs="Times New Roman"/>
          <w:sz w:val="24"/>
          <w:szCs w:val="24"/>
        </w:rPr>
        <w:t xml:space="preserve"> $</w:t>
      </w:r>
      <w:r w:rsidR="001E1029">
        <w:rPr>
          <w:rFonts w:ascii="Times New Roman" w:eastAsia="Times New Roman" w:hAnsi="Times New Roman" w:cs="Times New Roman"/>
          <w:sz w:val="24"/>
          <w:szCs w:val="24"/>
        </w:rPr>
        <w:t>658.08</w:t>
      </w:r>
      <w:r>
        <w:rPr>
          <w:rFonts w:ascii="Times New Roman" w:eastAsia="Times New Roman" w:hAnsi="Times New Roman" w:cs="Times New Roman"/>
          <w:sz w:val="24"/>
          <w:szCs w:val="24"/>
        </w:rPr>
        <w:t xml:space="preserve">. </w:t>
      </w:r>
      <w:r w:rsidRPr="00805A00">
        <w:rPr>
          <w:rFonts w:ascii="Times New Roman" w:eastAsia="Times New Roman" w:hAnsi="Times New Roman" w:cs="Times New Roman"/>
          <w:sz w:val="24"/>
          <w:szCs w:val="24"/>
        </w:rPr>
        <w:t xml:space="preserve">Based on current </w:t>
      </w:r>
      <w:r>
        <w:rPr>
          <w:rFonts w:ascii="Times New Roman" w:eastAsia="Times New Roman" w:hAnsi="Times New Roman" w:cs="Times New Roman"/>
          <w:sz w:val="24"/>
          <w:szCs w:val="24"/>
        </w:rPr>
        <w:t xml:space="preserve">EDE </w:t>
      </w:r>
      <w:r w:rsidRPr="00805A00">
        <w:rPr>
          <w:rFonts w:ascii="Times New Roman" w:eastAsia="Times New Roman" w:hAnsi="Times New Roman" w:cs="Times New Roman"/>
          <w:sz w:val="24"/>
          <w:szCs w:val="24"/>
        </w:rPr>
        <w:t xml:space="preserve">year-to-date participation and potential market size, we estimate that 77 </w:t>
      </w:r>
      <w:r>
        <w:rPr>
          <w:rFonts w:ascii="Times New Roman" w:eastAsia="Times New Roman" w:hAnsi="Times New Roman" w:cs="Times New Roman"/>
          <w:sz w:val="24"/>
          <w:szCs w:val="24"/>
        </w:rPr>
        <w:t>E</w:t>
      </w:r>
      <w:r w:rsidRPr="00805A00">
        <w:rPr>
          <w:rFonts w:ascii="Times New Roman" w:eastAsia="Times New Roman" w:hAnsi="Times New Roman" w:cs="Times New Roman"/>
          <w:sz w:val="24"/>
          <w:szCs w:val="24"/>
        </w:rPr>
        <w:t>DE Entities will participate</w:t>
      </w:r>
      <w:r>
        <w:rPr>
          <w:rFonts w:ascii="Times New Roman" w:eastAsia="Times New Roman" w:hAnsi="Times New Roman" w:cs="Times New Roman"/>
          <w:sz w:val="24"/>
          <w:szCs w:val="24"/>
        </w:rPr>
        <w:t xml:space="preserve"> in a manner that would trigger this information collection</w:t>
      </w:r>
      <w:r w:rsidRPr="00805A00">
        <w:rPr>
          <w:rFonts w:ascii="Times New Roman" w:eastAsia="Times New Roman" w:hAnsi="Times New Roman" w:cs="Times New Roman"/>
          <w:sz w:val="24"/>
          <w:szCs w:val="24"/>
        </w:rPr>
        <w:t>. We estimate that this data collection has a</w:t>
      </w:r>
      <w:r>
        <w:rPr>
          <w:rFonts w:ascii="Times New Roman" w:eastAsia="Times New Roman" w:hAnsi="Times New Roman" w:cs="Times New Roman"/>
          <w:sz w:val="24"/>
          <w:szCs w:val="24"/>
        </w:rPr>
        <w:t xml:space="preserve"> cumulative</w:t>
      </w:r>
      <w:r w:rsidRPr="00805A00">
        <w:rPr>
          <w:rFonts w:ascii="Times New Roman" w:eastAsia="Times New Roman" w:hAnsi="Times New Roman" w:cs="Times New Roman"/>
          <w:sz w:val="24"/>
          <w:szCs w:val="24"/>
        </w:rPr>
        <w:t xml:space="preserve"> annual burden of </w:t>
      </w:r>
      <w:r>
        <w:rPr>
          <w:rFonts w:ascii="Times New Roman" w:eastAsia="Times New Roman" w:hAnsi="Times New Roman" w:cs="Times New Roman"/>
          <w:sz w:val="24"/>
          <w:szCs w:val="24"/>
        </w:rPr>
        <w:t>2,689 hours with an annual cost of</w:t>
      </w:r>
      <w:r w:rsidR="00D046B2">
        <w:rPr>
          <w:rFonts w:ascii="Times New Roman" w:eastAsia="Times New Roman" w:hAnsi="Times New Roman" w:cs="Times New Roman"/>
          <w:sz w:val="24"/>
          <w:szCs w:val="24"/>
        </w:rPr>
        <w:t xml:space="preserve"> </w:t>
      </w:r>
      <w:r w:rsidRPr="00CC1EB8" w:rsidR="00CC1EB8">
        <w:rPr>
          <w:rFonts w:ascii="Times New Roman" w:eastAsia="Times New Roman" w:hAnsi="Times New Roman" w:cs="Times New Roman"/>
          <w:sz w:val="24"/>
          <w:szCs w:val="24"/>
        </w:rPr>
        <w:t>$</w:t>
      </w:r>
      <w:r w:rsidR="00D046B2">
        <w:rPr>
          <w:rFonts w:ascii="Times New Roman" w:eastAsia="Times New Roman" w:hAnsi="Times New Roman" w:cs="Times New Roman"/>
          <w:sz w:val="24"/>
          <w:szCs w:val="24"/>
        </w:rPr>
        <w:t>200,372.16</w:t>
      </w:r>
      <w:r>
        <w:rPr>
          <w:rFonts w:ascii="Times New Roman" w:eastAsia="Times New Roman" w:hAnsi="Times New Roman" w:cs="Times New Roman"/>
          <w:bCs/>
          <w:sz w:val="24"/>
          <w:szCs w:val="24"/>
        </w:rPr>
        <w:t>.</w:t>
      </w:r>
    </w:p>
    <w:p w:rsidR="003C2B23" w:rsidP="00234238" w14:paraId="372E91E5" w14:textId="77777777">
      <w:pPr>
        <w:spacing w:after="0" w:line="246" w:lineRule="auto"/>
        <w:rPr>
          <w:rFonts w:ascii="Times New Roman" w:eastAsia="Times New Roman" w:hAnsi="Times New Roman" w:cs="Times New Roman"/>
          <w:bCs/>
          <w:sz w:val="24"/>
          <w:szCs w:val="24"/>
        </w:rPr>
      </w:pPr>
    </w:p>
    <w:p w:rsidR="00FE1BF4" w:rsidRPr="00396933" w:rsidP="00234238" w14:paraId="0916C2CC" w14:textId="2455655D">
      <w:pPr>
        <w:spacing w:after="0" w:line="246" w:lineRule="auto"/>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Pursuant to </w:t>
      </w:r>
      <w:r w:rsidRPr="00710F60">
        <w:rPr>
          <w:rFonts w:ascii="Times New Roman" w:eastAsia="Times New Roman" w:hAnsi="Times New Roman" w:cs="Times New Roman"/>
          <w:spacing w:val="1"/>
          <w:sz w:val="24"/>
          <w:szCs w:val="24"/>
        </w:rPr>
        <w:t>§155.221(b)(4)(i) and (b)(4)(v)</w:t>
      </w:r>
      <w:r>
        <w:rPr>
          <w:rFonts w:ascii="Times New Roman" w:eastAsia="Times New Roman" w:hAnsi="Times New Roman" w:cs="Times New Roman"/>
          <w:spacing w:val="1"/>
          <w:sz w:val="24"/>
          <w:szCs w:val="24"/>
        </w:rPr>
        <w:t xml:space="preserve">, to fulfill ORR requirements DE Entities </w:t>
      </w:r>
      <w:r w:rsidR="001E33A6">
        <w:rPr>
          <w:rFonts w:ascii="Times New Roman" w:eastAsia="Times New Roman" w:hAnsi="Times New Roman" w:cs="Times New Roman"/>
          <w:spacing w:val="1"/>
          <w:sz w:val="24"/>
          <w:szCs w:val="24"/>
        </w:rPr>
        <w:t>are</w:t>
      </w:r>
      <w:r>
        <w:rPr>
          <w:rFonts w:ascii="Times New Roman" w:eastAsia="Times New Roman" w:hAnsi="Times New Roman" w:cs="Times New Roman"/>
          <w:spacing w:val="1"/>
          <w:sz w:val="24"/>
          <w:szCs w:val="24"/>
        </w:rPr>
        <w:t xml:space="preserve"> required to submit business audit </w:t>
      </w:r>
      <w:r w:rsidRPr="00813A3B">
        <w:rPr>
          <w:rFonts w:ascii="Times New Roman" w:eastAsia="Times New Roman" w:hAnsi="Times New Roman" w:cs="Times New Roman"/>
          <w:spacing w:val="1"/>
          <w:sz w:val="24"/>
          <w:szCs w:val="24"/>
        </w:rPr>
        <w:t>documentation</w:t>
      </w:r>
      <w:r>
        <w:rPr>
          <w:rFonts w:ascii="Times New Roman" w:eastAsia="Times New Roman" w:hAnsi="Times New Roman" w:cs="Times New Roman"/>
          <w:spacing w:val="1"/>
          <w:sz w:val="24"/>
          <w:szCs w:val="24"/>
        </w:rPr>
        <w:t xml:space="preserve"> annually to HHS. In addition, under </w:t>
      </w:r>
      <w:r w:rsidRPr="004643AC">
        <w:rPr>
          <w:rFonts w:ascii="Times New Roman" w:eastAsia="Times New Roman" w:hAnsi="Times New Roman" w:cs="Times New Roman"/>
          <w:spacing w:val="1"/>
          <w:sz w:val="24"/>
          <w:szCs w:val="24"/>
        </w:rPr>
        <w:t>§155.221(b)(4)</w:t>
      </w:r>
      <w:r>
        <w:rPr>
          <w:rFonts w:ascii="Times New Roman" w:eastAsia="Times New Roman" w:hAnsi="Times New Roman" w:cs="Times New Roman"/>
          <w:spacing w:val="1"/>
          <w:sz w:val="24"/>
          <w:szCs w:val="24"/>
        </w:rPr>
        <w:t xml:space="preserve">(ii) DE Entities </w:t>
      </w:r>
      <w:r w:rsidR="001E33A6">
        <w:rPr>
          <w:rFonts w:ascii="Times New Roman" w:eastAsia="Times New Roman" w:hAnsi="Times New Roman" w:cs="Times New Roman"/>
          <w:spacing w:val="1"/>
          <w:sz w:val="24"/>
          <w:szCs w:val="24"/>
        </w:rPr>
        <w:t>are</w:t>
      </w:r>
      <w:r>
        <w:rPr>
          <w:rFonts w:ascii="Times New Roman" w:eastAsia="Times New Roman" w:hAnsi="Times New Roman" w:cs="Times New Roman"/>
          <w:spacing w:val="1"/>
          <w:sz w:val="24"/>
          <w:szCs w:val="24"/>
        </w:rPr>
        <w:t xml:space="preserve"> required to submit </w:t>
      </w:r>
      <w:r w:rsidRPr="00710F60">
        <w:rPr>
          <w:rFonts w:ascii="Times New Roman" w:eastAsia="Times New Roman" w:hAnsi="Times New Roman" w:cs="Times New Roman"/>
          <w:spacing w:val="1"/>
          <w:sz w:val="24"/>
          <w:szCs w:val="24"/>
        </w:rPr>
        <w:t xml:space="preserve">security and privacy audit documentation </w:t>
      </w:r>
      <w:r>
        <w:rPr>
          <w:rFonts w:ascii="Times New Roman" w:eastAsia="Times New Roman" w:hAnsi="Times New Roman" w:cs="Times New Roman"/>
          <w:spacing w:val="1"/>
          <w:sz w:val="24"/>
          <w:szCs w:val="24"/>
        </w:rPr>
        <w:t xml:space="preserve">annually to HHS. </w:t>
      </w:r>
      <w:r w:rsidRPr="00393CE5">
        <w:rPr>
          <w:rFonts w:ascii="Times New Roman" w:eastAsia="Times New Roman" w:hAnsi="Times New Roman" w:cs="Times New Roman"/>
          <w:spacing w:val="1"/>
          <w:sz w:val="24"/>
          <w:szCs w:val="24"/>
        </w:rPr>
        <w:t xml:space="preserve">Table </w:t>
      </w:r>
      <w:r w:rsidR="00D046B2">
        <w:rPr>
          <w:rFonts w:ascii="Times New Roman" w:eastAsia="Times New Roman" w:hAnsi="Times New Roman" w:cs="Times New Roman"/>
          <w:spacing w:val="1"/>
          <w:sz w:val="24"/>
          <w:szCs w:val="24"/>
        </w:rPr>
        <w:t xml:space="preserve">3 </w:t>
      </w:r>
      <w:r w:rsidRPr="00393CE5">
        <w:rPr>
          <w:rFonts w:ascii="Times New Roman" w:eastAsia="Times New Roman" w:hAnsi="Times New Roman" w:cs="Times New Roman"/>
          <w:spacing w:val="1"/>
          <w:sz w:val="24"/>
          <w:szCs w:val="24"/>
        </w:rPr>
        <w:t xml:space="preserve">below displays the burden for </w:t>
      </w:r>
      <w:r>
        <w:rPr>
          <w:rFonts w:ascii="Times New Roman" w:eastAsia="Times New Roman" w:hAnsi="Times New Roman" w:cs="Times New Roman"/>
          <w:spacing w:val="1"/>
          <w:sz w:val="24"/>
          <w:szCs w:val="24"/>
        </w:rPr>
        <w:t xml:space="preserve">DE Entities </w:t>
      </w:r>
      <w:r w:rsidRPr="00393CE5">
        <w:rPr>
          <w:rFonts w:ascii="Times New Roman" w:eastAsia="Times New Roman" w:hAnsi="Times New Roman" w:cs="Times New Roman"/>
          <w:spacing w:val="1"/>
          <w:sz w:val="24"/>
          <w:szCs w:val="24"/>
        </w:rPr>
        <w:t>relating to these regulatory provisions.</w:t>
      </w:r>
    </w:p>
    <w:p w:rsidR="00D47726" w:rsidP="002D5FA5" w14:paraId="5BFC705D" w14:textId="77777777">
      <w:pPr>
        <w:keepNext/>
        <w:spacing w:after="0" w:line="247" w:lineRule="auto"/>
        <w:ind w:right="202"/>
        <w:rPr>
          <w:rFonts w:ascii="Times New Roman" w:eastAsia="Times New Roman" w:hAnsi="Times New Roman" w:cs="Times New Roman"/>
          <w:b/>
          <w:sz w:val="24"/>
          <w:szCs w:val="24"/>
        </w:rPr>
      </w:pPr>
      <w:bookmarkStart w:id="30" w:name="_Hlk148047199"/>
    </w:p>
    <w:p w:rsidR="00FE1BF4" w:rsidRPr="00396933" w:rsidP="002D5FA5" w14:paraId="142ECF4C" w14:textId="0506411C">
      <w:pPr>
        <w:keepNext/>
        <w:spacing w:after="0" w:line="247" w:lineRule="auto"/>
        <w:ind w:right="202"/>
        <w:rPr>
          <w:rFonts w:ascii="Times New Roman" w:eastAsia="Times New Roman" w:hAnsi="Times New Roman" w:cs="Times New Roman"/>
          <w:b/>
          <w:sz w:val="24"/>
          <w:szCs w:val="24"/>
        </w:rPr>
      </w:pPr>
      <w:r w:rsidRPr="00813A3B">
        <w:rPr>
          <w:rFonts w:ascii="Times New Roman" w:eastAsia="Times New Roman" w:hAnsi="Times New Roman" w:cs="Times New Roman"/>
          <w:b/>
          <w:sz w:val="24"/>
          <w:szCs w:val="24"/>
        </w:rPr>
        <w:t xml:space="preserve">Table </w:t>
      </w:r>
      <w:r w:rsidR="00D046B2">
        <w:rPr>
          <w:rFonts w:ascii="Times New Roman" w:eastAsia="Times New Roman" w:hAnsi="Times New Roman" w:cs="Times New Roman"/>
          <w:b/>
          <w:sz w:val="24"/>
          <w:szCs w:val="24"/>
        </w:rPr>
        <w:t>3</w:t>
      </w:r>
      <w:r w:rsidRPr="00813A3B">
        <w:rPr>
          <w:rFonts w:ascii="Times New Roman" w:eastAsia="Times New Roman" w:hAnsi="Times New Roman" w:cs="Times New Roman"/>
          <w:b/>
          <w:sz w:val="24"/>
          <w:szCs w:val="24"/>
        </w:rPr>
        <w:t>: Burden to DE Entities to Fulfill ORR Requirements</w:t>
      </w:r>
    </w:p>
    <w:p w:rsidR="00FE1BF4" w:rsidRPr="00805A00" w:rsidP="00FE1BF4" w14:paraId="62D34DC1" w14:textId="77777777">
      <w:pPr>
        <w:spacing w:before="15" w:after="0" w:line="240" w:lineRule="exact"/>
        <w:rPr>
          <w:sz w:val="24"/>
          <w:szCs w:val="24"/>
        </w:rPr>
      </w:pP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94"/>
        <w:gridCol w:w="1468"/>
        <w:gridCol w:w="1652"/>
        <w:gridCol w:w="1009"/>
        <w:gridCol w:w="1652"/>
        <w:gridCol w:w="1465"/>
      </w:tblGrid>
      <w:tr w14:paraId="18250451" w14:textId="77777777" w:rsidTr="00B14C42">
        <w:tblPrEx>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06"/>
          <w:jc w:val="center"/>
        </w:trPr>
        <w:tc>
          <w:tcPr>
            <w:tcW w:w="1202" w:type="pct"/>
            <w:shd w:val="clear" w:color="auto" w:fill="auto"/>
            <w:vAlign w:val="center"/>
            <w:hideMark/>
          </w:tcPr>
          <w:p w:rsidR="00FE1BF4" w:rsidRPr="006326F3" w:rsidP="006326F3" w14:paraId="5F5AD953" w14:textId="77777777">
            <w:pPr>
              <w:widowControl/>
              <w:spacing w:after="0" w:line="240" w:lineRule="auto"/>
              <w:ind w:left="-20" w:right="-110"/>
              <w:rPr>
                <w:rFonts w:ascii="Times New Roman" w:eastAsia="Times New Roman" w:hAnsi="Times New Roman" w:cs="Times New Roman"/>
                <w:b/>
                <w:sz w:val="24"/>
                <w:szCs w:val="24"/>
              </w:rPr>
            </w:pPr>
            <w:r w:rsidRPr="006326F3">
              <w:rPr>
                <w:rFonts w:ascii="Times New Roman" w:eastAsia="Times New Roman" w:hAnsi="Times New Roman" w:cs="Times New Roman"/>
                <w:b/>
                <w:sz w:val="24"/>
                <w:szCs w:val="24"/>
              </w:rPr>
              <w:t>Labor Category</w:t>
            </w:r>
          </w:p>
        </w:tc>
        <w:tc>
          <w:tcPr>
            <w:tcW w:w="769" w:type="pct"/>
            <w:shd w:val="clear" w:color="auto" w:fill="auto"/>
            <w:vAlign w:val="center"/>
            <w:hideMark/>
          </w:tcPr>
          <w:p w:rsidR="00FE1BF4" w:rsidRPr="006326F3" w:rsidP="006326F3" w14:paraId="3B503ACA" w14:textId="77777777">
            <w:pPr>
              <w:widowControl/>
              <w:spacing w:after="0" w:line="240" w:lineRule="auto"/>
              <w:ind w:left="-110" w:right="-110"/>
              <w:jc w:val="center"/>
              <w:rPr>
                <w:rFonts w:ascii="Times New Roman" w:eastAsia="Times New Roman" w:hAnsi="Times New Roman" w:cs="Times New Roman"/>
                <w:b/>
                <w:sz w:val="24"/>
                <w:szCs w:val="24"/>
              </w:rPr>
            </w:pPr>
            <w:r w:rsidRPr="006326F3">
              <w:rPr>
                <w:rFonts w:ascii="Times New Roman" w:eastAsia="Times New Roman" w:hAnsi="Times New Roman" w:cs="Times New Roman"/>
                <w:b/>
                <w:sz w:val="24"/>
                <w:szCs w:val="24"/>
              </w:rPr>
              <w:t>Number of Respondents</w:t>
            </w:r>
          </w:p>
        </w:tc>
        <w:tc>
          <w:tcPr>
            <w:tcW w:w="866" w:type="pct"/>
            <w:shd w:val="clear" w:color="auto" w:fill="auto"/>
            <w:vAlign w:val="center"/>
            <w:hideMark/>
          </w:tcPr>
          <w:p w:rsidR="00FE1BF4" w:rsidRPr="006326F3" w:rsidP="006326F3" w14:paraId="0FEC37F8" w14:textId="77777777">
            <w:pPr>
              <w:widowControl/>
              <w:spacing w:after="0" w:line="240" w:lineRule="auto"/>
              <w:ind w:left="-110" w:right="-110"/>
              <w:jc w:val="center"/>
              <w:rPr>
                <w:rFonts w:ascii="Times New Roman" w:eastAsia="Times New Roman" w:hAnsi="Times New Roman" w:cs="Times New Roman"/>
                <w:b/>
                <w:sz w:val="24"/>
                <w:szCs w:val="24"/>
              </w:rPr>
            </w:pPr>
            <w:r w:rsidRPr="006326F3">
              <w:rPr>
                <w:rFonts w:ascii="Times New Roman" w:eastAsia="Times New Roman" w:hAnsi="Times New Roman" w:cs="Times New Roman"/>
                <w:b/>
                <w:sz w:val="24"/>
                <w:szCs w:val="24"/>
              </w:rPr>
              <w:t>Hourly Labor Costs (Hourly rate + 100% Fringe benefits)</w:t>
            </w:r>
          </w:p>
        </w:tc>
        <w:tc>
          <w:tcPr>
            <w:tcW w:w="529" w:type="pct"/>
            <w:shd w:val="clear" w:color="auto" w:fill="auto"/>
            <w:vAlign w:val="center"/>
            <w:hideMark/>
          </w:tcPr>
          <w:p w:rsidR="00FE1BF4" w:rsidRPr="006326F3" w:rsidP="006326F3" w14:paraId="742BDDBD" w14:textId="77777777">
            <w:pPr>
              <w:widowControl/>
              <w:spacing w:after="0" w:line="240" w:lineRule="auto"/>
              <w:ind w:left="-110" w:right="-110"/>
              <w:jc w:val="center"/>
              <w:rPr>
                <w:rFonts w:ascii="Times New Roman" w:eastAsia="Times New Roman" w:hAnsi="Times New Roman" w:cs="Times New Roman"/>
                <w:b/>
                <w:sz w:val="24"/>
                <w:szCs w:val="24"/>
              </w:rPr>
            </w:pPr>
            <w:r w:rsidRPr="006326F3">
              <w:rPr>
                <w:rFonts w:ascii="Times New Roman" w:eastAsia="Times New Roman" w:hAnsi="Times New Roman" w:cs="Times New Roman"/>
                <w:b/>
                <w:sz w:val="24"/>
                <w:szCs w:val="24"/>
              </w:rPr>
              <w:t>Burden Hours</w:t>
            </w:r>
          </w:p>
        </w:tc>
        <w:tc>
          <w:tcPr>
            <w:tcW w:w="866" w:type="pct"/>
            <w:shd w:val="clear" w:color="auto" w:fill="auto"/>
            <w:vAlign w:val="center"/>
            <w:hideMark/>
          </w:tcPr>
          <w:p w:rsidR="00FE1BF4" w:rsidRPr="006326F3" w:rsidP="006326F3" w14:paraId="51E681C9" w14:textId="77777777">
            <w:pPr>
              <w:widowControl/>
              <w:spacing w:after="0" w:line="240" w:lineRule="auto"/>
              <w:ind w:left="-110" w:right="-110"/>
              <w:jc w:val="center"/>
              <w:rPr>
                <w:rFonts w:ascii="Times New Roman" w:eastAsia="Times New Roman" w:hAnsi="Times New Roman" w:cs="Times New Roman"/>
                <w:b/>
                <w:sz w:val="24"/>
                <w:szCs w:val="24"/>
              </w:rPr>
            </w:pPr>
            <w:r w:rsidRPr="006326F3">
              <w:rPr>
                <w:rFonts w:ascii="Times New Roman" w:eastAsia="Times New Roman" w:hAnsi="Times New Roman" w:cs="Times New Roman"/>
                <w:b/>
                <w:sz w:val="24"/>
                <w:szCs w:val="24"/>
              </w:rPr>
              <w:t>Total Burden Costs (per Respondent)</w:t>
            </w:r>
          </w:p>
        </w:tc>
        <w:tc>
          <w:tcPr>
            <w:tcW w:w="768" w:type="pct"/>
            <w:shd w:val="clear" w:color="auto" w:fill="auto"/>
            <w:vAlign w:val="center"/>
            <w:hideMark/>
          </w:tcPr>
          <w:p w:rsidR="00FE1BF4" w:rsidRPr="006326F3" w:rsidP="006326F3" w14:paraId="130DEC0A" w14:textId="77777777">
            <w:pPr>
              <w:widowControl/>
              <w:spacing w:after="0" w:line="240" w:lineRule="auto"/>
              <w:ind w:left="-110" w:right="-110"/>
              <w:jc w:val="center"/>
              <w:rPr>
                <w:rFonts w:ascii="Times New Roman" w:eastAsia="Times New Roman" w:hAnsi="Times New Roman" w:cs="Times New Roman"/>
                <w:b/>
                <w:sz w:val="24"/>
                <w:szCs w:val="24"/>
              </w:rPr>
            </w:pPr>
            <w:r w:rsidRPr="006326F3">
              <w:rPr>
                <w:rFonts w:ascii="Times New Roman" w:eastAsia="Times New Roman" w:hAnsi="Times New Roman" w:cs="Times New Roman"/>
                <w:b/>
                <w:sz w:val="24"/>
                <w:szCs w:val="24"/>
              </w:rPr>
              <w:t>Total Burden Costs (All Respondents)</w:t>
            </w:r>
          </w:p>
        </w:tc>
      </w:tr>
      <w:tr w14:paraId="3F1597F1" w14:textId="77777777" w:rsidTr="00D47726">
        <w:tblPrEx>
          <w:tblW w:w="5005" w:type="pct"/>
          <w:jc w:val="center"/>
          <w:tblLayout w:type="fixed"/>
          <w:tblLook w:val="04A0"/>
        </w:tblPrEx>
        <w:trPr>
          <w:trHeight w:hRule="exact" w:val="334"/>
          <w:jc w:val="center"/>
        </w:trPr>
        <w:tc>
          <w:tcPr>
            <w:tcW w:w="1202" w:type="pct"/>
            <w:shd w:val="clear" w:color="auto" w:fill="auto"/>
            <w:vAlign w:val="center"/>
          </w:tcPr>
          <w:p w:rsidR="00FE1BF4" w:rsidRPr="00805A00" w:rsidP="00D82249" w14:paraId="5F23523E" w14:textId="6FCAD22A">
            <w:pPr>
              <w:widowControl/>
              <w:spacing w:after="0" w:line="240" w:lineRule="auto"/>
              <w:rPr>
                <w:rFonts w:ascii="Times New Roman" w:eastAsia="Times New Roman" w:hAnsi="Times New Roman" w:cs="Times New Roman"/>
                <w:sz w:val="24"/>
                <w:szCs w:val="24"/>
              </w:rPr>
            </w:pPr>
            <w:r w:rsidRPr="00805A00">
              <w:rPr>
                <w:rFonts w:ascii="Times New Roman" w:eastAsia="Times New Roman" w:hAnsi="Times New Roman" w:cs="Times New Roman"/>
                <w:sz w:val="24"/>
                <w:szCs w:val="24"/>
              </w:rPr>
              <w:t>Auditor</w:t>
            </w:r>
            <w:r>
              <w:rPr>
                <w:rStyle w:val="FootnoteReference"/>
                <w:rFonts w:ascii="Times New Roman" w:eastAsia="Times New Roman" w:hAnsi="Times New Roman" w:cs="Times New Roman"/>
                <w:sz w:val="24"/>
                <w:szCs w:val="24"/>
              </w:rPr>
              <w:footnoteReference w:id="5"/>
            </w:r>
          </w:p>
        </w:tc>
        <w:tc>
          <w:tcPr>
            <w:tcW w:w="769" w:type="pct"/>
            <w:shd w:val="clear" w:color="auto" w:fill="auto"/>
            <w:vAlign w:val="center"/>
          </w:tcPr>
          <w:p w:rsidR="00FE1BF4" w:rsidP="00D82249" w14:paraId="691704EA" w14:textId="77777777">
            <w:pPr>
              <w:widowControl/>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66" w:type="pct"/>
            <w:shd w:val="clear" w:color="auto" w:fill="auto"/>
            <w:vAlign w:val="center"/>
          </w:tcPr>
          <w:p w:rsidR="00FE1BF4" w:rsidRPr="00805A00" w:rsidP="00D82249" w14:paraId="33247088" w14:textId="56A473BA">
            <w:pPr>
              <w:widowControl/>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D046B2">
              <w:rPr>
                <w:rFonts w:ascii="Times New Roman" w:eastAsia="Times New Roman" w:hAnsi="Times New Roman" w:cs="Times New Roman"/>
                <w:sz w:val="24"/>
                <w:szCs w:val="24"/>
              </w:rPr>
              <w:t>75.00</w:t>
            </w:r>
          </w:p>
        </w:tc>
        <w:tc>
          <w:tcPr>
            <w:tcW w:w="529" w:type="pct"/>
            <w:shd w:val="clear" w:color="auto" w:fill="auto"/>
            <w:vAlign w:val="center"/>
          </w:tcPr>
          <w:p w:rsidR="00FE1BF4" w:rsidP="00D82249" w14:paraId="17FDDDFC" w14:textId="77777777">
            <w:pPr>
              <w:widowControl/>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866" w:type="pct"/>
            <w:shd w:val="clear" w:color="auto" w:fill="auto"/>
            <w:vAlign w:val="center"/>
          </w:tcPr>
          <w:p w:rsidR="00FE1BF4" w:rsidRPr="00805A00" w:rsidP="00D82249" w14:paraId="0139D874" w14:textId="7DF8782A">
            <w:pPr>
              <w:widowControl/>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D046B2">
              <w:rPr>
                <w:rFonts w:ascii="Times New Roman" w:eastAsia="Times New Roman" w:hAnsi="Times New Roman" w:cs="Times New Roman"/>
                <w:sz w:val="24"/>
                <w:szCs w:val="24"/>
              </w:rPr>
              <w:t>5,400.00</w:t>
            </w:r>
          </w:p>
        </w:tc>
        <w:tc>
          <w:tcPr>
            <w:tcW w:w="768" w:type="pct"/>
            <w:shd w:val="clear" w:color="auto" w:fill="auto"/>
            <w:vAlign w:val="center"/>
          </w:tcPr>
          <w:p w:rsidR="00FE1BF4" w:rsidRPr="00805A00" w:rsidP="00D82249" w14:paraId="23318DB2" w14:textId="4026DC0B">
            <w:pPr>
              <w:widowControl/>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D046B2">
              <w:rPr>
                <w:rFonts w:ascii="Times New Roman" w:eastAsia="Times New Roman" w:hAnsi="Times New Roman" w:cs="Times New Roman"/>
                <w:sz w:val="24"/>
                <w:szCs w:val="24"/>
              </w:rPr>
              <w:t>21,600.00</w:t>
            </w:r>
          </w:p>
        </w:tc>
      </w:tr>
      <w:tr w14:paraId="7EBB2C58" w14:textId="77777777" w:rsidTr="00D47726">
        <w:tblPrEx>
          <w:tblW w:w="5005" w:type="pct"/>
          <w:jc w:val="center"/>
          <w:tblLayout w:type="fixed"/>
          <w:tblLook w:val="04A0"/>
        </w:tblPrEx>
        <w:trPr>
          <w:trHeight w:hRule="exact" w:val="361"/>
          <w:jc w:val="center"/>
        </w:trPr>
        <w:tc>
          <w:tcPr>
            <w:tcW w:w="1202" w:type="pct"/>
            <w:shd w:val="clear" w:color="auto" w:fill="auto"/>
            <w:vAlign w:val="center"/>
          </w:tcPr>
          <w:p w:rsidR="00FE1BF4" w:rsidRPr="00805A00" w:rsidP="00D82249" w14:paraId="3A72D952" w14:textId="77777777">
            <w:pPr>
              <w:widowControl/>
              <w:spacing w:after="0" w:line="240" w:lineRule="auto"/>
              <w:rPr>
                <w:rFonts w:ascii="Times New Roman" w:eastAsia="Times New Roman" w:hAnsi="Times New Roman" w:cs="Times New Roman"/>
                <w:sz w:val="24"/>
                <w:szCs w:val="24"/>
              </w:rPr>
            </w:pPr>
            <w:r w:rsidRPr="00805A00">
              <w:rPr>
                <w:rFonts w:ascii="Times New Roman" w:eastAsia="Times New Roman" w:hAnsi="Times New Roman" w:cs="Times New Roman"/>
                <w:sz w:val="24"/>
                <w:szCs w:val="24"/>
              </w:rPr>
              <w:t>Auditor</w:t>
            </w:r>
            <w:r>
              <w:rPr>
                <w:rStyle w:val="FootnoteReference"/>
                <w:rFonts w:ascii="Times New Roman" w:eastAsia="Times New Roman" w:hAnsi="Times New Roman" w:cs="Times New Roman"/>
                <w:sz w:val="24"/>
                <w:szCs w:val="24"/>
              </w:rPr>
              <w:footnoteReference w:id="6"/>
            </w:r>
          </w:p>
        </w:tc>
        <w:tc>
          <w:tcPr>
            <w:tcW w:w="769" w:type="pct"/>
            <w:shd w:val="clear" w:color="auto" w:fill="auto"/>
            <w:vAlign w:val="center"/>
          </w:tcPr>
          <w:p w:rsidR="00FE1BF4" w:rsidP="00D82249" w14:paraId="6307FBFF" w14:textId="77777777">
            <w:pPr>
              <w:widowControl/>
              <w:spacing w:after="0" w:line="240" w:lineRule="auto"/>
              <w:jc w:val="center"/>
              <w:rPr>
                <w:rFonts w:ascii="Times New Roman" w:eastAsia="Times New Roman" w:hAnsi="Times New Roman" w:cs="Times New Roman"/>
                <w:sz w:val="24"/>
                <w:szCs w:val="24"/>
              </w:rPr>
            </w:pPr>
            <w:r w:rsidRPr="00805A00">
              <w:rPr>
                <w:rFonts w:ascii="Times New Roman" w:eastAsia="Times New Roman" w:hAnsi="Times New Roman" w:cs="Times New Roman"/>
                <w:sz w:val="24"/>
                <w:szCs w:val="24"/>
              </w:rPr>
              <w:t>14</w:t>
            </w:r>
          </w:p>
        </w:tc>
        <w:tc>
          <w:tcPr>
            <w:tcW w:w="866" w:type="pct"/>
            <w:shd w:val="clear" w:color="auto" w:fill="auto"/>
            <w:vAlign w:val="center"/>
          </w:tcPr>
          <w:p w:rsidR="00FE1BF4" w:rsidRPr="00805A00" w:rsidP="00D82249" w14:paraId="445B6457" w14:textId="2DD46458">
            <w:pPr>
              <w:widowControl/>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D046B2">
              <w:rPr>
                <w:rFonts w:ascii="Times New Roman" w:eastAsia="Times New Roman" w:hAnsi="Times New Roman" w:cs="Times New Roman"/>
                <w:sz w:val="24"/>
                <w:szCs w:val="24"/>
              </w:rPr>
              <w:t>75.00</w:t>
            </w:r>
          </w:p>
        </w:tc>
        <w:tc>
          <w:tcPr>
            <w:tcW w:w="529" w:type="pct"/>
            <w:shd w:val="clear" w:color="auto" w:fill="auto"/>
            <w:vAlign w:val="center"/>
          </w:tcPr>
          <w:p w:rsidR="00FE1BF4" w:rsidP="00D82249" w14:paraId="01253D5E" w14:textId="77777777">
            <w:pPr>
              <w:widowControl/>
              <w:spacing w:after="0" w:line="240" w:lineRule="auto"/>
              <w:jc w:val="center"/>
              <w:rPr>
                <w:rFonts w:ascii="Times New Roman" w:eastAsia="Times New Roman" w:hAnsi="Times New Roman" w:cs="Times New Roman"/>
                <w:sz w:val="24"/>
                <w:szCs w:val="24"/>
              </w:rPr>
            </w:pPr>
            <w:r w:rsidRPr="00805A00">
              <w:rPr>
                <w:rFonts w:ascii="Times New Roman" w:eastAsia="Times New Roman" w:hAnsi="Times New Roman" w:cs="Times New Roman"/>
                <w:sz w:val="24"/>
                <w:szCs w:val="24"/>
              </w:rPr>
              <w:t>122</w:t>
            </w:r>
          </w:p>
        </w:tc>
        <w:tc>
          <w:tcPr>
            <w:tcW w:w="866" w:type="pct"/>
            <w:shd w:val="clear" w:color="auto" w:fill="auto"/>
            <w:vAlign w:val="center"/>
          </w:tcPr>
          <w:p w:rsidR="00FE1BF4" w:rsidRPr="00805A00" w:rsidP="00D82249" w14:paraId="0CAFF7DF" w14:textId="3462D8D5">
            <w:pPr>
              <w:widowControl/>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D046B2">
              <w:rPr>
                <w:rFonts w:ascii="Times New Roman" w:eastAsia="Times New Roman" w:hAnsi="Times New Roman" w:cs="Times New Roman"/>
                <w:sz w:val="24"/>
                <w:szCs w:val="24"/>
              </w:rPr>
              <w:t>9,150.00</w:t>
            </w:r>
          </w:p>
        </w:tc>
        <w:tc>
          <w:tcPr>
            <w:tcW w:w="768" w:type="pct"/>
            <w:shd w:val="clear" w:color="auto" w:fill="auto"/>
            <w:vAlign w:val="center"/>
          </w:tcPr>
          <w:p w:rsidR="00FE1BF4" w:rsidRPr="00805A00" w:rsidP="00D82249" w14:paraId="55C4ECBF" w14:textId="4F253281">
            <w:pPr>
              <w:widowControl/>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D046B2">
              <w:rPr>
                <w:rFonts w:ascii="Times New Roman" w:eastAsia="Times New Roman" w:hAnsi="Times New Roman" w:cs="Times New Roman"/>
                <w:sz w:val="24"/>
                <w:szCs w:val="24"/>
              </w:rPr>
              <w:t>128,100</w:t>
            </w:r>
          </w:p>
        </w:tc>
      </w:tr>
      <w:tr w14:paraId="41EEA309" w14:textId="77777777" w:rsidTr="00A76BA5">
        <w:tblPrEx>
          <w:tblW w:w="5005" w:type="pct"/>
          <w:jc w:val="center"/>
          <w:tblLayout w:type="fixed"/>
          <w:tblLook w:val="04A0"/>
        </w:tblPrEx>
        <w:trPr>
          <w:trHeight w:hRule="exact" w:val="541"/>
          <w:jc w:val="center"/>
        </w:trPr>
        <w:tc>
          <w:tcPr>
            <w:tcW w:w="1202" w:type="pct"/>
            <w:shd w:val="clear" w:color="auto" w:fill="auto"/>
            <w:vAlign w:val="center"/>
          </w:tcPr>
          <w:p w:rsidR="003E600F" w:rsidRPr="003E600F" w:rsidP="00D82249" w14:paraId="6DA1231A" w14:textId="77777777">
            <w:pPr>
              <w:widowControl/>
              <w:spacing w:after="0" w:line="240" w:lineRule="auto"/>
              <w:rPr>
                <w:rFonts w:ascii="Times New Roman" w:eastAsia="Times New Roman" w:hAnsi="Times New Roman" w:cs="Times New Roman"/>
                <w:sz w:val="24"/>
                <w:szCs w:val="24"/>
              </w:rPr>
            </w:pPr>
            <w:r w:rsidRPr="003E600F">
              <w:rPr>
                <w:rFonts w:ascii="Times New Roman" w:eastAsia="Times New Roman" w:hAnsi="Times New Roman" w:cs="Times New Roman"/>
                <w:sz w:val="24"/>
                <w:szCs w:val="24"/>
              </w:rPr>
              <w:t>Business Operations Specialist</w:t>
            </w:r>
          </w:p>
        </w:tc>
        <w:tc>
          <w:tcPr>
            <w:tcW w:w="769" w:type="pct"/>
            <w:shd w:val="clear" w:color="auto" w:fill="auto"/>
            <w:vAlign w:val="center"/>
          </w:tcPr>
          <w:p w:rsidR="003E600F" w:rsidRPr="00920A9D" w:rsidP="00D82249" w14:paraId="59CC9574" w14:textId="482772F6">
            <w:pPr>
              <w:widowControl/>
              <w:spacing w:after="0" w:line="240" w:lineRule="auto"/>
              <w:jc w:val="center"/>
              <w:rPr>
                <w:rFonts w:ascii="Times New Roman" w:eastAsia="Times New Roman" w:hAnsi="Times New Roman" w:cs="Times New Roman"/>
                <w:sz w:val="24"/>
                <w:szCs w:val="24"/>
              </w:rPr>
            </w:pPr>
            <w:r w:rsidRPr="00920A9D">
              <w:rPr>
                <w:rFonts w:ascii="Times New Roman" w:hAnsi="Times New Roman" w:cs="Times New Roman"/>
                <w:color w:val="000000"/>
                <w:sz w:val="24"/>
                <w:szCs w:val="24"/>
              </w:rPr>
              <w:t>77</w:t>
            </w:r>
          </w:p>
        </w:tc>
        <w:tc>
          <w:tcPr>
            <w:tcW w:w="866" w:type="pct"/>
            <w:shd w:val="clear" w:color="auto" w:fill="auto"/>
            <w:vAlign w:val="center"/>
          </w:tcPr>
          <w:p w:rsidR="003E600F" w:rsidRPr="00920A9D" w:rsidP="00D82249" w14:paraId="188E6A78" w14:textId="610F5182">
            <w:pPr>
              <w:widowControl/>
              <w:spacing w:after="0" w:line="240" w:lineRule="auto"/>
              <w:jc w:val="center"/>
              <w:rPr>
                <w:rFonts w:ascii="Times New Roman" w:eastAsia="Times New Roman" w:hAnsi="Times New Roman" w:cs="Times New Roman"/>
                <w:sz w:val="24"/>
                <w:szCs w:val="24"/>
              </w:rPr>
            </w:pPr>
            <w:r w:rsidRPr="00920A9D">
              <w:rPr>
                <w:rFonts w:ascii="Times New Roman" w:hAnsi="Times New Roman" w:cs="Times New Roman"/>
                <w:color w:val="000000"/>
                <w:sz w:val="24"/>
                <w:szCs w:val="24"/>
              </w:rPr>
              <w:t>$</w:t>
            </w:r>
            <w:r w:rsidR="00D046B2">
              <w:rPr>
                <w:rFonts w:ascii="Times New Roman" w:hAnsi="Times New Roman" w:cs="Times New Roman"/>
                <w:color w:val="000000"/>
                <w:sz w:val="24"/>
                <w:szCs w:val="24"/>
              </w:rPr>
              <w:t>73.12</w:t>
            </w:r>
          </w:p>
        </w:tc>
        <w:tc>
          <w:tcPr>
            <w:tcW w:w="529" w:type="pct"/>
            <w:shd w:val="clear" w:color="auto" w:fill="auto"/>
            <w:vAlign w:val="center"/>
          </w:tcPr>
          <w:p w:rsidR="003E600F" w:rsidRPr="00920A9D" w:rsidP="00D82249" w14:paraId="2A974394" w14:textId="31FAB9B8">
            <w:pPr>
              <w:widowControl/>
              <w:spacing w:after="0" w:line="240" w:lineRule="auto"/>
              <w:jc w:val="center"/>
              <w:rPr>
                <w:rFonts w:ascii="Times New Roman" w:eastAsia="Times New Roman" w:hAnsi="Times New Roman" w:cs="Times New Roman"/>
                <w:sz w:val="24"/>
                <w:szCs w:val="24"/>
              </w:rPr>
            </w:pPr>
            <w:r w:rsidRPr="00920A9D">
              <w:rPr>
                <w:rFonts w:ascii="Times New Roman" w:hAnsi="Times New Roman" w:cs="Times New Roman"/>
                <w:color w:val="000000"/>
                <w:sz w:val="24"/>
                <w:szCs w:val="24"/>
              </w:rPr>
              <w:t>9</w:t>
            </w:r>
          </w:p>
        </w:tc>
        <w:tc>
          <w:tcPr>
            <w:tcW w:w="866" w:type="pct"/>
            <w:shd w:val="clear" w:color="auto" w:fill="auto"/>
            <w:vAlign w:val="center"/>
          </w:tcPr>
          <w:p w:rsidR="003E600F" w:rsidRPr="00920A9D" w:rsidP="00D82249" w14:paraId="08085145" w14:textId="23B6CF7B">
            <w:pPr>
              <w:widowControl/>
              <w:spacing w:after="0" w:line="240" w:lineRule="auto"/>
              <w:jc w:val="center"/>
              <w:rPr>
                <w:rFonts w:ascii="Times New Roman" w:eastAsia="Times New Roman" w:hAnsi="Times New Roman" w:cs="Times New Roman"/>
                <w:sz w:val="24"/>
                <w:szCs w:val="24"/>
              </w:rPr>
            </w:pPr>
            <w:r w:rsidRPr="00920A9D">
              <w:rPr>
                <w:rFonts w:ascii="Times New Roman" w:hAnsi="Times New Roman" w:cs="Times New Roman"/>
                <w:color w:val="000000"/>
                <w:sz w:val="24"/>
                <w:szCs w:val="24"/>
              </w:rPr>
              <w:t>$</w:t>
            </w:r>
            <w:r w:rsidR="00D046B2">
              <w:rPr>
                <w:rFonts w:ascii="Times New Roman" w:hAnsi="Times New Roman" w:cs="Times New Roman"/>
                <w:color w:val="000000"/>
                <w:sz w:val="24"/>
                <w:szCs w:val="24"/>
              </w:rPr>
              <w:t>658.08</w:t>
            </w:r>
          </w:p>
        </w:tc>
        <w:tc>
          <w:tcPr>
            <w:tcW w:w="768" w:type="pct"/>
            <w:shd w:val="clear" w:color="auto" w:fill="auto"/>
            <w:vAlign w:val="center"/>
          </w:tcPr>
          <w:p w:rsidR="003E600F" w:rsidRPr="00920A9D" w:rsidP="00D82249" w14:paraId="42228900" w14:textId="374260B3">
            <w:pPr>
              <w:widowControl/>
              <w:spacing w:after="0" w:line="240" w:lineRule="auto"/>
              <w:jc w:val="center"/>
              <w:rPr>
                <w:rFonts w:ascii="Times New Roman" w:eastAsia="Times New Roman" w:hAnsi="Times New Roman" w:cs="Times New Roman"/>
                <w:sz w:val="24"/>
                <w:szCs w:val="24"/>
              </w:rPr>
            </w:pPr>
            <w:r w:rsidRPr="00920A9D">
              <w:rPr>
                <w:rFonts w:ascii="Times New Roman" w:hAnsi="Times New Roman" w:cs="Times New Roman"/>
                <w:color w:val="000000"/>
                <w:sz w:val="24"/>
                <w:szCs w:val="24"/>
              </w:rPr>
              <w:t>$</w:t>
            </w:r>
            <w:r w:rsidR="00D046B2">
              <w:rPr>
                <w:rFonts w:ascii="Times New Roman" w:hAnsi="Times New Roman" w:cs="Times New Roman"/>
                <w:color w:val="000000"/>
                <w:sz w:val="24"/>
                <w:szCs w:val="24"/>
              </w:rPr>
              <w:t>50,672.16</w:t>
            </w:r>
          </w:p>
        </w:tc>
      </w:tr>
      <w:tr w14:paraId="32163942" w14:textId="77777777" w:rsidTr="00D47726">
        <w:tblPrEx>
          <w:tblW w:w="5005" w:type="pct"/>
          <w:jc w:val="center"/>
          <w:tblLayout w:type="fixed"/>
          <w:tblLook w:val="04A0"/>
        </w:tblPrEx>
        <w:trPr>
          <w:trHeight w:hRule="exact" w:val="361"/>
          <w:jc w:val="center"/>
        </w:trPr>
        <w:tc>
          <w:tcPr>
            <w:tcW w:w="1202" w:type="pct"/>
            <w:shd w:val="clear" w:color="auto" w:fill="auto"/>
            <w:hideMark/>
          </w:tcPr>
          <w:p w:rsidR="00CC1EB8" w:rsidRPr="005706FE" w:rsidP="004834AE" w14:paraId="7AF16888" w14:textId="6E857970">
            <w:pPr>
              <w:widowControl/>
              <w:spacing w:after="0" w:line="240" w:lineRule="auto"/>
              <w:rPr>
                <w:rFonts w:ascii="Times New Roman" w:eastAsia="Times New Roman" w:hAnsi="Times New Roman" w:cs="Times New Roman"/>
                <w:b/>
                <w:bCs/>
                <w:sz w:val="24"/>
                <w:szCs w:val="24"/>
              </w:rPr>
            </w:pPr>
            <w:r w:rsidRPr="005706FE">
              <w:rPr>
                <w:rFonts w:ascii="Times New Roman" w:eastAsia="Times New Roman" w:hAnsi="Times New Roman" w:cs="Times New Roman"/>
                <w:b/>
                <w:bCs/>
                <w:sz w:val="24"/>
                <w:szCs w:val="24"/>
              </w:rPr>
              <w:t>Total</w:t>
            </w:r>
            <w:r>
              <w:rPr>
                <w:rFonts w:ascii="Times New Roman" w:eastAsia="Times New Roman" w:hAnsi="Times New Roman" w:cs="Times New Roman"/>
                <w:b/>
                <w:bCs/>
                <w:sz w:val="24"/>
                <w:szCs w:val="24"/>
              </w:rPr>
              <w:t xml:space="preserve"> - Annual</w:t>
            </w:r>
          </w:p>
        </w:tc>
        <w:tc>
          <w:tcPr>
            <w:tcW w:w="769" w:type="pct"/>
            <w:shd w:val="clear" w:color="auto" w:fill="auto"/>
            <w:hideMark/>
          </w:tcPr>
          <w:p w:rsidR="00CC1EB8" w:rsidRPr="00920A9D" w:rsidP="00CC1EB8" w14:paraId="1A442890" w14:textId="088483A7">
            <w:pPr>
              <w:widowControl/>
              <w:spacing w:after="0" w:line="240" w:lineRule="auto"/>
              <w:jc w:val="center"/>
              <w:rPr>
                <w:rFonts w:ascii="Times New Roman" w:eastAsia="Times New Roman" w:hAnsi="Times New Roman" w:cs="Times New Roman"/>
                <w:b/>
                <w:bCs/>
                <w:sz w:val="24"/>
                <w:szCs w:val="24"/>
              </w:rPr>
            </w:pPr>
          </w:p>
        </w:tc>
        <w:tc>
          <w:tcPr>
            <w:tcW w:w="866" w:type="pct"/>
            <w:shd w:val="clear" w:color="auto" w:fill="auto"/>
            <w:hideMark/>
          </w:tcPr>
          <w:p w:rsidR="00CC1EB8" w:rsidRPr="00920A9D" w:rsidP="00CC1EB8" w14:paraId="43D4D93B" w14:textId="77777777">
            <w:pPr>
              <w:widowControl/>
              <w:spacing w:after="0" w:line="240" w:lineRule="auto"/>
              <w:jc w:val="center"/>
              <w:rPr>
                <w:rFonts w:ascii="Times New Roman" w:eastAsia="Times New Roman" w:hAnsi="Times New Roman" w:cs="Times New Roman"/>
                <w:b/>
                <w:bCs/>
                <w:sz w:val="24"/>
                <w:szCs w:val="24"/>
              </w:rPr>
            </w:pPr>
          </w:p>
        </w:tc>
        <w:tc>
          <w:tcPr>
            <w:tcW w:w="529" w:type="pct"/>
            <w:shd w:val="clear" w:color="auto" w:fill="auto"/>
            <w:hideMark/>
          </w:tcPr>
          <w:p w:rsidR="00CC1EB8" w:rsidRPr="00920A9D" w:rsidP="00CC1EB8" w14:paraId="579E79C2" w14:textId="5EBB623A">
            <w:pPr>
              <w:widowControl/>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sz w:val="24"/>
                <w:szCs w:val="24"/>
              </w:rPr>
              <w:t>2,689</w:t>
            </w:r>
          </w:p>
        </w:tc>
        <w:tc>
          <w:tcPr>
            <w:tcW w:w="866" w:type="pct"/>
            <w:shd w:val="clear" w:color="auto" w:fill="auto"/>
            <w:hideMark/>
          </w:tcPr>
          <w:p w:rsidR="00CC1EB8" w:rsidRPr="00920A9D" w:rsidP="00CC1EB8" w14:paraId="75B1F2B2" w14:textId="14B1278E">
            <w:pPr>
              <w:widowControl/>
              <w:spacing w:after="0" w:line="240" w:lineRule="auto"/>
              <w:jc w:val="center"/>
              <w:rPr>
                <w:rFonts w:ascii="Times New Roman" w:eastAsia="Times New Roman" w:hAnsi="Times New Roman" w:cs="Times New Roman"/>
                <w:b/>
                <w:bCs/>
                <w:sz w:val="24"/>
                <w:szCs w:val="24"/>
              </w:rPr>
            </w:pPr>
          </w:p>
        </w:tc>
        <w:tc>
          <w:tcPr>
            <w:tcW w:w="768" w:type="pct"/>
            <w:shd w:val="clear" w:color="auto" w:fill="auto"/>
            <w:hideMark/>
          </w:tcPr>
          <w:p w:rsidR="00CC1EB8" w:rsidRPr="00920A9D" w:rsidP="00CC1EB8" w14:paraId="46B89418" w14:textId="6B474109">
            <w:pPr>
              <w:widowControl/>
              <w:spacing w:after="0" w:line="240" w:lineRule="auto"/>
              <w:jc w:val="center"/>
              <w:rPr>
                <w:rFonts w:ascii="Times New Roman" w:eastAsia="Times New Roman" w:hAnsi="Times New Roman" w:cs="Times New Roman"/>
                <w:b/>
                <w:bCs/>
                <w:sz w:val="24"/>
                <w:szCs w:val="24"/>
              </w:rPr>
            </w:pPr>
            <w:r w:rsidRPr="00920A9D">
              <w:rPr>
                <w:rFonts w:ascii="Times New Roman" w:hAnsi="Times New Roman" w:cs="Times New Roman"/>
                <w:b/>
                <w:bCs/>
                <w:sz w:val="24"/>
                <w:szCs w:val="24"/>
              </w:rPr>
              <w:t>$</w:t>
            </w:r>
            <w:r w:rsidR="00DC408F">
              <w:rPr>
                <w:rFonts w:ascii="Times New Roman" w:hAnsi="Times New Roman" w:cs="Times New Roman"/>
                <w:b/>
                <w:bCs/>
                <w:sz w:val="24"/>
                <w:szCs w:val="24"/>
              </w:rPr>
              <w:t>200,372.16</w:t>
            </w:r>
            <w:r w:rsidRPr="00920A9D">
              <w:rPr>
                <w:rFonts w:ascii="Times New Roman" w:hAnsi="Times New Roman" w:cs="Times New Roman"/>
                <w:b/>
                <w:bCs/>
                <w:sz w:val="24"/>
                <w:szCs w:val="24"/>
              </w:rPr>
              <w:t xml:space="preserve"> </w:t>
            </w:r>
          </w:p>
        </w:tc>
      </w:tr>
      <w:bookmarkEnd w:id="30"/>
    </w:tbl>
    <w:p w:rsidR="00FE1BF4" w:rsidP="00FE1BF4" w14:paraId="199F58F8" w14:textId="77777777">
      <w:pPr>
        <w:spacing w:before="15" w:after="0" w:line="240" w:lineRule="exact"/>
        <w:rPr>
          <w:sz w:val="24"/>
          <w:szCs w:val="24"/>
        </w:rPr>
      </w:pPr>
    </w:p>
    <w:p w:rsidR="00FE1BF4" w:rsidP="00FE1BF4" w14:paraId="078F7BBF" w14:textId="33398403">
      <w:pPr>
        <w:autoSpaceDE w:val="0"/>
        <w:autoSpaceDN w:val="0"/>
        <w:adjustRightInd w:val="0"/>
        <w:spacing w:after="0" w:line="240" w:lineRule="auto"/>
        <w:rPr>
          <w:rFonts w:ascii="Times New Roman" w:eastAsia="Times New Roman" w:hAnsi="Times New Roman" w:cs="Times New Roman"/>
          <w:spacing w:val="1"/>
          <w:sz w:val="24"/>
          <w:szCs w:val="24"/>
        </w:rPr>
      </w:pPr>
      <w:bookmarkStart w:id="31" w:name="_Hlk159956796"/>
      <w:bookmarkStart w:id="32" w:name="_Hlk159948689"/>
      <w:bookmarkStart w:id="33" w:name="_Hlk112830379"/>
      <w:r w:rsidRPr="00921269">
        <w:rPr>
          <w:rFonts w:ascii="Times New Roman" w:eastAsia="Times New Roman" w:hAnsi="Times New Roman" w:cs="Times New Roman"/>
          <w:b/>
          <w:bCs/>
          <w:spacing w:val="1"/>
          <w:sz w:val="24"/>
          <w:szCs w:val="24"/>
        </w:rPr>
        <w:t>Web-broker Website Required QHP Comparative Info</w:t>
      </w:r>
      <w:r w:rsidRPr="00FE1BF4">
        <w:rPr>
          <w:rFonts w:ascii="Times New Roman" w:eastAsia="Times New Roman" w:hAnsi="Times New Roman" w:cs="Times New Roman"/>
          <w:b/>
          <w:bCs/>
          <w:spacing w:val="1"/>
          <w:sz w:val="24"/>
          <w:szCs w:val="24"/>
        </w:rPr>
        <w:t>rmation and Enrollment Support Disclaimer</w:t>
      </w:r>
      <w:r w:rsidR="00CB7C10">
        <w:rPr>
          <w:rFonts w:ascii="Times New Roman" w:eastAsia="Times New Roman" w:hAnsi="Times New Roman" w:cs="Times New Roman"/>
          <w:b/>
          <w:bCs/>
          <w:spacing w:val="1"/>
          <w:sz w:val="24"/>
          <w:szCs w:val="24"/>
        </w:rPr>
        <w:t xml:space="preserve"> </w:t>
      </w:r>
      <w:r w:rsidR="00CB7C10">
        <w:rPr>
          <w:rFonts w:ascii="Times New Roman" w:eastAsia="Times New Roman" w:hAnsi="Times New Roman" w:cs="Times New Roman"/>
          <w:b/>
          <w:sz w:val="24"/>
          <w:szCs w:val="24"/>
        </w:rPr>
        <w:t>(45 C.F.R. § 155.220(c)(3)(i)(A))</w:t>
      </w:r>
      <w:r w:rsidRPr="00FE1BF4">
        <w:rPr>
          <w:rFonts w:ascii="Times New Roman" w:eastAsia="Times New Roman" w:hAnsi="Times New Roman" w:cs="Times New Roman"/>
          <w:b/>
          <w:bCs/>
          <w:spacing w:val="1"/>
          <w:sz w:val="24"/>
          <w:szCs w:val="24"/>
        </w:rPr>
        <w:t>:</w:t>
      </w:r>
      <w:r w:rsidRPr="00FE1BF4">
        <w:rPr>
          <w:rFonts w:ascii="Times New Roman" w:eastAsia="Times New Roman" w:hAnsi="Times New Roman" w:cs="Times New Roman"/>
          <w:spacing w:val="1"/>
          <w:sz w:val="24"/>
          <w:szCs w:val="24"/>
        </w:rPr>
        <w:t xml:space="preserve"> </w:t>
      </w:r>
      <w:bookmarkEnd w:id="31"/>
      <w:r w:rsidRPr="00FE1BF4">
        <w:rPr>
          <w:rFonts w:ascii="Times New Roman" w:eastAsia="Times New Roman" w:hAnsi="Times New Roman" w:cs="Times New Roman"/>
          <w:spacing w:val="1"/>
          <w:sz w:val="24"/>
          <w:szCs w:val="24"/>
        </w:rPr>
        <w:t xml:space="preserve">We estimate that it will take up to </w:t>
      </w:r>
      <w:r w:rsidR="005E3F50">
        <w:rPr>
          <w:rFonts w:ascii="Times New Roman" w:eastAsia="Times New Roman" w:hAnsi="Times New Roman" w:cs="Times New Roman"/>
          <w:spacing w:val="1"/>
          <w:sz w:val="24"/>
          <w:szCs w:val="24"/>
        </w:rPr>
        <w:t>3</w:t>
      </w:r>
      <w:r w:rsidRPr="00FE1BF4">
        <w:rPr>
          <w:rFonts w:ascii="Times New Roman" w:eastAsia="Times New Roman" w:hAnsi="Times New Roman" w:cs="Times New Roman"/>
          <w:spacing w:val="1"/>
          <w:sz w:val="24"/>
          <w:szCs w:val="24"/>
        </w:rPr>
        <w:t xml:space="preserve"> hours at an hourly cost of $</w:t>
      </w:r>
      <w:r w:rsidR="00F4521E">
        <w:rPr>
          <w:rFonts w:ascii="Times New Roman" w:eastAsia="Times New Roman" w:hAnsi="Times New Roman" w:cs="Times New Roman"/>
          <w:spacing w:val="1"/>
          <w:sz w:val="24"/>
          <w:szCs w:val="24"/>
        </w:rPr>
        <w:t>80.04</w:t>
      </w:r>
      <w:r w:rsidRPr="00FE1BF4">
        <w:rPr>
          <w:rFonts w:ascii="Times New Roman" w:eastAsia="Times New Roman" w:hAnsi="Times New Roman" w:cs="Times New Roman"/>
          <w:spacing w:val="1"/>
          <w:sz w:val="24"/>
          <w:szCs w:val="24"/>
        </w:rPr>
        <w:t xml:space="preserve"> for a Web and Digital Interface Designer to prominently display a standardized disclaimer provided by HHS stating </w:t>
      </w:r>
      <w:r w:rsidRPr="004834AE">
        <w:rPr>
          <w:rFonts w:ascii="Times New Roman" w:eastAsia="Times New Roman" w:hAnsi="Times New Roman" w:cs="Times New Roman"/>
          <w:spacing w:val="1"/>
          <w:sz w:val="24"/>
          <w:szCs w:val="24"/>
        </w:rPr>
        <w:t>that enrollment support is available on the Exchange website and provide a web link to the Exchange website where enrollment support for a QHP is not available using the web-broker’s non-Exchange website as finalized at §155.220(c)(3)(i)(A).</w:t>
      </w:r>
      <w:r w:rsidRPr="004834AE" w:rsidR="00B51A46">
        <w:rPr>
          <w:rFonts w:ascii="Times New Roman" w:eastAsia="Times New Roman" w:hAnsi="Times New Roman" w:cs="Times New Roman"/>
          <w:spacing w:val="1"/>
          <w:sz w:val="24"/>
          <w:szCs w:val="24"/>
        </w:rPr>
        <w:t xml:space="preserve"> </w:t>
      </w:r>
      <w:r w:rsidRPr="004834AE" w:rsidR="003D58B8">
        <w:rPr>
          <w:rFonts w:ascii="Times New Roman" w:hAnsi="Times New Roman" w:cs="Times New Roman"/>
          <w:spacing w:val="1"/>
          <w:sz w:val="24"/>
          <w:szCs w:val="24"/>
        </w:rPr>
        <w:t xml:space="preserve">We estimate that it will take up to 20 hours at an hourly cost of </w:t>
      </w:r>
      <w:r w:rsidRPr="004834AE" w:rsidR="00333CBD">
        <w:rPr>
          <w:rFonts w:ascii="Times New Roman" w:hAnsi="Times New Roman" w:cs="Times New Roman"/>
          <w:spacing w:val="1"/>
          <w:sz w:val="24"/>
          <w:szCs w:val="24"/>
        </w:rPr>
        <w:t>$</w:t>
      </w:r>
      <w:r w:rsidR="00F4521E">
        <w:rPr>
          <w:rFonts w:ascii="Times New Roman" w:hAnsi="Times New Roman" w:cs="Times New Roman"/>
          <w:spacing w:val="1"/>
          <w:sz w:val="24"/>
          <w:szCs w:val="24"/>
        </w:rPr>
        <w:t>80.04</w:t>
      </w:r>
      <w:r w:rsidRPr="004834AE" w:rsidR="00A05086">
        <w:rPr>
          <w:rFonts w:ascii="Times New Roman" w:hAnsi="Times New Roman" w:cs="Times New Roman"/>
          <w:spacing w:val="1"/>
          <w:sz w:val="24"/>
          <w:szCs w:val="24"/>
        </w:rPr>
        <w:t xml:space="preserve"> </w:t>
      </w:r>
      <w:r w:rsidRPr="004834AE" w:rsidR="003D58B8">
        <w:rPr>
          <w:rFonts w:ascii="Times New Roman" w:hAnsi="Times New Roman" w:cs="Times New Roman"/>
          <w:spacing w:val="1"/>
          <w:sz w:val="24"/>
          <w:szCs w:val="24"/>
        </w:rPr>
        <w:t xml:space="preserve">for a Web and Digital Interface Designer to integrate with the appropriate data sources, if necessary, and display the required QHP comparative information in a web-broker’s QHP selection process as finalized at § 155.220(c)(3)(i)(A)(1)-(6). We anticipate that most web-brokers have already integrated with the appropriate data sources and will not need to make significant annual updates; therefore, the true annual burden may be significantly less than estimated here. </w:t>
      </w:r>
      <w:r w:rsidRPr="004834AE">
        <w:rPr>
          <w:rFonts w:ascii="Times New Roman" w:eastAsia="Times New Roman" w:hAnsi="Times New Roman" w:cs="Times New Roman"/>
          <w:spacing w:val="1"/>
          <w:sz w:val="24"/>
          <w:szCs w:val="24"/>
        </w:rPr>
        <w:t xml:space="preserve">The total burden for each web-broker </w:t>
      </w:r>
      <w:r w:rsidRPr="004834AE" w:rsidR="00B91BDF">
        <w:rPr>
          <w:rFonts w:ascii="Times New Roman" w:eastAsia="Times New Roman" w:hAnsi="Times New Roman" w:cs="Times New Roman"/>
          <w:spacing w:val="1"/>
          <w:sz w:val="24"/>
          <w:szCs w:val="24"/>
        </w:rPr>
        <w:t>will</w:t>
      </w:r>
      <w:r w:rsidRPr="004834AE">
        <w:rPr>
          <w:rFonts w:ascii="Times New Roman" w:eastAsia="Times New Roman" w:hAnsi="Times New Roman" w:cs="Times New Roman"/>
          <w:spacing w:val="1"/>
          <w:sz w:val="24"/>
          <w:szCs w:val="24"/>
        </w:rPr>
        <w:t xml:space="preserve"> be approximately </w:t>
      </w:r>
      <w:r w:rsidRPr="004834AE" w:rsidR="003D58B8">
        <w:rPr>
          <w:rFonts w:ascii="Times New Roman" w:eastAsia="Times New Roman" w:hAnsi="Times New Roman" w:cs="Times New Roman"/>
          <w:spacing w:val="1"/>
          <w:sz w:val="24"/>
          <w:szCs w:val="24"/>
        </w:rPr>
        <w:t>2</w:t>
      </w:r>
      <w:r w:rsidR="00E04715">
        <w:rPr>
          <w:rFonts w:ascii="Times New Roman" w:eastAsia="Times New Roman" w:hAnsi="Times New Roman" w:cs="Times New Roman"/>
          <w:spacing w:val="1"/>
          <w:sz w:val="24"/>
          <w:szCs w:val="24"/>
        </w:rPr>
        <w:t>3</w:t>
      </w:r>
      <w:r w:rsidRPr="004834AE" w:rsidR="003D58B8">
        <w:rPr>
          <w:rFonts w:ascii="Times New Roman" w:eastAsia="Times New Roman" w:hAnsi="Times New Roman" w:cs="Times New Roman"/>
          <w:spacing w:val="1"/>
          <w:sz w:val="24"/>
          <w:szCs w:val="24"/>
        </w:rPr>
        <w:t xml:space="preserve"> </w:t>
      </w:r>
      <w:r w:rsidRPr="004834AE">
        <w:rPr>
          <w:rFonts w:ascii="Times New Roman" w:eastAsia="Times New Roman" w:hAnsi="Times New Roman" w:cs="Times New Roman"/>
          <w:spacing w:val="1"/>
          <w:sz w:val="24"/>
          <w:szCs w:val="24"/>
        </w:rPr>
        <w:t>hours, with an equivalent cost of approximately</w:t>
      </w:r>
      <w:r w:rsidRPr="004834AE" w:rsidR="00920A9D">
        <w:rPr>
          <w:rFonts w:ascii="Times New Roman" w:eastAsia="Times New Roman" w:hAnsi="Times New Roman" w:cs="Times New Roman"/>
          <w:spacing w:val="1"/>
          <w:sz w:val="24"/>
          <w:szCs w:val="24"/>
        </w:rPr>
        <w:t xml:space="preserve"> </w:t>
      </w:r>
      <w:r w:rsidRPr="004834AE" w:rsidR="00920A9D">
        <w:rPr>
          <w:rFonts w:ascii="Times New Roman" w:hAnsi="Times New Roman" w:cs="Times New Roman"/>
          <w:sz w:val="24"/>
          <w:szCs w:val="24"/>
        </w:rPr>
        <w:t>$</w:t>
      </w:r>
      <w:r w:rsidR="00E04715">
        <w:rPr>
          <w:rFonts w:ascii="Times New Roman" w:hAnsi="Times New Roman" w:cs="Times New Roman"/>
          <w:sz w:val="24"/>
          <w:szCs w:val="24"/>
        </w:rPr>
        <w:t>1,840.92</w:t>
      </w:r>
      <w:r w:rsidRPr="004834AE">
        <w:rPr>
          <w:rFonts w:ascii="Times New Roman" w:eastAsia="Times New Roman" w:hAnsi="Times New Roman" w:cs="Times New Roman"/>
          <w:spacing w:val="1"/>
          <w:sz w:val="24"/>
          <w:szCs w:val="24"/>
        </w:rPr>
        <w:t xml:space="preserve">. Based on current web-broker year-to-date participation and potential market size, we estimate that 20 </w:t>
      </w:r>
      <w:r w:rsidRPr="00FE1BF4">
        <w:rPr>
          <w:rFonts w:ascii="Times New Roman" w:eastAsia="Times New Roman" w:hAnsi="Times New Roman" w:cs="Times New Roman"/>
          <w:spacing w:val="1"/>
          <w:sz w:val="24"/>
          <w:szCs w:val="24"/>
        </w:rPr>
        <w:t xml:space="preserve">web-brokers will participate. We estimate that this data collection has a cumulative annual burden of </w:t>
      </w:r>
      <w:r w:rsidR="00B04EE7">
        <w:rPr>
          <w:rFonts w:ascii="Times New Roman" w:eastAsia="Times New Roman" w:hAnsi="Times New Roman" w:cs="Times New Roman"/>
          <w:spacing w:val="1"/>
          <w:sz w:val="24"/>
          <w:szCs w:val="24"/>
        </w:rPr>
        <w:t>460</w:t>
      </w:r>
      <w:r w:rsidRPr="00FE1BF4" w:rsidR="003D58B8">
        <w:rPr>
          <w:rFonts w:ascii="Times New Roman" w:eastAsia="Times New Roman" w:hAnsi="Times New Roman" w:cs="Times New Roman"/>
          <w:spacing w:val="1"/>
          <w:sz w:val="24"/>
          <w:szCs w:val="24"/>
        </w:rPr>
        <w:t xml:space="preserve"> </w:t>
      </w:r>
      <w:r w:rsidRPr="00FE1BF4">
        <w:rPr>
          <w:rFonts w:ascii="Times New Roman" w:eastAsia="Times New Roman" w:hAnsi="Times New Roman" w:cs="Times New Roman"/>
          <w:spacing w:val="1"/>
          <w:sz w:val="24"/>
          <w:szCs w:val="24"/>
        </w:rPr>
        <w:t xml:space="preserve">hours with a cost of </w:t>
      </w:r>
      <w:r w:rsidR="002B6EAA">
        <w:rPr>
          <w:rFonts w:ascii="Times New Roman" w:eastAsia="Times New Roman" w:hAnsi="Times New Roman" w:cs="Times New Roman"/>
          <w:spacing w:val="1"/>
          <w:sz w:val="24"/>
          <w:szCs w:val="24"/>
        </w:rPr>
        <w:t>$</w:t>
      </w:r>
      <w:r w:rsidR="00B04EE7">
        <w:rPr>
          <w:rFonts w:ascii="Times New Roman" w:eastAsia="Times New Roman" w:hAnsi="Times New Roman" w:cs="Times New Roman"/>
          <w:spacing w:val="1"/>
          <w:sz w:val="24"/>
          <w:szCs w:val="24"/>
        </w:rPr>
        <w:t>36,818.40</w:t>
      </w:r>
      <w:r w:rsidRPr="00FE1BF4">
        <w:rPr>
          <w:rFonts w:ascii="Times New Roman" w:eastAsia="Times New Roman" w:hAnsi="Times New Roman" w:cs="Times New Roman"/>
          <w:spacing w:val="1"/>
          <w:sz w:val="24"/>
          <w:szCs w:val="24"/>
        </w:rPr>
        <w:t>.</w:t>
      </w:r>
    </w:p>
    <w:bookmarkEnd w:id="32"/>
    <w:p w:rsidR="00192B1D" w:rsidP="00FE1BF4" w14:paraId="66284DA8" w14:textId="77777777">
      <w:pPr>
        <w:autoSpaceDE w:val="0"/>
        <w:autoSpaceDN w:val="0"/>
        <w:adjustRightInd w:val="0"/>
        <w:spacing w:after="0" w:line="240" w:lineRule="auto"/>
        <w:rPr>
          <w:rFonts w:ascii="Times New Roman" w:eastAsia="Times New Roman" w:hAnsi="Times New Roman" w:cs="Times New Roman"/>
          <w:spacing w:val="1"/>
          <w:sz w:val="24"/>
          <w:szCs w:val="24"/>
        </w:rPr>
      </w:pPr>
    </w:p>
    <w:p w:rsidR="00FE1BF4" w:rsidP="00F93B78" w14:paraId="268B1618" w14:textId="32404BEE">
      <w:pPr>
        <w:spacing w:after="0" w:line="240" w:lineRule="auto"/>
        <w:rPr>
          <w:rFonts w:ascii="Times New Roman" w:eastAsia="Times New Roman" w:hAnsi="Times New Roman" w:cs="Times New Roman"/>
          <w:spacing w:val="1"/>
          <w:sz w:val="24"/>
          <w:szCs w:val="24"/>
        </w:rPr>
      </w:pPr>
      <w:r w:rsidRPr="00FE1BF4">
        <w:rPr>
          <w:rFonts w:ascii="Times New Roman" w:eastAsia="Times New Roman" w:hAnsi="Times New Roman" w:cs="Times New Roman"/>
          <w:spacing w:val="1"/>
          <w:sz w:val="24"/>
          <w:szCs w:val="24"/>
        </w:rPr>
        <w:t xml:space="preserve">Table </w:t>
      </w:r>
      <w:r w:rsidR="00F4521E">
        <w:rPr>
          <w:rFonts w:ascii="Times New Roman" w:eastAsia="Times New Roman" w:hAnsi="Times New Roman" w:cs="Times New Roman"/>
          <w:spacing w:val="1"/>
          <w:sz w:val="24"/>
          <w:szCs w:val="24"/>
        </w:rPr>
        <w:t xml:space="preserve">4 </w:t>
      </w:r>
      <w:r w:rsidRPr="00FE1BF4">
        <w:rPr>
          <w:rFonts w:ascii="Times New Roman" w:eastAsia="Times New Roman" w:hAnsi="Times New Roman" w:cs="Times New Roman"/>
          <w:spacing w:val="1"/>
          <w:sz w:val="24"/>
          <w:szCs w:val="24"/>
        </w:rPr>
        <w:t>below displays the burden for web-brokers relating to these regulatory provisions.</w:t>
      </w:r>
    </w:p>
    <w:p w:rsidR="00F93B78" w:rsidRPr="00FE1BF4" w:rsidP="00F93B78" w14:paraId="34D53B4B" w14:textId="77777777">
      <w:pPr>
        <w:spacing w:after="0" w:line="240" w:lineRule="auto"/>
        <w:rPr>
          <w:rFonts w:ascii="Times New Roman" w:eastAsia="Times New Roman" w:hAnsi="Times New Roman" w:cs="Times New Roman"/>
          <w:spacing w:val="1"/>
          <w:sz w:val="24"/>
          <w:szCs w:val="24"/>
        </w:rPr>
      </w:pPr>
    </w:p>
    <w:p w:rsidR="00FE1BF4" w:rsidP="00FE1BF4" w14:paraId="40DB6A0A" w14:textId="0EEC54E7">
      <w:pPr>
        <w:spacing w:after="0" w:line="246" w:lineRule="auto"/>
        <w:ind w:right="201"/>
        <w:rPr>
          <w:rFonts w:ascii="Times New Roman" w:eastAsia="Times New Roman" w:hAnsi="Times New Roman" w:cs="Times New Roman"/>
          <w:b/>
          <w:sz w:val="24"/>
          <w:szCs w:val="24"/>
        </w:rPr>
      </w:pPr>
      <w:bookmarkStart w:id="34" w:name="_Hlk112831074"/>
      <w:r w:rsidRPr="00FE1BF4">
        <w:rPr>
          <w:rFonts w:ascii="Times New Roman" w:eastAsia="Times New Roman" w:hAnsi="Times New Roman" w:cs="Times New Roman"/>
          <w:b/>
          <w:sz w:val="24"/>
          <w:szCs w:val="24"/>
        </w:rPr>
        <w:t>Table</w:t>
      </w:r>
      <w:r w:rsidR="004142FC">
        <w:rPr>
          <w:rFonts w:ascii="Times New Roman" w:eastAsia="Times New Roman" w:hAnsi="Times New Roman" w:cs="Times New Roman"/>
          <w:b/>
          <w:sz w:val="24"/>
          <w:szCs w:val="24"/>
        </w:rPr>
        <w:t xml:space="preserve"> </w:t>
      </w:r>
      <w:r w:rsidR="00F4521E">
        <w:rPr>
          <w:rFonts w:ascii="Times New Roman" w:eastAsia="Times New Roman" w:hAnsi="Times New Roman" w:cs="Times New Roman"/>
          <w:b/>
          <w:sz w:val="24"/>
          <w:szCs w:val="24"/>
        </w:rPr>
        <w:t>4</w:t>
      </w:r>
      <w:r w:rsidRPr="00FE1BF4">
        <w:rPr>
          <w:rFonts w:ascii="Times New Roman" w:eastAsia="Times New Roman" w:hAnsi="Times New Roman" w:cs="Times New Roman"/>
          <w:b/>
          <w:sz w:val="24"/>
          <w:szCs w:val="24"/>
        </w:rPr>
        <w:t>: Burden to Web-brokers to Fulfill QHP Comparative Information and Enrollment Support Disclaimer Requirement</w:t>
      </w:r>
    </w:p>
    <w:p w:rsidR="005706FE" w:rsidRPr="00FE1BF4" w:rsidP="00FE1BF4" w14:paraId="772558EB" w14:textId="77777777">
      <w:pPr>
        <w:spacing w:after="0" w:line="246" w:lineRule="auto"/>
        <w:ind w:right="201"/>
        <w:rPr>
          <w:rFonts w:ascii="Times New Roman" w:eastAsia="Times New Roman" w:hAnsi="Times New Roman" w:cs="Times New Roman"/>
          <w:b/>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88"/>
        <w:gridCol w:w="1470"/>
        <w:gridCol w:w="1651"/>
        <w:gridCol w:w="1100"/>
        <w:gridCol w:w="1470"/>
        <w:gridCol w:w="1551"/>
      </w:tblGrid>
      <w:tr w14:paraId="0FD8C5D4" w14:textId="77777777" w:rsidTr="00B14C42">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23"/>
          <w:jc w:val="center"/>
        </w:trPr>
        <w:tc>
          <w:tcPr>
            <w:tcW w:w="1201" w:type="pct"/>
            <w:shd w:val="clear" w:color="auto" w:fill="auto"/>
            <w:vAlign w:val="center"/>
            <w:hideMark/>
          </w:tcPr>
          <w:p w:rsidR="00FE1BF4" w:rsidRPr="005706FE" w:rsidP="005706FE" w14:paraId="3C7FDADF" w14:textId="77777777">
            <w:pPr>
              <w:spacing w:after="0" w:line="240" w:lineRule="auto"/>
              <w:ind w:left="-20" w:right="-110"/>
              <w:rPr>
                <w:rFonts w:ascii="Times New Roman" w:eastAsia="Times New Roman" w:hAnsi="Times New Roman" w:cs="Times New Roman"/>
                <w:b/>
                <w:sz w:val="24"/>
                <w:szCs w:val="24"/>
              </w:rPr>
            </w:pPr>
            <w:bookmarkStart w:id="35" w:name="_Hlk146905977"/>
            <w:bookmarkEnd w:id="33"/>
            <w:r w:rsidRPr="005706FE">
              <w:rPr>
                <w:rFonts w:ascii="Times New Roman" w:eastAsia="Times New Roman" w:hAnsi="Times New Roman" w:cs="Times New Roman"/>
                <w:b/>
                <w:sz w:val="24"/>
                <w:szCs w:val="24"/>
              </w:rPr>
              <w:t>Labor Category</w:t>
            </w:r>
          </w:p>
        </w:tc>
        <w:tc>
          <w:tcPr>
            <w:tcW w:w="771" w:type="pct"/>
            <w:shd w:val="clear" w:color="auto" w:fill="auto"/>
            <w:vAlign w:val="center"/>
            <w:hideMark/>
          </w:tcPr>
          <w:p w:rsidR="00FE1BF4" w:rsidRPr="005706FE" w:rsidP="005706FE" w14:paraId="0FFC83AB" w14:textId="77777777">
            <w:pPr>
              <w:spacing w:after="0" w:line="240" w:lineRule="auto"/>
              <w:ind w:left="-110" w:right="-110"/>
              <w:jc w:val="center"/>
              <w:rPr>
                <w:rFonts w:ascii="Times New Roman" w:eastAsia="Times New Roman" w:hAnsi="Times New Roman" w:cs="Times New Roman"/>
                <w:b/>
                <w:sz w:val="24"/>
                <w:szCs w:val="24"/>
              </w:rPr>
            </w:pPr>
            <w:r w:rsidRPr="005706FE">
              <w:rPr>
                <w:rFonts w:ascii="Times New Roman" w:eastAsia="Times New Roman" w:hAnsi="Times New Roman" w:cs="Times New Roman"/>
                <w:b/>
                <w:sz w:val="24"/>
                <w:szCs w:val="24"/>
              </w:rPr>
              <w:t>Number of Respondents</w:t>
            </w:r>
          </w:p>
        </w:tc>
        <w:tc>
          <w:tcPr>
            <w:tcW w:w="866" w:type="pct"/>
            <w:shd w:val="clear" w:color="auto" w:fill="auto"/>
            <w:vAlign w:val="center"/>
            <w:hideMark/>
          </w:tcPr>
          <w:p w:rsidR="00FE1BF4" w:rsidRPr="005706FE" w:rsidP="005706FE" w14:paraId="6553E4C0" w14:textId="77777777">
            <w:pPr>
              <w:spacing w:after="0" w:line="240" w:lineRule="auto"/>
              <w:ind w:left="-110" w:right="-110"/>
              <w:jc w:val="center"/>
              <w:rPr>
                <w:rFonts w:ascii="Times New Roman" w:eastAsia="Times New Roman" w:hAnsi="Times New Roman" w:cs="Times New Roman"/>
                <w:b/>
                <w:sz w:val="24"/>
                <w:szCs w:val="24"/>
              </w:rPr>
            </w:pPr>
            <w:r w:rsidRPr="005706FE">
              <w:rPr>
                <w:rFonts w:ascii="Times New Roman" w:eastAsia="Times New Roman" w:hAnsi="Times New Roman" w:cs="Times New Roman"/>
                <w:b/>
                <w:sz w:val="24"/>
                <w:szCs w:val="24"/>
              </w:rPr>
              <w:t>Hourly Labor Costs (Hourly rate + 100% Fringe benefits)</w:t>
            </w:r>
          </w:p>
        </w:tc>
        <w:tc>
          <w:tcPr>
            <w:tcW w:w="577" w:type="pct"/>
            <w:shd w:val="clear" w:color="auto" w:fill="auto"/>
            <w:vAlign w:val="center"/>
            <w:hideMark/>
          </w:tcPr>
          <w:p w:rsidR="00FE1BF4" w:rsidRPr="005706FE" w:rsidP="005706FE" w14:paraId="5E7B8B57" w14:textId="77777777">
            <w:pPr>
              <w:spacing w:after="0" w:line="240" w:lineRule="auto"/>
              <w:ind w:left="-110" w:right="-110"/>
              <w:jc w:val="center"/>
              <w:rPr>
                <w:rFonts w:ascii="Times New Roman" w:eastAsia="Times New Roman" w:hAnsi="Times New Roman" w:cs="Times New Roman"/>
                <w:b/>
                <w:sz w:val="24"/>
                <w:szCs w:val="24"/>
              </w:rPr>
            </w:pPr>
            <w:r w:rsidRPr="005706FE">
              <w:rPr>
                <w:rFonts w:ascii="Times New Roman" w:eastAsia="Times New Roman" w:hAnsi="Times New Roman" w:cs="Times New Roman"/>
                <w:b/>
                <w:sz w:val="24"/>
                <w:szCs w:val="24"/>
              </w:rPr>
              <w:t>Burden Hours</w:t>
            </w:r>
          </w:p>
        </w:tc>
        <w:tc>
          <w:tcPr>
            <w:tcW w:w="771" w:type="pct"/>
            <w:shd w:val="clear" w:color="auto" w:fill="auto"/>
            <w:vAlign w:val="center"/>
            <w:hideMark/>
          </w:tcPr>
          <w:p w:rsidR="00FE1BF4" w:rsidRPr="005706FE" w:rsidP="005706FE" w14:paraId="449D7088" w14:textId="77777777">
            <w:pPr>
              <w:spacing w:after="0" w:line="240" w:lineRule="auto"/>
              <w:ind w:left="-110" w:right="-110"/>
              <w:jc w:val="center"/>
              <w:rPr>
                <w:rFonts w:ascii="Times New Roman" w:eastAsia="Times New Roman" w:hAnsi="Times New Roman" w:cs="Times New Roman"/>
                <w:b/>
                <w:sz w:val="24"/>
                <w:szCs w:val="24"/>
              </w:rPr>
            </w:pPr>
            <w:r w:rsidRPr="005706FE">
              <w:rPr>
                <w:rFonts w:ascii="Times New Roman" w:eastAsia="Times New Roman" w:hAnsi="Times New Roman" w:cs="Times New Roman"/>
                <w:b/>
                <w:sz w:val="24"/>
                <w:szCs w:val="24"/>
              </w:rPr>
              <w:t>Total Burden Costs (per Respondent)</w:t>
            </w:r>
          </w:p>
        </w:tc>
        <w:tc>
          <w:tcPr>
            <w:tcW w:w="814" w:type="pct"/>
            <w:shd w:val="clear" w:color="auto" w:fill="auto"/>
            <w:vAlign w:val="center"/>
            <w:hideMark/>
          </w:tcPr>
          <w:p w:rsidR="00FE1BF4" w:rsidRPr="005706FE" w:rsidP="005706FE" w14:paraId="66F2E8C5" w14:textId="77777777">
            <w:pPr>
              <w:spacing w:after="0" w:line="240" w:lineRule="auto"/>
              <w:ind w:left="-110" w:right="-110"/>
              <w:jc w:val="center"/>
              <w:rPr>
                <w:rFonts w:ascii="Times New Roman" w:eastAsia="Times New Roman" w:hAnsi="Times New Roman" w:cs="Times New Roman"/>
                <w:b/>
                <w:sz w:val="24"/>
                <w:szCs w:val="24"/>
              </w:rPr>
            </w:pPr>
            <w:r w:rsidRPr="005706FE">
              <w:rPr>
                <w:rFonts w:ascii="Times New Roman" w:eastAsia="Times New Roman" w:hAnsi="Times New Roman" w:cs="Times New Roman"/>
                <w:b/>
                <w:sz w:val="24"/>
                <w:szCs w:val="24"/>
              </w:rPr>
              <w:t>Total Burden Costs (All Respondents)</w:t>
            </w:r>
          </w:p>
        </w:tc>
      </w:tr>
      <w:tr w14:paraId="5781A99B" w14:textId="77777777" w:rsidTr="00A76BA5">
        <w:tblPrEx>
          <w:tblW w:w="5000" w:type="pct"/>
          <w:jc w:val="center"/>
          <w:tblLayout w:type="fixed"/>
          <w:tblLook w:val="04A0"/>
        </w:tblPrEx>
        <w:trPr>
          <w:trHeight w:hRule="exact" w:val="604"/>
          <w:jc w:val="center"/>
        </w:trPr>
        <w:tc>
          <w:tcPr>
            <w:tcW w:w="1201" w:type="pct"/>
            <w:shd w:val="clear" w:color="auto" w:fill="auto"/>
            <w:vAlign w:val="center"/>
            <w:hideMark/>
          </w:tcPr>
          <w:p w:rsidR="00920A9D" w:rsidRPr="007E4FFF" w:rsidP="00920A9D" w14:paraId="0A2A1DF3"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Web and Digital Interface Designer</w:t>
            </w:r>
          </w:p>
        </w:tc>
        <w:tc>
          <w:tcPr>
            <w:tcW w:w="771" w:type="pct"/>
            <w:shd w:val="clear" w:color="auto" w:fill="auto"/>
            <w:vAlign w:val="center"/>
            <w:hideMark/>
          </w:tcPr>
          <w:p w:rsidR="00920A9D" w:rsidRPr="00920A9D" w:rsidP="00920A9D" w14:paraId="0CCBB525" w14:textId="706EF443">
            <w:pPr>
              <w:spacing w:after="0" w:line="240" w:lineRule="auto"/>
              <w:jc w:val="center"/>
              <w:rPr>
                <w:rFonts w:ascii="Times New Roman" w:eastAsia="Times New Roman" w:hAnsi="Times New Roman" w:cs="Times New Roman"/>
                <w:sz w:val="24"/>
                <w:szCs w:val="24"/>
              </w:rPr>
            </w:pPr>
            <w:r w:rsidRPr="00920A9D">
              <w:rPr>
                <w:rFonts w:ascii="Times New Roman" w:hAnsi="Times New Roman" w:cs="Times New Roman"/>
                <w:color w:val="000000"/>
                <w:sz w:val="24"/>
                <w:szCs w:val="24"/>
              </w:rPr>
              <w:t>20</w:t>
            </w:r>
          </w:p>
        </w:tc>
        <w:tc>
          <w:tcPr>
            <w:tcW w:w="866" w:type="pct"/>
            <w:shd w:val="clear" w:color="auto" w:fill="auto"/>
            <w:vAlign w:val="center"/>
            <w:hideMark/>
          </w:tcPr>
          <w:p w:rsidR="00920A9D" w:rsidRPr="00920A9D" w:rsidP="00920A9D" w14:paraId="7DF0F2F3" w14:textId="1B81DCAA">
            <w:pPr>
              <w:spacing w:after="0" w:line="240" w:lineRule="auto"/>
              <w:jc w:val="center"/>
              <w:rPr>
                <w:rFonts w:ascii="Times New Roman" w:eastAsia="Times New Roman" w:hAnsi="Times New Roman" w:cs="Times New Roman"/>
                <w:sz w:val="24"/>
                <w:szCs w:val="24"/>
              </w:rPr>
            </w:pPr>
            <w:r w:rsidRPr="00920A9D">
              <w:rPr>
                <w:rFonts w:ascii="Times New Roman" w:hAnsi="Times New Roman" w:cs="Times New Roman"/>
                <w:color w:val="000000"/>
                <w:sz w:val="24"/>
                <w:szCs w:val="24"/>
              </w:rPr>
              <w:t>$</w:t>
            </w:r>
            <w:r w:rsidR="00F4521E">
              <w:rPr>
                <w:rFonts w:ascii="Times New Roman" w:hAnsi="Times New Roman" w:cs="Times New Roman"/>
                <w:color w:val="000000"/>
                <w:sz w:val="24"/>
                <w:szCs w:val="24"/>
              </w:rPr>
              <w:t>80.04</w:t>
            </w:r>
            <w:r w:rsidRPr="00920A9D">
              <w:rPr>
                <w:rFonts w:ascii="Times New Roman" w:hAnsi="Times New Roman" w:cs="Times New Roman"/>
                <w:color w:val="000000"/>
                <w:sz w:val="24"/>
                <w:szCs w:val="24"/>
              </w:rPr>
              <w:t xml:space="preserve"> </w:t>
            </w:r>
          </w:p>
        </w:tc>
        <w:tc>
          <w:tcPr>
            <w:tcW w:w="577" w:type="pct"/>
            <w:shd w:val="clear" w:color="auto" w:fill="auto"/>
            <w:vAlign w:val="center"/>
            <w:hideMark/>
          </w:tcPr>
          <w:p w:rsidR="00920A9D" w:rsidRPr="00920A9D" w:rsidP="00920A9D" w14:paraId="1FA5626B" w14:textId="01169065">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23</w:t>
            </w:r>
          </w:p>
        </w:tc>
        <w:tc>
          <w:tcPr>
            <w:tcW w:w="771" w:type="pct"/>
            <w:shd w:val="clear" w:color="auto" w:fill="auto"/>
            <w:vAlign w:val="center"/>
            <w:hideMark/>
          </w:tcPr>
          <w:p w:rsidR="00920A9D" w:rsidRPr="00920A9D" w:rsidP="00920A9D" w14:paraId="26BD6C61" w14:textId="09BBA8A2">
            <w:pPr>
              <w:spacing w:after="0" w:line="240" w:lineRule="auto"/>
              <w:jc w:val="center"/>
              <w:rPr>
                <w:rFonts w:ascii="Times New Roman" w:eastAsia="Times New Roman" w:hAnsi="Times New Roman" w:cs="Times New Roman"/>
                <w:sz w:val="24"/>
                <w:szCs w:val="24"/>
              </w:rPr>
            </w:pPr>
            <w:r w:rsidRPr="00920A9D">
              <w:rPr>
                <w:rFonts w:ascii="Times New Roman" w:hAnsi="Times New Roman" w:cs="Times New Roman"/>
                <w:color w:val="000000"/>
                <w:sz w:val="24"/>
                <w:szCs w:val="24"/>
              </w:rPr>
              <w:t>$</w:t>
            </w:r>
            <w:r w:rsidR="00B04EE7">
              <w:rPr>
                <w:rFonts w:ascii="Times New Roman" w:hAnsi="Times New Roman" w:cs="Times New Roman"/>
                <w:color w:val="000000"/>
                <w:sz w:val="24"/>
                <w:szCs w:val="24"/>
              </w:rPr>
              <w:t>1,840.92</w:t>
            </w:r>
            <w:r w:rsidRPr="00920A9D">
              <w:rPr>
                <w:rFonts w:ascii="Times New Roman" w:hAnsi="Times New Roman" w:cs="Times New Roman"/>
                <w:color w:val="000000"/>
                <w:sz w:val="24"/>
                <w:szCs w:val="24"/>
              </w:rPr>
              <w:t xml:space="preserve"> </w:t>
            </w:r>
          </w:p>
        </w:tc>
        <w:tc>
          <w:tcPr>
            <w:tcW w:w="814" w:type="pct"/>
            <w:shd w:val="clear" w:color="auto" w:fill="auto"/>
            <w:vAlign w:val="center"/>
            <w:hideMark/>
          </w:tcPr>
          <w:p w:rsidR="00920A9D" w:rsidRPr="00920A9D" w:rsidP="00920A9D" w14:paraId="4BF37FFB" w14:textId="7C875C3C">
            <w:pPr>
              <w:spacing w:after="0" w:line="240" w:lineRule="auto"/>
              <w:jc w:val="center"/>
              <w:rPr>
                <w:rFonts w:ascii="Times New Roman" w:eastAsia="Times New Roman" w:hAnsi="Times New Roman" w:cs="Times New Roman"/>
                <w:sz w:val="24"/>
                <w:szCs w:val="24"/>
              </w:rPr>
            </w:pPr>
            <w:r w:rsidRPr="00920A9D">
              <w:rPr>
                <w:rFonts w:ascii="Times New Roman" w:hAnsi="Times New Roman" w:cs="Times New Roman"/>
                <w:color w:val="000000"/>
                <w:sz w:val="24"/>
                <w:szCs w:val="24"/>
              </w:rPr>
              <w:t>$</w:t>
            </w:r>
            <w:r w:rsidR="00B04EE7">
              <w:rPr>
                <w:rFonts w:ascii="Times New Roman" w:hAnsi="Times New Roman" w:cs="Times New Roman"/>
                <w:color w:val="000000"/>
                <w:sz w:val="24"/>
                <w:szCs w:val="24"/>
              </w:rPr>
              <w:t>36,818.40</w:t>
            </w:r>
          </w:p>
        </w:tc>
      </w:tr>
      <w:bookmarkEnd w:id="34"/>
      <w:bookmarkEnd w:id="35"/>
    </w:tbl>
    <w:p w:rsidR="00D15A00" w:rsidP="004A0679" w14:paraId="010A608B" w14:textId="77777777">
      <w:pPr>
        <w:autoSpaceDE w:val="0"/>
        <w:autoSpaceDN w:val="0"/>
        <w:adjustRightInd w:val="0"/>
        <w:spacing w:after="0" w:line="240" w:lineRule="auto"/>
        <w:rPr>
          <w:rFonts w:ascii="Times New Roman" w:hAnsi="Times New Roman" w:cs="Times New Roman"/>
          <w:b/>
          <w:sz w:val="24"/>
          <w:szCs w:val="24"/>
        </w:rPr>
      </w:pPr>
    </w:p>
    <w:p w:rsidR="004A0679" w:rsidRPr="004A0679" w:rsidP="004A0679" w14:paraId="6E879A5F" w14:textId="45E79411">
      <w:pPr>
        <w:autoSpaceDE w:val="0"/>
        <w:autoSpaceDN w:val="0"/>
        <w:adjustRightInd w:val="0"/>
        <w:spacing w:after="0" w:line="240" w:lineRule="auto"/>
        <w:rPr>
          <w:rFonts w:ascii="Times New Roman" w:hAnsi="Times New Roman" w:cs="Times New Roman"/>
          <w:sz w:val="24"/>
          <w:szCs w:val="24"/>
        </w:rPr>
      </w:pPr>
      <w:bookmarkStart w:id="36" w:name="_Hlk159957177"/>
      <w:r w:rsidRPr="004A0679">
        <w:rPr>
          <w:rFonts w:ascii="Times New Roman" w:hAnsi="Times New Roman" w:cs="Times New Roman"/>
          <w:b/>
          <w:sz w:val="24"/>
          <w:szCs w:val="24"/>
        </w:rPr>
        <w:t xml:space="preserve">Web-broker </w:t>
      </w:r>
      <w:bookmarkStart w:id="37" w:name="_Hlk112831188"/>
      <w:r w:rsidRPr="004A0679">
        <w:rPr>
          <w:rFonts w:ascii="Times New Roman" w:hAnsi="Times New Roman" w:cs="Times New Roman"/>
          <w:b/>
          <w:sz w:val="24"/>
          <w:szCs w:val="24"/>
        </w:rPr>
        <w:t>Website</w:t>
      </w:r>
      <w:r w:rsidRPr="004A0679">
        <w:rPr>
          <w:rFonts w:ascii="Times New Roman" w:hAnsi="Times New Roman" w:cs="Times New Roman"/>
          <w:sz w:val="24"/>
          <w:szCs w:val="24"/>
        </w:rPr>
        <w:t xml:space="preserve"> </w:t>
      </w:r>
      <w:r w:rsidRPr="004A0679">
        <w:rPr>
          <w:rFonts w:ascii="Times New Roman" w:hAnsi="Times New Roman" w:cs="Times New Roman"/>
          <w:b/>
          <w:sz w:val="24"/>
          <w:szCs w:val="24"/>
        </w:rPr>
        <w:t xml:space="preserve">Explanation of Rationale for QHP Recommendations and Methodology </w:t>
      </w:r>
      <w:r w:rsidRPr="004A0679">
        <w:rPr>
          <w:rFonts w:ascii="Times New Roman" w:hAnsi="Times New Roman" w:cs="Times New Roman"/>
          <w:b/>
          <w:sz w:val="24"/>
          <w:szCs w:val="24"/>
        </w:rPr>
        <w:t xml:space="preserve">for Default Display </w:t>
      </w:r>
      <w:bookmarkEnd w:id="37"/>
      <w:r w:rsidRPr="004A0679">
        <w:rPr>
          <w:rFonts w:ascii="Times New Roman" w:hAnsi="Times New Roman" w:cs="Times New Roman"/>
          <w:b/>
          <w:sz w:val="24"/>
          <w:szCs w:val="24"/>
        </w:rPr>
        <w:t>(45 C.F.R. § 155.220(c)(3)(i)(M)):</w:t>
      </w:r>
      <w:r w:rsidR="004142FC">
        <w:rPr>
          <w:rFonts w:ascii="Times New Roman" w:hAnsi="Times New Roman" w:cs="Times New Roman"/>
          <w:sz w:val="24"/>
          <w:szCs w:val="24"/>
        </w:rPr>
        <w:t xml:space="preserve"> </w:t>
      </w:r>
      <w:bookmarkEnd w:id="36"/>
      <w:r w:rsidRPr="004A0679">
        <w:rPr>
          <w:rFonts w:ascii="Times New Roman" w:hAnsi="Times New Roman" w:cs="Times New Roman"/>
          <w:sz w:val="24"/>
          <w:szCs w:val="24"/>
        </w:rPr>
        <w:t xml:space="preserve">We estimate that it will take up to 5 hours at an hourly cost of </w:t>
      </w:r>
      <w:r w:rsidR="003233DA">
        <w:rPr>
          <w:rFonts w:ascii="Times New Roman" w:hAnsi="Times New Roman" w:cs="Times New Roman"/>
          <w:sz w:val="24"/>
          <w:szCs w:val="24"/>
        </w:rPr>
        <w:t>$</w:t>
      </w:r>
      <w:r w:rsidR="00F4521E">
        <w:rPr>
          <w:rFonts w:ascii="Times New Roman" w:hAnsi="Times New Roman" w:cs="Times New Roman"/>
          <w:sz w:val="24"/>
          <w:szCs w:val="24"/>
        </w:rPr>
        <w:t>80.04</w:t>
      </w:r>
      <w:r w:rsidR="003233DA">
        <w:rPr>
          <w:rFonts w:ascii="Times New Roman" w:hAnsi="Times New Roman" w:cs="Times New Roman"/>
          <w:sz w:val="24"/>
          <w:szCs w:val="24"/>
        </w:rPr>
        <w:t xml:space="preserve"> </w:t>
      </w:r>
      <w:r w:rsidRPr="004A0679">
        <w:rPr>
          <w:rFonts w:ascii="Times New Roman" w:hAnsi="Times New Roman" w:cs="Times New Roman"/>
          <w:sz w:val="24"/>
          <w:szCs w:val="24"/>
        </w:rPr>
        <w:t xml:space="preserve">for a Web and Digital Interface Designer to prominently display a clear explanation of the rationale for explicit QHP recommendations and the methodology for the default display of QHPs on their websites as finalized at </w:t>
      </w:r>
      <w:r w:rsidRPr="004A0679">
        <w:rPr>
          <w:rFonts w:ascii="Times New Roman" w:hAnsi="Times New Roman" w:cs="Times New Roman"/>
          <w:bCs/>
          <w:sz w:val="24"/>
          <w:szCs w:val="24"/>
        </w:rPr>
        <w:t>§155.220(c)(3)(i)(M)</w:t>
      </w:r>
      <w:r w:rsidRPr="004A0679">
        <w:rPr>
          <w:rFonts w:ascii="Times New Roman" w:hAnsi="Times New Roman" w:cs="Times New Roman"/>
          <w:sz w:val="24"/>
          <w:szCs w:val="24"/>
        </w:rPr>
        <w:t xml:space="preserve">. The total burden for each web-broker </w:t>
      </w:r>
      <w:r w:rsidR="00F36526">
        <w:rPr>
          <w:rFonts w:ascii="Times New Roman" w:hAnsi="Times New Roman" w:cs="Times New Roman"/>
          <w:sz w:val="24"/>
          <w:szCs w:val="24"/>
        </w:rPr>
        <w:t>will</w:t>
      </w:r>
      <w:r w:rsidRPr="004A0679">
        <w:rPr>
          <w:rFonts w:ascii="Times New Roman" w:hAnsi="Times New Roman" w:cs="Times New Roman"/>
          <w:sz w:val="24"/>
          <w:szCs w:val="24"/>
        </w:rPr>
        <w:t xml:space="preserve"> be approximately 5 hours, with an equivalent cost of approximately</w:t>
      </w:r>
      <w:r w:rsidR="008F24A7">
        <w:rPr>
          <w:rFonts w:ascii="Times New Roman" w:hAnsi="Times New Roman" w:cs="Times New Roman"/>
          <w:sz w:val="24"/>
          <w:szCs w:val="24"/>
        </w:rPr>
        <w:t xml:space="preserve"> $</w:t>
      </w:r>
      <w:r w:rsidR="00F4521E">
        <w:rPr>
          <w:rFonts w:ascii="Times New Roman" w:hAnsi="Times New Roman" w:cs="Times New Roman"/>
          <w:sz w:val="24"/>
          <w:szCs w:val="24"/>
        </w:rPr>
        <w:t>400.20</w:t>
      </w:r>
      <w:r w:rsidRPr="004A0679">
        <w:rPr>
          <w:rFonts w:ascii="Times New Roman" w:hAnsi="Times New Roman" w:cs="Times New Roman"/>
          <w:sz w:val="24"/>
          <w:szCs w:val="24"/>
        </w:rPr>
        <w:t>. Based on current web-broker year-to-date participation and potential market size, we estimate that 20 web-brokers will participate. We estimate that this data collection has a cumulative annual burden of 100 hours with a cost of</w:t>
      </w:r>
      <w:r w:rsidR="00EB0110">
        <w:rPr>
          <w:rFonts w:ascii="Times New Roman" w:hAnsi="Times New Roman" w:cs="Times New Roman"/>
          <w:sz w:val="24"/>
          <w:szCs w:val="24"/>
        </w:rPr>
        <w:t xml:space="preserve"> </w:t>
      </w:r>
      <w:r w:rsidR="00384570">
        <w:rPr>
          <w:rFonts w:ascii="Times New Roman" w:hAnsi="Times New Roman" w:cs="Times New Roman"/>
          <w:sz w:val="24"/>
          <w:szCs w:val="24"/>
        </w:rPr>
        <w:t>$</w:t>
      </w:r>
      <w:r w:rsidR="00F4521E">
        <w:rPr>
          <w:rFonts w:ascii="Times New Roman" w:hAnsi="Times New Roman" w:cs="Times New Roman"/>
          <w:sz w:val="24"/>
          <w:szCs w:val="24"/>
        </w:rPr>
        <w:t>8,004.00</w:t>
      </w:r>
      <w:r w:rsidRPr="004A0679">
        <w:rPr>
          <w:rFonts w:ascii="Times New Roman" w:hAnsi="Times New Roman" w:cs="Times New Roman"/>
          <w:sz w:val="24"/>
          <w:szCs w:val="24"/>
        </w:rPr>
        <w:t>.</w:t>
      </w:r>
    </w:p>
    <w:p w:rsidR="004A0679" w:rsidRPr="004A0679" w:rsidP="004A0679" w14:paraId="633A2738" w14:textId="77777777">
      <w:pPr>
        <w:autoSpaceDE w:val="0"/>
        <w:autoSpaceDN w:val="0"/>
        <w:adjustRightInd w:val="0"/>
        <w:spacing w:after="0" w:line="240" w:lineRule="auto"/>
        <w:rPr>
          <w:rFonts w:ascii="Times New Roman" w:hAnsi="Times New Roman" w:cs="Times New Roman"/>
          <w:sz w:val="24"/>
          <w:szCs w:val="24"/>
        </w:rPr>
      </w:pPr>
    </w:p>
    <w:p w:rsidR="004A0679" w:rsidP="004A0679" w14:paraId="48FF8129" w14:textId="60281CD3">
      <w:pPr>
        <w:autoSpaceDE w:val="0"/>
        <w:autoSpaceDN w:val="0"/>
        <w:adjustRightInd w:val="0"/>
        <w:spacing w:after="0" w:line="240" w:lineRule="auto"/>
        <w:rPr>
          <w:rFonts w:ascii="Times New Roman" w:hAnsi="Times New Roman" w:cs="Times New Roman"/>
          <w:sz w:val="24"/>
          <w:szCs w:val="24"/>
        </w:rPr>
      </w:pPr>
      <w:r w:rsidRPr="004A0679">
        <w:rPr>
          <w:rFonts w:ascii="Times New Roman" w:hAnsi="Times New Roman" w:cs="Times New Roman"/>
          <w:sz w:val="24"/>
          <w:szCs w:val="24"/>
        </w:rPr>
        <w:t xml:space="preserve">Table </w:t>
      </w:r>
      <w:r w:rsidR="00F4521E">
        <w:rPr>
          <w:rFonts w:ascii="Times New Roman" w:hAnsi="Times New Roman" w:cs="Times New Roman"/>
          <w:sz w:val="24"/>
          <w:szCs w:val="24"/>
        </w:rPr>
        <w:t xml:space="preserve">5 </w:t>
      </w:r>
      <w:r w:rsidRPr="004A0679">
        <w:rPr>
          <w:rFonts w:ascii="Times New Roman" w:hAnsi="Times New Roman" w:cs="Times New Roman"/>
          <w:sz w:val="24"/>
          <w:szCs w:val="24"/>
        </w:rPr>
        <w:t>below displays the burden for web-brokers relating to these regulatory provisions.</w:t>
      </w:r>
    </w:p>
    <w:p w:rsidR="004142FC" w:rsidRPr="004A0679" w:rsidP="004A0679" w14:paraId="41FC0613" w14:textId="77777777">
      <w:pPr>
        <w:autoSpaceDE w:val="0"/>
        <w:autoSpaceDN w:val="0"/>
        <w:adjustRightInd w:val="0"/>
        <w:spacing w:after="0" w:line="240" w:lineRule="auto"/>
        <w:rPr>
          <w:rFonts w:ascii="Times New Roman" w:hAnsi="Times New Roman" w:cs="Times New Roman"/>
          <w:sz w:val="24"/>
          <w:szCs w:val="24"/>
        </w:rPr>
      </w:pPr>
    </w:p>
    <w:p w:rsidR="00D37E84" w:rsidP="00D37E84" w14:paraId="57CAB8A7" w14:textId="7DE6C3E2">
      <w:pPr>
        <w:autoSpaceDE w:val="0"/>
        <w:autoSpaceDN w:val="0"/>
        <w:adjustRightInd w:val="0"/>
        <w:spacing w:after="0" w:line="240" w:lineRule="auto"/>
        <w:rPr>
          <w:rFonts w:ascii="Times New Roman" w:hAnsi="Times New Roman" w:cs="Times New Roman"/>
          <w:b/>
          <w:bCs/>
          <w:sz w:val="24"/>
          <w:szCs w:val="24"/>
        </w:rPr>
      </w:pPr>
      <w:bookmarkStart w:id="38" w:name="_Hlk159957182"/>
      <w:r w:rsidRPr="004A0679">
        <w:rPr>
          <w:rFonts w:ascii="Times New Roman" w:hAnsi="Times New Roman" w:cs="Times New Roman"/>
          <w:b/>
          <w:bCs/>
          <w:sz w:val="24"/>
          <w:szCs w:val="24"/>
        </w:rPr>
        <w:t>Table</w:t>
      </w:r>
      <w:r>
        <w:rPr>
          <w:rFonts w:ascii="Times New Roman" w:hAnsi="Times New Roman" w:cs="Times New Roman"/>
          <w:b/>
          <w:bCs/>
          <w:sz w:val="24"/>
          <w:szCs w:val="24"/>
        </w:rPr>
        <w:t xml:space="preserve"> </w:t>
      </w:r>
      <w:r w:rsidR="00F4521E">
        <w:rPr>
          <w:rFonts w:ascii="Times New Roman" w:hAnsi="Times New Roman" w:cs="Times New Roman"/>
          <w:b/>
          <w:bCs/>
          <w:sz w:val="24"/>
          <w:szCs w:val="24"/>
        </w:rPr>
        <w:t>5</w:t>
      </w:r>
      <w:r w:rsidRPr="004A0679">
        <w:rPr>
          <w:rFonts w:ascii="Times New Roman" w:hAnsi="Times New Roman" w:cs="Times New Roman"/>
          <w:b/>
          <w:bCs/>
          <w:sz w:val="24"/>
          <w:szCs w:val="24"/>
        </w:rPr>
        <w:t>: Burden to Web-brokers to Fulfill Website Explanation of Rationale for QHP Recommendations and Methodology for Default Display Requirement</w:t>
      </w:r>
    </w:p>
    <w:p w:rsidR="005706FE" w:rsidRPr="004A0679" w:rsidP="004A0679" w14:paraId="6FE31795" w14:textId="77777777">
      <w:pPr>
        <w:autoSpaceDE w:val="0"/>
        <w:autoSpaceDN w:val="0"/>
        <w:adjustRightInd w:val="0"/>
        <w:spacing w:after="0" w:line="240" w:lineRule="auto"/>
        <w:rPr>
          <w:rFonts w:ascii="Times New Roman" w:hAnsi="Times New Roman" w:cs="Times New Roman"/>
          <w:b/>
          <w:bCs/>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88"/>
        <w:gridCol w:w="1470"/>
        <w:gridCol w:w="1649"/>
        <w:gridCol w:w="1102"/>
        <w:gridCol w:w="1470"/>
        <w:gridCol w:w="1551"/>
      </w:tblGrid>
      <w:tr w14:paraId="0DE4B22A" w14:textId="77777777" w:rsidTr="00B14C42">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24"/>
          <w:jc w:val="center"/>
        </w:trPr>
        <w:tc>
          <w:tcPr>
            <w:tcW w:w="1201" w:type="pct"/>
            <w:shd w:val="clear" w:color="auto" w:fill="auto"/>
            <w:vAlign w:val="center"/>
            <w:hideMark/>
          </w:tcPr>
          <w:p w:rsidR="004A0679" w:rsidRPr="005706FE" w:rsidP="005706FE" w14:paraId="741B32C9" w14:textId="77777777">
            <w:pPr>
              <w:autoSpaceDE w:val="0"/>
              <w:autoSpaceDN w:val="0"/>
              <w:adjustRightInd w:val="0"/>
              <w:spacing w:after="0" w:line="240" w:lineRule="auto"/>
              <w:ind w:left="-20" w:right="-110"/>
              <w:rPr>
                <w:rFonts w:ascii="Times New Roman" w:hAnsi="Times New Roman" w:cs="Times New Roman"/>
                <w:b/>
                <w:sz w:val="24"/>
                <w:szCs w:val="24"/>
              </w:rPr>
            </w:pPr>
            <w:r w:rsidRPr="005706FE">
              <w:rPr>
                <w:rFonts w:ascii="Times New Roman" w:hAnsi="Times New Roman" w:cs="Times New Roman"/>
                <w:b/>
                <w:sz w:val="24"/>
                <w:szCs w:val="24"/>
              </w:rPr>
              <w:t>Labor Category</w:t>
            </w:r>
          </w:p>
        </w:tc>
        <w:tc>
          <w:tcPr>
            <w:tcW w:w="771" w:type="pct"/>
            <w:shd w:val="clear" w:color="auto" w:fill="auto"/>
            <w:vAlign w:val="center"/>
            <w:hideMark/>
          </w:tcPr>
          <w:p w:rsidR="004A0679" w:rsidRPr="005706FE" w:rsidP="005706FE" w14:paraId="52784267" w14:textId="77777777">
            <w:pPr>
              <w:autoSpaceDE w:val="0"/>
              <w:autoSpaceDN w:val="0"/>
              <w:adjustRightInd w:val="0"/>
              <w:spacing w:after="0" w:line="240" w:lineRule="auto"/>
              <w:ind w:left="-110" w:right="-110"/>
              <w:jc w:val="center"/>
              <w:rPr>
                <w:rFonts w:ascii="Times New Roman" w:hAnsi="Times New Roman" w:cs="Times New Roman"/>
                <w:b/>
                <w:sz w:val="24"/>
                <w:szCs w:val="24"/>
              </w:rPr>
            </w:pPr>
            <w:r w:rsidRPr="005706FE">
              <w:rPr>
                <w:rFonts w:ascii="Times New Roman" w:hAnsi="Times New Roman" w:cs="Times New Roman"/>
                <w:b/>
                <w:sz w:val="24"/>
                <w:szCs w:val="24"/>
              </w:rPr>
              <w:t>Number of Respondents</w:t>
            </w:r>
          </w:p>
        </w:tc>
        <w:tc>
          <w:tcPr>
            <w:tcW w:w="865" w:type="pct"/>
            <w:shd w:val="clear" w:color="auto" w:fill="auto"/>
            <w:vAlign w:val="center"/>
            <w:hideMark/>
          </w:tcPr>
          <w:p w:rsidR="004A0679" w:rsidRPr="005706FE" w:rsidP="005706FE" w14:paraId="6A984D25" w14:textId="77777777">
            <w:pPr>
              <w:autoSpaceDE w:val="0"/>
              <w:autoSpaceDN w:val="0"/>
              <w:adjustRightInd w:val="0"/>
              <w:spacing w:after="0" w:line="240" w:lineRule="auto"/>
              <w:ind w:left="-110" w:right="-110"/>
              <w:jc w:val="center"/>
              <w:rPr>
                <w:rFonts w:ascii="Times New Roman" w:hAnsi="Times New Roman" w:cs="Times New Roman"/>
                <w:b/>
                <w:sz w:val="24"/>
                <w:szCs w:val="24"/>
              </w:rPr>
            </w:pPr>
            <w:r w:rsidRPr="005706FE">
              <w:rPr>
                <w:rFonts w:ascii="Times New Roman" w:hAnsi="Times New Roman" w:cs="Times New Roman"/>
                <w:b/>
                <w:sz w:val="24"/>
                <w:szCs w:val="24"/>
              </w:rPr>
              <w:t>Hourly Labor Costs (Hourly rate + 100% Fringe benefits)</w:t>
            </w:r>
          </w:p>
        </w:tc>
        <w:tc>
          <w:tcPr>
            <w:tcW w:w="578" w:type="pct"/>
            <w:shd w:val="clear" w:color="auto" w:fill="auto"/>
            <w:vAlign w:val="center"/>
            <w:hideMark/>
          </w:tcPr>
          <w:p w:rsidR="004A0679" w:rsidRPr="005706FE" w:rsidP="005706FE" w14:paraId="6FD47B93" w14:textId="77777777">
            <w:pPr>
              <w:autoSpaceDE w:val="0"/>
              <w:autoSpaceDN w:val="0"/>
              <w:adjustRightInd w:val="0"/>
              <w:spacing w:after="0" w:line="240" w:lineRule="auto"/>
              <w:ind w:left="-110" w:right="-110"/>
              <w:jc w:val="center"/>
              <w:rPr>
                <w:rFonts w:ascii="Times New Roman" w:hAnsi="Times New Roman" w:cs="Times New Roman"/>
                <w:b/>
                <w:sz w:val="24"/>
                <w:szCs w:val="24"/>
              </w:rPr>
            </w:pPr>
            <w:r w:rsidRPr="005706FE">
              <w:rPr>
                <w:rFonts w:ascii="Times New Roman" w:hAnsi="Times New Roman" w:cs="Times New Roman"/>
                <w:b/>
                <w:sz w:val="24"/>
                <w:szCs w:val="24"/>
              </w:rPr>
              <w:t>Burden Hours</w:t>
            </w:r>
          </w:p>
        </w:tc>
        <w:tc>
          <w:tcPr>
            <w:tcW w:w="771" w:type="pct"/>
            <w:shd w:val="clear" w:color="auto" w:fill="auto"/>
            <w:vAlign w:val="center"/>
            <w:hideMark/>
          </w:tcPr>
          <w:p w:rsidR="004A0679" w:rsidRPr="005706FE" w:rsidP="005706FE" w14:paraId="4595AF43" w14:textId="77777777">
            <w:pPr>
              <w:autoSpaceDE w:val="0"/>
              <w:autoSpaceDN w:val="0"/>
              <w:adjustRightInd w:val="0"/>
              <w:spacing w:after="0" w:line="240" w:lineRule="auto"/>
              <w:ind w:left="-110" w:right="-110"/>
              <w:jc w:val="center"/>
              <w:rPr>
                <w:rFonts w:ascii="Times New Roman" w:hAnsi="Times New Roman" w:cs="Times New Roman"/>
                <w:b/>
                <w:sz w:val="24"/>
                <w:szCs w:val="24"/>
              </w:rPr>
            </w:pPr>
            <w:r w:rsidRPr="005706FE">
              <w:rPr>
                <w:rFonts w:ascii="Times New Roman" w:hAnsi="Times New Roman" w:cs="Times New Roman"/>
                <w:b/>
                <w:sz w:val="24"/>
                <w:szCs w:val="24"/>
              </w:rPr>
              <w:t>Total Burden Costs (per Respondent)</w:t>
            </w:r>
          </w:p>
        </w:tc>
        <w:tc>
          <w:tcPr>
            <w:tcW w:w="814" w:type="pct"/>
            <w:shd w:val="clear" w:color="auto" w:fill="auto"/>
            <w:vAlign w:val="center"/>
            <w:hideMark/>
          </w:tcPr>
          <w:p w:rsidR="004A0679" w:rsidRPr="005706FE" w:rsidP="005706FE" w14:paraId="1A7176BB" w14:textId="77777777">
            <w:pPr>
              <w:autoSpaceDE w:val="0"/>
              <w:autoSpaceDN w:val="0"/>
              <w:adjustRightInd w:val="0"/>
              <w:spacing w:after="0" w:line="240" w:lineRule="auto"/>
              <w:ind w:left="-110" w:right="-110"/>
              <w:jc w:val="center"/>
              <w:rPr>
                <w:rFonts w:ascii="Times New Roman" w:hAnsi="Times New Roman" w:cs="Times New Roman"/>
                <w:b/>
                <w:sz w:val="24"/>
                <w:szCs w:val="24"/>
              </w:rPr>
            </w:pPr>
            <w:r w:rsidRPr="005706FE">
              <w:rPr>
                <w:rFonts w:ascii="Times New Roman" w:hAnsi="Times New Roman" w:cs="Times New Roman"/>
                <w:b/>
                <w:sz w:val="24"/>
                <w:szCs w:val="24"/>
              </w:rPr>
              <w:t>Total Burden Costs (All Respondents)</w:t>
            </w:r>
          </w:p>
        </w:tc>
      </w:tr>
      <w:tr w14:paraId="3E389DDD" w14:textId="77777777" w:rsidTr="00A76BA5">
        <w:tblPrEx>
          <w:tblW w:w="5000" w:type="pct"/>
          <w:jc w:val="center"/>
          <w:tblLayout w:type="fixed"/>
          <w:tblLook w:val="04A0"/>
        </w:tblPrEx>
        <w:trPr>
          <w:trHeight w:hRule="exact" w:val="604"/>
          <w:jc w:val="center"/>
        </w:trPr>
        <w:tc>
          <w:tcPr>
            <w:tcW w:w="1201" w:type="pct"/>
            <w:shd w:val="clear" w:color="auto" w:fill="auto"/>
            <w:vAlign w:val="center"/>
            <w:hideMark/>
          </w:tcPr>
          <w:p w:rsidR="009B1E37" w:rsidRPr="008F24A7" w:rsidP="009B1E37" w14:paraId="19939AA6" w14:textId="77777777">
            <w:pPr>
              <w:autoSpaceDE w:val="0"/>
              <w:autoSpaceDN w:val="0"/>
              <w:adjustRightInd w:val="0"/>
              <w:spacing w:after="0" w:line="240" w:lineRule="auto"/>
              <w:rPr>
                <w:rFonts w:ascii="Times New Roman" w:hAnsi="Times New Roman" w:cs="Times New Roman"/>
                <w:sz w:val="24"/>
                <w:szCs w:val="24"/>
              </w:rPr>
            </w:pPr>
            <w:r w:rsidRPr="008F24A7">
              <w:rPr>
                <w:rFonts w:ascii="Times New Roman" w:hAnsi="Times New Roman" w:cs="Times New Roman"/>
                <w:sz w:val="24"/>
                <w:szCs w:val="24"/>
              </w:rPr>
              <w:t>Web and Digital Interface Designer</w:t>
            </w:r>
          </w:p>
        </w:tc>
        <w:tc>
          <w:tcPr>
            <w:tcW w:w="771" w:type="pct"/>
            <w:shd w:val="clear" w:color="auto" w:fill="auto"/>
            <w:vAlign w:val="center"/>
            <w:hideMark/>
          </w:tcPr>
          <w:p w:rsidR="009B1E37" w:rsidRPr="008F24A7" w:rsidP="009B1E37" w14:paraId="4EA09E48" w14:textId="7B5DB4B6">
            <w:pPr>
              <w:autoSpaceDE w:val="0"/>
              <w:autoSpaceDN w:val="0"/>
              <w:adjustRightInd w:val="0"/>
              <w:spacing w:after="0" w:line="240" w:lineRule="auto"/>
              <w:jc w:val="center"/>
              <w:rPr>
                <w:rFonts w:ascii="Times New Roman" w:hAnsi="Times New Roman" w:cs="Times New Roman"/>
                <w:sz w:val="24"/>
                <w:szCs w:val="24"/>
              </w:rPr>
            </w:pPr>
            <w:r w:rsidRPr="008F24A7">
              <w:rPr>
                <w:rFonts w:ascii="Times New Roman" w:hAnsi="Times New Roman" w:cs="Times New Roman"/>
                <w:color w:val="000000"/>
                <w:sz w:val="24"/>
                <w:szCs w:val="24"/>
              </w:rPr>
              <w:t>20</w:t>
            </w:r>
          </w:p>
        </w:tc>
        <w:tc>
          <w:tcPr>
            <w:tcW w:w="865" w:type="pct"/>
            <w:shd w:val="clear" w:color="auto" w:fill="auto"/>
            <w:vAlign w:val="center"/>
            <w:hideMark/>
          </w:tcPr>
          <w:p w:rsidR="009B1E37" w:rsidRPr="008F24A7" w:rsidP="009B1E37" w14:paraId="02E5110B" w14:textId="18F5B143">
            <w:pPr>
              <w:autoSpaceDE w:val="0"/>
              <w:autoSpaceDN w:val="0"/>
              <w:adjustRightInd w:val="0"/>
              <w:spacing w:after="0" w:line="240" w:lineRule="auto"/>
              <w:jc w:val="center"/>
              <w:rPr>
                <w:rFonts w:ascii="Times New Roman" w:hAnsi="Times New Roman" w:cs="Times New Roman"/>
                <w:sz w:val="24"/>
                <w:szCs w:val="24"/>
              </w:rPr>
            </w:pPr>
            <w:r w:rsidRPr="008F24A7">
              <w:rPr>
                <w:rFonts w:ascii="Times New Roman" w:hAnsi="Times New Roman" w:cs="Times New Roman"/>
                <w:color w:val="000000"/>
                <w:sz w:val="24"/>
                <w:szCs w:val="24"/>
              </w:rPr>
              <w:t>$</w:t>
            </w:r>
            <w:r w:rsidR="00F4521E">
              <w:rPr>
                <w:rFonts w:ascii="Times New Roman" w:hAnsi="Times New Roman" w:cs="Times New Roman"/>
                <w:color w:val="000000"/>
                <w:sz w:val="24"/>
                <w:szCs w:val="24"/>
              </w:rPr>
              <w:t>80.04</w:t>
            </w:r>
            <w:r w:rsidRPr="008F24A7">
              <w:rPr>
                <w:rFonts w:ascii="Times New Roman" w:hAnsi="Times New Roman" w:cs="Times New Roman"/>
                <w:color w:val="000000"/>
                <w:sz w:val="24"/>
                <w:szCs w:val="24"/>
              </w:rPr>
              <w:t xml:space="preserve"> </w:t>
            </w:r>
          </w:p>
        </w:tc>
        <w:tc>
          <w:tcPr>
            <w:tcW w:w="578" w:type="pct"/>
            <w:shd w:val="clear" w:color="auto" w:fill="auto"/>
            <w:vAlign w:val="center"/>
            <w:hideMark/>
          </w:tcPr>
          <w:p w:rsidR="009B1E37" w:rsidRPr="008F24A7" w:rsidP="009B1E37" w14:paraId="28CB8127" w14:textId="461405E3">
            <w:pPr>
              <w:autoSpaceDE w:val="0"/>
              <w:autoSpaceDN w:val="0"/>
              <w:adjustRightInd w:val="0"/>
              <w:spacing w:after="0" w:line="240" w:lineRule="auto"/>
              <w:jc w:val="center"/>
              <w:rPr>
                <w:rFonts w:ascii="Times New Roman" w:hAnsi="Times New Roman" w:cs="Times New Roman"/>
                <w:sz w:val="24"/>
                <w:szCs w:val="24"/>
              </w:rPr>
            </w:pPr>
            <w:r w:rsidRPr="008F24A7">
              <w:rPr>
                <w:rFonts w:ascii="Times New Roman" w:hAnsi="Times New Roman" w:cs="Times New Roman"/>
                <w:color w:val="000000"/>
                <w:sz w:val="24"/>
                <w:szCs w:val="24"/>
              </w:rPr>
              <w:t>5</w:t>
            </w:r>
          </w:p>
        </w:tc>
        <w:tc>
          <w:tcPr>
            <w:tcW w:w="771" w:type="pct"/>
            <w:shd w:val="clear" w:color="auto" w:fill="auto"/>
            <w:vAlign w:val="center"/>
            <w:hideMark/>
          </w:tcPr>
          <w:p w:rsidR="009B1E37" w:rsidRPr="008F24A7" w:rsidP="009B1E37" w14:paraId="22268AD1" w14:textId="249E0A11">
            <w:pPr>
              <w:autoSpaceDE w:val="0"/>
              <w:autoSpaceDN w:val="0"/>
              <w:adjustRightInd w:val="0"/>
              <w:spacing w:after="0" w:line="240" w:lineRule="auto"/>
              <w:jc w:val="center"/>
              <w:rPr>
                <w:rFonts w:ascii="Times New Roman" w:hAnsi="Times New Roman" w:cs="Times New Roman"/>
                <w:sz w:val="24"/>
                <w:szCs w:val="24"/>
              </w:rPr>
            </w:pPr>
            <w:r w:rsidRPr="008F24A7">
              <w:rPr>
                <w:rFonts w:ascii="Times New Roman" w:hAnsi="Times New Roman" w:cs="Times New Roman"/>
                <w:color w:val="000000"/>
                <w:sz w:val="24"/>
                <w:szCs w:val="24"/>
              </w:rPr>
              <w:t>$</w:t>
            </w:r>
            <w:r w:rsidR="00F4521E">
              <w:rPr>
                <w:rFonts w:ascii="Times New Roman" w:hAnsi="Times New Roman" w:cs="Times New Roman"/>
                <w:color w:val="000000"/>
                <w:sz w:val="24"/>
                <w:szCs w:val="24"/>
              </w:rPr>
              <w:t>400.20</w:t>
            </w:r>
            <w:r w:rsidRPr="008F24A7">
              <w:rPr>
                <w:rFonts w:ascii="Times New Roman" w:hAnsi="Times New Roman" w:cs="Times New Roman"/>
                <w:color w:val="000000"/>
                <w:sz w:val="24"/>
                <w:szCs w:val="24"/>
              </w:rPr>
              <w:t xml:space="preserve"> </w:t>
            </w:r>
          </w:p>
        </w:tc>
        <w:tc>
          <w:tcPr>
            <w:tcW w:w="814" w:type="pct"/>
            <w:shd w:val="clear" w:color="auto" w:fill="auto"/>
            <w:vAlign w:val="center"/>
            <w:hideMark/>
          </w:tcPr>
          <w:p w:rsidR="009B1E37" w:rsidRPr="008F24A7" w:rsidP="009B1E37" w14:paraId="3BA82FA5" w14:textId="5DF506E4">
            <w:pPr>
              <w:autoSpaceDE w:val="0"/>
              <w:autoSpaceDN w:val="0"/>
              <w:adjustRightInd w:val="0"/>
              <w:spacing w:after="0" w:line="240" w:lineRule="auto"/>
              <w:jc w:val="center"/>
              <w:rPr>
                <w:rFonts w:ascii="Times New Roman" w:hAnsi="Times New Roman" w:cs="Times New Roman"/>
                <w:sz w:val="24"/>
                <w:szCs w:val="24"/>
              </w:rPr>
            </w:pPr>
            <w:r w:rsidRPr="008F24A7">
              <w:rPr>
                <w:rFonts w:ascii="Times New Roman" w:hAnsi="Times New Roman" w:cs="Times New Roman"/>
                <w:color w:val="000000"/>
                <w:sz w:val="24"/>
                <w:szCs w:val="24"/>
              </w:rPr>
              <w:t>$</w:t>
            </w:r>
            <w:r w:rsidR="00F4521E">
              <w:rPr>
                <w:rFonts w:ascii="Times New Roman" w:hAnsi="Times New Roman" w:cs="Times New Roman"/>
                <w:color w:val="000000"/>
                <w:sz w:val="24"/>
                <w:szCs w:val="24"/>
              </w:rPr>
              <w:t>8,004.00</w:t>
            </w:r>
            <w:r w:rsidRPr="008F24A7">
              <w:rPr>
                <w:rFonts w:ascii="Times New Roman" w:hAnsi="Times New Roman" w:cs="Times New Roman"/>
                <w:color w:val="000000"/>
                <w:sz w:val="24"/>
                <w:szCs w:val="24"/>
              </w:rPr>
              <w:t xml:space="preserve"> </w:t>
            </w:r>
          </w:p>
        </w:tc>
      </w:tr>
      <w:bookmarkEnd w:id="38"/>
    </w:tbl>
    <w:p w:rsidR="00FE1BF4" w:rsidP="00234238" w14:paraId="3A4AAC69" w14:textId="77777777">
      <w:pPr>
        <w:autoSpaceDE w:val="0"/>
        <w:autoSpaceDN w:val="0"/>
        <w:adjustRightInd w:val="0"/>
        <w:spacing w:after="0" w:line="240" w:lineRule="auto"/>
        <w:rPr>
          <w:rFonts w:ascii="Times New Roman" w:hAnsi="Times New Roman" w:cs="Times New Roman"/>
          <w:sz w:val="24"/>
          <w:szCs w:val="24"/>
        </w:rPr>
      </w:pPr>
    </w:p>
    <w:p w:rsidR="00A77683" w:rsidP="00234238" w14:paraId="09634B2D" w14:textId="3ED51E91">
      <w:pPr>
        <w:spacing w:after="0" w:line="246" w:lineRule="auto"/>
        <w:rPr>
          <w:rFonts w:ascii="Times New Roman" w:eastAsia="Times New Roman" w:hAnsi="Times New Roman" w:cs="Times New Roman"/>
          <w:bCs/>
          <w:sz w:val="24"/>
          <w:szCs w:val="24"/>
        </w:rPr>
      </w:pPr>
      <w:bookmarkStart w:id="39" w:name="_Hlk159957576"/>
      <w:r w:rsidRPr="00805A00">
        <w:rPr>
          <w:rFonts w:ascii="Times New Roman" w:eastAsia="Times New Roman" w:hAnsi="Times New Roman" w:cs="Times New Roman"/>
          <w:b/>
          <w:sz w:val="24"/>
          <w:szCs w:val="24"/>
        </w:rPr>
        <w:t>Standardized Disclaimer</w:t>
      </w:r>
      <w:r w:rsidR="00CB7C10">
        <w:rPr>
          <w:rFonts w:ascii="Times New Roman" w:eastAsia="Times New Roman" w:hAnsi="Times New Roman" w:cs="Times New Roman"/>
          <w:b/>
          <w:sz w:val="24"/>
          <w:szCs w:val="24"/>
        </w:rPr>
        <w:t xml:space="preserve"> </w:t>
      </w:r>
      <w:r w:rsidR="00CB7C10">
        <w:rPr>
          <w:rFonts w:ascii="Times New Roman" w:eastAsia="Times New Roman" w:hAnsi="Times New Roman" w:cs="Times New Roman"/>
          <w:b/>
          <w:spacing w:val="1"/>
          <w:sz w:val="24"/>
          <w:szCs w:val="24"/>
        </w:rPr>
        <w:t xml:space="preserve">(45 C.F.R. </w:t>
      </w:r>
      <w:r w:rsidR="00CB7C10">
        <w:rPr>
          <w:rFonts w:ascii="Times New Roman" w:eastAsia="Times New Roman" w:hAnsi="Times New Roman" w:cs="Times New Roman"/>
          <w:b/>
          <w:sz w:val="24"/>
          <w:szCs w:val="24"/>
        </w:rPr>
        <w:t>§ 155.221(b)(2))</w:t>
      </w:r>
      <w:r w:rsidRPr="00805A00">
        <w:rPr>
          <w:rFonts w:ascii="Times New Roman" w:eastAsia="Times New Roman" w:hAnsi="Times New Roman" w:cs="Times New Roman"/>
          <w:sz w:val="24"/>
          <w:szCs w:val="24"/>
        </w:rPr>
        <w:t xml:space="preserve">: </w:t>
      </w:r>
      <w:bookmarkEnd w:id="39"/>
      <w:r w:rsidRPr="00805A00">
        <w:rPr>
          <w:rFonts w:ascii="Times New Roman" w:eastAsia="Times New Roman" w:hAnsi="Times New Roman" w:cs="Times New Roman"/>
          <w:sz w:val="24"/>
          <w:szCs w:val="24"/>
        </w:rPr>
        <w:t xml:space="preserve">We estimate that it will take up to </w:t>
      </w:r>
      <w:r w:rsidR="00F74141">
        <w:rPr>
          <w:rFonts w:ascii="Times New Roman" w:eastAsia="Times New Roman" w:hAnsi="Times New Roman" w:cs="Times New Roman"/>
          <w:sz w:val="24"/>
          <w:szCs w:val="24"/>
        </w:rPr>
        <w:t>1</w:t>
      </w:r>
      <w:r w:rsidRPr="00805A00">
        <w:rPr>
          <w:rFonts w:ascii="Times New Roman" w:eastAsia="Times New Roman" w:hAnsi="Times New Roman" w:cs="Times New Roman"/>
          <w:sz w:val="24"/>
          <w:szCs w:val="24"/>
        </w:rPr>
        <w:t xml:space="preserve"> hour at an hourly cost of </w:t>
      </w:r>
      <w:r w:rsidR="00EB0110">
        <w:rPr>
          <w:rFonts w:ascii="Times New Roman" w:eastAsia="Times New Roman" w:hAnsi="Times New Roman" w:cs="Times New Roman"/>
          <w:sz w:val="24"/>
          <w:szCs w:val="24"/>
        </w:rPr>
        <w:t>$</w:t>
      </w:r>
      <w:r w:rsidR="00E314F8">
        <w:rPr>
          <w:rFonts w:ascii="Times New Roman" w:eastAsia="Times New Roman" w:hAnsi="Times New Roman" w:cs="Times New Roman"/>
          <w:sz w:val="24"/>
          <w:szCs w:val="24"/>
        </w:rPr>
        <w:t>73.12</w:t>
      </w:r>
      <w:r w:rsidR="00467E34">
        <w:rPr>
          <w:rFonts w:ascii="Times New Roman" w:eastAsia="Times New Roman" w:hAnsi="Times New Roman" w:cs="Times New Roman"/>
          <w:sz w:val="24"/>
          <w:szCs w:val="24"/>
        </w:rPr>
        <w:t xml:space="preserve"> </w:t>
      </w:r>
      <w:r w:rsidRPr="00805A00">
        <w:rPr>
          <w:rFonts w:ascii="Times New Roman" w:eastAsia="Times New Roman" w:hAnsi="Times New Roman" w:cs="Times New Roman"/>
          <w:sz w:val="24"/>
          <w:szCs w:val="24"/>
        </w:rPr>
        <w:t xml:space="preserve">for a Business Operations Specialist to implement the </w:t>
      </w:r>
      <w:r w:rsidRPr="00805A00">
        <w:rPr>
          <w:rFonts w:ascii="Times New Roman" w:eastAsia="Times New Roman" w:hAnsi="Times New Roman" w:cs="Times New Roman"/>
          <w:spacing w:val="1"/>
          <w:sz w:val="24"/>
          <w:szCs w:val="24"/>
        </w:rPr>
        <w:t>standardized disclaimer to assist consumers in distinguishing between DE Entity website pages that display QHPs and those that display non-QHPs and associated website functionalities</w:t>
      </w:r>
      <w:r w:rsidRPr="00453CCE" w:rsidR="00453CCE">
        <w:rPr>
          <w:rFonts w:ascii="Times New Roman" w:eastAsia="Times New Roman" w:hAnsi="Times New Roman" w:cs="Times New Roman"/>
          <w:sz w:val="24"/>
          <w:szCs w:val="24"/>
        </w:rPr>
        <w:t xml:space="preserve">). The total burden for each </w:t>
      </w:r>
      <w:r w:rsidR="00823C8A">
        <w:rPr>
          <w:rFonts w:ascii="Times New Roman" w:eastAsia="Times New Roman" w:hAnsi="Times New Roman" w:cs="Times New Roman"/>
          <w:sz w:val="24"/>
          <w:szCs w:val="24"/>
        </w:rPr>
        <w:t xml:space="preserve">DE Entity </w:t>
      </w:r>
      <w:r w:rsidRPr="00453CCE" w:rsidR="00453CCE">
        <w:rPr>
          <w:rFonts w:ascii="Times New Roman" w:eastAsia="Times New Roman" w:hAnsi="Times New Roman" w:cs="Times New Roman"/>
          <w:sz w:val="24"/>
          <w:szCs w:val="24"/>
        </w:rPr>
        <w:t xml:space="preserve">will be approximately </w:t>
      </w:r>
      <w:r w:rsidR="00B04EE7">
        <w:rPr>
          <w:rFonts w:ascii="Times New Roman" w:eastAsia="Times New Roman" w:hAnsi="Times New Roman" w:cs="Times New Roman"/>
          <w:sz w:val="24"/>
          <w:szCs w:val="24"/>
        </w:rPr>
        <w:t>1</w:t>
      </w:r>
      <w:r w:rsidRPr="00453CCE" w:rsidR="00453CCE">
        <w:rPr>
          <w:rFonts w:ascii="Times New Roman" w:eastAsia="Times New Roman" w:hAnsi="Times New Roman" w:cs="Times New Roman"/>
          <w:sz w:val="24"/>
          <w:szCs w:val="24"/>
        </w:rPr>
        <w:t xml:space="preserve"> hour, with an equivalent cost of</w:t>
      </w:r>
      <w:r w:rsidR="00E817B1">
        <w:rPr>
          <w:rFonts w:ascii="Times New Roman" w:eastAsia="Times New Roman" w:hAnsi="Times New Roman" w:cs="Times New Roman"/>
          <w:sz w:val="24"/>
          <w:szCs w:val="24"/>
        </w:rPr>
        <w:t xml:space="preserve"> $</w:t>
      </w:r>
      <w:r w:rsidR="00B04EE7">
        <w:rPr>
          <w:rFonts w:ascii="Times New Roman" w:eastAsia="Times New Roman" w:hAnsi="Times New Roman" w:cs="Times New Roman"/>
          <w:sz w:val="24"/>
          <w:szCs w:val="24"/>
        </w:rPr>
        <w:t>73.12</w:t>
      </w:r>
      <w:r w:rsidR="00823C8A">
        <w:rPr>
          <w:rFonts w:ascii="Times New Roman" w:eastAsia="Times New Roman" w:hAnsi="Times New Roman" w:cs="Times New Roman"/>
          <w:sz w:val="24"/>
          <w:szCs w:val="24"/>
        </w:rPr>
        <w:t xml:space="preserve">. </w:t>
      </w:r>
      <w:r w:rsidRPr="00805A00">
        <w:rPr>
          <w:rFonts w:ascii="Times New Roman" w:eastAsia="Times New Roman" w:hAnsi="Times New Roman" w:cs="Times New Roman"/>
          <w:sz w:val="24"/>
          <w:szCs w:val="24"/>
        </w:rPr>
        <w:t xml:space="preserve">It will also require the labor of a </w:t>
      </w:r>
      <w:r w:rsidR="00A906F0">
        <w:rPr>
          <w:rFonts w:ascii="Times New Roman" w:eastAsia="Times New Roman" w:hAnsi="Times New Roman" w:cs="Times New Roman"/>
          <w:sz w:val="24"/>
          <w:szCs w:val="24"/>
        </w:rPr>
        <w:t>Web and Digital Interface Designer</w:t>
      </w:r>
      <w:r w:rsidRPr="00805A00">
        <w:rPr>
          <w:rFonts w:ascii="Times New Roman" w:eastAsia="Times New Roman" w:hAnsi="Times New Roman" w:cs="Times New Roman"/>
          <w:sz w:val="24"/>
          <w:szCs w:val="24"/>
        </w:rPr>
        <w:t xml:space="preserve"> for </w:t>
      </w:r>
      <w:r w:rsidR="00F74141">
        <w:rPr>
          <w:rFonts w:ascii="Times New Roman" w:eastAsia="Times New Roman" w:hAnsi="Times New Roman" w:cs="Times New Roman"/>
          <w:sz w:val="24"/>
          <w:szCs w:val="24"/>
        </w:rPr>
        <w:t>3</w:t>
      </w:r>
      <w:r w:rsidRPr="00805A00" w:rsidR="00F74141">
        <w:rPr>
          <w:rFonts w:ascii="Times New Roman" w:eastAsia="Times New Roman" w:hAnsi="Times New Roman" w:cs="Times New Roman"/>
          <w:sz w:val="24"/>
          <w:szCs w:val="24"/>
        </w:rPr>
        <w:t xml:space="preserve"> </w:t>
      </w:r>
      <w:r w:rsidRPr="00805A00">
        <w:rPr>
          <w:rFonts w:ascii="Times New Roman" w:eastAsia="Times New Roman" w:hAnsi="Times New Roman" w:cs="Times New Roman"/>
          <w:sz w:val="24"/>
          <w:szCs w:val="24"/>
        </w:rPr>
        <w:t xml:space="preserve">hours at an hourly cost of </w:t>
      </w:r>
      <w:r w:rsidR="00467E34">
        <w:rPr>
          <w:rFonts w:ascii="Times New Roman" w:eastAsia="Times New Roman" w:hAnsi="Times New Roman" w:cs="Times New Roman"/>
          <w:sz w:val="24"/>
          <w:szCs w:val="24"/>
        </w:rPr>
        <w:t>$</w:t>
      </w:r>
      <w:r w:rsidR="00E314F8">
        <w:rPr>
          <w:rFonts w:ascii="Times New Roman" w:eastAsia="Times New Roman" w:hAnsi="Times New Roman" w:cs="Times New Roman"/>
          <w:sz w:val="24"/>
          <w:szCs w:val="24"/>
        </w:rPr>
        <w:t>80.04</w:t>
      </w:r>
      <w:r w:rsidR="00D47EEA">
        <w:rPr>
          <w:rFonts w:ascii="Times New Roman" w:eastAsia="Times New Roman" w:hAnsi="Times New Roman" w:cs="Times New Roman"/>
          <w:sz w:val="24"/>
          <w:szCs w:val="24"/>
        </w:rPr>
        <w:t xml:space="preserve"> </w:t>
      </w:r>
      <w:r w:rsidRPr="00805A00">
        <w:rPr>
          <w:rFonts w:ascii="Times New Roman" w:eastAsia="Times New Roman" w:hAnsi="Times New Roman" w:cs="Times New Roman"/>
          <w:sz w:val="24"/>
          <w:szCs w:val="24"/>
        </w:rPr>
        <w:t>to modify the website</w:t>
      </w:r>
      <w:r w:rsidRPr="00E817B1" w:rsidR="00E817B1">
        <w:rPr>
          <w:rFonts w:ascii="Times New Roman" w:eastAsia="Times New Roman" w:hAnsi="Times New Roman" w:cs="Times New Roman"/>
          <w:sz w:val="24"/>
          <w:szCs w:val="24"/>
        </w:rPr>
        <w:t xml:space="preserve">). The total burden for each DE Entity will be approximately </w:t>
      </w:r>
      <w:r w:rsidR="00B04EE7">
        <w:rPr>
          <w:rFonts w:ascii="Times New Roman" w:eastAsia="Times New Roman" w:hAnsi="Times New Roman" w:cs="Times New Roman"/>
          <w:sz w:val="24"/>
          <w:szCs w:val="24"/>
        </w:rPr>
        <w:t>3</w:t>
      </w:r>
      <w:r w:rsidRPr="00E817B1" w:rsidR="00E817B1">
        <w:rPr>
          <w:rFonts w:ascii="Times New Roman" w:eastAsia="Times New Roman" w:hAnsi="Times New Roman" w:cs="Times New Roman"/>
          <w:sz w:val="24"/>
          <w:szCs w:val="24"/>
        </w:rPr>
        <w:t xml:space="preserve"> hours, with an equivalent cost of approximately</w:t>
      </w:r>
      <w:r w:rsidR="001C2DF7">
        <w:rPr>
          <w:rFonts w:ascii="Times New Roman" w:eastAsia="Times New Roman" w:hAnsi="Times New Roman" w:cs="Times New Roman"/>
          <w:sz w:val="24"/>
          <w:szCs w:val="24"/>
        </w:rPr>
        <w:t xml:space="preserve"> $</w:t>
      </w:r>
      <w:r w:rsidR="00B04EE7">
        <w:rPr>
          <w:rFonts w:ascii="Times New Roman" w:eastAsia="Times New Roman" w:hAnsi="Times New Roman" w:cs="Times New Roman"/>
          <w:sz w:val="24"/>
          <w:szCs w:val="24"/>
        </w:rPr>
        <w:t>240.12</w:t>
      </w:r>
      <w:r w:rsidR="00EB734B">
        <w:rPr>
          <w:rFonts w:ascii="Times New Roman" w:eastAsia="Times New Roman" w:hAnsi="Times New Roman" w:cs="Times New Roman"/>
          <w:sz w:val="24"/>
          <w:szCs w:val="24"/>
        </w:rPr>
        <w:t>.</w:t>
      </w:r>
      <w:r w:rsidRPr="00E817B1" w:rsidR="00E817B1">
        <w:rPr>
          <w:rFonts w:ascii="Times New Roman" w:eastAsia="Times New Roman" w:hAnsi="Times New Roman" w:cs="Times New Roman"/>
          <w:sz w:val="24"/>
          <w:szCs w:val="24"/>
        </w:rPr>
        <w:t xml:space="preserve"> </w:t>
      </w:r>
      <w:r w:rsidRPr="00805A00">
        <w:rPr>
          <w:rFonts w:ascii="Times New Roman" w:eastAsia="Times New Roman" w:hAnsi="Times New Roman" w:cs="Times New Roman"/>
          <w:sz w:val="24"/>
          <w:szCs w:val="24"/>
        </w:rPr>
        <w:t>Based on current year-to-date participation and potential market size, we estimate that 10</w:t>
      </w:r>
      <w:r w:rsidR="00467E34">
        <w:rPr>
          <w:rFonts w:ascii="Times New Roman" w:eastAsia="Times New Roman" w:hAnsi="Times New Roman" w:cs="Times New Roman"/>
          <w:sz w:val="24"/>
          <w:szCs w:val="24"/>
        </w:rPr>
        <w:t>0</w:t>
      </w:r>
      <w:r w:rsidRPr="00805A00">
        <w:rPr>
          <w:rFonts w:ascii="Times New Roman" w:eastAsia="Times New Roman" w:hAnsi="Times New Roman" w:cs="Times New Roman"/>
          <w:sz w:val="24"/>
          <w:szCs w:val="24"/>
        </w:rPr>
        <w:t xml:space="preserve"> DE Entities will participate. We estimate that this data collection has an annual burden </w:t>
      </w:r>
      <w:r w:rsidR="002F2DBB">
        <w:rPr>
          <w:rFonts w:ascii="Times New Roman" w:eastAsia="Times New Roman" w:hAnsi="Times New Roman" w:cs="Times New Roman"/>
          <w:sz w:val="24"/>
          <w:szCs w:val="24"/>
        </w:rPr>
        <w:t xml:space="preserve">of </w:t>
      </w:r>
      <w:r w:rsidR="00B04EE7">
        <w:rPr>
          <w:rFonts w:ascii="Times New Roman" w:eastAsia="Times New Roman" w:hAnsi="Times New Roman" w:cs="Times New Roman"/>
          <w:sz w:val="24"/>
          <w:szCs w:val="24"/>
        </w:rPr>
        <w:t xml:space="preserve">400 </w:t>
      </w:r>
      <w:r w:rsidR="002F2DBB">
        <w:rPr>
          <w:rFonts w:ascii="Times New Roman" w:eastAsia="Times New Roman" w:hAnsi="Times New Roman" w:cs="Times New Roman"/>
          <w:sz w:val="24"/>
          <w:szCs w:val="24"/>
        </w:rPr>
        <w:t xml:space="preserve">hours with a cost </w:t>
      </w:r>
      <w:r w:rsidRPr="00805A00">
        <w:rPr>
          <w:rFonts w:ascii="Times New Roman" w:eastAsia="Times New Roman" w:hAnsi="Times New Roman" w:cs="Times New Roman"/>
          <w:sz w:val="24"/>
          <w:szCs w:val="24"/>
        </w:rPr>
        <w:t>of approximately</w:t>
      </w:r>
      <w:r w:rsidR="00592373">
        <w:rPr>
          <w:rFonts w:ascii="Times New Roman" w:eastAsia="Times New Roman" w:hAnsi="Times New Roman" w:cs="Times New Roman"/>
          <w:bCs/>
          <w:sz w:val="24"/>
          <w:szCs w:val="24"/>
        </w:rPr>
        <w:t xml:space="preserve"> </w:t>
      </w:r>
      <w:r w:rsidRPr="002F629D" w:rsidR="00592373">
        <w:rPr>
          <w:rFonts w:ascii="Times New Roman" w:hAnsi="Times New Roman" w:cs="Times New Roman"/>
          <w:color w:val="000000"/>
          <w:sz w:val="24"/>
          <w:szCs w:val="24"/>
        </w:rPr>
        <w:t>$</w:t>
      </w:r>
      <w:r w:rsidR="00B04EE7">
        <w:rPr>
          <w:rFonts w:ascii="Times New Roman" w:hAnsi="Times New Roman" w:cs="Times New Roman"/>
          <w:color w:val="000000"/>
          <w:sz w:val="24"/>
          <w:szCs w:val="24"/>
        </w:rPr>
        <w:t>31,324.00</w:t>
      </w:r>
      <w:r w:rsidR="00312572">
        <w:rPr>
          <w:rFonts w:ascii="Times New Roman" w:eastAsia="Times New Roman" w:hAnsi="Times New Roman" w:cs="Times New Roman"/>
          <w:bCs/>
          <w:sz w:val="24"/>
          <w:szCs w:val="24"/>
        </w:rPr>
        <w:t>.</w:t>
      </w:r>
    </w:p>
    <w:p w:rsidR="00E068C0" w:rsidP="00234238" w14:paraId="4C436ABF" w14:textId="77777777">
      <w:pPr>
        <w:spacing w:after="0" w:line="246" w:lineRule="auto"/>
        <w:rPr>
          <w:rFonts w:ascii="Times New Roman" w:eastAsia="Times New Roman" w:hAnsi="Times New Roman" w:cs="Times New Roman"/>
          <w:bCs/>
          <w:sz w:val="24"/>
          <w:szCs w:val="24"/>
        </w:rPr>
      </w:pPr>
    </w:p>
    <w:p w:rsidR="00E068C0" w:rsidP="00234238" w14:paraId="7A62171E" w14:textId="6C97EFE3">
      <w:pPr>
        <w:spacing w:after="0" w:line="246" w:lineRule="auto"/>
        <w:rPr>
          <w:rFonts w:ascii="Times New Roman" w:eastAsia="Times New Roman" w:hAnsi="Times New Roman" w:cs="Times New Roman"/>
          <w:spacing w:val="1"/>
          <w:sz w:val="24"/>
          <w:szCs w:val="24"/>
        </w:rPr>
      </w:pPr>
      <w:r w:rsidRPr="00393CE5">
        <w:rPr>
          <w:rFonts w:ascii="Times New Roman" w:eastAsia="Times New Roman" w:hAnsi="Times New Roman" w:cs="Times New Roman"/>
          <w:spacing w:val="1"/>
          <w:sz w:val="24"/>
          <w:szCs w:val="24"/>
        </w:rPr>
        <w:t xml:space="preserve">Table </w:t>
      </w:r>
      <w:r w:rsidR="00753EDA">
        <w:rPr>
          <w:rFonts w:ascii="Times New Roman" w:eastAsia="Times New Roman" w:hAnsi="Times New Roman" w:cs="Times New Roman"/>
          <w:spacing w:val="1"/>
          <w:sz w:val="24"/>
          <w:szCs w:val="24"/>
        </w:rPr>
        <w:t xml:space="preserve">6 </w:t>
      </w:r>
      <w:r w:rsidRPr="00393CE5">
        <w:rPr>
          <w:rFonts w:ascii="Times New Roman" w:eastAsia="Times New Roman" w:hAnsi="Times New Roman" w:cs="Times New Roman"/>
          <w:spacing w:val="1"/>
          <w:sz w:val="24"/>
          <w:szCs w:val="24"/>
        </w:rPr>
        <w:t xml:space="preserve">below displays the burden for </w:t>
      </w:r>
      <w:r>
        <w:rPr>
          <w:rFonts w:ascii="Times New Roman" w:eastAsia="Times New Roman" w:hAnsi="Times New Roman" w:cs="Times New Roman"/>
          <w:spacing w:val="1"/>
          <w:sz w:val="24"/>
          <w:szCs w:val="24"/>
        </w:rPr>
        <w:t xml:space="preserve">DE Entities </w:t>
      </w:r>
      <w:r w:rsidRPr="00393CE5">
        <w:rPr>
          <w:rFonts w:ascii="Times New Roman" w:eastAsia="Times New Roman" w:hAnsi="Times New Roman" w:cs="Times New Roman"/>
          <w:spacing w:val="1"/>
          <w:sz w:val="24"/>
          <w:szCs w:val="24"/>
        </w:rPr>
        <w:t>relating to these regulatory provisions.</w:t>
      </w:r>
    </w:p>
    <w:p w:rsidR="004834AE" w:rsidRPr="00805A00" w:rsidP="00234238" w14:paraId="5A55A95E" w14:textId="77777777">
      <w:pPr>
        <w:spacing w:after="0" w:line="246" w:lineRule="auto"/>
        <w:rPr>
          <w:rFonts w:ascii="Times New Roman" w:eastAsia="Times New Roman" w:hAnsi="Times New Roman" w:cs="Times New Roman"/>
          <w:bCs/>
          <w:sz w:val="24"/>
          <w:szCs w:val="24"/>
        </w:rPr>
      </w:pPr>
    </w:p>
    <w:p w:rsidR="00D37E84" w:rsidP="00234238" w14:paraId="10C5707B" w14:textId="1BDAB7FA">
      <w:pPr>
        <w:autoSpaceDE w:val="0"/>
        <w:autoSpaceDN w:val="0"/>
        <w:adjustRightInd w:val="0"/>
        <w:spacing w:after="0" w:line="240" w:lineRule="auto"/>
        <w:rPr>
          <w:rFonts w:ascii="Times New Roman" w:hAnsi="Times New Roman" w:cs="Times New Roman"/>
          <w:b/>
          <w:bCs/>
          <w:sz w:val="24"/>
          <w:szCs w:val="24"/>
        </w:rPr>
      </w:pPr>
      <w:bookmarkStart w:id="40" w:name="_Hlk148047214"/>
      <w:r w:rsidRPr="004A0679">
        <w:rPr>
          <w:rFonts w:ascii="Times New Roman" w:hAnsi="Times New Roman" w:cs="Times New Roman"/>
          <w:b/>
          <w:bCs/>
          <w:sz w:val="24"/>
          <w:szCs w:val="24"/>
        </w:rPr>
        <w:t>Table</w:t>
      </w:r>
      <w:r>
        <w:rPr>
          <w:rFonts w:ascii="Times New Roman" w:hAnsi="Times New Roman" w:cs="Times New Roman"/>
          <w:b/>
          <w:bCs/>
          <w:sz w:val="24"/>
          <w:szCs w:val="24"/>
        </w:rPr>
        <w:t xml:space="preserve"> </w:t>
      </w:r>
      <w:r w:rsidR="00E314F8">
        <w:rPr>
          <w:rFonts w:ascii="Times New Roman" w:hAnsi="Times New Roman" w:cs="Times New Roman"/>
          <w:b/>
          <w:bCs/>
          <w:sz w:val="24"/>
          <w:szCs w:val="24"/>
        </w:rPr>
        <w:t>6</w:t>
      </w:r>
      <w:r w:rsidRPr="004A0679">
        <w:rPr>
          <w:rFonts w:ascii="Times New Roman" w:hAnsi="Times New Roman" w:cs="Times New Roman"/>
          <w:b/>
          <w:bCs/>
          <w:sz w:val="24"/>
          <w:szCs w:val="24"/>
        </w:rPr>
        <w:t xml:space="preserve">: Burden to </w:t>
      </w:r>
      <w:r w:rsidR="00D564BB">
        <w:rPr>
          <w:rFonts w:ascii="Times New Roman" w:hAnsi="Times New Roman" w:cs="Times New Roman"/>
          <w:b/>
          <w:bCs/>
          <w:sz w:val="24"/>
          <w:szCs w:val="24"/>
        </w:rPr>
        <w:t>DE Entities</w:t>
      </w:r>
      <w:r w:rsidRPr="004A0679">
        <w:rPr>
          <w:rFonts w:ascii="Times New Roman" w:hAnsi="Times New Roman" w:cs="Times New Roman"/>
          <w:b/>
          <w:bCs/>
          <w:sz w:val="24"/>
          <w:szCs w:val="24"/>
        </w:rPr>
        <w:t xml:space="preserve"> to </w:t>
      </w:r>
      <w:r>
        <w:rPr>
          <w:rFonts w:ascii="Times New Roman" w:hAnsi="Times New Roman" w:cs="Times New Roman"/>
          <w:b/>
          <w:bCs/>
          <w:sz w:val="24"/>
          <w:szCs w:val="24"/>
        </w:rPr>
        <w:t>Implement the Standardized Disclaimer Requi</w:t>
      </w:r>
      <w:r w:rsidRPr="004A0679">
        <w:rPr>
          <w:rFonts w:ascii="Times New Roman" w:hAnsi="Times New Roman" w:cs="Times New Roman"/>
          <w:b/>
          <w:bCs/>
          <w:sz w:val="24"/>
          <w:szCs w:val="24"/>
        </w:rPr>
        <w:t>rement</w:t>
      </w:r>
    </w:p>
    <w:p w:rsidR="00A77683" w:rsidRPr="00805A00" w:rsidP="00A77683" w14:paraId="4147B6F8" w14:textId="77777777">
      <w:pPr>
        <w:spacing w:after="0" w:line="246" w:lineRule="auto"/>
        <w:ind w:left="160" w:right="201" w:firstLine="432"/>
        <w:rPr>
          <w:rFonts w:ascii="Times New Roman" w:eastAsia="Times New Roman" w:hAnsi="Times New Roman" w:cs="Times New Roman"/>
          <w:bCs/>
          <w:sz w:val="24"/>
          <w:szCs w:val="24"/>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55"/>
        <w:gridCol w:w="1350"/>
        <w:gridCol w:w="1620"/>
        <w:gridCol w:w="1080"/>
        <w:gridCol w:w="1530"/>
        <w:gridCol w:w="1620"/>
      </w:tblGrid>
      <w:tr w14:paraId="1617826E" w14:textId="77777777" w:rsidTr="00D30C48">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42"/>
        </w:trPr>
        <w:tc>
          <w:tcPr>
            <w:tcW w:w="2155" w:type="dxa"/>
            <w:shd w:val="clear" w:color="auto" w:fill="auto"/>
            <w:vAlign w:val="center"/>
            <w:hideMark/>
          </w:tcPr>
          <w:p w:rsidR="00B14C42" w:rsidRPr="00805A00" w:rsidP="00D30C48" w14:paraId="774315B7" w14:textId="77777777">
            <w:pPr>
              <w:widowControl/>
              <w:spacing w:after="0" w:line="240" w:lineRule="auto"/>
              <w:ind w:right="-110"/>
              <w:rPr>
                <w:rFonts w:ascii="Times New Roman" w:eastAsia="Times New Roman" w:hAnsi="Times New Roman" w:cs="Times New Roman"/>
                <w:b/>
                <w:bCs/>
                <w:sz w:val="24"/>
                <w:szCs w:val="24"/>
              </w:rPr>
            </w:pPr>
            <w:r w:rsidRPr="00805A00">
              <w:rPr>
                <w:rFonts w:ascii="Times New Roman" w:eastAsia="Times New Roman" w:hAnsi="Times New Roman" w:cs="Times New Roman"/>
                <w:b/>
                <w:bCs/>
                <w:sz w:val="24"/>
                <w:szCs w:val="24"/>
              </w:rPr>
              <w:t>Labor Category</w:t>
            </w:r>
          </w:p>
        </w:tc>
        <w:tc>
          <w:tcPr>
            <w:tcW w:w="1350" w:type="dxa"/>
            <w:shd w:val="clear" w:color="auto" w:fill="auto"/>
            <w:vAlign w:val="center"/>
            <w:hideMark/>
          </w:tcPr>
          <w:p w:rsidR="00B14C42" w:rsidRPr="00805A00" w:rsidP="00B14C42" w14:paraId="63A51493" w14:textId="6F34729E">
            <w:pPr>
              <w:widowControl/>
              <w:spacing w:after="0" w:line="240" w:lineRule="auto"/>
              <w:ind w:left="-110" w:right="-110"/>
              <w:jc w:val="center"/>
              <w:rPr>
                <w:rFonts w:ascii="Times New Roman" w:eastAsia="Times New Roman" w:hAnsi="Times New Roman" w:cs="Times New Roman"/>
                <w:b/>
                <w:bCs/>
                <w:sz w:val="24"/>
                <w:szCs w:val="24"/>
              </w:rPr>
            </w:pPr>
            <w:r w:rsidRPr="005706FE">
              <w:rPr>
                <w:rFonts w:ascii="Times New Roman" w:hAnsi="Times New Roman" w:cs="Times New Roman"/>
                <w:b/>
                <w:sz w:val="24"/>
                <w:szCs w:val="24"/>
              </w:rPr>
              <w:t>Number of Respondents</w:t>
            </w:r>
          </w:p>
        </w:tc>
        <w:tc>
          <w:tcPr>
            <w:tcW w:w="1620" w:type="dxa"/>
            <w:shd w:val="clear" w:color="auto" w:fill="auto"/>
            <w:vAlign w:val="center"/>
            <w:hideMark/>
          </w:tcPr>
          <w:p w:rsidR="00B14C42" w:rsidRPr="00805A00" w:rsidP="00B14C42" w14:paraId="4F13386C" w14:textId="7B910DE6">
            <w:pPr>
              <w:widowControl/>
              <w:spacing w:after="0" w:line="240" w:lineRule="auto"/>
              <w:ind w:left="-110" w:right="-110"/>
              <w:jc w:val="center"/>
              <w:rPr>
                <w:rFonts w:ascii="Times New Roman" w:eastAsia="Times New Roman" w:hAnsi="Times New Roman" w:cs="Times New Roman"/>
                <w:b/>
                <w:bCs/>
                <w:sz w:val="24"/>
                <w:szCs w:val="24"/>
              </w:rPr>
            </w:pPr>
            <w:r w:rsidRPr="005706FE">
              <w:rPr>
                <w:rFonts w:ascii="Times New Roman" w:hAnsi="Times New Roman" w:cs="Times New Roman"/>
                <w:b/>
                <w:sz w:val="24"/>
                <w:szCs w:val="24"/>
              </w:rPr>
              <w:t>Hourly Labor Costs (Hourly rate + 100% Fringe benefits)</w:t>
            </w:r>
          </w:p>
        </w:tc>
        <w:tc>
          <w:tcPr>
            <w:tcW w:w="1080" w:type="dxa"/>
            <w:shd w:val="clear" w:color="auto" w:fill="auto"/>
            <w:vAlign w:val="center"/>
            <w:hideMark/>
          </w:tcPr>
          <w:p w:rsidR="00B14C42" w:rsidRPr="00805A00" w:rsidP="00B14C42" w14:paraId="2F686C17" w14:textId="54A57EC6">
            <w:pPr>
              <w:widowControl/>
              <w:spacing w:after="0" w:line="240" w:lineRule="auto"/>
              <w:ind w:left="-110" w:right="-110"/>
              <w:jc w:val="center"/>
              <w:rPr>
                <w:rFonts w:ascii="Times New Roman" w:eastAsia="Times New Roman" w:hAnsi="Times New Roman" w:cs="Times New Roman"/>
                <w:b/>
                <w:bCs/>
                <w:sz w:val="24"/>
                <w:szCs w:val="24"/>
              </w:rPr>
            </w:pPr>
            <w:r w:rsidRPr="005706FE">
              <w:rPr>
                <w:rFonts w:ascii="Times New Roman" w:hAnsi="Times New Roman" w:cs="Times New Roman"/>
                <w:b/>
                <w:sz w:val="24"/>
                <w:szCs w:val="24"/>
              </w:rPr>
              <w:t>Burden Hours</w:t>
            </w:r>
          </w:p>
        </w:tc>
        <w:tc>
          <w:tcPr>
            <w:tcW w:w="1530" w:type="dxa"/>
            <w:shd w:val="clear" w:color="auto" w:fill="auto"/>
            <w:vAlign w:val="center"/>
            <w:hideMark/>
          </w:tcPr>
          <w:p w:rsidR="00B14C42" w:rsidRPr="00805A00" w:rsidP="00B14C42" w14:paraId="54077490" w14:textId="6F9E32BE">
            <w:pPr>
              <w:widowControl/>
              <w:spacing w:after="0" w:line="240" w:lineRule="auto"/>
              <w:ind w:left="-110" w:right="-110"/>
              <w:jc w:val="center"/>
              <w:rPr>
                <w:rFonts w:ascii="Times New Roman" w:eastAsia="Times New Roman" w:hAnsi="Times New Roman" w:cs="Times New Roman"/>
                <w:b/>
                <w:bCs/>
                <w:sz w:val="24"/>
                <w:szCs w:val="24"/>
              </w:rPr>
            </w:pPr>
            <w:r w:rsidRPr="005706FE">
              <w:rPr>
                <w:rFonts w:ascii="Times New Roman" w:hAnsi="Times New Roman" w:cs="Times New Roman"/>
                <w:b/>
                <w:sz w:val="24"/>
                <w:szCs w:val="24"/>
              </w:rPr>
              <w:t>Total Burden Costs (per Respondent)</w:t>
            </w:r>
          </w:p>
        </w:tc>
        <w:tc>
          <w:tcPr>
            <w:tcW w:w="1620" w:type="dxa"/>
            <w:shd w:val="clear" w:color="auto" w:fill="auto"/>
            <w:vAlign w:val="center"/>
            <w:hideMark/>
          </w:tcPr>
          <w:p w:rsidR="00B14C42" w:rsidRPr="00805A00" w:rsidP="00B14C42" w14:paraId="3D0F99B8" w14:textId="5DBFF3DE">
            <w:pPr>
              <w:widowControl/>
              <w:spacing w:after="0" w:line="240" w:lineRule="auto"/>
              <w:ind w:left="-110" w:right="-110"/>
              <w:jc w:val="center"/>
              <w:rPr>
                <w:rFonts w:ascii="Times New Roman" w:eastAsia="Times New Roman" w:hAnsi="Times New Roman" w:cs="Times New Roman"/>
                <w:b/>
                <w:bCs/>
                <w:sz w:val="24"/>
                <w:szCs w:val="24"/>
              </w:rPr>
            </w:pPr>
            <w:r w:rsidRPr="005706FE">
              <w:rPr>
                <w:rFonts w:ascii="Times New Roman" w:hAnsi="Times New Roman" w:cs="Times New Roman"/>
                <w:b/>
                <w:sz w:val="24"/>
                <w:szCs w:val="24"/>
              </w:rPr>
              <w:t>Total Burden Costs (All Respondents)</w:t>
            </w:r>
          </w:p>
        </w:tc>
      </w:tr>
      <w:tr w14:paraId="769CC119" w14:textId="77777777" w:rsidTr="00A76BA5">
        <w:tblPrEx>
          <w:tblW w:w="9355" w:type="dxa"/>
          <w:tblLayout w:type="fixed"/>
          <w:tblLook w:val="04A0"/>
        </w:tblPrEx>
        <w:trPr>
          <w:trHeight w:hRule="exact" w:val="559"/>
        </w:trPr>
        <w:tc>
          <w:tcPr>
            <w:tcW w:w="2155" w:type="dxa"/>
            <w:shd w:val="clear" w:color="auto" w:fill="auto"/>
            <w:vAlign w:val="center"/>
            <w:hideMark/>
          </w:tcPr>
          <w:p w:rsidR="004834AE" w:rsidRPr="00805A00" w:rsidP="00D30C48" w14:paraId="15D5DF74" w14:textId="432518DA">
            <w:pPr>
              <w:widowControl/>
              <w:spacing w:after="0" w:line="240" w:lineRule="auto"/>
              <w:ind w:right="-110"/>
              <w:rPr>
                <w:rFonts w:ascii="Times New Roman" w:eastAsia="Times New Roman" w:hAnsi="Times New Roman" w:cs="Times New Roman"/>
                <w:sz w:val="24"/>
                <w:szCs w:val="24"/>
              </w:rPr>
            </w:pPr>
            <w:r w:rsidRPr="00805A00">
              <w:rPr>
                <w:rFonts w:ascii="Times New Roman" w:eastAsia="Times New Roman" w:hAnsi="Times New Roman" w:cs="Times New Roman"/>
                <w:sz w:val="24"/>
                <w:szCs w:val="24"/>
              </w:rPr>
              <w:t>Business Operations Specialist</w:t>
            </w:r>
          </w:p>
        </w:tc>
        <w:tc>
          <w:tcPr>
            <w:tcW w:w="1350" w:type="dxa"/>
            <w:shd w:val="clear" w:color="auto" w:fill="auto"/>
            <w:vAlign w:val="center"/>
            <w:hideMark/>
          </w:tcPr>
          <w:p w:rsidR="004834AE" w:rsidRPr="002F629D" w:rsidP="004834AE" w14:paraId="48EA32D7" w14:textId="2F6B277B">
            <w:pPr>
              <w:widowControl/>
              <w:spacing w:after="0" w:line="240" w:lineRule="auto"/>
              <w:jc w:val="center"/>
              <w:rPr>
                <w:rFonts w:ascii="Times New Roman" w:eastAsia="Times New Roman" w:hAnsi="Times New Roman" w:cs="Times New Roman"/>
                <w:sz w:val="24"/>
                <w:szCs w:val="24"/>
              </w:rPr>
            </w:pPr>
            <w:r w:rsidRPr="002F629D">
              <w:rPr>
                <w:rFonts w:ascii="Times New Roman" w:hAnsi="Times New Roman" w:cs="Times New Roman"/>
                <w:color w:val="000000"/>
                <w:sz w:val="24"/>
                <w:szCs w:val="24"/>
              </w:rPr>
              <w:t>100</w:t>
            </w:r>
          </w:p>
        </w:tc>
        <w:tc>
          <w:tcPr>
            <w:tcW w:w="1620" w:type="dxa"/>
            <w:shd w:val="clear" w:color="auto" w:fill="auto"/>
            <w:vAlign w:val="center"/>
            <w:hideMark/>
          </w:tcPr>
          <w:p w:rsidR="004834AE" w:rsidRPr="002F629D" w:rsidP="004834AE" w14:paraId="5BAD49CE" w14:textId="30D0A380">
            <w:pPr>
              <w:widowControl/>
              <w:spacing w:after="0" w:line="240" w:lineRule="auto"/>
              <w:jc w:val="center"/>
              <w:rPr>
                <w:rFonts w:ascii="Times New Roman" w:eastAsia="Times New Roman" w:hAnsi="Times New Roman" w:cs="Times New Roman"/>
                <w:sz w:val="24"/>
                <w:szCs w:val="24"/>
              </w:rPr>
            </w:pPr>
            <w:r w:rsidRPr="002F629D">
              <w:rPr>
                <w:rFonts w:ascii="Times New Roman" w:hAnsi="Times New Roman" w:cs="Times New Roman"/>
                <w:color w:val="000000"/>
                <w:sz w:val="24"/>
                <w:szCs w:val="24"/>
              </w:rPr>
              <w:t>$</w:t>
            </w:r>
            <w:r w:rsidR="00E314F8">
              <w:rPr>
                <w:rFonts w:ascii="Times New Roman" w:hAnsi="Times New Roman" w:cs="Times New Roman"/>
                <w:color w:val="000000"/>
                <w:sz w:val="24"/>
                <w:szCs w:val="24"/>
              </w:rPr>
              <w:t>73.12</w:t>
            </w:r>
            <w:r w:rsidRPr="002F629D">
              <w:rPr>
                <w:rFonts w:ascii="Times New Roman" w:hAnsi="Times New Roman" w:cs="Times New Roman"/>
                <w:color w:val="000000"/>
                <w:sz w:val="24"/>
                <w:szCs w:val="24"/>
              </w:rPr>
              <w:t xml:space="preserve"> </w:t>
            </w:r>
          </w:p>
        </w:tc>
        <w:tc>
          <w:tcPr>
            <w:tcW w:w="1080" w:type="dxa"/>
            <w:shd w:val="clear" w:color="auto" w:fill="auto"/>
            <w:vAlign w:val="center"/>
            <w:hideMark/>
          </w:tcPr>
          <w:p w:rsidR="004834AE" w:rsidRPr="002F629D" w:rsidP="004834AE" w14:paraId="21F54CAA" w14:textId="1102895B">
            <w:pPr>
              <w:widowControl/>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w:t>
            </w:r>
          </w:p>
        </w:tc>
        <w:tc>
          <w:tcPr>
            <w:tcW w:w="1530" w:type="dxa"/>
            <w:shd w:val="clear" w:color="auto" w:fill="auto"/>
            <w:vAlign w:val="center"/>
            <w:hideMark/>
          </w:tcPr>
          <w:p w:rsidR="004834AE" w:rsidRPr="002F629D" w:rsidP="004834AE" w14:paraId="5A8ACDA7" w14:textId="295C2906">
            <w:pPr>
              <w:widowControl/>
              <w:spacing w:after="0" w:line="240" w:lineRule="auto"/>
              <w:jc w:val="center"/>
              <w:rPr>
                <w:rFonts w:ascii="Times New Roman" w:eastAsia="Times New Roman" w:hAnsi="Times New Roman" w:cs="Times New Roman"/>
                <w:sz w:val="24"/>
                <w:szCs w:val="24"/>
              </w:rPr>
            </w:pPr>
            <w:r w:rsidRPr="002F629D">
              <w:rPr>
                <w:rFonts w:ascii="Times New Roman" w:hAnsi="Times New Roman" w:cs="Times New Roman"/>
                <w:color w:val="000000"/>
                <w:sz w:val="24"/>
                <w:szCs w:val="24"/>
              </w:rPr>
              <w:t>$</w:t>
            </w:r>
            <w:r w:rsidR="00B04EE7">
              <w:rPr>
                <w:rFonts w:ascii="Times New Roman" w:hAnsi="Times New Roman" w:cs="Times New Roman"/>
                <w:color w:val="000000"/>
                <w:sz w:val="24"/>
                <w:szCs w:val="24"/>
              </w:rPr>
              <w:t>73.12</w:t>
            </w:r>
            <w:r w:rsidRPr="002F629D">
              <w:rPr>
                <w:rFonts w:ascii="Times New Roman" w:hAnsi="Times New Roman" w:cs="Times New Roman"/>
                <w:color w:val="000000"/>
                <w:sz w:val="24"/>
                <w:szCs w:val="24"/>
              </w:rPr>
              <w:t xml:space="preserve"> </w:t>
            </w:r>
          </w:p>
        </w:tc>
        <w:tc>
          <w:tcPr>
            <w:tcW w:w="1620" w:type="dxa"/>
            <w:shd w:val="clear" w:color="auto" w:fill="auto"/>
            <w:vAlign w:val="center"/>
            <w:hideMark/>
          </w:tcPr>
          <w:p w:rsidR="004834AE" w:rsidRPr="002F629D" w:rsidP="004834AE" w14:paraId="1A006CD7" w14:textId="4F9E9129">
            <w:pPr>
              <w:widowControl/>
              <w:spacing w:after="0" w:line="240" w:lineRule="auto"/>
              <w:jc w:val="center"/>
              <w:rPr>
                <w:rFonts w:ascii="Times New Roman" w:eastAsia="Times New Roman" w:hAnsi="Times New Roman" w:cs="Times New Roman"/>
                <w:sz w:val="24"/>
                <w:szCs w:val="24"/>
              </w:rPr>
            </w:pPr>
            <w:r w:rsidRPr="002F629D">
              <w:rPr>
                <w:rFonts w:ascii="Times New Roman" w:hAnsi="Times New Roman" w:cs="Times New Roman"/>
                <w:color w:val="000000"/>
                <w:sz w:val="24"/>
                <w:szCs w:val="24"/>
              </w:rPr>
              <w:t>$</w:t>
            </w:r>
            <w:r w:rsidR="00B04EE7">
              <w:rPr>
                <w:rFonts w:ascii="Times New Roman" w:hAnsi="Times New Roman" w:cs="Times New Roman"/>
                <w:color w:val="000000"/>
                <w:sz w:val="24"/>
                <w:szCs w:val="24"/>
              </w:rPr>
              <w:t>7,312.00</w:t>
            </w:r>
            <w:r w:rsidRPr="002F629D">
              <w:rPr>
                <w:rFonts w:ascii="Times New Roman" w:hAnsi="Times New Roman" w:cs="Times New Roman"/>
                <w:color w:val="000000"/>
                <w:sz w:val="24"/>
                <w:szCs w:val="24"/>
              </w:rPr>
              <w:t xml:space="preserve"> </w:t>
            </w:r>
          </w:p>
        </w:tc>
      </w:tr>
      <w:tr w14:paraId="4D7FCE1C" w14:textId="77777777" w:rsidTr="00D30C48">
        <w:tblPrEx>
          <w:tblW w:w="9355" w:type="dxa"/>
          <w:tblLayout w:type="fixed"/>
          <w:tblLook w:val="04A0"/>
        </w:tblPrEx>
        <w:trPr>
          <w:trHeight w:val="360"/>
        </w:trPr>
        <w:tc>
          <w:tcPr>
            <w:tcW w:w="2155" w:type="dxa"/>
            <w:shd w:val="clear" w:color="auto" w:fill="auto"/>
            <w:vAlign w:val="center"/>
            <w:hideMark/>
          </w:tcPr>
          <w:p w:rsidR="004834AE" w:rsidRPr="00805A00" w:rsidP="00D30C48" w14:paraId="772485BB" w14:textId="159ABCB2">
            <w:pPr>
              <w:widowControl/>
              <w:spacing w:after="0" w:line="240" w:lineRule="auto"/>
              <w:ind w:right="-110"/>
              <w:rPr>
                <w:rFonts w:ascii="Times New Roman" w:eastAsia="Times New Roman" w:hAnsi="Times New Roman" w:cs="Times New Roman"/>
                <w:sz w:val="24"/>
                <w:szCs w:val="24"/>
              </w:rPr>
            </w:pPr>
            <w:r w:rsidRPr="00CD505F">
              <w:rPr>
                <w:rFonts w:ascii="Times New Roman" w:eastAsia="Times New Roman" w:hAnsi="Times New Roman" w:cs="Times New Roman"/>
                <w:sz w:val="24"/>
                <w:szCs w:val="24"/>
              </w:rPr>
              <w:t>Web and Digital Interface Designer</w:t>
            </w:r>
          </w:p>
        </w:tc>
        <w:tc>
          <w:tcPr>
            <w:tcW w:w="1350" w:type="dxa"/>
            <w:shd w:val="clear" w:color="auto" w:fill="auto"/>
            <w:vAlign w:val="center"/>
            <w:hideMark/>
          </w:tcPr>
          <w:p w:rsidR="004834AE" w:rsidRPr="002F629D" w:rsidP="004834AE" w14:paraId="4F2B5F74" w14:textId="13272667">
            <w:pPr>
              <w:widowControl/>
              <w:spacing w:after="0" w:line="240" w:lineRule="auto"/>
              <w:jc w:val="center"/>
              <w:rPr>
                <w:rFonts w:ascii="Times New Roman" w:eastAsia="Times New Roman" w:hAnsi="Times New Roman" w:cs="Times New Roman"/>
                <w:sz w:val="24"/>
                <w:szCs w:val="24"/>
              </w:rPr>
            </w:pPr>
            <w:r w:rsidRPr="002F629D">
              <w:rPr>
                <w:rFonts w:ascii="Times New Roman" w:hAnsi="Times New Roman" w:cs="Times New Roman"/>
                <w:color w:val="000000"/>
                <w:sz w:val="24"/>
                <w:szCs w:val="24"/>
              </w:rPr>
              <w:t>100</w:t>
            </w:r>
          </w:p>
        </w:tc>
        <w:tc>
          <w:tcPr>
            <w:tcW w:w="1620" w:type="dxa"/>
            <w:shd w:val="clear" w:color="auto" w:fill="auto"/>
            <w:vAlign w:val="center"/>
            <w:hideMark/>
          </w:tcPr>
          <w:p w:rsidR="004834AE" w:rsidRPr="002F629D" w:rsidP="004834AE" w14:paraId="4DF9BD2E" w14:textId="49E05138">
            <w:pPr>
              <w:widowControl/>
              <w:spacing w:after="0" w:line="240" w:lineRule="auto"/>
              <w:jc w:val="center"/>
              <w:rPr>
                <w:rFonts w:ascii="Times New Roman" w:eastAsia="Times New Roman" w:hAnsi="Times New Roman" w:cs="Times New Roman"/>
                <w:sz w:val="24"/>
                <w:szCs w:val="24"/>
              </w:rPr>
            </w:pPr>
            <w:r w:rsidRPr="002F629D">
              <w:rPr>
                <w:rFonts w:ascii="Times New Roman" w:hAnsi="Times New Roman" w:cs="Times New Roman"/>
                <w:color w:val="000000"/>
                <w:sz w:val="24"/>
                <w:szCs w:val="24"/>
              </w:rPr>
              <w:t>$</w:t>
            </w:r>
            <w:r w:rsidR="00E314F8">
              <w:rPr>
                <w:rFonts w:ascii="Times New Roman" w:hAnsi="Times New Roman" w:cs="Times New Roman"/>
                <w:color w:val="000000"/>
                <w:sz w:val="24"/>
                <w:szCs w:val="24"/>
              </w:rPr>
              <w:t>80.04</w:t>
            </w:r>
            <w:r w:rsidRPr="002F629D">
              <w:rPr>
                <w:rFonts w:ascii="Times New Roman" w:hAnsi="Times New Roman" w:cs="Times New Roman"/>
                <w:color w:val="000000"/>
                <w:sz w:val="24"/>
                <w:szCs w:val="24"/>
              </w:rPr>
              <w:t xml:space="preserve"> </w:t>
            </w:r>
          </w:p>
        </w:tc>
        <w:tc>
          <w:tcPr>
            <w:tcW w:w="1080" w:type="dxa"/>
            <w:shd w:val="clear" w:color="auto" w:fill="auto"/>
            <w:vAlign w:val="center"/>
            <w:hideMark/>
          </w:tcPr>
          <w:p w:rsidR="004834AE" w:rsidRPr="002F629D" w:rsidP="004834AE" w14:paraId="00DB77F7" w14:textId="1133C4C3">
            <w:pPr>
              <w:widowControl/>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3</w:t>
            </w:r>
          </w:p>
        </w:tc>
        <w:tc>
          <w:tcPr>
            <w:tcW w:w="1530" w:type="dxa"/>
            <w:shd w:val="clear" w:color="auto" w:fill="auto"/>
            <w:vAlign w:val="center"/>
            <w:hideMark/>
          </w:tcPr>
          <w:p w:rsidR="004834AE" w:rsidRPr="002F629D" w:rsidP="004834AE" w14:paraId="7E95E192" w14:textId="2A5256F7">
            <w:pPr>
              <w:widowControl/>
              <w:spacing w:after="0" w:line="240" w:lineRule="auto"/>
              <w:jc w:val="center"/>
              <w:rPr>
                <w:rFonts w:ascii="Times New Roman" w:eastAsia="Times New Roman" w:hAnsi="Times New Roman" w:cs="Times New Roman"/>
                <w:sz w:val="24"/>
                <w:szCs w:val="24"/>
              </w:rPr>
            </w:pPr>
            <w:r w:rsidRPr="002F629D">
              <w:rPr>
                <w:rFonts w:ascii="Times New Roman" w:hAnsi="Times New Roman" w:cs="Times New Roman"/>
                <w:color w:val="000000"/>
                <w:sz w:val="24"/>
                <w:szCs w:val="24"/>
              </w:rPr>
              <w:t>$</w:t>
            </w:r>
            <w:r w:rsidR="00B04EE7">
              <w:rPr>
                <w:rFonts w:ascii="Times New Roman" w:hAnsi="Times New Roman" w:cs="Times New Roman"/>
                <w:color w:val="000000"/>
                <w:sz w:val="24"/>
                <w:szCs w:val="24"/>
              </w:rPr>
              <w:t>240.12</w:t>
            </w:r>
          </w:p>
        </w:tc>
        <w:tc>
          <w:tcPr>
            <w:tcW w:w="1620" w:type="dxa"/>
            <w:shd w:val="clear" w:color="auto" w:fill="auto"/>
            <w:vAlign w:val="center"/>
            <w:hideMark/>
          </w:tcPr>
          <w:p w:rsidR="004834AE" w:rsidRPr="002F629D" w:rsidP="004834AE" w14:paraId="56FB89A3" w14:textId="33DF19FF">
            <w:pPr>
              <w:widowControl/>
              <w:spacing w:after="0" w:line="240" w:lineRule="auto"/>
              <w:jc w:val="center"/>
              <w:rPr>
                <w:rFonts w:ascii="Times New Roman" w:eastAsia="Times New Roman" w:hAnsi="Times New Roman" w:cs="Times New Roman"/>
                <w:sz w:val="24"/>
                <w:szCs w:val="24"/>
              </w:rPr>
            </w:pPr>
            <w:r w:rsidRPr="002F629D">
              <w:rPr>
                <w:rFonts w:ascii="Times New Roman" w:hAnsi="Times New Roman" w:cs="Times New Roman"/>
                <w:color w:val="000000"/>
                <w:sz w:val="24"/>
                <w:szCs w:val="24"/>
              </w:rPr>
              <w:t>$</w:t>
            </w:r>
            <w:r w:rsidR="00B04EE7">
              <w:rPr>
                <w:rFonts w:ascii="Times New Roman" w:hAnsi="Times New Roman" w:cs="Times New Roman"/>
                <w:color w:val="000000"/>
                <w:sz w:val="24"/>
                <w:szCs w:val="24"/>
              </w:rPr>
              <w:t>24,012.00</w:t>
            </w:r>
            <w:r w:rsidRPr="002F629D">
              <w:rPr>
                <w:rFonts w:ascii="Times New Roman" w:hAnsi="Times New Roman" w:cs="Times New Roman"/>
                <w:color w:val="000000"/>
                <w:sz w:val="24"/>
                <w:szCs w:val="24"/>
              </w:rPr>
              <w:t xml:space="preserve"> </w:t>
            </w:r>
          </w:p>
        </w:tc>
      </w:tr>
      <w:tr w14:paraId="5797C07F" w14:textId="77777777" w:rsidTr="00A76BA5">
        <w:tblPrEx>
          <w:tblW w:w="9355" w:type="dxa"/>
          <w:tblLayout w:type="fixed"/>
          <w:tblLook w:val="04A0"/>
        </w:tblPrEx>
        <w:trPr>
          <w:trHeight w:hRule="exact" w:val="460"/>
        </w:trPr>
        <w:tc>
          <w:tcPr>
            <w:tcW w:w="2155" w:type="dxa"/>
            <w:shd w:val="clear" w:color="auto" w:fill="auto"/>
            <w:vAlign w:val="center"/>
            <w:hideMark/>
          </w:tcPr>
          <w:p w:rsidR="004834AE" w:rsidRPr="004834AE" w:rsidP="00D30C48" w14:paraId="37907DB5" w14:textId="0A30D707">
            <w:pPr>
              <w:widowControl/>
              <w:spacing w:after="0" w:line="240" w:lineRule="auto"/>
              <w:ind w:right="-110"/>
              <w:rPr>
                <w:rFonts w:ascii="Times New Roman" w:eastAsia="Times New Roman" w:hAnsi="Times New Roman" w:cs="Times New Roman"/>
                <w:b/>
                <w:bCs/>
                <w:sz w:val="24"/>
                <w:szCs w:val="24"/>
              </w:rPr>
            </w:pPr>
            <w:r w:rsidRPr="004834AE">
              <w:rPr>
                <w:rFonts w:ascii="Times New Roman" w:eastAsia="Times New Roman" w:hAnsi="Times New Roman" w:cs="Times New Roman"/>
                <w:b/>
                <w:bCs/>
                <w:sz w:val="24"/>
                <w:szCs w:val="24"/>
              </w:rPr>
              <w:t>Total</w:t>
            </w:r>
            <w:r w:rsidR="00702186">
              <w:rPr>
                <w:rFonts w:ascii="Times New Roman" w:eastAsia="Times New Roman" w:hAnsi="Times New Roman" w:cs="Times New Roman"/>
                <w:b/>
                <w:bCs/>
                <w:sz w:val="24"/>
                <w:szCs w:val="24"/>
              </w:rPr>
              <w:t xml:space="preserve"> - Annual</w:t>
            </w:r>
          </w:p>
        </w:tc>
        <w:tc>
          <w:tcPr>
            <w:tcW w:w="1350" w:type="dxa"/>
            <w:shd w:val="clear" w:color="auto" w:fill="auto"/>
            <w:vAlign w:val="center"/>
            <w:hideMark/>
          </w:tcPr>
          <w:p w:rsidR="004834AE" w:rsidRPr="004834AE" w:rsidP="004834AE" w14:paraId="3D334E37" w14:textId="5D0AE8F6">
            <w:pPr>
              <w:widowControl/>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 xml:space="preserve"> </w:t>
            </w:r>
          </w:p>
        </w:tc>
        <w:tc>
          <w:tcPr>
            <w:tcW w:w="1620" w:type="dxa"/>
            <w:shd w:val="clear" w:color="auto" w:fill="auto"/>
            <w:vAlign w:val="center"/>
            <w:hideMark/>
          </w:tcPr>
          <w:p w:rsidR="004834AE" w:rsidRPr="004834AE" w:rsidP="004834AE" w14:paraId="744C5610" w14:textId="128D3747">
            <w:pPr>
              <w:widowControl/>
              <w:spacing w:after="0" w:line="240" w:lineRule="auto"/>
              <w:jc w:val="center"/>
              <w:rPr>
                <w:rFonts w:ascii="Times New Roman" w:eastAsia="Times New Roman" w:hAnsi="Times New Roman" w:cs="Times New Roman"/>
                <w:b/>
                <w:bCs/>
                <w:sz w:val="24"/>
                <w:szCs w:val="24"/>
              </w:rPr>
            </w:pPr>
            <w:r w:rsidRPr="004834AE">
              <w:rPr>
                <w:rFonts w:ascii="Times New Roman" w:hAnsi="Times New Roman" w:cs="Times New Roman"/>
                <w:b/>
                <w:bCs/>
                <w:color w:val="000000"/>
                <w:sz w:val="24"/>
                <w:szCs w:val="24"/>
              </w:rPr>
              <w:t> </w:t>
            </w:r>
          </w:p>
        </w:tc>
        <w:tc>
          <w:tcPr>
            <w:tcW w:w="1080" w:type="dxa"/>
            <w:shd w:val="clear" w:color="auto" w:fill="auto"/>
            <w:vAlign w:val="center"/>
            <w:hideMark/>
          </w:tcPr>
          <w:p w:rsidR="004834AE" w:rsidRPr="004834AE" w:rsidP="004834AE" w14:paraId="2F8EABF5" w14:textId="10F5246E">
            <w:pPr>
              <w:widowControl/>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400</w:t>
            </w:r>
          </w:p>
        </w:tc>
        <w:tc>
          <w:tcPr>
            <w:tcW w:w="1530" w:type="dxa"/>
            <w:shd w:val="clear" w:color="auto" w:fill="auto"/>
            <w:vAlign w:val="center"/>
            <w:hideMark/>
          </w:tcPr>
          <w:p w:rsidR="004834AE" w:rsidRPr="004834AE" w:rsidP="004834AE" w14:paraId="0F67B17F" w14:textId="2A9BB046">
            <w:pPr>
              <w:widowControl/>
              <w:spacing w:after="0" w:line="240" w:lineRule="auto"/>
              <w:jc w:val="center"/>
              <w:rPr>
                <w:rFonts w:ascii="Times New Roman" w:eastAsia="Times New Roman" w:hAnsi="Times New Roman" w:cs="Times New Roman"/>
                <w:b/>
                <w:bCs/>
                <w:sz w:val="24"/>
                <w:szCs w:val="24"/>
              </w:rPr>
            </w:pPr>
          </w:p>
        </w:tc>
        <w:tc>
          <w:tcPr>
            <w:tcW w:w="1620" w:type="dxa"/>
            <w:shd w:val="clear" w:color="auto" w:fill="auto"/>
            <w:vAlign w:val="center"/>
            <w:hideMark/>
          </w:tcPr>
          <w:p w:rsidR="004834AE" w:rsidRPr="004834AE" w:rsidP="004834AE" w14:paraId="1811004C" w14:textId="27834CCE">
            <w:pPr>
              <w:widowControl/>
              <w:spacing w:after="0" w:line="240" w:lineRule="auto"/>
              <w:jc w:val="center"/>
              <w:rPr>
                <w:rFonts w:ascii="Times New Roman" w:eastAsia="Times New Roman" w:hAnsi="Times New Roman" w:cs="Times New Roman"/>
                <w:b/>
                <w:bCs/>
                <w:sz w:val="24"/>
                <w:szCs w:val="24"/>
              </w:rPr>
            </w:pPr>
            <w:r w:rsidRPr="004834AE">
              <w:rPr>
                <w:rFonts w:ascii="Times New Roman" w:hAnsi="Times New Roman" w:cs="Times New Roman"/>
                <w:b/>
                <w:bCs/>
                <w:color w:val="000000"/>
                <w:sz w:val="24"/>
                <w:szCs w:val="24"/>
              </w:rPr>
              <w:t>$</w:t>
            </w:r>
            <w:r w:rsidR="00B04EE7">
              <w:rPr>
                <w:rFonts w:ascii="Times New Roman" w:hAnsi="Times New Roman" w:cs="Times New Roman"/>
                <w:b/>
                <w:bCs/>
                <w:color w:val="000000"/>
                <w:sz w:val="24"/>
                <w:szCs w:val="24"/>
              </w:rPr>
              <w:t>31,324.00</w:t>
            </w:r>
          </w:p>
        </w:tc>
      </w:tr>
      <w:bookmarkEnd w:id="40"/>
    </w:tbl>
    <w:p w:rsidR="00A77683" w:rsidRPr="00805A00" w:rsidP="00234238" w14:paraId="248D4829" w14:textId="77777777">
      <w:pPr>
        <w:spacing w:after="0" w:line="240" w:lineRule="auto"/>
        <w:ind w:right="-20"/>
        <w:rPr>
          <w:rFonts w:ascii="Times New Roman" w:eastAsia="Times New Roman" w:hAnsi="Times New Roman" w:cs="Times New Roman"/>
          <w:spacing w:val="-6"/>
          <w:sz w:val="24"/>
          <w:szCs w:val="24"/>
          <w:u w:val="single" w:color="000000"/>
        </w:rPr>
      </w:pPr>
    </w:p>
    <w:p w:rsidR="00A77683" w:rsidP="00234238" w14:paraId="5B161FFD" w14:textId="501945CE">
      <w:pPr>
        <w:spacing w:after="0" w:line="246" w:lineRule="auto"/>
        <w:ind w:right="-20"/>
        <w:rPr>
          <w:rFonts w:ascii="Times New Roman" w:eastAsia="Times New Roman" w:hAnsi="Times New Roman" w:cs="Times New Roman"/>
          <w:bCs/>
          <w:sz w:val="24"/>
          <w:szCs w:val="24"/>
        </w:rPr>
      </w:pPr>
      <w:bookmarkStart w:id="41" w:name="_Hlk159957590"/>
      <w:bookmarkStart w:id="42" w:name="_Hlk159948620"/>
      <w:r w:rsidRPr="00805A00">
        <w:rPr>
          <w:rFonts w:ascii="Times New Roman" w:eastAsia="Times New Roman" w:hAnsi="Times New Roman" w:cs="Times New Roman"/>
          <w:b/>
          <w:sz w:val="24"/>
          <w:szCs w:val="24"/>
        </w:rPr>
        <w:t>General non-FFE Disclaimer</w:t>
      </w:r>
      <w:r w:rsidR="00CB7C10">
        <w:rPr>
          <w:rFonts w:ascii="Times New Roman" w:eastAsia="Times New Roman" w:hAnsi="Times New Roman" w:cs="Times New Roman"/>
          <w:b/>
          <w:sz w:val="24"/>
          <w:szCs w:val="24"/>
        </w:rPr>
        <w:t xml:space="preserve"> (45 C.F.R. § 155.220(c)(3)(i)(G))</w:t>
      </w:r>
      <w:r w:rsidRPr="00805A00">
        <w:rPr>
          <w:rFonts w:ascii="Times New Roman" w:eastAsia="Times New Roman" w:hAnsi="Times New Roman" w:cs="Times New Roman"/>
          <w:sz w:val="24"/>
          <w:szCs w:val="24"/>
        </w:rPr>
        <w:t xml:space="preserve">: </w:t>
      </w:r>
      <w:bookmarkEnd w:id="41"/>
      <w:r w:rsidRPr="00805A00">
        <w:rPr>
          <w:rFonts w:ascii="Times New Roman" w:eastAsia="Times New Roman" w:hAnsi="Times New Roman" w:cs="Times New Roman"/>
          <w:sz w:val="24"/>
          <w:szCs w:val="24"/>
        </w:rPr>
        <w:t xml:space="preserve">We estimate that it will take up to </w:t>
      </w:r>
      <w:r w:rsidR="005E3F50">
        <w:rPr>
          <w:rFonts w:ascii="Times New Roman" w:eastAsia="Times New Roman" w:hAnsi="Times New Roman" w:cs="Times New Roman"/>
          <w:sz w:val="24"/>
          <w:szCs w:val="24"/>
        </w:rPr>
        <w:t>1</w:t>
      </w:r>
      <w:r w:rsidRPr="00805A00">
        <w:rPr>
          <w:rFonts w:ascii="Times New Roman" w:eastAsia="Times New Roman" w:hAnsi="Times New Roman" w:cs="Times New Roman"/>
          <w:sz w:val="24"/>
          <w:szCs w:val="24"/>
        </w:rPr>
        <w:t xml:space="preserve"> hour at an hourly cost of $</w:t>
      </w:r>
      <w:r w:rsidR="00753EDA">
        <w:rPr>
          <w:rFonts w:ascii="Times New Roman" w:eastAsia="Times New Roman" w:hAnsi="Times New Roman" w:cs="Times New Roman"/>
          <w:sz w:val="24"/>
          <w:szCs w:val="24"/>
        </w:rPr>
        <w:t>73.12</w:t>
      </w:r>
      <w:r w:rsidRPr="00805A00">
        <w:rPr>
          <w:rFonts w:ascii="Times New Roman" w:eastAsia="Times New Roman" w:hAnsi="Times New Roman" w:cs="Times New Roman"/>
          <w:sz w:val="24"/>
          <w:szCs w:val="24"/>
        </w:rPr>
        <w:t xml:space="preserve"> for a Business Operations Specialist to implement the </w:t>
      </w:r>
      <w:r w:rsidRPr="00805A00">
        <w:rPr>
          <w:rFonts w:ascii="Times New Roman" w:eastAsia="Times New Roman" w:hAnsi="Times New Roman" w:cs="Times New Roman"/>
          <w:spacing w:val="1"/>
          <w:sz w:val="24"/>
          <w:szCs w:val="24"/>
        </w:rPr>
        <w:t>standardized general non-FFE disclaimer</w:t>
      </w:r>
      <w:r w:rsidRPr="00805A00">
        <w:rPr>
          <w:rFonts w:ascii="Times New Roman" w:eastAsia="Times New Roman" w:hAnsi="Times New Roman" w:cs="Times New Roman"/>
          <w:sz w:val="24"/>
          <w:szCs w:val="24"/>
        </w:rPr>
        <w:t xml:space="preserve"> that includes a link to HealthCare.gov </w:t>
      </w:r>
      <w:r w:rsidRPr="00805A00">
        <w:rPr>
          <w:rFonts w:ascii="Times New Roman" w:eastAsia="Times New Roman" w:hAnsi="Times New Roman" w:cs="Times New Roman"/>
          <w:spacing w:val="1"/>
          <w:sz w:val="24"/>
          <w:szCs w:val="24"/>
        </w:rPr>
        <w:t>and associated website functionalities</w:t>
      </w:r>
      <w:r w:rsidRPr="00805A00">
        <w:rPr>
          <w:rFonts w:ascii="Times New Roman" w:eastAsia="Times New Roman" w:hAnsi="Times New Roman" w:cs="Times New Roman"/>
          <w:sz w:val="24"/>
          <w:szCs w:val="24"/>
        </w:rPr>
        <w:t xml:space="preserve">. </w:t>
      </w:r>
      <w:r w:rsidRPr="00453CCE" w:rsidR="00FD350B">
        <w:rPr>
          <w:rFonts w:ascii="Times New Roman" w:eastAsia="Times New Roman" w:hAnsi="Times New Roman" w:cs="Times New Roman"/>
          <w:sz w:val="24"/>
          <w:szCs w:val="24"/>
        </w:rPr>
        <w:t xml:space="preserve">The total burden for each </w:t>
      </w:r>
      <w:r w:rsidR="00FD350B">
        <w:rPr>
          <w:rFonts w:ascii="Times New Roman" w:eastAsia="Times New Roman" w:hAnsi="Times New Roman" w:cs="Times New Roman"/>
          <w:sz w:val="24"/>
          <w:szCs w:val="24"/>
        </w:rPr>
        <w:t xml:space="preserve">web-broker </w:t>
      </w:r>
      <w:r w:rsidRPr="00453CCE" w:rsidR="00FD350B">
        <w:rPr>
          <w:rFonts w:ascii="Times New Roman" w:eastAsia="Times New Roman" w:hAnsi="Times New Roman" w:cs="Times New Roman"/>
          <w:sz w:val="24"/>
          <w:szCs w:val="24"/>
        </w:rPr>
        <w:t xml:space="preserve">will be approximately </w:t>
      </w:r>
      <w:r w:rsidR="00B04EE7">
        <w:rPr>
          <w:rFonts w:ascii="Times New Roman" w:eastAsia="Times New Roman" w:hAnsi="Times New Roman" w:cs="Times New Roman"/>
          <w:sz w:val="24"/>
          <w:szCs w:val="24"/>
        </w:rPr>
        <w:t>1</w:t>
      </w:r>
      <w:r w:rsidRPr="00453CCE" w:rsidR="00FD350B">
        <w:rPr>
          <w:rFonts w:ascii="Times New Roman" w:eastAsia="Times New Roman" w:hAnsi="Times New Roman" w:cs="Times New Roman"/>
          <w:sz w:val="24"/>
          <w:szCs w:val="24"/>
        </w:rPr>
        <w:t xml:space="preserve"> hour, with an equivalent cost of</w:t>
      </w:r>
      <w:r w:rsidR="00FD350B">
        <w:rPr>
          <w:rFonts w:ascii="Times New Roman" w:eastAsia="Times New Roman" w:hAnsi="Times New Roman" w:cs="Times New Roman"/>
          <w:sz w:val="24"/>
          <w:szCs w:val="24"/>
        </w:rPr>
        <w:t xml:space="preserve"> $</w:t>
      </w:r>
      <w:r w:rsidR="00B04EE7">
        <w:rPr>
          <w:rFonts w:ascii="Times New Roman" w:eastAsia="Times New Roman" w:hAnsi="Times New Roman" w:cs="Times New Roman"/>
          <w:sz w:val="24"/>
          <w:szCs w:val="24"/>
        </w:rPr>
        <w:t>73.12</w:t>
      </w:r>
      <w:r w:rsidR="00FD350B">
        <w:rPr>
          <w:rFonts w:ascii="Times New Roman" w:eastAsia="Times New Roman" w:hAnsi="Times New Roman" w:cs="Times New Roman"/>
          <w:sz w:val="24"/>
          <w:szCs w:val="24"/>
        </w:rPr>
        <w:t xml:space="preserve">. </w:t>
      </w:r>
      <w:r w:rsidRPr="00805A00">
        <w:rPr>
          <w:rFonts w:ascii="Times New Roman" w:eastAsia="Times New Roman" w:hAnsi="Times New Roman" w:cs="Times New Roman"/>
          <w:sz w:val="24"/>
          <w:szCs w:val="24"/>
        </w:rPr>
        <w:t xml:space="preserve">It will also require the labor of a </w:t>
      </w:r>
      <w:r w:rsidR="00A906F0">
        <w:rPr>
          <w:rFonts w:ascii="Times New Roman" w:eastAsia="Times New Roman" w:hAnsi="Times New Roman" w:cs="Times New Roman"/>
          <w:sz w:val="24"/>
          <w:szCs w:val="24"/>
        </w:rPr>
        <w:t>Web and Digital Interface Designer</w:t>
      </w:r>
      <w:r w:rsidRPr="00805A00">
        <w:rPr>
          <w:rFonts w:ascii="Times New Roman" w:eastAsia="Times New Roman" w:hAnsi="Times New Roman" w:cs="Times New Roman"/>
          <w:sz w:val="24"/>
          <w:szCs w:val="24"/>
        </w:rPr>
        <w:t xml:space="preserve"> for </w:t>
      </w:r>
      <w:r w:rsidR="00B04EE7">
        <w:rPr>
          <w:rFonts w:ascii="Times New Roman" w:eastAsia="Times New Roman" w:hAnsi="Times New Roman" w:cs="Times New Roman"/>
          <w:sz w:val="24"/>
          <w:szCs w:val="24"/>
        </w:rPr>
        <w:t>3</w:t>
      </w:r>
      <w:r w:rsidRPr="00805A00">
        <w:rPr>
          <w:rFonts w:ascii="Times New Roman" w:eastAsia="Times New Roman" w:hAnsi="Times New Roman" w:cs="Times New Roman"/>
          <w:sz w:val="24"/>
          <w:szCs w:val="24"/>
        </w:rPr>
        <w:t xml:space="preserve"> hours at an hourly cost of $</w:t>
      </w:r>
      <w:r w:rsidR="00753EDA">
        <w:rPr>
          <w:rFonts w:ascii="Times New Roman" w:eastAsia="Times New Roman" w:hAnsi="Times New Roman" w:cs="Times New Roman"/>
          <w:sz w:val="24"/>
          <w:szCs w:val="24"/>
        </w:rPr>
        <w:t>80.04</w:t>
      </w:r>
      <w:r w:rsidRPr="00805A00">
        <w:rPr>
          <w:rFonts w:ascii="Times New Roman" w:eastAsia="Times New Roman" w:hAnsi="Times New Roman" w:cs="Times New Roman"/>
          <w:sz w:val="24"/>
          <w:szCs w:val="24"/>
        </w:rPr>
        <w:t xml:space="preserve"> to modify the website. </w:t>
      </w:r>
      <w:r w:rsidRPr="00453CCE" w:rsidR="002A7AED">
        <w:rPr>
          <w:rFonts w:ascii="Times New Roman" w:eastAsia="Times New Roman" w:hAnsi="Times New Roman" w:cs="Times New Roman"/>
          <w:sz w:val="24"/>
          <w:szCs w:val="24"/>
        </w:rPr>
        <w:t>The total burden for each</w:t>
      </w:r>
      <w:r w:rsidR="002A7AED">
        <w:rPr>
          <w:rFonts w:ascii="Times New Roman" w:eastAsia="Times New Roman" w:hAnsi="Times New Roman" w:cs="Times New Roman"/>
          <w:sz w:val="24"/>
          <w:szCs w:val="24"/>
        </w:rPr>
        <w:t xml:space="preserve"> web-broker </w:t>
      </w:r>
      <w:r w:rsidRPr="00453CCE" w:rsidR="002A7AED">
        <w:rPr>
          <w:rFonts w:ascii="Times New Roman" w:eastAsia="Times New Roman" w:hAnsi="Times New Roman" w:cs="Times New Roman"/>
          <w:sz w:val="24"/>
          <w:szCs w:val="24"/>
        </w:rPr>
        <w:t xml:space="preserve">will be approximately </w:t>
      </w:r>
      <w:r w:rsidR="005E3F50">
        <w:rPr>
          <w:rFonts w:ascii="Times New Roman" w:eastAsia="Times New Roman" w:hAnsi="Times New Roman" w:cs="Times New Roman"/>
          <w:sz w:val="24"/>
          <w:szCs w:val="24"/>
        </w:rPr>
        <w:t>3</w:t>
      </w:r>
      <w:r w:rsidR="002A7AED">
        <w:rPr>
          <w:rFonts w:ascii="Times New Roman" w:eastAsia="Times New Roman" w:hAnsi="Times New Roman" w:cs="Times New Roman"/>
          <w:sz w:val="24"/>
          <w:szCs w:val="24"/>
        </w:rPr>
        <w:t xml:space="preserve"> </w:t>
      </w:r>
      <w:r w:rsidRPr="00453CCE" w:rsidR="002A7AED">
        <w:rPr>
          <w:rFonts w:ascii="Times New Roman" w:eastAsia="Times New Roman" w:hAnsi="Times New Roman" w:cs="Times New Roman"/>
          <w:sz w:val="24"/>
          <w:szCs w:val="24"/>
        </w:rPr>
        <w:t>hours, with an equivalent cost of</w:t>
      </w:r>
      <w:r w:rsidR="002A7AED">
        <w:rPr>
          <w:rFonts w:ascii="Times New Roman" w:eastAsia="Times New Roman" w:hAnsi="Times New Roman" w:cs="Times New Roman"/>
          <w:sz w:val="24"/>
          <w:szCs w:val="24"/>
        </w:rPr>
        <w:t xml:space="preserve"> $</w:t>
      </w:r>
      <w:r w:rsidR="00BC0749">
        <w:rPr>
          <w:rFonts w:ascii="Times New Roman" w:eastAsia="Times New Roman" w:hAnsi="Times New Roman" w:cs="Times New Roman"/>
          <w:sz w:val="24"/>
          <w:szCs w:val="24"/>
        </w:rPr>
        <w:t>240.12</w:t>
      </w:r>
      <w:r w:rsidR="008A7E07">
        <w:rPr>
          <w:rFonts w:ascii="Times New Roman" w:eastAsia="Times New Roman" w:hAnsi="Times New Roman" w:cs="Times New Roman"/>
          <w:sz w:val="24"/>
          <w:szCs w:val="24"/>
        </w:rPr>
        <w:t>.</w:t>
      </w:r>
      <w:r w:rsidR="002A7AED">
        <w:rPr>
          <w:rFonts w:ascii="Times New Roman" w:eastAsia="Times New Roman" w:hAnsi="Times New Roman" w:cs="Times New Roman"/>
          <w:sz w:val="24"/>
          <w:szCs w:val="24"/>
        </w:rPr>
        <w:t xml:space="preserve"> </w:t>
      </w:r>
      <w:r w:rsidRPr="00805A00">
        <w:rPr>
          <w:rFonts w:ascii="Times New Roman" w:eastAsia="Times New Roman" w:hAnsi="Times New Roman" w:cs="Times New Roman"/>
          <w:sz w:val="24"/>
          <w:szCs w:val="24"/>
        </w:rPr>
        <w:t xml:space="preserve">Based on current year-to-date participation and potential market size, we estimate that </w:t>
      </w:r>
      <w:r w:rsidR="00DF4C4C">
        <w:rPr>
          <w:rFonts w:ascii="Times New Roman" w:eastAsia="Times New Roman" w:hAnsi="Times New Roman" w:cs="Times New Roman"/>
          <w:sz w:val="24"/>
          <w:szCs w:val="24"/>
        </w:rPr>
        <w:t>20</w:t>
      </w:r>
      <w:r w:rsidRPr="00805A00">
        <w:rPr>
          <w:rFonts w:ascii="Times New Roman" w:eastAsia="Times New Roman" w:hAnsi="Times New Roman" w:cs="Times New Roman"/>
          <w:sz w:val="24"/>
          <w:szCs w:val="24"/>
        </w:rPr>
        <w:t xml:space="preserve"> DE Entities will participate. We estimate that this data collection has an annual burden of </w:t>
      </w:r>
      <w:r w:rsidR="00BC0749">
        <w:rPr>
          <w:rFonts w:ascii="Times New Roman" w:eastAsia="Times New Roman" w:hAnsi="Times New Roman" w:cs="Times New Roman"/>
          <w:sz w:val="24"/>
          <w:szCs w:val="24"/>
        </w:rPr>
        <w:t>80</w:t>
      </w:r>
      <w:r w:rsidR="002F2DBB">
        <w:rPr>
          <w:rFonts w:ascii="Times New Roman" w:eastAsia="Times New Roman" w:hAnsi="Times New Roman" w:cs="Times New Roman"/>
          <w:sz w:val="24"/>
          <w:szCs w:val="24"/>
        </w:rPr>
        <w:t xml:space="preserve"> hours with a cost of </w:t>
      </w:r>
      <w:r w:rsidRPr="00805A00">
        <w:rPr>
          <w:rFonts w:ascii="Times New Roman" w:eastAsia="Times New Roman" w:hAnsi="Times New Roman" w:cs="Times New Roman"/>
          <w:sz w:val="24"/>
          <w:szCs w:val="24"/>
        </w:rPr>
        <w:t>approximately</w:t>
      </w:r>
      <w:r w:rsidR="007D2816">
        <w:rPr>
          <w:rFonts w:ascii="Times New Roman" w:eastAsia="Times New Roman" w:hAnsi="Times New Roman" w:cs="Times New Roman"/>
          <w:sz w:val="24"/>
          <w:szCs w:val="24"/>
        </w:rPr>
        <w:t xml:space="preserve"> $</w:t>
      </w:r>
      <w:r w:rsidR="00BC0749">
        <w:rPr>
          <w:rFonts w:ascii="Times New Roman" w:eastAsia="Times New Roman" w:hAnsi="Times New Roman" w:cs="Times New Roman"/>
          <w:sz w:val="24"/>
          <w:szCs w:val="24"/>
        </w:rPr>
        <w:t>6,264.80.</w:t>
      </w:r>
    </w:p>
    <w:p w:rsidR="00E068C0" w:rsidP="00234238" w14:paraId="7AF30745" w14:textId="77777777">
      <w:pPr>
        <w:spacing w:after="0" w:line="246" w:lineRule="auto"/>
        <w:ind w:right="-20"/>
        <w:rPr>
          <w:rFonts w:ascii="Times New Roman" w:eastAsia="Times New Roman" w:hAnsi="Times New Roman" w:cs="Times New Roman"/>
          <w:bCs/>
          <w:sz w:val="24"/>
          <w:szCs w:val="24"/>
        </w:rPr>
      </w:pPr>
    </w:p>
    <w:p w:rsidR="00E068C0" w:rsidP="00234238" w14:paraId="60E84F73" w14:textId="4E447B7C">
      <w:pPr>
        <w:spacing w:after="0" w:line="246" w:lineRule="auto"/>
        <w:ind w:right="-20"/>
        <w:rPr>
          <w:rFonts w:ascii="Times New Roman" w:eastAsia="Times New Roman" w:hAnsi="Times New Roman" w:cs="Times New Roman"/>
          <w:spacing w:val="1"/>
          <w:sz w:val="24"/>
          <w:szCs w:val="24"/>
        </w:rPr>
      </w:pPr>
      <w:bookmarkStart w:id="43" w:name="_Hlk145421550"/>
      <w:r w:rsidRPr="00393CE5">
        <w:rPr>
          <w:rFonts w:ascii="Times New Roman" w:eastAsia="Times New Roman" w:hAnsi="Times New Roman" w:cs="Times New Roman"/>
          <w:spacing w:val="1"/>
          <w:sz w:val="24"/>
          <w:szCs w:val="24"/>
        </w:rPr>
        <w:t xml:space="preserve">Table </w:t>
      </w:r>
      <w:r w:rsidR="0030698B">
        <w:rPr>
          <w:rFonts w:ascii="Times New Roman" w:eastAsia="Times New Roman" w:hAnsi="Times New Roman" w:cs="Times New Roman"/>
          <w:spacing w:val="1"/>
          <w:sz w:val="24"/>
          <w:szCs w:val="24"/>
        </w:rPr>
        <w:t xml:space="preserve">7 </w:t>
      </w:r>
      <w:r w:rsidRPr="00393CE5">
        <w:rPr>
          <w:rFonts w:ascii="Times New Roman" w:eastAsia="Times New Roman" w:hAnsi="Times New Roman" w:cs="Times New Roman"/>
          <w:spacing w:val="1"/>
          <w:sz w:val="24"/>
          <w:szCs w:val="24"/>
        </w:rPr>
        <w:t xml:space="preserve">below displays the burden for </w:t>
      </w:r>
      <w:r>
        <w:rPr>
          <w:rFonts w:ascii="Times New Roman" w:eastAsia="Times New Roman" w:hAnsi="Times New Roman" w:cs="Times New Roman"/>
          <w:spacing w:val="1"/>
          <w:sz w:val="24"/>
          <w:szCs w:val="24"/>
        </w:rPr>
        <w:t xml:space="preserve">web-brokers </w:t>
      </w:r>
      <w:r w:rsidRPr="00393CE5">
        <w:rPr>
          <w:rFonts w:ascii="Times New Roman" w:eastAsia="Times New Roman" w:hAnsi="Times New Roman" w:cs="Times New Roman"/>
          <w:spacing w:val="1"/>
          <w:sz w:val="24"/>
          <w:szCs w:val="24"/>
        </w:rPr>
        <w:t>relating to these regulatory provisions.</w:t>
      </w:r>
    </w:p>
    <w:bookmarkEnd w:id="43"/>
    <w:p w:rsidR="0070560A" w:rsidP="00234238" w14:paraId="4BC09E81" w14:textId="77777777">
      <w:pPr>
        <w:autoSpaceDE w:val="0"/>
        <w:autoSpaceDN w:val="0"/>
        <w:adjustRightInd w:val="0"/>
        <w:spacing w:after="0" w:line="240" w:lineRule="auto"/>
        <w:ind w:right="-20"/>
        <w:rPr>
          <w:rFonts w:ascii="Times New Roman" w:hAnsi="Times New Roman" w:cs="Times New Roman"/>
          <w:b/>
          <w:bCs/>
          <w:sz w:val="24"/>
          <w:szCs w:val="24"/>
        </w:rPr>
      </w:pPr>
    </w:p>
    <w:p w:rsidR="00A77683" w:rsidP="00234238" w14:paraId="7AD6179B" w14:textId="5F32F12D">
      <w:pPr>
        <w:spacing w:after="0" w:line="246" w:lineRule="auto"/>
        <w:ind w:right="-20"/>
        <w:rPr>
          <w:rFonts w:ascii="Times New Roman" w:eastAsia="Times New Roman" w:hAnsi="Times New Roman" w:cs="Times New Roman"/>
          <w:bCs/>
          <w:sz w:val="24"/>
          <w:szCs w:val="24"/>
        </w:rPr>
      </w:pPr>
      <w:bookmarkStart w:id="44" w:name="_Hlk148042439"/>
      <w:r w:rsidRPr="004A0679">
        <w:rPr>
          <w:rFonts w:ascii="Times New Roman" w:hAnsi="Times New Roman" w:cs="Times New Roman"/>
          <w:b/>
          <w:bCs/>
          <w:sz w:val="24"/>
          <w:szCs w:val="24"/>
        </w:rPr>
        <w:t>Table</w:t>
      </w:r>
      <w:r>
        <w:rPr>
          <w:rFonts w:ascii="Times New Roman" w:hAnsi="Times New Roman" w:cs="Times New Roman"/>
          <w:b/>
          <w:bCs/>
          <w:sz w:val="24"/>
          <w:szCs w:val="24"/>
        </w:rPr>
        <w:t xml:space="preserve"> </w:t>
      </w:r>
      <w:r w:rsidR="00753EDA">
        <w:rPr>
          <w:rFonts w:ascii="Times New Roman" w:hAnsi="Times New Roman" w:cs="Times New Roman"/>
          <w:b/>
          <w:bCs/>
          <w:sz w:val="24"/>
          <w:szCs w:val="24"/>
        </w:rPr>
        <w:t>7</w:t>
      </w:r>
      <w:r w:rsidRPr="004A0679">
        <w:rPr>
          <w:rFonts w:ascii="Times New Roman" w:hAnsi="Times New Roman" w:cs="Times New Roman"/>
          <w:b/>
          <w:bCs/>
          <w:sz w:val="24"/>
          <w:szCs w:val="24"/>
        </w:rPr>
        <w:t xml:space="preserve">: Burden to Web-brokers to </w:t>
      </w:r>
      <w:r>
        <w:rPr>
          <w:rFonts w:ascii="Times New Roman" w:hAnsi="Times New Roman" w:cs="Times New Roman"/>
          <w:b/>
          <w:bCs/>
          <w:sz w:val="24"/>
          <w:szCs w:val="24"/>
        </w:rPr>
        <w:t>Implement the General non-FFE Disclaimer Requi</w:t>
      </w:r>
      <w:r w:rsidRPr="004A0679">
        <w:rPr>
          <w:rFonts w:ascii="Times New Roman" w:hAnsi="Times New Roman" w:cs="Times New Roman"/>
          <w:b/>
          <w:bCs/>
          <w:sz w:val="24"/>
          <w:szCs w:val="24"/>
        </w:rPr>
        <w:t>rement</w:t>
      </w:r>
    </w:p>
    <w:p w:rsidR="008F2677" w:rsidRPr="00805A00" w:rsidP="00B84E7B" w14:paraId="65975022" w14:textId="77777777">
      <w:pPr>
        <w:spacing w:after="0" w:line="246" w:lineRule="auto"/>
        <w:ind w:right="201"/>
        <w:rPr>
          <w:rFonts w:ascii="Times New Roman" w:eastAsia="Times New Roman" w:hAnsi="Times New Roman" w:cs="Times New Roman"/>
          <w:bCs/>
          <w:sz w:val="24"/>
          <w:szCs w:val="24"/>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55"/>
        <w:gridCol w:w="1350"/>
        <w:gridCol w:w="1710"/>
        <w:gridCol w:w="1080"/>
        <w:gridCol w:w="1530"/>
        <w:gridCol w:w="1620"/>
      </w:tblGrid>
      <w:tr w14:paraId="5291B836" w14:textId="77777777" w:rsidTr="00D30C48">
        <w:tblPrEx>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42"/>
        </w:trPr>
        <w:tc>
          <w:tcPr>
            <w:tcW w:w="2155" w:type="dxa"/>
            <w:shd w:val="clear" w:color="auto" w:fill="auto"/>
            <w:vAlign w:val="center"/>
            <w:hideMark/>
          </w:tcPr>
          <w:p w:rsidR="00B14C42" w:rsidRPr="00805A00" w:rsidP="00B14C42" w14:paraId="02548854" w14:textId="132F3983">
            <w:pPr>
              <w:widowControl/>
              <w:spacing w:after="0" w:line="240" w:lineRule="auto"/>
              <w:rPr>
                <w:rFonts w:ascii="Times New Roman" w:eastAsia="Times New Roman" w:hAnsi="Times New Roman" w:cs="Times New Roman"/>
                <w:b/>
                <w:bCs/>
                <w:sz w:val="24"/>
                <w:szCs w:val="24"/>
              </w:rPr>
            </w:pPr>
            <w:bookmarkStart w:id="45" w:name="_Hlk145421272"/>
            <w:r w:rsidRPr="00805A00">
              <w:rPr>
                <w:rFonts w:ascii="Times New Roman" w:eastAsia="Times New Roman" w:hAnsi="Times New Roman" w:cs="Times New Roman"/>
                <w:b/>
                <w:bCs/>
                <w:sz w:val="24"/>
                <w:szCs w:val="24"/>
              </w:rPr>
              <w:t>Labor Category</w:t>
            </w:r>
          </w:p>
        </w:tc>
        <w:tc>
          <w:tcPr>
            <w:tcW w:w="1350" w:type="dxa"/>
            <w:shd w:val="clear" w:color="auto" w:fill="auto"/>
            <w:vAlign w:val="center"/>
            <w:hideMark/>
          </w:tcPr>
          <w:p w:rsidR="00B14C42" w:rsidRPr="00805A00" w:rsidP="00B14C42" w14:paraId="7FFEAB18" w14:textId="373318BC">
            <w:pPr>
              <w:widowControl/>
              <w:spacing w:after="0" w:line="240" w:lineRule="auto"/>
              <w:ind w:left="-110" w:right="-110"/>
              <w:jc w:val="center"/>
              <w:rPr>
                <w:rFonts w:ascii="Times New Roman" w:eastAsia="Times New Roman" w:hAnsi="Times New Roman" w:cs="Times New Roman"/>
                <w:b/>
                <w:bCs/>
                <w:sz w:val="24"/>
                <w:szCs w:val="24"/>
              </w:rPr>
            </w:pPr>
            <w:r w:rsidRPr="005706FE">
              <w:rPr>
                <w:rFonts w:ascii="Times New Roman" w:hAnsi="Times New Roman" w:cs="Times New Roman"/>
                <w:b/>
                <w:sz w:val="24"/>
                <w:szCs w:val="24"/>
              </w:rPr>
              <w:t>Number of Respondents</w:t>
            </w:r>
          </w:p>
        </w:tc>
        <w:tc>
          <w:tcPr>
            <w:tcW w:w="1710" w:type="dxa"/>
            <w:shd w:val="clear" w:color="auto" w:fill="auto"/>
            <w:vAlign w:val="center"/>
            <w:hideMark/>
          </w:tcPr>
          <w:p w:rsidR="00B14C42" w:rsidRPr="00805A00" w:rsidP="00B14C42" w14:paraId="67F6BAD8" w14:textId="0828F117">
            <w:pPr>
              <w:widowControl/>
              <w:spacing w:after="0" w:line="240" w:lineRule="auto"/>
              <w:ind w:left="-110" w:right="-110"/>
              <w:jc w:val="center"/>
              <w:rPr>
                <w:rFonts w:ascii="Times New Roman" w:eastAsia="Times New Roman" w:hAnsi="Times New Roman" w:cs="Times New Roman"/>
                <w:b/>
                <w:bCs/>
                <w:sz w:val="24"/>
                <w:szCs w:val="24"/>
              </w:rPr>
            </w:pPr>
            <w:r w:rsidRPr="005706FE">
              <w:rPr>
                <w:rFonts w:ascii="Times New Roman" w:hAnsi="Times New Roman" w:cs="Times New Roman"/>
                <w:b/>
                <w:sz w:val="24"/>
                <w:szCs w:val="24"/>
              </w:rPr>
              <w:t>Hourly Labor Costs (Hourly rate + 100% Fringe benefits)</w:t>
            </w:r>
          </w:p>
        </w:tc>
        <w:tc>
          <w:tcPr>
            <w:tcW w:w="1080" w:type="dxa"/>
            <w:shd w:val="clear" w:color="auto" w:fill="auto"/>
            <w:vAlign w:val="center"/>
            <w:hideMark/>
          </w:tcPr>
          <w:p w:rsidR="00B14C42" w:rsidRPr="00805A00" w:rsidP="00B14C42" w14:paraId="7F6ADC70" w14:textId="44362299">
            <w:pPr>
              <w:widowControl/>
              <w:spacing w:after="0" w:line="240" w:lineRule="auto"/>
              <w:ind w:left="-110" w:right="-110"/>
              <w:jc w:val="center"/>
              <w:rPr>
                <w:rFonts w:ascii="Times New Roman" w:eastAsia="Times New Roman" w:hAnsi="Times New Roman" w:cs="Times New Roman"/>
                <w:b/>
                <w:bCs/>
                <w:sz w:val="24"/>
                <w:szCs w:val="24"/>
              </w:rPr>
            </w:pPr>
            <w:r w:rsidRPr="005706FE">
              <w:rPr>
                <w:rFonts w:ascii="Times New Roman" w:hAnsi="Times New Roman" w:cs="Times New Roman"/>
                <w:b/>
                <w:sz w:val="24"/>
                <w:szCs w:val="24"/>
              </w:rPr>
              <w:t>Burden Hours</w:t>
            </w:r>
          </w:p>
        </w:tc>
        <w:tc>
          <w:tcPr>
            <w:tcW w:w="1530" w:type="dxa"/>
            <w:shd w:val="clear" w:color="auto" w:fill="auto"/>
            <w:vAlign w:val="center"/>
            <w:hideMark/>
          </w:tcPr>
          <w:p w:rsidR="00B14C42" w:rsidRPr="00805A00" w:rsidP="00B14C42" w14:paraId="4197AB13" w14:textId="29806693">
            <w:pPr>
              <w:widowControl/>
              <w:spacing w:after="0" w:line="240" w:lineRule="auto"/>
              <w:ind w:left="-110" w:right="-110"/>
              <w:jc w:val="center"/>
              <w:rPr>
                <w:rFonts w:ascii="Times New Roman" w:eastAsia="Times New Roman" w:hAnsi="Times New Roman" w:cs="Times New Roman"/>
                <w:b/>
                <w:bCs/>
                <w:sz w:val="24"/>
                <w:szCs w:val="24"/>
              </w:rPr>
            </w:pPr>
            <w:r w:rsidRPr="005706FE">
              <w:rPr>
                <w:rFonts w:ascii="Times New Roman" w:hAnsi="Times New Roman" w:cs="Times New Roman"/>
                <w:b/>
                <w:sz w:val="24"/>
                <w:szCs w:val="24"/>
              </w:rPr>
              <w:t>Total Burden Costs (per Respondent)</w:t>
            </w:r>
          </w:p>
        </w:tc>
        <w:tc>
          <w:tcPr>
            <w:tcW w:w="1620" w:type="dxa"/>
            <w:shd w:val="clear" w:color="auto" w:fill="auto"/>
            <w:vAlign w:val="center"/>
            <w:hideMark/>
          </w:tcPr>
          <w:p w:rsidR="00B14C42" w:rsidRPr="00805A00" w:rsidP="00B14C42" w14:paraId="728AD170" w14:textId="1A9A24FF">
            <w:pPr>
              <w:widowControl/>
              <w:spacing w:after="0" w:line="240" w:lineRule="auto"/>
              <w:ind w:left="-110" w:right="-110"/>
              <w:jc w:val="center"/>
              <w:rPr>
                <w:rFonts w:ascii="Times New Roman" w:eastAsia="Times New Roman" w:hAnsi="Times New Roman" w:cs="Times New Roman"/>
                <w:b/>
                <w:bCs/>
                <w:sz w:val="24"/>
                <w:szCs w:val="24"/>
              </w:rPr>
            </w:pPr>
            <w:r w:rsidRPr="005706FE">
              <w:rPr>
                <w:rFonts w:ascii="Times New Roman" w:hAnsi="Times New Roman" w:cs="Times New Roman"/>
                <w:b/>
                <w:sz w:val="24"/>
                <w:szCs w:val="24"/>
              </w:rPr>
              <w:t>Total Burden Costs (All Respondents)</w:t>
            </w:r>
          </w:p>
        </w:tc>
      </w:tr>
      <w:tr w14:paraId="1A14E609" w14:textId="77777777" w:rsidTr="00A76BA5">
        <w:tblPrEx>
          <w:tblW w:w="9445" w:type="dxa"/>
          <w:tblLayout w:type="fixed"/>
          <w:tblLook w:val="04A0"/>
        </w:tblPrEx>
        <w:trPr>
          <w:trHeight w:hRule="exact" w:val="631"/>
        </w:trPr>
        <w:tc>
          <w:tcPr>
            <w:tcW w:w="2155" w:type="dxa"/>
            <w:shd w:val="clear" w:color="auto" w:fill="auto"/>
            <w:vAlign w:val="center"/>
            <w:hideMark/>
          </w:tcPr>
          <w:p w:rsidR="008348D9" w:rsidRPr="00805A00" w:rsidP="00A76BA5" w14:paraId="3B54D9A4" w14:textId="77777777">
            <w:pPr>
              <w:widowControl/>
              <w:spacing w:after="0" w:line="240" w:lineRule="auto"/>
              <w:ind w:right="-110"/>
              <w:rPr>
                <w:rFonts w:ascii="Times New Roman" w:eastAsia="Times New Roman" w:hAnsi="Times New Roman" w:cs="Times New Roman"/>
                <w:sz w:val="24"/>
                <w:szCs w:val="24"/>
              </w:rPr>
            </w:pPr>
            <w:r w:rsidRPr="00805A00">
              <w:rPr>
                <w:rFonts w:ascii="Times New Roman" w:eastAsia="Times New Roman" w:hAnsi="Times New Roman" w:cs="Times New Roman"/>
                <w:sz w:val="24"/>
                <w:szCs w:val="24"/>
              </w:rPr>
              <w:t>Business Operations Specialist</w:t>
            </w:r>
          </w:p>
        </w:tc>
        <w:tc>
          <w:tcPr>
            <w:tcW w:w="1350" w:type="dxa"/>
            <w:shd w:val="clear" w:color="auto" w:fill="auto"/>
            <w:vAlign w:val="center"/>
            <w:hideMark/>
          </w:tcPr>
          <w:p w:rsidR="008348D9" w:rsidRPr="008348D9" w:rsidP="008348D9" w14:paraId="412E433E" w14:textId="7509F82B">
            <w:pPr>
              <w:widowControl/>
              <w:spacing w:after="0" w:line="240" w:lineRule="auto"/>
              <w:jc w:val="center"/>
              <w:rPr>
                <w:rFonts w:ascii="Times New Roman" w:eastAsia="Times New Roman" w:hAnsi="Times New Roman" w:cs="Times New Roman"/>
                <w:sz w:val="24"/>
                <w:szCs w:val="24"/>
              </w:rPr>
            </w:pPr>
            <w:r w:rsidRPr="008348D9">
              <w:rPr>
                <w:rFonts w:ascii="Times New Roman" w:hAnsi="Times New Roman" w:cs="Times New Roman"/>
                <w:color w:val="000000"/>
                <w:sz w:val="24"/>
                <w:szCs w:val="24"/>
              </w:rPr>
              <w:t>20</w:t>
            </w:r>
          </w:p>
        </w:tc>
        <w:tc>
          <w:tcPr>
            <w:tcW w:w="1710" w:type="dxa"/>
            <w:shd w:val="clear" w:color="auto" w:fill="auto"/>
            <w:vAlign w:val="center"/>
            <w:hideMark/>
          </w:tcPr>
          <w:p w:rsidR="008348D9" w:rsidRPr="008348D9" w:rsidP="008348D9" w14:paraId="26D6731F" w14:textId="405B3EAA">
            <w:pPr>
              <w:widowControl/>
              <w:spacing w:after="0" w:line="240" w:lineRule="auto"/>
              <w:jc w:val="center"/>
              <w:rPr>
                <w:rFonts w:ascii="Times New Roman" w:eastAsia="Times New Roman" w:hAnsi="Times New Roman" w:cs="Times New Roman"/>
                <w:sz w:val="24"/>
                <w:szCs w:val="24"/>
              </w:rPr>
            </w:pPr>
            <w:r w:rsidRPr="008348D9">
              <w:rPr>
                <w:rFonts w:ascii="Times New Roman" w:hAnsi="Times New Roman" w:cs="Times New Roman"/>
                <w:color w:val="000000"/>
                <w:sz w:val="24"/>
                <w:szCs w:val="24"/>
              </w:rPr>
              <w:t>$</w:t>
            </w:r>
            <w:r w:rsidR="00753EDA">
              <w:rPr>
                <w:rFonts w:ascii="Times New Roman" w:hAnsi="Times New Roman" w:cs="Times New Roman"/>
                <w:color w:val="000000"/>
                <w:sz w:val="24"/>
                <w:szCs w:val="24"/>
              </w:rPr>
              <w:t>73.12</w:t>
            </w:r>
            <w:r w:rsidRPr="008348D9">
              <w:rPr>
                <w:rFonts w:ascii="Times New Roman" w:hAnsi="Times New Roman" w:cs="Times New Roman"/>
                <w:color w:val="000000"/>
                <w:sz w:val="24"/>
                <w:szCs w:val="24"/>
              </w:rPr>
              <w:t xml:space="preserve"> </w:t>
            </w:r>
          </w:p>
        </w:tc>
        <w:tc>
          <w:tcPr>
            <w:tcW w:w="1080" w:type="dxa"/>
            <w:shd w:val="clear" w:color="auto" w:fill="auto"/>
            <w:vAlign w:val="center"/>
            <w:hideMark/>
          </w:tcPr>
          <w:p w:rsidR="008348D9" w:rsidRPr="008348D9" w:rsidP="008348D9" w14:paraId="0C0B3EB0" w14:textId="7497C7E0">
            <w:pPr>
              <w:widowControl/>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w:t>
            </w:r>
          </w:p>
        </w:tc>
        <w:tc>
          <w:tcPr>
            <w:tcW w:w="1530" w:type="dxa"/>
            <w:shd w:val="clear" w:color="auto" w:fill="auto"/>
            <w:vAlign w:val="center"/>
            <w:hideMark/>
          </w:tcPr>
          <w:p w:rsidR="008348D9" w:rsidRPr="008348D9" w:rsidP="008348D9" w14:paraId="267091EC" w14:textId="735FB17A">
            <w:pPr>
              <w:widowControl/>
              <w:spacing w:after="0" w:line="240" w:lineRule="auto"/>
              <w:jc w:val="center"/>
              <w:rPr>
                <w:rFonts w:ascii="Times New Roman" w:eastAsia="Times New Roman" w:hAnsi="Times New Roman" w:cs="Times New Roman"/>
                <w:sz w:val="24"/>
                <w:szCs w:val="24"/>
              </w:rPr>
            </w:pPr>
            <w:r w:rsidRPr="008348D9">
              <w:rPr>
                <w:rFonts w:ascii="Times New Roman" w:hAnsi="Times New Roman" w:cs="Times New Roman"/>
                <w:color w:val="000000"/>
                <w:sz w:val="24"/>
                <w:szCs w:val="24"/>
              </w:rPr>
              <w:t>$</w:t>
            </w:r>
            <w:r w:rsidR="00BC0749">
              <w:rPr>
                <w:rFonts w:ascii="Times New Roman" w:hAnsi="Times New Roman" w:cs="Times New Roman"/>
                <w:color w:val="000000"/>
                <w:sz w:val="24"/>
                <w:szCs w:val="24"/>
              </w:rPr>
              <w:t>73.12</w:t>
            </w:r>
          </w:p>
        </w:tc>
        <w:tc>
          <w:tcPr>
            <w:tcW w:w="1620" w:type="dxa"/>
            <w:shd w:val="clear" w:color="auto" w:fill="auto"/>
            <w:vAlign w:val="center"/>
            <w:hideMark/>
          </w:tcPr>
          <w:p w:rsidR="008348D9" w:rsidRPr="008348D9" w:rsidP="008348D9" w14:paraId="479AD61D" w14:textId="39288EEE">
            <w:pPr>
              <w:widowControl/>
              <w:spacing w:after="0" w:line="240" w:lineRule="auto"/>
              <w:jc w:val="center"/>
              <w:rPr>
                <w:rFonts w:ascii="Times New Roman" w:eastAsia="Times New Roman" w:hAnsi="Times New Roman" w:cs="Times New Roman"/>
                <w:sz w:val="24"/>
                <w:szCs w:val="24"/>
              </w:rPr>
            </w:pPr>
            <w:r w:rsidRPr="008348D9">
              <w:rPr>
                <w:rFonts w:ascii="Times New Roman" w:hAnsi="Times New Roman" w:cs="Times New Roman"/>
                <w:color w:val="000000"/>
                <w:sz w:val="24"/>
                <w:szCs w:val="24"/>
              </w:rPr>
              <w:t>$</w:t>
            </w:r>
            <w:r w:rsidR="00BC0749">
              <w:rPr>
                <w:rFonts w:ascii="Times New Roman" w:hAnsi="Times New Roman" w:cs="Times New Roman"/>
                <w:color w:val="000000"/>
                <w:sz w:val="24"/>
                <w:szCs w:val="24"/>
              </w:rPr>
              <w:t>1,462.40</w:t>
            </w:r>
            <w:r w:rsidRPr="008348D9">
              <w:rPr>
                <w:rFonts w:ascii="Times New Roman" w:hAnsi="Times New Roman" w:cs="Times New Roman"/>
                <w:color w:val="000000"/>
                <w:sz w:val="24"/>
                <w:szCs w:val="24"/>
              </w:rPr>
              <w:t xml:space="preserve"> </w:t>
            </w:r>
          </w:p>
        </w:tc>
      </w:tr>
      <w:tr w14:paraId="0D625966" w14:textId="77777777" w:rsidTr="00D30C48">
        <w:tblPrEx>
          <w:tblW w:w="9445" w:type="dxa"/>
          <w:tblLayout w:type="fixed"/>
          <w:tblLook w:val="04A0"/>
        </w:tblPrEx>
        <w:trPr>
          <w:trHeight w:val="360"/>
        </w:trPr>
        <w:tc>
          <w:tcPr>
            <w:tcW w:w="2155" w:type="dxa"/>
            <w:shd w:val="clear" w:color="auto" w:fill="auto"/>
            <w:vAlign w:val="center"/>
            <w:hideMark/>
          </w:tcPr>
          <w:p w:rsidR="008348D9" w:rsidRPr="00805A00" w:rsidP="008348D9" w14:paraId="2EC9B665" w14:textId="7CC7B198">
            <w:pPr>
              <w:widowControl/>
              <w:spacing w:after="0" w:line="240" w:lineRule="auto"/>
              <w:rPr>
                <w:rFonts w:ascii="Times New Roman" w:eastAsia="Times New Roman" w:hAnsi="Times New Roman" w:cs="Times New Roman"/>
                <w:sz w:val="24"/>
                <w:szCs w:val="24"/>
              </w:rPr>
            </w:pPr>
            <w:r w:rsidRPr="00900EAE">
              <w:rPr>
                <w:rFonts w:ascii="Times New Roman" w:eastAsia="Times New Roman" w:hAnsi="Times New Roman" w:cs="Times New Roman"/>
                <w:sz w:val="24"/>
                <w:szCs w:val="24"/>
              </w:rPr>
              <w:t>Web and Digital Interface Designer</w:t>
            </w:r>
          </w:p>
        </w:tc>
        <w:tc>
          <w:tcPr>
            <w:tcW w:w="1350" w:type="dxa"/>
            <w:shd w:val="clear" w:color="auto" w:fill="auto"/>
            <w:vAlign w:val="center"/>
            <w:hideMark/>
          </w:tcPr>
          <w:p w:rsidR="008348D9" w:rsidRPr="008348D9" w:rsidP="008348D9" w14:paraId="0B671357" w14:textId="3CC57A56">
            <w:pPr>
              <w:widowControl/>
              <w:spacing w:after="0" w:line="240" w:lineRule="auto"/>
              <w:jc w:val="center"/>
              <w:rPr>
                <w:rFonts w:ascii="Times New Roman" w:eastAsia="Times New Roman" w:hAnsi="Times New Roman" w:cs="Times New Roman"/>
                <w:sz w:val="24"/>
                <w:szCs w:val="24"/>
              </w:rPr>
            </w:pPr>
            <w:r w:rsidRPr="008348D9">
              <w:rPr>
                <w:rFonts w:ascii="Times New Roman" w:hAnsi="Times New Roman" w:cs="Times New Roman"/>
                <w:color w:val="000000"/>
                <w:sz w:val="24"/>
                <w:szCs w:val="24"/>
              </w:rPr>
              <w:t>20</w:t>
            </w:r>
          </w:p>
        </w:tc>
        <w:tc>
          <w:tcPr>
            <w:tcW w:w="1710" w:type="dxa"/>
            <w:shd w:val="clear" w:color="auto" w:fill="auto"/>
            <w:vAlign w:val="center"/>
            <w:hideMark/>
          </w:tcPr>
          <w:p w:rsidR="008348D9" w:rsidRPr="008348D9" w:rsidP="008348D9" w14:paraId="0C5DB17F" w14:textId="14ECFA7B">
            <w:pPr>
              <w:widowControl/>
              <w:spacing w:after="0" w:line="240" w:lineRule="auto"/>
              <w:jc w:val="center"/>
              <w:rPr>
                <w:rFonts w:ascii="Times New Roman" w:eastAsia="Times New Roman" w:hAnsi="Times New Roman" w:cs="Times New Roman"/>
                <w:sz w:val="24"/>
                <w:szCs w:val="24"/>
              </w:rPr>
            </w:pPr>
            <w:r w:rsidRPr="008348D9">
              <w:rPr>
                <w:rFonts w:ascii="Times New Roman" w:hAnsi="Times New Roman" w:cs="Times New Roman"/>
                <w:color w:val="000000"/>
                <w:sz w:val="24"/>
                <w:szCs w:val="24"/>
              </w:rPr>
              <w:t>$</w:t>
            </w:r>
            <w:r w:rsidR="00753EDA">
              <w:rPr>
                <w:rFonts w:ascii="Times New Roman" w:hAnsi="Times New Roman" w:cs="Times New Roman"/>
                <w:color w:val="000000"/>
                <w:sz w:val="24"/>
                <w:szCs w:val="24"/>
              </w:rPr>
              <w:t>80.04</w:t>
            </w:r>
            <w:r w:rsidRPr="008348D9">
              <w:rPr>
                <w:rFonts w:ascii="Times New Roman" w:hAnsi="Times New Roman" w:cs="Times New Roman"/>
                <w:color w:val="000000"/>
                <w:sz w:val="24"/>
                <w:szCs w:val="24"/>
              </w:rPr>
              <w:t xml:space="preserve"> </w:t>
            </w:r>
          </w:p>
        </w:tc>
        <w:tc>
          <w:tcPr>
            <w:tcW w:w="1080" w:type="dxa"/>
            <w:shd w:val="clear" w:color="auto" w:fill="auto"/>
            <w:vAlign w:val="center"/>
            <w:hideMark/>
          </w:tcPr>
          <w:p w:rsidR="008348D9" w:rsidRPr="008348D9" w:rsidP="008348D9" w14:paraId="016F1428" w14:textId="640012CE">
            <w:pPr>
              <w:widowControl/>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3</w:t>
            </w:r>
          </w:p>
        </w:tc>
        <w:tc>
          <w:tcPr>
            <w:tcW w:w="1530" w:type="dxa"/>
            <w:shd w:val="clear" w:color="auto" w:fill="auto"/>
            <w:vAlign w:val="center"/>
            <w:hideMark/>
          </w:tcPr>
          <w:p w:rsidR="008348D9" w:rsidRPr="008348D9" w:rsidP="008348D9" w14:paraId="1D64ECCB" w14:textId="7A45AF43">
            <w:pPr>
              <w:widowControl/>
              <w:spacing w:after="0" w:line="240" w:lineRule="auto"/>
              <w:jc w:val="center"/>
              <w:rPr>
                <w:rFonts w:ascii="Times New Roman" w:eastAsia="Times New Roman" w:hAnsi="Times New Roman" w:cs="Times New Roman"/>
                <w:sz w:val="24"/>
                <w:szCs w:val="24"/>
              </w:rPr>
            </w:pPr>
            <w:r w:rsidRPr="008348D9">
              <w:rPr>
                <w:rFonts w:ascii="Times New Roman" w:hAnsi="Times New Roman" w:cs="Times New Roman"/>
                <w:color w:val="000000"/>
                <w:sz w:val="24"/>
                <w:szCs w:val="24"/>
              </w:rPr>
              <w:t>$</w:t>
            </w:r>
            <w:r w:rsidR="00BC0749">
              <w:rPr>
                <w:rFonts w:ascii="Times New Roman" w:hAnsi="Times New Roman" w:cs="Times New Roman"/>
                <w:color w:val="000000"/>
                <w:sz w:val="24"/>
                <w:szCs w:val="24"/>
              </w:rPr>
              <w:t>240.12</w:t>
            </w:r>
          </w:p>
        </w:tc>
        <w:tc>
          <w:tcPr>
            <w:tcW w:w="1620" w:type="dxa"/>
            <w:shd w:val="clear" w:color="auto" w:fill="auto"/>
            <w:vAlign w:val="center"/>
            <w:hideMark/>
          </w:tcPr>
          <w:p w:rsidR="008348D9" w:rsidRPr="008348D9" w:rsidP="008348D9" w14:paraId="43DCEC4F" w14:textId="5E6192E7">
            <w:pPr>
              <w:widowControl/>
              <w:spacing w:after="0" w:line="240" w:lineRule="auto"/>
              <w:jc w:val="center"/>
              <w:rPr>
                <w:rFonts w:ascii="Times New Roman" w:eastAsia="Times New Roman" w:hAnsi="Times New Roman" w:cs="Times New Roman"/>
                <w:sz w:val="24"/>
                <w:szCs w:val="24"/>
              </w:rPr>
            </w:pPr>
            <w:r w:rsidRPr="008348D9">
              <w:rPr>
                <w:rFonts w:ascii="Times New Roman" w:hAnsi="Times New Roman" w:cs="Times New Roman"/>
                <w:color w:val="000000"/>
                <w:sz w:val="24"/>
                <w:szCs w:val="24"/>
              </w:rPr>
              <w:t>$</w:t>
            </w:r>
            <w:r w:rsidR="00BC0749">
              <w:rPr>
                <w:rFonts w:ascii="Times New Roman" w:hAnsi="Times New Roman" w:cs="Times New Roman"/>
                <w:color w:val="000000"/>
                <w:sz w:val="24"/>
                <w:szCs w:val="24"/>
              </w:rPr>
              <w:t>4,802.40</w:t>
            </w:r>
            <w:r w:rsidRPr="008348D9">
              <w:rPr>
                <w:rFonts w:ascii="Times New Roman" w:hAnsi="Times New Roman" w:cs="Times New Roman"/>
                <w:color w:val="000000"/>
                <w:sz w:val="24"/>
                <w:szCs w:val="24"/>
              </w:rPr>
              <w:t xml:space="preserve"> </w:t>
            </w:r>
          </w:p>
        </w:tc>
      </w:tr>
      <w:tr w14:paraId="49D234CC" w14:textId="77777777" w:rsidTr="00A76BA5">
        <w:tblPrEx>
          <w:tblW w:w="9445" w:type="dxa"/>
          <w:tblLayout w:type="fixed"/>
          <w:tblLook w:val="04A0"/>
        </w:tblPrEx>
        <w:trPr>
          <w:trHeight w:hRule="exact" w:val="424"/>
        </w:trPr>
        <w:tc>
          <w:tcPr>
            <w:tcW w:w="2155" w:type="dxa"/>
            <w:shd w:val="clear" w:color="auto" w:fill="auto"/>
            <w:vAlign w:val="center"/>
            <w:hideMark/>
          </w:tcPr>
          <w:p w:rsidR="008348D9" w:rsidRPr="003341CA" w:rsidP="008348D9" w14:paraId="110C4CD0" w14:textId="09E3B6DA">
            <w:pPr>
              <w:widowControl/>
              <w:spacing w:after="0" w:line="240" w:lineRule="auto"/>
              <w:rPr>
                <w:rFonts w:ascii="Times New Roman" w:eastAsia="Times New Roman" w:hAnsi="Times New Roman" w:cs="Times New Roman"/>
                <w:b/>
                <w:bCs/>
                <w:sz w:val="24"/>
                <w:szCs w:val="24"/>
              </w:rPr>
            </w:pPr>
            <w:r w:rsidRPr="003341CA">
              <w:rPr>
                <w:rFonts w:ascii="Times New Roman" w:eastAsia="Times New Roman" w:hAnsi="Times New Roman" w:cs="Times New Roman"/>
                <w:b/>
                <w:bCs/>
                <w:sz w:val="24"/>
                <w:szCs w:val="24"/>
              </w:rPr>
              <w:t>Total</w:t>
            </w:r>
            <w:r w:rsidR="00702186">
              <w:rPr>
                <w:rFonts w:ascii="Times New Roman" w:eastAsia="Times New Roman" w:hAnsi="Times New Roman" w:cs="Times New Roman"/>
                <w:b/>
                <w:bCs/>
                <w:sz w:val="24"/>
                <w:szCs w:val="24"/>
              </w:rPr>
              <w:t xml:space="preserve"> - Annual</w:t>
            </w:r>
          </w:p>
        </w:tc>
        <w:tc>
          <w:tcPr>
            <w:tcW w:w="1350" w:type="dxa"/>
            <w:shd w:val="clear" w:color="auto" w:fill="auto"/>
            <w:vAlign w:val="center"/>
            <w:hideMark/>
          </w:tcPr>
          <w:p w:rsidR="008348D9" w:rsidRPr="003341CA" w:rsidP="008348D9" w14:paraId="1FEB883A" w14:textId="3AB5B446">
            <w:pPr>
              <w:widowControl/>
              <w:spacing w:after="0" w:line="240" w:lineRule="auto"/>
              <w:jc w:val="center"/>
              <w:rPr>
                <w:rFonts w:ascii="Times New Roman" w:eastAsia="Times New Roman" w:hAnsi="Times New Roman" w:cs="Times New Roman"/>
                <w:b/>
                <w:bCs/>
                <w:sz w:val="24"/>
                <w:szCs w:val="24"/>
              </w:rPr>
            </w:pPr>
          </w:p>
        </w:tc>
        <w:tc>
          <w:tcPr>
            <w:tcW w:w="1710" w:type="dxa"/>
            <w:shd w:val="clear" w:color="auto" w:fill="auto"/>
            <w:vAlign w:val="center"/>
            <w:hideMark/>
          </w:tcPr>
          <w:p w:rsidR="008348D9" w:rsidRPr="003341CA" w:rsidP="008348D9" w14:paraId="29D5E98C" w14:textId="5E415CE8">
            <w:pPr>
              <w:widowControl/>
              <w:spacing w:after="0" w:line="240" w:lineRule="auto"/>
              <w:jc w:val="center"/>
              <w:rPr>
                <w:rFonts w:ascii="Times New Roman" w:eastAsia="Times New Roman" w:hAnsi="Times New Roman" w:cs="Times New Roman"/>
                <w:b/>
                <w:bCs/>
                <w:sz w:val="24"/>
                <w:szCs w:val="24"/>
              </w:rPr>
            </w:pPr>
            <w:r w:rsidRPr="003341CA">
              <w:rPr>
                <w:rFonts w:ascii="Times New Roman" w:hAnsi="Times New Roman" w:cs="Times New Roman"/>
                <w:b/>
                <w:bCs/>
                <w:color w:val="000000"/>
                <w:sz w:val="24"/>
                <w:szCs w:val="24"/>
              </w:rPr>
              <w:t> </w:t>
            </w:r>
          </w:p>
        </w:tc>
        <w:tc>
          <w:tcPr>
            <w:tcW w:w="1080" w:type="dxa"/>
            <w:shd w:val="clear" w:color="auto" w:fill="auto"/>
            <w:vAlign w:val="center"/>
            <w:hideMark/>
          </w:tcPr>
          <w:p w:rsidR="008348D9" w:rsidRPr="003341CA" w:rsidP="008348D9" w14:paraId="0E6D567C" w14:textId="604D819B">
            <w:pPr>
              <w:widowControl/>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80</w:t>
            </w:r>
          </w:p>
        </w:tc>
        <w:tc>
          <w:tcPr>
            <w:tcW w:w="1530" w:type="dxa"/>
            <w:shd w:val="clear" w:color="auto" w:fill="auto"/>
            <w:vAlign w:val="center"/>
            <w:hideMark/>
          </w:tcPr>
          <w:p w:rsidR="008348D9" w:rsidRPr="003341CA" w:rsidP="008348D9" w14:paraId="139B967C" w14:textId="31C63C1B">
            <w:pPr>
              <w:widowControl/>
              <w:spacing w:after="0" w:line="240" w:lineRule="auto"/>
              <w:jc w:val="center"/>
              <w:rPr>
                <w:rFonts w:ascii="Times New Roman" w:eastAsia="Times New Roman" w:hAnsi="Times New Roman" w:cs="Times New Roman"/>
                <w:b/>
                <w:bCs/>
                <w:sz w:val="24"/>
                <w:szCs w:val="24"/>
              </w:rPr>
            </w:pPr>
          </w:p>
        </w:tc>
        <w:tc>
          <w:tcPr>
            <w:tcW w:w="1620" w:type="dxa"/>
            <w:shd w:val="clear" w:color="auto" w:fill="auto"/>
            <w:vAlign w:val="center"/>
            <w:hideMark/>
          </w:tcPr>
          <w:p w:rsidR="008348D9" w:rsidRPr="003341CA" w:rsidP="008348D9" w14:paraId="52E8D8CE" w14:textId="18720169">
            <w:pPr>
              <w:widowControl/>
              <w:spacing w:after="0" w:line="240" w:lineRule="auto"/>
              <w:jc w:val="center"/>
              <w:rPr>
                <w:rFonts w:ascii="Times New Roman" w:eastAsia="Times New Roman" w:hAnsi="Times New Roman" w:cs="Times New Roman"/>
                <w:b/>
                <w:bCs/>
                <w:sz w:val="24"/>
                <w:szCs w:val="24"/>
              </w:rPr>
            </w:pPr>
            <w:r w:rsidRPr="003341CA">
              <w:rPr>
                <w:rFonts w:ascii="Times New Roman" w:hAnsi="Times New Roman" w:cs="Times New Roman"/>
                <w:b/>
                <w:bCs/>
                <w:color w:val="000000"/>
                <w:sz w:val="24"/>
                <w:szCs w:val="24"/>
              </w:rPr>
              <w:t>$</w:t>
            </w:r>
            <w:r w:rsidR="00BC0749">
              <w:rPr>
                <w:rFonts w:ascii="Times New Roman" w:hAnsi="Times New Roman" w:cs="Times New Roman"/>
                <w:b/>
                <w:bCs/>
                <w:color w:val="000000"/>
                <w:sz w:val="24"/>
                <w:szCs w:val="24"/>
              </w:rPr>
              <w:t>6,264.80</w:t>
            </w:r>
          </w:p>
        </w:tc>
      </w:tr>
    </w:tbl>
    <w:p w:rsidR="00C624B4" w:rsidP="00360655" w14:paraId="25C6487B" w14:textId="77777777">
      <w:pPr>
        <w:spacing w:after="0" w:line="240" w:lineRule="auto"/>
        <w:rPr>
          <w:rFonts w:ascii="Times New Roman" w:eastAsia="Times New Roman" w:hAnsi="Times New Roman" w:cs="Times New Roman"/>
          <w:b/>
          <w:bCs/>
          <w:snapToGrid w:val="0"/>
          <w:sz w:val="24"/>
          <w:szCs w:val="24"/>
        </w:rPr>
      </w:pPr>
      <w:bookmarkStart w:id="46" w:name="_Hlk159958154"/>
      <w:bookmarkStart w:id="47" w:name="_Hlk145462953"/>
      <w:bookmarkEnd w:id="42"/>
      <w:bookmarkEnd w:id="44"/>
      <w:bookmarkEnd w:id="45"/>
    </w:p>
    <w:p w:rsidR="00360655" w:rsidRPr="00BC41BA" w:rsidP="00360655" w14:paraId="37F8B681" w14:textId="1292D371">
      <w:pPr>
        <w:spacing w:after="0" w:line="240" w:lineRule="auto"/>
        <w:rPr>
          <w:rFonts w:ascii="Times New Roman" w:eastAsia="Times New Roman" w:hAnsi="Times New Roman" w:cs="Times New Roman"/>
          <w:snapToGrid w:val="0"/>
          <w:sz w:val="24"/>
          <w:szCs w:val="24"/>
        </w:rPr>
      </w:pPr>
      <w:r w:rsidRPr="003341CA">
        <w:rPr>
          <w:rFonts w:ascii="Times New Roman" w:eastAsia="Times New Roman" w:hAnsi="Times New Roman" w:cs="Times New Roman"/>
          <w:b/>
          <w:bCs/>
          <w:snapToGrid w:val="0"/>
          <w:sz w:val="24"/>
          <w:szCs w:val="24"/>
        </w:rPr>
        <w:t>Separate Plan Display Requirement</w:t>
      </w:r>
      <w:r w:rsidRPr="003341CA" w:rsidR="00CB7C10">
        <w:rPr>
          <w:rFonts w:ascii="Times New Roman" w:eastAsia="Times New Roman" w:hAnsi="Times New Roman" w:cs="Times New Roman"/>
          <w:b/>
          <w:bCs/>
          <w:snapToGrid w:val="0"/>
          <w:sz w:val="24"/>
          <w:szCs w:val="24"/>
        </w:rPr>
        <w:t xml:space="preserve"> </w:t>
      </w:r>
      <w:r w:rsidRPr="003341CA" w:rsidR="00CB7C10">
        <w:rPr>
          <w:rFonts w:ascii="Times New Roman" w:eastAsia="Times New Roman" w:hAnsi="Times New Roman" w:cs="Times New Roman"/>
          <w:b/>
          <w:bCs/>
          <w:sz w:val="24"/>
          <w:szCs w:val="24"/>
        </w:rPr>
        <w:t>(45 C.F.R. § 155.221(b)(1</w:t>
      </w:r>
      <w:bookmarkEnd w:id="46"/>
      <w:r w:rsidRPr="003341CA" w:rsidR="00CB7C10">
        <w:rPr>
          <w:rFonts w:ascii="Times New Roman" w:eastAsia="Times New Roman" w:hAnsi="Times New Roman" w:cs="Times New Roman"/>
          <w:b/>
          <w:bCs/>
          <w:sz w:val="24"/>
          <w:szCs w:val="24"/>
        </w:rPr>
        <w:t>)):</w:t>
      </w:r>
      <w:bookmarkEnd w:id="47"/>
      <w:r w:rsidR="003341CA">
        <w:rPr>
          <w:rFonts w:ascii="Times New Roman" w:eastAsia="Times New Roman" w:hAnsi="Times New Roman" w:cs="Times New Roman"/>
          <w:b/>
          <w:bCs/>
          <w:sz w:val="24"/>
          <w:szCs w:val="24"/>
        </w:rPr>
        <w:t xml:space="preserve"> </w:t>
      </w:r>
      <w:r w:rsidRPr="003341CA">
        <w:rPr>
          <w:rFonts w:ascii="Times New Roman" w:eastAsia="Times New Roman" w:hAnsi="Times New Roman" w:cs="Times New Roman"/>
          <w:snapToGrid w:val="0"/>
          <w:sz w:val="24"/>
          <w:szCs w:val="24"/>
        </w:rPr>
        <w:t>We estimate that it will take up to 20 hours at an hourly cost of $</w:t>
      </w:r>
      <w:r w:rsidR="00753EDA">
        <w:rPr>
          <w:rFonts w:ascii="Times New Roman" w:eastAsia="Times New Roman" w:hAnsi="Times New Roman" w:cs="Times New Roman"/>
          <w:snapToGrid w:val="0"/>
          <w:sz w:val="24"/>
          <w:szCs w:val="24"/>
        </w:rPr>
        <w:t>80.04</w:t>
      </w:r>
      <w:r w:rsidRPr="003341CA">
        <w:rPr>
          <w:rFonts w:ascii="Times New Roman" w:eastAsia="Times New Roman" w:hAnsi="Times New Roman" w:cs="Times New Roman"/>
          <w:snapToGrid w:val="0"/>
          <w:sz w:val="24"/>
          <w:szCs w:val="24"/>
        </w:rPr>
        <w:t xml:space="preserve"> for a Web and Digital Interface Designer to create a separate plan display for each type of coverage consistent with this requirement as finalized at §155.221(c)(1) and §155.221(c)(2). The total burden for each DE Entity will be approximately 20 hours with an equivalent cost of $</w:t>
      </w:r>
      <w:r w:rsidR="00753EDA">
        <w:rPr>
          <w:rFonts w:ascii="Times New Roman" w:eastAsia="Times New Roman" w:hAnsi="Times New Roman" w:cs="Times New Roman"/>
          <w:snapToGrid w:val="0"/>
          <w:sz w:val="24"/>
          <w:szCs w:val="24"/>
        </w:rPr>
        <w:t>1,600.80</w:t>
      </w:r>
      <w:r w:rsidRPr="003341CA">
        <w:rPr>
          <w:rFonts w:ascii="Times New Roman" w:eastAsia="Times New Roman" w:hAnsi="Times New Roman" w:cs="Times New Roman"/>
          <w:snapToGrid w:val="0"/>
          <w:sz w:val="24"/>
          <w:szCs w:val="24"/>
        </w:rPr>
        <w:t>. Based on current DE Entity year-to-date participation and potential market size, we estimate that 40 DE Entities will create a separate plan display consistent with this requirement. We estimate that this data collection has a cumulative annual burden of 800 hours with a cost of $</w:t>
      </w:r>
      <w:r w:rsidR="00753EDA">
        <w:rPr>
          <w:rFonts w:ascii="Times New Roman" w:eastAsia="Times New Roman" w:hAnsi="Times New Roman" w:cs="Times New Roman"/>
          <w:snapToGrid w:val="0"/>
          <w:sz w:val="24"/>
          <w:szCs w:val="24"/>
        </w:rPr>
        <w:t>64,032.00</w:t>
      </w:r>
      <w:r w:rsidRPr="003341CA">
        <w:rPr>
          <w:rFonts w:ascii="Times New Roman" w:eastAsia="Times New Roman" w:hAnsi="Times New Roman" w:cs="Times New Roman"/>
          <w:snapToGrid w:val="0"/>
          <w:sz w:val="24"/>
          <w:szCs w:val="24"/>
        </w:rPr>
        <w:t xml:space="preserve">. </w:t>
      </w:r>
    </w:p>
    <w:p w:rsidR="0070560A" w:rsidRPr="003341CA" w:rsidP="00360655" w14:paraId="54D60A29" w14:textId="77777777">
      <w:pPr>
        <w:spacing w:after="0" w:line="240" w:lineRule="auto"/>
        <w:rPr>
          <w:rFonts w:ascii="Times New Roman" w:eastAsia="Times New Roman" w:hAnsi="Times New Roman" w:cs="Times New Roman"/>
          <w:snapToGrid w:val="0"/>
          <w:sz w:val="24"/>
          <w:szCs w:val="24"/>
        </w:rPr>
      </w:pPr>
    </w:p>
    <w:p w:rsidR="0070560A" w:rsidRPr="003341CA" w:rsidP="00360655" w14:paraId="04FD661D" w14:textId="0E2E33F2">
      <w:pPr>
        <w:spacing w:after="0" w:line="240" w:lineRule="auto"/>
        <w:rPr>
          <w:rFonts w:ascii="Times New Roman" w:eastAsia="Times New Roman" w:hAnsi="Times New Roman" w:cs="Times New Roman"/>
          <w:snapToGrid w:val="0"/>
          <w:sz w:val="24"/>
          <w:szCs w:val="24"/>
        </w:rPr>
      </w:pPr>
      <w:r w:rsidRPr="003341CA">
        <w:rPr>
          <w:rFonts w:ascii="Times New Roman" w:eastAsia="Times New Roman" w:hAnsi="Times New Roman" w:cs="Times New Roman"/>
          <w:snapToGrid w:val="0"/>
          <w:sz w:val="24"/>
          <w:szCs w:val="24"/>
        </w:rPr>
        <w:t xml:space="preserve">Table </w:t>
      </w:r>
      <w:r w:rsidR="0030698B">
        <w:rPr>
          <w:rFonts w:ascii="Times New Roman" w:eastAsia="Times New Roman" w:hAnsi="Times New Roman" w:cs="Times New Roman"/>
          <w:snapToGrid w:val="0"/>
          <w:sz w:val="24"/>
          <w:szCs w:val="24"/>
        </w:rPr>
        <w:t xml:space="preserve">8 </w:t>
      </w:r>
      <w:r w:rsidRPr="003341CA">
        <w:rPr>
          <w:rFonts w:ascii="Times New Roman" w:eastAsia="Times New Roman" w:hAnsi="Times New Roman" w:cs="Times New Roman"/>
          <w:snapToGrid w:val="0"/>
          <w:sz w:val="24"/>
          <w:szCs w:val="24"/>
        </w:rPr>
        <w:t xml:space="preserve">below displays the burden for </w:t>
      </w:r>
      <w:r w:rsidRPr="003341CA" w:rsidR="00AE5D8B">
        <w:rPr>
          <w:rFonts w:ascii="Times New Roman" w:eastAsia="Times New Roman" w:hAnsi="Times New Roman" w:cs="Times New Roman"/>
          <w:snapToGrid w:val="0"/>
          <w:sz w:val="24"/>
          <w:szCs w:val="24"/>
        </w:rPr>
        <w:t xml:space="preserve">DE Entities </w:t>
      </w:r>
      <w:r w:rsidRPr="003341CA" w:rsidR="00402D75">
        <w:rPr>
          <w:rFonts w:ascii="Times New Roman" w:eastAsia="Times New Roman" w:hAnsi="Times New Roman" w:cs="Times New Roman"/>
          <w:snapToGrid w:val="0"/>
          <w:sz w:val="24"/>
          <w:szCs w:val="24"/>
        </w:rPr>
        <w:t>relating to these regulatory provisions.</w:t>
      </w:r>
    </w:p>
    <w:p w:rsidR="008F2677" w:rsidRPr="00C86A98" w:rsidP="008F2677" w14:paraId="64B6FA1D" w14:textId="77777777">
      <w:pPr>
        <w:spacing w:after="0" w:line="240" w:lineRule="auto"/>
        <w:rPr>
          <w:rFonts w:ascii="Times New Roman" w:eastAsia="Times New Roman" w:hAnsi="Times New Roman" w:cs="Times New Roman"/>
          <w:b/>
          <w:bCs/>
          <w:snapToGrid w:val="0"/>
          <w:sz w:val="24"/>
          <w:szCs w:val="24"/>
          <w:u w:val="single"/>
        </w:rPr>
      </w:pPr>
    </w:p>
    <w:p w:rsidR="00100829" w:rsidRPr="003341CA" w:rsidP="00360655" w14:paraId="5CCDE93A" w14:textId="1D8B7F11">
      <w:pPr>
        <w:spacing w:after="0" w:line="240" w:lineRule="auto"/>
        <w:rPr>
          <w:rFonts w:ascii="Times New Roman" w:eastAsia="Times New Roman" w:hAnsi="Times New Roman" w:cs="Times New Roman"/>
          <w:snapToGrid w:val="0"/>
          <w:sz w:val="24"/>
          <w:szCs w:val="24"/>
        </w:rPr>
      </w:pPr>
      <w:bookmarkStart w:id="48" w:name="_Hlk148047228"/>
      <w:bookmarkStart w:id="49" w:name="_Hlk159958162"/>
      <w:r w:rsidRPr="003341CA">
        <w:rPr>
          <w:rFonts w:ascii="Times New Roman" w:eastAsia="Times New Roman" w:hAnsi="Times New Roman" w:cs="Times New Roman"/>
          <w:b/>
          <w:bCs/>
          <w:snapToGrid w:val="0"/>
          <w:sz w:val="24"/>
          <w:szCs w:val="24"/>
        </w:rPr>
        <w:t xml:space="preserve">Table </w:t>
      </w:r>
      <w:r w:rsidR="00753EDA">
        <w:rPr>
          <w:rFonts w:ascii="Times New Roman" w:eastAsia="Times New Roman" w:hAnsi="Times New Roman" w:cs="Times New Roman"/>
          <w:b/>
          <w:bCs/>
          <w:snapToGrid w:val="0"/>
          <w:sz w:val="24"/>
          <w:szCs w:val="24"/>
        </w:rPr>
        <w:t>8</w:t>
      </w:r>
      <w:r w:rsidRPr="003341CA">
        <w:rPr>
          <w:rFonts w:ascii="Times New Roman" w:eastAsia="Times New Roman" w:hAnsi="Times New Roman" w:cs="Times New Roman"/>
          <w:b/>
          <w:bCs/>
          <w:snapToGrid w:val="0"/>
          <w:sz w:val="24"/>
          <w:szCs w:val="24"/>
        </w:rPr>
        <w:t xml:space="preserve">: Burden to DE Entities to Implement Separate Plan Display Requirement </w:t>
      </w:r>
    </w:p>
    <w:p w:rsidR="008F2677" w:rsidRPr="00C86A98" w:rsidP="00360655" w14:paraId="71BF576B" w14:textId="77777777">
      <w:pPr>
        <w:spacing w:after="0" w:line="240" w:lineRule="auto"/>
        <w:rPr>
          <w:rFonts w:ascii="Times New Roman" w:eastAsia="Times New Roman" w:hAnsi="Times New Roman" w:cs="Times New Roman"/>
          <w:snapToGrid w:val="0"/>
          <w:sz w:val="24"/>
          <w:szCs w:val="24"/>
          <w:u w:val="single"/>
        </w:rPr>
      </w:pPr>
    </w:p>
    <w:tbl>
      <w:tblPr>
        <w:tblW w:w="953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067"/>
        <w:gridCol w:w="1350"/>
        <w:gridCol w:w="1800"/>
        <w:gridCol w:w="1170"/>
        <w:gridCol w:w="1530"/>
        <w:gridCol w:w="1620"/>
      </w:tblGrid>
      <w:tr w14:paraId="11A50159" w14:textId="7C0A2F79" w:rsidTr="00D30C48">
        <w:tblPrEx>
          <w:tblW w:w="953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trHeight w:val="1106"/>
        </w:trPr>
        <w:tc>
          <w:tcPr>
            <w:tcW w:w="2067" w:type="dxa"/>
            <w:shd w:val="clear" w:color="auto" w:fill="auto"/>
            <w:vAlign w:val="center"/>
            <w:hideMark/>
          </w:tcPr>
          <w:p w:rsidR="00B14C42" w:rsidRPr="003341CA" w:rsidP="00B14C42" w14:paraId="5B7E4A87" w14:textId="6EE8417B">
            <w:pPr>
              <w:spacing w:after="0" w:line="240" w:lineRule="auto"/>
              <w:ind w:left="90"/>
              <w:rPr>
                <w:rFonts w:ascii="Times New Roman" w:eastAsia="Times New Roman" w:hAnsi="Times New Roman" w:cs="Times New Roman"/>
                <w:b/>
                <w:bCs/>
                <w:snapToGrid w:val="0"/>
                <w:sz w:val="24"/>
                <w:szCs w:val="24"/>
              </w:rPr>
            </w:pPr>
            <w:bookmarkStart w:id="50" w:name="_Hlk145456595"/>
            <w:r w:rsidRPr="00805A00">
              <w:rPr>
                <w:rFonts w:ascii="Times New Roman" w:eastAsia="Times New Roman" w:hAnsi="Times New Roman" w:cs="Times New Roman"/>
                <w:b/>
                <w:bCs/>
                <w:sz w:val="24"/>
                <w:szCs w:val="24"/>
              </w:rPr>
              <w:t>Labor Category</w:t>
            </w:r>
          </w:p>
        </w:tc>
        <w:tc>
          <w:tcPr>
            <w:tcW w:w="1350" w:type="dxa"/>
            <w:shd w:val="clear" w:color="auto" w:fill="auto"/>
            <w:vAlign w:val="center"/>
            <w:hideMark/>
          </w:tcPr>
          <w:p w:rsidR="00B14C42" w:rsidRPr="003341CA" w:rsidP="00B14C42" w14:paraId="2AF1AB60" w14:textId="28E470A1">
            <w:pPr>
              <w:spacing w:after="0" w:line="240" w:lineRule="auto"/>
              <w:jc w:val="center"/>
              <w:rPr>
                <w:rFonts w:ascii="Times New Roman" w:eastAsia="Times New Roman" w:hAnsi="Times New Roman" w:cs="Times New Roman"/>
                <w:b/>
                <w:bCs/>
                <w:snapToGrid w:val="0"/>
                <w:sz w:val="24"/>
                <w:szCs w:val="24"/>
              </w:rPr>
            </w:pPr>
            <w:r w:rsidRPr="005706FE">
              <w:rPr>
                <w:rFonts w:ascii="Times New Roman" w:hAnsi="Times New Roman" w:cs="Times New Roman"/>
                <w:b/>
                <w:sz w:val="24"/>
                <w:szCs w:val="24"/>
              </w:rPr>
              <w:t>Number of Respondents</w:t>
            </w:r>
          </w:p>
        </w:tc>
        <w:tc>
          <w:tcPr>
            <w:tcW w:w="1800" w:type="dxa"/>
            <w:shd w:val="clear" w:color="auto" w:fill="auto"/>
            <w:vAlign w:val="center"/>
            <w:hideMark/>
          </w:tcPr>
          <w:p w:rsidR="00B14C42" w:rsidRPr="003341CA" w:rsidP="00B14C42" w14:paraId="1448453D" w14:textId="465CCDF0">
            <w:pPr>
              <w:spacing w:after="0" w:line="240" w:lineRule="auto"/>
              <w:jc w:val="center"/>
              <w:rPr>
                <w:rFonts w:ascii="Times New Roman" w:eastAsia="Times New Roman" w:hAnsi="Times New Roman" w:cs="Times New Roman"/>
                <w:b/>
                <w:bCs/>
                <w:snapToGrid w:val="0"/>
                <w:sz w:val="24"/>
                <w:szCs w:val="24"/>
              </w:rPr>
            </w:pPr>
            <w:r w:rsidRPr="005706FE">
              <w:rPr>
                <w:rFonts w:ascii="Times New Roman" w:hAnsi="Times New Roman" w:cs="Times New Roman"/>
                <w:b/>
                <w:sz w:val="24"/>
                <w:szCs w:val="24"/>
              </w:rPr>
              <w:t>Hourly Labor Costs (Hourly rate + 100% Fringe benefits)</w:t>
            </w:r>
          </w:p>
        </w:tc>
        <w:tc>
          <w:tcPr>
            <w:tcW w:w="1170" w:type="dxa"/>
            <w:shd w:val="clear" w:color="auto" w:fill="auto"/>
            <w:vAlign w:val="center"/>
            <w:hideMark/>
          </w:tcPr>
          <w:p w:rsidR="00B14C42" w:rsidRPr="003341CA" w:rsidP="00B14C42" w14:paraId="3394F3F3" w14:textId="709E195C">
            <w:pPr>
              <w:spacing w:after="0" w:line="240" w:lineRule="auto"/>
              <w:jc w:val="center"/>
              <w:rPr>
                <w:rFonts w:ascii="Times New Roman" w:eastAsia="Times New Roman" w:hAnsi="Times New Roman" w:cs="Times New Roman"/>
                <w:b/>
                <w:bCs/>
                <w:snapToGrid w:val="0"/>
                <w:sz w:val="24"/>
                <w:szCs w:val="24"/>
              </w:rPr>
            </w:pPr>
            <w:r w:rsidRPr="005706FE">
              <w:rPr>
                <w:rFonts w:ascii="Times New Roman" w:hAnsi="Times New Roman" w:cs="Times New Roman"/>
                <w:b/>
                <w:sz w:val="24"/>
                <w:szCs w:val="24"/>
              </w:rPr>
              <w:t>Burden Hours</w:t>
            </w:r>
          </w:p>
        </w:tc>
        <w:tc>
          <w:tcPr>
            <w:tcW w:w="1530" w:type="dxa"/>
            <w:shd w:val="clear" w:color="auto" w:fill="auto"/>
            <w:vAlign w:val="center"/>
            <w:hideMark/>
          </w:tcPr>
          <w:p w:rsidR="00B14C42" w:rsidRPr="003341CA" w:rsidP="00B14C42" w14:paraId="745F935B" w14:textId="3541A06E">
            <w:pPr>
              <w:spacing w:after="0" w:line="240" w:lineRule="auto"/>
              <w:jc w:val="center"/>
              <w:rPr>
                <w:rFonts w:ascii="Times New Roman" w:eastAsia="Times New Roman" w:hAnsi="Times New Roman" w:cs="Times New Roman"/>
                <w:b/>
                <w:bCs/>
                <w:snapToGrid w:val="0"/>
                <w:sz w:val="24"/>
                <w:szCs w:val="24"/>
              </w:rPr>
            </w:pPr>
            <w:r w:rsidRPr="005706FE">
              <w:rPr>
                <w:rFonts w:ascii="Times New Roman" w:hAnsi="Times New Roman" w:cs="Times New Roman"/>
                <w:b/>
                <w:sz w:val="24"/>
                <w:szCs w:val="24"/>
              </w:rPr>
              <w:t>Total Burden Costs (per Respondent)</w:t>
            </w:r>
          </w:p>
        </w:tc>
        <w:tc>
          <w:tcPr>
            <w:tcW w:w="1620" w:type="dxa"/>
            <w:vAlign w:val="center"/>
          </w:tcPr>
          <w:p w:rsidR="00B14C42" w:rsidRPr="003341CA" w:rsidP="00B14C42" w14:paraId="2DCC40C6" w14:textId="7232157D">
            <w:pPr>
              <w:spacing w:after="0" w:line="240" w:lineRule="auto"/>
              <w:jc w:val="center"/>
              <w:rPr>
                <w:rFonts w:ascii="Times New Roman" w:eastAsia="Times New Roman" w:hAnsi="Times New Roman" w:cs="Times New Roman"/>
                <w:b/>
                <w:bCs/>
                <w:snapToGrid w:val="0"/>
                <w:sz w:val="24"/>
                <w:szCs w:val="24"/>
              </w:rPr>
            </w:pPr>
            <w:r w:rsidRPr="005706FE">
              <w:rPr>
                <w:rFonts w:ascii="Times New Roman" w:hAnsi="Times New Roman" w:cs="Times New Roman"/>
                <w:b/>
                <w:sz w:val="24"/>
                <w:szCs w:val="24"/>
              </w:rPr>
              <w:t>Total Burden Costs (All Respondents)</w:t>
            </w:r>
          </w:p>
        </w:tc>
      </w:tr>
      <w:tr w14:paraId="275F7E4E" w14:textId="5D3EB09C" w:rsidTr="00D30C48">
        <w:tblPrEx>
          <w:tblW w:w="9537" w:type="dxa"/>
          <w:tblInd w:w="-2" w:type="dxa"/>
          <w:tblLayout w:type="fixed"/>
          <w:tblCellMar>
            <w:left w:w="0" w:type="dxa"/>
            <w:right w:w="0" w:type="dxa"/>
          </w:tblCellMar>
          <w:tblLook w:val="04A0"/>
        </w:tblPrEx>
        <w:trPr>
          <w:trHeight w:val="620"/>
        </w:trPr>
        <w:tc>
          <w:tcPr>
            <w:tcW w:w="2067" w:type="dxa"/>
            <w:shd w:val="clear" w:color="auto" w:fill="auto"/>
            <w:vAlign w:val="center"/>
            <w:hideMark/>
          </w:tcPr>
          <w:p w:rsidR="00B14C42" w:rsidRPr="003341CA" w:rsidP="00D01310" w14:paraId="02316D68" w14:textId="797B1406">
            <w:pPr>
              <w:spacing w:after="0" w:line="240" w:lineRule="auto"/>
              <w:ind w:left="90"/>
              <w:rPr>
                <w:rFonts w:ascii="Times New Roman" w:eastAsia="Times New Roman" w:hAnsi="Times New Roman" w:cs="Times New Roman"/>
                <w:snapToGrid w:val="0"/>
                <w:sz w:val="24"/>
                <w:szCs w:val="24"/>
              </w:rPr>
            </w:pPr>
            <w:r w:rsidRPr="003341CA">
              <w:rPr>
                <w:rFonts w:ascii="Times New Roman" w:eastAsia="Times New Roman" w:hAnsi="Times New Roman" w:cs="Times New Roman"/>
                <w:snapToGrid w:val="0"/>
                <w:sz w:val="24"/>
                <w:szCs w:val="24"/>
              </w:rPr>
              <w:t>Web and Digital Interface Designe</w:t>
            </w:r>
            <w:r>
              <w:rPr>
                <w:rFonts w:ascii="Times New Roman" w:eastAsia="Times New Roman" w:hAnsi="Times New Roman" w:cs="Times New Roman"/>
                <w:snapToGrid w:val="0"/>
                <w:sz w:val="24"/>
                <w:szCs w:val="24"/>
              </w:rPr>
              <w:t>r</w:t>
            </w:r>
          </w:p>
        </w:tc>
        <w:tc>
          <w:tcPr>
            <w:tcW w:w="1350" w:type="dxa"/>
            <w:shd w:val="clear" w:color="auto" w:fill="auto"/>
            <w:vAlign w:val="center"/>
            <w:hideMark/>
          </w:tcPr>
          <w:p w:rsidR="008248A8" w:rsidRPr="003341CA" w:rsidP="00B14C42" w14:paraId="2F2A7EC9" w14:textId="77777777">
            <w:pPr>
              <w:spacing w:after="0" w:line="240" w:lineRule="auto"/>
              <w:jc w:val="center"/>
              <w:rPr>
                <w:rFonts w:ascii="Times New Roman" w:eastAsia="Times New Roman" w:hAnsi="Times New Roman" w:cs="Times New Roman"/>
                <w:snapToGrid w:val="0"/>
                <w:sz w:val="24"/>
                <w:szCs w:val="24"/>
              </w:rPr>
            </w:pPr>
            <w:r w:rsidRPr="003341CA">
              <w:rPr>
                <w:rFonts w:ascii="Times New Roman" w:eastAsia="Times New Roman" w:hAnsi="Times New Roman" w:cs="Times New Roman"/>
                <w:snapToGrid w:val="0"/>
                <w:sz w:val="24"/>
                <w:szCs w:val="24"/>
              </w:rPr>
              <w:t>40</w:t>
            </w:r>
          </w:p>
        </w:tc>
        <w:tc>
          <w:tcPr>
            <w:tcW w:w="1800" w:type="dxa"/>
            <w:shd w:val="clear" w:color="auto" w:fill="auto"/>
            <w:vAlign w:val="center"/>
            <w:hideMark/>
          </w:tcPr>
          <w:p w:rsidR="008248A8" w:rsidRPr="003341CA" w:rsidP="00B14C42" w14:paraId="0C4E9E7E" w14:textId="0B9672D7">
            <w:pPr>
              <w:spacing w:after="0" w:line="240" w:lineRule="auto"/>
              <w:jc w:val="center"/>
              <w:rPr>
                <w:rFonts w:ascii="Times New Roman" w:eastAsia="Times New Roman" w:hAnsi="Times New Roman" w:cs="Times New Roman"/>
                <w:snapToGrid w:val="0"/>
                <w:sz w:val="24"/>
                <w:szCs w:val="24"/>
              </w:rPr>
            </w:pPr>
            <w:r w:rsidRPr="003341CA">
              <w:rPr>
                <w:rFonts w:ascii="Times New Roman" w:eastAsia="Times New Roman" w:hAnsi="Times New Roman" w:cs="Times New Roman"/>
                <w:snapToGrid w:val="0"/>
                <w:sz w:val="24"/>
                <w:szCs w:val="24"/>
              </w:rPr>
              <w:t>$</w:t>
            </w:r>
            <w:r w:rsidR="00753EDA">
              <w:rPr>
                <w:rFonts w:ascii="Times New Roman" w:eastAsia="Times New Roman" w:hAnsi="Times New Roman" w:cs="Times New Roman"/>
                <w:snapToGrid w:val="0"/>
                <w:sz w:val="24"/>
                <w:szCs w:val="24"/>
              </w:rPr>
              <w:t>80.04</w:t>
            </w:r>
          </w:p>
        </w:tc>
        <w:tc>
          <w:tcPr>
            <w:tcW w:w="1170" w:type="dxa"/>
            <w:shd w:val="clear" w:color="auto" w:fill="auto"/>
            <w:vAlign w:val="center"/>
            <w:hideMark/>
          </w:tcPr>
          <w:p w:rsidR="008248A8" w:rsidRPr="003341CA" w:rsidP="00B14C42" w14:paraId="3F230776" w14:textId="77777777">
            <w:pPr>
              <w:spacing w:after="0" w:line="240" w:lineRule="auto"/>
              <w:jc w:val="center"/>
              <w:rPr>
                <w:rFonts w:ascii="Times New Roman" w:eastAsia="Times New Roman" w:hAnsi="Times New Roman" w:cs="Times New Roman"/>
                <w:snapToGrid w:val="0"/>
                <w:sz w:val="24"/>
                <w:szCs w:val="24"/>
              </w:rPr>
            </w:pPr>
            <w:r w:rsidRPr="003341CA">
              <w:rPr>
                <w:rFonts w:ascii="Times New Roman" w:eastAsia="Times New Roman" w:hAnsi="Times New Roman" w:cs="Times New Roman"/>
                <w:snapToGrid w:val="0"/>
                <w:sz w:val="24"/>
                <w:szCs w:val="24"/>
              </w:rPr>
              <w:t>20</w:t>
            </w:r>
          </w:p>
        </w:tc>
        <w:tc>
          <w:tcPr>
            <w:tcW w:w="1530" w:type="dxa"/>
            <w:shd w:val="clear" w:color="auto" w:fill="auto"/>
            <w:vAlign w:val="center"/>
            <w:hideMark/>
          </w:tcPr>
          <w:p w:rsidR="008248A8" w:rsidRPr="003341CA" w:rsidP="00B14C42" w14:paraId="3DE222D8" w14:textId="25C05668">
            <w:pPr>
              <w:spacing w:after="0" w:line="240" w:lineRule="auto"/>
              <w:jc w:val="center"/>
              <w:rPr>
                <w:rFonts w:ascii="Times New Roman" w:eastAsia="Times New Roman" w:hAnsi="Times New Roman" w:cs="Times New Roman"/>
                <w:snapToGrid w:val="0"/>
                <w:sz w:val="24"/>
                <w:szCs w:val="24"/>
              </w:rPr>
            </w:pPr>
            <w:r w:rsidRPr="003341CA">
              <w:rPr>
                <w:rFonts w:ascii="Times New Roman" w:hAnsi="Times New Roman" w:cs="Times New Roman"/>
                <w:color w:val="000000"/>
                <w:sz w:val="24"/>
                <w:szCs w:val="24"/>
              </w:rPr>
              <w:t>$</w:t>
            </w:r>
            <w:r w:rsidR="00753EDA">
              <w:rPr>
                <w:rFonts w:ascii="Times New Roman" w:hAnsi="Times New Roman" w:cs="Times New Roman"/>
                <w:color w:val="000000"/>
                <w:sz w:val="24"/>
                <w:szCs w:val="24"/>
              </w:rPr>
              <w:t>1,600.80</w:t>
            </w:r>
          </w:p>
        </w:tc>
        <w:tc>
          <w:tcPr>
            <w:tcW w:w="1620" w:type="dxa"/>
            <w:shd w:val="clear" w:color="auto" w:fill="auto"/>
            <w:vAlign w:val="center"/>
          </w:tcPr>
          <w:p w:rsidR="008248A8" w:rsidRPr="00C86A98" w:rsidP="00B14C42" w14:paraId="490A3AC5" w14:textId="5EBFA560">
            <w:pPr>
              <w:spacing w:after="0" w:line="240" w:lineRule="auto"/>
              <w:jc w:val="center"/>
              <w:rPr>
                <w:rFonts w:ascii="Times New Roman" w:eastAsia="Times New Roman" w:hAnsi="Times New Roman" w:cs="Times New Roman"/>
                <w:snapToGrid w:val="0"/>
                <w:sz w:val="24"/>
                <w:szCs w:val="24"/>
                <w:u w:val="single"/>
              </w:rPr>
            </w:pPr>
            <w:r w:rsidRPr="00C86A98">
              <w:rPr>
                <w:rFonts w:ascii="Times New Roman" w:hAnsi="Times New Roman" w:cs="Times New Roman"/>
                <w:color w:val="000000"/>
                <w:sz w:val="24"/>
                <w:szCs w:val="24"/>
              </w:rPr>
              <w:t>$</w:t>
            </w:r>
            <w:r w:rsidR="00753EDA">
              <w:rPr>
                <w:rFonts w:ascii="Times New Roman" w:hAnsi="Times New Roman" w:cs="Times New Roman"/>
                <w:color w:val="000000"/>
                <w:sz w:val="24"/>
                <w:szCs w:val="24"/>
              </w:rPr>
              <w:t>64,032.00</w:t>
            </w:r>
          </w:p>
        </w:tc>
      </w:tr>
      <w:bookmarkEnd w:id="48"/>
      <w:bookmarkEnd w:id="50"/>
    </w:tbl>
    <w:p w:rsidR="00360655" w:rsidRPr="00C86A98" w:rsidP="00360655" w14:paraId="157D34E7" w14:textId="77777777">
      <w:pPr>
        <w:spacing w:after="0" w:line="240" w:lineRule="auto"/>
        <w:rPr>
          <w:rFonts w:ascii="Times New Roman" w:eastAsia="Times New Roman" w:hAnsi="Times New Roman" w:cs="Times New Roman"/>
          <w:snapToGrid w:val="0"/>
          <w:sz w:val="24"/>
          <w:szCs w:val="24"/>
          <w:u w:val="single"/>
        </w:rPr>
      </w:pPr>
    </w:p>
    <w:p w:rsidR="00360655" w:rsidRPr="003341CA" w:rsidP="00192B1D" w14:paraId="28D7EAC0" w14:textId="68E7E1AC">
      <w:pPr>
        <w:spacing w:after="0" w:line="240" w:lineRule="auto"/>
        <w:ind w:right="-270"/>
        <w:rPr>
          <w:rFonts w:ascii="Times New Roman" w:eastAsia="Times New Roman" w:hAnsi="Times New Roman" w:cs="Times New Roman"/>
          <w:b/>
          <w:bCs/>
          <w:snapToGrid w:val="0"/>
          <w:sz w:val="24"/>
          <w:szCs w:val="24"/>
        </w:rPr>
      </w:pPr>
      <w:bookmarkStart w:id="51" w:name="_Hlk145462892"/>
      <w:bookmarkEnd w:id="49"/>
      <w:r w:rsidRPr="003341CA">
        <w:rPr>
          <w:rFonts w:ascii="Times New Roman" w:eastAsia="Times New Roman" w:hAnsi="Times New Roman" w:cs="Times New Roman"/>
          <w:b/>
          <w:bCs/>
          <w:snapToGrid w:val="0"/>
          <w:sz w:val="24"/>
          <w:szCs w:val="24"/>
        </w:rPr>
        <w:t>Direct Enrollment Entity Separate Plan Display Exception</w:t>
      </w:r>
      <w:r w:rsidRPr="003341CA" w:rsidR="00B2284A">
        <w:rPr>
          <w:rFonts w:ascii="Times New Roman" w:eastAsia="Times New Roman" w:hAnsi="Times New Roman" w:cs="Times New Roman"/>
          <w:b/>
          <w:bCs/>
          <w:snapToGrid w:val="0"/>
          <w:sz w:val="24"/>
          <w:szCs w:val="24"/>
        </w:rPr>
        <w:t xml:space="preserve"> Requirement</w:t>
      </w:r>
      <w:r w:rsidRPr="003341CA" w:rsidR="00CB7C10">
        <w:rPr>
          <w:rFonts w:ascii="Times New Roman" w:eastAsia="Times New Roman" w:hAnsi="Times New Roman" w:cs="Times New Roman"/>
          <w:b/>
          <w:bCs/>
          <w:snapToGrid w:val="0"/>
          <w:sz w:val="24"/>
          <w:szCs w:val="24"/>
        </w:rPr>
        <w:t xml:space="preserve"> (45 C.F.R. § 155.221(c)(1)-(2)):</w:t>
      </w:r>
      <w:r w:rsidRPr="003341CA" w:rsidR="00B2284A">
        <w:rPr>
          <w:rFonts w:ascii="Times New Roman" w:eastAsia="Times New Roman" w:hAnsi="Times New Roman" w:cs="Times New Roman"/>
          <w:b/>
          <w:bCs/>
          <w:snapToGrid w:val="0"/>
          <w:sz w:val="24"/>
          <w:szCs w:val="24"/>
        </w:rPr>
        <w:t xml:space="preserve"> </w:t>
      </w:r>
      <w:bookmarkEnd w:id="51"/>
      <w:r w:rsidRPr="003341CA">
        <w:rPr>
          <w:rFonts w:ascii="Times New Roman" w:eastAsia="Times New Roman" w:hAnsi="Times New Roman" w:cs="Times New Roman"/>
          <w:snapToGrid w:val="0"/>
          <w:sz w:val="24"/>
          <w:szCs w:val="24"/>
        </w:rPr>
        <w:t>We estimate that it will take up to 20 hours at an hourly cost of $</w:t>
      </w:r>
      <w:r w:rsidR="0030698B">
        <w:rPr>
          <w:rFonts w:ascii="Times New Roman" w:eastAsia="Times New Roman" w:hAnsi="Times New Roman" w:cs="Times New Roman"/>
          <w:snapToGrid w:val="0"/>
          <w:sz w:val="24"/>
          <w:szCs w:val="24"/>
        </w:rPr>
        <w:t>80.04</w:t>
      </w:r>
      <w:r w:rsidRPr="003341CA">
        <w:rPr>
          <w:rFonts w:ascii="Times New Roman" w:eastAsia="Times New Roman" w:hAnsi="Times New Roman" w:cs="Times New Roman"/>
          <w:snapToGrid w:val="0"/>
          <w:sz w:val="24"/>
          <w:szCs w:val="24"/>
        </w:rPr>
        <w:t xml:space="preserve"> for a Web and Digital Interface Designer to create a separate plan display based on these exceptions finalized at §155.221</w:t>
      </w:r>
      <w:r w:rsidRPr="003341CA" w:rsidR="00276330">
        <w:rPr>
          <w:rFonts w:ascii="Times New Roman" w:eastAsia="Times New Roman" w:hAnsi="Times New Roman" w:cs="Times New Roman"/>
          <w:snapToGrid w:val="0"/>
          <w:sz w:val="24"/>
          <w:szCs w:val="24"/>
        </w:rPr>
        <w:t>(c)</w:t>
      </w:r>
      <w:r w:rsidRPr="003341CA">
        <w:rPr>
          <w:rFonts w:ascii="Times New Roman" w:eastAsia="Times New Roman" w:hAnsi="Times New Roman" w:cs="Times New Roman"/>
          <w:snapToGrid w:val="0"/>
          <w:sz w:val="24"/>
          <w:szCs w:val="24"/>
        </w:rPr>
        <w:t>(1) and §155.221</w:t>
      </w:r>
      <w:r w:rsidRPr="003341CA" w:rsidR="00276330">
        <w:rPr>
          <w:rFonts w:ascii="Times New Roman" w:eastAsia="Times New Roman" w:hAnsi="Times New Roman" w:cs="Times New Roman"/>
          <w:snapToGrid w:val="0"/>
          <w:sz w:val="24"/>
          <w:szCs w:val="24"/>
        </w:rPr>
        <w:t>(c)</w:t>
      </w:r>
      <w:r w:rsidRPr="003341CA">
        <w:rPr>
          <w:rFonts w:ascii="Times New Roman" w:eastAsia="Times New Roman" w:hAnsi="Times New Roman" w:cs="Times New Roman"/>
          <w:snapToGrid w:val="0"/>
          <w:sz w:val="24"/>
          <w:szCs w:val="24"/>
        </w:rPr>
        <w:t>(2). The total burden for each DE Entity will be approximately 20 hours, with an equivalent cost of approximately $</w:t>
      </w:r>
      <w:r w:rsidR="0030698B">
        <w:rPr>
          <w:rFonts w:ascii="Times New Roman" w:eastAsia="Times New Roman" w:hAnsi="Times New Roman" w:cs="Times New Roman"/>
          <w:snapToGrid w:val="0"/>
          <w:sz w:val="24"/>
          <w:szCs w:val="24"/>
        </w:rPr>
        <w:t>1,600.80</w:t>
      </w:r>
      <w:r w:rsidRPr="003341CA">
        <w:rPr>
          <w:rFonts w:ascii="Times New Roman" w:eastAsia="Times New Roman" w:hAnsi="Times New Roman" w:cs="Times New Roman"/>
          <w:snapToGrid w:val="0"/>
          <w:sz w:val="24"/>
          <w:szCs w:val="24"/>
        </w:rPr>
        <w:t>. Based on current DE Entity year-to-date participation and potential market size, we estimate that 20 DE Entities will participate. We estimate that this data collection has a cumulative annual burden of 400 hours with a cost of $</w:t>
      </w:r>
      <w:r w:rsidR="0030698B">
        <w:rPr>
          <w:rFonts w:ascii="Times New Roman" w:eastAsia="Times New Roman" w:hAnsi="Times New Roman" w:cs="Times New Roman"/>
          <w:snapToGrid w:val="0"/>
          <w:sz w:val="24"/>
          <w:szCs w:val="24"/>
        </w:rPr>
        <w:t>32,016.00</w:t>
      </w:r>
      <w:r w:rsidRPr="003341CA">
        <w:rPr>
          <w:rFonts w:ascii="Times New Roman" w:eastAsia="Times New Roman" w:hAnsi="Times New Roman" w:cs="Times New Roman"/>
          <w:snapToGrid w:val="0"/>
          <w:sz w:val="24"/>
          <w:szCs w:val="24"/>
        </w:rPr>
        <w:t xml:space="preserve">. </w:t>
      </w:r>
    </w:p>
    <w:p w:rsidR="003F3A97" w:rsidRPr="003341CA" w:rsidP="00360655" w14:paraId="2C78D67F" w14:textId="77777777">
      <w:pPr>
        <w:spacing w:after="0" w:line="240" w:lineRule="auto"/>
        <w:rPr>
          <w:rFonts w:ascii="Times New Roman" w:eastAsia="Times New Roman" w:hAnsi="Times New Roman" w:cs="Times New Roman"/>
          <w:snapToGrid w:val="0"/>
          <w:sz w:val="24"/>
          <w:szCs w:val="24"/>
        </w:rPr>
      </w:pPr>
    </w:p>
    <w:p w:rsidR="003203C5" w:rsidRPr="003341CA" w:rsidP="00360655" w14:paraId="1E55C79E" w14:textId="22C9784D">
      <w:pPr>
        <w:spacing w:after="0" w:line="240" w:lineRule="auto"/>
        <w:rPr>
          <w:rFonts w:ascii="Times New Roman" w:eastAsia="Times New Roman" w:hAnsi="Times New Roman" w:cs="Times New Roman"/>
          <w:snapToGrid w:val="0"/>
          <w:sz w:val="24"/>
          <w:szCs w:val="24"/>
        </w:rPr>
      </w:pPr>
      <w:r w:rsidRPr="003341CA">
        <w:rPr>
          <w:rFonts w:ascii="Times New Roman" w:eastAsia="Times New Roman" w:hAnsi="Times New Roman" w:cs="Times New Roman"/>
          <w:snapToGrid w:val="0"/>
          <w:sz w:val="24"/>
          <w:szCs w:val="24"/>
        </w:rPr>
        <w:t xml:space="preserve">Table </w:t>
      </w:r>
      <w:r w:rsidR="0030698B">
        <w:rPr>
          <w:rFonts w:ascii="Times New Roman" w:eastAsia="Times New Roman" w:hAnsi="Times New Roman" w:cs="Times New Roman"/>
          <w:snapToGrid w:val="0"/>
          <w:sz w:val="24"/>
          <w:szCs w:val="24"/>
        </w:rPr>
        <w:t xml:space="preserve">9 </w:t>
      </w:r>
      <w:r w:rsidRPr="003341CA">
        <w:rPr>
          <w:rFonts w:ascii="Times New Roman" w:eastAsia="Times New Roman" w:hAnsi="Times New Roman" w:cs="Times New Roman"/>
          <w:snapToGrid w:val="0"/>
          <w:sz w:val="24"/>
          <w:szCs w:val="24"/>
        </w:rPr>
        <w:t>below displays the burden for DE</w:t>
      </w:r>
      <w:r w:rsidRPr="003341CA" w:rsidR="003906BE">
        <w:rPr>
          <w:rFonts w:ascii="Times New Roman" w:eastAsia="Times New Roman" w:hAnsi="Times New Roman" w:cs="Times New Roman"/>
          <w:snapToGrid w:val="0"/>
          <w:sz w:val="24"/>
          <w:szCs w:val="24"/>
        </w:rPr>
        <w:t xml:space="preserve"> Entities relating to these regulatory provisions.</w:t>
      </w:r>
    </w:p>
    <w:p w:rsidR="003203C5" w:rsidRPr="00C86A98" w:rsidP="00360655" w14:paraId="1A0764E3" w14:textId="77777777">
      <w:pPr>
        <w:spacing w:after="0" w:line="240" w:lineRule="auto"/>
        <w:rPr>
          <w:rFonts w:ascii="Times New Roman" w:eastAsia="Times New Roman" w:hAnsi="Times New Roman" w:cs="Times New Roman"/>
          <w:snapToGrid w:val="0"/>
          <w:sz w:val="24"/>
          <w:szCs w:val="24"/>
          <w:u w:val="single"/>
        </w:rPr>
      </w:pPr>
    </w:p>
    <w:p w:rsidR="003203C5" w:rsidRPr="003341CA" w:rsidP="00360655" w14:paraId="3B5910AD" w14:textId="15D7AA73">
      <w:pPr>
        <w:spacing w:after="0" w:line="240" w:lineRule="auto"/>
        <w:rPr>
          <w:rFonts w:ascii="Times New Roman" w:eastAsia="Times New Roman" w:hAnsi="Times New Roman" w:cs="Times New Roman"/>
          <w:b/>
          <w:bCs/>
          <w:snapToGrid w:val="0"/>
          <w:sz w:val="24"/>
          <w:szCs w:val="24"/>
        </w:rPr>
      </w:pPr>
      <w:bookmarkStart w:id="52" w:name="_Hlk159958183"/>
      <w:r w:rsidRPr="003341CA">
        <w:rPr>
          <w:rFonts w:ascii="Times New Roman" w:eastAsia="Times New Roman" w:hAnsi="Times New Roman" w:cs="Times New Roman"/>
          <w:b/>
          <w:bCs/>
          <w:snapToGrid w:val="0"/>
          <w:sz w:val="24"/>
          <w:szCs w:val="24"/>
        </w:rPr>
        <w:t>Table</w:t>
      </w:r>
      <w:r w:rsidR="00BC0749">
        <w:rPr>
          <w:rFonts w:ascii="Times New Roman" w:eastAsia="Times New Roman" w:hAnsi="Times New Roman" w:cs="Times New Roman"/>
          <w:b/>
          <w:bCs/>
          <w:snapToGrid w:val="0"/>
          <w:sz w:val="24"/>
          <w:szCs w:val="24"/>
        </w:rPr>
        <w:t xml:space="preserve"> </w:t>
      </w:r>
      <w:r w:rsidR="0030698B">
        <w:rPr>
          <w:rFonts w:ascii="Times New Roman" w:eastAsia="Times New Roman" w:hAnsi="Times New Roman" w:cs="Times New Roman"/>
          <w:b/>
          <w:bCs/>
          <w:snapToGrid w:val="0"/>
          <w:sz w:val="24"/>
          <w:szCs w:val="24"/>
        </w:rPr>
        <w:t>9</w:t>
      </w:r>
      <w:r w:rsidRPr="003341CA" w:rsidR="007F302E">
        <w:rPr>
          <w:rFonts w:ascii="Times New Roman" w:eastAsia="Times New Roman" w:hAnsi="Times New Roman" w:cs="Times New Roman"/>
          <w:b/>
          <w:bCs/>
          <w:snapToGrid w:val="0"/>
          <w:sz w:val="24"/>
          <w:szCs w:val="24"/>
        </w:rPr>
        <w:t xml:space="preserve">: Burden to DE Entities to Implement Separate Plan Display Exceptions </w:t>
      </w:r>
    </w:p>
    <w:p w:rsidR="003906BE" w:rsidRPr="00C86A98" w:rsidP="00360655" w14:paraId="4089EA8E" w14:textId="77777777">
      <w:pPr>
        <w:spacing w:after="0" w:line="240" w:lineRule="auto"/>
        <w:rPr>
          <w:rFonts w:ascii="Times New Roman" w:eastAsia="Times New Roman" w:hAnsi="Times New Roman" w:cs="Times New Roman"/>
          <w:snapToGrid w:val="0"/>
          <w:sz w:val="24"/>
          <w:szCs w:val="24"/>
          <w:u w:val="single"/>
        </w:rPr>
      </w:pPr>
    </w:p>
    <w:tbl>
      <w:tblPr>
        <w:tblW w:w="944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067"/>
        <w:gridCol w:w="1350"/>
        <w:gridCol w:w="1710"/>
        <w:gridCol w:w="1170"/>
        <w:gridCol w:w="1440"/>
        <w:gridCol w:w="1710"/>
      </w:tblGrid>
      <w:tr w14:paraId="25B45853" w14:textId="77777777" w:rsidTr="00D30C48">
        <w:tblPrEx>
          <w:tblW w:w="944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trHeight w:val="1124"/>
        </w:trPr>
        <w:tc>
          <w:tcPr>
            <w:tcW w:w="2067" w:type="dxa"/>
            <w:shd w:val="clear" w:color="auto" w:fill="auto"/>
            <w:vAlign w:val="center"/>
            <w:hideMark/>
          </w:tcPr>
          <w:p w:rsidR="00B14C42" w:rsidRPr="003341CA" w:rsidP="00D01310" w14:paraId="6860700A" w14:textId="462D7C61">
            <w:pPr>
              <w:spacing w:after="0" w:line="240" w:lineRule="auto"/>
              <w:ind w:left="90"/>
              <w:rPr>
                <w:rFonts w:ascii="Times New Roman" w:eastAsia="Times New Roman" w:hAnsi="Times New Roman" w:cs="Times New Roman"/>
                <w:b/>
                <w:bCs/>
                <w:snapToGrid w:val="0"/>
                <w:sz w:val="24"/>
                <w:szCs w:val="24"/>
              </w:rPr>
            </w:pPr>
            <w:bookmarkStart w:id="53" w:name="_Hlk145457387"/>
            <w:r w:rsidRPr="00805A00">
              <w:rPr>
                <w:rFonts w:ascii="Times New Roman" w:eastAsia="Times New Roman" w:hAnsi="Times New Roman" w:cs="Times New Roman"/>
                <w:b/>
                <w:bCs/>
                <w:sz w:val="24"/>
                <w:szCs w:val="24"/>
              </w:rPr>
              <w:t>Labor Category</w:t>
            </w:r>
          </w:p>
        </w:tc>
        <w:tc>
          <w:tcPr>
            <w:tcW w:w="1350" w:type="dxa"/>
            <w:shd w:val="clear" w:color="auto" w:fill="auto"/>
            <w:vAlign w:val="center"/>
            <w:hideMark/>
          </w:tcPr>
          <w:p w:rsidR="00B14C42" w:rsidRPr="003341CA" w:rsidP="00B14C42" w14:paraId="478E71A5" w14:textId="383ED532">
            <w:pPr>
              <w:spacing w:after="0" w:line="240" w:lineRule="auto"/>
              <w:jc w:val="center"/>
              <w:rPr>
                <w:rFonts w:ascii="Times New Roman" w:eastAsia="Times New Roman" w:hAnsi="Times New Roman" w:cs="Times New Roman"/>
                <w:b/>
                <w:bCs/>
                <w:snapToGrid w:val="0"/>
                <w:sz w:val="24"/>
                <w:szCs w:val="24"/>
              </w:rPr>
            </w:pPr>
            <w:r w:rsidRPr="005706FE">
              <w:rPr>
                <w:rFonts w:ascii="Times New Roman" w:hAnsi="Times New Roman" w:cs="Times New Roman"/>
                <w:b/>
                <w:sz w:val="24"/>
                <w:szCs w:val="24"/>
              </w:rPr>
              <w:t>Number of Respondents</w:t>
            </w:r>
          </w:p>
        </w:tc>
        <w:tc>
          <w:tcPr>
            <w:tcW w:w="1710" w:type="dxa"/>
            <w:shd w:val="clear" w:color="auto" w:fill="auto"/>
            <w:vAlign w:val="center"/>
            <w:hideMark/>
          </w:tcPr>
          <w:p w:rsidR="00B14C42" w:rsidRPr="003341CA" w:rsidP="00B14C42" w14:paraId="3EAAA7F9" w14:textId="6C9BBE1B">
            <w:pPr>
              <w:spacing w:after="0" w:line="240" w:lineRule="auto"/>
              <w:jc w:val="center"/>
              <w:rPr>
                <w:rFonts w:ascii="Times New Roman" w:eastAsia="Times New Roman" w:hAnsi="Times New Roman" w:cs="Times New Roman"/>
                <w:b/>
                <w:bCs/>
                <w:snapToGrid w:val="0"/>
                <w:sz w:val="24"/>
                <w:szCs w:val="24"/>
              </w:rPr>
            </w:pPr>
            <w:r w:rsidRPr="005706FE">
              <w:rPr>
                <w:rFonts w:ascii="Times New Roman" w:hAnsi="Times New Roman" w:cs="Times New Roman"/>
                <w:b/>
                <w:sz w:val="24"/>
                <w:szCs w:val="24"/>
              </w:rPr>
              <w:t>Hourly Labor Costs (Hourly rate + 100% Fringe benefits)</w:t>
            </w:r>
          </w:p>
        </w:tc>
        <w:tc>
          <w:tcPr>
            <w:tcW w:w="1170" w:type="dxa"/>
            <w:shd w:val="clear" w:color="auto" w:fill="auto"/>
            <w:vAlign w:val="center"/>
            <w:hideMark/>
          </w:tcPr>
          <w:p w:rsidR="00B14C42" w:rsidRPr="003341CA" w:rsidP="00B14C42" w14:paraId="33FADDEA" w14:textId="76CC45ED">
            <w:pPr>
              <w:spacing w:after="0" w:line="240" w:lineRule="auto"/>
              <w:jc w:val="center"/>
              <w:rPr>
                <w:rFonts w:ascii="Times New Roman" w:eastAsia="Times New Roman" w:hAnsi="Times New Roman" w:cs="Times New Roman"/>
                <w:b/>
                <w:bCs/>
                <w:snapToGrid w:val="0"/>
                <w:sz w:val="24"/>
                <w:szCs w:val="24"/>
              </w:rPr>
            </w:pPr>
            <w:r w:rsidRPr="005706FE">
              <w:rPr>
                <w:rFonts w:ascii="Times New Roman" w:hAnsi="Times New Roman" w:cs="Times New Roman"/>
                <w:b/>
                <w:sz w:val="24"/>
                <w:szCs w:val="24"/>
              </w:rPr>
              <w:t>Burden Hours</w:t>
            </w:r>
          </w:p>
        </w:tc>
        <w:tc>
          <w:tcPr>
            <w:tcW w:w="1440" w:type="dxa"/>
            <w:shd w:val="clear" w:color="auto" w:fill="auto"/>
            <w:vAlign w:val="center"/>
            <w:hideMark/>
          </w:tcPr>
          <w:p w:rsidR="00B14C42" w:rsidRPr="003341CA" w:rsidP="00B14C42" w14:paraId="3A202769" w14:textId="3F3EE12C">
            <w:pPr>
              <w:spacing w:after="0" w:line="240" w:lineRule="auto"/>
              <w:jc w:val="center"/>
              <w:rPr>
                <w:rFonts w:ascii="Times New Roman" w:eastAsia="Times New Roman" w:hAnsi="Times New Roman" w:cs="Times New Roman"/>
                <w:b/>
                <w:bCs/>
                <w:snapToGrid w:val="0"/>
                <w:sz w:val="24"/>
                <w:szCs w:val="24"/>
              </w:rPr>
            </w:pPr>
            <w:r w:rsidRPr="005706FE">
              <w:rPr>
                <w:rFonts w:ascii="Times New Roman" w:hAnsi="Times New Roman" w:cs="Times New Roman"/>
                <w:b/>
                <w:sz w:val="24"/>
                <w:szCs w:val="24"/>
              </w:rPr>
              <w:t>Total Burden Costs (per Respondent)</w:t>
            </w:r>
          </w:p>
        </w:tc>
        <w:tc>
          <w:tcPr>
            <w:tcW w:w="1710" w:type="dxa"/>
            <w:vAlign w:val="center"/>
          </w:tcPr>
          <w:p w:rsidR="00B14C42" w:rsidRPr="003341CA" w:rsidP="00B14C42" w14:paraId="7CD22A79" w14:textId="460B5702">
            <w:pPr>
              <w:spacing w:after="0" w:line="240" w:lineRule="auto"/>
              <w:jc w:val="center"/>
              <w:rPr>
                <w:rFonts w:ascii="Times New Roman" w:eastAsia="Times New Roman" w:hAnsi="Times New Roman" w:cs="Times New Roman"/>
                <w:b/>
                <w:bCs/>
                <w:snapToGrid w:val="0"/>
                <w:sz w:val="24"/>
                <w:szCs w:val="24"/>
              </w:rPr>
            </w:pPr>
            <w:r w:rsidRPr="005706FE">
              <w:rPr>
                <w:rFonts w:ascii="Times New Roman" w:hAnsi="Times New Roman" w:cs="Times New Roman"/>
                <w:b/>
                <w:sz w:val="24"/>
                <w:szCs w:val="24"/>
              </w:rPr>
              <w:t>Total Burden Costs (All Respondents)</w:t>
            </w:r>
          </w:p>
        </w:tc>
      </w:tr>
      <w:tr w14:paraId="367C920D" w14:textId="77777777" w:rsidTr="00A76BA5">
        <w:tblPrEx>
          <w:tblW w:w="9447" w:type="dxa"/>
          <w:tblInd w:w="-2" w:type="dxa"/>
          <w:tblLayout w:type="fixed"/>
          <w:tblCellMar>
            <w:left w:w="0" w:type="dxa"/>
            <w:right w:w="0" w:type="dxa"/>
          </w:tblCellMar>
          <w:tblLook w:val="04A0"/>
        </w:tblPrEx>
        <w:trPr>
          <w:trHeight w:val="629"/>
        </w:trPr>
        <w:tc>
          <w:tcPr>
            <w:tcW w:w="2067" w:type="dxa"/>
            <w:shd w:val="clear" w:color="auto" w:fill="auto"/>
            <w:vAlign w:val="center"/>
            <w:hideMark/>
          </w:tcPr>
          <w:p w:rsidR="008248A8" w:rsidRPr="003341CA" w:rsidP="00D01310" w14:paraId="12AD1F14" w14:textId="77777777">
            <w:pPr>
              <w:spacing w:after="0" w:line="240" w:lineRule="auto"/>
              <w:ind w:left="90"/>
              <w:rPr>
                <w:rFonts w:ascii="Times New Roman" w:eastAsia="Times New Roman" w:hAnsi="Times New Roman" w:cs="Times New Roman"/>
                <w:snapToGrid w:val="0"/>
                <w:sz w:val="24"/>
                <w:szCs w:val="24"/>
              </w:rPr>
            </w:pPr>
            <w:r w:rsidRPr="003341CA">
              <w:rPr>
                <w:rFonts w:ascii="Times New Roman" w:eastAsia="Times New Roman" w:hAnsi="Times New Roman" w:cs="Times New Roman"/>
                <w:snapToGrid w:val="0"/>
                <w:sz w:val="24"/>
                <w:szCs w:val="24"/>
              </w:rPr>
              <w:t>Web and Digital Interface Designer</w:t>
            </w:r>
          </w:p>
        </w:tc>
        <w:tc>
          <w:tcPr>
            <w:tcW w:w="1350" w:type="dxa"/>
            <w:shd w:val="clear" w:color="auto" w:fill="auto"/>
            <w:vAlign w:val="center"/>
            <w:hideMark/>
          </w:tcPr>
          <w:p w:rsidR="008248A8" w:rsidRPr="003341CA" w:rsidP="003341CA" w14:paraId="5FEB2241" w14:textId="6A56EE97">
            <w:pPr>
              <w:spacing w:after="0" w:line="240" w:lineRule="auto"/>
              <w:jc w:val="center"/>
              <w:rPr>
                <w:rFonts w:ascii="Times New Roman" w:eastAsia="Times New Roman" w:hAnsi="Times New Roman" w:cs="Times New Roman"/>
                <w:snapToGrid w:val="0"/>
                <w:sz w:val="24"/>
                <w:szCs w:val="24"/>
              </w:rPr>
            </w:pPr>
            <w:r w:rsidRPr="003341CA">
              <w:rPr>
                <w:rFonts w:ascii="Times New Roman" w:eastAsia="Times New Roman" w:hAnsi="Times New Roman" w:cs="Times New Roman"/>
                <w:snapToGrid w:val="0"/>
                <w:sz w:val="24"/>
                <w:szCs w:val="24"/>
              </w:rPr>
              <w:t>20</w:t>
            </w:r>
          </w:p>
        </w:tc>
        <w:tc>
          <w:tcPr>
            <w:tcW w:w="1710" w:type="dxa"/>
            <w:shd w:val="clear" w:color="auto" w:fill="auto"/>
            <w:vAlign w:val="center"/>
            <w:hideMark/>
          </w:tcPr>
          <w:p w:rsidR="008248A8" w:rsidRPr="003341CA" w:rsidP="003341CA" w14:paraId="5A8DF712" w14:textId="47BEAF38">
            <w:pPr>
              <w:spacing w:after="0" w:line="240" w:lineRule="auto"/>
              <w:jc w:val="center"/>
              <w:rPr>
                <w:rFonts w:ascii="Times New Roman" w:eastAsia="Times New Roman" w:hAnsi="Times New Roman" w:cs="Times New Roman"/>
                <w:snapToGrid w:val="0"/>
                <w:sz w:val="24"/>
                <w:szCs w:val="24"/>
              </w:rPr>
            </w:pPr>
            <w:r w:rsidRPr="003341CA">
              <w:rPr>
                <w:rFonts w:ascii="Times New Roman" w:eastAsia="Times New Roman" w:hAnsi="Times New Roman" w:cs="Times New Roman"/>
                <w:snapToGrid w:val="0"/>
                <w:sz w:val="24"/>
                <w:szCs w:val="24"/>
              </w:rPr>
              <w:t>$</w:t>
            </w:r>
            <w:r w:rsidR="0030698B">
              <w:rPr>
                <w:rFonts w:ascii="Times New Roman" w:eastAsia="Times New Roman" w:hAnsi="Times New Roman" w:cs="Times New Roman"/>
                <w:snapToGrid w:val="0"/>
                <w:sz w:val="24"/>
                <w:szCs w:val="24"/>
              </w:rPr>
              <w:t>80.04</w:t>
            </w:r>
          </w:p>
        </w:tc>
        <w:tc>
          <w:tcPr>
            <w:tcW w:w="1170" w:type="dxa"/>
            <w:shd w:val="clear" w:color="auto" w:fill="auto"/>
            <w:vAlign w:val="center"/>
            <w:hideMark/>
          </w:tcPr>
          <w:p w:rsidR="008248A8" w:rsidRPr="003341CA" w:rsidP="003341CA" w14:paraId="134C571E" w14:textId="77777777">
            <w:pPr>
              <w:spacing w:after="0" w:line="240" w:lineRule="auto"/>
              <w:jc w:val="center"/>
              <w:rPr>
                <w:rFonts w:ascii="Times New Roman" w:eastAsia="Times New Roman" w:hAnsi="Times New Roman" w:cs="Times New Roman"/>
                <w:snapToGrid w:val="0"/>
                <w:sz w:val="24"/>
                <w:szCs w:val="24"/>
              </w:rPr>
            </w:pPr>
            <w:r w:rsidRPr="003341CA">
              <w:rPr>
                <w:rFonts w:ascii="Times New Roman" w:eastAsia="Times New Roman" w:hAnsi="Times New Roman" w:cs="Times New Roman"/>
                <w:snapToGrid w:val="0"/>
                <w:sz w:val="24"/>
                <w:szCs w:val="24"/>
              </w:rPr>
              <w:t>20</w:t>
            </w:r>
          </w:p>
        </w:tc>
        <w:tc>
          <w:tcPr>
            <w:tcW w:w="1440" w:type="dxa"/>
            <w:shd w:val="clear" w:color="auto" w:fill="auto"/>
            <w:vAlign w:val="center"/>
            <w:hideMark/>
          </w:tcPr>
          <w:p w:rsidR="008248A8" w:rsidRPr="003341CA" w:rsidP="003341CA" w14:paraId="72B6CAC0" w14:textId="7954C14B">
            <w:pPr>
              <w:spacing w:after="0" w:line="240" w:lineRule="auto"/>
              <w:jc w:val="center"/>
              <w:rPr>
                <w:rFonts w:ascii="Times New Roman" w:eastAsia="Times New Roman" w:hAnsi="Times New Roman" w:cs="Times New Roman"/>
                <w:snapToGrid w:val="0"/>
                <w:sz w:val="24"/>
                <w:szCs w:val="24"/>
              </w:rPr>
            </w:pPr>
            <w:r w:rsidRPr="003341CA">
              <w:rPr>
                <w:rFonts w:ascii="Times New Roman" w:hAnsi="Times New Roman" w:cs="Times New Roman"/>
                <w:color w:val="000000"/>
                <w:sz w:val="24"/>
                <w:szCs w:val="24"/>
              </w:rPr>
              <w:t>$</w:t>
            </w:r>
            <w:r w:rsidR="0030698B">
              <w:rPr>
                <w:rFonts w:ascii="Times New Roman" w:hAnsi="Times New Roman" w:cs="Times New Roman"/>
                <w:color w:val="000000"/>
                <w:sz w:val="24"/>
                <w:szCs w:val="24"/>
              </w:rPr>
              <w:t>1,600.80</w:t>
            </w:r>
          </w:p>
        </w:tc>
        <w:tc>
          <w:tcPr>
            <w:tcW w:w="1710" w:type="dxa"/>
            <w:shd w:val="clear" w:color="auto" w:fill="auto"/>
            <w:vAlign w:val="center"/>
          </w:tcPr>
          <w:p w:rsidR="008248A8" w:rsidRPr="003341CA" w:rsidP="003341CA" w14:paraId="36E62740" w14:textId="4388652A">
            <w:pPr>
              <w:spacing w:after="0" w:line="240" w:lineRule="auto"/>
              <w:jc w:val="center"/>
              <w:rPr>
                <w:rFonts w:ascii="Times New Roman" w:eastAsia="Times New Roman" w:hAnsi="Times New Roman" w:cs="Times New Roman"/>
                <w:snapToGrid w:val="0"/>
                <w:sz w:val="24"/>
                <w:szCs w:val="24"/>
              </w:rPr>
            </w:pPr>
            <w:r w:rsidRPr="003341CA">
              <w:rPr>
                <w:rFonts w:ascii="Times New Roman" w:eastAsia="Times New Roman" w:hAnsi="Times New Roman" w:cs="Times New Roman"/>
                <w:snapToGrid w:val="0"/>
                <w:sz w:val="24"/>
                <w:szCs w:val="24"/>
              </w:rPr>
              <w:t>$</w:t>
            </w:r>
            <w:r w:rsidR="0030698B">
              <w:rPr>
                <w:rFonts w:ascii="Times New Roman" w:eastAsia="Times New Roman" w:hAnsi="Times New Roman" w:cs="Times New Roman"/>
                <w:snapToGrid w:val="0"/>
                <w:sz w:val="24"/>
                <w:szCs w:val="24"/>
              </w:rPr>
              <w:t>32,016.00</w:t>
            </w:r>
          </w:p>
        </w:tc>
      </w:tr>
      <w:bookmarkEnd w:id="52"/>
      <w:bookmarkEnd w:id="53"/>
    </w:tbl>
    <w:p w:rsidR="003906BE" w:rsidRPr="00C86A98" w:rsidP="00360655" w14:paraId="13326E84" w14:textId="77777777">
      <w:pPr>
        <w:spacing w:after="0" w:line="240" w:lineRule="auto"/>
        <w:rPr>
          <w:rFonts w:ascii="Times New Roman" w:eastAsia="Times New Roman" w:hAnsi="Times New Roman" w:cs="Times New Roman"/>
          <w:snapToGrid w:val="0"/>
          <w:sz w:val="24"/>
          <w:szCs w:val="24"/>
          <w:u w:val="single"/>
        </w:rPr>
      </w:pPr>
    </w:p>
    <w:p w:rsidR="00360655" w:rsidRPr="003341CA" w:rsidP="006A7E85" w14:paraId="1F0F5974" w14:textId="6239C46F">
      <w:pPr>
        <w:spacing w:after="0" w:line="240" w:lineRule="auto"/>
        <w:ind w:right="-180"/>
        <w:rPr>
          <w:rFonts w:ascii="Times New Roman" w:eastAsia="Times New Roman" w:hAnsi="Times New Roman" w:cs="Times New Roman"/>
          <w:b/>
          <w:bCs/>
          <w:sz w:val="24"/>
          <w:szCs w:val="24"/>
        </w:rPr>
      </w:pPr>
      <w:bookmarkStart w:id="54" w:name="_Hlk159958191"/>
      <w:r w:rsidRPr="003341CA">
        <w:rPr>
          <w:rFonts w:ascii="Times New Roman" w:eastAsia="Times New Roman" w:hAnsi="Times New Roman" w:cs="Times New Roman"/>
          <w:b/>
          <w:bCs/>
          <w:snapToGrid w:val="0"/>
          <w:sz w:val="24"/>
          <w:szCs w:val="24"/>
        </w:rPr>
        <w:t xml:space="preserve">Direct Enrollment Entity Third-Party Entity Contractual Requirements </w:t>
      </w:r>
      <w:r w:rsidRPr="003341CA" w:rsidR="00CB7C10">
        <w:rPr>
          <w:rFonts w:ascii="Times New Roman" w:eastAsia="Times New Roman" w:hAnsi="Times New Roman" w:cs="Times New Roman"/>
          <w:b/>
          <w:bCs/>
          <w:sz w:val="24"/>
          <w:szCs w:val="24"/>
        </w:rPr>
        <w:t>(45 C.F.R. § 155.221(g)(3), (4), and (7)):</w:t>
      </w:r>
      <w:r w:rsidR="003341CA">
        <w:rPr>
          <w:rFonts w:ascii="Times New Roman" w:eastAsia="Times New Roman" w:hAnsi="Times New Roman" w:cs="Times New Roman"/>
          <w:b/>
          <w:bCs/>
          <w:sz w:val="24"/>
          <w:szCs w:val="24"/>
        </w:rPr>
        <w:t xml:space="preserve"> </w:t>
      </w:r>
      <w:bookmarkEnd w:id="54"/>
      <w:r w:rsidRPr="003341CA">
        <w:rPr>
          <w:rFonts w:ascii="Times New Roman" w:eastAsia="Times New Roman" w:hAnsi="Times New Roman" w:cs="Times New Roman"/>
          <w:snapToGrid w:val="0"/>
          <w:sz w:val="24"/>
          <w:szCs w:val="24"/>
        </w:rPr>
        <w:t xml:space="preserve">We estimate that it will take up to </w:t>
      </w:r>
      <w:r w:rsidR="0030698B">
        <w:rPr>
          <w:rFonts w:ascii="Times New Roman" w:eastAsia="Times New Roman" w:hAnsi="Times New Roman" w:cs="Times New Roman"/>
          <w:snapToGrid w:val="0"/>
          <w:sz w:val="24"/>
          <w:szCs w:val="24"/>
        </w:rPr>
        <w:t>20</w:t>
      </w:r>
      <w:r w:rsidRPr="003341CA">
        <w:rPr>
          <w:rFonts w:ascii="Times New Roman" w:eastAsia="Times New Roman" w:hAnsi="Times New Roman" w:cs="Times New Roman"/>
          <w:snapToGrid w:val="0"/>
          <w:sz w:val="24"/>
          <w:szCs w:val="24"/>
        </w:rPr>
        <w:t xml:space="preserve"> hours at an hourly cost of $</w:t>
      </w:r>
      <w:r w:rsidR="0030698B">
        <w:rPr>
          <w:rFonts w:ascii="Times New Roman" w:eastAsia="Times New Roman" w:hAnsi="Times New Roman" w:cs="Times New Roman"/>
          <w:snapToGrid w:val="0"/>
          <w:sz w:val="24"/>
          <w:szCs w:val="24"/>
        </w:rPr>
        <w:t>75.00</w:t>
      </w:r>
      <w:r w:rsidRPr="003341CA">
        <w:rPr>
          <w:rFonts w:ascii="Times New Roman" w:eastAsia="Times New Roman" w:hAnsi="Times New Roman" w:cs="Times New Roman"/>
          <w:snapToGrid w:val="0"/>
          <w:sz w:val="24"/>
          <w:szCs w:val="24"/>
        </w:rPr>
        <w:t xml:space="preserve"> for an Auditor to maintain documentation consistent with these requirements finalized in § 155.221(g). The total burden associated with each DE </w:t>
      </w:r>
      <w:r w:rsidRPr="003341CA" w:rsidR="003A6056">
        <w:rPr>
          <w:rFonts w:ascii="Times New Roman" w:eastAsia="Times New Roman" w:hAnsi="Times New Roman" w:cs="Times New Roman"/>
          <w:snapToGrid w:val="0"/>
          <w:sz w:val="24"/>
          <w:szCs w:val="24"/>
        </w:rPr>
        <w:t>E</w:t>
      </w:r>
      <w:r w:rsidRPr="003341CA">
        <w:rPr>
          <w:rFonts w:ascii="Times New Roman" w:eastAsia="Times New Roman" w:hAnsi="Times New Roman" w:cs="Times New Roman"/>
          <w:snapToGrid w:val="0"/>
          <w:sz w:val="24"/>
          <w:szCs w:val="24"/>
        </w:rPr>
        <w:t>ntity will be approximately 2</w:t>
      </w:r>
      <w:r w:rsidRPr="003341CA" w:rsidR="00350FA0">
        <w:rPr>
          <w:rFonts w:ascii="Times New Roman" w:eastAsia="Times New Roman" w:hAnsi="Times New Roman" w:cs="Times New Roman"/>
          <w:snapToGrid w:val="0"/>
          <w:sz w:val="24"/>
          <w:szCs w:val="24"/>
        </w:rPr>
        <w:t>0</w:t>
      </w:r>
      <w:r w:rsidRPr="003341CA">
        <w:rPr>
          <w:rFonts w:ascii="Times New Roman" w:eastAsia="Times New Roman" w:hAnsi="Times New Roman" w:cs="Times New Roman"/>
          <w:snapToGrid w:val="0"/>
          <w:sz w:val="24"/>
          <w:szCs w:val="24"/>
        </w:rPr>
        <w:t xml:space="preserve"> hours, with an equivalent cost of approximately $</w:t>
      </w:r>
      <w:r w:rsidR="0030698B">
        <w:rPr>
          <w:rFonts w:ascii="Times New Roman" w:eastAsia="Times New Roman" w:hAnsi="Times New Roman" w:cs="Times New Roman"/>
          <w:snapToGrid w:val="0"/>
          <w:sz w:val="24"/>
          <w:szCs w:val="24"/>
        </w:rPr>
        <w:t>1,500.00</w:t>
      </w:r>
      <w:r w:rsidRPr="003341CA">
        <w:rPr>
          <w:rFonts w:ascii="Times New Roman" w:eastAsia="Times New Roman" w:hAnsi="Times New Roman" w:cs="Times New Roman"/>
          <w:snapToGrid w:val="0"/>
          <w:sz w:val="24"/>
          <w:szCs w:val="24"/>
        </w:rPr>
        <w:t>. Based on current DE Entity year-to-date participation and potential market size, we estimate that 25 DE Entities will participate. We estimate that this data collection has a cumulative annual burden of 500 hours with a cost of $</w:t>
      </w:r>
      <w:r w:rsidR="00057FAA">
        <w:rPr>
          <w:rFonts w:ascii="Times New Roman" w:eastAsia="Times New Roman" w:hAnsi="Times New Roman" w:cs="Times New Roman"/>
          <w:snapToGrid w:val="0"/>
          <w:sz w:val="24"/>
          <w:szCs w:val="24"/>
        </w:rPr>
        <w:t>37,500.00</w:t>
      </w:r>
      <w:r w:rsidRPr="003341CA">
        <w:rPr>
          <w:rFonts w:ascii="Times New Roman" w:eastAsia="Times New Roman" w:hAnsi="Times New Roman" w:cs="Times New Roman"/>
          <w:snapToGrid w:val="0"/>
          <w:sz w:val="24"/>
          <w:szCs w:val="24"/>
        </w:rPr>
        <w:t xml:space="preserve">. </w:t>
      </w:r>
    </w:p>
    <w:p w:rsidR="00AF1A0A" w:rsidRPr="003341CA" w:rsidP="00360655" w14:paraId="445AC363" w14:textId="77777777">
      <w:pPr>
        <w:spacing w:after="0" w:line="240" w:lineRule="auto"/>
        <w:rPr>
          <w:rFonts w:ascii="Times New Roman" w:eastAsia="Times New Roman" w:hAnsi="Times New Roman" w:cs="Times New Roman"/>
          <w:snapToGrid w:val="0"/>
          <w:sz w:val="24"/>
          <w:szCs w:val="24"/>
        </w:rPr>
      </w:pPr>
    </w:p>
    <w:p w:rsidR="00AF1A0A" w:rsidRPr="003341CA" w:rsidP="00360655" w14:paraId="2FBA8526" w14:textId="5D31B09D">
      <w:pPr>
        <w:spacing w:after="0" w:line="240" w:lineRule="auto"/>
        <w:rPr>
          <w:rFonts w:ascii="Times New Roman" w:eastAsia="Times New Roman" w:hAnsi="Times New Roman" w:cs="Times New Roman"/>
          <w:snapToGrid w:val="0"/>
          <w:sz w:val="24"/>
          <w:szCs w:val="24"/>
        </w:rPr>
      </w:pPr>
      <w:r w:rsidRPr="003341CA">
        <w:rPr>
          <w:rFonts w:ascii="Times New Roman" w:eastAsia="Times New Roman" w:hAnsi="Times New Roman" w:cs="Times New Roman"/>
          <w:snapToGrid w:val="0"/>
          <w:sz w:val="24"/>
          <w:szCs w:val="24"/>
        </w:rPr>
        <w:t xml:space="preserve">Table </w:t>
      </w:r>
      <w:r w:rsidR="00057FAA">
        <w:rPr>
          <w:rFonts w:ascii="Times New Roman" w:eastAsia="Times New Roman" w:hAnsi="Times New Roman" w:cs="Times New Roman"/>
          <w:snapToGrid w:val="0"/>
          <w:sz w:val="24"/>
          <w:szCs w:val="24"/>
        </w:rPr>
        <w:t xml:space="preserve">10 </w:t>
      </w:r>
      <w:r w:rsidRPr="003341CA">
        <w:rPr>
          <w:rFonts w:ascii="Times New Roman" w:eastAsia="Times New Roman" w:hAnsi="Times New Roman" w:cs="Times New Roman"/>
          <w:snapToGrid w:val="0"/>
          <w:sz w:val="24"/>
          <w:szCs w:val="24"/>
        </w:rPr>
        <w:t>below displays the burden for DE Entities relating to these regulatory provisions.</w:t>
      </w:r>
    </w:p>
    <w:p w:rsidR="003F2095" w:rsidRPr="003341CA" w:rsidP="00360655" w14:paraId="2740FB53" w14:textId="77777777">
      <w:pPr>
        <w:spacing w:after="0" w:line="240" w:lineRule="auto"/>
        <w:rPr>
          <w:rFonts w:ascii="Times New Roman" w:eastAsia="Times New Roman" w:hAnsi="Times New Roman" w:cs="Times New Roman"/>
          <w:snapToGrid w:val="0"/>
          <w:sz w:val="24"/>
          <w:szCs w:val="24"/>
        </w:rPr>
      </w:pPr>
    </w:p>
    <w:p w:rsidR="003F3A97" w:rsidRPr="003341CA" w:rsidP="00360655" w14:paraId="11B9766F" w14:textId="56514C27">
      <w:pPr>
        <w:spacing w:after="0" w:line="240" w:lineRule="auto"/>
        <w:rPr>
          <w:rFonts w:ascii="Times New Roman" w:eastAsia="Times New Roman" w:hAnsi="Times New Roman" w:cs="Times New Roman"/>
          <w:b/>
          <w:bCs/>
          <w:snapToGrid w:val="0"/>
          <w:sz w:val="24"/>
          <w:szCs w:val="24"/>
          <w:highlight w:val="yellow"/>
        </w:rPr>
      </w:pPr>
      <w:bookmarkStart w:id="55" w:name="_Hlk159958205"/>
      <w:r w:rsidRPr="003341CA">
        <w:rPr>
          <w:rFonts w:ascii="Times New Roman" w:eastAsia="Times New Roman" w:hAnsi="Times New Roman" w:cs="Times New Roman"/>
          <w:b/>
          <w:bCs/>
          <w:snapToGrid w:val="0"/>
          <w:sz w:val="24"/>
          <w:szCs w:val="24"/>
        </w:rPr>
        <w:t xml:space="preserve">Table </w:t>
      </w:r>
      <w:r w:rsidR="00057FAA">
        <w:rPr>
          <w:rFonts w:ascii="Times New Roman" w:eastAsia="Times New Roman" w:hAnsi="Times New Roman" w:cs="Times New Roman"/>
          <w:b/>
          <w:bCs/>
          <w:snapToGrid w:val="0"/>
          <w:sz w:val="24"/>
          <w:szCs w:val="24"/>
        </w:rPr>
        <w:t>10</w:t>
      </w:r>
      <w:r w:rsidRPr="003341CA">
        <w:rPr>
          <w:rFonts w:ascii="Times New Roman" w:eastAsia="Times New Roman" w:hAnsi="Times New Roman" w:cs="Times New Roman"/>
          <w:b/>
          <w:bCs/>
          <w:snapToGrid w:val="0"/>
          <w:sz w:val="24"/>
          <w:szCs w:val="24"/>
        </w:rPr>
        <w:t>: Burden to DE Entities to Implement Third-Party Entity Contractual Requirements</w:t>
      </w:r>
    </w:p>
    <w:p w:rsidR="00360655" w:rsidP="00360655" w14:paraId="53709069" w14:textId="77777777">
      <w:pPr>
        <w:spacing w:after="0" w:line="240" w:lineRule="auto"/>
        <w:rPr>
          <w:rFonts w:ascii="Times New Roman" w:eastAsia="Times New Roman" w:hAnsi="Times New Roman" w:cs="Times New Roman"/>
          <w:snapToGrid w:val="0"/>
          <w:sz w:val="24"/>
          <w:szCs w:val="24"/>
          <w:highlight w:val="yellow"/>
          <w:u w:val="single"/>
        </w:rPr>
      </w:pPr>
    </w:p>
    <w:tbl>
      <w:tblPr>
        <w:tblW w:w="944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977"/>
        <w:gridCol w:w="1440"/>
        <w:gridCol w:w="1710"/>
        <w:gridCol w:w="1170"/>
        <w:gridCol w:w="1440"/>
        <w:gridCol w:w="1710"/>
      </w:tblGrid>
      <w:tr w14:paraId="7BDE83F1" w14:textId="77777777" w:rsidTr="00844EDF">
        <w:tblPrEx>
          <w:tblW w:w="944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trHeight w:val="1142"/>
        </w:trPr>
        <w:tc>
          <w:tcPr>
            <w:tcW w:w="1977" w:type="dxa"/>
            <w:shd w:val="clear" w:color="auto" w:fill="auto"/>
            <w:vAlign w:val="center"/>
            <w:hideMark/>
          </w:tcPr>
          <w:p w:rsidR="00D01310" w:rsidRPr="003341CA" w:rsidP="00D01310" w14:paraId="2AE4C31D" w14:textId="04372844">
            <w:pPr>
              <w:spacing w:after="0" w:line="240" w:lineRule="auto"/>
              <w:ind w:left="90"/>
              <w:rPr>
                <w:rFonts w:ascii="Times New Roman" w:eastAsia="Times New Roman" w:hAnsi="Times New Roman" w:cs="Times New Roman"/>
                <w:b/>
                <w:bCs/>
                <w:snapToGrid w:val="0"/>
                <w:sz w:val="24"/>
                <w:szCs w:val="24"/>
              </w:rPr>
            </w:pPr>
            <w:r w:rsidRPr="00805A00">
              <w:rPr>
                <w:rFonts w:ascii="Times New Roman" w:eastAsia="Times New Roman" w:hAnsi="Times New Roman" w:cs="Times New Roman"/>
                <w:b/>
                <w:bCs/>
                <w:sz w:val="24"/>
                <w:szCs w:val="24"/>
              </w:rPr>
              <w:t>Labor Category</w:t>
            </w:r>
          </w:p>
        </w:tc>
        <w:tc>
          <w:tcPr>
            <w:tcW w:w="1440" w:type="dxa"/>
            <w:shd w:val="clear" w:color="auto" w:fill="auto"/>
            <w:vAlign w:val="center"/>
            <w:hideMark/>
          </w:tcPr>
          <w:p w:rsidR="00D01310" w:rsidRPr="003341CA" w:rsidP="00D01310" w14:paraId="08BFC310" w14:textId="3818B220">
            <w:pPr>
              <w:spacing w:after="0" w:line="240" w:lineRule="auto"/>
              <w:jc w:val="center"/>
              <w:rPr>
                <w:rFonts w:ascii="Times New Roman" w:eastAsia="Times New Roman" w:hAnsi="Times New Roman" w:cs="Times New Roman"/>
                <w:b/>
                <w:bCs/>
                <w:snapToGrid w:val="0"/>
                <w:sz w:val="24"/>
                <w:szCs w:val="24"/>
              </w:rPr>
            </w:pPr>
            <w:r w:rsidRPr="005706FE">
              <w:rPr>
                <w:rFonts w:ascii="Times New Roman" w:hAnsi="Times New Roman" w:cs="Times New Roman"/>
                <w:b/>
                <w:sz w:val="24"/>
                <w:szCs w:val="24"/>
              </w:rPr>
              <w:t>Number of Respondents</w:t>
            </w:r>
          </w:p>
        </w:tc>
        <w:tc>
          <w:tcPr>
            <w:tcW w:w="1710" w:type="dxa"/>
            <w:shd w:val="clear" w:color="auto" w:fill="auto"/>
            <w:vAlign w:val="center"/>
            <w:hideMark/>
          </w:tcPr>
          <w:p w:rsidR="00D01310" w:rsidRPr="003341CA" w:rsidP="00D01310" w14:paraId="3FAB0259" w14:textId="2285E8E8">
            <w:pPr>
              <w:spacing w:after="0" w:line="240" w:lineRule="auto"/>
              <w:jc w:val="center"/>
              <w:rPr>
                <w:rFonts w:ascii="Times New Roman" w:eastAsia="Times New Roman" w:hAnsi="Times New Roman" w:cs="Times New Roman"/>
                <w:b/>
                <w:bCs/>
                <w:snapToGrid w:val="0"/>
                <w:sz w:val="24"/>
                <w:szCs w:val="24"/>
              </w:rPr>
            </w:pPr>
            <w:r w:rsidRPr="005706FE">
              <w:rPr>
                <w:rFonts w:ascii="Times New Roman" w:hAnsi="Times New Roman" w:cs="Times New Roman"/>
                <w:b/>
                <w:sz w:val="24"/>
                <w:szCs w:val="24"/>
              </w:rPr>
              <w:t>Hourly Labor Costs (Hourly rate + 100% Fringe benefits)</w:t>
            </w:r>
          </w:p>
        </w:tc>
        <w:tc>
          <w:tcPr>
            <w:tcW w:w="1170" w:type="dxa"/>
            <w:shd w:val="clear" w:color="auto" w:fill="auto"/>
            <w:vAlign w:val="center"/>
            <w:hideMark/>
          </w:tcPr>
          <w:p w:rsidR="00D01310" w:rsidRPr="003341CA" w:rsidP="00D01310" w14:paraId="1E85D964" w14:textId="19126968">
            <w:pPr>
              <w:spacing w:after="0" w:line="240" w:lineRule="auto"/>
              <w:jc w:val="center"/>
              <w:rPr>
                <w:rFonts w:ascii="Times New Roman" w:eastAsia="Times New Roman" w:hAnsi="Times New Roman" w:cs="Times New Roman"/>
                <w:b/>
                <w:bCs/>
                <w:snapToGrid w:val="0"/>
                <w:sz w:val="24"/>
                <w:szCs w:val="24"/>
              </w:rPr>
            </w:pPr>
            <w:r w:rsidRPr="005706FE">
              <w:rPr>
                <w:rFonts w:ascii="Times New Roman" w:hAnsi="Times New Roman" w:cs="Times New Roman"/>
                <w:b/>
                <w:sz w:val="24"/>
                <w:szCs w:val="24"/>
              </w:rPr>
              <w:t>Burden Hours</w:t>
            </w:r>
          </w:p>
        </w:tc>
        <w:tc>
          <w:tcPr>
            <w:tcW w:w="1440" w:type="dxa"/>
            <w:shd w:val="clear" w:color="auto" w:fill="auto"/>
            <w:vAlign w:val="center"/>
            <w:hideMark/>
          </w:tcPr>
          <w:p w:rsidR="00D01310" w:rsidRPr="003341CA" w:rsidP="00D01310" w14:paraId="0FF188A1" w14:textId="46CA9907">
            <w:pPr>
              <w:spacing w:after="0" w:line="240" w:lineRule="auto"/>
              <w:jc w:val="center"/>
              <w:rPr>
                <w:rFonts w:ascii="Times New Roman" w:eastAsia="Times New Roman" w:hAnsi="Times New Roman" w:cs="Times New Roman"/>
                <w:b/>
                <w:bCs/>
                <w:snapToGrid w:val="0"/>
                <w:sz w:val="24"/>
                <w:szCs w:val="24"/>
              </w:rPr>
            </w:pPr>
            <w:r w:rsidRPr="005706FE">
              <w:rPr>
                <w:rFonts w:ascii="Times New Roman" w:hAnsi="Times New Roman" w:cs="Times New Roman"/>
                <w:b/>
                <w:sz w:val="24"/>
                <w:szCs w:val="24"/>
              </w:rPr>
              <w:t>Total Burden Costs (per Respondent)</w:t>
            </w:r>
          </w:p>
        </w:tc>
        <w:tc>
          <w:tcPr>
            <w:tcW w:w="1710" w:type="dxa"/>
            <w:vAlign w:val="center"/>
          </w:tcPr>
          <w:p w:rsidR="00D01310" w:rsidRPr="003341CA" w:rsidP="00D01310" w14:paraId="73BB84B2" w14:textId="4B95CFD4">
            <w:pPr>
              <w:spacing w:after="0" w:line="240" w:lineRule="auto"/>
              <w:jc w:val="center"/>
              <w:rPr>
                <w:rFonts w:ascii="Times New Roman" w:eastAsia="Times New Roman" w:hAnsi="Times New Roman" w:cs="Times New Roman"/>
                <w:b/>
                <w:bCs/>
                <w:snapToGrid w:val="0"/>
                <w:sz w:val="24"/>
                <w:szCs w:val="24"/>
              </w:rPr>
            </w:pPr>
            <w:r w:rsidRPr="005706FE">
              <w:rPr>
                <w:rFonts w:ascii="Times New Roman" w:hAnsi="Times New Roman" w:cs="Times New Roman"/>
                <w:b/>
                <w:sz w:val="24"/>
                <w:szCs w:val="24"/>
              </w:rPr>
              <w:t>Total Burden Costs (All Respondents)</w:t>
            </w:r>
          </w:p>
        </w:tc>
      </w:tr>
      <w:tr w14:paraId="06092F29" w14:textId="77777777" w:rsidTr="005163DB">
        <w:tblPrEx>
          <w:tblW w:w="9447" w:type="dxa"/>
          <w:tblInd w:w="-2" w:type="dxa"/>
          <w:tblLayout w:type="fixed"/>
          <w:tblCellMar>
            <w:left w:w="0" w:type="dxa"/>
            <w:right w:w="0" w:type="dxa"/>
          </w:tblCellMar>
          <w:tblLook w:val="04A0"/>
        </w:tblPrEx>
        <w:trPr>
          <w:trHeight w:val="404"/>
        </w:trPr>
        <w:tc>
          <w:tcPr>
            <w:tcW w:w="1977" w:type="dxa"/>
            <w:shd w:val="clear" w:color="auto" w:fill="auto"/>
            <w:vAlign w:val="center"/>
            <w:hideMark/>
          </w:tcPr>
          <w:p w:rsidR="008248A8" w:rsidRPr="003341CA" w:rsidP="00D01310" w14:paraId="2278A851" w14:textId="09546D39">
            <w:pPr>
              <w:spacing w:after="0" w:line="240" w:lineRule="auto"/>
              <w:ind w:left="90"/>
              <w:rPr>
                <w:rFonts w:ascii="Times New Roman" w:eastAsia="Times New Roman" w:hAnsi="Times New Roman" w:cs="Times New Roman"/>
                <w:snapToGrid w:val="0"/>
                <w:sz w:val="24"/>
                <w:szCs w:val="24"/>
              </w:rPr>
            </w:pPr>
            <w:r w:rsidRPr="003341CA">
              <w:rPr>
                <w:rFonts w:ascii="Times New Roman" w:eastAsia="Times New Roman" w:hAnsi="Times New Roman" w:cs="Times New Roman"/>
                <w:snapToGrid w:val="0"/>
                <w:sz w:val="24"/>
                <w:szCs w:val="24"/>
              </w:rPr>
              <w:t>Auditor</w:t>
            </w:r>
          </w:p>
        </w:tc>
        <w:tc>
          <w:tcPr>
            <w:tcW w:w="1440" w:type="dxa"/>
            <w:shd w:val="clear" w:color="auto" w:fill="auto"/>
            <w:vAlign w:val="center"/>
            <w:hideMark/>
          </w:tcPr>
          <w:p w:rsidR="008248A8" w:rsidRPr="003341CA" w:rsidP="003341CA" w14:paraId="23662B6F" w14:textId="5FE1953D">
            <w:pPr>
              <w:spacing w:after="0" w:line="240" w:lineRule="auto"/>
              <w:jc w:val="center"/>
              <w:rPr>
                <w:rFonts w:ascii="Times New Roman" w:eastAsia="Times New Roman" w:hAnsi="Times New Roman" w:cs="Times New Roman"/>
                <w:snapToGrid w:val="0"/>
                <w:sz w:val="24"/>
                <w:szCs w:val="24"/>
              </w:rPr>
            </w:pPr>
            <w:r w:rsidRPr="003341CA">
              <w:rPr>
                <w:rFonts w:ascii="Times New Roman" w:eastAsia="Times New Roman" w:hAnsi="Times New Roman" w:cs="Times New Roman"/>
                <w:snapToGrid w:val="0"/>
                <w:sz w:val="24"/>
                <w:szCs w:val="24"/>
              </w:rPr>
              <w:t>2</w:t>
            </w:r>
            <w:r w:rsidRPr="003341CA" w:rsidR="006160D6">
              <w:rPr>
                <w:rFonts w:ascii="Times New Roman" w:eastAsia="Times New Roman" w:hAnsi="Times New Roman" w:cs="Times New Roman"/>
                <w:snapToGrid w:val="0"/>
                <w:sz w:val="24"/>
                <w:szCs w:val="24"/>
              </w:rPr>
              <w:t>5</w:t>
            </w:r>
          </w:p>
        </w:tc>
        <w:tc>
          <w:tcPr>
            <w:tcW w:w="1710" w:type="dxa"/>
            <w:shd w:val="clear" w:color="auto" w:fill="auto"/>
            <w:vAlign w:val="center"/>
            <w:hideMark/>
          </w:tcPr>
          <w:p w:rsidR="008248A8" w:rsidRPr="003341CA" w:rsidP="003341CA" w14:paraId="219CF39A" w14:textId="07E35B33">
            <w:pPr>
              <w:spacing w:after="0" w:line="240" w:lineRule="auto"/>
              <w:jc w:val="center"/>
              <w:rPr>
                <w:rFonts w:ascii="Times New Roman" w:eastAsia="Times New Roman" w:hAnsi="Times New Roman" w:cs="Times New Roman"/>
                <w:snapToGrid w:val="0"/>
                <w:sz w:val="24"/>
                <w:szCs w:val="24"/>
              </w:rPr>
            </w:pPr>
            <w:r w:rsidRPr="003341CA">
              <w:rPr>
                <w:rFonts w:ascii="Times New Roman" w:eastAsia="Times New Roman" w:hAnsi="Times New Roman" w:cs="Times New Roman"/>
                <w:snapToGrid w:val="0"/>
                <w:sz w:val="24"/>
                <w:szCs w:val="24"/>
              </w:rPr>
              <w:t>$</w:t>
            </w:r>
            <w:r w:rsidR="0030698B">
              <w:rPr>
                <w:rFonts w:ascii="Times New Roman" w:eastAsia="Times New Roman" w:hAnsi="Times New Roman" w:cs="Times New Roman"/>
                <w:snapToGrid w:val="0"/>
                <w:sz w:val="24"/>
                <w:szCs w:val="24"/>
              </w:rPr>
              <w:t>75.00</w:t>
            </w:r>
          </w:p>
        </w:tc>
        <w:tc>
          <w:tcPr>
            <w:tcW w:w="1170" w:type="dxa"/>
            <w:shd w:val="clear" w:color="auto" w:fill="auto"/>
            <w:vAlign w:val="center"/>
            <w:hideMark/>
          </w:tcPr>
          <w:p w:rsidR="008248A8" w:rsidRPr="003341CA" w:rsidP="003341CA" w14:paraId="1D3A3037" w14:textId="5F0B2A08">
            <w:pPr>
              <w:spacing w:after="0" w:line="240" w:lineRule="auto"/>
              <w:jc w:val="center"/>
              <w:rPr>
                <w:rFonts w:ascii="Times New Roman" w:eastAsia="Times New Roman" w:hAnsi="Times New Roman" w:cs="Times New Roman"/>
                <w:snapToGrid w:val="0"/>
                <w:sz w:val="24"/>
                <w:szCs w:val="24"/>
              </w:rPr>
            </w:pPr>
            <w:r w:rsidRPr="003341CA">
              <w:rPr>
                <w:rFonts w:ascii="Times New Roman" w:eastAsia="Times New Roman" w:hAnsi="Times New Roman" w:cs="Times New Roman"/>
                <w:snapToGrid w:val="0"/>
                <w:sz w:val="24"/>
                <w:szCs w:val="24"/>
              </w:rPr>
              <w:t>20</w:t>
            </w:r>
          </w:p>
        </w:tc>
        <w:tc>
          <w:tcPr>
            <w:tcW w:w="1440" w:type="dxa"/>
            <w:shd w:val="clear" w:color="auto" w:fill="auto"/>
            <w:vAlign w:val="center"/>
            <w:hideMark/>
          </w:tcPr>
          <w:p w:rsidR="008248A8" w:rsidRPr="003341CA" w:rsidP="003341CA" w14:paraId="5C587C94" w14:textId="382E5DA3">
            <w:pPr>
              <w:spacing w:after="0" w:line="240" w:lineRule="auto"/>
              <w:jc w:val="center"/>
              <w:rPr>
                <w:rFonts w:ascii="Times New Roman" w:eastAsia="Times New Roman" w:hAnsi="Times New Roman" w:cs="Times New Roman"/>
                <w:snapToGrid w:val="0"/>
                <w:sz w:val="24"/>
                <w:szCs w:val="24"/>
              </w:rPr>
            </w:pPr>
            <w:r w:rsidRPr="003341CA">
              <w:rPr>
                <w:rFonts w:ascii="Times New Roman" w:eastAsia="Times New Roman" w:hAnsi="Times New Roman" w:cs="Times New Roman"/>
                <w:snapToGrid w:val="0"/>
                <w:sz w:val="24"/>
                <w:szCs w:val="24"/>
              </w:rPr>
              <w:t>$</w:t>
            </w:r>
            <w:r w:rsidR="00057FAA">
              <w:rPr>
                <w:rFonts w:ascii="Times New Roman" w:eastAsia="Times New Roman" w:hAnsi="Times New Roman" w:cs="Times New Roman"/>
                <w:snapToGrid w:val="0"/>
                <w:sz w:val="24"/>
                <w:szCs w:val="24"/>
              </w:rPr>
              <w:t>1,500.00</w:t>
            </w:r>
          </w:p>
        </w:tc>
        <w:tc>
          <w:tcPr>
            <w:tcW w:w="1710" w:type="dxa"/>
            <w:shd w:val="clear" w:color="auto" w:fill="auto"/>
            <w:vAlign w:val="center"/>
          </w:tcPr>
          <w:p w:rsidR="008248A8" w:rsidRPr="003341CA" w:rsidP="003341CA" w14:paraId="49B0285C" w14:textId="65CB1333">
            <w:pPr>
              <w:spacing w:after="0" w:line="240" w:lineRule="auto"/>
              <w:jc w:val="center"/>
              <w:rPr>
                <w:rFonts w:ascii="Times New Roman" w:eastAsia="Times New Roman" w:hAnsi="Times New Roman" w:cs="Times New Roman"/>
                <w:snapToGrid w:val="0"/>
                <w:sz w:val="24"/>
                <w:szCs w:val="24"/>
              </w:rPr>
            </w:pPr>
            <w:r w:rsidRPr="003341CA">
              <w:rPr>
                <w:rFonts w:ascii="Times New Roman" w:eastAsia="Times New Roman" w:hAnsi="Times New Roman" w:cs="Times New Roman"/>
                <w:snapToGrid w:val="0"/>
                <w:sz w:val="24"/>
                <w:szCs w:val="24"/>
              </w:rPr>
              <w:t>$</w:t>
            </w:r>
            <w:r w:rsidR="00057FAA">
              <w:rPr>
                <w:rFonts w:ascii="Times New Roman" w:eastAsia="Times New Roman" w:hAnsi="Times New Roman" w:cs="Times New Roman"/>
                <w:snapToGrid w:val="0"/>
                <w:sz w:val="24"/>
                <w:szCs w:val="24"/>
              </w:rPr>
              <w:t>37,500.00</w:t>
            </w:r>
          </w:p>
        </w:tc>
      </w:tr>
      <w:bookmarkEnd w:id="55"/>
    </w:tbl>
    <w:p w:rsidR="005E2E23" w:rsidRPr="00C86A98" w:rsidP="00360655" w14:paraId="3BFDDACE" w14:textId="77777777">
      <w:pPr>
        <w:spacing w:after="0" w:line="240" w:lineRule="auto"/>
        <w:rPr>
          <w:rFonts w:ascii="Times New Roman" w:eastAsia="Times New Roman" w:hAnsi="Times New Roman" w:cs="Times New Roman"/>
          <w:snapToGrid w:val="0"/>
          <w:sz w:val="24"/>
          <w:szCs w:val="24"/>
          <w:u w:val="single"/>
        </w:rPr>
      </w:pPr>
    </w:p>
    <w:p w:rsidR="00360655" w:rsidRPr="003341CA" w:rsidP="00C86A98" w14:paraId="43AB2075" w14:textId="126F140A">
      <w:pPr>
        <w:widowControl/>
        <w:spacing w:after="0" w:line="240" w:lineRule="auto"/>
        <w:rPr>
          <w:rFonts w:ascii="Times New Roman" w:eastAsia="Times New Roman" w:hAnsi="Times New Roman" w:cs="Times New Roman"/>
          <w:color w:val="000000"/>
          <w:sz w:val="24"/>
          <w:szCs w:val="24"/>
        </w:rPr>
      </w:pPr>
      <w:bookmarkStart w:id="56" w:name="_Hlk159958220"/>
      <w:r w:rsidRPr="003341CA">
        <w:rPr>
          <w:rFonts w:ascii="Times New Roman" w:eastAsia="Times New Roman" w:hAnsi="Times New Roman" w:cs="Times New Roman"/>
          <w:b/>
          <w:bCs/>
          <w:snapToGrid w:val="0"/>
          <w:sz w:val="24"/>
          <w:szCs w:val="24"/>
        </w:rPr>
        <w:t>Qualified Health Plan Issuer Website Display Requirements for QHPs</w:t>
      </w:r>
      <w:r w:rsidRPr="003341CA" w:rsidR="00CB7C10">
        <w:rPr>
          <w:rFonts w:ascii="Times New Roman" w:eastAsia="Times New Roman" w:hAnsi="Times New Roman" w:cs="Times New Roman"/>
          <w:b/>
          <w:bCs/>
          <w:snapToGrid w:val="0"/>
          <w:sz w:val="24"/>
          <w:szCs w:val="24"/>
        </w:rPr>
        <w:t xml:space="preserve"> </w:t>
      </w:r>
      <w:r w:rsidRPr="003341CA" w:rsidR="00CB7C10">
        <w:rPr>
          <w:rFonts w:ascii="Times New Roman" w:eastAsia="Times New Roman" w:hAnsi="Times New Roman" w:cs="Times New Roman"/>
          <w:b/>
          <w:bCs/>
          <w:sz w:val="24"/>
          <w:szCs w:val="24"/>
        </w:rPr>
        <w:t>(45 C.F.R. § 156.1230(a)(1)(ii)):</w:t>
      </w:r>
      <w:r w:rsidRPr="003341CA" w:rsidR="00CB7C10">
        <w:rPr>
          <w:rFonts w:ascii="Times New Roman" w:eastAsia="Times New Roman" w:hAnsi="Times New Roman" w:cs="Times New Roman"/>
          <w:sz w:val="24"/>
          <w:szCs w:val="24"/>
        </w:rPr>
        <w:t xml:space="preserve"> </w:t>
      </w:r>
      <w:bookmarkEnd w:id="56"/>
      <w:r w:rsidRPr="003341CA">
        <w:rPr>
          <w:rFonts w:ascii="Times New Roman" w:eastAsia="Times New Roman" w:hAnsi="Times New Roman" w:cs="Times New Roman"/>
          <w:snapToGrid w:val="0"/>
          <w:sz w:val="24"/>
          <w:szCs w:val="24"/>
        </w:rPr>
        <w:t>We estimate that it will take up to 20 hours at an hourly cost of $</w:t>
      </w:r>
      <w:r w:rsidR="00057FAA">
        <w:rPr>
          <w:rFonts w:ascii="Times New Roman" w:eastAsia="Times New Roman" w:hAnsi="Times New Roman" w:cs="Times New Roman"/>
          <w:snapToGrid w:val="0"/>
          <w:sz w:val="24"/>
          <w:szCs w:val="24"/>
        </w:rPr>
        <w:t>80.04</w:t>
      </w:r>
      <w:r w:rsidRPr="003341CA">
        <w:rPr>
          <w:rFonts w:ascii="Times New Roman" w:eastAsia="Times New Roman" w:hAnsi="Times New Roman" w:cs="Times New Roman"/>
          <w:snapToGrid w:val="0"/>
          <w:sz w:val="24"/>
          <w:szCs w:val="24"/>
        </w:rPr>
        <w:t xml:space="preserve"> for a Web and Digital Interface Designer to implement the QHP display requirements as finalized at § 156.1230 (a)(1)(ii). The total burden for each issuer will be approximately 20 hours, with an </w:t>
      </w:r>
      <w:r w:rsidRPr="003341CA">
        <w:rPr>
          <w:rFonts w:ascii="Times New Roman" w:eastAsia="Times New Roman" w:hAnsi="Times New Roman" w:cs="Times New Roman"/>
          <w:snapToGrid w:val="0"/>
          <w:sz w:val="24"/>
          <w:szCs w:val="24"/>
        </w:rPr>
        <w:t>equivalent cost of approximately $</w:t>
      </w:r>
      <w:r w:rsidR="00961813">
        <w:rPr>
          <w:rFonts w:ascii="Times New Roman" w:eastAsia="Times New Roman" w:hAnsi="Times New Roman" w:cs="Times New Roman"/>
          <w:snapToGrid w:val="0"/>
          <w:sz w:val="24"/>
          <w:szCs w:val="24"/>
        </w:rPr>
        <w:t>1,600.80</w:t>
      </w:r>
      <w:r w:rsidRPr="003341CA">
        <w:rPr>
          <w:rFonts w:ascii="Times New Roman" w:eastAsia="Times New Roman" w:hAnsi="Times New Roman" w:cs="Times New Roman"/>
          <w:snapToGrid w:val="0"/>
          <w:sz w:val="24"/>
          <w:szCs w:val="24"/>
        </w:rPr>
        <w:t xml:space="preserve">. Based on current issuer participation in direct enrollment and potential market size, we estimate that 75 issuers will participate. </w:t>
      </w:r>
      <w:bookmarkStart w:id="57" w:name="_Hlk145458494"/>
      <w:r w:rsidRPr="003341CA">
        <w:rPr>
          <w:rFonts w:ascii="Times New Roman" w:eastAsia="Times New Roman" w:hAnsi="Times New Roman" w:cs="Times New Roman"/>
          <w:snapToGrid w:val="0"/>
          <w:sz w:val="24"/>
          <w:szCs w:val="24"/>
        </w:rPr>
        <w:t xml:space="preserve">We estimate that this data collection has a cumulative annual burden of 1,500 hours with a cost of </w:t>
      </w:r>
      <w:r w:rsidRPr="003341CA" w:rsidR="001C4881">
        <w:rPr>
          <w:rFonts w:ascii="Times New Roman" w:eastAsia="Times New Roman" w:hAnsi="Times New Roman" w:cs="Times New Roman"/>
          <w:color w:val="000000"/>
          <w:sz w:val="24"/>
          <w:szCs w:val="24"/>
        </w:rPr>
        <w:t>$</w:t>
      </w:r>
      <w:r w:rsidR="00961813">
        <w:rPr>
          <w:rFonts w:ascii="Times New Roman" w:eastAsia="Times New Roman" w:hAnsi="Times New Roman" w:cs="Times New Roman"/>
          <w:color w:val="000000"/>
          <w:sz w:val="24"/>
          <w:szCs w:val="24"/>
        </w:rPr>
        <w:t>120</w:t>
      </w:r>
      <w:r w:rsidR="001F24CF">
        <w:rPr>
          <w:rFonts w:ascii="Times New Roman" w:eastAsia="Times New Roman" w:hAnsi="Times New Roman" w:cs="Times New Roman"/>
          <w:color w:val="000000"/>
          <w:sz w:val="24"/>
          <w:szCs w:val="24"/>
        </w:rPr>
        <w:t>,</w:t>
      </w:r>
      <w:r w:rsidR="00961813">
        <w:rPr>
          <w:rFonts w:ascii="Times New Roman" w:eastAsia="Times New Roman" w:hAnsi="Times New Roman" w:cs="Times New Roman"/>
          <w:color w:val="000000"/>
          <w:sz w:val="24"/>
          <w:szCs w:val="24"/>
        </w:rPr>
        <w:t>060.00</w:t>
      </w:r>
      <w:r w:rsidRPr="003341CA">
        <w:rPr>
          <w:rFonts w:ascii="Times New Roman" w:eastAsia="Times New Roman" w:hAnsi="Times New Roman" w:cs="Times New Roman"/>
          <w:snapToGrid w:val="0"/>
          <w:sz w:val="24"/>
          <w:szCs w:val="24"/>
        </w:rPr>
        <w:t xml:space="preserve">. </w:t>
      </w:r>
      <w:bookmarkEnd w:id="57"/>
    </w:p>
    <w:p w:rsidR="00A940AA" w:rsidRPr="003341CA" w:rsidP="00360655" w14:paraId="7744A9D0" w14:textId="77777777">
      <w:pPr>
        <w:spacing w:after="0" w:line="240" w:lineRule="auto"/>
        <w:rPr>
          <w:rFonts w:ascii="Times New Roman" w:eastAsia="Times New Roman" w:hAnsi="Times New Roman" w:cs="Times New Roman"/>
          <w:snapToGrid w:val="0"/>
          <w:sz w:val="24"/>
          <w:szCs w:val="24"/>
        </w:rPr>
      </w:pPr>
    </w:p>
    <w:p w:rsidR="00A940AA" w:rsidRPr="003341CA" w:rsidP="00A940AA" w14:paraId="366D2C21" w14:textId="69E30F4D">
      <w:pPr>
        <w:spacing w:after="0" w:line="240" w:lineRule="auto"/>
        <w:rPr>
          <w:rFonts w:ascii="Times New Roman" w:eastAsia="Times New Roman" w:hAnsi="Times New Roman" w:cs="Times New Roman"/>
          <w:snapToGrid w:val="0"/>
          <w:sz w:val="24"/>
          <w:szCs w:val="24"/>
        </w:rPr>
      </w:pPr>
      <w:r w:rsidRPr="003341CA">
        <w:rPr>
          <w:rFonts w:ascii="Times New Roman" w:eastAsia="Times New Roman" w:hAnsi="Times New Roman" w:cs="Times New Roman"/>
          <w:snapToGrid w:val="0"/>
          <w:sz w:val="24"/>
          <w:szCs w:val="24"/>
        </w:rPr>
        <w:t xml:space="preserve">Table </w:t>
      </w:r>
      <w:r w:rsidR="00057FAA">
        <w:rPr>
          <w:rFonts w:ascii="Times New Roman" w:eastAsia="Times New Roman" w:hAnsi="Times New Roman" w:cs="Times New Roman"/>
          <w:snapToGrid w:val="0"/>
          <w:sz w:val="24"/>
          <w:szCs w:val="24"/>
        </w:rPr>
        <w:t xml:space="preserve">11 </w:t>
      </w:r>
      <w:r w:rsidRPr="003341CA">
        <w:rPr>
          <w:rFonts w:ascii="Times New Roman" w:eastAsia="Times New Roman" w:hAnsi="Times New Roman" w:cs="Times New Roman"/>
          <w:snapToGrid w:val="0"/>
          <w:sz w:val="24"/>
          <w:szCs w:val="24"/>
        </w:rPr>
        <w:t>below displays the burden for issuers relating to these regulatory provisions.</w:t>
      </w:r>
    </w:p>
    <w:p w:rsidR="00A940AA" w:rsidRPr="003341CA" w:rsidP="00360655" w14:paraId="4BFFB28C" w14:textId="77777777">
      <w:pPr>
        <w:spacing w:after="0" w:line="240" w:lineRule="auto"/>
        <w:rPr>
          <w:rFonts w:ascii="Times New Roman" w:eastAsia="Times New Roman" w:hAnsi="Times New Roman" w:cs="Times New Roman"/>
          <w:snapToGrid w:val="0"/>
          <w:sz w:val="24"/>
          <w:szCs w:val="24"/>
        </w:rPr>
      </w:pPr>
    </w:p>
    <w:p w:rsidR="00700AD8" w:rsidRPr="003341CA" w:rsidP="00700AD8" w14:paraId="7A1BEA0E" w14:textId="46CEF77B">
      <w:pPr>
        <w:spacing w:after="0" w:line="240" w:lineRule="auto"/>
        <w:rPr>
          <w:rFonts w:ascii="Times New Roman" w:eastAsia="Times New Roman" w:hAnsi="Times New Roman" w:cs="Times New Roman"/>
          <w:b/>
          <w:bCs/>
          <w:snapToGrid w:val="0"/>
          <w:sz w:val="24"/>
          <w:szCs w:val="24"/>
        </w:rPr>
      </w:pPr>
      <w:bookmarkStart w:id="58" w:name="_Hlk159958225"/>
      <w:r w:rsidRPr="003341CA">
        <w:rPr>
          <w:rFonts w:ascii="Times New Roman" w:eastAsia="Times New Roman" w:hAnsi="Times New Roman" w:cs="Times New Roman"/>
          <w:b/>
          <w:bCs/>
          <w:snapToGrid w:val="0"/>
          <w:sz w:val="24"/>
          <w:szCs w:val="24"/>
        </w:rPr>
        <w:t xml:space="preserve">Table </w:t>
      </w:r>
      <w:r w:rsidR="00057FAA">
        <w:rPr>
          <w:rFonts w:ascii="Times New Roman" w:eastAsia="Times New Roman" w:hAnsi="Times New Roman" w:cs="Times New Roman"/>
          <w:b/>
          <w:bCs/>
          <w:snapToGrid w:val="0"/>
          <w:sz w:val="24"/>
          <w:szCs w:val="24"/>
        </w:rPr>
        <w:t>11</w:t>
      </w:r>
      <w:r w:rsidRPr="003341CA">
        <w:rPr>
          <w:rFonts w:ascii="Times New Roman" w:eastAsia="Times New Roman" w:hAnsi="Times New Roman" w:cs="Times New Roman"/>
          <w:b/>
          <w:bCs/>
          <w:snapToGrid w:val="0"/>
          <w:sz w:val="24"/>
          <w:szCs w:val="24"/>
        </w:rPr>
        <w:t xml:space="preserve">: Burden to Issuers to Implement Website Display Requirements for QHPs  </w:t>
      </w:r>
    </w:p>
    <w:p w:rsidR="0070560A" w:rsidRPr="0070560A" w:rsidP="00360655" w14:paraId="2AB7B34B" w14:textId="77777777">
      <w:pPr>
        <w:spacing w:after="0" w:line="240" w:lineRule="auto"/>
        <w:rPr>
          <w:rFonts w:ascii="Times New Roman" w:eastAsia="Times New Roman" w:hAnsi="Times New Roman" w:cs="Times New Roman"/>
          <w:snapToGrid w:val="0"/>
          <w:sz w:val="24"/>
          <w:szCs w:val="24"/>
          <w:highlight w:val="yellow"/>
          <w:u w:val="single"/>
        </w:rPr>
      </w:pPr>
    </w:p>
    <w:tbl>
      <w:tblPr>
        <w:tblW w:w="944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977"/>
        <w:gridCol w:w="1350"/>
        <w:gridCol w:w="1710"/>
        <w:gridCol w:w="1260"/>
        <w:gridCol w:w="1530"/>
        <w:gridCol w:w="1620"/>
      </w:tblGrid>
      <w:tr w14:paraId="7A579EFE" w14:textId="77777777" w:rsidTr="00844EDF">
        <w:tblPrEx>
          <w:tblW w:w="944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trHeight w:val="1142"/>
        </w:trPr>
        <w:tc>
          <w:tcPr>
            <w:tcW w:w="1977" w:type="dxa"/>
            <w:shd w:val="clear" w:color="auto" w:fill="auto"/>
            <w:vAlign w:val="center"/>
            <w:hideMark/>
          </w:tcPr>
          <w:p w:rsidR="000525FD" w:rsidRPr="003341CA" w:rsidP="000525FD" w14:paraId="5BED0291" w14:textId="6F134982">
            <w:pPr>
              <w:spacing w:after="0" w:line="240" w:lineRule="auto"/>
              <w:ind w:left="90"/>
              <w:rPr>
                <w:rFonts w:ascii="Times New Roman" w:eastAsia="Times New Roman" w:hAnsi="Times New Roman" w:cs="Times New Roman"/>
                <w:b/>
                <w:bCs/>
                <w:snapToGrid w:val="0"/>
                <w:sz w:val="24"/>
                <w:szCs w:val="24"/>
              </w:rPr>
            </w:pPr>
            <w:bookmarkStart w:id="59" w:name="_Hlk145457678"/>
            <w:r w:rsidRPr="00805A00">
              <w:rPr>
                <w:rFonts w:ascii="Times New Roman" w:eastAsia="Times New Roman" w:hAnsi="Times New Roman" w:cs="Times New Roman"/>
                <w:b/>
                <w:bCs/>
                <w:sz w:val="24"/>
                <w:szCs w:val="24"/>
              </w:rPr>
              <w:t>Labor Category</w:t>
            </w:r>
          </w:p>
        </w:tc>
        <w:tc>
          <w:tcPr>
            <w:tcW w:w="1350" w:type="dxa"/>
            <w:shd w:val="clear" w:color="auto" w:fill="auto"/>
            <w:vAlign w:val="center"/>
            <w:hideMark/>
          </w:tcPr>
          <w:p w:rsidR="000525FD" w:rsidRPr="003341CA" w:rsidP="000525FD" w14:paraId="42635FA5" w14:textId="33044466">
            <w:pPr>
              <w:spacing w:after="0" w:line="240" w:lineRule="auto"/>
              <w:jc w:val="center"/>
              <w:rPr>
                <w:rFonts w:ascii="Times New Roman" w:eastAsia="Times New Roman" w:hAnsi="Times New Roman" w:cs="Times New Roman"/>
                <w:b/>
                <w:bCs/>
                <w:snapToGrid w:val="0"/>
                <w:sz w:val="24"/>
                <w:szCs w:val="24"/>
              </w:rPr>
            </w:pPr>
            <w:r w:rsidRPr="005706FE">
              <w:rPr>
                <w:rFonts w:ascii="Times New Roman" w:hAnsi="Times New Roman" w:cs="Times New Roman"/>
                <w:b/>
                <w:sz w:val="24"/>
                <w:szCs w:val="24"/>
              </w:rPr>
              <w:t>Number of Respondents</w:t>
            </w:r>
          </w:p>
        </w:tc>
        <w:tc>
          <w:tcPr>
            <w:tcW w:w="1710" w:type="dxa"/>
            <w:shd w:val="clear" w:color="auto" w:fill="auto"/>
            <w:vAlign w:val="center"/>
            <w:hideMark/>
          </w:tcPr>
          <w:p w:rsidR="000525FD" w:rsidRPr="003341CA" w:rsidP="000525FD" w14:paraId="79591BF3" w14:textId="0EC2263E">
            <w:pPr>
              <w:spacing w:after="0" w:line="240" w:lineRule="auto"/>
              <w:jc w:val="center"/>
              <w:rPr>
                <w:rFonts w:ascii="Times New Roman" w:eastAsia="Times New Roman" w:hAnsi="Times New Roman" w:cs="Times New Roman"/>
                <w:b/>
                <w:bCs/>
                <w:snapToGrid w:val="0"/>
                <w:sz w:val="24"/>
                <w:szCs w:val="24"/>
              </w:rPr>
            </w:pPr>
            <w:r w:rsidRPr="005706FE">
              <w:rPr>
                <w:rFonts w:ascii="Times New Roman" w:hAnsi="Times New Roman" w:cs="Times New Roman"/>
                <w:b/>
                <w:sz w:val="24"/>
                <w:szCs w:val="24"/>
              </w:rPr>
              <w:t>Hourly Labor Costs (Hourly rate + 100% Fringe benefits)</w:t>
            </w:r>
          </w:p>
        </w:tc>
        <w:tc>
          <w:tcPr>
            <w:tcW w:w="1260" w:type="dxa"/>
            <w:shd w:val="clear" w:color="auto" w:fill="auto"/>
            <w:vAlign w:val="center"/>
            <w:hideMark/>
          </w:tcPr>
          <w:p w:rsidR="000525FD" w:rsidRPr="003341CA" w:rsidP="000525FD" w14:paraId="6A921F67" w14:textId="7C6CCB78">
            <w:pPr>
              <w:spacing w:after="0" w:line="240" w:lineRule="auto"/>
              <w:jc w:val="center"/>
              <w:rPr>
                <w:rFonts w:ascii="Times New Roman" w:eastAsia="Times New Roman" w:hAnsi="Times New Roman" w:cs="Times New Roman"/>
                <w:b/>
                <w:bCs/>
                <w:snapToGrid w:val="0"/>
                <w:sz w:val="24"/>
                <w:szCs w:val="24"/>
              </w:rPr>
            </w:pPr>
            <w:r w:rsidRPr="005706FE">
              <w:rPr>
                <w:rFonts w:ascii="Times New Roman" w:hAnsi="Times New Roman" w:cs="Times New Roman"/>
                <w:b/>
                <w:sz w:val="24"/>
                <w:szCs w:val="24"/>
              </w:rPr>
              <w:t>Burden Hours</w:t>
            </w:r>
          </w:p>
        </w:tc>
        <w:tc>
          <w:tcPr>
            <w:tcW w:w="1530" w:type="dxa"/>
            <w:shd w:val="clear" w:color="auto" w:fill="auto"/>
            <w:vAlign w:val="center"/>
            <w:hideMark/>
          </w:tcPr>
          <w:p w:rsidR="000525FD" w:rsidRPr="003341CA" w:rsidP="000525FD" w14:paraId="02CBA271" w14:textId="07E78B33">
            <w:pPr>
              <w:spacing w:after="0" w:line="240" w:lineRule="auto"/>
              <w:jc w:val="center"/>
              <w:rPr>
                <w:rFonts w:ascii="Times New Roman" w:eastAsia="Times New Roman" w:hAnsi="Times New Roman" w:cs="Times New Roman"/>
                <w:b/>
                <w:bCs/>
                <w:snapToGrid w:val="0"/>
                <w:sz w:val="24"/>
                <w:szCs w:val="24"/>
              </w:rPr>
            </w:pPr>
            <w:r w:rsidRPr="005706FE">
              <w:rPr>
                <w:rFonts w:ascii="Times New Roman" w:hAnsi="Times New Roman" w:cs="Times New Roman"/>
                <w:b/>
                <w:sz w:val="24"/>
                <w:szCs w:val="24"/>
              </w:rPr>
              <w:t>Total Burden Costs (per Respondent)</w:t>
            </w:r>
          </w:p>
        </w:tc>
        <w:tc>
          <w:tcPr>
            <w:tcW w:w="1620" w:type="dxa"/>
            <w:vAlign w:val="center"/>
          </w:tcPr>
          <w:p w:rsidR="000525FD" w:rsidRPr="003341CA" w:rsidP="000525FD" w14:paraId="549BDC19" w14:textId="546FF611">
            <w:pPr>
              <w:spacing w:after="0" w:line="240" w:lineRule="auto"/>
              <w:jc w:val="center"/>
              <w:rPr>
                <w:rFonts w:ascii="Times New Roman" w:eastAsia="Times New Roman" w:hAnsi="Times New Roman" w:cs="Times New Roman"/>
                <w:b/>
                <w:bCs/>
                <w:snapToGrid w:val="0"/>
                <w:sz w:val="24"/>
                <w:szCs w:val="24"/>
              </w:rPr>
            </w:pPr>
            <w:r w:rsidRPr="005706FE">
              <w:rPr>
                <w:rFonts w:ascii="Times New Roman" w:hAnsi="Times New Roman" w:cs="Times New Roman"/>
                <w:b/>
                <w:sz w:val="24"/>
                <w:szCs w:val="24"/>
              </w:rPr>
              <w:t>Total Burden Costs (All Respondents)</w:t>
            </w:r>
          </w:p>
        </w:tc>
      </w:tr>
      <w:tr w14:paraId="15BA5ECD" w14:textId="77777777" w:rsidTr="00A76BA5">
        <w:tblPrEx>
          <w:tblW w:w="9447" w:type="dxa"/>
          <w:tblInd w:w="-2" w:type="dxa"/>
          <w:tblLayout w:type="fixed"/>
          <w:tblCellMar>
            <w:left w:w="0" w:type="dxa"/>
            <w:right w:w="0" w:type="dxa"/>
          </w:tblCellMar>
          <w:tblLook w:val="04A0"/>
        </w:tblPrEx>
        <w:trPr>
          <w:trHeight w:val="566"/>
        </w:trPr>
        <w:tc>
          <w:tcPr>
            <w:tcW w:w="1977" w:type="dxa"/>
            <w:shd w:val="clear" w:color="auto" w:fill="auto"/>
            <w:vAlign w:val="center"/>
            <w:hideMark/>
          </w:tcPr>
          <w:p w:rsidR="008248A8" w:rsidRPr="003341CA" w:rsidP="000525FD" w14:paraId="0E7B7667" w14:textId="77777777">
            <w:pPr>
              <w:spacing w:after="0" w:line="240" w:lineRule="auto"/>
              <w:ind w:left="90"/>
              <w:rPr>
                <w:rFonts w:ascii="Times New Roman" w:eastAsia="Times New Roman" w:hAnsi="Times New Roman" w:cs="Times New Roman"/>
                <w:snapToGrid w:val="0"/>
                <w:sz w:val="24"/>
                <w:szCs w:val="24"/>
              </w:rPr>
            </w:pPr>
            <w:r w:rsidRPr="003341CA">
              <w:rPr>
                <w:rFonts w:ascii="Times New Roman" w:eastAsia="Times New Roman" w:hAnsi="Times New Roman" w:cs="Times New Roman"/>
                <w:snapToGrid w:val="0"/>
                <w:sz w:val="24"/>
                <w:szCs w:val="24"/>
              </w:rPr>
              <w:t>Web and Digital Interface Designer</w:t>
            </w:r>
          </w:p>
        </w:tc>
        <w:tc>
          <w:tcPr>
            <w:tcW w:w="1350" w:type="dxa"/>
            <w:shd w:val="clear" w:color="auto" w:fill="auto"/>
            <w:vAlign w:val="center"/>
            <w:hideMark/>
          </w:tcPr>
          <w:p w:rsidR="008248A8" w:rsidRPr="003341CA" w:rsidP="00C86A98" w14:paraId="3401FA84" w14:textId="681B9170">
            <w:pPr>
              <w:spacing w:after="0" w:line="240" w:lineRule="auto"/>
              <w:jc w:val="center"/>
              <w:rPr>
                <w:rFonts w:ascii="Times New Roman" w:eastAsia="Times New Roman" w:hAnsi="Times New Roman" w:cs="Times New Roman"/>
                <w:snapToGrid w:val="0"/>
                <w:sz w:val="24"/>
                <w:szCs w:val="24"/>
              </w:rPr>
            </w:pPr>
            <w:r w:rsidRPr="003341CA">
              <w:rPr>
                <w:rFonts w:ascii="Times New Roman" w:eastAsia="Times New Roman" w:hAnsi="Times New Roman" w:cs="Times New Roman"/>
                <w:snapToGrid w:val="0"/>
                <w:sz w:val="24"/>
                <w:szCs w:val="24"/>
              </w:rPr>
              <w:t>75</w:t>
            </w:r>
          </w:p>
        </w:tc>
        <w:tc>
          <w:tcPr>
            <w:tcW w:w="1710" w:type="dxa"/>
            <w:shd w:val="clear" w:color="auto" w:fill="auto"/>
            <w:vAlign w:val="center"/>
            <w:hideMark/>
          </w:tcPr>
          <w:p w:rsidR="008248A8" w:rsidRPr="003341CA" w:rsidP="00C86A98" w14:paraId="4AF45F90" w14:textId="0CF902DA">
            <w:pPr>
              <w:spacing w:after="0" w:line="240" w:lineRule="auto"/>
              <w:jc w:val="center"/>
              <w:rPr>
                <w:rFonts w:ascii="Times New Roman" w:eastAsia="Times New Roman" w:hAnsi="Times New Roman" w:cs="Times New Roman"/>
                <w:snapToGrid w:val="0"/>
                <w:sz w:val="24"/>
                <w:szCs w:val="24"/>
              </w:rPr>
            </w:pPr>
            <w:r w:rsidRPr="003341CA">
              <w:rPr>
                <w:rFonts w:ascii="Times New Roman" w:eastAsia="Times New Roman" w:hAnsi="Times New Roman" w:cs="Times New Roman"/>
                <w:snapToGrid w:val="0"/>
                <w:sz w:val="24"/>
                <w:szCs w:val="24"/>
              </w:rPr>
              <w:t>$</w:t>
            </w:r>
            <w:r w:rsidR="00961813">
              <w:rPr>
                <w:rFonts w:ascii="Times New Roman" w:eastAsia="Times New Roman" w:hAnsi="Times New Roman" w:cs="Times New Roman"/>
                <w:snapToGrid w:val="0"/>
                <w:sz w:val="24"/>
                <w:szCs w:val="24"/>
              </w:rPr>
              <w:t>80.04</w:t>
            </w:r>
          </w:p>
        </w:tc>
        <w:tc>
          <w:tcPr>
            <w:tcW w:w="1260" w:type="dxa"/>
            <w:shd w:val="clear" w:color="auto" w:fill="auto"/>
            <w:vAlign w:val="center"/>
            <w:hideMark/>
          </w:tcPr>
          <w:p w:rsidR="008248A8" w:rsidRPr="003341CA" w:rsidP="00C86A98" w14:paraId="1C02E757" w14:textId="77777777">
            <w:pPr>
              <w:spacing w:after="0" w:line="240" w:lineRule="auto"/>
              <w:jc w:val="center"/>
              <w:rPr>
                <w:rFonts w:ascii="Times New Roman" w:eastAsia="Times New Roman" w:hAnsi="Times New Roman" w:cs="Times New Roman"/>
                <w:snapToGrid w:val="0"/>
                <w:sz w:val="24"/>
                <w:szCs w:val="24"/>
              </w:rPr>
            </w:pPr>
            <w:r w:rsidRPr="003341CA">
              <w:rPr>
                <w:rFonts w:ascii="Times New Roman" w:eastAsia="Times New Roman" w:hAnsi="Times New Roman" w:cs="Times New Roman"/>
                <w:snapToGrid w:val="0"/>
                <w:sz w:val="24"/>
                <w:szCs w:val="24"/>
              </w:rPr>
              <w:t>20</w:t>
            </w:r>
          </w:p>
        </w:tc>
        <w:tc>
          <w:tcPr>
            <w:tcW w:w="1530" w:type="dxa"/>
            <w:shd w:val="clear" w:color="auto" w:fill="auto"/>
            <w:vAlign w:val="center"/>
            <w:hideMark/>
          </w:tcPr>
          <w:p w:rsidR="008248A8" w:rsidRPr="003341CA" w:rsidP="00C86A98" w14:paraId="3671A7C8" w14:textId="47EF1E84">
            <w:pPr>
              <w:spacing w:after="0" w:line="240" w:lineRule="auto"/>
              <w:jc w:val="center"/>
              <w:rPr>
                <w:rFonts w:ascii="Times New Roman" w:eastAsia="Times New Roman" w:hAnsi="Times New Roman" w:cs="Times New Roman"/>
                <w:snapToGrid w:val="0"/>
                <w:sz w:val="24"/>
                <w:szCs w:val="24"/>
              </w:rPr>
            </w:pPr>
            <w:r w:rsidRPr="003341CA">
              <w:rPr>
                <w:rFonts w:ascii="Times New Roman" w:hAnsi="Times New Roman" w:cs="Times New Roman"/>
                <w:color w:val="000000"/>
                <w:sz w:val="24"/>
                <w:szCs w:val="24"/>
              </w:rPr>
              <w:t>$</w:t>
            </w:r>
            <w:r w:rsidR="00961813">
              <w:rPr>
                <w:rFonts w:ascii="Times New Roman" w:hAnsi="Times New Roman" w:cs="Times New Roman"/>
                <w:color w:val="000000"/>
                <w:sz w:val="24"/>
                <w:szCs w:val="24"/>
              </w:rPr>
              <w:t>1,600.80</w:t>
            </w:r>
          </w:p>
        </w:tc>
        <w:tc>
          <w:tcPr>
            <w:tcW w:w="1620" w:type="dxa"/>
            <w:shd w:val="clear" w:color="auto" w:fill="auto"/>
            <w:vAlign w:val="center"/>
          </w:tcPr>
          <w:p w:rsidR="008248A8" w:rsidRPr="003341CA" w:rsidP="00C86A98" w14:paraId="413E7FD1" w14:textId="3B728612">
            <w:pPr>
              <w:spacing w:after="0" w:line="240" w:lineRule="auto"/>
              <w:jc w:val="center"/>
              <w:rPr>
                <w:rFonts w:ascii="Times New Roman" w:eastAsia="Times New Roman" w:hAnsi="Times New Roman" w:cs="Times New Roman"/>
                <w:snapToGrid w:val="0"/>
                <w:sz w:val="24"/>
                <w:szCs w:val="24"/>
              </w:rPr>
            </w:pPr>
            <w:r w:rsidRPr="003341CA">
              <w:rPr>
                <w:rFonts w:ascii="Times New Roman" w:eastAsia="Times New Roman" w:hAnsi="Times New Roman" w:cs="Times New Roman"/>
                <w:snapToGrid w:val="0"/>
                <w:sz w:val="24"/>
                <w:szCs w:val="24"/>
              </w:rPr>
              <w:t>$</w:t>
            </w:r>
            <w:r w:rsidR="00961813">
              <w:rPr>
                <w:rFonts w:ascii="Times New Roman" w:eastAsia="Times New Roman" w:hAnsi="Times New Roman" w:cs="Times New Roman"/>
                <w:snapToGrid w:val="0"/>
                <w:sz w:val="24"/>
                <w:szCs w:val="24"/>
              </w:rPr>
              <w:t>120,060.00</w:t>
            </w:r>
          </w:p>
        </w:tc>
      </w:tr>
      <w:bookmarkEnd w:id="58"/>
      <w:bookmarkEnd w:id="59"/>
    </w:tbl>
    <w:p w:rsidR="00057C1E" w:rsidRPr="00C86A98" w:rsidP="00234238" w14:paraId="42666ABF" w14:textId="77777777">
      <w:pPr>
        <w:spacing w:after="0" w:line="240" w:lineRule="auto"/>
        <w:rPr>
          <w:rFonts w:ascii="Times New Roman" w:eastAsia="Times New Roman" w:hAnsi="Times New Roman" w:cs="Times New Roman"/>
          <w:b/>
          <w:bCs/>
          <w:snapToGrid w:val="0"/>
          <w:sz w:val="24"/>
          <w:szCs w:val="24"/>
          <w:u w:val="single"/>
        </w:rPr>
      </w:pPr>
    </w:p>
    <w:p w:rsidR="00B91ECA" w:rsidRPr="003341CA" w:rsidP="00234238" w14:paraId="47043D88" w14:textId="4F464B68">
      <w:pPr>
        <w:spacing w:after="0" w:line="240" w:lineRule="auto"/>
        <w:rPr>
          <w:rFonts w:ascii="Times New Roman" w:eastAsia="Times New Roman" w:hAnsi="Times New Roman" w:cs="Times New Roman"/>
          <w:b/>
          <w:bCs/>
          <w:snapToGrid w:val="0"/>
          <w:sz w:val="24"/>
          <w:szCs w:val="24"/>
        </w:rPr>
      </w:pPr>
      <w:bookmarkStart w:id="60" w:name="_Hlk159958237"/>
      <w:r w:rsidRPr="003341CA">
        <w:rPr>
          <w:rFonts w:ascii="Times New Roman" w:eastAsia="Times New Roman" w:hAnsi="Times New Roman" w:cs="Times New Roman"/>
          <w:b/>
          <w:bCs/>
          <w:snapToGrid w:val="0"/>
          <w:sz w:val="24"/>
          <w:szCs w:val="24"/>
        </w:rPr>
        <w:t xml:space="preserve">Mandate for </w:t>
      </w:r>
      <w:r w:rsidRPr="003341CA">
        <w:rPr>
          <w:rFonts w:ascii="Times New Roman" w:eastAsia="Times New Roman" w:hAnsi="Times New Roman" w:cs="Times New Roman"/>
          <w:b/>
          <w:bCs/>
          <w:i/>
          <w:iCs/>
          <w:snapToGrid w:val="0"/>
          <w:sz w:val="24"/>
          <w:szCs w:val="24"/>
        </w:rPr>
        <w:t>HealthCare.gov</w:t>
      </w:r>
      <w:r w:rsidRPr="003341CA">
        <w:rPr>
          <w:rFonts w:ascii="Times New Roman" w:eastAsia="Times New Roman" w:hAnsi="Times New Roman" w:cs="Times New Roman"/>
          <w:b/>
          <w:bCs/>
          <w:snapToGrid w:val="0"/>
          <w:sz w:val="24"/>
          <w:szCs w:val="24"/>
        </w:rPr>
        <w:t xml:space="preserve"> Changes to Be Reflected on DE Entity Issuer and Web-Broker Websites</w:t>
      </w:r>
      <w:r w:rsidRPr="003341CA" w:rsidR="00CB7C10">
        <w:rPr>
          <w:rFonts w:ascii="Times New Roman" w:eastAsia="Times New Roman" w:hAnsi="Times New Roman" w:cs="Times New Roman"/>
          <w:b/>
          <w:bCs/>
          <w:snapToGrid w:val="0"/>
          <w:sz w:val="24"/>
          <w:szCs w:val="24"/>
        </w:rPr>
        <w:t xml:space="preserve"> (</w:t>
      </w:r>
      <w:bookmarkStart w:id="61" w:name="_Hlk148531042"/>
      <w:r w:rsidRPr="003341CA" w:rsidR="00CB7C10">
        <w:rPr>
          <w:rFonts w:ascii="Times New Roman" w:eastAsia="Times New Roman" w:hAnsi="Times New Roman" w:cs="Times New Roman"/>
          <w:b/>
          <w:bCs/>
          <w:snapToGrid w:val="0"/>
          <w:sz w:val="24"/>
          <w:szCs w:val="24"/>
        </w:rPr>
        <w:t xml:space="preserve">45 C.F.R </w:t>
      </w:r>
      <w:r w:rsidRPr="003341CA" w:rsidR="00CB7C10">
        <w:rPr>
          <w:rFonts w:ascii="Times New Roman" w:eastAsia="Times New Roman" w:hAnsi="Times New Roman" w:cs="Times New Roman"/>
          <w:b/>
          <w:sz w:val="24"/>
          <w:szCs w:val="24"/>
        </w:rPr>
        <w:t>§</w:t>
      </w:r>
      <w:r w:rsidRPr="003341CA" w:rsidR="00CB7C10">
        <w:rPr>
          <w:rFonts w:ascii="Times New Roman" w:eastAsia="Times New Roman" w:hAnsi="Times New Roman" w:cs="Times New Roman"/>
          <w:b/>
          <w:bCs/>
          <w:snapToGrid w:val="0"/>
          <w:sz w:val="24"/>
          <w:szCs w:val="24"/>
        </w:rPr>
        <w:t>155.221(b)(6</w:t>
      </w:r>
      <w:r w:rsidRPr="00C624B4" w:rsidR="00CB7C10">
        <w:rPr>
          <w:rFonts w:ascii="Times New Roman" w:eastAsia="Times New Roman" w:hAnsi="Times New Roman" w:cs="Times New Roman"/>
          <w:b/>
          <w:bCs/>
          <w:snapToGrid w:val="0"/>
          <w:sz w:val="24"/>
          <w:szCs w:val="24"/>
        </w:rPr>
        <w:t>))</w:t>
      </w:r>
      <w:r w:rsidRPr="00C624B4" w:rsidR="008D5527">
        <w:rPr>
          <w:rFonts w:ascii="Times New Roman" w:eastAsia="Times New Roman" w:hAnsi="Times New Roman" w:cs="Times New Roman"/>
          <w:b/>
          <w:bCs/>
          <w:snapToGrid w:val="0"/>
          <w:sz w:val="24"/>
          <w:szCs w:val="24"/>
        </w:rPr>
        <w:t>:</w:t>
      </w:r>
      <w:r w:rsidRPr="00C624B4" w:rsidR="003341CA">
        <w:rPr>
          <w:rFonts w:ascii="Times New Roman" w:eastAsia="Times New Roman" w:hAnsi="Times New Roman" w:cs="Times New Roman"/>
          <w:b/>
          <w:bCs/>
          <w:snapToGrid w:val="0"/>
          <w:sz w:val="24"/>
          <w:szCs w:val="24"/>
        </w:rPr>
        <w:t xml:space="preserve"> </w:t>
      </w:r>
      <w:bookmarkEnd w:id="60"/>
      <w:bookmarkEnd w:id="61"/>
      <w:r w:rsidRPr="00C624B4">
        <w:rPr>
          <w:rFonts w:ascii="Times New Roman" w:eastAsia="Times New Roman" w:hAnsi="Times New Roman" w:cs="Times New Roman"/>
          <w:sz w:val="24"/>
          <w:szCs w:val="24"/>
        </w:rPr>
        <w:t>We estimate that approximately three or fewer display changes will be required during each plan year. We</w:t>
      </w:r>
      <w:r w:rsidRPr="00553BF1">
        <w:rPr>
          <w:rFonts w:ascii="Times New Roman" w:eastAsia="Times New Roman" w:hAnsi="Times New Roman" w:cs="Times New Roman"/>
          <w:sz w:val="24"/>
          <w:szCs w:val="24"/>
        </w:rPr>
        <w:t xml:space="preserve"> estimate that a total of 1</w:t>
      </w:r>
      <w:r w:rsidR="008B7811">
        <w:rPr>
          <w:rFonts w:ascii="Times New Roman" w:eastAsia="Times New Roman" w:hAnsi="Times New Roman" w:cs="Times New Roman"/>
          <w:sz w:val="24"/>
          <w:szCs w:val="24"/>
        </w:rPr>
        <w:t>0</w:t>
      </w:r>
      <w:r w:rsidRPr="00553BF1">
        <w:rPr>
          <w:rFonts w:ascii="Times New Roman" w:eastAsia="Times New Roman" w:hAnsi="Times New Roman" w:cs="Times New Roman"/>
          <w:sz w:val="24"/>
          <w:szCs w:val="24"/>
        </w:rPr>
        <w:t>0 web-brokers and QHP issuers participating in direct enrollment would be required to comply with these requirements. These display changes may range from relatively simple text-based updates to more complex choice architecture UI changes. We anticipate approximately two simple</w:t>
      </w:r>
      <w:r w:rsidR="00C624B4">
        <w:rPr>
          <w:rFonts w:ascii="Times New Roman" w:eastAsia="Times New Roman" w:hAnsi="Times New Roman" w:cs="Times New Roman"/>
          <w:sz w:val="24"/>
          <w:szCs w:val="24"/>
        </w:rPr>
        <w:t>r</w:t>
      </w:r>
      <w:r w:rsidRPr="00553BF1">
        <w:rPr>
          <w:rFonts w:ascii="Times New Roman" w:eastAsia="Times New Roman" w:hAnsi="Times New Roman" w:cs="Times New Roman"/>
          <w:sz w:val="24"/>
          <w:szCs w:val="24"/>
        </w:rPr>
        <w:t xml:space="preserve"> and one </w:t>
      </w:r>
      <w:r w:rsidR="00C624B4">
        <w:rPr>
          <w:rFonts w:ascii="Times New Roman" w:eastAsia="Times New Roman" w:hAnsi="Times New Roman" w:cs="Times New Roman"/>
          <w:sz w:val="24"/>
          <w:szCs w:val="24"/>
        </w:rPr>
        <w:t>more</w:t>
      </w:r>
      <w:r w:rsidRPr="00553BF1" w:rsidR="00C624B4">
        <w:rPr>
          <w:rFonts w:ascii="Times New Roman" w:eastAsia="Times New Roman" w:hAnsi="Times New Roman" w:cs="Times New Roman"/>
          <w:sz w:val="24"/>
          <w:szCs w:val="24"/>
        </w:rPr>
        <w:t xml:space="preserve"> </w:t>
      </w:r>
      <w:r w:rsidRPr="00553BF1">
        <w:rPr>
          <w:rFonts w:ascii="Times New Roman" w:eastAsia="Times New Roman" w:hAnsi="Times New Roman" w:cs="Times New Roman"/>
          <w:sz w:val="24"/>
          <w:szCs w:val="24"/>
        </w:rPr>
        <w:t xml:space="preserve">complex display changes per plan year. We estimate that it would take a </w:t>
      </w:r>
      <w:r w:rsidRPr="003341CA" w:rsidR="00FE5254">
        <w:rPr>
          <w:rFonts w:ascii="Times New Roman" w:eastAsia="Times New Roman" w:hAnsi="Times New Roman" w:cs="Times New Roman"/>
          <w:snapToGrid w:val="0"/>
          <w:sz w:val="24"/>
          <w:szCs w:val="24"/>
        </w:rPr>
        <w:t xml:space="preserve">Web and Digital Interface Designer </w:t>
      </w:r>
      <w:r w:rsidRPr="00553BF1">
        <w:rPr>
          <w:rFonts w:ascii="Times New Roman" w:eastAsia="Times New Roman" w:hAnsi="Times New Roman" w:cs="Times New Roman"/>
          <w:sz w:val="24"/>
          <w:szCs w:val="24"/>
        </w:rPr>
        <w:t>30 hours annually, at an average hourly cost of $</w:t>
      </w:r>
      <w:r w:rsidR="00961813">
        <w:rPr>
          <w:rFonts w:ascii="Times New Roman" w:eastAsia="Times New Roman" w:hAnsi="Times New Roman" w:cs="Times New Roman"/>
          <w:sz w:val="24"/>
          <w:szCs w:val="24"/>
        </w:rPr>
        <w:t>80.04</w:t>
      </w:r>
      <w:r w:rsidRPr="00553BF1">
        <w:rPr>
          <w:rFonts w:ascii="Times New Roman" w:eastAsia="Times New Roman" w:hAnsi="Times New Roman" w:cs="Times New Roman"/>
          <w:sz w:val="24"/>
          <w:szCs w:val="24"/>
        </w:rPr>
        <w:t xml:space="preserve"> per hour, to implement these changes, at a total annual cost of $</w:t>
      </w:r>
      <w:r w:rsidR="00961813">
        <w:rPr>
          <w:rFonts w:ascii="Times New Roman" w:eastAsia="Times New Roman" w:hAnsi="Times New Roman" w:cs="Times New Roman"/>
          <w:sz w:val="24"/>
          <w:szCs w:val="24"/>
        </w:rPr>
        <w:t>2,401.20</w:t>
      </w:r>
      <w:r w:rsidRPr="00553BF1">
        <w:rPr>
          <w:rFonts w:ascii="Times New Roman" w:eastAsia="Times New Roman" w:hAnsi="Times New Roman" w:cs="Times New Roman"/>
          <w:sz w:val="24"/>
          <w:szCs w:val="24"/>
        </w:rPr>
        <w:t xml:space="preserve"> per entity. We therefore estimate a total annual burden of 3,</w:t>
      </w:r>
      <w:r w:rsidR="008B7811">
        <w:rPr>
          <w:rFonts w:ascii="Times New Roman" w:eastAsia="Times New Roman" w:hAnsi="Times New Roman" w:cs="Times New Roman"/>
          <w:sz w:val="24"/>
          <w:szCs w:val="24"/>
        </w:rPr>
        <w:t>0</w:t>
      </w:r>
      <w:r w:rsidRPr="00553BF1">
        <w:rPr>
          <w:rFonts w:ascii="Times New Roman" w:eastAsia="Times New Roman" w:hAnsi="Times New Roman" w:cs="Times New Roman"/>
          <w:sz w:val="24"/>
          <w:szCs w:val="24"/>
        </w:rPr>
        <w:t>00 hours at a cost of $</w:t>
      </w:r>
      <w:r w:rsidR="00961813">
        <w:rPr>
          <w:rFonts w:ascii="Times New Roman" w:eastAsia="Times New Roman" w:hAnsi="Times New Roman" w:cs="Times New Roman"/>
          <w:sz w:val="24"/>
          <w:szCs w:val="24"/>
        </w:rPr>
        <w:t>2</w:t>
      </w:r>
      <w:r w:rsidR="008B7811">
        <w:rPr>
          <w:rFonts w:ascii="Times New Roman" w:eastAsia="Times New Roman" w:hAnsi="Times New Roman" w:cs="Times New Roman"/>
          <w:sz w:val="24"/>
          <w:szCs w:val="24"/>
        </w:rPr>
        <w:t>40,120.00</w:t>
      </w:r>
      <w:r w:rsidRPr="00553BF1">
        <w:rPr>
          <w:rFonts w:ascii="Times New Roman" w:eastAsia="Times New Roman" w:hAnsi="Times New Roman" w:cs="Times New Roman"/>
          <w:sz w:val="24"/>
          <w:szCs w:val="24"/>
        </w:rPr>
        <w:t xml:space="preserve"> for all applicable web-brokers and QHP issuers.</w:t>
      </w:r>
    </w:p>
    <w:p w:rsidR="00553BF1" w:rsidP="00234238" w14:paraId="3227D8FC" w14:textId="77777777">
      <w:pPr>
        <w:spacing w:after="0" w:line="240" w:lineRule="auto"/>
        <w:rPr>
          <w:rFonts w:ascii="Times New Roman" w:eastAsia="Times New Roman" w:hAnsi="Times New Roman" w:cs="Times New Roman"/>
          <w:sz w:val="24"/>
          <w:szCs w:val="24"/>
        </w:rPr>
      </w:pPr>
    </w:p>
    <w:p w:rsidR="001871A6" w:rsidP="00234238" w14:paraId="71FE7E99" w14:textId="77777777">
      <w:pPr>
        <w:spacing w:after="0" w:line="240" w:lineRule="auto"/>
        <w:rPr>
          <w:rFonts w:ascii="Times New Roman" w:eastAsia="Times New Roman" w:hAnsi="Times New Roman" w:cs="Times New Roman"/>
          <w:sz w:val="24"/>
          <w:szCs w:val="24"/>
        </w:rPr>
      </w:pPr>
      <w:r w:rsidRPr="00553BF1">
        <w:rPr>
          <w:rFonts w:ascii="Times New Roman" w:eastAsia="Times New Roman" w:hAnsi="Times New Roman" w:cs="Times New Roman"/>
          <w:sz w:val="24"/>
          <w:szCs w:val="24"/>
        </w:rPr>
        <w:t xml:space="preserve">We estimate that </w:t>
      </w:r>
      <w:r w:rsidR="008B7811">
        <w:rPr>
          <w:rFonts w:ascii="Times New Roman" w:eastAsia="Times New Roman" w:hAnsi="Times New Roman" w:cs="Times New Roman"/>
          <w:sz w:val="24"/>
          <w:szCs w:val="24"/>
        </w:rPr>
        <w:t>2</w:t>
      </w:r>
      <w:r w:rsidRPr="00553BF1">
        <w:rPr>
          <w:rFonts w:ascii="Times New Roman" w:eastAsia="Times New Roman" w:hAnsi="Times New Roman" w:cs="Times New Roman"/>
          <w:sz w:val="24"/>
          <w:szCs w:val="24"/>
        </w:rPr>
        <w:t xml:space="preserve">5 of the above web-brokers and QHP issuers would submit a request to deviate from the display adopted by HealthCare.gov. We estimate it would take a </w:t>
      </w:r>
      <w:r>
        <w:rPr>
          <w:rFonts w:ascii="Times New Roman" w:eastAsia="Times New Roman" w:hAnsi="Times New Roman" w:cs="Times New Roman"/>
          <w:sz w:val="24"/>
          <w:szCs w:val="24"/>
        </w:rPr>
        <w:t>C</w:t>
      </w:r>
      <w:r w:rsidRPr="00553BF1">
        <w:rPr>
          <w:rFonts w:ascii="Times New Roman" w:eastAsia="Times New Roman" w:hAnsi="Times New Roman" w:cs="Times New Roman"/>
          <w:sz w:val="24"/>
          <w:szCs w:val="24"/>
        </w:rPr>
        <w:t xml:space="preserve">ompliance </w:t>
      </w:r>
      <w:r>
        <w:rPr>
          <w:rFonts w:ascii="Times New Roman" w:eastAsia="Times New Roman" w:hAnsi="Times New Roman" w:cs="Times New Roman"/>
          <w:sz w:val="24"/>
          <w:szCs w:val="24"/>
        </w:rPr>
        <w:t>O</w:t>
      </w:r>
      <w:r w:rsidRPr="00553BF1">
        <w:rPr>
          <w:rFonts w:ascii="Times New Roman" w:eastAsia="Times New Roman" w:hAnsi="Times New Roman" w:cs="Times New Roman"/>
          <w:sz w:val="24"/>
          <w:szCs w:val="24"/>
        </w:rPr>
        <w:t>fficer approximately 3 hours annually, at a rate of $</w:t>
      </w:r>
      <w:r w:rsidR="00961813">
        <w:rPr>
          <w:rFonts w:ascii="Times New Roman" w:eastAsia="Times New Roman" w:hAnsi="Times New Roman" w:cs="Times New Roman"/>
          <w:sz w:val="24"/>
          <w:szCs w:val="24"/>
        </w:rPr>
        <w:t>68.94</w:t>
      </w:r>
      <w:r w:rsidRPr="00553BF1">
        <w:rPr>
          <w:rFonts w:ascii="Times New Roman" w:eastAsia="Times New Roman" w:hAnsi="Times New Roman" w:cs="Times New Roman"/>
          <w:sz w:val="24"/>
          <w:szCs w:val="24"/>
        </w:rPr>
        <w:t xml:space="preserve"> per hour, to complete the request to deviate from the display on HealthCare.gov as well as the justification for the request</w:t>
      </w:r>
      <w:r w:rsidR="00346954">
        <w:rPr>
          <w:rFonts w:ascii="Times New Roman" w:eastAsia="Times New Roman" w:hAnsi="Times New Roman" w:cs="Times New Roman"/>
          <w:sz w:val="24"/>
          <w:szCs w:val="24"/>
        </w:rPr>
        <w:t xml:space="preserve">, at a total annual cost of </w:t>
      </w:r>
      <w:r w:rsidR="00483990">
        <w:rPr>
          <w:rFonts w:ascii="Times New Roman" w:eastAsia="Times New Roman" w:hAnsi="Times New Roman" w:cs="Times New Roman"/>
          <w:sz w:val="24"/>
          <w:szCs w:val="24"/>
        </w:rPr>
        <w:t>$</w:t>
      </w:r>
      <w:r w:rsidR="00961813">
        <w:rPr>
          <w:rFonts w:ascii="Times New Roman" w:eastAsia="Times New Roman" w:hAnsi="Times New Roman" w:cs="Times New Roman"/>
          <w:sz w:val="24"/>
          <w:szCs w:val="24"/>
        </w:rPr>
        <w:t>206.82</w:t>
      </w:r>
      <w:r w:rsidR="00483990">
        <w:rPr>
          <w:rFonts w:ascii="Times New Roman" w:eastAsia="Times New Roman" w:hAnsi="Times New Roman" w:cs="Times New Roman"/>
          <w:sz w:val="24"/>
          <w:szCs w:val="24"/>
        </w:rPr>
        <w:t xml:space="preserve"> per entity</w:t>
      </w:r>
      <w:r w:rsidRPr="00553BF1">
        <w:rPr>
          <w:rFonts w:ascii="Times New Roman" w:eastAsia="Times New Roman" w:hAnsi="Times New Roman" w:cs="Times New Roman"/>
          <w:sz w:val="24"/>
          <w:szCs w:val="24"/>
        </w:rPr>
        <w:t xml:space="preserve">. We therefore estimate the total annual burden </w:t>
      </w:r>
      <w:r w:rsidR="00E454D0">
        <w:rPr>
          <w:rFonts w:ascii="Times New Roman" w:eastAsia="Times New Roman" w:hAnsi="Times New Roman" w:cs="Times New Roman"/>
          <w:sz w:val="24"/>
          <w:szCs w:val="24"/>
        </w:rPr>
        <w:t xml:space="preserve">of </w:t>
      </w:r>
      <w:r w:rsidR="008B7811">
        <w:rPr>
          <w:rFonts w:ascii="Times New Roman" w:eastAsia="Times New Roman" w:hAnsi="Times New Roman" w:cs="Times New Roman"/>
          <w:sz w:val="24"/>
          <w:szCs w:val="24"/>
        </w:rPr>
        <w:t>7</w:t>
      </w:r>
      <w:r w:rsidR="001827D3">
        <w:rPr>
          <w:rFonts w:ascii="Times New Roman" w:eastAsia="Times New Roman" w:hAnsi="Times New Roman" w:cs="Times New Roman"/>
          <w:sz w:val="24"/>
          <w:szCs w:val="24"/>
        </w:rPr>
        <w:t xml:space="preserve">5 hours at a cost of </w:t>
      </w:r>
      <w:r w:rsidRPr="00553BF1" w:rsidR="001827D3">
        <w:rPr>
          <w:rFonts w:ascii="Times New Roman" w:eastAsia="Times New Roman" w:hAnsi="Times New Roman" w:cs="Times New Roman"/>
          <w:sz w:val="24"/>
          <w:szCs w:val="24"/>
        </w:rPr>
        <w:t>$</w:t>
      </w:r>
      <w:r w:rsidR="008B7811">
        <w:rPr>
          <w:rFonts w:ascii="Times New Roman" w:eastAsia="Times New Roman" w:hAnsi="Times New Roman" w:cs="Times New Roman"/>
          <w:sz w:val="24"/>
          <w:szCs w:val="24"/>
        </w:rPr>
        <w:t>5,170.50</w:t>
      </w:r>
      <w:r w:rsidR="001827D3">
        <w:rPr>
          <w:rFonts w:ascii="Times New Roman" w:eastAsia="Times New Roman" w:hAnsi="Times New Roman" w:cs="Times New Roman"/>
          <w:sz w:val="24"/>
          <w:szCs w:val="24"/>
        </w:rPr>
        <w:t xml:space="preserve"> </w:t>
      </w:r>
      <w:r w:rsidRPr="00553BF1">
        <w:rPr>
          <w:rFonts w:ascii="Times New Roman" w:eastAsia="Times New Roman" w:hAnsi="Times New Roman" w:cs="Times New Roman"/>
          <w:sz w:val="24"/>
          <w:szCs w:val="24"/>
        </w:rPr>
        <w:t>for all web-brokers and issuers submitting a request to deviate beginning in 2025.</w:t>
      </w:r>
      <w:r>
        <w:rPr>
          <w:rFonts w:ascii="Times New Roman" w:eastAsia="Times New Roman" w:hAnsi="Times New Roman" w:cs="Times New Roman"/>
          <w:sz w:val="24"/>
          <w:szCs w:val="24"/>
        </w:rPr>
        <w:t xml:space="preserve"> </w:t>
      </w:r>
    </w:p>
    <w:p w:rsidR="001871A6" w:rsidP="00234238" w14:paraId="31628199" w14:textId="77777777">
      <w:pPr>
        <w:spacing w:after="0" w:line="240" w:lineRule="auto"/>
        <w:rPr>
          <w:rFonts w:ascii="Times New Roman" w:eastAsia="Times New Roman" w:hAnsi="Times New Roman" w:cs="Times New Roman"/>
          <w:sz w:val="24"/>
          <w:szCs w:val="24"/>
        </w:rPr>
      </w:pPr>
    </w:p>
    <w:p w:rsidR="00B91ECA" w:rsidP="00234238" w14:paraId="4D0DC220" w14:textId="4B4BAE17">
      <w:pPr>
        <w:spacing w:after="0" w:line="240" w:lineRule="auto"/>
        <w:rPr>
          <w:rFonts w:ascii="Times New Roman" w:eastAsia="Times New Roman" w:hAnsi="Times New Roman" w:cs="Times New Roman"/>
          <w:sz w:val="24"/>
          <w:szCs w:val="24"/>
        </w:rPr>
      </w:pPr>
      <w:r w:rsidRPr="00925C66">
        <w:rPr>
          <w:rFonts w:ascii="Times New Roman" w:eastAsia="Times New Roman" w:hAnsi="Times New Roman" w:cs="Times New Roman"/>
          <w:sz w:val="24"/>
          <w:szCs w:val="24"/>
        </w:rPr>
        <w:t xml:space="preserve">We estimate that this data collection has a cumulative annual burden of </w:t>
      </w:r>
      <w:r w:rsidR="00A45FFF">
        <w:rPr>
          <w:rFonts w:ascii="Times New Roman" w:eastAsia="Times New Roman" w:hAnsi="Times New Roman" w:cs="Times New Roman"/>
          <w:sz w:val="24"/>
          <w:szCs w:val="24"/>
        </w:rPr>
        <w:t>3,</w:t>
      </w:r>
      <w:r w:rsidR="008B7811">
        <w:rPr>
          <w:rFonts w:ascii="Times New Roman" w:eastAsia="Times New Roman" w:hAnsi="Times New Roman" w:cs="Times New Roman"/>
          <w:sz w:val="24"/>
          <w:szCs w:val="24"/>
        </w:rPr>
        <w:t>07</w:t>
      </w:r>
      <w:r w:rsidR="00A45FFF">
        <w:rPr>
          <w:rFonts w:ascii="Times New Roman" w:eastAsia="Times New Roman" w:hAnsi="Times New Roman" w:cs="Times New Roman"/>
          <w:sz w:val="24"/>
          <w:szCs w:val="24"/>
        </w:rPr>
        <w:t xml:space="preserve">5 </w:t>
      </w:r>
      <w:r w:rsidRPr="00925C66">
        <w:rPr>
          <w:rFonts w:ascii="Times New Roman" w:eastAsia="Times New Roman" w:hAnsi="Times New Roman" w:cs="Times New Roman"/>
          <w:sz w:val="24"/>
          <w:szCs w:val="24"/>
        </w:rPr>
        <w:t xml:space="preserve">hours with an annual cost of </w:t>
      </w:r>
      <w:r w:rsidR="00CC1AF2">
        <w:rPr>
          <w:rFonts w:ascii="Times New Roman" w:eastAsia="Times New Roman" w:hAnsi="Times New Roman" w:cs="Times New Roman"/>
          <w:sz w:val="24"/>
          <w:szCs w:val="24"/>
        </w:rPr>
        <w:t>$</w:t>
      </w:r>
      <w:r w:rsidR="00F376BF">
        <w:rPr>
          <w:rFonts w:ascii="Times New Roman" w:eastAsia="Times New Roman" w:hAnsi="Times New Roman" w:cs="Times New Roman"/>
          <w:sz w:val="24"/>
          <w:szCs w:val="24"/>
        </w:rPr>
        <w:t>2</w:t>
      </w:r>
      <w:r w:rsidR="008B7811">
        <w:rPr>
          <w:rFonts w:ascii="Times New Roman" w:eastAsia="Times New Roman" w:hAnsi="Times New Roman" w:cs="Times New Roman"/>
          <w:sz w:val="24"/>
          <w:szCs w:val="24"/>
        </w:rPr>
        <w:t>45,290.50</w:t>
      </w:r>
      <w:r w:rsidR="00CC1AF2">
        <w:rPr>
          <w:rFonts w:ascii="Times New Roman" w:eastAsia="Times New Roman" w:hAnsi="Times New Roman" w:cs="Times New Roman"/>
          <w:sz w:val="24"/>
          <w:szCs w:val="24"/>
        </w:rPr>
        <w:t xml:space="preserve">. </w:t>
      </w:r>
    </w:p>
    <w:p w:rsidR="00553BF1" w:rsidP="00234238" w14:paraId="0F40A183" w14:textId="77777777">
      <w:pPr>
        <w:spacing w:after="0" w:line="240" w:lineRule="auto"/>
        <w:rPr>
          <w:rFonts w:ascii="Times New Roman" w:eastAsia="Times New Roman" w:hAnsi="Times New Roman" w:cs="Times New Roman"/>
          <w:sz w:val="24"/>
          <w:szCs w:val="24"/>
        </w:rPr>
      </w:pPr>
    </w:p>
    <w:p w:rsidR="00553BF1" w:rsidP="00234238" w14:paraId="4D1248F4" w14:textId="7F456725">
      <w:pPr>
        <w:spacing w:after="0" w:line="246" w:lineRule="auto"/>
        <w:rPr>
          <w:rFonts w:ascii="Times New Roman" w:eastAsia="Times New Roman" w:hAnsi="Times New Roman" w:cs="Times New Roman"/>
          <w:spacing w:val="1"/>
          <w:sz w:val="24"/>
          <w:szCs w:val="24"/>
        </w:rPr>
      </w:pPr>
      <w:r w:rsidRPr="00393CE5">
        <w:rPr>
          <w:rFonts w:ascii="Times New Roman" w:eastAsia="Times New Roman" w:hAnsi="Times New Roman" w:cs="Times New Roman"/>
          <w:spacing w:val="1"/>
          <w:sz w:val="24"/>
          <w:szCs w:val="24"/>
        </w:rPr>
        <w:t xml:space="preserve">Table </w:t>
      </w:r>
      <w:r w:rsidR="00F376BF">
        <w:rPr>
          <w:rFonts w:ascii="Times New Roman" w:eastAsia="Times New Roman" w:hAnsi="Times New Roman" w:cs="Times New Roman"/>
          <w:spacing w:val="1"/>
          <w:sz w:val="24"/>
          <w:szCs w:val="24"/>
        </w:rPr>
        <w:t xml:space="preserve">12 </w:t>
      </w:r>
      <w:r w:rsidRPr="00393CE5">
        <w:rPr>
          <w:rFonts w:ascii="Times New Roman" w:eastAsia="Times New Roman" w:hAnsi="Times New Roman" w:cs="Times New Roman"/>
          <w:spacing w:val="1"/>
          <w:sz w:val="24"/>
          <w:szCs w:val="24"/>
        </w:rPr>
        <w:t xml:space="preserve">below displays the burden for </w:t>
      </w:r>
      <w:r w:rsidR="001E6496">
        <w:rPr>
          <w:rFonts w:ascii="Times New Roman" w:eastAsia="Times New Roman" w:hAnsi="Times New Roman" w:cs="Times New Roman"/>
          <w:spacing w:val="1"/>
          <w:sz w:val="24"/>
          <w:szCs w:val="24"/>
        </w:rPr>
        <w:t xml:space="preserve">DE Entity </w:t>
      </w:r>
      <w:r w:rsidR="00A940AA">
        <w:rPr>
          <w:rFonts w:ascii="Times New Roman" w:eastAsia="Times New Roman" w:hAnsi="Times New Roman" w:cs="Times New Roman"/>
          <w:spacing w:val="1"/>
          <w:sz w:val="24"/>
          <w:szCs w:val="24"/>
        </w:rPr>
        <w:t xml:space="preserve">web-brokers and QHP issuers </w:t>
      </w:r>
      <w:r w:rsidRPr="00393CE5">
        <w:rPr>
          <w:rFonts w:ascii="Times New Roman" w:eastAsia="Times New Roman" w:hAnsi="Times New Roman" w:cs="Times New Roman"/>
          <w:spacing w:val="1"/>
          <w:sz w:val="24"/>
          <w:szCs w:val="24"/>
        </w:rPr>
        <w:t xml:space="preserve">relating to these </w:t>
      </w:r>
      <w:r w:rsidR="001D02A5">
        <w:rPr>
          <w:rFonts w:ascii="Times New Roman" w:eastAsia="Times New Roman" w:hAnsi="Times New Roman" w:cs="Times New Roman"/>
          <w:spacing w:val="1"/>
          <w:sz w:val="24"/>
          <w:szCs w:val="24"/>
        </w:rPr>
        <w:t xml:space="preserve">proposed </w:t>
      </w:r>
      <w:r w:rsidRPr="00393CE5">
        <w:rPr>
          <w:rFonts w:ascii="Times New Roman" w:eastAsia="Times New Roman" w:hAnsi="Times New Roman" w:cs="Times New Roman"/>
          <w:spacing w:val="1"/>
          <w:sz w:val="24"/>
          <w:szCs w:val="24"/>
        </w:rPr>
        <w:t>regulatory provisions.</w:t>
      </w:r>
    </w:p>
    <w:p w:rsidR="001E6496" w:rsidP="00234238" w14:paraId="060C00A7" w14:textId="77777777">
      <w:pPr>
        <w:spacing w:after="0" w:line="246" w:lineRule="auto"/>
        <w:rPr>
          <w:rFonts w:ascii="Times New Roman" w:eastAsia="Times New Roman" w:hAnsi="Times New Roman" w:cs="Times New Roman"/>
          <w:spacing w:val="1"/>
          <w:sz w:val="24"/>
          <w:szCs w:val="24"/>
        </w:rPr>
      </w:pPr>
    </w:p>
    <w:p w:rsidR="00553BF1" w:rsidRPr="003341CA" w:rsidP="00234238" w14:paraId="07B213A0" w14:textId="2492E603">
      <w:pPr>
        <w:spacing w:after="0" w:line="240" w:lineRule="auto"/>
        <w:rPr>
          <w:rFonts w:ascii="Times New Roman" w:eastAsia="Times New Roman" w:hAnsi="Times New Roman" w:cs="Times New Roman"/>
          <w:b/>
          <w:bCs/>
          <w:snapToGrid w:val="0"/>
          <w:sz w:val="24"/>
          <w:szCs w:val="24"/>
          <w:highlight w:val="yellow"/>
        </w:rPr>
      </w:pPr>
      <w:bookmarkStart w:id="62" w:name="_Hlk146880473"/>
      <w:r w:rsidRPr="003341CA">
        <w:rPr>
          <w:rFonts w:ascii="Times New Roman" w:eastAsia="Times New Roman" w:hAnsi="Times New Roman" w:cs="Times New Roman"/>
          <w:b/>
          <w:bCs/>
          <w:snapToGrid w:val="0"/>
          <w:sz w:val="24"/>
          <w:szCs w:val="24"/>
        </w:rPr>
        <w:t xml:space="preserve">Table </w:t>
      </w:r>
      <w:r w:rsidR="00F376BF">
        <w:rPr>
          <w:rFonts w:ascii="Times New Roman" w:eastAsia="Times New Roman" w:hAnsi="Times New Roman" w:cs="Times New Roman"/>
          <w:b/>
          <w:bCs/>
          <w:snapToGrid w:val="0"/>
          <w:sz w:val="24"/>
          <w:szCs w:val="24"/>
        </w:rPr>
        <w:t>12</w:t>
      </w:r>
      <w:r w:rsidRPr="003341CA">
        <w:rPr>
          <w:rFonts w:ascii="Times New Roman" w:eastAsia="Times New Roman" w:hAnsi="Times New Roman" w:cs="Times New Roman"/>
          <w:b/>
          <w:bCs/>
          <w:snapToGrid w:val="0"/>
          <w:sz w:val="24"/>
          <w:szCs w:val="24"/>
        </w:rPr>
        <w:t>: Burden to DE Entity Web-brokers and QHP Issuers to Implement Mandate for HealthCare.gov Changes to Be Reflected on DE Entity Issuer and Web-Broker Websites</w:t>
      </w:r>
    </w:p>
    <w:p w:rsidR="00553BF1" w:rsidRPr="008D4321" w:rsidP="00553BF1" w14:paraId="304B4C20" w14:textId="77777777">
      <w:pPr>
        <w:spacing w:after="0" w:line="240" w:lineRule="auto"/>
        <w:ind w:firstLine="720"/>
        <w:rPr>
          <w:rFonts w:ascii="Times New Roman" w:hAnsi="Times New Roman" w:cs="Times New Roman"/>
          <w:sz w:val="24"/>
          <w:szCs w:val="24"/>
          <w:highlight w:val="yellow"/>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55"/>
        <w:gridCol w:w="1530"/>
        <w:gridCol w:w="1710"/>
        <w:gridCol w:w="990"/>
        <w:gridCol w:w="1620"/>
        <w:gridCol w:w="1620"/>
      </w:tblGrid>
      <w:tr w14:paraId="27C1236C" w14:textId="77777777" w:rsidTr="00844EDF">
        <w:tblPrEx>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52"/>
        </w:trPr>
        <w:tc>
          <w:tcPr>
            <w:tcW w:w="2155" w:type="dxa"/>
            <w:shd w:val="clear" w:color="auto" w:fill="auto"/>
            <w:vAlign w:val="center"/>
            <w:hideMark/>
          </w:tcPr>
          <w:p w:rsidR="000525FD" w:rsidRPr="00805A00" w:rsidP="000525FD" w14:paraId="78D17AE5" w14:textId="7179F970">
            <w:pPr>
              <w:widowControl/>
              <w:spacing w:after="0" w:line="240" w:lineRule="auto"/>
              <w:rPr>
                <w:rFonts w:ascii="Times New Roman" w:eastAsia="Times New Roman" w:hAnsi="Times New Roman" w:cs="Times New Roman"/>
                <w:b/>
                <w:bCs/>
                <w:sz w:val="24"/>
                <w:szCs w:val="24"/>
              </w:rPr>
            </w:pPr>
            <w:bookmarkStart w:id="63" w:name="_Hlk146910556"/>
            <w:r w:rsidRPr="00805A00">
              <w:rPr>
                <w:rFonts w:ascii="Times New Roman" w:eastAsia="Times New Roman" w:hAnsi="Times New Roman" w:cs="Times New Roman"/>
                <w:b/>
                <w:bCs/>
                <w:sz w:val="24"/>
                <w:szCs w:val="24"/>
              </w:rPr>
              <w:t>Labor Category</w:t>
            </w:r>
          </w:p>
        </w:tc>
        <w:tc>
          <w:tcPr>
            <w:tcW w:w="1530" w:type="dxa"/>
            <w:shd w:val="clear" w:color="auto" w:fill="auto"/>
            <w:vAlign w:val="center"/>
            <w:hideMark/>
          </w:tcPr>
          <w:p w:rsidR="000525FD" w:rsidRPr="00805A00" w:rsidP="00844EDF" w14:paraId="176491A3" w14:textId="4BC616F5">
            <w:pPr>
              <w:widowControl/>
              <w:spacing w:after="0" w:line="240" w:lineRule="auto"/>
              <w:ind w:left="-110" w:right="-20"/>
              <w:jc w:val="center"/>
              <w:rPr>
                <w:rFonts w:ascii="Times New Roman" w:eastAsia="Times New Roman" w:hAnsi="Times New Roman" w:cs="Times New Roman"/>
                <w:b/>
                <w:bCs/>
                <w:sz w:val="24"/>
                <w:szCs w:val="24"/>
              </w:rPr>
            </w:pPr>
            <w:r w:rsidRPr="005706FE">
              <w:rPr>
                <w:rFonts w:ascii="Times New Roman" w:hAnsi="Times New Roman" w:cs="Times New Roman"/>
                <w:b/>
                <w:sz w:val="24"/>
                <w:szCs w:val="24"/>
              </w:rPr>
              <w:t>Number of Respondents</w:t>
            </w:r>
          </w:p>
        </w:tc>
        <w:tc>
          <w:tcPr>
            <w:tcW w:w="1710" w:type="dxa"/>
            <w:shd w:val="clear" w:color="auto" w:fill="auto"/>
            <w:vAlign w:val="center"/>
            <w:hideMark/>
          </w:tcPr>
          <w:p w:rsidR="000525FD" w:rsidRPr="00805A00" w:rsidP="00844EDF" w14:paraId="0833EA2B" w14:textId="0128258E">
            <w:pPr>
              <w:widowControl/>
              <w:spacing w:after="0" w:line="240" w:lineRule="auto"/>
              <w:ind w:left="-110" w:right="-20"/>
              <w:jc w:val="center"/>
              <w:rPr>
                <w:rFonts w:ascii="Times New Roman" w:eastAsia="Times New Roman" w:hAnsi="Times New Roman" w:cs="Times New Roman"/>
                <w:b/>
                <w:bCs/>
                <w:sz w:val="24"/>
                <w:szCs w:val="24"/>
              </w:rPr>
            </w:pPr>
            <w:r w:rsidRPr="005706FE">
              <w:rPr>
                <w:rFonts w:ascii="Times New Roman" w:hAnsi="Times New Roman" w:cs="Times New Roman"/>
                <w:b/>
                <w:sz w:val="24"/>
                <w:szCs w:val="24"/>
              </w:rPr>
              <w:t>Hourly Labor Costs (Hourly rate + 100% Fringe benefits)</w:t>
            </w:r>
          </w:p>
        </w:tc>
        <w:tc>
          <w:tcPr>
            <w:tcW w:w="990" w:type="dxa"/>
            <w:shd w:val="clear" w:color="auto" w:fill="auto"/>
            <w:vAlign w:val="center"/>
            <w:hideMark/>
          </w:tcPr>
          <w:p w:rsidR="000525FD" w:rsidRPr="00805A00" w:rsidP="00844EDF" w14:paraId="4AAB1FD4" w14:textId="2806B8EB">
            <w:pPr>
              <w:widowControl/>
              <w:spacing w:after="0" w:line="240" w:lineRule="auto"/>
              <w:ind w:left="-110" w:right="-20"/>
              <w:jc w:val="center"/>
              <w:rPr>
                <w:rFonts w:ascii="Times New Roman" w:eastAsia="Times New Roman" w:hAnsi="Times New Roman" w:cs="Times New Roman"/>
                <w:b/>
                <w:bCs/>
                <w:sz w:val="24"/>
                <w:szCs w:val="24"/>
              </w:rPr>
            </w:pPr>
            <w:r w:rsidRPr="005706FE">
              <w:rPr>
                <w:rFonts w:ascii="Times New Roman" w:hAnsi="Times New Roman" w:cs="Times New Roman"/>
                <w:b/>
                <w:sz w:val="24"/>
                <w:szCs w:val="24"/>
              </w:rPr>
              <w:t>Burden Hours</w:t>
            </w:r>
          </w:p>
        </w:tc>
        <w:tc>
          <w:tcPr>
            <w:tcW w:w="1620" w:type="dxa"/>
            <w:shd w:val="clear" w:color="auto" w:fill="auto"/>
            <w:vAlign w:val="center"/>
            <w:hideMark/>
          </w:tcPr>
          <w:p w:rsidR="000525FD" w:rsidRPr="00805A00" w:rsidP="00844EDF" w14:paraId="21F0E84D" w14:textId="480A5B7B">
            <w:pPr>
              <w:widowControl/>
              <w:spacing w:after="0" w:line="240" w:lineRule="auto"/>
              <w:ind w:left="-110" w:right="-20"/>
              <w:jc w:val="center"/>
              <w:rPr>
                <w:rFonts w:ascii="Times New Roman" w:eastAsia="Times New Roman" w:hAnsi="Times New Roman" w:cs="Times New Roman"/>
                <w:b/>
                <w:bCs/>
                <w:sz w:val="24"/>
                <w:szCs w:val="24"/>
              </w:rPr>
            </w:pPr>
            <w:r w:rsidRPr="005706FE">
              <w:rPr>
                <w:rFonts w:ascii="Times New Roman" w:hAnsi="Times New Roman" w:cs="Times New Roman"/>
                <w:b/>
                <w:sz w:val="24"/>
                <w:szCs w:val="24"/>
              </w:rPr>
              <w:t>Total Burden Costs (per Respondent)</w:t>
            </w:r>
          </w:p>
        </w:tc>
        <w:tc>
          <w:tcPr>
            <w:tcW w:w="1620" w:type="dxa"/>
            <w:shd w:val="clear" w:color="auto" w:fill="auto"/>
            <w:vAlign w:val="center"/>
            <w:hideMark/>
          </w:tcPr>
          <w:p w:rsidR="000525FD" w:rsidRPr="00805A00" w:rsidP="00844EDF" w14:paraId="320C951C" w14:textId="342E04F9">
            <w:pPr>
              <w:widowControl/>
              <w:spacing w:after="0" w:line="240" w:lineRule="auto"/>
              <w:ind w:left="-110" w:right="-20"/>
              <w:jc w:val="center"/>
              <w:rPr>
                <w:rFonts w:ascii="Times New Roman" w:eastAsia="Times New Roman" w:hAnsi="Times New Roman" w:cs="Times New Roman"/>
                <w:b/>
                <w:bCs/>
                <w:sz w:val="24"/>
                <w:szCs w:val="24"/>
              </w:rPr>
            </w:pPr>
            <w:r w:rsidRPr="005706FE">
              <w:rPr>
                <w:rFonts w:ascii="Times New Roman" w:hAnsi="Times New Roman" w:cs="Times New Roman"/>
                <w:b/>
                <w:sz w:val="24"/>
                <w:szCs w:val="24"/>
              </w:rPr>
              <w:t>Total Burden Costs (All Respondents)</w:t>
            </w:r>
          </w:p>
        </w:tc>
      </w:tr>
      <w:tr w14:paraId="113AB52D" w14:textId="77777777" w:rsidTr="00844EDF">
        <w:tblPrEx>
          <w:tblW w:w="9625" w:type="dxa"/>
          <w:tblLayout w:type="fixed"/>
          <w:tblLook w:val="04A0"/>
        </w:tblPrEx>
        <w:trPr>
          <w:trHeight w:val="620"/>
        </w:trPr>
        <w:tc>
          <w:tcPr>
            <w:tcW w:w="2155" w:type="dxa"/>
            <w:shd w:val="clear" w:color="auto" w:fill="auto"/>
            <w:vAlign w:val="center"/>
            <w:hideMark/>
          </w:tcPr>
          <w:p w:rsidR="00C22E98" w:rsidRPr="00805A00" w:rsidP="00E632D2" w14:paraId="3778AE51" w14:textId="77777777">
            <w:pPr>
              <w:widowControl/>
              <w:spacing w:after="0" w:line="240" w:lineRule="auto"/>
              <w:rPr>
                <w:rFonts w:ascii="Times New Roman" w:eastAsia="Times New Roman" w:hAnsi="Times New Roman" w:cs="Times New Roman"/>
                <w:sz w:val="24"/>
                <w:szCs w:val="24"/>
              </w:rPr>
            </w:pPr>
            <w:r w:rsidRPr="00900EAE">
              <w:rPr>
                <w:rFonts w:ascii="Times New Roman" w:eastAsia="Times New Roman" w:hAnsi="Times New Roman" w:cs="Times New Roman"/>
                <w:sz w:val="24"/>
                <w:szCs w:val="24"/>
              </w:rPr>
              <w:t>Web and Digital Interface Designer</w:t>
            </w:r>
          </w:p>
        </w:tc>
        <w:tc>
          <w:tcPr>
            <w:tcW w:w="1530" w:type="dxa"/>
            <w:shd w:val="clear" w:color="auto" w:fill="auto"/>
            <w:vAlign w:val="center"/>
            <w:hideMark/>
          </w:tcPr>
          <w:p w:rsidR="00C22E98" w:rsidRPr="00805A00" w:rsidP="00844EDF" w14:paraId="2BC4293A" w14:textId="328EC666">
            <w:pPr>
              <w:widowControl/>
              <w:spacing w:after="0" w:line="240" w:lineRule="auto"/>
              <w:ind w:left="-110"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8B7811">
              <w:rPr>
                <w:rFonts w:ascii="Times New Roman" w:eastAsia="Times New Roman" w:hAnsi="Times New Roman" w:cs="Times New Roman"/>
                <w:sz w:val="24"/>
                <w:szCs w:val="24"/>
              </w:rPr>
              <w:t>0</w:t>
            </w:r>
            <w:r>
              <w:rPr>
                <w:rFonts w:ascii="Times New Roman" w:eastAsia="Times New Roman" w:hAnsi="Times New Roman" w:cs="Times New Roman"/>
                <w:sz w:val="24"/>
                <w:szCs w:val="24"/>
              </w:rPr>
              <w:t>0</w:t>
            </w:r>
          </w:p>
        </w:tc>
        <w:tc>
          <w:tcPr>
            <w:tcW w:w="1710" w:type="dxa"/>
            <w:shd w:val="clear" w:color="auto" w:fill="auto"/>
            <w:vAlign w:val="center"/>
            <w:hideMark/>
          </w:tcPr>
          <w:p w:rsidR="00C22E98" w:rsidRPr="00805A00" w:rsidP="00844EDF" w14:paraId="1F6E5AB5" w14:textId="2A5E1192">
            <w:pPr>
              <w:widowControl/>
              <w:spacing w:after="0" w:line="240" w:lineRule="auto"/>
              <w:ind w:left="-110"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961813">
              <w:rPr>
                <w:rFonts w:ascii="Times New Roman" w:eastAsia="Times New Roman" w:hAnsi="Times New Roman" w:cs="Times New Roman"/>
                <w:sz w:val="24"/>
                <w:szCs w:val="24"/>
              </w:rPr>
              <w:t>80.04</w:t>
            </w:r>
          </w:p>
        </w:tc>
        <w:tc>
          <w:tcPr>
            <w:tcW w:w="990" w:type="dxa"/>
            <w:shd w:val="clear" w:color="auto" w:fill="auto"/>
            <w:vAlign w:val="center"/>
            <w:hideMark/>
          </w:tcPr>
          <w:p w:rsidR="00C22E98" w:rsidRPr="00805A00" w:rsidP="00844EDF" w14:paraId="679A93EA" w14:textId="77777777">
            <w:pPr>
              <w:widowControl/>
              <w:spacing w:after="0" w:line="240" w:lineRule="auto"/>
              <w:ind w:left="-110"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620" w:type="dxa"/>
            <w:shd w:val="clear" w:color="auto" w:fill="auto"/>
            <w:vAlign w:val="center"/>
            <w:hideMark/>
          </w:tcPr>
          <w:p w:rsidR="00C22E98" w:rsidRPr="00805A00" w:rsidP="00844EDF" w14:paraId="411AB530" w14:textId="75D4D1B2">
            <w:pPr>
              <w:widowControl/>
              <w:spacing w:after="0" w:line="240" w:lineRule="auto"/>
              <w:ind w:left="-110"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961813">
              <w:rPr>
                <w:rFonts w:ascii="Times New Roman" w:eastAsia="Times New Roman" w:hAnsi="Times New Roman" w:cs="Times New Roman"/>
                <w:sz w:val="24"/>
                <w:szCs w:val="24"/>
              </w:rPr>
              <w:t>2,401.20</w:t>
            </w:r>
          </w:p>
        </w:tc>
        <w:tc>
          <w:tcPr>
            <w:tcW w:w="1620" w:type="dxa"/>
            <w:shd w:val="clear" w:color="auto" w:fill="auto"/>
            <w:vAlign w:val="center"/>
            <w:hideMark/>
          </w:tcPr>
          <w:p w:rsidR="00C22E98" w:rsidRPr="00805A00" w:rsidP="00844EDF" w14:paraId="4DB41948" w14:textId="52B98EB8">
            <w:pPr>
              <w:widowControl/>
              <w:spacing w:after="0" w:line="240" w:lineRule="auto"/>
              <w:ind w:left="-110"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961813">
              <w:rPr>
                <w:rFonts w:ascii="Times New Roman" w:eastAsia="Times New Roman" w:hAnsi="Times New Roman" w:cs="Times New Roman"/>
                <w:sz w:val="24"/>
                <w:szCs w:val="24"/>
              </w:rPr>
              <w:t>2</w:t>
            </w:r>
            <w:r w:rsidR="008B7811">
              <w:rPr>
                <w:rFonts w:ascii="Times New Roman" w:eastAsia="Times New Roman" w:hAnsi="Times New Roman" w:cs="Times New Roman"/>
                <w:sz w:val="24"/>
                <w:szCs w:val="24"/>
              </w:rPr>
              <w:t>40,120.00</w:t>
            </w:r>
          </w:p>
        </w:tc>
      </w:tr>
      <w:tr w14:paraId="4538983F" w14:textId="77777777" w:rsidTr="00844EDF">
        <w:tblPrEx>
          <w:tblW w:w="9625" w:type="dxa"/>
          <w:tblLayout w:type="fixed"/>
          <w:tblLook w:val="04A0"/>
        </w:tblPrEx>
        <w:trPr>
          <w:trHeight w:val="413"/>
        </w:trPr>
        <w:tc>
          <w:tcPr>
            <w:tcW w:w="2155" w:type="dxa"/>
            <w:shd w:val="clear" w:color="auto" w:fill="auto"/>
            <w:vAlign w:val="center"/>
          </w:tcPr>
          <w:p w:rsidR="00C22E98" w:rsidRPr="00900EAE" w:rsidP="00E632D2" w14:paraId="144546E8" w14:textId="77777777">
            <w:pPr>
              <w:widowControl/>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Compliance Officer</w:t>
            </w:r>
          </w:p>
        </w:tc>
        <w:tc>
          <w:tcPr>
            <w:tcW w:w="1530" w:type="dxa"/>
            <w:shd w:val="clear" w:color="auto" w:fill="auto"/>
            <w:vAlign w:val="center"/>
          </w:tcPr>
          <w:p w:rsidR="00C22E98" w:rsidRPr="00805A00" w:rsidP="00844EDF" w14:paraId="40BDF7AA" w14:textId="33A4FE7D">
            <w:pPr>
              <w:widowControl/>
              <w:spacing w:after="0" w:line="240" w:lineRule="auto"/>
              <w:ind w:left="-110"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5</w:t>
            </w:r>
          </w:p>
        </w:tc>
        <w:tc>
          <w:tcPr>
            <w:tcW w:w="1710" w:type="dxa"/>
            <w:shd w:val="clear" w:color="auto" w:fill="auto"/>
            <w:vAlign w:val="center"/>
          </w:tcPr>
          <w:p w:rsidR="00C22E98" w:rsidRPr="00805A00" w:rsidP="00844EDF" w14:paraId="52D3163D" w14:textId="740A75A9">
            <w:pPr>
              <w:widowControl/>
              <w:spacing w:after="0" w:line="240" w:lineRule="auto"/>
              <w:ind w:left="-110"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961813">
              <w:rPr>
                <w:rFonts w:ascii="Times New Roman" w:eastAsia="Times New Roman" w:hAnsi="Times New Roman" w:cs="Times New Roman"/>
                <w:sz w:val="24"/>
                <w:szCs w:val="24"/>
              </w:rPr>
              <w:t>68.94</w:t>
            </w:r>
          </w:p>
        </w:tc>
        <w:tc>
          <w:tcPr>
            <w:tcW w:w="990" w:type="dxa"/>
            <w:shd w:val="clear" w:color="auto" w:fill="auto"/>
            <w:vAlign w:val="center"/>
          </w:tcPr>
          <w:p w:rsidR="00C22E98" w:rsidRPr="00805A00" w:rsidP="00844EDF" w14:paraId="07090811" w14:textId="77777777">
            <w:pPr>
              <w:widowControl/>
              <w:spacing w:after="0" w:line="240" w:lineRule="auto"/>
              <w:ind w:left="-110"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620" w:type="dxa"/>
            <w:shd w:val="clear" w:color="auto" w:fill="auto"/>
            <w:vAlign w:val="center"/>
          </w:tcPr>
          <w:p w:rsidR="00C22E98" w:rsidRPr="00805A00" w:rsidP="00844EDF" w14:paraId="008728DB" w14:textId="3A01B01F">
            <w:pPr>
              <w:widowControl/>
              <w:spacing w:after="0" w:line="240" w:lineRule="auto"/>
              <w:ind w:left="-110"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961813">
              <w:rPr>
                <w:rFonts w:ascii="Times New Roman" w:eastAsia="Times New Roman" w:hAnsi="Times New Roman" w:cs="Times New Roman"/>
                <w:sz w:val="24"/>
                <w:szCs w:val="24"/>
              </w:rPr>
              <w:t>206.82</w:t>
            </w:r>
          </w:p>
        </w:tc>
        <w:tc>
          <w:tcPr>
            <w:tcW w:w="1620" w:type="dxa"/>
            <w:shd w:val="clear" w:color="auto" w:fill="auto"/>
            <w:vAlign w:val="center"/>
          </w:tcPr>
          <w:p w:rsidR="00C22E98" w:rsidRPr="00805A00" w:rsidP="00844EDF" w14:paraId="5C370145" w14:textId="225B37B3">
            <w:pPr>
              <w:widowControl/>
              <w:spacing w:after="0" w:line="240" w:lineRule="auto"/>
              <w:ind w:left="-110"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8B7811">
              <w:rPr>
                <w:rFonts w:ascii="Times New Roman" w:eastAsia="Times New Roman" w:hAnsi="Times New Roman" w:cs="Times New Roman"/>
                <w:sz w:val="24"/>
                <w:szCs w:val="24"/>
              </w:rPr>
              <w:t>5,170.50</w:t>
            </w:r>
          </w:p>
        </w:tc>
      </w:tr>
      <w:tr w14:paraId="1D387876" w14:textId="77777777" w:rsidTr="00A76BA5">
        <w:tblPrEx>
          <w:tblW w:w="9625" w:type="dxa"/>
          <w:tblLayout w:type="fixed"/>
          <w:tblLook w:val="04A0"/>
        </w:tblPrEx>
        <w:trPr>
          <w:trHeight w:hRule="exact" w:val="397"/>
        </w:trPr>
        <w:tc>
          <w:tcPr>
            <w:tcW w:w="2155" w:type="dxa"/>
            <w:shd w:val="clear" w:color="auto" w:fill="auto"/>
            <w:vAlign w:val="center"/>
            <w:hideMark/>
          </w:tcPr>
          <w:p w:rsidR="00A915BC" w:rsidRPr="003341CA" w:rsidP="00A915BC" w14:paraId="27358892" w14:textId="21B1B5D5">
            <w:pPr>
              <w:widowControl/>
              <w:spacing w:after="0" w:line="240" w:lineRule="auto"/>
              <w:rPr>
                <w:rFonts w:ascii="Times New Roman" w:eastAsia="Times New Roman" w:hAnsi="Times New Roman" w:cs="Times New Roman"/>
                <w:b/>
                <w:bCs/>
                <w:sz w:val="24"/>
                <w:szCs w:val="24"/>
              </w:rPr>
            </w:pPr>
            <w:r w:rsidRPr="003341CA">
              <w:rPr>
                <w:rFonts w:ascii="Times New Roman" w:eastAsia="Times New Roman" w:hAnsi="Times New Roman" w:cs="Times New Roman"/>
                <w:b/>
                <w:bCs/>
                <w:sz w:val="24"/>
                <w:szCs w:val="24"/>
              </w:rPr>
              <w:t>Total</w:t>
            </w:r>
            <w:r w:rsidR="00702186">
              <w:rPr>
                <w:rFonts w:ascii="Times New Roman" w:eastAsia="Times New Roman" w:hAnsi="Times New Roman" w:cs="Times New Roman"/>
                <w:b/>
                <w:bCs/>
                <w:sz w:val="24"/>
                <w:szCs w:val="24"/>
              </w:rPr>
              <w:t xml:space="preserve"> - Annual</w:t>
            </w:r>
          </w:p>
        </w:tc>
        <w:tc>
          <w:tcPr>
            <w:tcW w:w="1530" w:type="dxa"/>
            <w:shd w:val="clear" w:color="auto" w:fill="auto"/>
            <w:vAlign w:val="center"/>
            <w:hideMark/>
          </w:tcPr>
          <w:p w:rsidR="00A915BC" w:rsidRPr="007905CE" w:rsidP="00844EDF" w14:paraId="4BC52128" w14:textId="20748BD8">
            <w:pPr>
              <w:widowControl/>
              <w:spacing w:after="0" w:line="240" w:lineRule="auto"/>
              <w:ind w:left="-110" w:right="-20"/>
              <w:jc w:val="center"/>
              <w:rPr>
                <w:rFonts w:ascii="Times New Roman" w:eastAsia="Times New Roman" w:hAnsi="Times New Roman" w:cs="Times New Roman"/>
                <w:b/>
                <w:bCs/>
              </w:rPr>
            </w:pPr>
          </w:p>
        </w:tc>
        <w:tc>
          <w:tcPr>
            <w:tcW w:w="1710" w:type="dxa"/>
            <w:shd w:val="clear" w:color="auto" w:fill="auto"/>
            <w:vAlign w:val="center"/>
            <w:hideMark/>
          </w:tcPr>
          <w:p w:rsidR="00A915BC" w:rsidRPr="003341CA" w:rsidP="00844EDF" w14:paraId="6495C662" w14:textId="28B00FFA">
            <w:pPr>
              <w:widowControl/>
              <w:spacing w:after="0" w:line="240" w:lineRule="auto"/>
              <w:ind w:left="-110" w:right="-20"/>
              <w:jc w:val="center"/>
              <w:rPr>
                <w:rFonts w:ascii="Calibri" w:eastAsia="Times New Roman" w:hAnsi="Calibri" w:cs="Calibri"/>
                <w:b/>
                <w:bCs/>
              </w:rPr>
            </w:pPr>
          </w:p>
        </w:tc>
        <w:tc>
          <w:tcPr>
            <w:tcW w:w="990" w:type="dxa"/>
            <w:shd w:val="clear" w:color="auto" w:fill="auto"/>
            <w:vAlign w:val="center"/>
            <w:hideMark/>
          </w:tcPr>
          <w:p w:rsidR="00A915BC" w:rsidRPr="003341CA" w:rsidP="00844EDF" w14:paraId="60E8890C" w14:textId="3225B1B0">
            <w:pPr>
              <w:widowControl/>
              <w:spacing w:after="0" w:line="240" w:lineRule="auto"/>
              <w:ind w:left="-110" w:right="-2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r w:rsidR="008B7811">
              <w:rPr>
                <w:rFonts w:ascii="Times New Roman" w:eastAsia="Times New Roman" w:hAnsi="Times New Roman" w:cs="Times New Roman"/>
                <w:b/>
                <w:bCs/>
                <w:sz w:val="24"/>
                <w:szCs w:val="24"/>
              </w:rPr>
              <w:t>07</w:t>
            </w:r>
            <w:r>
              <w:rPr>
                <w:rFonts w:ascii="Times New Roman" w:eastAsia="Times New Roman" w:hAnsi="Times New Roman" w:cs="Times New Roman"/>
                <w:b/>
                <w:bCs/>
                <w:sz w:val="24"/>
                <w:szCs w:val="24"/>
              </w:rPr>
              <w:t>5</w:t>
            </w:r>
          </w:p>
        </w:tc>
        <w:tc>
          <w:tcPr>
            <w:tcW w:w="1620" w:type="dxa"/>
            <w:shd w:val="clear" w:color="auto" w:fill="auto"/>
            <w:vAlign w:val="center"/>
            <w:hideMark/>
          </w:tcPr>
          <w:p w:rsidR="00A915BC" w:rsidRPr="003341CA" w:rsidP="00844EDF" w14:paraId="53DE7D55" w14:textId="24476067">
            <w:pPr>
              <w:widowControl/>
              <w:spacing w:after="0" w:line="240" w:lineRule="auto"/>
              <w:ind w:left="-110" w:right="-20"/>
              <w:jc w:val="center"/>
              <w:rPr>
                <w:rFonts w:ascii="Times New Roman" w:eastAsia="Times New Roman" w:hAnsi="Times New Roman" w:cs="Times New Roman"/>
                <w:b/>
                <w:bCs/>
                <w:sz w:val="24"/>
                <w:szCs w:val="24"/>
              </w:rPr>
            </w:pPr>
          </w:p>
        </w:tc>
        <w:tc>
          <w:tcPr>
            <w:tcW w:w="1620" w:type="dxa"/>
            <w:shd w:val="clear" w:color="auto" w:fill="auto"/>
            <w:vAlign w:val="center"/>
            <w:hideMark/>
          </w:tcPr>
          <w:p w:rsidR="00A915BC" w:rsidRPr="003341CA" w:rsidP="00844EDF" w14:paraId="197AF5E8" w14:textId="46266643">
            <w:pPr>
              <w:widowControl/>
              <w:spacing w:after="0" w:line="240" w:lineRule="auto"/>
              <w:ind w:left="-110" w:right="-20"/>
              <w:jc w:val="center"/>
              <w:rPr>
                <w:rFonts w:ascii="Times New Roman" w:eastAsia="Times New Roman" w:hAnsi="Times New Roman" w:cs="Times New Roman"/>
                <w:b/>
                <w:bCs/>
                <w:sz w:val="24"/>
                <w:szCs w:val="24"/>
              </w:rPr>
            </w:pPr>
            <w:r w:rsidRPr="003341CA">
              <w:rPr>
                <w:rFonts w:ascii="Times New Roman" w:hAnsi="Times New Roman" w:cs="Times New Roman"/>
                <w:b/>
                <w:bCs/>
                <w:color w:val="000000"/>
                <w:sz w:val="24"/>
                <w:szCs w:val="24"/>
              </w:rPr>
              <w:t>$</w:t>
            </w:r>
            <w:r w:rsidR="00961813">
              <w:rPr>
                <w:rFonts w:ascii="Times New Roman" w:hAnsi="Times New Roman" w:cs="Times New Roman"/>
                <w:b/>
                <w:bCs/>
                <w:color w:val="000000"/>
                <w:sz w:val="24"/>
                <w:szCs w:val="24"/>
              </w:rPr>
              <w:t>2</w:t>
            </w:r>
            <w:r w:rsidR="008B7811">
              <w:rPr>
                <w:rFonts w:ascii="Times New Roman" w:hAnsi="Times New Roman" w:cs="Times New Roman"/>
                <w:b/>
                <w:bCs/>
                <w:color w:val="000000"/>
                <w:sz w:val="24"/>
                <w:szCs w:val="24"/>
              </w:rPr>
              <w:t>45,290.50</w:t>
            </w:r>
          </w:p>
        </w:tc>
      </w:tr>
      <w:bookmarkEnd w:id="62"/>
      <w:bookmarkEnd w:id="63"/>
    </w:tbl>
    <w:p w:rsidR="003341CA" w:rsidP="00234238" w14:paraId="7F2F9C27" w14:textId="77777777">
      <w:pPr>
        <w:autoSpaceDE w:val="0"/>
        <w:autoSpaceDN w:val="0"/>
        <w:adjustRightInd w:val="0"/>
        <w:spacing w:after="0" w:line="240" w:lineRule="auto"/>
        <w:rPr>
          <w:rFonts w:ascii="Times New Roman" w:eastAsia="Times New Roman" w:hAnsi="Times New Roman" w:cs="Times New Roman"/>
          <w:b/>
          <w:bCs/>
          <w:snapToGrid w:val="0"/>
          <w:sz w:val="24"/>
          <w:szCs w:val="24"/>
          <w:u w:val="single"/>
        </w:rPr>
      </w:pPr>
    </w:p>
    <w:p w:rsidR="00815FDA" w:rsidRPr="003341CA" w:rsidP="00234238" w14:paraId="120C7911" w14:textId="29EFCD63">
      <w:pPr>
        <w:autoSpaceDE w:val="0"/>
        <w:autoSpaceDN w:val="0"/>
        <w:adjustRightInd w:val="0"/>
        <w:spacing w:after="0" w:line="240" w:lineRule="auto"/>
        <w:rPr>
          <w:rFonts w:ascii="Times New Roman" w:eastAsia="Times New Roman" w:hAnsi="Times New Roman" w:cs="Times New Roman"/>
          <w:snapToGrid w:val="0"/>
          <w:sz w:val="24"/>
          <w:szCs w:val="24"/>
        </w:rPr>
      </w:pPr>
      <w:bookmarkStart w:id="64" w:name="_Hlk159958254"/>
      <w:r w:rsidRPr="00D87A4C">
        <w:rPr>
          <w:rFonts w:ascii="Times New Roman" w:eastAsia="Times New Roman" w:hAnsi="Times New Roman" w:cs="Times New Roman"/>
          <w:b/>
          <w:bCs/>
          <w:snapToGrid w:val="0"/>
          <w:sz w:val="24"/>
          <w:szCs w:val="24"/>
        </w:rPr>
        <w:t xml:space="preserve">Requirements for </w:t>
      </w:r>
      <w:r w:rsidRPr="00D87A4C" w:rsidR="00FB51A5">
        <w:rPr>
          <w:rFonts w:ascii="Times New Roman" w:eastAsia="Times New Roman" w:hAnsi="Times New Roman" w:cs="Times New Roman"/>
          <w:b/>
          <w:bCs/>
          <w:snapToGrid w:val="0"/>
          <w:sz w:val="24"/>
          <w:szCs w:val="24"/>
        </w:rPr>
        <w:t xml:space="preserve">Web-brokers </w:t>
      </w:r>
      <w:r w:rsidRPr="00D87A4C">
        <w:rPr>
          <w:rFonts w:ascii="Times New Roman" w:eastAsia="Times New Roman" w:hAnsi="Times New Roman" w:cs="Times New Roman"/>
          <w:b/>
          <w:bCs/>
          <w:snapToGrid w:val="0"/>
          <w:sz w:val="24"/>
          <w:szCs w:val="24"/>
        </w:rPr>
        <w:t>Operating in State</w:t>
      </w:r>
      <w:r w:rsidRPr="00D87A4C" w:rsidR="003341CA">
        <w:rPr>
          <w:rFonts w:ascii="Times New Roman" w:eastAsia="Times New Roman" w:hAnsi="Times New Roman" w:cs="Times New Roman"/>
          <w:b/>
          <w:bCs/>
          <w:snapToGrid w:val="0"/>
          <w:sz w:val="24"/>
          <w:szCs w:val="24"/>
        </w:rPr>
        <w:t xml:space="preserve"> </w:t>
      </w:r>
      <w:r w:rsidRPr="00D87A4C">
        <w:rPr>
          <w:rFonts w:ascii="Times New Roman" w:eastAsia="Times New Roman" w:hAnsi="Times New Roman" w:cs="Times New Roman"/>
          <w:b/>
          <w:bCs/>
          <w:snapToGrid w:val="0"/>
          <w:sz w:val="24"/>
          <w:szCs w:val="24"/>
        </w:rPr>
        <w:t>Exchanges (45 C.F.R §155.220(c)(4)(iii</w:t>
      </w:r>
      <w:r w:rsidRPr="00D87A4C">
        <w:rPr>
          <w:rFonts w:ascii="Times New Roman" w:eastAsia="Times New Roman" w:hAnsi="Times New Roman" w:cs="Times New Roman"/>
          <w:snapToGrid w:val="0"/>
          <w:sz w:val="24"/>
          <w:szCs w:val="24"/>
        </w:rPr>
        <w:t>)</w:t>
      </w:r>
      <w:bookmarkStart w:id="65" w:name="_Hlk148533772"/>
      <w:r w:rsidRPr="00D87A4C">
        <w:rPr>
          <w:rFonts w:ascii="Times New Roman" w:eastAsia="Times New Roman" w:hAnsi="Times New Roman" w:cs="Times New Roman"/>
          <w:snapToGrid w:val="0"/>
          <w:sz w:val="24"/>
          <w:szCs w:val="24"/>
        </w:rPr>
        <w:t>:</w:t>
      </w:r>
      <w:r w:rsidRPr="003341CA">
        <w:rPr>
          <w:rFonts w:ascii="Times New Roman" w:eastAsia="Times New Roman" w:hAnsi="Times New Roman" w:cs="Times New Roman"/>
          <w:snapToGrid w:val="0"/>
          <w:sz w:val="24"/>
          <w:szCs w:val="24"/>
        </w:rPr>
        <w:t xml:space="preserve">  </w:t>
      </w:r>
      <w:r w:rsidRPr="003341CA" w:rsidR="007B5245">
        <w:t xml:space="preserve"> </w:t>
      </w:r>
      <w:bookmarkEnd w:id="64"/>
      <w:bookmarkEnd w:id="65"/>
      <w:r w:rsidRPr="003341CA" w:rsidR="007B5245">
        <w:rPr>
          <w:rFonts w:ascii="Times New Roman" w:eastAsia="Times New Roman" w:hAnsi="Times New Roman" w:cs="Times New Roman"/>
          <w:snapToGrid w:val="0"/>
          <w:sz w:val="24"/>
          <w:szCs w:val="24"/>
        </w:rPr>
        <w:t xml:space="preserve">We estimate that it will take up to </w:t>
      </w:r>
      <w:r w:rsidR="00A934D4">
        <w:rPr>
          <w:rFonts w:ascii="Times New Roman" w:eastAsia="Times New Roman" w:hAnsi="Times New Roman" w:cs="Times New Roman"/>
          <w:snapToGrid w:val="0"/>
          <w:sz w:val="24"/>
          <w:szCs w:val="24"/>
        </w:rPr>
        <w:t>240</w:t>
      </w:r>
      <w:r w:rsidRPr="003341CA" w:rsidR="007B5245">
        <w:rPr>
          <w:rFonts w:ascii="Times New Roman" w:eastAsia="Times New Roman" w:hAnsi="Times New Roman" w:cs="Times New Roman"/>
          <w:snapToGrid w:val="0"/>
          <w:sz w:val="24"/>
          <w:szCs w:val="24"/>
        </w:rPr>
        <w:t xml:space="preserve"> hours at an hourly cost of $</w:t>
      </w:r>
      <w:r w:rsidR="00F376BF">
        <w:rPr>
          <w:rFonts w:ascii="Times New Roman" w:eastAsia="Times New Roman" w:hAnsi="Times New Roman" w:cs="Times New Roman"/>
          <w:snapToGrid w:val="0"/>
          <w:sz w:val="24"/>
          <w:szCs w:val="24"/>
        </w:rPr>
        <w:t>94.04</w:t>
      </w:r>
      <w:r w:rsidRPr="003341CA" w:rsidR="007B5245">
        <w:rPr>
          <w:rFonts w:ascii="Times New Roman" w:eastAsia="Times New Roman" w:hAnsi="Times New Roman" w:cs="Times New Roman"/>
          <w:snapToGrid w:val="0"/>
          <w:sz w:val="24"/>
          <w:szCs w:val="24"/>
        </w:rPr>
        <w:t xml:space="preserve"> for a </w:t>
      </w:r>
      <w:r w:rsidR="001871A6">
        <w:rPr>
          <w:rFonts w:ascii="Times New Roman" w:eastAsia="Times New Roman" w:hAnsi="Times New Roman" w:cs="Times New Roman"/>
          <w:snapToGrid w:val="0"/>
          <w:sz w:val="24"/>
          <w:szCs w:val="24"/>
        </w:rPr>
        <w:t>C</w:t>
      </w:r>
      <w:r w:rsidRPr="003341CA" w:rsidR="007B5245">
        <w:rPr>
          <w:rFonts w:ascii="Times New Roman" w:eastAsia="Times New Roman" w:hAnsi="Times New Roman" w:cs="Times New Roman"/>
          <w:snapToGrid w:val="0"/>
          <w:sz w:val="24"/>
          <w:szCs w:val="24"/>
        </w:rPr>
        <w:t xml:space="preserve">omputer </w:t>
      </w:r>
      <w:r w:rsidR="001871A6">
        <w:rPr>
          <w:rFonts w:ascii="Times New Roman" w:eastAsia="Times New Roman" w:hAnsi="Times New Roman" w:cs="Times New Roman"/>
          <w:snapToGrid w:val="0"/>
          <w:sz w:val="24"/>
          <w:szCs w:val="24"/>
        </w:rPr>
        <w:t>P</w:t>
      </w:r>
      <w:r w:rsidRPr="003341CA" w:rsidR="007B5245">
        <w:rPr>
          <w:rFonts w:ascii="Times New Roman" w:eastAsia="Times New Roman" w:hAnsi="Times New Roman" w:cs="Times New Roman"/>
          <w:snapToGrid w:val="0"/>
          <w:sz w:val="24"/>
          <w:szCs w:val="24"/>
        </w:rPr>
        <w:t xml:space="preserve">rogrammer to perform the necessary programming, and </w:t>
      </w:r>
      <w:r w:rsidR="00A934D4">
        <w:rPr>
          <w:rFonts w:ascii="Times New Roman" w:eastAsia="Times New Roman" w:hAnsi="Times New Roman" w:cs="Times New Roman"/>
          <w:snapToGrid w:val="0"/>
          <w:sz w:val="24"/>
          <w:szCs w:val="24"/>
        </w:rPr>
        <w:t>10</w:t>
      </w:r>
      <w:r w:rsidRPr="003341CA" w:rsidR="007B5245">
        <w:rPr>
          <w:rFonts w:ascii="Times New Roman" w:eastAsia="Times New Roman" w:hAnsi="Times New Roman" w:cs="Times New Roman"/>
          <w:snapToGrid w:val="0"/>
          <w:sz w:val="24"/>
          <w:szCs w:val="24"/>
        </w:rPr>
        <w:t xml:space="preserve"> hours at an hourly cost of $</w:t>
      </w:r>
      <w:r w:rsidR="005E3F50">
        <w:rPr>
          <w:rFonts w:ascii="Times New Roman" w:eastAsia="Times New Roman" w:hAnsi="Times New Roman" w:cs="Times New Roman"/>
          <w:snapToGrid w:val="0"/>
          <w:sz w:val="24"/>
          <w:szCs w:val="24"/>
        </w:rPr>
        <w:t>73.12</w:t>
      </w:r>
      <w:r w:rsidRPr="003341CA" w:rsidR="007B5245">
        <w:rPr>
          <w:rFonts w:ascii="Times New Roman" w:eastAsia="Times New Roman" w:hAnsi="Times New Roman" w:cs="Times New Roman"/>
          <w:snapToGrid w:val="0"/>
          <w:sz w:val="24"/>
          <w:szCs w:val="24"/>
        </w:rPr>
        <w:t xml:space="preserve"> for a </w:t>
      </w:r>
      <w:r w:rsidR="005E3F50">
        <w:rPr>
          <w:rFonts w:ascii="Times New Roman" w:eastAsia="Times New Roman" w:hAnsi="Times New Roman" w:cs="Times New Roman"/>
          <w:snapToGrid w:val="0"/>
          <w:sz w:val="24"/>
          <w:szCs w:val="24"/>
        </w:rPr>
        <w:t>Business Operations Specialist</w:t>
      </w:r>
      <w:r w:rsidRPr="003341CA" w:rsidR="007B5245">
        <w:rPr>
          <w:rFonts w:ascii="Times New Roman" w:eastAsia="Times New Roman" w:hAnsi="Times New Roman" w:cs="Times New Roman"/>
          <w:snapToGrid w:val="0"/>
          <w:sz w:val="24"/>
          <w:szCs w:val="24"/>
        </w:rPr>
        <w:t xml:space="preserve"> to develop a listing of affiliated third-party agents and brokers, </w:t>
      </w:r>
      <w:r w:rsidRPr="003341CA" w:rsidR="00537F85">
        <w:rPr>
          <w:rFonts w:ascii="Times New Roman" w:eastAsia="Times New Roman" w:hAnsi="Times New Roman" w:cs="Times New Roman"/>
          <w:sz w:val="24"/>
          <w:szCs w:val="24"/>
        </w:rPr>
        <w:t>$</w:t>
      </w:r>
      <w:r w:rsidR="00033FDC">
        <w:rPr>
          <w:rFonts w:ascii="Times New Roman" w:eastAsia="Times New Roman" w:hAnsi="Times New Roman" w:cs="Times New Roman"/>
          <w:sz w:val="24"/>
          <w:szCs w:val="24"/>
        </w:rPr>
        <w:t>4,660.16</w:t>
      </w:r>
      <w:r w:rsidRPr="003341CA" w:rsidR="007B5245">
        <w:rPr>
          <w:rFonts w:ascii="Times New Roman" w:eastAsia="Times New Roman" w:hAnsi="Times New Roman" w:cs="Times New Roman"/>
          <w:snapToGrid w:val="0"/>
          <w:sz w:val="24"/>
          <w:szCs w:val="24"/>
        </w:rPr>
        <w:t xml:space="preserve"> per web-broker</w:t>
      </w:r>
      <w:r w:rsidR="00A934D4">
        <w:rPr>
          <w:rFonts w:ascii="Times New Roman" w:eastAsia="Times New Roman" w:hAnsi="Times New Roman" w:cs="Times New Roman"/>
          <w:snapToGrid w:val="0"/>
          <w:sz w:val="24"/>
          <w:szCs w:val="24"/>
        </w:rPr>
        <w:t xml:space="preserve"> across five State Exchanges</w:t>
      </w:r>
      <w:r w:rsidRPr="003341CA" w:rsidR="007B5245">
        <w:rPr>
          <w:rFonts w:ascii="Times New Roman" w:eastAsia="Times New Roman" w:hAnsi="Times New Roman" w:cs="Times New Roman"/>
          <w:snapToGrid w:val="0"/>
          <w:sz w:val="24"/>
          <w:szCs w:val="24"/>
        </w:rPr>
        <w:t>. Assuming that approximately 2</w:t>
      </w:r>
      <w:r w:rsidR="00033FDC">
        <w:rPr>
          <w:rFonts w:ascii="Times New Roman" w:eastAsia="Times New Roman" w:hAnsi="Times New Roman" w:cs="Times New Roman"/>
          <w:snapToGrid w:val="0"/>
          <w:sz w:val="24"/>
          <w:szCs w:val="24"/>
        </w:rPr>
        <w:t>0</w:t>
      </w:r>
      <w:r w:rsidRPr="003341CA" w:rsidR="007B5245">
        <w:rPr>
          <w:rFonts w:ascii="Times New Roman" w:eastAsia="Times New Roman" w:hAnsi="Times New Roman" w:cs="Times New Roman"/>
          <w:snapToGrid w:val="0"/>
          <w:sz w:val="24"/>
          <w:szCs w:val="24"/>
        </w:rPr>
        <w:t xml:space="preserve"> web-brokers</w:t>
      </w:r>
      <w:r w:rsidRPr="003341CA" w:rsidR="00AE0A39">
        <w:rPr>
          <w:rFonts w:ascii="Times New Roman" w:eastAsia="Times New Roman" w:hAnsi="Times New Roman" w:cs="Times New Roman"/>
          <w:snapToGrid w:val="0"/>
          <w:sz w:val="24"/>
          <w:szCs w:val="24"/>
        </w:rPr>
        <w:t xml:space="preserve"> across five state Exchanges</w:t>
      </w:r>
      <w:r w:rsidRPr="003341CA" w:rsidR="007B5245">
        <w:rPr>
          <w:rFonts w:ascii="Times New Roman" w:eastAsia="Times New Roman" w:hAnsi="Times New Roman" w:cs="Times New Roman"/>
          <w:snapToGrid w:val="0"/>
          <w:sz w:val="24"/>
          <w:szCs w:val="24"/>
        </w:rPr>
        <w:t xml:space="preserve"> elect to access the </w:t>
      </w:r>
      <w:r w:rsidRPr="003341CA" w:rsidR="00276330">
        <w:rPr>
          <w:rFonts w:ascii="Times New Roman" w:eastAsia="Times New Roman" w:hAnsi="Times New Roman" w:cs="Times New Roman"/>
          <w:snapToGrid w:val="0"/>
          <w:sz w:val="24"/>
          <w:szCs w:val="24"/>
        </w:rPr>
        <w:t>State Exchange’s</w:t>
      </w:r>
      <w:r w:rsidRPr="003341CA" w:rsidR="007B5245">
        <w:rPr>
          <w:rFonts w:ascii="Times New Roman" w:eastAsia="Times New Roman" w:hAnsi="Times New Roman" w:cs="Times New Roman"/>
          <w:snapToGrid w:val="0"/>
          <w:sz w:val="24"/>
          <w:szCs w:val="24"/>
        </w:rPr>
        <w:t xml:space="preserve"> application programming interface and that each allows third-party agents to access their websites, we estimate that this provision would increase the annual burden </w:t>
      </w:r>
      <w:r w:rsidR="00702186">
        <w:rPr>
          <w:rFonts w:ascii="Times New Roman" w:eastAsia="Times New Roman" w:hAnsi="Times New Roman" w:cs="Times New Roman"/>
          <w:snapToGrid w:val="0"/>
          <w:sz w:val="24"/>
          <w:szCs w:val="24"/>
        </w:rPr>
        <w:t xml:space="preserve">of </w:t>
      </w:r>
      <w:r w:rsidR="00D57ED7">
        <w:rPr>
          <w:rFonts w:ascii="Times New Roman" w:eastAsia="Times New Roman" w:hAnsi="Times New Roman" w:cs="Times New Roman"/>
          <w:snapToGrid w:val="0"/>
          <w:sz w:val="24"/>
          <w:szCs w:val="24"/>
        </w:rPr>
        <w:t>5,000</w:t>
      </w:r>
      <w:r w:rsidR="00702186">
        <w:rPr>
          <w:rFonts w:ascii="Times New Roman" w:eastAsia="Times New Roman" w:hAnsi="Times New Roman" w:cs="Times New Roman"/>
          <w:snapToGrid w:val="0"/>
          <w:sz w:val="24"/>
          <w:szCs w:val="24"/>
        </w:rPr>
        <w:t xml:space="preserve"> hours with a cost </w:t>
      </w:r>
      <w:r w:rsidRPr="003341CA" w:rsidR="007B5245">
        <w:rPr>
          <w:rFonts w:ascii="Times New Roman" w:eastAsia="Times New Roman" w:hAnsi="Times New Roman" w:cs="Times New Roman"/>
          <w:snapToGrid w:val="0"/>
          <w:sz w:val="24"/>
          <w:szCs w:val="24"/>
        </w:rPr>
        <w:t xml:space="preserve">estimate </w:t>
      </w:r>
      <w:r w:rsidR="00702186">
        <w:rPr>
          <w:rFonts w:ascii="Times New Roman" w:eastAsia="Times New Roman" w:hAnsi="Times New Roman" w:cs="Times New Roman"/>
          <w:snapToGrid w:val="0"/>
          <w:sz w:val="24"/>
          <w:szCs w:val="24"/>
        </w:rPr>
        <w:t>of</w:t>
      </w:r>
      <w:r w:rsidRPr="003341CA" w:rsidR="00702186">
        <w:rPr>
          <w:rFonts w:ascii="Times New Roman" w:eastAsia="Times New Roman" w:hAnsi="Times New Roman" w:cs="Times New Roman"/>
          <w:snapToGrid w:val="0"/>
          <w:sz w:val="24"/>
          <w:szCs w:val="24"/>
        </w:rPr>
        <w:t xml:space="preserve"> </w:t>
      </w:r>
      <w:r w:rsidRPr="003341CA" w:rsidR="007B5245">
        <w:rPr>
          <w:rFonts w:ascii="Times New Roman" w:eastAsia="Times New Roman" w:hAnsi="Times New Roman" w:cs="Times New Roman"/>
          <w:snapToGrid w:val="0"/>
          <w:sz w:val="24"/>
          <w:szCs w:val="24"/>
        </w:rPr>
        <w:t>$</w:t>
      </w:r>
      <w:r w:rsidR="00A934D4">
        <w:rPr>
          <w:rFonts w:ascii="Times New Roman" w:eastAsia="Times New Roman" w:hAnsi="Times New Roman" w:cs="Times New Roman"/>
          <w:snapToGrid w:val="0"/>
          <w:sz w:val="24"/>
          <w:szCs w:val="24"/>
        </w:rPr>
        <w:t>466,016.00</w:t>
      </w:r>
      <w:r w:rsidRPr="003341CA" w:rsidR="007B5245">
        <w:rPr>
          <w:rFonts w:ascii="Times New Roman" w:eastAsia="Times New Roman" w:hAnsi="Times New Roman" w:cs="Times New Roman"/>
          <w:snapToGrid w:val="0"/>
          <w:sz w:val="24"/>
          <w:szCs w:val="24"/>
        </w:rPr>
        <w:t>.</w:t>
      </w:r>
    </w:p>
    <w:p w:rsidR="006A7E85" w:rsidP="00234238" w14:paraId="41356D72" w14:textId="77777777">
      <w:pPr>
        <w:autoSpaceDE w:val="0"/>
        <w:autoSpaceDN w:val="0"/>
        <w:adjustRightInd w:val="0"/>
        <w:spacing w:after="0" w:line="240" w:lineRule="auto"/>
        <w:rPr>
          <w:rFonts w:ascii="Times New Roman" w:eastAsia="Times New Roman" w:hAnsi="Times New Roman" w:cs="Times New Roman"/>
          <w:snapToGrid w:val="0"/>
          <w:sz w:val="24"/>
          <w:szCs w:val="24"/>
          <w:highlight w:val="yellow"/>
          <w:u w:val="single"/>
        </w:rPr>
      </w:pPr>
    </w:p>
    <w:p w:rsidR="00815FDA" w:rsidRPr="00A83073" w:rsidP="00234238" w14:paraId="607CF5E6" w14:textId="3C470F65">
      <w:pPr>
        <w:spacing w:after="0" w:line="240" w:lineRule="auto"/>
        <w:rPr>
          <w:rFonts w:ascii="Times New Roman" w:eastAsia="Times New Roman" w:hAnsi="Times New Roman" w:cs="Times New Roman"/>
          <w:sz w:val="24"/>
          <w:szCs w:val="24"/>
        </w:rPr>
      </w:pPr>
      <w:r w:rsidRPr="00A83073">
        <w:rPr>
          <w:rFonts w:ascii="Times New Roman" w:eastAsia="Times New Roman" w:hAnsi="Times New Roman" w:cs="Times New Roman"/>
          <w:sz w:val="24"/>
          <w:szCs w:val="24"/>
        </w:rPr>
        <w:t>T</w:t>
      </w:r>
      <w:r w:rsidRPr="00A83073">
        <w:rPr>
          <w:rFonts w:ascii="Times New Roman" w:hAnsi="Times New Roman" w:cs="Times New Roman"/>
          <w:spacing w:val="1"/>
          <w:sz w:val="24"/>
          <w:szCs w:val="24"/>
        </w:rPr>
        <w:t xml:space="preserve">able </w:t>
      </w:r>
      <w:r w:rsidR="00F376BF">
        <w:rPr>
          <w:rFonts w:ascii="Times New Roman" w:hAnsi="Times New Roman" w:cs="Times New Roman"/>
          <w:spacing w:val="1"/>
          <w:sz w:val="24"/>
          <w:szCs w:val="24"/>
        </w:rPr>
        <w:t xml:space="preserve">13 </w:t>
      </w:r>
      <w:r w:rsidRPr="00A83073">
        <w:rPr>
          <w:rFonts w:ascii="Times New Roman" w:hAnsi="Times New Roman" w:cs="Times New Roman"/>
          <w:spacing w:val="1"/>
          <w:sz w:val="24"/>
          <w:szCs w:val="24"/>
        </w:rPr>
        <w:t>below displays the burden for web-</w:t>
      </w:r>
      <w:r w:rsidRPr="00A83073">
        <w:rPr>
          <w:rFonts w:ascii="Times New Roman" w:eastAsia="Times New Roman" w:hAnsi="Times New Roman" w:cs="Times New Roman"/>
          <w:sz w:val="24"/>
          <w:szCs w:val="24"/>
        </w:rPr>
        <w:t>b</w:t>
      </w:r>
      <w:r w:rsidRPr="00A83073">
        <w:rPr>
          <w:rFonts w:ascii="Times New Roman" w:eastAsia="Times New Roman" w:hAnsi="Times New Roman" w:cs="Times New Roman"/>
          <w:spacing w:val="-1"/>
          <w:sz w:val="24"/>
          <w:szCs w:val="24"/>
        </w:rPr>
        <w:t>r</w:t>
      </w:r>
      <w:r w:rsidRPr="00A83073">
        <w:rPr>
          <w:rFonts w:ascii="Times New Roman" w:eastAsia="Times New Roman" w:hAnsi="Times New Roman" w:cs="Times New Roman"/>
          <w:sz w:val="24"/>
          <w:szCs w:val="24"/>
        </w:rPr>
        <w:t>ok</w:t>
      </w:r>
      <w:r w:rsidRPr="00A83073">
        <w:rPr>
          <w:rFonts w:ascii="Times New Roman" w:eastAsia="Times New Roman" w:hAnsi="Times New Roman" w:cs="Times New Roman"/>
          <w:spacing w:val="-1"/>
          <w:sz w:val="24"/>
          <w:szCs w:val="24"/>
        </w:rPr>
        <w:t>e</w:t>
      </w:r>
      <w:r w:rsidRPr="00A83073">
        <w:rPr>
          <w:rFonts w:ascii="Times New Roman" w:eastAsia="Times New Roman" w:hAnsi="Times New Roman" w:cs="Times New Roman"/>
          <w:sz w:val="24"/>
          <w:szCs w:val="24"/>
        </w:rPr>
        <w:t xml:space="preserve">rs to provide this list of contracted agents and brokers to the </w:t>
      </w:r>
      <w:r w:rsidR="00276330">
        <w:rPr>
          <w:rFonts w:ascii="Times New Roman" w:eastAsia="Times New Roman" w:hAnsi="Times New Roman" w:cs="Times New Roman"/>
          <w:sz w:val="24"/>
          <w:szCs w:val="24"/>
        </w:rPr>
        <w:t>State Exchange</w:t>
      </w:r>
      <w:r w:rsidRPr="00A83073">
        <w:rPr>
          <w:rFonts w:ascii="Times New Roman" w:eastAsia="Times New Roman" w:hAnsi="Times New Roman" w:cs="Times New Roman"/>
          <w:sz w:val="24"/>
          <w:szCs w:val="24"/>
        </w:rPr>
        <w:t>.</w:t>
      </w:r>
    </w:p>
    <w:p w:rsidR="00815FDA" w:rsidRPr="00A83073" w:rsidP="00234238" w14:paraId="34F2607B" w14:textId="77777777">
      <w:pPr>
        <w:spacing w:after="0" w:line="240" w:lineRule="auto"/>
        <w:rPr>
          <w:rFonts w:ascii="Times New Roman" w:eastAsia="Times New Roman" w:hAnsi="Times New Roman" w:cs="Times New Roman"/>
          <w:sz w:val="24"/>
          <w:szCs w:val="24"/>
        </w:rPr>
      </w:pPr>
    </w:p>
    <w:p w:rsidR="00815FDA" w:rsidRPr="00A83073" w:rsidP="00234238" w14:paraId="516C260D" w14:textId="0D266A5D">
      <w:pPr>
        <w:pStyle w:val="Caption"/>
        <w:keepNext/>
        <w:rPr>
          <w:rFonts w:ascii="Times New Roman" w:hAnsi="Times New Roman" w:cs="Times New Roman"/>
          <w:b/>
          <w:i w:val="0"/>
          <w:sz w:val="24"/>
          <w:szCs w:val="24"/>
        </w:rPr>
      </w:pPr>
      <w:r w:rsidRPr="00A83073">
        <w:rPr>
          <w:rFonts w:ascii="Times New Roman" w:hAnsi="Times New Roman" w:cs="Times New Roman"/>
          <w:b/>
          <w:i w:val="0"/>
          <w:color w:val="auto"/>
          <w:sz w:val="24"/>
          <w:szCs w:val="24"/>
        </w:rPr>
        <w:t xml:space="preserve">Table </w:t>
      </w:r>
      <w:r w:rsidR="00F376BF">
        <w:rPr>
          <w:rFonts w:ascii="Times New Roman" w:hAnsi="Times New Roman" w:cs="Times New Roman"/>
          <w:b/>
          <w:i w:val="0"/>
          <w:color w:val="auto"/>
          <w:sz w:val="24"/>
          <w:szCs w:val="24"/>
        </w:rPr>
        <w:t>13</w:t>
      </w:r>
      <w:r w:rsidRPr="00A83073">
        <w:rPr>
          <w:rFonts w:ascii="Times New Roman" w:hAnsi="Times New Roman" w:cs="Times New Roman"/>
          <w:b/>
          <w:i w:val="0"/>
          <w:color w:val="auto"/>
          <w:sz w:val="24"/>
          <w:szCs w:val="24"/>
        </w:rPr>
        <w:t xml:space="preserve">: Burden to Web-Brokers to Provide the </w:t>
      </w:r>
      <w:r w:rsidR="00276330">
        <w:rPr>
          <w:rFonts w:ascii="Times New Roman" w:hAnsi="Times New Roman" w:cs="Times New Roman"/>
          <w:b/>
          <w:i w:val="0"/>
          <w:color w:val="auto"/>
          <w:sz w:val="24"/>
          <w:szCs w:val="24"/>
        </w:rPr>
        <w:t>State Exchange</w:t>
      </w:r>
      <w:r w:rsidRPr="00A83073">
        <w:rPr>
          <w:rFonts w:ascii="Times New Roman" w:hAnsi="Times New Roman" w:cs="Times New Roman"/>
          <w:b/>
          <w:i w:val="0"/>
          <w:color w:val="auto"/>
          <w:sz w:val="24"/>
          <w:szCs w:val="24"/>
        </w:rPr>
        <w:t xml:space="preserve"> a List of Agents or Brokers</w:t>
      </w:r>
    </w:p>
    <w:tbl>
      <w:tblPr>
        <w:tblCaption w:val="Table 9: Burden to Web-Brokers to Provide the FFE a List of Agents or Brokers "/>
        <w:tblW w:w="9445" w:type="dxa"/>
        <w:tblLayout w:type="fixed"/>
        <w:tblCellMar>
          <w:left w:w="0" w:type="dxa"/>
          <w:right w:w="0" w:type="dxa"/>
        </w:tblCellMar>
        <w:tblLook w:val="01E0"/>
      </w:tblPr>
      <w:tblGrid>
        <w:gridCol w:w="2065"/>
        <w:gridCol w:w="1440"/>
        <w:gridCol w:w="1800"/>
        <w:gridCol w:w="1080"/>
        <w:gridCol w:w="1530"/>
        <w:gridCol w:w="1530"/>
      </w:tblGrid>
      <w:tr w14:paraId="12C53F59" w14:textId="77777777" w:rsidTr="00844EDF">
        <w:tblPrEx>
          <w:tblW w:w="9445" w:type="dxa"/>
          <w:tblLayout w:type="fixed"/>
          <w:tblCellMar>
            <w:left w:w="0" w:type="dxa"/>
            <w:right w:w="0" w:type="dxa"/>
          </w:tblCellMar>
          <w:tblLook w:val="01E0"/>
        </w:tblPrEx>
        <w:trPr>
          <w:trHeight w:hRule="exact" w:val="1142"/>
        </w:trPr>
        <w:tc>
          <w:tcPr>
            <w:tcW w:w="2065" w:type="dxa"/>
            <w:tcBorders>
              <w:top w:val="single" w:sz="4" w:space="0" w:color="000000"/>
              <w:left w:val="single" w:sz="4" w:space="0" w:color="000000"/>
              <w:bottom w:val="single" w:sz="4" w:space="0" w:color="000000"/>
              <w:right w:val="single" w:sz="4" w:space="0" w:color="000000"/>
            </w:tcBorders>
          </w:tcPr>
          <w:p w:rsidR="00815FDA" w:rsidRPr="00A83073" w:rsidP="00650DDE" w14:paraId="3CFC929F" w14:textId="77777777">
            <w:pPr>
              <w:spacing w:after="0" w:line="240" w:lineRule="auto"/>
              <w:ind w:left="80" w:right="-20"/>
              <w:rPr>
                <w:rFonts w:ascii="Times New Roman" w:eastAsia="Times New Roman" w:hAnsi="Times New Roman" w:cs="Times New Roman"/>
                <w:b/>
                <w:bCs/>
                <w:sz w:val="24"/>
                <w:szCs w:val="24"/>
              </w:rPr>
            </w:pPr>
            <w:r w:rsidRPr="00A83073">
              <w:rPr>
                <w:rFonts w:ascii="Times New Roman" w:eastAsia="Times New Roman" w:hAnsi="Times New Roman" w:cs="Times New Roman"/>
                <w:b/>
                <w:bCs/>
                <w:spacing w:val="-5"/>
                <w:sz w:val="24"/>
                <w:szCs w:val="24"/>
              </w:rPr>
              <w:t>L</w:t>
            </w:r>
            <w:r w:rsidRPr="00A83073">
              <w:rPr>
                <w:rFonts w:ascii="Times New Roman" w:eastAsia="Times New Roman" w:hAnsi="Times New Roman" w:cs="Times New Roman"/>
                <w:b/>
                <w:bCs/>
                <w:spacing w:val="-1"/>
                <w:sz w:val="24"/>
                <w:szCs w:val="24"/>
              </w:rPr>
              <w:t>a</w:t>
            </w:r>
            <w:r w:rsidRPr="00A83073">
              <w:rPr>
                <w:rFonts w:ascii="Times New Roman" w:eastAsia="Times New Roman" w:hAnsi="Times New Roman" w:cs="Times New Roman"/>
                <w:b/>
                <w:bCs/>
                <w:sz w:val="24"/>
                <w:szCs w:val="24"/>
              </w:rPr>
              <w:t>bor</w:t>
            </w:r>
          </w:p>
          <w:p w:rsidR="00815FDA" w:rsidRPr="00A83073" w:rsidP="00650DDE" w14:paraId="4091A5B1" w14:textId="77777777">
            <w:pPr>
              <w:spacing w:after="0" w:line="240" w:lineRule="auto"/>
              <w:ind w:left="80" w:right="-20"/>
              <w:rPr>
                <w:rFonts w:ascii="Times New Roman" w:eastAsia="Times New Roman" w:hAnsi="Times New Roman" w:cs="Times New Roman"/>
                <w:b/>
                <w:bCs/>
                <w:sz w:val="24"/>
                <w:szCs w:val="24"/>
              </w:rPr>
            </w:pPr>
            <w:r w:rsidRPr="00A83073">
              <w:rPr>
                <w:rFonts w:ascii="Times New Roman" w:eastAsia="Times New Roman" w:hAnsi="Times New Roman" w:cs="Times New Roman"/>
                <w:b/>
                <w:bCs/>
                <w:spacing w:val="1"/>
                <w:sz w:val="24"/>
                <w:szCs w:val="24"/>
              </w:rPr>
              <w:t>C</w:t>
            </w:r>
            <w:r w:rsidRPr="00A83073">
              <w:rPr>
                <w:rFonts w:ascii="Times New Roman" w:eastAsia="Times New Roman" w:hAnsi="Times New Roman" w:cs="Times New Roman"/>
                <w:b/>
                <w:bCs/>
                <w:spacing w:val="-1"/>
                <w:sz w:val="24"/>
                <w:szCs w:val="24"/>
              </w:rPr>
              <w:t>a</w:t>
            </w:r>
            <w:r w:rsidRPr="00A83073">
              <w:rPr>
                <w:rFonts w:ascii="Times New Roman" w:eastAsia="Times New Roman" w:hAnsi="Times New Roman" w:cs="Times New Roman"/>
                <w:b/>
                <w:bCs/>
                <w:sz w:val="24"/>
                <w:szCs w:val="24"/>
              </w:rPr>
              <w:t>t</w:t>
            </w:r>
            <w:r w:rsidRPr="00A83073">
              <w:rPr>
                <w:rFonts w:ascii="Times New Roman" w:eastAsia="Times New Roman" w:hAnsi="Times New Roman" w:cs="Times New Roman"/>
                <w:b/>
                <w:bCs/>
                <w:spacing w:val="-1"/>
                <w:sz w:val="24"/>
                <w:szCs w:val="24"/>
              </w:rPr>
              <w:t>e</w:t>
            </w:r>
            <w:r w:rsidRPr="00A83073">
              <w:rPr>
                <w:rFonts w:ascii="Times New Roman" w:eastAsia="Times New Roman" w:hAnsi="Times New Roman" w:cs="Times New Roman"/>
                <w:b/>
                <w:bCs/>
                <w:spacing w:val="-2"/>
                <w:sz w:val="24"/>
                <w:szCs w:val="24"/>
              </w:rPr>
              <w:t>g</w:t>
            </w:r>
            <w:r w:rsidRPr="00A83073">
              <w:rPr>
                <w:rFonts w:ascii="Times New Roman" w:eastAsia="Times New Roman" w:hAnsi="Times New Roman" w:cs="Times New Roman"/>
                <w:b/>
                <w:bCs/>
                <w:sz w:val="24"/>
                <w:szCs w:val="24"/>
              </w:rPr>
              <w:t>o</w:t>
            </w:r>
            <w:r w:rsidRPr="00A83073">
              <w:rPr>
                <w:rFonts w:ascii="Times New Roman" w:eastAsia="Times New Roman" w:hAnsi="Times New Roman" w:cs="Times New Roman"/>
                <w:b/>
                <w:bCs/>
                <w:spacing w:val="-1"/>
                <w:sz w:val="24"/>
                <w:szCs w:val="24"/>
              </w:rPr>
              <w:t>r</w:t>
            </w:r>
            <w:r w:rsidRPr="00A83073">
              <w:rPr>
                <w:rFonts w:ascii="Times New Roman" w:eastAsia="Times New Roman" w:hAnsi="Times New Roman" w:cs="Times New Roman"/>
                <w:b/>
                <w:bCs/>
                <w:sz w:val="24"/>
                <w:szCs w:val="24"/>
              </w:rPr>
              <w:t>y</w:t>
            </w:r>
          </w:p>
        </w:tc>
        <w:tc>
          <w:tcPr>
            <w:tcW w:w="1440" w:type="dxa"/>
            <w:tcBorders>
              <w:top w:val="single" w:sz="4" w:space="0" w:color="000000"/>
              <w:left w:val="single" w:sz="4" w:space="0" w:color="000000"/>
              <w:bottom w:val="single" w:sz="4" w:space="0" w:color="000000"/>
              <w:right w:val="single" w:sz="4" w:space="0" w:color="000000"/>
            </w:tcBorders>
          </w:tcPr>
          <w:p w:rsidR="00815FDA" w:rsidRPr="00A83073" w:rsidP="00E632D2" w14:paraId="2E8E5F87" w14:textId="77777777">
            <w:pPr>
              <w:spacing w:after="0" w:line="240" w:lineRule="auto"/>
              <w:jc w:val="center"/>
              <w:rPr>
                <w:rFonts w:ascii="Times New Roman" w:eastAsia="Times New Roman" w:hAnsi="Times New Roman" w:cs="Times New Roman"/>
                <w:b/>
                <w:bCs/>
                <w:sz w:val="24"/>
                <w:szCs w:val="24"/>
              </w:rPr>
            </w:pPr>
            <w:r w:rsidRPr="00A83073">
              <w:rPr>
                <w:rFonts w:ascii="Times New Roman" w:eastAsia="Times New Roman" w:hAnsi="Times New Roman" w:cs="Times New Roman"/>
                <w:b/>
                <w:bCs/>
                <w:sz w:val="24"/>
                <w:szCs w:val="24"/>
              </w:rPr>
              <w:t>Numb</w:t>
            </w:r>
            <w:r w:rsidRPr="00A83073">
              <w:rPr>
                <w:rFonts w:ascii="Times New Roman" w:eastAsia="Times New Roman" w:hAnsi="Times New Roman" w:cs="Times New Roman"/>
                <w:b/>
                <w:bCs/>
                <w:spacing w:val="-1"/>
                <w:sz w:val="24"/>
                <w:szCs w:val="24"/>
              </w:rPr>
              <w:t>e</w:t>
            </w:r>
            <w:r w:rsidRPr="00A83073">
              <w:rPr>
                <w:rFonts w:ascii="Times New Roman" w:eastAsia="Times New Roman" w:hAnsi="Times New Roman" w:cs="Times New Roman"/>
                <w:b/>
                <w:bCs/>
                <w:sz w:val="24"/>
                <w:szCs w:val="24"/>
              </w:rPr>
              <w:t>r</w:t>
            </w:r>
            <w:r w:rsidRPr="00A83073">
              <w:rPr>
                <w:rFonts w:ascii="Times New Roman" w:eastAsia="Times New Roman" w:hAnsi="Times New Roman" w:cs="Times New Roman"/>
                <w:b/>
                <w:bCs/>
                <w:spacing w:val="-1"/>
                <w:sz w:val="24"/>
                <w:szCs w:val="24"/>
              </w:rPr>
              <w:t xml:space="preserve"> </w:t>
            </w:r>
            <w:r w:rsidRPr="00A83073">
              <w:rPr>
                <w:rFonts w:ascii="Times New Roman" w:eastAsia="Times New Roman" w:hAnsi="Times New Roman" w:cs="Times New Roman"/>
                <w:b/>
                <w:bCs/>
                <w:sz w:val="24"/>
                <w:szCs w:val="24"/>
              </w:rPr>
              <w:t>of</w:t>
            </w:r>
          </w:p>
          <w:p w:rsidR="00815FDA" w:rsidRPr="00A83073" w:rsidP="00E632D2" w14:paraId="26F38AEC" w14:textId="77777777">
            <w:pPr>
              <w:spacing w:after="0" w:line="240" w:lineRule="auto"/>
              <w:jc w:val="center"/>
              <w:rPr>
                <w:rFonts w:ascii="Times New Roman" w:eastAsia="Times New Roman" w:hAnsi="Times New Roman" w:cs="Times New Roman"/>
                <w:b/>
                <w:bCs/>
                <w:sz w:val="24"/>
                <w:szCs w:val="24"/>
              </w:rPr>
            </w:pPr>
            <w:r w:rsidRPr="00A83073">
              <w:rPr>
                <w:rFonts w:ascii="Times New Roman" w:eastAsia="Times New Roman" w:hAnsi="Times New Roman" w:cs="Times New Roman"/>
                <w:b/>
                <w:bCs/>
                <w:sz w:val="24"/>
                <w:szCs w:val="24"/>
              </w:rPr>
              <w:t>Respondents</w:t>
            </w:r>
          </w:p>
        </w:tc>
        <w:tc>
          <w:tcPr>
            <w:tcW w:w="1800" w:type="dxa"/>
            <w:tcBorders>
              <w:top w:val="single" w:sz="4" w:space="0" w:color="000000"/>
              <w:left w:val="single" w:sz="4" w:space="0" w:color="000000"/>
              <w:bottom w:val="single" w:sz="4" w:space="0" w:color="000000"/>
              <w:right w:val="single" w:sz="4" w:space="0" w:color="000000"/>
            </w:tcBorders>
          </w:tcPr>
          <w:p w:rsidR="00815FDA" w:rsidRPr="00A83073" w:rsidP="00E632D2" w14:paraId="68254125" w14:textId="77777777">
            <w:pPr>
              <w:spacing w:after="0" w:line="240" w:lineRule="auto"/>
              <w:jc w:val="center"/>
              <w:rPr>
                <w:rFonts w:ascii="Times New Roman" w:eastAsia="Times New Roman" w:hAnsi="Times New Roman" w:cs="Times New Roman"/>
                <w:b/>
                <w:bCs/>
                <w:sz w:val="24"/>
                <w:szCs w:val="24"/>
              </w:rPr>
            </w:pPr>
            <w:r w:rsidRPr="00A83073">
              <w:rPr>
                <w:rFonts w:ascii="Times New Roman" w:eastAsia="Times New Roman" w:hAnsi="Times New Roman" w:cs="Times New Roman"/>
                <w:b/>
                <w:bCs/>
                <w:sz w:val="24"/>
                <w:szCs w:val="24"/>
              </w:rPr>
              <w:t>Hou</w:t>
            </w:r>
            <w:r w:rsidRPr="00A83073">
              <w:rPr>
                <w:rFonts w:ascii="Times New Roman" w:eastAsia="Times New Roman" w:hAnsi="Times New Roman" w:cs="Times New Roman"/>
                <w:b/>
                <w:bCs/>
                <w:spacing w:val="-1"/>
                <w:sz w:val="24"/>
                <w:szCs w:val="24"/>
              </w:rPr>
              <w:t>r</w:t>
            </w:r>
            <w:r w:rsidRPr="00A83073">
              <w:rPr>
                <w:rFonts w:ascii="Times New Roman" w:eastAsia="Times New Roman" w:hAnsi="Times New Roman" w:cs="Times New Roman"/>
                <w:b/>
                <w:bCs/>
                <w:sz w:val="24"/>
                <w:szCs w:val="24"/>
              </w:rPr>
              <w:t>ly</w:t>
            </w:r>
            <w:r w:rsidRPr="00A83073">
              <w:rPr>
                <w:rFonts w:ascii="Times New Roman" w:eastAsia="Times New Roman" w:hAnsi="Times New Roman" w:cs="Times New Roman"/>
                <w:b/>
                <w:bCs/>
                <w:spacing w:val="-7"/>
                <w:sz w:val="24"/>
                <w:szCs w:val="24"/>
              </w:rPr>
              <w:t xml:space="preserve"> </w:t>
            </w:r>
            <w:r w:rsidRPr="00A83073">
              <w:rPr>
                <w:rFonts w:ascii="Times New Roman" w:eastAsia="Times New Roman" w:hAnsi="Times New Roman" w:cs="Times New Roman"/>
                <w:b/>
                <w:bCs/>
                <w:spacing w:val="-5"/>
                <w:sz w:val="24"/>
                <w:szCs w:val="24"/>
              </w:rPr>
              <w:t>L</w:t>
            </w:r>
            <w:r w:rsidRPr="00A83073">
              <w:rPr>
                <w:rFonts w:ascii="Times New Roman" w:eastAsia="Times New Roman" w:hAnsi="Times New Roman" w:cs="Times New Roman"/>
                <w:b/>
                <w:bCs/>
                <w:spacing w:val="-1"/>
                <w:sz w:val="24"/>
                <w:szCs w:val="24"/>
              </w:rPr>
              <w:t>a</w:t>
            </w:r>
            <w:r w:rsidRPr="00A83073">
              <w:rPr>
                <w:rFonts w:ascii="Times New Roman" w:eastAsia="Times New Roman" w:hAnsi="Times New Roman" w:cs="Times New Roman"/>
                <w:b/>
                <w:bCs/>
                <w:sz w:val="24"/>
                <w:szCs w:val="24"/>
              </w:rPr>
              <w:t xml:space="preserve">bor </w:t>
            </w:r>
            <w:r w:rsidRPr="00A83073">
              <w:rPr>
                <w:rFonts w:ascii="Times New Roman" w:eastAsia="Times New Roman" w:hAnsi="Times New Roman" w:cs="Times New Roman"/>
                <w:b/>
                <w:bCs/>
                <w:spacing w:val="1"/>
                <w:sz w:val="24"/>
                <w:szCs w:val="24"/>
              </w:rPr>
              <w:t>C</w:t>
            </w:r>
            <w:r w:rsidRPr="00A83073">
              <w:rPr>
                <w:rFonts w:ascii="Times New Roman" w:eastAsia="Times New Roman" w:hAnsi="Times New Roman" w:cs="Times New Roman"/>
                <w:b/>
                <w:bCs/>
                <w:sz w:val="24"/>
                <w:szCs w:val="24"/>
              </w:rPr>
              <w:t xml:space="preserve">osts </w:t>
            </w:r>
            <w:r w:rsidRPr="00A83073">
              <w:rPr>
                <w:rFonts w:ascii="Times New Roman" w:eastAsia="Times New Roman" w:hAnsi="Times New Roman" w:cs="Times New Roman"/>
                <w:b/>
                <w:bCs/>
                <w:spacing w:val="-1"/>
                <w:sz w:val="24"/>
                <w:szCs w:val="24"/>
              </w:rPr>
              <w:t>(</w:t>
            </w:r>
            <w:r w:rsidRPr="00A83073">
              <w:rPr>
                <w:rFonts w:ascii="Times New Roman" w:eastAsia="Times New Roman" w:hAnsi="Times New Roman" w:cs="Times New Roman"/>
                <w:b/>
                <w:bCs/>
                <w:sz w:val="24"/>
                <w:szCs w:val="24"/>
              </w:rPr>
              <w:t>Hou</w:t>
            </w:r>
            <w:r w:rsidRPr="00A83073">
              <w:rPr>
                <w:rFonts w:ascii="Times New Roman" w:eastAsia="Times New Roman" w:hAnsi="Times New Roman" w:cs="Times New Roman"/>
                <w:b/>
                <w:bCs/>
                <w:spacing w:val="-1"/>
                <w:sz w:val="24"/>
                <w:szCs w:val="24"/>
              </w:rPr>
              <w:t>r</w:t>
            </w:r>
            <w:r w:rsidRPr="00A83073">
              <w:rPr>
                <w:rFonts w:ascii="Times New Roman" w:eastAsia="Times New Roman" w:hAnsi="Times New Roman" w:cs="Times New Roman"/>
                <w:b/>
                <w:bCs/>
                <w:sz w:val="24"/>
                <w:szCs w:val="24"/>
              </w:rPr>
              <w:t xml:space="preserve">ly </w:t>
            </w:r>
            <w:r w:rsidRPr="00A83073">
              <w:rPr>
                <w:rFonts w:ascii="Times New Roman" w:eastAsia="Times New Roman" w:hAnsi="Times New Roman" w:cs="Times New Roman"/>
                <w:b/>
                <w:bCs/>
                <w:spacing w:val="-1"/>
                <w:sz w:val="24"/>
                <w:szCs w:val="24"/>
              </w:rPr>
              <w:t>ra</w:t>
            </w:r>
            <w:r w:rsidRPr="00A83073">
              <w:rPr>
                <w:rFonts w:ascii="Times New Roman" w:eastAsia="Times New Roman" w:hAnsi="Times New Roman" w:cs="Times New Roman"/>
                <w:b/>
                <w:bCs/>
                <w:sz w:val="24"/>
                <w:szCs w:val="24"/>
              </w:rPr>
              <w:t>te</w:t>
            </w:r>
            <w:r w:rsidRPr="00A83073">
              <w:rPr>
                <w:rFonts w:ascii="Times New Roman" w:eastAsia="Times New Roman" w:hAnsi="Times New Roman" w:cs="Times New Roman"/>
                <w:b/>
                <w:bCs/>
                <w:spacing w:val="-1"/>
                <w:sz w:val="24"/>
                <w:szCs w:val="24"/>
              </w:rPr>
              <w:t xml:space="preserve"> </w:t>
            </w:r>
            <w:r w:rsidRPr="00A83073">
              <w:rPr>
                <w:rFonts w:ascii="Times New Roman" w:eastAsia="Times New Roman" w:hAnsi="Times New Roman" w:cs="Times New Roman"/>
                <w:b/>
                <w:bCs/>
                <w:sz w:val="24"/>
                <w:szCs w:val="24"/>
              </w:rPr>
              <w:t>+</w:t>
            </w:r>
            <w:r w:rsidRPr="00A83073">
              <w:rPr>
                <w:rFonts w:ascii="Times New Roman" w:eastAsia="Times New Roman" w:hAnsi="Times New Roman" w:cs="Times New Roman"/>
                <w:b/>
                <w:bCs/>
                <w:spacing w:val="-1"/>
                <w:sz w:val="24"/>
                <w:szCs w:val="24"/>
              </w:rPr>
              <w:t xml:space="preserve"> </w:t>
            </w:r>
            <w:r w:rsidRPr="00A83073">
              <w:rPr>
                <w:rFonts w:ascii="Times New Roman" w:eastAsia="Times New Roman" w:hAnsi="Times New Roman" w:cs="Times New Roman"/>
                <w:b/>
                <w:bCs/>
                <w:sz w:val="24"/>
                <w:szCs w:val="24"/>
              </w:rPr>
              <w:t xml:space="preserve">100% </w:t>
            </w:r>
            <w:r w:rsidRPr="00A83073">
              <w:rPr>
                <w:rFonts w:ascii="Times New Roman" w:eastAsia="Times New Roman" w:hAnsi="Times New Roman" w:cs="Times New Roman"/>
                <w:b/>
                <w:bCs/>
                <w:spacing w:val="-1"/>
                <w:sz w:val="24"/>
                <w:szCs w:val="24"/>
              </w:rPr>
              <w:t>Fr</w:t>
            </w:r>
            <w:r w:rsidRPr="00A83073">
              <w:rPr>
                <w:rFonts w:ascii="Times New Roman" w:eastAsia="Times New Roman" w:hAnsi="Times New Roman" w:cs="Times New Roman"/>
                <w:b/>
                <w:bCs/>
                <w:sz w:val="24"/>
                <w:szCs w:val="24"/>
              </w:rPr>
              <w:t>in</w:t>
            </w:r>
            <w:r w:rsidRPr="00A83073">
              <w:rPr>
                <w:rFonts w:ascii="Times New Roman" w:eastAsia="Times New Roman" w:hAnsi="Times New Roman" w:cs="Times New Roman"/>
                <w:b/>
                <w:bCs/>
                <w:spacing w:val="-2"/>
                <w:sz w:val="24"/>
                <w:szCs w:val="24"/>
              </w:rPr>
              <w:t>g</w:t>
            </w:r>
            <w:r w:rsidRPr="00A83073">
              <w:rPr>
                <w:rFonts w:ascii="Times New Roman" w:eastAsia="Times New Roman" w:hAnsi="Times New Roman" w:cs="Times New Roman"/>
                <w:b/>
                <w:bCs/>
                <w:sz w:val="24"/>
                <w:szCs w:val="24"/>
              </w:rPr>
              <w:t>e</w:t>
            </w:r>
            <w:r w:rsidRPr="00A83073">
              <w:rPr>
                <w:rFonts w:ascii="Times New Roman" w:eastAsia="Times New Roman" w:hAnsi="Times New Roman" w:cs="Times New Roman"/>
                <w:b/>
                <w:bCs/>
                <w:spacing w:val="-1"/>
                <w:sz w:val="24"/>
                <w:szCs w:val="24"/>
              </w:rPr>
              <w:t xml:space="preserve"> </w:t>
            </w:r>
            <w:r w:rsidRPr="00A83073">
              <w:rPr>
                <w:rFonts w:ascii="Times New Roman" w:eastAsia="Times New Roman" w:hAnsi="Times New Roman" w:cs="Times New Roman"/>
                <w:b/>
                <w:bCs/>
                <w:sz w:val="24"/>
                <w:szCs w:val="24"/>
              </w:rPr>
              <w:t>b</w:t>
            </w:r>
            <w:r w:rsidRPr="00A83073">
              <w:rPr>
                <w:rFonts w:ascii="Times New Roman" w:eastAsia="Times New Roman" w:hAnsi="Times New Roman" w:cs="Times New Roman"/>
                <w:b/>
                <w:bCs/>
                <w:spacing w:val="-1"/>
                <w:sz w:val="24"/>
                <w:szCs w:val="24"/>
              </w:rPr>
              <w:t>e</w:t>
            </w:r>
            <w:r w:rsidRPr="00A83073">
              <w:rPr>
                <w:rFonts w:ascii="Times New Roman" w:eastAsia="Times New Roman" w:hAnsi="Times New Roman" w:cs="Times New Roman"/>
                <w:b/>
                <w:bCs/>
                <w:sz w:val="24"/>
                <w:szCs w:val="24"/>
              </w:rPr>
              <w:t>n</w:t>
            </w:r>
            <w:r w:rsidRPr="00A83073">
              <w:rPr>
                <w:rFonts w:ascii="Times New Roman" w:eastAsia="Times New Roman" w:hAnsi="Times New Roman" w:cs="Times New Roman"/>
                <w:b/>
                <w:bCs/>
                <w:spacing w:val="-1"/>
                <w:sz w:val="24"/>
                <w:szCs w:val="24"/>
              </w:rPr>
              <w:t>ef</w:t>
            </w:r>
            <w:r w:rsidRPr="00A83073">
              <w:rPr>
                <w:rFonts w:ascii="Times New Roman" w:eastAsia="Times New Roman" w:hAnsi="Times New Roman" w:cs="Times New Roman"/>
                <w:b/>
                <w:bCs/>
                <w:sz w:val="24"/>
                <w:szCs w:val="24"/>
              </w:rPr>
              <w:t>its)</w:t>
            </w:r>
          </w:p>
        </w:tc>
        <w:tc>
          <w:tcPr>
            <w:tcW w:w="1080" w:type="dxa"/>
            <w:tcBorders>
              <w:top w:val="single" w:sz="4" w:space="0" w:color="000000"/>
              <w:left w:val="single" w:sz="4" w:space="0" w:color="000000"/>
              <w:bottom w:val="single" w:sz="4" w:space="0" w:color="000000"/>
              <w:right w:val="single" w:sz="4" w:space="0" w:color="000000"/>
            </w:tcBorders>
          </w:tcPr>
          <w:p w:rsidR="00815FDA" w:rsidRPr="00A83073" w:rsidP="00E632D2" w14:paraId="7841183B" w14:textId="77777777">
            <w:pPr>
              <w:spacing w:after="0" w:line="240" w:lineRule="auto"/>
              <w:jc w:val="center"/>
              <w:rPr>
                <w:rFonts w:ascii="Times New Roman" w:eastAsia="Times New Roman" w:hAnsi="Times New Roman" w:cs="Times New Roman"/>
                <w:b/>
                <w:bCs/>
                <w:sz w:val="24"/>
                <w:szCs w:val="24"/>
              </w:rPr>
            </w:pPr>
            <w:r w:rsidRPr="00A83073">
              <w:rPr>
                <w:rFonts w:ascii="Times New Roman" w:eastAsia="Times New Roman" w:hAnsi="Times New Roman" w:cs="Times New Roman"/>
                <w:b/>
                <w:bCs/>
                <w:spacing w:val="-2"/>
                <w:sz w:val="24"/>
                <w:szCs w:val="24"/>
              </w:rPr>
              <w:t>B</w:t>
            </w:r>
            <w:r w:rsidRPr="00A83073">
              <w:rPr>
                <w:rFonts w:ascii="Times New Roman" w:eastAsia="Times New Roman" w:hAnsi="Times New Roman" w:cs="Times New Roman"/>
                <w:b/>
                <w:bCs/>
                <w:sz w:val="24"/>
                <w:szCs w:val="24"/>
              </w:rPr>
              <w:t>u</w:t>
            </w:r>
            <w:r w:rsidRPr="00A83073">
              <w:rPr>
                <w:rFonts w:ascii="Times New Roman" w:eastAsia="Times New Roman" w:hAnsi="Times New Roman" w:cs="Times New Roman"/>
                <w:b/>
                <w:bCs/>
                <w:spacing w:val="-1"/>
                <w:sz w:val="24"/>
                <w:szCs w:val="24"/>
              </w:rPr>
              <w:t>r</w:t>
            </w:r>
            <w:r w:rsidRPr="00A83073">
              <w:rPr>
                <w:rFonts w:ascii="Times New Roman" w:eastAsia="Times New Roman" w:hAnsi="Times New Roman" w:cs="Times New Roman"/>
                <w:b/>
                <w:bCs/>
                <w:sz w:val="24"/>
                <w:szCs w:val="24"/>
              </w:rPr>
              <w:t>d</w:t>
            </w:r>
            <w:r w:rsidRPr="00A83073">
              <w:rPr>
                <w:rFonts w:ascii="Times New Roman" w:eastAsia="Times New Roman" w:hAnsi="Times New Roman" w:cs="Times New Roman"/>
                <w:b/>
                <w:bCs/>
                <w:spacing w:val="-1"/>
                <w:sz w:val="24"/>
                <w:szCs w:val="24"/>
              </w:rPr>
              <w:t>e</w:t>
            </w:r>
            <w:r w:rsidRPr="00A83073">
              <w:rPr>
                <w:rFonts w:ascii="Times New Roman" w:eastAsia="Times New Roman" w:hAnsi="Times New Roman" w:cs="Times New Roman"/>
                <w:b/>
                <w:bCs/>
                <w:sz w:val="24"/>
                <w:szCs w:val="24"/>
              </w:rPr>
              <w:t>n</w:t>
            </w:r>
          </w:p>
          <w:p w:rsidR="00815FDA" w:rsidRPr="00A83073" w:rsidP="00E632D2" w14:paraId="744B8FEF" w14:textId="77777777">
            <w:pPr>
              <w:spacing w:after="0" w:line="240" w:lineRule="auto"/>
              <w:jc w:val="center"/>
              <w:rPr>
                <w:rFonts w:ascii="Times New Roman" w:eastAsia="Times New Roman" w:hAnsi="Times New Roman" w:cs="Times New Roman"/>
                <w:b/>
                <w:bCs/>
                <w:sz w:val="24"/>
                <w:szCs w:val="24"/>
              </w:rPr>
            </w:pPr>
            <w:r w:rsidRPr="00A83073">
              <w:rPr>
                <w:rFonts w:ascii="Times New Roman" w:eastAsia="Times New Roman" w:hAnsi="Times New Roman" w:cs="Times New Roman"/>
                <w:b/>
                <w:bCs/>
                <w:sz w:val="24"/>
                <w:szCs w:val="24"/>
              </w:rPr>
              <w:t>Hou</w:t>
            </w:r>
            <w:r w:rsidRPr="00A83073">
              <w:rPr>
                <w:rFonts w:ascii="Times New Roman" w:eastAsia="Times New Roman" w:hAnsi="Times New Roman" w:cs="Times New Roman"/>
                <w:b/>
                <w:bCs/>
                <w:spacing w:val="-1"/>
                <w:sz w:val="24"/>
                <w:szCs w:val="24"/>
              </w:rPr>
              <w:t>r</w:t>
            </w:r>
            <w:r w:rsidRPr="00A83073">
              <w:rPr>
                <w:rFonts w:ascii="Times New Roman" w:eastAsia="Times New Roman" w:hAnsi="Times New Roman" w:cs="Times New Roman"/>
                <w:b/>
                <w:bCs/>
                <w:sz w:val="24"/>
                <w:szCs w:val="24"/>
              </w:rPr>
              <w:t>s</w:t>
            </w:r>
          </w:p>
        </w:tc>
        <w:tc>
          <w:tcPr>
            <w:tcW w:w="1530" w:type="dxa"/>
            <w:tcBorders>
              <w:top w:val="single" w:sz="4" w:space="0" w:color="000000"/>
              <w:left w:val="single" w:sz="4" w:space="0" w:color="000000"/>
              <w:bottom w:val="single" w:sz="4" w:space="0" w:color="000000"/>
              <w:right w:val="single" w:sz="4" w:space="0" w:color="000000"/>
            </w:tcBorders>
          </w:tcPr>
          <w:p w:rsidR="00815FDA" w:rsidRPr="00A83073" w:rsidP="00E632D2" w14:paraId="11DDB173" w14:textId="77777777">
            <w:pPr>
              <w:spacing w:after="0" w:line="240" w:lineRule="auto"/>
              <w:jc w:val="center"/>
              <w:rPr>
                <w:rFonts w:ascii="Times New Roman" w:eastAsia="Times New Roman" w:hAnsi="Times New Roman" w:cs="Times New Roman"/>
                <w:b/>
                <w:bCs/>
                <w:sz w:val="24"/>
                <w:szCs w:val="24"/>
              </w:rPr>
            </w:pPr>
            <w:r w:rsidRPr="00A83073">
              <w:rPr>
                <w:rFonts w:ascii="Times New Roman" w:eastAsia="Times New Roman" w:hAnsi="Times New Roman" w:cs="Times New Roman"/>
                <w:b/>
                <w:bCs/>
                <w:sz w:val="24"/>
                <w:szCs w:val="24"/>
              </w:rPr>
              <w:t>Tot</w:t>
            </w:r>
            <w:r w:rsidRPr="00A83073">
              <w:rPr>
                <w:rFonts w:ascii="Times New Roman" w:eastAsia="Times New Roman" w:hAnsi="Times New Roman" w:cs="Times New Roman"/>
                <w:b/>
                <w:bCs/>
                <w:spacing w:val="-1"/>
                <w:sz w:val="24"/>
                <w:szCs w:val="24"/>
              </w:rPr>
              <w:t>a</w:t>
            </w:r>
            <w:r w:rsidRPr="00A83073">
              <w:rPr>
                <w:rFonts w:ascii="Times New Roman" w:eastAsia="Times New Roman" w:hAnsi="Times New Roman" w:cs="Times New Roman"/>
                <w:b/>
                <w:bCs/>
                <w:sz w:val="24"/>
                <w:szCs w:val="24"/>
              </w:rPr>
              <w:t xml:space="preserve">l </w:t>
            </w:r>
            <w:r w:rsidRPr="00A83073">
              <w:rPr>
                <w:rFonts w:ascii="Times New Roman" w:eastAsia="Times New Roman" w:hAnsi="Times New Roman" w:cs="Times New Roman"/>
                <w:b/>
                <w:bCs/>
                <w:spacing w:val="-2"/>
                <w:sz w:val="24"/>
                <w:szCs w:val="24"/>
              </w:rPr>
              <w:t>B</w:t>
            </w:r>
            <w:r w:rsidRPr="00A83073">
              <w:rPr>
                <w:rFonts w:ascii="Times New Roman" w:eastAsia="Times New Roman" w:hAnsi="Times New Roman" w:cs="Times New Roman"/>
                <w:b/>
                <w:bCs/>
                <w:sz w:val="24"/>
                <w:szCs w:val="24"/>
              </w:rPr>
              <w:t>u</w:t>
            </w:r>
            <w:r w:rsidRPr="00A83073">
              <w:rPr>
                <w:rFonts w:ascii="Times New Roman" w:eastAsia="Times New Roman" w:hAnsi="Times New Roman" w:cs="Times New Roman"/>
                <w:b/>
                <w:bCs/>
                <w:spacing w:val="-1"/>
                <w:sz w:val="24"/>
                <w:szCs w:val="24"/>
              </w:rPr>
              <w:t>r</w:t>
            </w:r>
            <w:r w:rsidRPr="00A83073">
              <w:rPr>
                <w:rFonts w:ascii="Times New Roman" w:eastAsia="Times New Roman" w:hAnsi="Times New Roman" w:cs="Times New Roman"/>
                <w:b/>
                <w:bCs/>
                <w:sz w:val="24"/>
                <w:szCs w:val="24"/>
              </w:rPr>
              <w:t>d</w:t>
            </w:r>
            <w:r w:rsidRPr="00A83073">
              <w:rPr>
                <w:rFonts w:ascii="Times New Roman" w:eastAsia="Times New Roman" w:hAnsi="Times New Roman" w:cs="Times New Roman"/>
                <w:b/>
                <w:bCs/>
                <w:spacing w:val="-1"/>
                <w:sz w:val="24"/>
                <w:szCs w:val="24"/>
              </w:rPr>
              <w:t>e</w:t>
            </w:r>
            <w:r w:rsidRPr="00A83073">
              <w:rPr>
                <w:rFonts w:ascii="Times New Roman" w:eastAsia="Times New Roman" w:hAnsi="Times New Roman" w:cs="Times New Roman"/>
                <w:b/>
                <w:bCs/>
                <w:sz w:val="24"/>
                <w:szCs w:val="24"/>
              </w:rPr>
              <w:t>n</w:t>
            </w:r>
          </w:p>
          <w:p w:rsidR="00815FDA" w:rsidRPr="00A83073" w:rsidP="00E632D2" w14:paraId="00ED325E" w14:textId="77777777">
            <w:pPr>
              <w:spacing w:after="0" w:line="240" w:lineRule="auto"/>
              <w:jc w:val="center"/>
              <w:rPr>
                <w:rFonts w:ascii="Times New Roman" w:eastAsia="Times New Roman" w:hAnsi="Times New Roman" w:cs="Times New Roman"/>
                <w:b/>
                <w:bCs/>
                <w:sz w:val="24"/>
                <w:szCs w:val="24"/>
              </w:rPr>
            </w:pPr>
            <w:r w:rsidRPr="00A83073">
              <w:rPr>
                <w:rFonts w:ascii="Times New Roman" w:eastAsia="Times New Roman" w:hAnsi="Times New Roman" w:cs="Times New Roman"/>
                <w:b/>
                <w:bCs/>
                <w:spacing w:val="1"/>
                <w:sz w:val="24"/>
                <w:szCs w:val="24"/>
              </w:rPr>
              <w:t>C</w:t>
            </w:r>
            <w:r w:rsidRPr="00A83073">
              <w:rPr>
                <w:rFonts w:ascii="Times New Roman" w:eastAsia="Times New Roman" w:hAnsi="Times New Roman" w:cs="Times New Roman"/>
                <w:b/>
                <w:bCs/>
                <w:sz w:val="24"/>
                <w:szCs w:val="24"/>
              </w:rPr>
              <w:t xml:space="preserve">osts </w:t>
            </w:r>
            <w:r w:rsidRPr="00A83073">
              <w:rPr>
                <w:rFonts w:ascii="Times New Roman" w:eastAsia="Times New Roman" w:hAnsi="Times New Roman" w:cs="Times New Roman"/>
                <w:b/>
                <w:bCs/>
                <w:spacing w:val="-1"/>
                <w:sz w:val="24"/>
                <w:szCs w:val="24"/>
              </w:rPr>
              <w:t>(</w:t>
            </w:r>
            <w:r w:rsidRPr="00A83073">
              <w:rPr>
                <w:rFonts w:ascii="Times New Roman" w:eastAsia="Times New Roman" w:hAnsi="Times New Roman" w:cs="Times New Roman"/>
                <w:b/>
                <w:bCs/>
                <w:sz w:val="24"/>
                <w:szCs w:val="24"/>
              </w:rPr>
              <w:t>p</w:t>
            </w:r>
            <w:r w:rsidRPr="00A83073">
              <w:rPr>
                <w:rFonts w:ascii="Times New Roman" w:eastAsia="Times New Roman" w:hAnsi="Times New Roman" w:cs="Times New Roman"/>
                <w:b/>
                <w:bCs/>
                <w:spacing w:val="-1"/>
                <w:sz w:val="24"/>
                <w:szCs w:val="24"/>
              </w:rPr>
              <w:t>e</w:t>
            </w:r>
            <w:r w:rsidRPr="00A83073">
              <w:rPr>
                <w:rFonts w:ascii="Times New Roman" w:eastAsia="Times New Roman" w:hAnsi="Times New Roman" w:cs="Times New Roman"/>
                <w:b/>
                <w:bCs/>
                <w:sz w:val="24"/>
                <w:szCs w:val="24"/>
              </w:rPr>
              <w:t xml:space="preserve">r </w:t>
            </w:r>
            <w:r w:rsidRPr="00A83073">
              <w:rPr>
                <w:rFonts w:ascii="Times New Roman" w:eastAsia="Times New Roman" w:hAnsi="Times New Roman" w:cs="Times New Roman"/>
                <w:b/>
                <w:bCs/>
                <w:spacing w:val="-1"/>
                <w:sz w:val="24"/>
                <w:szCs w:val="24"/>
              </w:rPr>
              <w:t>Re</w:t>
            </w:r>
            <w:r w:rsidRPr="00A83073">
              <w:rPr>
                <w:rFonts w:ascii="Times New Roman" w:eastAsia="Times New Roman" w:hAnsi="Times New Roman" w:cs="Times New Roman"/>
                <w:b/>
                <w:bCs/>
                <w:sz w:val="24"/>
                <w:szCs w:val="24"/>
              </w:rPr>
              <w:t>spond</w:t>
            </w:r>
            <w:r w:rsidRPr="00A83073">
              <w:rPr>
                <w:rFonts w:ascii="Times New Roman" w:eastAsia="Times New Roman" w:hAnsi="Times New Roman" w:cs="Times New Roman"/>
                <w:b/>
                <w:bCs/>
                <w:spacing w:val="-1"/>
                <w:sz w:val="24"/>
                <w:szCs w:val="24"/>
              </w:rPr>
              <w:t>e</w:t>
            </w:r>
            <w:r w:rsidRPr="00A83073">
              <w:rPr>
                <w:rFonts w:ascii="Times New Roman" w:eastAsia="Times New Roman" w:hAnsi="Times New Roman" w:cs="Times New Roman"/>
                <w:b/>
                <w:bCs/>
                <w:sz w:val="24"/>
                <w:szCs w:val="24"/>
              </w:rPr>
              <w:t>nt)</w:t>
            </w:r>
          </w:p>
        </w:tc>
        <w:tc>
          <w:tcPr>
            <w:tcW w:w="1530" w:type="dxa"/>
            <w:tcBorders>
              <w:top w:val="single" w:sz="4" w:space="0" w:color="000000"/>
              <w:left w:val="single" w:sz="4" w:space="0" w:color="000000"/>
              <w:bottom w:val="single" w:sz="4" w:space="0" w:color="000000"/>
              <w:right w:val="single" w:sz="4" w:space="0" w:color="000000"/>
            </w:tcBorders>
          </w:tcPr>
          <w:p w:rsidR="00815FDA" w:rsidRPr="00A83073" w:rsidP="00E632D2" w14:paraId="26B1EC5C" w14:textId="77777777">
            <w:pPr>
              <w:spacing w:after="0" w:line="240" w:lineRule="auto"/>
              <w:jc w:val="center"/>
              <w:rPr>
                <w:rFonts w:ascii="Times New Roman" w:eastAsia="Times New Roman" w:hAnsi="Times New Roman" w:cs="Times New Roman"/>
                <w:b/>
                <w:bCs/>
                <w:sz w:val="24"/>
                <w:szCs w:val="24"/>
              </w:rPr>
            </w:pPr>
            <w:r w:rsidRPr="00A83073">
              <w:rPr>
                <w:rFonts w:ascii="Times New Roman" w:eastAsia="Times New Roman" w:hAnsi="Times New Roman" w:cs="Times New Roman"/>
                <w:b/>
                <w:bCs/>
                <w:sz w:val="24"/>
                <w:szCs w:val="24"/>
              </w:rPr>
              <w:t>Tot</w:t>
            </w:r>
            <w:r w:rsidRPr="00A83073">
              <w:rPr>
                <w:rFonts w:ascii="Times New Roman" w:eastAsia="Times New Roman" w:hAnsi="Times New Roman" w:cs="Times New Roman"/>
                <w:b/>
                <w:bCs/>
                <w:spacing w:val="-1"/>
                <w:sz w:val="24"/>
                <w:szCs w:val="24"/>
              </w:rPr>
              <w:t>a</w:t>
            </w:r>
            <w:r w:rsidRPr="00A83073">
              <w:rPr>
                <w:rFonts w:ascii="Times New Roman" w:eastAsia="Times New Roman" w:hAnsi="Times New Roman" w:cs="Times New Roman"/>
                <w:b/>
                <w:bCs/>
                <w:sz w:val="24"/>
                <w:szCs w:val="24"/>
              </w:rPr>
              <w:t xml:space="preserve">l </w:t>
            </w:r>
            <w:r w:rsidRPr="00A83073">
              <w:rPr>
                <w:rFonts w:ascii="Times New Roman" w:eastAsia="Times New Roman" w:hAnsi="Times New Roman" w:cs="Times New Roman"/>
                <w:b/>
                <w:bCs/>
                <w:spacing w:val="-2"/>
                <w:sz w:val="24"/>
                <w:szCs w:val="24"/>
              </w:rPr>
              <w:t>B</w:t>
            </w:r>
            <w:r w:rsidRPr="00A83073">
              <w:rPr>
                <w:rFonts w:ascii="Times New Roman" w:eastAsia="Times New Roman" w:hAnsi="Times New Roman" w:cs="Times New Roman"/>
                <w:b/>
                <w:bCs/>
                <w:sz w:val="24"/>
                <w:szCs w:val="24"/>
              </w:rPr>
              <w:t>u</w:t>
            </w:r>
            <w:r w:rsidRPr="00A83073">
              <w:rPr>
                <w:rFonts w:ascii="Times New Roman" w:eastAsia="Times New Roman" w:hAnsi="Times New Roman" w:cs="Times New Roman"/>
                <w:b/>
                <w:bCs/>
                <w:spacing w:val="-1"/>
                <w:sz w:val="24"/>
                <w:szCs w:val="24"/>
              </w:rPr>
              <w:t>r</w:t>
            </w:r>
            <w:r w:rsidRPr="00A83073">
              <w:rPr>
                <w:rFonts w:ascii="Times New Roman" w:eastAsia="Times New Roman" w:hAnsi="Times New Roman" w:cs="Times New Roman"/>
                <w:b/>
                <w:bCs/>
                <w:sz w:val="24"/>
                <w:szCs w:val="24"/>
              </w:rPr>
              <w:t>d</w:t>
            </w:r>
            <w:r w:rsidRPr="00A83073">
              <w:rPr>
                <w:rFonts w:ascii="Times New Roman" w:eastAsia="Times New Roman" w:hAnsi="Times New Roman" w:cs="Times New Roman"/>
                <w:b/>
                <w:bCs/>
                <w:spacing w:val="-1"/>
                <w:sz w:val="24"/>
                <w:szCs w:val="24"/>
              </w:rPr>
              <w:t>e</w:t>
            </w:r>
            <w:r w:rsidRPr="00A83073">
              <w:rPr>
                <w:rFonts w:ascii="Times New Roman" w:eastAsia="Times New Roman" w:hAnsi="Times New Roman" w:cs="Times New Roman"/>
                <w:b/>
                <w:bCs/>
                <w:sz w:val="24"/>
                <w:szCs w:val="24"/>
              </w:rPr>
              <w:t xml:space="preserve">n </w:t>
            </w:r>
            <w:r w:rsidRPr="00A83073">
              <w:rPr>
                <w:rFonts w:ascii="Times New Roman" w:eastAsia="Times New Roman" w:hAnsi="Times New Roman" w:cs="Times New Roman"/>
                <w:b/>
                <w:bCs/>
                <w:spacing w:val="1"/>
                <w:sz w:val="24"/>
                <w:szCs w:val="24"/>
              </w:rPr>
              <w:t>C</w:t>
            </w:r>
            <w:r w:rsidRPr="00A83073">
              <w:rPr>
                <w:rFonts w:ascii="Times New Roman" w:eastAsia="Times New Roman" w:hAnsi="Times New Roman" w:cs="Times New Roman"/>
                <w:b/>
                <w:bCs/>
                <w:sz w:val="24"/>
                <w:szCs w:val="24"/>
              </w:rPr>
              <w:t xml:space="preserve">osts </w:t>
            </w:r>
            <w:r w:rsidRPr="00A83073">
              <w:rPr>
                <w:rFonts w:ascii="Times New Roman" w:eastAsia="Times New Roman" w:hAnsi="Times New Roman" w:cs="Times New Roman"/>
                <w:b/>
                <w:bCs/>
                <w:spacing w:val="-1"/>
                <w:sz w:val="24"/>
                <w:szCs w:val="24"/>
              </w:rPr>
              <w:t>(</w:t>
            </w:r>
            <w:r w:rsidRPr="00A83073">
              <w:rPr>
                <w:rFonts w:ascii="Times New Roman" w:eastAsia="Times New Roman" w:hAnsi="Times New Roman" w:cs="Times New Roman"/>
                <w:b/>
                <w:bCs/>
                <w:sz w:val="24"/>
                <w:szCs w:val="24"/>
              </w:rPr>
              <w:t xml:space="preserve">All </w:t>
            </w:r>
            <w:r w:rsidRPr="00A83073">
              <w:rPr>
                <w:rFonts w:ascii="Times New Roman" w:eastAsia="Times New Roman" w:hAnsi="Times New Roman" w:cs="Times New Roman"/>
                <w:b/>
                <w:bCs/>
                <w:spacing w:val="1"/>
                <w:sz w:val="24"/>
                <w:szCs w:val="24"/>
              </w:rPr>
              <w:t>R</w:t>
            </w:r>
            <w:r w:rsidRPr="00A83073">
              <w:rPr>
                <w:rFonts w:ascii="Times New Roman" w:eastAsia="Times New Roman" w:hAnsi="Times New Roman" w:cs="Times New Roman"/>
                <w:b/>
                <w:bCs/>
                <w:spacing w:val="-1"/>
                <w:sz w:val="24"/>
                <w:szCs w:val="24"/>
              </w:rPr>
              <w:t>e</w:t>
            </w:r>
            <w:r w:rsidRPr="00A83073">
              <w:rPr>
                <w:rFonts w:ascii="Times New Roman" w:eastAsia="Times New Roman" w:hAnsi="Times New Roman" w:cs="Times New Roman"/>
                <w:b/>
                <w:bCs/>
                <w:sz w:val="24"/>
                <w:szCs w:val="24"/>
              </w:rPr>
              <w:t>spond</w:t>
            </w:r>
            <w:r w:rsidRPr="00A83073">
              <w:rPr>
                <w:rFonts w:ascii="Times New Roman" w:eastAsia="Times New Roman" w:hAnsi="Times New Roman" w:cs="Times New Roman"/>
                <w:b/>
                <w:bCs/>
                <w:spacing w:val="-1"/>
                <w:sz w:val="24"/>
                <w:szCs w:val="24"/>
              </w:rPr>
              <w:t>e</w:t>
            </w:r>
            <w:r w:rsidRPr="00A83073">
              <w:rPr>
                <w:rFonts w:ascii="Times New Roman" w:eastAsia="Times New Roman" w:hAnsi="Times New Roman" w:cs="Times New Roman"/>
                <w:b/>
                <w:bCs/>
                <w:sz w:val="24"/>
                <w:szCs w:val="24"/>
              </w:rPr>
              <w:t>nts)</w:t>
            </w:r>
          </w:p>
        </w:tc>
      </w:tr>
      <w:tr w14:paraId="00098A2F" w14:textId="77777777" w:rsidTr="00844EDF">
        <w:tblPrEx>
          <w:tblW w:w="9445" w:type="dxa"/>
          <w:tblLayout w:type="fixed"/>
          <w:tblCellMar>
            <w:left w:w="0" w:type="dxa"/>
            <w:right w:w="0" w:type="dxa"/>
          </w:tblCellMar>
          <w:tblLook w:val="01E0"/>
        </w:tblPrEx>
        <w:trPr>
          <w:trHeight w:hRule="exact" w:val="576"/>
        </w:trPr>
        <w:tc>
          <w:tcPr>
            <w:tcW w:w="2065" w:type="dxa"/>
            <w:tcBorders>
              <w:top w:val="single" w:sz="4" w:space="0" w:color="000000"/>
              <w:left w:val="single" w:sz="4" w:space="0" w:color="000000"/>
              <w:bottom w:val="single" w:sz="4" w:space="0" w:color="000000"/>
              <w:right w:val="single" w:sz="4" w:space="0" w:color="000000"/>
            </w:tcBorders>
          </w:tcPr>
          <w:p w:rsidR="00815FDA" w:rsidRPr="00A83073" w:rsidP="00650DDE" w14:paraId="341BE19B" w14:textId="77777777">
            <w:pPr>
              <w:spacing w:after="0" w:line="240" w:lineRule="auto"/>
              <w:ind w:left="80" w:right="-20"/>
              <w:rPr>
                <w:rFonts w:ascii="Times New Roman" w:eastAsia="Times New Roman" w:hAnsi="Times New Roman" w:cs="Times New Roman"/>
                <w:sz w:val="24"/>
                <w:szCs w:val="24"/>
              </w:rPr>
            </w:pPr>
            <w:r w:rsidRPr="00A83073">
              <w:rPr>
                <w:rFonts w:ascii="Times New Roman" w:eastAsia="Times New Roman" w:hAnsi="Times New Roman" w:cs="Times New Roman"/>
                <w:spacing w:val="1"/>
                <w:sz w:val="24"/>
                <w:szCs w:val="24"/>
              </w:rPr>
              <w:t>C</w:t>
            </w:r>
            <w:r w:rsidRPr="00A83073">
              <w:rPr>
                <w:rFonts w:ascii="Times New Roman" w:eastAsia="Times New Roman" w:hAnsi="Times New Roman" w:cs="Times New Roman"/>
                <w:sz w:val="24"/>
                <w:szCs w:val="24"/>
              </w:rPr>
              <w:t>omput</w:t>
            </w:r>
            <w:r w:rsidRPr="00A83073">
              <w:rPr>
                <w:rFonts w:ascii="Times New Roman" w:eastAsia="Times New Roman" w:hAnsi="Times New Roman" w:cs="Times New Roman"/>
                <w:spacing w:val="-1"/>
                <w:sz w:val="24"/>
                <w:szCs w:val="24"/>
              </w:rPr>
              <w:t>e</w:t>
            </w:r>
            <w:r w:rsidRPr="00A83073">
              <w:rPr>
                <w:rFonts w:ascii="Times New Roman" w:eastAsia="Times New Roman" w:hAnsi="Times New Roman" w:cs="Times New Roman"/>
                <w:sz w:val="24"/>
                <w:szCs w:val="24"/>
              </w:rPr>
              <w:t>r</w:t>
            </w:r>
          </w:p>
          <w:p w:rsidR="00815FDA" w:rsidRPr="00A83073" w:rsidP="00650DDE" w14:paraId="2CAAD635" w14:textId="77777777">
            <w:pPr>
              <w:spacing w:after="0" w:line="240" w:lineRule="auto"/>
              <w:ind w:left="80" w:right="-20"/>
              <w:rPr>
                <w:rFonts w:ascii="Times New Roman" w:eastAsia="Times New Roman" w:hAnsi="Times New Roman" w:cs="Times New Roman"/>
                <w:sz w:val="24"/>
                <w:szCs w:val="24"/>
              </w:rPr>
            </w:pPr>
            <w:r w:rsidRPr="00A83073">
              <w:rPr>
                <w:rFonts w:ascii="Times New Roman" w:eastAsia="Times New Roman" w:hAnsi="Times New Roman" w:cs="Times New Roman"/>
                <w:spacing w:val="1"/>
                <w:sz w:val="24"/>
                <w:szCs w:val="24"/>
              </w:rPr>
              <w:t>P</w:t>
            </w:r>
            <w:r w:rsidRPr="00A83073">
              <w:rPr>
                <w:rFonts w:ascii="Times New Roman" w:eastAsia="Times New Roman" w:hAnsi="Times New Roman" w:cs="Times New Roman"/>
                <w:spacing w:val="-1"/>
                <w:sz w:val="24"/>
                <w:szCs w:val="24"/>
              </w:rPr>
              <w:t>r</w:t>
            </w:r>
            <w:r w:rsidRPr="00A83073">
              <w:rPr>
                <w:rFonts w:ascii="Times New Roman" w:eastAsia="Times New Roman" w:hAnsi="Times New Roman" w:cs="Times New Roman"/>
                <w:sz w:val="24"/>
                <w:szCs w:val="24"/>
              </w:rPr>
              <w:t>o</w:t>
            </w:r>
            <w:r w:rsidRPr="00A83073">
              <w:rPr>
                <w:rFonts w:ascii="Times New Roman" w:eastAsia="Times New Roman" w:hAnsi="Times New Roman" w:cs="Times New Roman"/>
                <w:spacing w:val="-2"/>
                <w:sz w:val="24"/>
                <w:szCs w:val="24"/>
              </w:rPr>
              <w:t>g</w:t>
            </w:r>
            <w:r w:rsidRPr="00A83073">
              <w:rPr>
                <w:rFonts w:ascii="Times New Roman" w:eastAsia="Times New Roman" w:hAnsi="Times New Roman" w:cs="Times New Roman"/>
                <w:spacing w:val="-1"/>
                <w:sz w:val="24"/>
                <w:szCs w:val="24"/>
              </w:rPr>
              <w:t>ra</w:t>
            </w:r>
            <w:r w:rsidRPr="00A83073">
              <w:rPr>
                <w:rFonts w:ascii="Times New Roman" w:eastAsia="Times New Roman" w:hAnsi="Times New Roman" w:cs="Times New Roman"/>
                <w:sz w:val="24"/>
                <w:szCs w:val="24"/>
              </w:rPr>
              <w:t>mm</w:t>
            </w:r>
            <w:r w:rsidRPr="00A83073">
              <w:rPr>
                <w:rFonts w:ascii="Times New Roman" w:eastAsia="Times New Roman" w:hAnsi="Times New Roman" w:cs="Times New Roman"/>
                <w:spacing w:val="-1"/>
                <w:sz w:val="24"/>
                <w:szCs w:val="24"/>
              </w:rPr>
              <w:t>er</w:t>
            </w:r>
          </w:p>
        </w:tc>
        <w:tc>
          <w:tcPr>
            <w:tcW w:w="1440" w:type="dxa"/>
            <w:tcBorders>
              <w:top w:val="single" w:sz="4" w:space="0" w:color="000000"/>
              <w:left w:val="single" w:sz="4" w:space="0" w:color="000000"/>
              <w:bottom w:val="single" w:sz="4" w:space="0" w:color="000000"/>
              <w:right w:val="single" w:sz="4" w:space="0" w:color="000000"/>
            </w:tcBorders>
            <w:vAlign w:val="center"/>
          </w:tcPr>
          <w:p w:rsidR="00815FDA" w:rsidRPr="00A83073" w:rsidP="003341CA" w14:paraId="30E877C0" w14:textId="6FA727C1">
            <w:pPr>
              <w:spacing w:after="0" w:line="240" w:lineRule="auto"/>
              <w:jc w:val="center"/>
              <w:rPr>
                <w:rFonts w:ascii="Times New Roman" w:eastAsia="Times New Roman" w:hAnsi="Times New Roman" w:cs="Times New Roman"/>
                <w:sz w:val="24"/>
                <w:szCs w:val="24"/>
              </w:rPr>
            </w:pPr>
            <w:r w:rsidRPr="00A83073">
              <w:rPr>
                <w:rFonts w:ascii="Times New Roman" w:eastAsia="Times New Roman" w:hAnsi="Times New Roman" w:cs="Times New Roman"/>
                <w:sz w:val="24"/>
                <w:szCs w:val="24"/>
              </w:rPr>
              <w:t>2</w:t>
            </w:r>
            <w:r w:rsidR="00033FDC">
              <w:rPr>
                <w:rFonts w:ascii="Times New Roman" w:eastAsia="Times New Roman" w:hAnsi="Times New Roman" w:cs="Times New Roman"/>
                <w:sz w:val="24"/>
                <w:szCs w:val="24"/>
              </w:rPr>
              <w:t>0</w:t>
            </w:r>
          </w:p>
        </w:tc>
        <w:tc>
          <w:tcPr>
            <w:tcW w:w="1800" w:type="dxa"/>
            <w:tcBorders>
              <w:top w:val="single" w:sz="4" w:space="0" w:color="000000"/>
              <w:left w:val="single" w:sz="4" w:space="0" w:color="000000"/>
              <w:bottom w:val="single" w:sz="4" w:space="0" w:color="000000"/>
              <w:right w:val="single" w:sz="4" w:space="0" w:color="000000"/>
            </w:tcBorders>
            <w:vAlign w:val="center"/>
          </w:tcPr>
          <w:p w:rsidR="00815FDA" w:rsidRPr="00A83073" w:rsidP="003341CA" w14:paraId="6146BD54" w14:textId="15CB2F01">
            <w:pPr>
              <w:spacing w:after="0" w:line="240" w:lineRule="auto"/>
              <w:jc w:val="center"/>
              <w:rPr>
                <w:rFonts w:ascii="Times New Roman" w:eastAsia="Times New Roman" w:hAnsi="Times New Roman" w:cs="Times New Roman"/>
                <w:sz w:val="24"/>
                <w:szCs w:val="24"/>
              </w:rPr>
            </w:pPr>
            <w:r w:rsidRPr="00A83073">
              <w:rPr>
                <w:rFonts w:ascii="Times New Roman" w:eastAsia="Times New Roman" w:hAnsi="Times New Roman" w:cs="Times New Roman"/>
                <w:sz w:val="24"/>
                <w:szCs w:val="24"/>
              </w:rPr>
              <w:t>$</w:t>
            </w:r>
            <w:r w:rsidR="00F376BF">
              <w:rPr>
                <w:rFonts w:ascii="Times New Roman" w:eastAsia="Times New Roman" w:hAnsi="Times New Roman" w:cs="Times New Roman"/>
                <w:sz w:val="24"/>
                <w:szCs w:val="24"/>
              </w:rPr>
              <w:t>94.04</w:t>
            </w:r>
          </w:p>
        </w:tc>
        <w:tc>
          <w:tcPr>
            <w:tcW w:w="1080" w:type="dxa"/>
            <w:tcBorders>
              <w:top w:val="single" w:sz="4" w:space="0" w:color="000000"/>
              <w:left w:val="single" w:sz="4" w:space="0" w:color="000000"/>
              <w:bottom w:val="single" w:sz="4" w:space="0" w:color="000000"/>
              <w:right w:val="single" w:sz="4" w:space="0" w:color="000000"/>
            </w:tcBorders>
            <w:vAlign w:val="center"/>
          </w:tcPr>
          <w:p w:rsidR="00815FDA" w:rsidRPr="00A83073" w:rsidP="003341CA" w14:paraId="71DA2707" w14:textId="7AACFA5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240</w:t>
            </w:r>
          </w:p>
        </w:tc>
        <w:tc>
          <w:tcPr>
            <w:tcW w:w="1530" w:type="dxa"/>
            <w:tcBorders>
              <w:top w:val="single" w:sz="4" w:space="0" w:color="000000"/>
              <w:left w:val="single" w:sz="4" w:space="0" w:color="000000"/>
              <w:bottom w:val="single" w:sz="4" w:space="0" w:color="000000"/>
              <w:right w:val="single" w:sz="4" w:space="0" w:color="000000"/>
            </w:tcBorders>
            <w:vAlign w:val="center"/>
          </w:tcPr>
          <w:p w:rsidR="00815FDA" w:rsidRPr="00A83073" w:rsidP="003341CA" w14:paraId="59182217" w14:textId="590BE225">
            <w:pPr>
              <w:spacing w:after="0" w:line="240" w:lineRule="auto"/>
              <w:jc w:val="center"/>
              <w:rPr>
                <w:rFonts w:ascii="Times New Roman" w:eastAsia="Times New Roman" w:hAnsi="Times New Roman" w:cs="Times New Roman"/>
                <w:sz w:val="24"/>
                <w:szCs w:val="24"/>
              </w:rPr>
            </w:pPr>
            <w:r w:rsidRPr="00A83073">
              <w:rPr>
                <w:rFonts w:ascii="Times New Roman" w:eastAsia="Times New Roman" w:hAnsi="Times New Roman" w:cs="Times New Roman"/>
                <w:sz w:val="24"/>
                <w:szCs w:val="24"/>
              </w:rPr>
              <w:t>$</w:t>
            </w:r>
            <w:r w:rsidR="00A934D4">
              <w:rPr>
                <w:rFonts w:ascii="Times New Roman" w:eastAsia="Times New Roman" w:hAnsi="Times New Roman" w:cs="Times New Roman"/>
                <w:sz w:val="24"/>
                <w:szCs w:val="24"/>
              </w:rPr>
              <w:t>22,569.60</w:t>
            </w:r>
          </w:p>
        </w:tc>
        <w:tc>
          <w:tcPr>
            <w:tcW w:w="1530" w:type="dxa"/>
            <w:tcBorders>
              <w:top w:val="single" w:sz="4" w:space="0" w:color="000000"/>
              <w:left w:val="single" w:sz="4" w:space="0" w:color="000000"/>
              <w:bottom w:val="single" w:sz="4" w:space="0" w:color="000000"/>
              <w:right w:val="single" w:sz="4" w:space="0" w:color="000000"/>
            </w:tcBorders>
            <w:vAlign w:val="center"/>
          </w:tcPr>
          <w:p w:rsidR="00815FDA" w:rsidRPr="003341CA" w:rsidP="003341CA" w14:paraId="0DE0B196" w14:textId="37EF94DC">
            <w:pPr>
              <w:spacing w:after="0" w:line="240" w:lineRule="auto"/>
              <w:jc w:val="center"/>
              <w:rPr>
                <w:rFonts w:ascii="Times New Roman" w:hAnsi="Times New Roman" w:cs="Times New Roman"/>
                <w:sz w:val="24"/>
                <w:szCs w:val="24"/>
              </w:rPr>
            </w:pPr>
            <w:r w:rsidRPr="003341CA">
              <w:rPr>
                <w:rFonts w:ascii="Times New Roman" w:hAnsi="Times New Roman" w:cs="Times New Roman"/>
                <w:sz w:val="24"/>
                <w:szCs w:val="24"/>
              </w:rPr>
              <w:t>$</w:t>
            </w:r>
            <w:r w:rsidR="00A934D4">
              <w:rPr>
                <w:rFonts w:ascii="Times New Roman" w:hAnsi="Times New Roman" w:cs="Times New Roman"/>
                <w:sz w:val="24"/>
                <w:szCs w:val="24"/>
              </w:rPr>
              <w:t>451,392.00</w:t>
            </w:r>
          </w:p>
        </w:tc>
      </w:tr>
      <w:tr w14:paraId="16C97F36" w14:textId="77777777" w:rsidTr="00844EDF">
        <w:tblPrEx>
          <w:tblW w:w="9445" w:type="dxa"/>
          <w:tblLayout w:type="fixed"/>
          <w:tblCellMar>
            <w:left w:w="0" w:type="dxa"/>
            <w:right w:w="0" w:type="dxa"/>
          </w:tblCellMar>
          <w:tblLook w:val="01E0"/>
        </w:tblPrEx>
        <w:trPr>
          <w:trHeight w:val="605"/>
        </w:trPr>
        <w:tc>
          <w:tcPr>
            <w:tcW w:w="2065" w:type="dxa"/>
            <w:tcBorders>
              <w:top w:val="single" w:sz="4" w:space="0" w:color="000000"/>
              <w:left w:val="single" w:sz="4" w:space="0" w:color="000000"/>
              <w:right w:val="single" w:sz="4" w:space="0" w:color="000000"/>
            </w:tcBorders>
          </w:tcPr>
          <w:p w:rsidR="00815FDA" w:rsidRPr="00A83073" w:rsidP="00650DDE" w14:paraId="65ED2966" w14:textId="427B46D0">
            <w:pPr>
              <w:spacing w:after="0" w:line="240" w:lineRule="auto"/>
              <w:ind w:left="8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Business Operations Specialist</w:t>
            </w:r>
          </w:p>
        </w:tc>
        <w:tc>
          <w:tcPr>
            <w:tcW w:w="1440" w:type="dxa"/>
            <w:tcBorders>
              <w:top w:val="single" w:sz="4" w:space="0" w:color="000000"/>
              <w:left w:val="single" w:sz="4" w:space="0" w:color="000000"/>
              <w:right w:val="single" w:sz="4" w:space="0" w:color="000000"/>
            </w:tcBorders>
            <w:vAlign w:val="center"/>
          </w:tcPr>
          <w:p w:rsidR="00815FDA" w:rsidRPr="00A83073" w:rsidP="003341CA" w14:paraId="565A0943" w14:textId="0E5871AE">
            <w:pPr>
              <w:spacing w:after="0" w:line="240" w:lineRule="auto"/>
              <w:jc w:val="center"/>
              <w:rPr>
                <w:rFonts w:ascii="Times New Roman" w:eastAsia="Times New Roman" w:hAnsi="Times New Roman" w:cs="Times New Roman"/>
                <w:sz w:val="24"/>
                <w:szCs w:val="24"/>
              </w:rPr>
            </w:pPr>
            <w:r w:rsidRPr="00A83073">
              <w:rPr>
                <w:rFonts w:ascii="Times New Roman" w:eastAsia="Times New Roman" w:hAnsi="Times New Roman" w:cs="Times New Roman"/>
                <w:sz w:val="24"/>
                <w:szCs w:val="24"/>
              </w:rPr>
              <w:t>2</w:t>
            </w:r>
            <w:r w:rsidR="00033FDC">
              <w:rPr>
                <w:rFonts w:ascii="Times New Roman" w:eastAsia="Times New Roman" w:hAnsi="Times New Roman" w:cs="Times New Roman"/>
                <w:sz w:val="24"/>
                <w:szCs w:val="24"/>
              </w:rPr>
              <w:t>0</w:t>
            </w:r>
          </w:p>
        </w:tc>
        <w:tc>
          <w:tcPr>
            <w:tcW w:w="1800" w:type="dxa"/>
            <w:tcBorders>
              <w:top w:val="single" w:sz="4" w:space="0" w:color="000000"/>
              <w:left w:val="single" w:sz="4" w:space="0" w:color="000000"/>
              <w:right w:val="single" w:sz="4" w:space="0" w:color="000000"/>
            </w:tcBorders>
            <w:vAlign w:val="center"/>
          </w:tcPr>
          <w:p w:rsidR="00815FDA" w:rsidRPr="00A83073" w:rsidP="003341CA" w14:paraId="5722237C" w14:textId="720DEB10">
            <w:pPr>
              <w:spacing w:after="0" w:line="240" w:lineRule="auto"/>
              <w:jc w:val="center"/>
              <w:rPr>
                <w:rFonts w:ascii="Times New Roman" w:eastAsia="Times New Roman" w:hAnsi="Times New Roman" w:cs="Times New Roman"/>
                <w:sz w:val="24"/>
                <w:szCs w:val="24"/>
              </w:rPr>
            </w:pPr>
            <w:r w:rsidRPr="00A83073">
              <w:rPr>
                <w:rFonts w:ascii="Times New Roman" w:eastAsia="Times New Roman" w:hAnsi="Times New Roman" w:cs="Times New Roman"/>
                <w:sz w:val="24"/>
                <w:szCs w:val="24"/>
              </w:rPr>
              <w:t>$</w:t>
            </w:r>
            <w:r w:rsidR="00033FDC">
              <w:rPr>
                <w:rFonts w:ascii="Times New Roman" w:eastAsia="Times New Roman" w:hAnsi="Times New Roman" w:cs="Times New Roman"/>
                <w:sz w:val="24"/>
                <w:szCs w:val="24"/>
              </w:rPr>
              <w:t>73.12</w:t>
            </w:r>
          </w:p>
        </w:tc>
        <w:tc>
          <w:tcPr>
            <w:tcW w:w="1080" w:type="dxa"/>
            <w:tcBorders>
              <w:top w:val="single" w:sz="4" w:space="0" w:color="000000"/>
              <w:left w:val="single" w:sz="4" w:space="0" w:color="000000"/>
              <w:right w:val="single" w:sz="4" w:space="0" w:color="000000"/>
            </w:tcBorders>
            <w:vAlign w:val="center"/>
          </w:tcPr>
          <w:p w:rsidR="00815FDA" w:rsidRPr="00A83073" w:rsidP="003341CA" w14:paraId="53B82536" w14:textId="1AFFB04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530" w:type="dxa"/>
            <w:tcBorders>
              <w:top w:val="single" w:sz="4" w:space="0" w:color="000000"/>
              <w:left w:val="single" w:sz="4" w:space="0" w:color="000000"/>
              <w:right w:val="single" w:sz="4" w:space="0" w:color="000000"/>
            </w:tcBorders>
            <w:vAlign w:val="center"/>
          </w:tcPr>
          <w:p w:rsidR="00815FDA" w:rsidRPr="00A83073" w:rsidP="003341CA" w14:paraId="5A78684D" w14:textId="5E19C019">
            <w:pPr>
              <w:spacing w:after="0" w:line="240" w:lineRule="auto"/>
              <w:jc w:val="center"/>
              <w:rPr>
                <w:rFonts w:ascii="Times New Roman" w:eastAsia="Times New Roman" w:hAnsi="Times New Roman" w:cs="Times New Roman"/>
                <w:sz w:val="24"/>
                <w:szCs w:val="24"/>
              </w:rPr>
            </w:pPr>
            <w:r w:rsidRPr="00A83073">
              <w:rPr>
                <w:rFonts w:ascii="Times New Roman" w:eastAsia="Times New Roman" w:hAnsi="Times New Roman" w:cs="Times New Roman"/>
                <w:sz w:val="24"/>
                <w:szCs w:val="24"/>
              </w:rPr>
              <w:t>$</w:t>
            </w:r>
            <w:r w:rsidR="00A934D4">
              <w:rPr>
                <w:rFonts w:ascii="Times New Roman" w:eastAsia="Times New Roman" w:hAnsi="Times New Roman" w:cs="Times New Roman"/>
                <w:sz w:val="24"/>
                <w:szCs w:val="24"/>
              </w:rPr>
              <w:t>731.20</w:t>
            </w:r>
          </w:p>
        </w:tc>
        <w:tc>
          <w:tcPr>
            <w:tcW w:w="1530" w:type="dxa"/>
            <w:tcBorders>
              <w:top w:val="single" w:sz="4" w:space="0" w:color="000000"/>
              <w:left w:val="single" w:sz="4" w:space="0" w:color="000000"/>
              <w:right w:val="single" w:sz="4" w:space="0" w:color="000000"/>
            </w:tcBorders>
            <w:vAlign w:val="center"/>
          </w:tcPr>
          <w:p w:rsidR="00815FDA" w:rsidRPr="003341CA" w:rsidP="003341CA" w14:paraId="58462A16" w14:textId="1CEB5D0B">
            <w:pPr>
              <w:spacing w:after="0" w:line="240" w:lineRule="auto"/>
              <w:jc w:val="center"/>
              <w:rPr>
                <w:rFonts w:ascii="Times New Roman" w:hAnsi="Times New Roman" w:cs="Times New Roman"/>
                <w:sz w:val="24"/>
                <w:szCs w:val="24"/>
              </w:rPr>
            </w:pPr>
            <w:r w:rsidRPr="003341CA">
              <w:rPr>
                <w:rFonts w:ascii="Times New Roman" w:hAnsi="Times New Roman" w:cs="Times New Roman"/>
                <w:sz w:val="24"/>
                <w:szCs w:val="24"/>
              </w:rPr>
              <w:t>$</w:t>
            </w:r>
            <w:r w:rsidR="00A934D4">
              <w:rPr>
                <w:rFonts w:ascii="Times New Roman" w:hAnsi="Times New Roman" w:cs="Times New Roman"/>
                <w:sz w:val="24"/>
                <w:szCs w:val="24"/>
              </w:rPr>
              <w:t>14,624.00</w:t>
            </w:r>
          </w:p>
        </w:tc>
      </w:tr>
      <w:tr w14:paraId="621B2CE3" w14:textId="77777777" w:rsidTr="00A76BA5">
        <w:tblPrEx>
          <w:tblW w:w="9445" w:type="dxa"/>
          <w:tblLayout w:type="fixed"/>
          <w:tblCellMar>
            <w:left w:w="0" w:type="dxa"/>
            <w:right w:w="0" w:type="dxa"/>
          </w:tblCellMar>
          <w:tblLook w:val="01E0"/>
        </w:tblPrEx>
        <w:trPr>
          <w:trHeight w:hRule="exact" w:val="442"/>
        </w:trPr>
        <w:tc>
          <w:tcPr>
            <w:tcW w:w="2065" w:type="dxa"/>
            <w:tcBorders>
              <w:top w:val="single" w:sz="4" w:space="0" w:color="000000"/>
              <w:left w:val="single" w:sz="4" w:space="0" w:color="000000"/>
              <w:bottom w:val="single" w:sz="4" w:space="0" w:color="000000"/>
              <w:right w:val="single" w:sz="4" w:space="0" w:color="000000"/>
            </w:tcBorders>
            <w:vAlign w:val="center"/>
          </w:tcPr>
          <w:p w:rsidR="00815FDA" w:rsidRPr="003341CA" w:rsidP="00A76BA5" w14:paraId="4B21FFB3" w14:textId="169A6696">
            <w:pPr>
              <w:spacing w:after="0" w:line="240" w:lineRule="auto"/>
              <w:ind w:left="80" w:right="-20"/>
              <w:rPr>
                <w:rFonts w:ascii="Times New Roman" w:eastAsia="Times New Roman" w:hAnsi="Times New Roman" w:cs="Times New Roman"/>
                <w:b/>
                <w:bCs/>
                <w:sz w:val="24"/>
                <w:szCs w:val="24"/>
              </w:rPr>
            </w:pPr>
            <w:r w:rsidRPr="003341CA">
              <w:rPr>
                <w:rFonts w:ascii="Times New Roman" w:eastAsia="Times New Roman" w:hAnsi="Times New Roman" w:cs="Times New Roman"/>
                <w:b/>
                <w:bCs/>
                <w:sz w:val="24"/>
                <w:szCs w:val="24"/>
              </w:rPr>
              <w:t>Tot</w:t>
            </w:r>
            <w:r w:rsidRPr="003341CA">
              <w:rPr>
                <w:rFonts w:ascii="Times New Roman" w:eastAsia="Times New Roman" w:hAnsi="Times New Roman" w:cs="Times New Roman"/>
                <w:b/>
                <w:bCs/>
                <w:spacing w:val="-1"/>
                <w:sz w:val="24"/>
                <w:szCs w:val="24"/>
              </w:rPr>
              <w:t>al</w:t>
            </w:r>
            <w:r w:rsidR="00702186">
              <w:rPr>
                <w:rFonts w:ascii="Times New Roman" w:eastAsia="Times New Roman" w:hAnsi="Times New Roman" w:cs="Times New Roman"/>
                <w:b/>
                <w:bCs/>
                <w:spacing w:val="-1"/>
                <w:sz w:val="24"/>
                <w:szCs w:val="24"/>
              </w:rPr>
              <w:t xml:space="preserve"> - Annual</w:t>
            </w:r>
          </w:p>
        </w:tc>
        <w:tc>
          <w:tcPr>
            <w:tcW w:w="1440" w:type="dxa"/>
            <w:tcBorders>
              <w:top w:val="single" w:sz="4" w:space="0" w:color="000000"/>
              <w:left w:val="single" w:sz="4" w:space="0" w:color="000000"/>
              <w:bottom w:val="single" w:sz="4" w:space="0" w:color="000000"/>
              <w:right w:val="single" w:sz="4" w:space="0" w:color="000000"/>
            </w:tcBorders>
          </w:tcPr>
          <w:p w:rsidR="00815FDA" w:rsidRPr="003341CA" w:rsidP="00E632D2" w14:paraId="725B61FF" w14:textId="188BD2E5">
            <w:pPr>
              <w:spacing w:after="0" w:line="240" w:lineRule="auto"/>
              <w:jc w:val="center"/>
              <w:rPr>
                <w:rFonts w:ascii="Times New Roman" w:hAnsi="Times New Roman" w:cs="Times New Roman"/>
                <w:b/>
                <w:bCs/>
                <w:sz w:val="24"/>
                <w:szCs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815FDA" w:rsidRPr="003341CA" w:rsidP="003341CA" w14:paraId="36CB6A06" w14:textId="77777777">
            <w:pPr>
              <w:spacing w:after="0" w:line="240" w:lineRule="auto"/>
              <w:jc w:val="center"/>
              <w:rPr>
                <w:rFonts w:ascii="Times New Roman" w:hAnsi="Times New Roman" w:cs="Times New Roman"/>
                <w:b/>
                <w:bCs/>
                <w:color w:val="FFFFFF" w:themeColor="background1"/>
              </w:rPr>
            </w:pPr>
            <w:r w:rsidRPr="003341CA">
              <w:rPr>
                <w:rFonts w:ascii="Times New Roman" w:hAnsi="Times New Roman" w:cs="Times New Roman"/>
                <w:b/>
                <w:bCs/>
                <w:color w:val="FFFFFF" w:themeColor="background1"/>
              </w:rPr>
              <w:t>No Value</w:t>
            </w:r>
          </w:p>
        </w:tc>
        <w:tc>
          <w:tcPr>
            <w:tcW w:w="1080" w:type="dxa"/>
            <w:tcBorders>
              <w:top w:val="single" w:sz="4" w:space="0" w:color="000000"/>
              <w:left w:val="single" w:sz="4" w:space="0" w:color="000000"/>
              <w:bottom w:val="single" w:sz="4" w:space="0" w:color="000000"/>
              <w:right w:val="single" w:sz="4" w:space="0" w:color="000000"/>
            </w:tcBorders>
            <w:vAlign w:val="center"/>
          </w:tcPr>
          <w:p w:rsidR="00815FDA" w:rsidRPr="003341CA" w:rsidP="003341CA" w14:paraId="34AF41B8" w14:textId="0C5D404C">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5,000</w:t>
            </w:r>
          </w:p>
        </w:tc>
        <w:tc>
          <w:tcPr>
            <w:tcW w:w="1530" w:type="dxa"/>
            <w:tcBorders>
              <w:top w:val="single" w:sz="4" w:space="0" w:color="000000"/>
              <w:left w:val="single" w:sz="4" w:space="0" w:color="000000"/>
              <w:bottom w:val="single" w:sz="4" w:space="0" w:color="000000"/>
              <w:right w:val="single" w:sz="4" w:space="0" w:color="000000"/>
            </w:tcBorders>
            <w:vAlign w:val="center"/>
          </w:tcPr>
          <w:p w:rsidR="00815FDA" w:rsidRPr="003341CA" w:rsidP="003341CA" w14:paraId="42790C01" w14:textId="59F52981">
            <w:pPr>
              <w:spacing w:after="0" w:line="240" w:lineRule="auto"/>
              <w:jc w:val="center"/>
              <w:rPr>
                <w:rFonts w:ascii="Times New Roman" w:eastAsia="Times New Roman" w:hAnsi="Times New Roman" w:cs="Times New Roman"/>
                <w:b/>
                <w:bCs/>
                <w:sz w:val="24"/>
                <w:szCs w:val="24"/>
              </w:rPr>
            </w:pPr>
          </w:p>
        </w:tc>
        <w:tc>
          <w:tcPr>
            <w:tcW w:w="1530" w:type="dxa"/>
            <w:tcBorders>
              <w:top w:val="single" w:sz="4" w:space="0" w:color="000000"/>
              <w:left w:val="single" w:sz="4" w:space="0" w:color="000000"/>
              <w:bottom w:val="single" w:sz="4" w:space="0" w:color="000000"/>
              <w:right w:val="single" w:sz="4" w:space="0" w:color="000000"/>
            </w:tcBorders>
            <w:vAlign w:val="center"/>
          </w:tcPr>
          <w:p w:rsidR="00815FDA" w:rsidRPr="003341CA" w:rsidP="003341CA" w14:paraId="38CE6C3D" w14:textId="70785A28">
            <w:pPr>
              <w:spacing w:after="0" w:line="240" w:lineRule="auto"/>
              <w:jc w:val="center"/>
              <w:rPr>
                <w:rFonts w:ascii="Times New Roman" w:eastAsia="Times New Roman" w:hAnsi="Times New Roman" w:cs="Times New Roman"/>
                <w:b/>
                <w:bCs/>
                <w:sz w:val="24"/>
                <w:szCs w:val="24"/>
              </w:rPr>
            </w:pPr>
            <w:r w:rsidRPr="003341CA">
              <w:rPr>
                <w:rFonts w:ascii="Times New Roman" w:eastAsia="Times New Roman" w:hAnsi="Times New Roman" w:cs="Times New Roman"/>
                <w:b/>
                <w:bCs/>
                <w:sz w:val="24"/>
                <w:szCs w:val="24"/>
              </w:rPr>
              <w:t>$</w:t>
            </w:r>
            <w:r w:rsidR="00D57ED7">
              <w:rPr>
                <w:rFonts w:ascii="Times New Roman" w:eastAsia="Times New Roman" w:hAnsi="Times New Roman" w:cs="Times New Roman"/>
                <w:b/>
                <w:bCs/>
                <w:sz w:val="24"/>
                <w:szCs w:val="24"/>
              </w:rPr>
              <w:t>466,016.00</w:t>
            </w:r>
          </w:p>
        </w:tc>
      </w:tr>
    </w:tbl>
    <w:p w:rsidR="00815FDA" w:rsidP="00186A16" w14:paraId="419DD40E" w14:textId="77777777">
      <w:pPr>
        <w:autoSpaceDE w:val="0"/>
        <w:autoSpaceDN w:val="0"/>
        <w:adjustRightInd w:val="0"/>
        <w:spacing w:after="0" w:line="240" w:lineRule="auto"/>
        <w:rPr>
          <w:rFonts w:ascii="Times New Roman" w:hAnsi="Times New Roman" w:cs="Times New Roman"/>
          <w:sz w:val="24"/>
          <w:szCs w:val="24"/>
        </w:rPr>
      </w:pPr>
    </w:p>
    <w:p w:rsidR="00163566" w:rsidP="00FE1BF4" w14:paraId="5B4A2830" w14:textId="5F364BC4">
      <w:pPr>
        <w:autoSpaceDE w:val="0"/>
        <w:autoSpaceDN w:val="0"/>
        <w:adjustRightInd w:val="0"/>
        <w:spacing w:after="0" w:line="240" w:lineRule="auto"/>
        <w:rPr>
          <w:rFonts w:ascii="Times New Roman" w:hAnsi="Times New Roman" w:cs="Times New Roman"/>
          <w:sz w:val="24"/>
          <w:szCs w:val="24"/>
        </w:rPr>
      </w:pPr>
      <w:bookmarkStart w:id="66" w:name="_Hlk159958645"/>
      <w:bookmarkStart w:id="67" w:name="_Hlk146881351"/>
      <w:r w:rsidRPr="00A83073">
        <w:rPr>
          <w:rFonts w:ascii="Times New Roman" w:hAnsi="Times New Roman" w:cs="Times New Roman"/>
          <w:b/>
          <w:bCs/>
          <w:sz w:val="24"/>
          <w:szCs w:val="24"/>
        </w:rPr>
        <w:t xml:space="preserve">Direct </w:t>
      </w:r>
      <w:r w:rsidRPr="00A83073" w:rsidR="00855E09">
        <w:rPr>
          <w:rFonts w:ascii="Times New Roman" w:hAnsi="Times New Roman" w:cs="Times New Roman"/>
          <w:b/>
          <w:bCs/>
          <w:sz w:val="24"/>
          <w:szCs w:val="24"/>
        </w:rPr>
        <w:t>E</w:t>
      </w:r>
      <w:r w:rsidRPr="00A83073">
        <w:rPr>
          <w:rFonts w:ascii="Times New Roman" w:hAnsi="Times New Roman" w:cs="Times New Roman"/>
          <w:b/>
          <w:bCs/>
          <w:sz w:val="24"/>
          <w:szCs w:val="24"/>
        </w:rPr>
        <w:t xml:space="preserve">nrollment </w:t>
      </w:r>
      <w:r w:rsidRPr="00A83073" w:rsidR="0040312A">
        <w:rPr>
          <w:rFonts w:ascii="Times New Roman" w:hAnsi="Times New Roman" w:cs="Times New Roman"/>
          <w:b/>
          <w:bCs/>
          <w:sz w:val="24"/>
          <w:szCs w:val="24"/>
        </w:rPr>
        <w:t>Entit</w:t>
      </w:r>
      <w:r w:rsidRPr="00A83073" w:rsidR="00A2047B">
        <w:rPr>
          <w:rFonts w:ascii="Times New Roman" w:hAnsi="Times New Roman" w:cs="Times New Roman"/>
          <w:b/>
          <w:bCs/>
          <w:sz w:val="24"/>
          <w:szCs w:val="24"/>
        </w:rPr>
        <w:t>y</w:t>
      </w:r>
      <w:r w:rsidRPr="00A83073">
        <w:rPr>
          <w:rFonts w:ascii="Times New Roman" w:hAnsi="Times New Roman" w:cs="Times New Roman"/>
          <w:b/>
          <w:bCs/>
          <w:sz w:val="24"/>
          <w:szCs w:val="24"/>
        </w:rPr>
        <w:t xml:space="preserve"> </w:t>
      </w:r>
      <w:r w:rsidRPr="00A83073" w:rsidR="0040312A">
        <w:rPr>
          <w:rFonts w:ascii="Times New Roman" w:hAnsi="Times New Roman" w:cs="Times New Roman"/>
          <w:b/>
          <w:bCs/>
          <w:sz w:val="24"/>
          <w:szCs w:val="24"/>
        </w:rPr>
        <w:t>a</w:t>
      </w:r>
      <w:r w:rsidRPr="00A83073">
        <w:rPr>
          <w:rFonts w:ascii="Times New Roman" w:hAnsi="Times New Roman" w:cs="Times New Roman"/>
          <w:b/>
          <w:bCs/>
          <w:sz w:val="24"/>
          <w:szCs w:val="24"/>
        </w:rPr>
        <w:t>pplication assister requirements</w:t>
      </w:r>
      <w:r w:rsidRPr="00AA32DB">
        <w:rPr>
          <w:rFonts w:ascii="Times New Roman" w:hAnsi="Times New Roman" w:cs="Times New Roman"/>
          <w:b/>
          <w:bCs/>
          <w:sz w:val="24"/>
          <w:szCs w:val="24"/>
        </w:rPr>
        <w:t xml:space="preserve"> (45 C.F.R §155.22</w:t>
      </w:r>
      <w:r w:rsidRPr="00AA32DB" w:rsidR="00FE4ACE">
        <w:rPr>
          <w:rFonts w:ascii="Times New Roman" w:hAnsi="Times New Roman" w:cs="Times New Roman"/>
          <w:b/>
          <w:bCs/>
          <w:sz w:val="24"/>
          <w:szCs w:val="24"/>
        </w:rPr>
        <w:t>1</w:t>
      </w:r>
      <w:r w:rsidRPr="00AA32DB">
        <w:rPr>
          <w:rFonts w:ascii="Times New Roman" w:hAnsi="Times New Roman" w:cs="Times New Roman"/>
          <w:b/>
          <w:bCs/>
          <w:sz w:val="24"/>
          <w:szCs w:val="24"/>
        </w:rPr>
        <w:t>(d)</w:t>
      </w:r>
      <w:r w:rsidRPr="00AA32DB" w:rsidR="00542C11">
        <w:rPr>
          <w:rFonts w:ascii="Times New Roman" w:hAnsi="Times New Roman" w:cs="Times New Roman"/>
          <w:b/>
          <w:bCs/>
          <w:sz w:val="24"/>
          <w:szCs w:val="24"/>
        </w:rPr>
        <w:t>)</w:t>
      </w:r>
      <w:r w:rsidRPr="00AA32DB">
        <w:rPr>
          <w:rFonts w:ascii="Times New Roman" w:hAnsi="Times New Roman" w:cs="Times New Roman"/>
          <w:b/>
          <w:bCs/>
          <w:sz w:val="24"/>
          <w:szCs w:val="24"/>
        </w:rPr>
        <w:t>:</w:t>
      </w:r>
      <w:r w:rsidR="003341CA">
        <w:rPr>
          <w:rFonts w:ascii="Times New Roman" w:hAnsi="Times New Roman" w:cs="Times New Roman"/>
          <w:sz w:val="24"/>
          <w:szCs w:val="24"/>
        </w:rPr>
        <w:t xml:space="preserve"> </w:t>
      </w:r>
      <w:bookmarkEnd w:id="66"/>
      <w:r>
        <w:rPr>
          <w:rFonts w:ascii="Times New Roman" w:hAnsi="Times New Roman" w:cs="Times New Roman"/>
          <w:sz w:val="24"/>
          <w:szCs w:val="24"/>
        </w:rPr>
        <w:t>We estimate that</w:t>
      </w:r>
      <w:r w:rsidR="003842BA">
        <w:rPr>
          <w:rFonts w:ascii="Times New Roman" w:hAnsi="Times New Roman" w:cs="Times New Roman"/>
          <w:sz w:val="24"/>
          <w:szCs w:val="24"/>
        </w:rPr>
        <w:t xml:space="preserve"> up to 1,000 application assisters will operate in each state that opts to use direct enrollment and allows application assisters to use direct enrollment pathways. </w:t>
      </w:r>
      <w:r w:rsidR="00C32BD3">
        <w:rPr>
          <w:rFonts w:ascii="Times New Roman" w:hAnsi="Times New Roman" w:cs="Times New Roman"/>
          <w:sz w:val="24"/>
          <w:szCs w:val="24"/>
        </w:rPr>
        <w:t xml:space="preserve">Accordingly, we anticipate that 5,000 application assisters </w:t>
      </w:r>
      <w:bookmarkStart w:id="68" w:name="_Hlk146905573"/>
      <w:r w:rsidR="00C32BD3">
        <w:rPr>
          <w:rFonts w:ascii="Times New Roman" w:hAnsi="Times New Roman" w:cs="Times New Roman"/>
          <w:sz w:val="24"/>
          <w:szCs w:val="24"/>
        </w:rPr>
        <w:t>across an estimated five states will participate</w:t>
      </w:r>
      <w:bookmarkEnd w:id="68"/>
      <w:r w:rsidR="00C32BD3">
        <w:rPr>
          <w:rFonts w:ascii="Times New Roman" w:hAnsi="Times New Roman" w:cs="Times New Roman"/>
          <w:sz w:val="24"/>
          <w:szCs w:val="24"/>
        </w:rPr>
        <w:t xml:space="preserve">. We estimate the burden for </w:t>
      </w:r>
      <w:r w:rsidR="00FB7C12">
        <w:rPr>
          <w:rFonts w:ascii="Times New Roman" w:hAnsi="Times New Roman" w:cs="Times New Roman"/>
          <w:sz w:val="24"/>
          <w:szCs w:val="24"/>
        </w:rPr>
        <w:t xml:space="preserve">20 </w:t>
      </w:r>
      <w:r w:rsidR="00C32BD3">
        <w:rPr>
          <w:rFonts w:ascii="Times New Roman" w:hAnsi="Times New Roman" w:cs="Times New Roman"/>
          <w:sz w:val="24"/>
          <w:szCs w:val="24"/>
        </w:rPr>
        <w:t xml:space="preserve">direct enrollment entities </w:t>
      </w:r>
      <w:r w:rsidR="00644F20">
        <w:rPr>
          <w:rFonts w:ascii="Times New Roman" w:hAnsi="Times New Roman" w:cs="Times New Roman"/>
          <w:sz w:val="24"/>
          <w:szCs w:val="24"/>
        </w:rPr>
        <w:t xml:space="preserve">operating across the </w:t>
      </w:r>
      <w:r w:rsidR="001E5FBF">
        <w:rPr>
          <w:rFonts w:ascii="Times New Roman" w:hAnsi="Times New Roman" w:cs="Times New Roman"/>
          <w:sz w:val="24"/>
          <w:szCs w:val="24"/>
        </w:rPr>
        <w:t xml:space="preserve">five states </w:t>
      </w:r>
      <w:r w:rsidR="00C32BD3">
        <w:rPr>
          <w:rFonts w:ascii="Times New Roman" w:hAnsi="Times New Roman" w:cs="Times New Roman"/>
          <w:sz w:val="24"/>
          <w:szCs w:val="24"/>
        </w:rPr>
        <w:t xml:space="preserve">to comply with this requirement at </w:t>
      </w:r>
      <w:r w:rsidR="001E20BD">
        <w:rPr>
          <w:rFonts w:ascii="Times New Roman" w:hAnsi="Times New Roman" w:cs="Times New Roman"/>
          <w:sz w:val="24"/>
          <w:szCs w:val="24"/>
        </w:rPr>
        <w:t>3</w:t>
      </w:r>
      <w:r w:rsidR="00C32BD3">
        <w:rPr>
          <w:rFonts w:ascii="Times New Roman" w:hAnsi="Times New Roman" w:cs="Times New Roman"/>
          <w:sz w:val="24"/>
          <w:szCs w:val="24"/>
        </w:rPr>
        <w:t xml:space="preserve"> hours per assister</w:t>
      </w:r>
      <w:r w:rsidR="001E20BD">
        <w:rPr>
          <w:rFonts w:ascii="Times New Roman" w:hAnsi="Times New Roman" w:cs="Times New Roman"/>
          <w:sz w:val="24"/>
          <w:szCs w:val="24"/>
        </w:rPr>
        <w:t xml:space="preserve"> for a total burden of 15,000 hours for a </w:t>
      </w:r>
      <w:r w:rsidR="003502BA">
        <w:rPr>
          <w:rFonts w:ascii="Times New Roman" w:hAnsi="Times New Roman" w:cs="Times New Roman"/>
          <w:sz w:val="24"/>
          <w:szCs w:val="24"/>
        </w:rPr>
        <w:t>C</w:t>
      </w:r>
      <w:r w:rsidR="001E20BD">
        <w:rPr>
          <w:rFonts w:ascii="Times New Roman" w:hAnsi="Times New Roman" w:cs="Times New Roman"/>
          <w:sz w:val="24"/>
          <w:szCs w:val="24"/>
        </w:rPr>
        <w:t xml:space="preserve">ompliance </w:t>
      </w:r>
      <w:r w:rsidR="003502BA">
        <w:rPr>
          <w:rFonts w:ascii="Times New Roman" w:hAnsi="Times New Roman" w:cs="Times New Roman"/>
          <w:sz w:val="24"/>
          <w:szCs w:val="24"/>
        </w:rPr>
        <w:t>O</w:t>
      </w:r>
      <w:r w:rsidR="001E20BD">
        <w:rPr>
          <w:rFonts w:ascii="Times New Roman" w:hAnsi="Times New Roman" w:cs="Times New Roman"/>
          <w:sz w:val="24"/>
          <w:szCs w:val="24"/>
        </w:rPr>
        <w:t>fficer at an hourly wage of $</w:t>
      </w:r>
      <w:r w:rsidR="00B356D0">
        <w:rPr>
          <w:rFonts w:ascii="Times New Roman" w:hAnsi="Times New Roman" w:cs="Times New Roman"/>
          <w:sz w:val="24"/>
          <w:szCs w:val="24"/>
        </w:rPr>
        <w:t>68.94</w:t>
      </w:r>
      <w:r w:rsidR="001E20BD">
        <w:rPr>
          <w:rFonts w:ascii="Times New Roman" w:hAnsi="Times New Roman" w:cs="Times New Roman"/>
          <w:sz w:val="24"/>
          <w:szCs w:val="24"/>
        </w:rPr>
        <w:t xml:space="preserve"> for a total cost of</w:t>
      </w:r>
      <w:r w:rsidR="00C33104">
        <w:rPr>
          <w:rFonts w:ascii="Times New Roman" w:hAnsi="Times New Roman" w:cs="Times New Roman"/>
          <w:sz w:val="24"/>
          <w:szCs w:val="24"/>
        </w:rPr>
        <w:t xml:space="preserve"> </w:t>
      </w:r>
      <w:r w:rsidR="004E1F15">
        <w:rPr>
          <w:rFonts w:ascii="Times New Roman" w:hAnsi="Times New Roman" w:cs="Times New Roman"/>
          <w:sz w:val="24"/>
          <w:szCs w:val="24"/>
        </w:rPr>
        <w:t>$</w:t>
      </w:r>
      <w:r w:rsidR="00AC6689">
        <w:rPr>
          <w:rFonts w:ascii="Times New Roman" w:hAnsi="Times New Roman" w:cs="Times New Roman"/>
          <w:sz w:val="24"/>
          <w:szCs w:val="24"/>
        </w:rPr>
        <w:t>51,705</w:t>
      </w:r>
      <w:r w:rsidR="00A5610F">
        <w:rPr>
          <w:rFonts w:ascii="Times New Roman" w:hAnsi="Times New Roman" w:cs="Times New Roman"/>
          <w:sz w:val="24"/>
          <w:szCs w:val="24"/>
        </w:rPr>
        <w:t>.00</w:t>
      </w:r>
      <w:r w:rsidR="004E1F15">
        <w:rPr>
          <w:rFonts w:ascii="Times New Roman" w:hAnsi="Times New Roman" w:cs="Times New Roman"/>
          <w:sz w:val="24"/>
          <w:szCs w:val="24"/>
        </w:rPr>
        <w:t xml:space="preserve"> per entity</w:t>
      </w:r>
      <w:r w:rsidR="00D4794F">
        <w:rPr>
          <w:rFonts w:ascii="Times New Roman" w:hAnsi="Times New Roman" w:cs="Times New Roman"/>
          <w:sz w:val="24"/>
          <w:szCs w:val="24"/>
        </w:rPr>
        <w:t xml:space="preserve">. </w:t>
      </w:r>
      <w:r w:rsidR="001E20BD">
        <w:rPr>
          <w:rFonts w:ascii="Times New Roman" w:hAnsi="Times New Roman" w:cs="Times New Roman"/>
          <w:sz w:val="24"/>
          <w:szCs w:val="24"/>
        </w:rPr>
        <w:t>We estimate</w:t>
      </w:r>
      <w:r w:rsidR="004B66FC">
        <w:rPr>
          <w:rFonts w:ascii="Times New Roman" w:hAnsi="Times New Roman" w:cs="Times New Roman"/>
          <w:sz w:val="24"/>
          <w:szCs w:val="24"/>
        </w:rPr>
        <w:t xml:space="preserve"> the total burden costs for all </w:t>
      </w:r>
      <w:r w:rsidR="0087601B">
        <w:rPr>
          <w:rFonts w:ascii="Times New Roman" w:hAnsi="Times New Roman" w:cs="Times New Roman"/>
          <w:sz w:val="24"/>
          <w:szCs w:val="24"/>
        </w:rPr>
        <w:t>r</w:t>
      </w:r>
      <w:r w:rsidR="004B66FC">
        <w:rPr>
          <w:rFonts w:ascii="Times New Roman" w:hAnsi="Times New Roman" w:cs="Times New Roman"/>
          <w:sz w:val="24"/>
          <w:szCs w:val="24"/>
        </w:rPr>
        <w:t>espondents to be $</w:t>
      </w:r>
      <w:r w:rsidR="00B356D0">
        <w:rPr>
          <w:rFonts w:ascii="Times New Roman" w:hAnsi="Times New Roman" w:cs="Times New Roman"/>
          <w:sz w:val="24"/>
          <w:szCs w:val="24"/>
        </w:rPr>
        <w:t>1,034,100</w:t>
      </w:r>
      <w:r w:rsidR="004B66FC">
        <w:rPr>
          <w:rFonts w:ascii="Times New Roman" w:hAnsi="Times New Roman" w:cs="Times New Roman"/>
          <w:sz w:val="24"/>
          <w:szCs w:val="24"/>
        </w:rPr>
        <w:t>.</w:t>
      </w:r>
      <w:r w:rsidR="001E20BD">
        <w:rPr>
          <w:rFonts w:ascii="Times New Roman" w:hAnsi="Times New Roman" w:cs="Times New Roman"/>
          <w:sz w:val="24"/>
          <w:szCs w:val="24"/>
        </w:rPr>
        <w:t xml:space="preserve"> </w:t>
      </w:r>
    </w:p>
    <w:p w:rsidR="00650DDE" w:rsidP="00FE1BF4" w14:paraId="33B35B7F" w14:textId="77777777">
      <w:pPr>
        <w:autoSpaceDE w:val="0"/>
        <w:autoSpaceDN w:val="0"/>
        <w:adjustRightInd w:val="0"/>
        <w:spacing w:after="0" w:line="240" w:lineRule="auto"/>
        <w:rPr>
          <w:rFonts w:ascii="Times New Roman" w:hAnsi="Times New Roman" w:cs="Times New Roman"/>
          <w:sz w:val="24"/>
          <w:szCs w:val="24"/>
        </w:rPr>
      </w:pPr>
    </w:p>
    <w:p w:rsidR="004E1F15" w:rsidP="00FE1BF4" w14:paraId="3A5AB864" w14:textId="4D7312E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Table </w:t>
      </w:r>
      <w:r w:rsidR="00B356D0">
        <w:rPr>
          <w:rFonts w:ascii="Times New Roman" w:hAnsi="Times New Roman" w:cs="Times New Roman"/>
          <w:sz w:val="24"/>
          <w:szCs w:val="24"/>
        </w:rPr>
        <w:t xml:space="preserve">14 </w:t>
      </w:r>
      <w:r>
        <w:rPr>
          <w:rFonts w:ascii="Times New Roman" w:hAnsi="Times New Roman" w:cs="Times New Roman"/>
          <w:sz w:val="24"/>
          <w:szCs w:val="24"/>
        </w:rPr>
        <w:t>displays the burden for Direct Enrollment entities relating to this</w:t>
      </w:r>
      <w:r w:rsidR="00361031">
        <w:rPr>
          <w:rFonts w:ascii="Times New Roman" w:hAnsi="Times New Roman" w:cs="Times New Roman"/>
          <w:sz w:val="24"/>
          <w:szCs w:val="24"/>
        </w:rPr>
        <w:t xml:space="preserve"> proposed </w:t>
      </w:r>
      <w:r>
        <w:rPr>
          <w:rFonts w:ascii="Times New Roman" w:hAnsi="Times New Roman" w:cs="Times New Roman"/>
          <w:sz w:val="24"/>
          <w:szCs w:val="24"/>
        </w:rPr>
        <w:t xml:space="preserve">regulatory provision. </w:t>
      </w:r>
    </w:p>
    <w:p w:rsidR="00974DBD" w:rsidP="00FE1BF4" w14:paraId="157752AA" w14:textId="77777777">
      <w:pPr>
        <w:autoSpaceDE w:val="0"/>
        <w:autoSpaceDN w:val="0"/>
        <w:adjustRightInd w:val="0"/>
        <w:spacing w:after="0" w:line="240" w:lineRule="auto"/>
        <w:rPr>
          <w:rFonts w:ascii="Times New Roman" w:hAnsi="Times New Roman" w:cs="Times New Roman"/>
          <w:sz w:val="24"/>
          <w:szCs w:val="24"/>
        </w:rPr>
      </w:pPr>
    </w:p>
    <w:p w:rsidR="00974DBD" w:rsidRPr="009E2391" w:rsidP="00FE1BF4" w14:paraId="4058B6F2" w14:textId="481D0FB7">
      <w:pPr>
        <w:autoSpaceDE w:val="0"/>
        <w:autoSpaceDN w:val="0"/>
        <w:adjustRightInd w:val="0"/>
        <w:spacing w:after="0" w:line="240" w:lineRule="auto"/>
        <w:rPr>
          <w:rFonts w:ascii="Times New Roman" w:hAnsi="Times New Roman" w:cs="Times New Roman"/>
          <w:b/>
          <w:bCs/>
          <w:sz w:val="24"/>
          <w:szCs w:val="24"/>
        </w:rPr>
      </w:pPr>
      <w:bookmarkStart w:id="69" w:name="_Hlk159958655"/>
      <w:bookmarkStart w:id="70" w:name="_Hlk148047285"/>
      <w:r w:rsidRPr="009E2391">
        <w:rPr>
          <w:rFonts w:ascii="Times New Roman" w:hAnsi="Times New Roman" w:cs="Times New Roman"/>
          <w:b/>
          <w:bCs/>
          <w:sz w:val="24"/>
          <w:szCs w:val="24"/>
        </w:rPr>
        <w:t>Table</w:t>
      </w:r>
      <w:r w:rsidR="00B356D0">
        <w:rPr>
          <w:rFonts w:ascii="Times New Roman" w:hAnsi="Times New Roman" w:cs="Times New Roman"/>
          <w:b/>
          <w:bCs/>
          <w:sz w:val="24"/>
          <w:szCs w:val="24"/>
        </w:rPr>
        <w:t>14</w:t>
      </w:r>
      <w:r w:rsidRPr="009E2391">
        <w:rPr>
          <w:rFonts w:ascii="Times New Roman" w:hAnsi="Times New Roman" w:cs="Times New Roman"/>
          <w:b/>
          <w:bCs/>
          <w:sz w:val="24"/>
          <w:szCs w:val="24"/>
        </w:rPr>
        <w:t xml:space="preserve">: Burden to </w:t>
      </w:r>
      <w:r w:rsidRPr="009E2391" w:rsidR="00A2047B">
        <w:rPr>
          <w:rFonts w:ascii="Times New Roman" w:hAnsi="Times New Roman" w:cs="Times New Roman"/>
          <w:b/>
          <w:bCs/>
          <w:sz w:val="24"/>
          <w:szCs w:val="24"/>
        </w:rPr>
        <w:t>DE Entities to Implement Application Assister Requirements</w:t>
      </w:r>
    </w:p>
    <w:p w:rsidR="004E1F15" w:rsidP="00FE1BF4" w14:paraId="61A1478A" w14:textId="77777777">
      <w:pPr>
        <w:autoSpaceDE w:val="0"/>
        <w:autoSpaceDN w:val="0"/>
        <w:adjustRightInd w:val="0"/>
        <w:spacing w:after="0" w:line="240" w:lineRule="auto"/>
        <w:rPr>
          <w:rFonts w:ascii="Times New Roman" w:hAnsi="Times New Roman" w:cs="Times New Roman"/>
          <w:b/>
          <w:bCs/>
          <w:sz w:val="24"/>
          <w:szCs w:val="24"/>
        </w:rPr>
      </w:pPr>
    </w:p>
    <w:tbl>
      <w:tblPr>
        <w:tblW w:w="9445" w:type="dxa"/>
        <w:tblLayout w:type="fixed"/>
        <w:tblLook w:val="04A0"/>
      </w:tblPr>
      <w:tblGrid>
        <w:gridCol w:w="2155"/>
        <w:gridCol w:w="1350"/>
        <w:gridCol w:w="1710"/>
        <w:gridCol w:w="1170"/>
        <w:gridCol w:w="1440"/>
        <w:gridCol w:w="1620"/>
      </w:tblGrid>
      <w:tr w14:paraId="431CC171" w14:textId="77777777" w:rsidTr="00844EDF">
        <w:tblPrEx>
          <w:tblW w:w="9445" w:type="dxa"/>
          <w:tblLayout w:type="fixed"/>
          <w:tblLook w:val="04A0"/>
        </w:tblPrEx>
        <w:trPr>
          <w:trHeight w:val="1160"/>
        </w:trPr>
        <w:tc>
          <w:tcPr>
            <w:tcW w:w="2155" w:type="dxa"/>
            <w:tcBorders>
              <w:top w:val="single" w:sz="4" w:space="0" w:color="auto"/>
              <w:left w:val="single" w:sz="4" w:space="0" w:color="auto"/>
              <w:bottom w:val="single" w:sz="4" w:space="0" w:color="auto"/>
              <w:right w:val="single" w:sz="4" w:space="0" w:color="auto"/>
            </w:tcBorders>
            <w:shd w:val="clear" w:color="auto" w:fill="auto"/>
            <w:hideMark/>
          </w:tcPr>
          <w:p w:rsidR="00650DDE" w:rsidRPr="00805A00" w:rsidP="005163DB" w14:paraId="2EC37815" w14:textId="2576FD71">
            <w:pPr>
              <w:spacing w:after="0" w:line="240" w:lineRule="auto"/>
              <w:ind w:left="-20" w:right="-20"/>
              <w:rPr>
                <w:rFonts w:ascii="Times New Roman" w:eastAsia="Times New Roman" w:hAnsi="Times New Roman" w:cs="Times New Roman"/>
                <w:b/>
                <w:bCs/>
                <w:sz w:val="24"/>
                <w:szCs w:val="24"/>
              </w:rPr>
            </w:pPr>
            <w:bookmarkStart w:id="71" w:name="_Hlk146909790"/>
            <w:r w:rsidRPr="00A83073">
              <w:rPr>
                <w:rFonts w:ascii="Times New Roman" w:eastAsia="Times New Roman" w:hAnsi="Times New Roman" w:cs="Times New Roman"/>
                <w:b/>
                <w:bCs/>
                <w:spacing w:val="-5"/>
                <w:sz w:val="24"/>
                <w:szCs w:val="24"/>
              </w:rPr>
              <w:t>L</w:t>
            </w:r>
            <w:r w:rsidRPr="00A83073">
              <w:rPr>
                <w:rFonts w:ascii="Times New Roman" w:eastAsia="Times New Roman" w:hAnsi="Times New Roman" w:cs="Times New Roman"/>
                <w:b/>
                <w:bCs/>
                <w:spacing w:val="-1"/>
                <w:sz w:val="24"/>
                <w:szCs w:val="24"/>
              </w:rPr>
              <w:t>a</w:t>
            </w:r>
            <w:r w:rsidRPr="00A83073">
              <w:rPr>
                <w:rFonts w:ascii="Times New Roman" w:eastAsia="Times New Roman" w:hAnsi="Times New Roman" w:cs="Times New Roman"/>
                <w:b/>
                <w:bCs/>
                <w:sz w:val="24"/>
                <w:szCs w:val="24"/>
              </w:rPr>
              <w:t>bor</w:t>
            </w:r>
            <w:r>
              <w:rPr>
                <w:rFonts w:ascii="Times New Roman" w:eastAsia="Times New Roman" w:hAnsi="Times New Roman" w:cs="Times New Roman"/>
                <w:b/>
                <w:bCs/>
                <w:sz w:val="24"/>
                <w:szCs w:val="24"/>
              </w:rPr>
              <w:t xml:space="preserve"> </w:t>
            </w:r>
            <w:r w:rsidRPr="00A83073">
              <w:rPr>
                <w:rFonts w:ascii="Times New Roman" w:eastAsia="Times New Roman" w:hAnsi="Times New Roman" w:cs="Times New Roman"/>
                <w:b/>
                <w:bCs/>
                <w:spacing w:val="1"/>
                <w:sz w:val="24"/>
                <w:szCs w:val="24"/>
              </w:rPr>
              <w:t>C</w:t>
            </w:r>
            <w:r w:rsidRPr="00A83073">
              <w:rPr>
                <w:rFonts w:ascii="Times New Roman" w:eastAsia="Times New Roman" w:hAnsi="Times New Roman" w:cs="Times New Roman"/>
                <w:b/>
                <w:bCs/>
                <w:spacing w:val="-1"/>
                <w:sz w:val="24"/>
                <w:szCs w:val="24"/>
              </w:rPr>
              <w:t>a</w:t>
            </w:r>
            <w:r w:rsidRPr="00A83073">
              <w:rPr>
                <w:rFonts w:ascii="Times New Roman" w:eastAsia="Times New Roman" w:hAnsi="Times New Roman" w:cs="Times New Roman"/>
                <w:b/>
                <w:bCs/>
                <w:sz w:val="24"/>
                <w:szCs w:val="24"/>
              </w:rPr>
              <w:t>t</w:t>
            </w:r>
            <w:r w:rsidRPr="00A83073">
              <w:rPr>
                <w:rFonts w:ascii="Times New Roman" w:eastAsia="Times New Roman" w:hAnsi="Times New Roman" w:cs="Times New Roman"/>
                <w:b/>
                <w:bCs/>
                <w:spacing w:val="-1"/>
                <w:sz w:val="24"/>
                <w:szCs w:val="24"/>
              </w:rPr>
              <w:t>e</w:t>
            </w:r>
            <w:r w:rsidRPr="00A83073">
              <w:rPr>
                <w:rFonts w:ascii="Times New Roman" w:eastAsia="Times New Roman" w:hAnsi="Times New Roman" w:cs="Times New Roman"/>
                <w:b/>
                <w:bCs/>
                <w:spacing w:val="-2"/>
                <w:sz w:val="24"/>
                <w:szCs w:val="24"/>
              </w:rPr>
              <w:t>g</w:t>
            </w:r>
            <w:r w:rsidRPr="00A83073">
              <w:rPr>
                <w:rFonts w:ascii="Times New Roman" w:eastAsia="Times New Roman" w:hAnsi="Times New Roman" w:cs="Times New Roman"/>
                <w:b/>
                <w:bCs/>
                <w:sz w:val="24"/>
                <w:szCs w:val="24"/>
              </w:rPr>
              <w:t>o</w:t>
            </w:r>
            <w:r w:rsidRPr="00A83073">
              <w:rPr>
                <w:rFonts w:ascii="Times New Roman" w:eastAsia="Times New Roman" w:hAnsi="Times New Roman" w:cs="Times New Roman"/>
                <w:b/>
                <w:bCs/>
                <w:spacing w:val="-1"/>
                <w:sz w:val="24"/>
                <w:szCs w:val="24"/>
              </w:rPr>
              <w:t>r</w:t>
            </w:r>
            <w:r w:rsidRPr="00A83073">
              <w:rPr>
                <w:rFonts w:ascii="Times New Roman" w:eastAsia="Times New Roman" w:hAnsi="Times New Roman" w:cs="Times New Roman"/>
                <w:b/>
                <w:bCs/>
                <w:sz w:val="24"/>
                <w:szCs w:val="24"/>
              </w:rPr>
              <w:t>y</w:t>
            </w:r>
          </w:p>
        </w:tc>
        <w:tc>
          <w:tcPr>
            <w:tcW w:w="1350" w:type="dxa"/>
            <w:tcBorders>
              <w:top w:val="single" w:sz="4" w:space="0" w:color="auto"/>
              <w:left w:val="nil"/>
              <w:bottom w:val="single" w:sz="4" w:space="0" w:color="auto"/>
              <w:right w:val="single" w:sz="4" w:space="0" w:color="auto"/>
            </w:tcBorders>
            <w:shd w:val="clear" w:color="auto" w:fill="auto"/>
            <w:hideMark/>
          </w:tcPr>
          <w:p w:rsidR="00650DDE" w:rsidRPr="00A83073" w:rsidP="00650DDE" w14:paraId="390FCFFD" w14:textId="77777777">
            <w:pPr>
              <w:spacing w:after="0" w:line="240" w:lineRule="auto"/>
              <w:ind w:left="-110" w:right="-110"/>
              <w:jc w:val="center"/>
              <w:rPr>
                <w:rFonts w:ascii="Times New Roman" w:eastAsia="Times New Roman" w:hAnsi="Times New Roman" w:cs="Times New Roman"/>
                <w:b/>
                <w:bCs/>
                <w:sz w:val="24"/>
                <w:szCs w:val="24"/>
              </w:rPr>
            </w:pPr>
            <w:r w:rsidRPr="00A83073">
              <w:rPr>
                <w:rFonts w:ascii="Times New Roman" w:eastAsia="Times New Roman" w:hAnsi="Times New Roman" w:cs="Times New Roman"/>
                <w:b/>
                <w:bCs/>
                <w:sz w:val="24"/>
                <w:szCs w:val="24"/>
              </w:rPr>
              <w:t>Numb</w:t>
            </w:r>
            <w:r w:rsidRPr="00A83073">
              <w:rPr>
                <w:rFonts w:ascii="Times New Roman" w:eastAsia="Times New Roman" w:hAnsi="Times New Roman" w:cs="Times New Roman"/>
                <w:b/>
                <w:bCs/>
                <w:spacing w:val="-1"/>
                <w:sz w:val="24"/>
                <w:szCs w:val="24"/>
              </w:rPr>
              <w:t>e</w:t>
            </w:r>
            <w:r w:rsidRPr="00A83073">
              <w:rPr>
                <w:rFonts w:ascii="Times New Roman" w:eastAsia="Times New Roman" w:hAnsi="Times New Roman" w:cs="Times New Roman"/>
                <w:b/>
                <w:bCs/>
                <w:sz w:val="24"/>
                <w:szCs w:val="24"/>
              </w:rPr>
              <w:t>r</w:t>
            </w:r>
            <w:r w:rsidRPr="00A83073">
              <w:rPr>
                <w:rFonts w:ascii="Times New Roman" w:eastAsia="Times New Roman" w:hAnsi="Times New Roman" w:cs="Times New Roman"/>
                <w:b/>
                <w:bCs/>
                <w:spacing w:val="-1"/>
                <w:sz w:val="24"/>
                <w:szCs w:val="24"/>
              </w:rPr>
              <w:t xml:space="preserve"> </w:t>
            </w:r>
            <w:r w:rsidRPr="00A83073">
              <w:rPr>
                <w:rFonts w:ascii="Times New Roman" w:eastAsia="Times New Roman" w:hAnsi="Times New Roman" w:cs="Times New Roman"/>
                <w:b/>
                <w:bCs/>
                <w:sz w:val="24"/>
                <w:szCs w:val="24"/>
              </w:rPr>
              <w:t>of</w:t>
            </w:r>
          </w:p>
          <w:p w:rsidR="00650DDE" w:rsidRPr="00805A00" w:rsidP="00650DDE" w14:paraId="1BE27E5F" w14:textId="2EAAEB83">
            <w:pPr>
              <w:widowControl/>
              <w:spacing w:after="0" w:line="240" w:lineRule="auto"/>
              <w:ind w:left="-110" w:right="-110"/>
              <w:jc w:val="center"/>
              <w:rPr>
                <w:rFonts w:ascii="Times New Roman" w:eastAsia="Times New Roman" w:hAnsi="Times New Roman" w:cs="Times New Roman"/>
                <w:b/>
                <w:bCs/>
                <w:sz w:val="24"/>
                <w:szCs w:val="24"/>
              </w:rPr>
            </w:pPr>
            <w:r w:rsidRPr="00A83073">
              <w:rPr>
                <w:rFonts w:ascii="Times New Roman" w:eastAsia="Times New Roman" w:hAnsi="Times New Roman" w:cs="Times New Roman"/>
                <w:b/>
                <w:bCs/>
                <w:sz w:val="24"/>
                <w:szCs w:val="24"/>
              </w:rPr>
              <w:t>Respondents</w:t>
            </w:r>
          </w:p>
        </w:tc>
        <w:tc>
          <w:tcPr>
            <w:tcW w:w="1710" w:type="dxa"/>
            <w:tcBorders>
              <w:top w:val="single" w:sz="4" w:space="0" w:color="auto"/>
              <w:left w:val="nil"/>
              <w:bottom w:val="single" w:sz="4" w:space="0" w:color="auto"/>
              <w:right w:val="single" w:sz="4" w:space="0" w:color="auto"/>
            </w:tcBorders>
            <w:shd w:val="clear" w:color="auto" w:fill="auto"/>
            <w:hideMark/>
          </w:tcPr>
          <w:p w:rsidR="00650DDE" w:rsidRPr="00805A00" w:rsidP="00650DDE" w14:paraId="5B16B397" w14:textId="6E39FE06">
            <w:pPr>
              <w:widowControl/>
              <w:spacing w:after="0" w:line="240" w:lineRule="auto"/>
              <w:ind w:left="-110" w:right="-110"/>
              <w:jc w:val="center"/>
              <w:rPr>
                <w:rFonts w:ascii="Times New Roman" w:eastAsia="Times New Roman" w:hAnsi="Times New Roman" w:cs="Times New Roman"/>
                <w:b/>
                <w:bCs/>
                <w:sz w:val="24"/>
                <w:szCs w:val="24"/>
              </w:rPr>
            </w:pPr>
            <w:r w:rsidRPr="00A83073">
              <w:rPr>
                <w:rFonts w:ascii="Times New Roman" w:eastAsia="Times New Roman" w:hAnsi="Times New Roman" w:cs="Times New Roman"/>
                <w:b/>
                <w:bCs/>
                <w:sz w:val="24"/>
                <w:szCs w:val="24"/>
              </w:rPr>
              <w:t>Hou</w:t>
            </w:r>
            <w:r w:rsidRPr="00A83073">
              <w:rPr>
                <w:rFonts w:ascii="Times New Roman" w:eastAsia="Times New Roman" w:hAnsi="Times New Roman" w:cs="Times New Roman"/>
                <w:b/>
                <w:bCs/>
                <w:spacing w:val="-1"/>
                <w:sz w:val="24"/>
                <w:szCs w:val="24"/>
              </w:rPr>
              <w:t>r</w:t>
            </w:r>
            <w:r w:rsidRPr="00A83073">
              <w:rPr>
                <w:rFonts w:ascii="Times New Roman" w:eastAsia="Times New Roman" w:hAnsi="Times New Roman" w:cs="Times New Roman"/>
                <w:b/>
                <w:bCs/>
                <w:sz w:val="24"/>
                <w:szCs w:val="24"/>
              </w:rPr>
              <w:t>ly</w:t>
            </w:r>
            <w:r w:rsidRPr="00A83073">
              <w:rPr>
                <w:rFonts w:ascii="Times New Roman" w:eastAsia="Times New Roman" w:hAnsi="Times New Roman" w:cs="Times New Roman"/>
                <w:b/>
                <w:bCs/>
                <w:spacing w:val="-7"/>
                <w:sz w:val="24"/>
                <w:szCs w:val="24"/>
              </w:rPr>
              <w:t xml:space="preserve"> </w:t>
            </w:r>
            <w:r w:rsidRPr="00A83073">
              <w:rPr>
                <w:rFonts w:ascii="Times New Roman" w:eastAsia="Times New Roman" w:hAnsi="Times New Roman" w:cs="Times New Roman"/>
                <w:b/>
                <w:bCs/>
                <w:spacing w:val="-5"/>
                <w:sz w:val="24"/>
                <w:szCs w:val="24"/>
              </w:rPr>
              <w:t>L</w:t>
            </w:r>
            <w:r w:rsidRPr="00A83073">
              <w:rPr>
                <w:rFonts w:ascii="Times New Roman" w:eastAsia="Times New Roman" w:hAnsi="Times New Roman" w:cs="Times New Roman"/>
                <w:b/>
                <w:bCs/>
                <w:spacing w:val="-1"/>
                <w:sz w:val="24"/>
                <w:szCs w:val="24"/>
              </w:rPr>
              <w:t>a</w:t>
            </w:r>
            <w:r w:rsidRPr="00A83073">
              <w:rPr>
                <w:rFonts w:ascii="Times New Roman" w:eastAsia="Times New Roman" w:hAnsi="Times New Roman" w:cs="Times New Roman"/>
                <w:b/>
                <w:bCs/>
                <w:sz w:val="24"/>
                <w:szCs w:val="24"/>
              </w:rPr>
              <w:t xml:space="preserve">bor </w:t>
            </w:r>
            <w:r w:rsidRPr="00A83073">
              <w:rPr>
                <w:rFonts w:ascii="Times New Roman" w:eastAsia="Times New Roman" w:hAnsi="Times New Roman" w:cs="Times New Roman"/>
                <w:b/>
                <w:bCs/>
                <w:spacing w:val="1"/>
                <w:sz w:val="24"/>
                <w:szCs w:val="24"/>
              </w:rPr>
              <w:t>C</w:t>
            </w:r>
            <w:r w:rsidRPr="00A83073">
              <w:rPr>
                <w:rFonts w:ascii="Times New Roman" w:eastAsia="Times New Roman" w:hAnsi="Times New Roman" w:cs="Times New Roman"/>
                <w:b/>
                <w:bCs/>
                <w:sz w:val="24"/>
                <w:szCs w:val="24"/>
              </w:rPr>
              <w:t xml:space="preserve">osts </w:t>
            </w:r>
            <w:r w:rsidRPr="00A83073">
              <w:rPr>
                <w:rFonts w:ascii="Times New Roman" w:eastAsia="Times New Roman" w:hAnsi="Times New Roman" w:cs="Times New Roman"/>
                <w:b/>
                <w:bCs/>
                <w:spacing w:val="-1"/>
                <w:sz w:val="24"/>
                <w:szCs w:val="24"/>
              </w:rPr>
              <w:t>(</w:t>
            </w:r>
            <w:r w:rsidRPr="00A83073">
              <w:rPr>
                <w:rFonts w:ascii="Times New Roman" w:eastAsia="Times New Roman" w:hAnsi="Times New Roman" w:cs="Times New Roman"/>
                <w:b/>
                <w:bCs/>
                <w:sz w:val="24"/>
                <w:szCs w:val="24"/>
              </w:rPr>
              <w:t>Hou</w:t>
            </w:r>
            <w:r w:rsidRPr="00A83073">
              <w:rPr>
                <w:rFonts w:ascii="Times New Roman" w:eastAsia="Times New Roman" w:hAnsi="Times New Roman" w:cs="Times New Roman"/>
                <w:b/>
                <w:bCs/>
                <w:spacing w:val="-1"/>
                <w:sz w:val="24"/>
                <w:szCs w:val="24"/>
              </w:rPr>
              <w:t>r</w:t>
            </w:r>
            <w:r w:rsidRPr="00A83073">
              <w:rPr>
                <w:rFonts w:ascii="Times New Roman" w:eastAsia="Times New Roman" w:hAnsi="Times New Roman" w:cs="Times New Roman"/>
                <w:b/>
                <w:bCs/>
                <w:sz w:val="24"/>
                <w:szCs w:val="24"/>
              </w:rPr>
              <w:t xml:space="preserve">ly </w:t>
            </w:r>
            <w:r w:rsidRPr="00A83073">
              <w:rPr>
                <w:rFonts w:ascii="Times New Roman" w:eastAsia="Times New Roman" w:hAnsi="Times New Roman" w:cs="Times New Roman"/>
                <w:b/>
                <w:bCs/>
                <w:spacing w:val="-1"/>
                <w:sz w:val="24"/>
                <w:szCs w:val="24"/>
              </w:rPr>
              <w:t>ra</w:t>
            </w:r>
            <w:r w:rsidRPr="00A83073">
              <w:rPr>
                <w:rFonts w:ascii="Times New Roman" w:eastAsia="Times New Roman" w:hAnsi="Times New Roman" w:cs="Times New Roman"/>
                <w:b/>
                <w:bCs/>
                <w:sz w:val="24"/>
                <w:szCs w:val="24"/>
              </w:rPr>
              <w:t>te</w:t>
            </w:r>
            <w:r w:rsidRPr="00A83073">
              <w:rPr>
                <w:rFonts w:ascii="Times New Roman" w:eastAsia="Times New Roman" w:hAnsi="Times New Roman" w:cs="Times New Roman"/>
                <w:b/>
                <w:bCs/>
                <w:spacing w:val="-1"/>
                <w:sz w:val="24"/>
                <w:szCs w:val="24"/>
              </w:rPr>
              <w:t xml:space="preserve"> </w:t>
            </w:r>
            <w:r w:rsidRPr="00A83073">
              <w:rPr>
                <w:rFonts w:ascii="Times New Roman" w:eastAsia="Times New Roman" w:hAnsi="Times New Roman" w:cs="Times New Roman"/>
                <w:b/>
                <w:bCs/>
                <w:sz w:val="24"/>
                <w:szCs w:val="24"/>
              </w:rPr>
              <w:t>+</w:t>
            </w:r>
            <w:r w:rsidRPr="00A83073">
              <w:rPr>
                <w:rFonts w:ascii="Times New Roman" w:eastAsia="Times New Roman" w:hAnsi="Times New Roman" w:cs="Times New Roman"/>
                <w:b/>
                <w:bCs/>
                <w:spacing w:val="-1"/>
                <w:sz w:val="24"/>
                <w:szCs w:val="24"/>
              </w:rPr>
              <w:t xml:space="preserve"> </w:t>
            </w:r>
            <w:r w:rsidRPr="00A83073">
              <w:rPr>
                <w:rFonts w:ascii="Times New Roman" w:eastAsia="Times New Roman" w:hAnsi="Times New Roman" w:cs="Times New Roman"/>
                <w:b/>
                <w:bCs/>
                <w:sz w:val="24"/>
                <w:szCs w:val="24"/>
              </w:rPr>
              <w:t xml:space="preserve">100% </w:t>
            </w:r>
            <w:r w:rsidRPr="00A83073">
              <w:rPr>
                <w:rFonts w:ascii="Times New Roman" w:eastAsia="Times New Roman" w:hAnsi="Times New Roman" w:cs="Times New Roman"/>
                <w:b/>
                <w:bCs/>
                <w:spacing w:val="-1"/>
                <w:sz w:val="24"/>
                <w:szCs w:val="24"/>
              </w:rPr>
              <w:t>Fr</w:t>
            </w:r>
            <w:r w:rsidRPr="00A83073">
              <w:rPr>
                <w:rFonts w:ascii="Times New Roman" w:eastAsia="Times New Roman" w:hAnsi="Times New Roman" w:cs="Times New Roman"/>
                <w:b/>
                <w:bCs/>
                <w:sz w:val="24"/>
                <w:szCs w:val="24"/>
              </w:rPr>
              <w:t>in</w:t>
            </w:r>
            <w:r w:rsidRPr="00A83073">
              <w:rPr>
                <w:rFonts w:ascii="Times New Roman" w:eastAsia="Times New Roman" w:hAnsi="Times New Roman" w:cs="Times New Roman"/>
                <w:b/>
                <w:bCs/>
                <w:spacing w:val="-2"/>
                <w:sz w:val="24"/>
                <w:szCs w:val="24"/>
              </w:rPr>
              <w:t>g</w:t>
            </w:r>
            <w:r w:rsidRPr="00A83073">
              <w:rPr>
                <w:rFonts w:ascii="Times New Roman" w:eastAsia="Times New Roman" w:hAnsi="Times New Roman" w:cs="Times New Roman"/>
                <w:b/>
                <w:bCs/>
                <w:sz w:val="24"/>
                <w:szCs w:val="24"/>
              </w:rPr>
              <w:t>e</w:t>
            </w:r>
            <w:r w:rsidRPr="00A83073">
              <w:rPr>
                <w:rFonts w:ascii="Times New Roman" w:eastAsia="Times New Roman" w:hAnsi="Times New Roman" w:cs="Times New Roman"/>
                <w:b/>
                <w:bCs/>
                <w:spacing w:val="-1"/>
                <w:sz w:val="24"/>
                <w:szCs w:val="24"/>
              </w:rPr>
              <w:t xml:space="preserve"> </w:t>
            </w:r>
            <w:r w:rsidRPr="00A83073">
              <w:rPr>
                <w:rFonts w:ascii="Times New Roman" w:eastAsia="Times New Roman" w:hAnsi="Times New Roman" w:cs="Times New Roman"/>
                <w:b/>
                <w:bCs/>
                <w:sz w:val="24"/>
                <w:szCs w:val="24"/>
              </w:rPr>
              <w:t>b</w:t>
            </w:r>
            <w:r w:rsidRPr="00A83073">
              <w:rPr>
                <w:rFonts w:ascii="Times New Roman" w:eastAsia="Times New Roman" w:hAnsi="Times New Roman" w:cs="Times New Roman"/>
                <w:b/>
                <w:bCs/>
                <w:spacing w:val="-1"/>
                <w:sz w:val="24"/>
                <w:szCs w:val="24"/>
              </w:rPr>
              <w:t>e</w:t>
            </w:r>
            <w:r w:rsidRPr="00A83073">
              <w:rPr>
                <w:rFonts w:ascii="Times New Roman" w:eastAsia="Times New Roman" w:hAnsi="Times New Roman" w:cs="Times New Roman"/>
                <w:b/>
                <w:bCs/>
                <w:sz w:val="24"/>
                <w:szCs w:val="24"/>
              </w:rPr>
              <w:t>n</w:t>
            </w:r>
            <w:r w:rsidRPr="00A83073">
              <w:rPr>
                <w:rFonts w:ascii="Times New Roman" w:eastAsia="Times New Roman" w:hAnsi="Times New Roman" w:cs="Times New Roman"/>
                <w:b/>
                <w:bCs/>
                <w:spacing w:val="-1"/>
                <w:sz w:val="24"/>
                <w:szCs w:val="24"/>
              </w:rPr>
              <w:t>ef</w:t>
            </w:r>
            <w:r w:rsidRPr="00A83073">
              <w:rPr>
                <w:rFonts w:ascii="Times New Roman" w:eastAsia="Times New Roman" w:hAnsi="Times New Roman" w:cs="Times New Roman"/>
                <w:b/>
                <w:bCs/>
                <w:sz w:val="24"/>
                <w:szCs w:val="24"/>
              </w:rPr>
              <w:t>its)</w:t>
            </w:r>
          </w:p>
        </w:tc>
        <w:tc>
          <w:tcPr>
            <w:tcW w:w="1170" w:type="dxa"/>
            <w:tcBorders>
              <w:top w:val="single" w:sz="4" w:space="0" w:color="auto"/>
              <w:left w:val="nil"/>
              <w:bottom w:val="single" w:sz="4" w:space="0" w:color="auto"/>
              <w:right w:val="single" w:sz="4" w:space="0" w:color="auto"/>
            </w:tcBorders>
            <w:shd w:val="clear" w:color="auto" w:fill="auto"/>
            <w:hideMark/>
          </w:tcPr>
          <w:p w:rsidR="00650DDE" w:rsidRPr="00A83073" w:rsidP="00650DDE" w14:paraId="58F3B00B" w14:textId="77777777">
            <w:pPr>
              <w:spacing w:after="0" w:line="240" w:lineRule="auto"/>
              <w:ind w:left="-110" w:right="-110"/>
              <w:jc w:val="center"/>
              <w:rPr>
                <w:rFonts w:ascii="Times New Roman" w:eastAsia="Times New Roman" w:hAnsi="Times New Roman" w:cs="Times New Roman"/>
                <w:b/>
                <w:bCs/>
                <w:sz w:val="24"/>
                <w:szCs w:val="24"/>
              </w:rPr>
            </w:pPr>
            <w:r w:rsidRPr="00A83073">
              <w:rPr>
                <w:rFonts w:ascii="Times New Roman" w:eastAsia="Times New Roman" w:hAnsi="Times New Roman" w:cs="Times New Roman"/>
                <w:b/>
                <w:bCs/>
                <w:spacing w:val="-2"/>
                <w:sz w:val="24"/>
                <w:szCs w:val="24"/>
              </w:rPr>
              <w:t>B</w:t>
            </w:r>
            <w:r w:rsidRPr="00A83073">
              <w:rPr>
                <w:rFonts w:ascii="Times New Roman" w:eastAsia="Times New Roman" w:hAnsi="Times New Roman" w:cs="Times New Roman"/>
                <w:b/>
                <w:bCs/>
                <w:sz w:val="24"/>
                <w:szCs w:val="24"/>
              </w:rPr>
              <w:t>u</w:t>
            </w:r>
            <w:r w:rsidRPr="00A83073">
              <w:rPr>
                <w:rFonts w:ascii="Times New Roman" w:eastAsia="Times New Roman" w:hAnsi="Times New Roman" w:cs="Times New Roman"/>
                <w:b/>
                <w:bCs/>
                <w:spacing w:val="-1"/>
                <w:sz w:val="24"/>
                <w:szCs w:val="24"/>
              </w:rPr>
              <w:t>r</w:t>
            </w:r>
            <w:r w:rsidRPr="00A83073">
              <w:rPr>
                <w:rFonts w:ascii="Times New Roman" w:eastAsia="Times New Roman" w:hAnsi="Times New Roman" w:cs="Times New Roman"/>
                <w:b/>
                <w:bCs/>
                <w:sz w:val="24"/>
                <w:szCs w:val="24"/>
              </w:rPr>
              <w:t>d</w:t>
            </w:r>
            <w:r w:rsidRPr="00A83073">
              <w:rPr>
                <w:rFonts w:ascii="Times New Roman" w:eastAsia="Times New Roman" w:hAnsi="Times New Roman" w:cs="Times New Roman"/>
                <w:b/>
                <w:bCs/>
                <w:spacing w:val="-1"/>
                <w:sz w:val="24"/>
                <w:szCs w:val="24"/>
              </w:rPr>
              <w:t>e</w:t>
            </w:r>
            <w:r w:rsidRPr="00A83073">
              <w:rPr>
                <w:rFonts w:ascii="Times New Roman" w:eastAsia="Times New Roman" w:hAnsi="Times New Roman" w:cs="Times New Roman"/>
                <w:b/>
                <w:bCs/>
                <w:sz w:val="24"/>
                <w:szCs w:val="24"/>
              </w:rPr>
              <w:t>n</w:t>
            </w:r>
          </w:p>
          <w:p w:rsidR="00650DDE" w:rsidRPr="00805A00" w:rsidP="00650DDE" w14:paraId="10F480B9" w14:textId="17B57A8D">
            <w:pPr>
              <w:widowControl/>
              <w:spacing w:after="0" w:line="240" w:lineRule="auto"/>
              <w:ind w:left="-110" w:right="-110"/>
              <w:jc w:val="center"/>
              <w:rPr>
                <w:rFonts w:ascii="Times New Roman" w:eastAsia="Times New Roman" w:hAnsi="Times New Roman" w:cs="Times New Roman"/>
                <w:b/>
                <w:bCs/>
                <w:sz w:val="24"/>
                <w:szCs w:val="24"/>
              </w:rPr>
            </w:pPr>
            <w:r w:rsidRPr="00A83073">
              <w:rPr>
                <w:rFonts w:ascii="Times New Roman" w:eastAsia="Times New Roman" w:hAnsi="Times New Roman" w:cs="Times New Roman"/>
                <w:b/>
                <w:bCs/>
                <w:sz w:val="24"/>
                <w:szCs w:val="24"/>
              </w:rPr>
              <w:t>Hou</w:t>
            </w:r>
            <w:r w:rsidRPr="00A83073">
              <w:rPr>
                <w:rFonts w:ascii="Times New Roman" w:eastAsia="Times New Roman" w:hAnsi="Times New Roman" w:cs="Times New Roman"/>
                <w:b/>
                <w:bCs/>
                <w:spacing w:val="-1"/>
                <w:sz w:val="24"/>
                <w:szCs w:val="24"/>
              </w:rPr>
              <w:t>r</w:t>
            </w:r>
            <w:r w:rsidRPr="00A83073">
              <w:rPr>
                <w:rFonts w:ascii="Times New Roman" w:eastAsia="Times New Roman" w:hAnsi="Times New Roman" w:cs="Times New Roman"/>
                <w:b/>
                <w:bCs/>
                <w:sz w:val="24"/>
                <w:szCs w:val="24"/>
              </w:rPr>
              <w:t>s</w:t>
            </w:r>
          </w:p>
        </w:tc>
        <w:tc>
          <w:tcPr>
            <w:tcW w:w="1440" w:type="dxa"/>
            <w:tcBorders>
              <w:top w:val="single" w:sz="4" w:space="0" w:color="auto"/>
              <w:left w:val="nil"/>
              <w:bottom w:val="single" w:sz="4" w:space="0" w:color="auto"/>
              <w:right w:val="single" w:sz="4" w:space="0" w:color="auto"/>
            </w:tcBorders>
            <w:shd w:val="clear" w:color="auto" w:fill="auto"/>
            <w:hideMark/>
          </w:tcPr>
          <w:p w:rsidR="00650DDE" w:rsidRPr="00A83073" w:rsidP="00650DDE" w14:paraId="1ED98044" w14:textId="77777777">
            <w:pPr>
              <w:spacing w:after="0" w:line="240" w:lineRule="auto"/>
              <w:ind w:left="-110" w:right="-110"/>
              <w:jc w:val="center"/>
              <w:rPr>
                <w:rFonts w:ascii="Times New Roman" w:eastAsia="Times New Roman" w:hAnsi="Times New Roman" w:cs="Times New Roman"/>
                <w:b/>
                <w:bCs/>
                <w:sz w:val="24"/>
                <w:szCs w:val="24"/>
              </w:rPr>
            </w:pPr>
            <w:r w:rsidRPr="00A83073">
              <w:rPr>
                <w:rFonts w:ascii="Times New Roman" w:eastAsia="Times New Roman" w:hAnsi="Times New Roman" w:cs="Times New Roman"/>
                <w:b/>
                <w:bCs/>
                <w:sz w:val="24"/>
                <w:szCs w:val="24"/>
              </w:rPr>
              <w:t>Tot</w:t>
            </w:r>
            <w:r w:rsidRPr="00A83073">
              <w:rPr>
                <w:rFonts w:ascii="Times New Roman" w:eastAsia="Times New Roman" w:hAnsi="Times New Roman" w:cs="Times New Roman"/>
                <w:b/>
                <w:bCs/>
                <w:spacing w:val="-1"/>
                <w:sz w:val="24"/>
                <w:szCs w:val="24"/>
              </w:rPr>
              <w:t>a</w:t>
            </w:r>
            <w:r w:rsidRPr="00A83073">
              <w:rPr>
                <w:rFonts w:ascii="Times New Roman" w:eastAsia="Times New Roman" w:hAnsi="Times New Roman" w:cs="Times New Roman"/>
                <w:b/>
                <w:bCs/>
                <w:sz w:val="24"/>
                <w:szCs w:val="24"/>
              </w:rPr>
              <w:t xml:space="preserve">l </w:t>
            </w:r>
            <w:r w:rsidRPr="00A83073">
              <w:rPr>
                <w:rFonts w:ascii="Times New Roman" w:eastAsia="Times New Roman" w:hAnsi="Times New Roman" w:cs="Times New Roman"/>
                <w:b/>
                <w:bCs/>
                <w:spacing w:val="-2"/>
                <w:sz w:val="24"/>
                <w:szCs w:val="24"/>
              </w:rPr>
              <w:t>B</w:t>
            </w:r>
            <w:r w:rsidRPr="00A83073">
              <w:rPr>
                <w:rFonts w:ascii="Times New Roman" w:eastAsia="Times New Roman" w:hAnsi="Times New Roman" w:cs="Times New Roman"/>
                <w:b/>
                <w:bCs/>
                <w:sz w:val="24"/>
                <w:szCs w:val="24"/>
              </w:rPr>
              <w:t>u</w:t>
            </w:r>
            <w:r w:rsidRPr="00A83073">
              <w:rPr>
                <w:rFonts w:ascii="Times New Roman" w:eastAsia="Times New Roman" w:hAnsi="Times New Roman" w:cs="Times New Roman"/>
                <w:b/>
                <w:bCs/>
                <w:spacing w:val="-1"/>
                <w:sz w:val="24"/>
                <w:szCs w:val="24"/>
              </w:rPr>
              <w:t>r</w:t>
            </w:r>
            <w:r w:rsidRPr="00A83073">
              <w:rPr>
                <w:rFonts w:ascii="Times New Roman" w:eastAsia="Times New Roman" w:hAnsi="Times New Roman" w:cs="Times New Roman"/>
                <w:b/>
                <w:bCs/>
                <w:sz w:val="24"/>
                <w:szCs w:val="24"/>
              </w:rPr>
              <w:t>d</w:t>
            </w:r>
            <w:r w:rsidRPr="00A83073">
              <w:rPr>
                <w:rFonts w:ascii="Times New Roman" w:eastAsia="Times New Roman" w:hAnsi="Times New Roman" w:cs="Times New Roman"/>
                <w:b/>
                <w:bCs/>
                <w:spacing w:val="-1"/>
                <w:sz w:val="24"/>
                <w:szCs w:val="24"/>
              </w:rPr>
              <w:t>e</w:t>
            </w:r>
            <w:r w:rsidRPr="00A83073">
              <w:rPr>
                <w:rFonts w:ascii="Times New Roman" w:eastAsia="Times New Roman" w:hAnsi="Times New Roman" w:cs="Times New Roman"/>
                <w:b/>
                <w:bCs/>
                <w:sz w:val="24"/>
                <w:szCs w:val="24"/>
              </w:rPr>
              <w:t>n</w:t>
            </w:r>
          </w:p>
          <w:p w:rsidR="00650DDE" w:rsidRPr="00805A00" w:rsidP="00650DDE" w14:paraId="0EFAFD05" w14:textId="191A67C7">
            <w:pPr>
              <w:widowControl/>
              <w:spacing w:after="0" w:line="240" w:lineRule="auto"/>
              <w:ind w:left="-110" w:right="-110"/>
              <w:jc w:val="center"/>
              <w:rPr>
                <w:rFonts w:ascii="Times New Roman" w:eastAsia="Times New Roman" w:hAnsi="Times New Roman" w:cs="Times New Roman"/>
                <w:b/>
                <w:bCs/>
                <w:sz w:val="24"/>
                <w:szCs w:val="24"/>
              </w:rPr>
            </w:pPr>
            <w:r w:rsidRPr="00A83073">
              <w:rPr>
                <w:rFonts w:ascii="Times New Roman" w:eastAsia="Times New Roman" w:hAnsi="Times New Roman" w:cs="Times New Roman"/>
                <w:b/>
                <w:bCs/>
                <w:spacing w:val="1"/>
                <w:sz w:val="24"/>
                <w:szCs w:val="24"/>
              </w:rPr>
              <w:t>C</w:t>
            </w:r>
            <w:r w:rsidRPr="00A83073">
              <w:rPr>
                <w:rFonts w:ascii="Times New Roman" w:eastAsia="Times New Roman" w:hAnsi="Times New Roman" w:cs="Times New Roman"/>
                <w:b/>
                <w:bCs/>
                <w:sz w:val="24"/>
                <w:szCs w:val="24"/>
              </w:rPr>
              <w:t xml:space="preserve">osts </w:t>
            </w:r>
            <w:r w:rsidRPr="00A83073">
              <w:rPr>
                <w:rFonts w:ascii="Times New Roman" w:eastAsia="Times New Roman" w:hAnsi="Times New Roman" w:cs="Times New Roman"/>
                <w:b/>
                <w:bCs/>
                <w:spacing w:val="-1"/>
                <w:sz w:val="24"/>
                <w:szCs w:val="24"/>
              </w:rPr>
              <w:t>(</w:t>
            </w:r>
            <w:r w:rsidRPr="00A83073">
              <w:rPr>
                <w:rFonts w:ascii="Times New Roman" w:eastAsia="Times New Roman" w:hAnsi="Times New Roman" w:cs="Times New Roman"/>
                <w:b/>
                <w:bCs/>
                <w:sz w:val="24"/>
                <w:szCs w:val="24"/>
              </w:rPr>
              <w:t>p</w:t>
            </w:r>
            <w:r w:rsidRPr="00A83073">
              <w:rPr>
                <w:rFonts w:ascii="Times New Roman" w:eastAsia="Times New Roman" w:hAnsi="Times New Roman" w:cs="Times New Roman"/>
                <w:b/>
                <w:bCs/>
                <w:spacing w:val="-1"/>
                <w:sz w:val="24"/>
                <w:szCs w:val="24"/>
              </w:rPr>
              <w:t>e</w:t>
            </w:r>
            <w:r w:rsidRPr="00A83073">
              <w:rPr>
                <w:rFonts w:ascii="Times New Roman" w:eastAsia="Times New Roman" w:hAnsi="Times New Roman" w:cs="Times New Roman"/>
                <w:b/>
                <w:bCs/>
                <w:sz w:val="24"/>
                <w:szCs w:val="24"/>
              </w:rPr>
              <w:t xml:space="preserve">r </w:t>
            </w:r>
            <w:r w:rsidRPr="00A83073">
              <w:rPr>
                <w:rFonts w:ascii="Times New Roman" w:eastAsia="Times New Roman" w:hAnsi="Times New Roman" w:cs="Times New Roman"/>
                <w:b/>
                <w:bCs/>
                <w:spacing w:val="-1"/>
                <w:sz w:val="24"/>
                <w:szCs w:val="24"/>
              </w:rPr>
              <w:t>Re</w:t>
            </w:r>
            <w:r w:rsidRPr="00A83073">
              <w:rPr>
                <w:rFonts w:ascii="Times New Roman" w:eastAsia="Times New Roman" w:hAnsi="Times New Roman" w:cs="Times New Roman"/>
                <w:b/>
                <w:bCs/>
                <w:sz w:val="24"/>
                <w:szCs w:val="24"/>
              </w:rPr>
              <w:t>spond</w:t>
            </w:r>
            <w:r w:rsidRPr="00A83073">
              <w:rPr>
                <w:rFonts w:ascii="Times New Roman" w:eastAsia="Times New Roman" w:hAnsi="Times New Roman" w:cs="Times New Roman"/>
                <w:b/>
                <w:bCs/>
                <w:spacing w:val="-1"/>
                <w:sz w:val="24"/>
                <w:szCs w:val="24"/>
              </w:rPr>
              <w:t>e</w:t>
            </w:r>
            <w:r w:rsidRPr="00A83073">
              <w:rPr>
                <w:rFonts w:ascii="Times New Roman" w:eastAsia="Times New Roman" w:hAnsi="Times New Roman" w:cs="Times New Roman"/>
                <w:b/>
                <w:bCs/>
                <w:sz w:val="24"/>
                <w:szCs w:val="24"/>
              </w:rPr>
              <w:t>nt)</w:t>
            </w:r>
          </w:p>
        </w:tc>
        <w:tc>
          <w:tcPr>
            <w:tcW w:w="1620" w:type="dxa"/>
            <w:tcBorders>
              <w:top w:val="single" w:sz="4" w:space="0" w:color="auto"/>
              <w:left w:val="nil"/>
              <w:bottom w:val="single" w:sz="4" w:space="0" w:color="auto"/>
              <w:right w:val="single" w:sz="4" w:space="0" w:color="auto"/>
            </w:tcBorders>
            <w:shd w:val="clear" w:color="auto" w:fill="auto"/>
            <w:hideMark/>
          </w:tcPr>
          <w:p w:rsidR="00650DDE" w:rsidRPr="00805A00" w:rsidP="00650DDE" w14:paraId="4DC96B0D" w14:textId="590905BE">
            <w:pPr>
              <w:widowControl/>
              <w:spacing w:after="0" w:line="240" w:lineRule="auto"/>
              <w:ind w:left="-110" w:right="-110"/>
              <w:jc w:val="center"/>
              <w:rPr>
                <w:rFonts w:ascii="Times New Roman" w:eastAsia="Times New Roman" w:hAnsi="Times New Roman" w:cs="Times New Roman"/>
                <w:b/>
                <w:bCs/>
                <w:sz w:val="24"/>
                <w:szCs w:val="24"/>
              </w:rPr>
            </w:pPr>
            <w:r w:rsidRPr="00A83073">
              <w:rPr>
                <w:rFonts w:ascii="Times New Roman" w:eastAsia="Times New Roman" w:hAnsi="Times New Roman" w:cs="Times New Roman"/>
                <w:b/>
                <w:bCs/>
                <w:sz w:val="24"/>
                <w:szCs w:val="24"/>
              </w:rPr>
              <w:t>Tot</w:t>
            </w:r>
            <w:r w:rsidRPr="00A83073">
              <w:rPr>
                <w:rFonts w:ascii="Times New Roman" w:eastAsia="Times New Roman" w:hAnsi="Times New Roman" w:cs="Times New Roman"/>
                <w:b/>
                <w:bCs/>
                <w:spacing w:val="-1"/>
                <w:sz w:val="24"/>
                <w:szCs w:val="24"/>
              </w:rPr>
              <w:t>a</w:t>
            </w:r>
            <w:r w:rsidRPr="00A83073">
              <w:rPr>
                <w:rFonts w:ascii="Times New Roman" w:eastAsia="Times New Roman" w:hAnsi="Times New Roman" w:cs="Times New Roman"/>
                <w:b/>
                <w:bCs/>
                <w:sz w:val="24"/>
                <w:szCs w:val="24"/>
              </w:rPr>
              <w:t xml:space="preserve">l </w:t>
            </w:r>
            <w:r w:rsidRPr="00A83073">
              <w:rPr>
                <w:rFonts w:ascii="Times New Roman" w:eastAsia="Times New Roman" w:hAnsi="Times New Roman" w:cs="Times New Roman"/>
                <w:b/>
                <w:bCs/>
                <w:spacing w:val="-2"/>
                <w:sz w:val="24"/>
                <w:szCs w:val="24"/>
              </w:rPr>
              <w:t>B</w:t>
            </w:r>
            <w:r w:rsidRPr="00A83073">
              <w:rPr>
                <w:rFonts w:ascii="Times New Roman" w:eastAsia="Times New Roman" w:hAnsi="Times New Roman" w:cs="Times New Roman"/>
                <w:b/>
                <w:bCs/>
                <w:sz w:val="24"/>
                <w:szCs w:val="24"/>
              </w:rPr>
              <w:t>u</w:t>
            </w:r>
            <w:r w:rsidRPr="00A83073">
              <w:rPr>
                <w:rFonts w:ascii="Times New Roman" w:eastAsia="Times New Roman" w:hAnsi="Times New Roman" w:cs="Times New Roman"/>
                <w:b/>
                <w:bCs/>
                <w:spacing w:val="-1"/>
                <w:sz w:val="24"/>
                <w:szCs w:val="24"/>
              </w:rPr>
              <w:t>r</w:t>
            </w:r>
            <w:r w:rsidRPr="00A83073">
              <w:rPr>
                <w:rFonts w:ascii="Times New Roman" w:eastAsia="Times New Roman" w:hAnsi="Times New Roman" w:cs="Times New Roman"/>
                <w:b/>
                <w:bCs/>
                <w:sz w:val="24"/>
                <w:szCs w:val="24"/>
              </w:rPr>
              <w:t>d</w:t>
            </w:r>
            <w:r w:rsidRPr="00A83073">
              <w:rPr>
                <w:rFonts w:ascii="Times New Roman" w:eastAsia="Times New Roman" w:hAnsi="Times New Roman" w:cs="Times New Roman"/>
                <w:b/>
                <w:bCs/>
                <w:spacing w:val="-1"/>
                <w:sz w:val="24"/>
                <w:szCs w:val="24"/>
              </w:rPr>
              <w:t>e</w:t>
            </w:r>
            <w:r w:rsidRPr="00A83073">
              <w:rPr>
                <w:rFonts w:ascii="Times New Roman" w:eastAsia="Times New Roman" w:hAnsi="Times New Roman" w:cs="Times New Roman"/>
                <w:b/>
                <w:bCs/>
                <w:sz w:val="24"/>
                <w:szCs w:val="24"/>
              </w:rPr>
              <w:t xml:space="preserve">n </w:t>
            </w:r>
            <w:r w:rsidRPr="00A83073">
              <w:rPr>
                <w:rFonts w:ascii="Times New Roman" w:eastAsia="Times New Roman" w:hAnsi="Times New Roman" w:cs="Times New Roman"/>
                <w:b/>
                <w:bCs/>
                <w:spacing w:val="1"/>
                <w:sz w:val="24"/>
                <w:szCs w:val="24"/>
              </w:rPr>
              <w:t>C</w:t>
            </w:r>
            <w:r w:rsidRPr="00A83073">
              <w:rPr>
                <w:rFonts w:ascii="Times New Roman" w:eastAsia="Times New Roman" w:hAnsi="Times New Roman" w:cs="Times New Roman"/>
                <w:b/>
                <w:bCs/>
                <w:sz w:val="24"/>
                <w:szCs w:val="24"/>
              </w:rPr>
              <w:t xml:space="preserve">osts </w:t>
            </w:r>
            <w:r w:rsidRPr="00A83073">
              <w:rPr>
                <w:rFonts w:ascii="Times New Roman" w:eastAsia="Times New Roman" w:hAnsi="Times New Roman" w:cs="Times New Roman"/>
                <w:b/>
                <w:bCs/>
                <w:spacing w:val="-1"/>
                <w:sz w:val="24"/>
                <w:szCs w:val="24"/>
              </w:rPr>
              <w:t>(</w:t>
            </w:r>
            <w:r w:rsidRPr="00A83073">
              <w:rPr>
                <w:rFonts w:ascii="Times New Roman" w:eastAsia="Times New Roman" w:hAnsi="Times New Roman" w:cs="Times New Roman"/>
                <w:b/>
                <w:bCs/>
                <w:sz w:val="24"/>
                <w:szCs w:val="24"/>
              </w:rPr>
              <w:t xml:space="preserve">All </w:t>
            </w:r>
            <w:r w:rsidRPr="00A83073">
              <w:rPr>
                <w:rFonts w:ascii="Times New Roman" w:eastAsia="Times New Roman" w:hAnsi="Times New Roman" w:cs="Times New Roman"/>
                <w:b/>
                <w:bCs/>
                <w:spacing w:val="1"/>
                <w:sz w:val="24"/>
                <w:szCs w:val="24"/>
              </w:rPr>
              <w:t>R</w:t>
            </w:r>
            <w:r w:rsidRPr="00A83073">
              <w:rPr>
                <w:rFonts w:ascii="Times New Roman" w:eastAsia="Times New Roman" w:hAnsi="Times New Roman" w:cs="Times New Roman"/>
                <w:b/>
                <w:bCs/>
                <w:spacing w:val="-1"/>
                <w:sz w:val="24"/>
                <w:szCs w:val="24"/>
              </w:rPr>
              <w:t>e</w:t>
            </w:r>
            <w:r w:rsidRPr="00A83073">
              <w:rPr>
                <w:rFonts w:ascii="Times New Roman" w:eastAsia="Times New Roman" w:hAnsi="Times New Roman" w:cs="Times New Roman"/>
                <w:b/>
                <w:bCs/>
                <w:sz w:val="24"/>
                <w:szCs w:val="24"/>
              </w:rPr>
              <w:t>spond</w:t>
            </w:r>
            <w:r w:rsidRPr="00A83073">
              <w:rPr>
                <w:rFonts w:ascii="Times New Roman" w:eastAsia="Times New Roman" w:hAnsi="Times New Roman" w:cs="Times New Roman"/>
                <w:b/>
                <w:bCs/>
                <w:spacing w:val="-1"/>
                <w:sz w:val="24"/>
                <w:szCs w:val="24"/>
              </w:rPr>
              <w:t>e</w:t>
            </w:r>
            <w:r w:rsidRPr="00A83073">
              <w:rPr>
                <w:rFonts w:ascii="Times New Roman" w:eastAsia="Times New Roman" w:hAnsi="Times New Roman" w:cs="Times New Roman"/>
                <w:b/>
                <w:bCs/>
                <w:sz w:val="24"/>
                <w:szCs w:val="24"/>
              </w:rPr>
              <w:t>nts)</w:t>
            </w:r>
          </w:p>
        </w:tc>
      </w:tr>
      <w:tr w14:paraId="66B72199" w14:textId="77777777" w:rsidTr="00844EDF">
        <w:tblPrEx>
          <w:tblW w:w="9445" w:type="dxa"/>
          <w:tblLayout w:type="fixed"/>
          <w:tblLook w:val="04A0"/>
        </w:tblPrEx>
        <w:trPr>
          <w:trHeight w:val="360"/>
        </w:trPr>
        <w:tc>
          <w:tcPr>
            <w:tcW w:w="2155" w:type="dxa"/>
            <w:tcBorders>
              <w:top w:val="nil"/>
              <w:left w:val="single" w:sz="4" w:space="0" w:color="auto"/>
              <w:bottom w:val="single" w:sz="4" w:space="0" w:color="auto"/>
              <w:right w:val="single" w:sz="4" w:space="0" w:color="auto"/>
            </w:tcBorders>
            <w:shd w:val="clear" w:color="auto" w:fill="auto"/>
            <w:vAlign w:val="center"/>
            <w:hideMark/>
          </w:tcPr>
          <w:p w:rsidR="00634FF4" w:rsidRPr="00805A00" w:rsidP="00E632D2" w14:paraId="4135DF39" w14:textId="5E93C0AB">
            <w:pPr>
              <w:widowControl/>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Compliance Officer</w:t>
            </w:r>
          </w:p>
        </w:tc>
        <w:tc>
          <w:tcPr>
            <w:tcW w:w="1350" w:type="dxa"/>
            <w:tcBorders>
              <w:top w:val="nil"/>
              <w:left w:val="nil"/>
              <w:bottom w:val="single" w:sz="4" w:space="0" w:color="auto"/>
              <w:right w:val="single" w:sz="4" w:space="0" w:color="auto"/>
            </w:tcBorders>
            <w:shd w:val="clear" w:color="auto" w:fill="auto"/>
            <w:vAlign w:val="center"/>
            <w:hideMark/>
          </w:tcPr>
          <w:p w:rsidR="00634FF4" w:rsidRPr="00805A00" w:rsidP="00650DDE" w14:paraId="4AC15902" w14:textId="6F70617C">
            <w:pPr>
              <w:widowControl/>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710" w:type="dxa"/>
            <w:tcBorders>
              <w:top w:val="nil"/>
              <w:left w:val="nil"/>
              <w:bottom w:val="single" w:sz="4" w:space="0" w:color="auto"/>
              <w:right w:val="single" w:sz="4" w:space="0" w:color="auto"/>
            </w:tcBorders>
            <w:shd w:val="clear" w:color="auto" w:fill="auto"/>
            <w:vAlign w:val="center"/>
            <w:hideMark/>
          </w:tcPr>
          <w:p w:rsidR="00634FF4" w:rsidRPr="00805A00" w:rsidP="00650DDE" w14:paraId="7680909E" w14:textId="1DF0AA30">
            <w:pPr>
              <w:widowControl/>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F376BF">
              <w:rPr>
                <w:rFonts w:ascii="Times New Roman" w:eastAsia="Times New Roman" w:hAnsi="Times New Roman" w:cs="Times New Roman"/>
                <w:sz w:val="24"/>
                <w:szCs w:val="24"/>
              </w:rPr>
              <w:t>68.94</w:t>
            </w:r>
          </w:p>
        </w:tc>
        <w:tc>
          <w:tcPr>
            <w:tcW w:w="1170" w:type="dxa"/>
            <w:tcBorders>
              <w:top w:val="nil"/>
              <w:left w:val="nil"/>
              <w:bottom w:val="single" w:sz="4" w:space="0" w:color="auto"/>
              <w:right w:val="single" w:sz="4" w:space="0" w:color="auto"/>
            </w:tcBorders>
            <w:shd w:val="clear" w:color="auto" w:fill="auto"/>
            <w:vAlign w:val="center"/>
            <w:hideMark/>
          </w:tcPr>
          <w:p w:rsidR="00634FF4" w:rsidRPr="00805A00" w:rsidP="00650DDE" w14:paraId="3D38F702" w14:textId="38A5F062">
            <w:pPr>
              <w:widowControl/>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750</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634FF4" w:rsidRPr="00805A00" w:rsidP="00650DDE" w14:paraId="186357A8" w14:textId="34BDAA96">
            <w:pPr>
              <w:widowControl/>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44F20">
              <w:rPr>
                <w:rFonts w:ascii="Times New Roman" w:eastAsia="Times New Roman" w:hAnsi="Times New Roman" w:cs="Times New Roman"/>
                <w:sz w:val="24"/>
                <w:szCs w:val="24"/>
              </w:rPr>
              <w:t>51,705.00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4FF4" w:rsidRPr="00805A00" w:rsidP="00650DDE" w14:paraId="0181AC2E" w14:textId="6B460A57">
            <w:pPr>
              <w:widowControl/>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E5FBF">
              <w:rPr>
                <w:rFonts w:ascii="Times New Roman" w:eastAsia="Times New Roman" w:hAnsi="Times New Roman" w:cs="Times New Roman"/>
                <w:sz w:val="24"/>
                <w:szCs w:val="24"/>
              </w:rPr>
              <w:t>1,034,100.00</w:t>
            </w:r>
          </w:p>
        </w:tc>
      </w:tr>
      <w:bookmarkEnd w:id="69"/>
      <w:bookmarkEnd w:id="71"/>
    </w:tbl>
    <w:p w:rsidR="00163566" w:rsidP="00234238" w14:paraId="3297D1B9" w14:textId="77777777">
      <w:pPr>
        <w:autoSpaceDE w:val="0"/>
        <w:autoSpaceDN w:val="0"/>
        <w:adjustRightInd w:val="0"/>
        <w:spacing w:after="0" w:line="240" w:lineRule="auto"/>
        <w:rPr>
          <w:rFonts w:ascii="Times New Roman" w:hAnsi="Times New Roman" w:cs="Times New Roman"/>
          <w:b/>
          <w:bCs/>
          <w:sz w:val="24"/>
          <w:szCs w:val="24"/>
        </w:rPr>
      </w:pPr>
    </w:p>
    <w:p w:rsidR="00710BFB" w:rsidP="00234238" w14:paraId="328097AD" w14:textId="10BA6056">
      <w:pPr>
        <w:autoSpaceDE w:val="0"/>
        <w:autoSpaceDN w:val="0"/>
        <w:adjustRightInd w:val="0"/>
        <w:spacing w:after="0" w:line="240" w:lineRule="auto"/>
        <w:rPr>
          <w:rFonts w:ascii="Times New Roman" w:hAnsi="Times New Roman" w:cs="Times New Roman"/>
          <w:sz w:val="24"/>
          <w:szCs w:val="24"/>
        </w:rPr>
      </w:pPr>
      <w:bookmarkStart w:id="72" w:name="_Hlk159959175"/>
      <w:bookmarkStart w:id="73" w:name="_Hlk159955886"/>
      <w:bookmarkEnd w:id="70"/>
      <w:r w:rsidRPr="003341CA">
        <w:rPr>
          <w:rFonts w:ascii="Times New Roman" w:hAnsi="Times New Roman" w:cs="Times New Roman"/>
          <w:b/>
          <w:bCs/>
          <w:sz w:val="24"/>
          <w:szCs w:val="24"/>
        </w:rPr>
        <w:t>Application to State Exchanges</w:t>
      </w:r>
      <w:r w:rsidR="003341CA">
        <w:rPr>
          <w:rFonts w:ascii="Times New Roman" w:hAnsi="Times New Roman" w:cs="Times New Roman"/>
          <w:b/>
          <w:bCs/>
          <w:sz w:val="24"/>
          <w:szCs w:val="24"/>
        </w:rPr>
        <w:t xml:space="preserve"> </w:t>
      </w:r>
      <w:r w:rsidRPr="003341CA">
        <w:rPr>
          <w:rFonts w:ascii="Times New Roman" w:hAnsi="Times New Roman" w:cs="Times New Roman"/>
          <w:sz w:val="24"/>
          <w:szCs w:val="24"/>
        </w:rPr>
        <w:t>(</w:t>
      </w:r>
      <w:r w:rsidRPr="003341CA">
        <w:rPr>
          <w:rFonts w:ascii="Times New Roman" w:hAnsi="Times New Roman" w:cs="Times New Roman"/>
          <w:b/>
          <w:bCs/>
          <w:sz w:val="24"/>
          <w:szCs w:val="24"/>
        </w:rPr>
        <w:t xml:space="preserve">45 C.F.R </w:t>
      </w:r>
      <w:r w:rsidRPr="003341CA">
        <w:rPr>
          <w:rFonts w:ascii="Times New Roman" w:hAnsi="Times New Roman" w:cs="Times New Roman"/>
          <w:b/>
          <w:sz w:val="24"/>
          <w:szCs w:val="24"/>
        </w:rPr>
        <w:t>§</w:t>
      </w:r>
      <w:r w:rsidRPr="003341CA">
        <w:rPr>
          <w:rFonts w:ascii="Times New Roman" w:hAnsi="Times New Roman" w:cs="Times New Roman"/>
          <w:b/>
          <w:bCs/>
          <w:sz w:val="24"/>
          <w:szCs w:val="24"/>
        </w:rPr>
        <w:t>155.220(n)</w:t>
      </w:r>
      <w:r w:rsidRPr="003341CA" w:rsidR="00F5466A">
        <w:rPr>
          <w:rFonts w:ascii="Times New Roman" w:hAnsi="Times New Roman" w:cs="Times New Roman"/>
          <w:b/>
          <w:bCs/>
          <w:sz w:val="24"/>
          <w:szCs w:val="24"/>
        </w:rPr>
        <w:t>)</w:t>
      </w:r>
      <w:r w:rsidRPr="003341CA">
        <w:rPr>
          <w:rFonts w:ascii="Times New Roman" w:hAnsi="Times New Roman" w:cs="Times New Roman"/>
          <w:b/>
          <w:bCs/>
          <w:sz w:val="24"/>
          <w:szCs w:val="24"/>
        </w:rPr>
        <w:t>:</w:t>
      </w:r>
      <w:bookmarkEnd w:id="67"/>
      <w:r w:rsidR="003341CA">
        <w:rPr>
          <w:rFonts w:ascii="Times New Roman" w:hAnsi="Times New Roman" w:cs="Times New Roman"/>
          <w:sz w:val="24"/>
          <w:szCs w:val="24"/>
        </w:rPr>
        <w:t xml:space="preserve"> </w:t>
      </w:r>
      <w:bookmarkEnd w:id="72"/>
      <w:r w:rsidRPr="00710BFB">
        <w:rPr>
          <w:rFonts w:ascii="Times New Roman" w:hAnsi="Times New Roman" w:cs="Times New Roman"/>
          <w:sz w:val="24"/>
          <w:szCs w:val="24"/>
        </w:rPr>
        <w:t xml:space="preserve">We estimate that relevant costs may be </w:t>
      </w:r>
      <w:r w:rsidRPr="00D87A4C">
        <w:rPr>
          <w:rFonts w:ascii="Times New Roman" w:hAnsi="Times New Roman" w:cs="Times New Roman"/>
          <w:sz w:val="24"/>
          <w:szCs w:val="24"/>
        </w:rPr>
        <w:t xml:space="preserve">estimated based on current Federal costs. As such we estimate the total burden for web-brokers </w:t>
      </w:r>
      <w:r w:rsidRPr="00D87A4C" w:rsidR="00414280">
        <w:rPr>
          <w:rFonts w:ascii="Times New Roman" w:hAnsi="Times New Roman" w:cs="Times New Roman"/>
          <w:sz w:val="24"/>
          <w:szCs w:val="24"/>
        </w:rPr>
        <w:t xml:space="preserve">to prominently display the required QHP comparative information and enrollment support disclaimer, general non-FFE disclaimer, and the consumer eligibility results for advance payments of the premium tax credit and cost-sharing; and to submit the web-broker ORR requirements </w:t>
      </w:r>
      <w:r w:rsidRPr="00D87A4C" w:rsidR="00D4794F">
        <w:rPr>
          <w:rFonts w:ascii="Times New Roman" w:hAnsi="Times New Roman" w:cs="Times New Roman"/>
          <w:sz w:val="24"/>
          <w:szCs w:val="24"/>
        </w:rPr>
        <w:t xml:space="preserve">across an estimated five states </w:t>
      </w:r>
      <w:r w:rsidRPr="00D87A4C" w:rsidR="00414280">
        <w:rPr>
          <w:rFonts w:ascii="Times New Roman" w:hAnsi="Times New Roman" w:cs="Times New Roman"/>
          <w:sz w:val="24"/>
          <w:szCs w:val="24"/>
        </w:rPr>
        <w:t xml:space="preserve">that </w:t>
      </w:r>
      <w:r w:rsidRPr="00D87A4C" w:rsidR="00D4794F">
        <w:rPr>
          <w:rFonts w:ascii="Times New Roman" w:hAnsi="Times New Roman" w:cs="Times New Roman"/>
          <w:sz w:val="24"/>
          <w:szCs w:val="24"/>
        </w:rPr>
        <w:t xml:space="preserve">will participate </w:t>
      </w:r>
      <w:r w:rsidRPr="00D87A4C">
        <w:rPr>
          <w:rFonts w:ascii="Times New Roman" w:hAnsi="Times New Roman" w:cs="Times New Roman"/>
          <w:sz w:val="24"/>
          <w:szCs w:val="24"/>
        </w:rPr>
        <w:t>in State Exchanges will be</w:t>
      </w:r>
      <w:r w:rsidRPr="00D87A4C" w:rsidR="00900605">
        <w:rPr>
          <w:rFonts w:ascii="Times New Roman" w:hAnsi="Times New Roman" w:cs="Times New Roman"/>
          <w:sz w:val="24"/>
          <w:szCs w:val="24"/>
        </w:rPr>
        <w:t xml:space="preserve"> </w:t>
      </w:r>
      <w:r w:rsidR="00F77F13">
        <w:rPr>
          <w:rFonts w:ascii="Times New Roman" w:hAnsi="Times New Roman" w:cs="Times New Roman"/>
          <w:sz w:val="24"/>
          <w:szCs w:val="24"/>
        </w:rPr>
        <w:t xml:space="preserve">5,100 hours and </w:t>
      </w:r>
      <w:r w:rsidRPr="00D87A4C" w:rsidR="00900605">
        <w:rPr>
          <w:rFonts w:ascii="Times New Roman" w:hAnsi="Times New Roman" w:cs="Times New Roman"/>
          <w:color w:val="000000"/>
          <w:sz w:val="24"/>
          <w:szCs w:val="24"/>
        </w:rPr>
        <w:t>$</w:t>
      </w:r>
      <w:r w:rsidRPr="00D87A4C" w:rsidR="00BA4CA7">
        <w:rPr>
          <w:rFonts w:ascii="Times New Roman" w:hAnsi="Times New Roman" w:cs="Times New Roman"/>
          <w:color w:val="000000"/>
          <w:sz w:val="24"/>
          <w:szCs w:val="24"/>
        </w:rPr>
        <w:t>394,364.00</w:t>
      </w:r>
      <w:r w:rsidRPr="00D87A4C">
        <w:rPr>
          <w:rFonts w:ascii="Times New Roman" w:hAnsi="Times New Roman" w:cs="Times New Roman"/>
          <w:sz w:val="24"/>
          <w:szCs w:val="24"/>
        </w:rPr>
        <w:t xml:space="preserve">. </w:t>
      </w:r>
      <w:r w:rsidRPr="00D87A4C" w:rsidR="00414280">
        <w:rPr>
          <w:rFonts w:ascii="Times New Roman" w:hAnsi="Times New Roman" w:cs="Times New Roman"/>
          <w:sz w:val="24"/>
          <w:szCs w:val="24"/>
        </w:rPr>
        <w:t xml:space="preserve">This estimate includes costs for a Business Operations Specialist to complete and submit the operational data and web-broker agreement, and to implement the standardized general non-FE disclaimer. It also includes costs for a Web and Digital Interface Designer to display the standardized disclaimers, QHP comparative information, and consumer eligibility results for APTC and/or CSR. </w:t>
      </w:r>
      <w:r w:rsidRPr="00D87A4C">
        <w:rPr>
          <w:rFonts w:ascii="Times New Roman" w:hAnsi="Times New Roman" w:cs="Times New Roman"/>
          <w:sz w:val="24"/>
          <w:szCs w:val="24"/>
        </w:rPr>
        <w:t xml:space="preserve">Refer to </w:t>
      </w:r>
      <w:r w:rsidRPr="00D87A4C" w:rsidR="00414280">
        <w:rPr>
          <w:rFonts w:ascii="Times New Roman" w:hAnsi="Times New Roman" w:cs="Times New Roman"/>
          <w:sz w:val="24"/>
          <w:szCs w:val="24"/>
        </w:rPr>
        <w:t xml:space="preserve">the burden estimates described in section 12 pertaining to the Federal costs associated with </w:t>
      </w:r>
      <w:r w:rsidRPr="00D87A4C">
        <w:rPr>
          <w:rFonts w:ascii="Times New Roman" w:hAnsi="Times New Roman" w:cs="Times New Roman"/>
          <w:sz w:val="24"/>
          <w:szCs w:val="24"/>
        </w:rPr>
        <w:t xml:space="preserve">sections 1.c., 1.f., </w:t>
      </w:r>
      <w:r w:rsidRPr="00D87A4C" w:rsidR="000772DE">
        <w:rPr>
          <w:rFonts w:ascii="Times New Roman" w:hAnsi="Times New Roman" w:cs="Times New Roman"/>
          <w:sz w:val="24"/>
          <w:szCs w:val="24"/>
        </w:rPr>
        <w:t>1.p.</w:t>
      </w:r>
      <w:r w:rsidRPr="00D87A4C">
        <w:rPr>
          <w:rFonts w:ascii="Times New Roman" w:hAnsi="Times New Roman" w:cs="Times New Roman"/>
          <w:sz w:val="24"/>
          <w:szCs w:val="24"/>
        </w:rPr>
        <w:t>, and 1.a. for a detailed discussion of the anticipated costs for web-brokers to implement these policies</w:t>
      </w:r>
      <w:r w:rsidRPr="00D87A4C" w:rsidR="00414280">
        <w:rPr>
          <w:rFonts w:ascii="Times New Roman" w:hAnsi="Times New Roman" w:cs="Times New Roman"/>
          <w:sz w:val="24"/>
          <w:szCs w:val="24"/>
        </w:rPr>
        <w:t xml:space="preserve"> (see also Table </w:t>
      </w:r>
      <w:r w:rsidRPr="00D87A4C" w:rsidR="00FE7BB7">
        <w:rPr>
          <w:rFonts w:ascii="Times New Roman" w:hAnsi="Times New Roman" w:cs="Times New Roman"/>
          <w:sz w:val="24"/>
          <w:szCs w:val="24"/>
        </w:rPr>
        <w:t>2</w:t>
      </w:r>
      <w:r w:rsidRPr="00D87A4C" w:rsidR="00414280">
        <w:rPr>
          <w:rFonts w:ascii="Times New Roman" w:hAnsi="Times New Roman" w:cs="Times New Roman"/>
          <w:sz w:val="24"/>
          <w:szCs w:val="24"/>
        </w:rPr>
        <w:t xml:space="preserve">, Table </w:t>
      </w:r>
      <w:r w:rsidRPr="00D87A4C" w:rsidR="00FE7BB7">
        <w:rPr>
          <w:rFonts w:ascii="Times New Roman" w:hAnsi="Times New Roman" w:cs="Times New Roman"/>
          <w:sz w:val="24"/>
          <w:szCs w:val="24"/>
        </w:rPr>
        <w:t>4</w:t>
      </w:r>
      <w:r w:rsidRPr="00D87A4C" w:rsidR="00414280">
        <w:rPr>
          <w:rFonts w:ascii="Times New Roman" w:hAnsi="Times New Roman" w:cs="Times New Roman"/>
          <w:sz w:val="24"/>
          <w:szCs w:val="24"/>
        </w:rPr>
        <w:t xml:space="preserve">, Table </w:t>
      </w:r>
      <w:r w:rsidRPr="00D87A4C" w:rsidR="00FE7BB7">
        <w:rPr>
          <w:rFonts w:ascii="Times New Roman" w:hAnsi="Times New Roman" w:cs="Times New Roman"/>
          <w:sz w:val="24"/>
          <w:szCs w:val="24"/>
        </w:rPr>
        <w:t>7</w:t>
      </w:r>
      <w:r w:rsidRPr="00D87A4C" w:rsidR="00414280">
        <w:rPr>
          <w:rFonts w:ascii="Times New Roman" w:hAnsi="Times New Roman" w:cs="Times New Roman"/>
          <w:sz w:val="24"/>
          <w:szCs w:val="24"/>
        </w:rPr>
        <w:t xml:space="preserve">, and Table </w:t>
      </w:r>
      <w:r w:rsidRPr="00D87A4C" w:rsidR="00FE7BB7">
        <w:rPr>
          <w:rFonts w:ascii="Times New Roman" w:hAnsi="Times New Roman" w:cs="Times New Roman"/>
          <w:sz w:val="24"/>
          <w:szCs w:val="24"/>
        </w:rPr>
        <w:t>17</w:t>
      </w:r>
      <w:r w:rsidRPr="00D87A4C" w:rsidR="00414280">
        <w:rPr>
          <w:rFonts w:ascii="Times New Roman" w:hAnsi="Times New Roman" w:cs="Times New Roman"/>
          <w:sz w:val="24"/>
          <w:szCs w:val="24"/>
        </w:rPr>
        <w:t>)</w:t>
      </w:r>
      <w:r w:rsidRPr="00D87A4C">
        <w:rPr>
          <w:rFonts w:ascii="Times New Roman" w:hAnsi="Times New Roman" w:cs="Times New Roman"/>
          <w:sz w:val="24"/>
          <w:szCs w:val="24"/>
        </w:rPr>
        <w:t>.</w:t>
      </w:r>
      <w:r w:rsidR="0057195B">
        <w:rPr>
          <w:rFonts w:ascii="Times New Roman" w:hAnsi="Times New Roman" w:cs="Times New Roman"/>
          <w:sz w:val="24"/>
          <w:szCs w:val="24"/>
        </w:rPr>
        <w:t xml:space="preserve"> </w:t>
      </w:r>
    </w:p>
    <w:p w:rsidR="003341CA" w:rsidRPr="00710BFB" w:rsidP="00234238" w14:paraId="0998D821" w14:textId="77777777">
      <w:pPr>
        <w:autoSpaceDE w:val="0"/>
        <w:autoSpaceDN w:val="0"/>
        <w:adjustRightInd w:val="0"/>
        <w:spacing w:after="0" w:line="240" w:lineRule="auto"/>
        <w:rPr>
          <w:rFonts w:ascii="Times New Roman" w:hAnsi="Times New Roman" w:cs="Times New Roman"/>
          <w:sz w:val="24"/>
          <w:szCs w:val="24"/>
        </w:rPr>
      </w:pPr>
    </w:p>
    <w:p w:rsidR="007D6221" w:rsidP="00234238" w14:paraId="41CA4473" w14:textId="4CBF0CEC">
      <w:pPr>
        <w:spacing w:after="0" w:line="246" w:lineRule="auto"/>
        <w:rPr>
          <w:rFonts w:ascii="Times New Roman" w:eastAsia="Times New Roman" w:hAnsi="Times New Roman" w:cs="Times New Roman"/>
          <w:spacing w:val="1"/>
          <w:sz w:val="24"/>
          <w:szCs w:val="24"/>
        </w:rPr>
      </w:pPr>
      <w:bookmarkStart w:id="74" w:name="_Hlk146885891"/>
      <w:r w:rsidRPr="00393CE5">
        <w:rPr>
          <w:rFonts w:ascii="Times New Roman" w:eastAsia="Times New Roman" w:hAnsi="Times New Roman" w:cs="Times New Roman"/>
          <w:spacing w:val="1"/>
          <w:sz w:val="24"/>
          <w:szCs w:val="24"/>
        </w:rPr>
        <w:t xml:space="preserve">Table </w:t>
      </w:r>
      <w:r w:rsidR="008E246D">
        <w:rPr>
          <w:rFonts w:ascii="Times New Roman" w:eastAsia="Times New Roman" w:hAnsi="Times New Roman" w:cs="Times New Roman"/>
          <w:spacing w:val="1"/>
          <w:sz w:val="24"/>
          <w:szCs w:val="24"/>
        </w:rPr>
        <w:t xml:space="preserve">15 </w:t>
      </w:r>
      <w:r w:rsidRPr="00393CE5">
        <w:rPr>
          <w:rFonts w:ascii="Times New Roman" w:eastAsia="Times New Roman" w:hAnsi="Times New Roman" w:cs="Times New Roman"/>
          <w:spacing w:val="1"/>
          <w:sz w:val="24"/>
          <w:szCs w:val="24"/>
        </w:rPr>
        <w:t xml:space="preserve">below displays the burden for </w:t>
      </w:r>
      <w:r>
        <w:rPr>
          <w:rFonts w:ascii="Times New Roman" w:eastAsia="Times New Roman" w:hAnsi="Times New Roman" w:cs="Times New Roman"/>
          <w:spacing w:val="1"/>
          <w:sz w:val="24"/>
          <w:szCs w:val="24"/>
        </w:rPr>
        <w:t xml:space="preserve">web-brokers </w:t>
      </w:r>
      <w:r w:rsidRPr="00393CE5">
        <w:rPr>
          <w:rFonts w:ascii="Times New Roman" w:eastAsia="Times New Roman" w:hAnsi="Times New Roman" w:cs="Times New Roman"/>
          <w:spacing w:val="1"/>
          <w:sz w:val="24"/>
          <w:szCs w:val="24"/>
        </w:rPr>
        <w:t xml:space="preserve">relating to these </w:t>
      </w:r>
      <w:r>
        <w:rPr>
          <w:rFonts w:ascii="Times New Roman" w:eastAsia="Times New Roman" w:hAnsi="Times New Roman" w:cs="Times New Roman"/>
          <w:spacing w:val="1"/>
          <w:sz w:val="24"/>
          <w:szCs w:val="24"/>
        </w:rPr>
        <w:t xml:space="preserve">proposed </w:t>
      </w:r>
      <w:r w:rsidRPr="00393CE5">
        <w:rPr>
          <w:rFonts w:ascii="Times New Roman" w:eastAsia="Times New Roman" w:hAnsi="Times New Roman" w:cs="Times New Roman"/>
          <w:spacing w:val="1"/>
          <w:sz w:val="24"/>
          <w:szCs w:val="24"/>
        </w:rPr>
        <w:t>regulatory provisions.</w:t>
      </w:r>
    </w:p>
    <w:p w:rsidR="007D6221" w:rsidP="00234238" w14:paraId="2128871F" w14:textId="77777777">
      <w:pPr>
        <w:spacing w:after="0" w:line="240" w:lineRule="auto"/>
        <w:rPr>
          <w:rFonts w:ascii="Times New Roman" w:eastAsia="Times New Roman" w:hAnsi="Times New Roman" w:cs="Times New Roman"/>
          <w:b/>
          <w:bCs/>
          <w:snapToGrid w:val="0"/>
          <w:sz w:val="24"/>
          <w:szCs w:val="24"/>
          <w:u w:val="single"/>
        </w:rPr>
      </w:pPr>
    </w:p>
    <w:p w:rsidR="007D6221" w:rsidRPr="0057195B" w:rsidP="000B6A94" w14:paraId="3195B4BD" w14:textId="585F8689">
      <w:pPr>
        <w:spacing w:after="0" w:line="240" w:lineRule="auto"/>
        <w:rPr>
          <w:rFonts w:ascii="Times New Roman" w:hAnsi="Times New Roman" w:cs="Times New Roman"/>
          <w:sz w:val="24"/>
          <w:szCs w:val="24"/>
          <w:highlight w:val="yellow"/>
        </w:rPr>
      </w:pPr>
      <w:bookmarkStart w:id="75" w:name="_Hlk148538154"/>
      <w:r w:rsidRPr="003341CA">
        <w:rPr>
          <w:rFonts w:ascii="Times New Roman" w:eastAsia="Times New Roman" w:hAnsi="Times New Roman" w:cs="Times New Roman"/>
          <w:b/>
          <w:bCs/>
          <w:snapToGrid w:val="0"/>
          <w:sz w:val="24"/>
          <w:szCs w:val="24"/>
        </w:rPr>
        <w:t xml:space="preserve">Table </w:t>
      </w:r>
      <w:r w:rsidR="008E246D">
        <w:rPr>
          <w:rFonts w:ascii="Times New Roman" w:eastAsia="Times New Roman" w:hAnsi="Times New Roman" w:cs="Times New Roman"/>
          <w:b/>
          <w:bCs/>
          <w:snapToGrid w:val="0"/>
          <w:sz w:val="24"/>
          <w:szCs w:val="24"/>
        </w:rPr>
        <w:t>15</w:t>
      </w:r>
      <w:r w:rsidRPr="003341CA">
        <w:rPr>
          <w:rFonts w:ascii="Times New Roman" w:eastAsia="Times New Roman" w:hAnsi="Times New Roman" w:cs="Times New Roman"/>
          <w:b/>
          <w:bCs/>
          <w:snapToGrid w:val="0"/>
          <w:sz w:val="24"/>
          <w:szCs w:val="24"/>
        </w:rPr>
        <w:t>: Burden to Web-brokers</w:t>
      </w:r>
      <w:r w:rsidRPr="003341CA" w:rsidR="00206922">
        <w:rPr>
          <w:rFonts w:ascii="Times New Roman" w:eastAsia="Times New Roman" w:hAnsi="Times New Roman" w:cs="Times New Roman"/>
          <w:b/>
          <w:bCs/>
          <w:snapToGrid w:val="0"/>
          <w:sz w:val="24"/>
          <w:szCs w:val="24"/>
        </w:rPr>
        <w:t xml:space="preserve"> to Implement </w:t>
      </w:r>
      <w:r w:rsidRPr="003341CA" w:rsidR="00206922">
        <w:rPr>
          <w:rFonts w:ascii="Times New Roman" w:hAnsi="Times New Roman" w:cs="Times New Roman"/>
          <w:b/>
          <w:bCs/>
          <w:sz w:val="24"/>
          <w:szCs w:val="24"/>
        </w:rPr>
        <w:t>Application</w:t>
      </w:r>
      <w:r w:rsidRPr="00013E7F" w:rsidR="00206922">
        <w:rPr>
          <w:rFonts w:ascii="Times New Roman" w:hAnsi="Times New Roman" w:cs="Times New Roman"/>
          <w:b/>
          <w:bCs/>
          <w:sz w:val="24"/>
          <w:szCs w:val="24"/>
        </w:rPr>
        <w:t xml:space="preserve"> to State Exchanges</w:t>
      </w:r>
    </w:p>
    <w:p w:rsidR="007D6221" w:rsidP="00FE1BF4" w14:paraId="310D686B" w14:textId="77777777">
      <w:pPr>
        <w:autoSpaceDE w:val="0"/>
        <w:autoSpaceDN w:val="0"/>
        <w:adjustRightInd w:val="0"/>
        <w:spacing w:after="0" w:line="240" w:lineRule="auto"/>
        <w:rPr>
          <w:rFonts w:ascii="Times New Roman" w:hAnsi="Times New Roman" w:cs="Times New Roman"/>
          <w:sz w:val="24"/>
          <w:szCs w:val="24"/>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35"/>
        <w:gridCol w:w="1350"/>
        <w:gridCol w:w="1710"/>
        <w:gridCol w:w="1080"/>
        <w:gridCol w:w="1530"/>
        <w:gridCol w:w="1620"/>
      </w:tblGrid>
      <w:tr w14:paraId="7711DBE3" w14:textId="77777777" w:rsidTr="00844EDF">
        <w:tblPrEx>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42"/>
        </w:trPr>
        <w:tc>
          <w:tcPr>
            <w:tcW w:w="2335" w:type="dxa"/>
            <w:shd w:val="clear" w:color="auto" w:fill="auto"/>
            <w:vAlign w:val="center"/>
            <w:hideMark/>
          </w:tcPr>
          <w:bookmarkEnd w:id="74"/>
          <w:p w:rsidR="00650DDE" w:rsidRPr="00805A00" w:rsidP="00650DDE" w14:paraId="198DA43C" w14:textId="77777777">
            <w:pPr>
              <w:widowControl/>
              <w:spacing w:after="0" w:line="240" w:lineRule="auto"/>
              <w:rPr>
                <w:rFonts w:ascii="Times New Roman" w:eastAsia="Times New Roman" w:hAnsi="Times New Roman" w:cs="Times New Roman"/>
                <w:b/>
                <w:bCs/>
                <w:sz w:val="24"/>
                <w:szCs w:val="24"/>
              </w:rPr>
            </w:pPr>
            <w:r w:rsidRPr="00805A00">
              <w:rPr>
                <w:rFonts w:ascii="Times New Roman" w:eastAsia="Times New Roman" w:hAnsi="Times New Roman" w:cs="Times New Roman"/>
                <w:b/>
                <w:bCs/>
                <w:sz w:val="24"/>
                <w:szCs w:val="24"/>
              </w:rPr>
              <w:t>Labor Category</w:t>
            </w:r>
          </w:p>
        </w:tc>
        <w:tc>
          <w:tcPr>
            <w:tcW w:w="1350" w:type="dxa"/>
            <w:shd w:val="clear" w:color="auto" w:fill="auto"/>
            <w:hideMark/>
          </w:tcPr>
          <w:p w:rsidR="00650DDE" w:rsidRPr="00A83073" w:rsidP="00650DDE" w14:paraId="2747FE81" w14:textId="77777777">
            <w:pPr>
              <w:spacing w:after="0" w:line="240" w:lineRule="auto"/>
              <w:ind w:left="-110" w:right="-110"/>
              <w:jc w:val="center"/>
              <w:rPr>
                <w:rFonts w:ascii="Times New Roman" w:eastAsia="Times New Roman" w:hAnsi="Times New Roman" w:cs="Times New Roman"/>
                <w:b/>
                <w:bCs/>
                <w:sz w:val="24"/>
                <w:szCs w:val="24"/>
              </w:rPr>
            </w:pPr>
            <w:r w:rsidRPr="00A83073">
              <w:rPr>
                <w:rFonts w:ascii="Times New Roman" w:eastAsia="Times New Roman" w:hAnsi="Times New Roman" w:cs="Times New Roman"/>
                <w:b/>
                <w:bCs/>
                <w:sz w:val="24"/>
                <w:szCs w:val="24"/>
              </w:rPr>
              <w:t>Numb</w:t>
            </w:r>
            <w:r w:rsidRPr="00A83073">
              <w:rPr>
                <w:rFonts w:ascii="Times New Roman" w:eastAsia="Times New Roman" w:hAnsi="Times New Roman" w:cs="Times New Roman"/>
                <w:b/>
                <w:bCs/>
                <w:spacing w:val="-1"/>
                <w:sz w:val="24"/>
                <w:szCs w:val="24"/>
              </w:rPr>
              <w:t>e</w:t>
            </w:r>
            <w:r w:rsidRPr="00A83073">
              <w:rPr>
                <w:rFonts w:ascii="Times New Roman" w:eastAsia="Times New Roman" w:hAnsi="Times New Roman" w:cs="Times New Roman"/>
                <w:b/>
                <w:bCs/>
                <w:sz w:val="24"/>
                <w:szCs w:val="24"/>
              </w:rPr>
              <w:t>r</w:t>
            </w:r>
            <w:r w:rsidRPr="00A83073">
              <w:rPr>
                <w:rFonts w:ascii="Times New Roman" w:eastAsia="Times New Roman" w:hAnsi="Times New Roman" w:cs="Times New Roman"/>
                <w:b/>
                <w:bCs/>
                <w:spacing w:val="-1"/>
                <w:sz w:val="24"/>
                <w:szCs w:val="24"/>
              </w:rPr>
              <w:t xml:space="preserve"> </w:t>
            </w:r>
            <w:r w:rsidRPr="00A83073">
              <w:rPr>
                <w:rFonts w:ascii="Times New Roman" w:eastAsia="Times New Roman" w:hAnsi="Times New Roman" w:cs="Times New Roman"/>
                <w:b/>
                <w:bCs/>
                <w:sz w:val="24"/>
                <w:szCs w:val="24"/>
              </w:rPr>
              <w:t>of</w:t>
            </w:r>
          </w:p>
          <w:p w:rsidR="00650DDE" w:rsidRPr="00805A00" w:rsidP="00650DDE" w14:paraId="69E247AB" w14:textId="0FFB699E">
            <w:pPr>
              <w:widowControl/>
              <w:spacing w:after="0" w:line="240" w:lineRule="auto"/>
              <w:ind w:left="-110" w:right="-110"/>
              <w:jc w:val="center"/>
              <w:rPr>
                <w:rFonts w:ascii="Times New Roman" w:eastAsia="Times New Roman" w:hAnsi="Times New Roman" w:cs="Times New Roman"/>
                <w:b/>
                <w:bCs/>
                <w:sz w:val="24"/>
                <w:szCs w:val="24"/>
              </w:rPr>
            </w:pPr>
            <w:r w:rsidRPr="00A83073">
              <w:rPr>
                <w:rFonts w:ascii="Times New Roman" w:eastAsia="Times New Roman" w:hAnsi="Times New Roman" w:cs="Times New Roman"/>
                <w:b/>
                <w:bCs/>
                <w:sz w:val="24"/>
                <w:szCs w:val="24"/>
              </w:rPr>
              <w:t>Respondents</w:t>
            </w:r>
          </w:p>
        </w:tc>
        <w:tc>
          <w:tcPr>
            <w:tcW w:w="1710" w:type="dxa"/>
            <w:shd w:val="clear" w:color="auto" w:fill="auto"/>
            <w:hideMark/>
          </w:tcPr>
          <w:p w:rsidR="00650DDE" w:rsidRPr="00805A00" w:rsidP="00650DDE" w14:paraId="28E45BF7" w14:textId="5D02DA62">
            <w:pPr>
              <w:widowControl/>
              <w:spacing w:after="0" w:line="240" w:lineRule="auto"/>
              <w:ind w:left="-110" w:right="-110"/>
              <w:jc w:val="center"/>
              <w:rPr>
                <w:rFonts w:ascii="Times New Roman" w:eastAsia="Times New Roman" w:hAnsi="Times New Roman" w:cs="Times New Roman"/>
                <w:b/>
                <w:bCs/>
                <w:sz w:val="24"/>
                <w:szCs w:val="24"/>
              </w:rPr>
            </w:pPr>
            <w:r w:rsidRPr="00A83073">
              <w:rPr>
                <w:rFonts w:ascii="Times New Roman" w:eastAsia="Times New Roman" w:hAnsi="Times New Roman" w:cs="Times New Roman"/>
                <w:b/>
                <w:bCs/>
                <w:sz w:val="24"/>
                <w:szCs w:val="24"/>
              </w:rPr>
              <w:t>Hou</w:t>
            </w:r>
            <w:r w:rsidRPr="00A83073">
              <w:rPr>
                <w:rFonts w:ascii="Times New Roman" w:eastAsia="Times New Roman" w:hAnsi="Times New Roman" w:cs="Times New Roman"/>
                <w:b/>
                <w:bCs/>
                <w:spacing w:val="-1"/>
                <w:sz w:val="24"/>
                <w:szCs w:val="24"/>
              </w:rPr>
              <w:t>r</w:t>
            </w:r>
            <w:r w:rsidRPr="00A83073">
              <w:rPr>
                <w:rFonts w:ascii="Times New Roman" w:eastAsia="Times New Roman" w:hAnsi="Times New Roman" w:cs="Times New Roman"/>
                <w:b/>
                <w:bCs/>
                <w:sz w:val="24"/>
                <w:szCs w:val="24"/>
              </w:rPr>
              <w:t>ly</w:t>
            </w:r>
            <w:r w:rsidRPr="00A83073">
              <w:rPr>
                <w:rFonts w:ascii="Times New Roman" w:eastAsia="Times New Roman" w:hAnsi="Times New Roman" w:cs="Times New Roman"/>
                <w:b/>
                <w:bCs/>
                <w:spacing w:val="-7"/>
                <w:sz w:val="24"/>
                <w:szCs w:val="24"/>
              </w:rPr>
              <w:t xml:space="preserve"> </w:t>
            </w:r>
            <w:r w:rsidRPr="00A83073">
              <w:rPr>
                <w:rFonts w:ascii="Times New Roman" w:eastAsia="Times New Roman" w:hAnsi="Times New Roman" w:cs="Times New Roman"/>
                <w:b/>
                <w:bCs/>
                <w:spacing w:val="-5"/>
                <w:sz w:val="24"/>
                <w:szCs w:val="24"/>
              </w:rPr>
              <w:t>L</w:t>
            </w:r>
            <w:r w:rsidRPr="00A83073">
              <w:rPr>
                <w:rFonts w:ascii="Times New Roman" w:eastAsia="Times New Roman" w:hAnsi="Times New Roman" w:cs="Times New Roman"/>
                <w:b/>
                <w:bCs/>
                <w:spacing w:val="-1"/>
                <w:sz w:val="24"/>
                <w:szCs w:val="24"/>
              </w:rPr>
              <w:t>a</w:t>
            </w:r>
            <w:r w:rsidRPr="00A83073">
              <w:rPr>
                <w:rFonts w:ascii="Times New Roman" w:eastAsia="Times New Roman" w:hAnsi="Times New Roman" w:cs="Times New Roman"/>
                <w:b/>
                <w:bCs/>
                <w:sz w:val="24"/>
                <w:szCs w:val="24"/>
              </w:rPr>
              <w:t xml:space="preserve">bor </w:t>
            </w:r>
            <w:r w:rsidRPr="00A83073">
              <w:rPr>
                <w:rFonts w:ascii="Times New Roman" w:eastAsia="Times New Roman" w:hAnsi="Times New Roman" w:cs="Times New Roman"/>
                <w:b/>
                <w:bCs/>
                <w:spacing w:val="1"/>
                <w:sz w:val="24"/>
                <w:szCs w:val="24"/>
              </w:rPr>
              <w:t>C</w:t>
            </w:r>
            <w:r w:rsidRPr="00A83073">
              <w:rPr>
                <w:rFonts w:ascii="Times New Roman" w:eastAsia="Times New Roman" w:hAnsi="Times New Roman" w:cs="Times New Roman"/>
                <w:b/>
                <w:bCs/>
                <w:sz w:val="24"/>
                <w:szCs w:val="24"/>
              </w:rPr>
              <w:t xml:space="preserve">osts </w:t>
            </w:r>
            <w:r w:rsidRPr="00A83073">
              <w:rPr>
                <w:rFonts w:ascii="Times New Roman" w:eastAsia="Times New Roman" w:hAnsi="Times New Roman" w:cs="Times New Roman"/>
                <w:b/>
                <w:bCs/>
                <w:spacing w:val="-1"/>
                <w:sz w:val="24"/>
                <w:szCs w:val="24"/>
              </w:rPr>
              <w:t>(</w:t>
            </w:r>
            <w:r w:rsidRPr="00A83073">
              <w:rPr>
                <w:rFonts w:ascii="Times New Roman" w:eastAsia="Times New Roman" w:hAnsi="Times New Roman" w:cs="Times New Roman"/>
                <w:b/>
                <w:bCs/>
                <w:sz w:val="24"/>
                <w:szCs w:val="24"/>
              </w:rPr>
              <w:t>Hou</w:t>
            </w:r>
            <w:r w:rsidRPr="00A83073">
              <w:rPr>
                <w:rFonts w:ascii="Times New Roman" w:eastAsia="Times New Roman" w:hAnsi="Times New Roman" w:cs="Times New Roman"/>
                <w:b/>
                <w:bCs/>
                <w:spacing w:val="-1"/>
                <w:sz w:val="24"/>
                <w:szCs w:val="24"/>
              </w:rPr>
              <w:t>r</w:t>
            </w:r>
            <w:r w:rsidRPr="00A83073">
              <w:rPr>
                <w:rFonts w:ascii="Times New Roman" w:eastAsia="Times New Roman" w:hAnsi="Times New Roman" w:cs="Times New Roman"/>
                <w:b/>
                <w:bCs/>
                <w:sz w:val="24"/>
                <w:szCs w:val="24"/>
              </w:rPr>
              <w:t xml:space="preserve">ly </w:t>
            </w:r>
            <w:r w:rsidRPr="00A83073">
              <w:rPr>
                <w:rFonts w:ascii="Times New Roman" w:eastAsia="Times New Roman" w:hAnsi="Times New Roman" w:cs="Times New Roman"/>
                <w:b/>
                <w:bCs/>
                <w:spacing w:val="-1"/>
                <w:sz w:val="24"/>
                <w:szCs w:val="24"/>
              </w:rPr>
              <w:t>ra</w:t>
            </w:r>
            <w:r w:rsidRPr="00A83073">
              <w:rPr>
                <w:rFonts w:ascii="Times New Roman" w:eastAsia="Times New Roman" w:hAnsi="Times New Roman" w:cs="Times New Roman"/>
                <w:b/>
                <w:bCs/>
                <w:sz w:val="24"/>
                <w:szCs w:val="24"/>
              </w:rPr>
              <w:t>te</w:t>
            </w:r>
            <w:r w:rsidRPr="00A83073">
              <w:rPr>
                <w:rFonts w:ascii="Times New Roman" w:eastAsia="Times New Roman" w:hAnsi="Times New Roman" w:cs="Times New Roman"/>
                <w:b/>
                <w:bCs/>
                <w:spacing w:val="-1"/>
                <w:sz w:val="24"/>
                <w:szCs w:val="24"/>
              </w:rPr>
              <w:t xml:space="preserve"> </w:t>
            </w:r>
            <w:r w:rsidRPr="00A83073">
              <w:rPr>
                <w:rFonts w:ascii="Times New Roman" w:eastAsia="Times New Roman" w:hAnsi="Times New Roman" w:cs="Times New Roman"/>
                <w:b/>
                <w:bCs/>
                <w:sz w:val="24"/>
                <w:szCs w:val="24"/>
              </w:rPr>
              <w:t>+</w:t>
            </w:r>
            <w:r w:rsidRPr="00A83073">
              <w:rPr>
                <w:rFonts w:ascii="Times New Roman" w:eastAsia="Times New Roman" w:hAnsi="Times New Roman" w:cs="Times New Roman"/>
                <w:b/>
                <w:bCs/>
                <w:spacing w:val="-1"/>
                <w:sz w:val="24"/>
                <w:szCs w:val="24"/>
              </w:rPr>
              <w:t xml:space="preserve"> </w:t>
            </w:r>
            <w:r w:rsidRPr="00A83073">
              <w:rPr>
                <w:rFonts w:ascii="Times New Roman" w:eastAsia="Times New Roman" w:hAnsi="Times New Roman" w:cs="Times New Roman"/>
                <w:b/>
                <w:bCs/>
                <w:sz w:val="24"/>
                <w:szCs w:val="24"/>
              </w:rPr>
              <w:t xml:space="preserve">100% </w:t>
            </w:r>
            <w:r w:rsidRPr="00A83073">
              <w:rPr>
                <w:rFonts w:ascii="Times New Roman" w:eastAsia="Times New Roman" w:hAnsi="Times New Roman" w:cs="Times New Roman"/>
                <w:b/>
                <w:bCs/>
                <w:spacing w:val="-1"/>
                <w:sz w:val="24"/>
                <w:szCs w:val="24"/>
              </w:rPr>
              <w:t>Fr</w:t>
            </w:r>
            <w:r w:rsidRPr="00A83073">
              <w:rPr>
                <w:rFonts w:ascii="Times New Roman" w:eastAsia="Times New Roman" w:hAnsi="Times New Roman" w:cs="Times New Roman"/>
                <w:b/>
                <w:bCs/>
                <w:sz w:val="24"/>
                <w:szCs w:val="24"/>
              </w:rPr>
              <w:t>in</w:t>
            </w:r>
            <w:r w:rsidRPr="00A83073">
              <w:rPr>
                <w:rFonts w:ascii="Times New Roman" w:eastAsia="Times New Roman" w:hAnsi="Times New Roman" w:cs="Times New Roman"/>
                <w:b/>
                <w:bCs/>
                <w:spacing w:val="-2"/>
                <w:sz w:val="24"/>
                <w:szCs w:val="24"/>
              </w:rPr>
              <w:t>g</w:t>
            </w:r>
            <w:r w:rsidRPr="00A83073">
              <w:rPr>
                <w:rFonts w:ascii="Times New Roman" w:eastAsia="Times New Roman" w:hAnsi="Times New Roman" w:cs="Times New Roman"/>
                <w:b/>
                <w:bCs/>
                <w:sz w:val="24"/>
                <w:szCs w:val="24"/>
              </w:rPr>
              <w:t>e</w:t>
            </w:r>
            <w:r w:rsidRPr="00A83073">
              <w:rPr>
                <w:rFonts w:ascii="Times New Roman" w:eastAsia="Times New Roman" w:hAnsi="Times New Roman" w:cs="Times New Roman"/>
                <w:b/>
                <w:bCs/>
                <w:spacing w:val="-1"/>
                <w:sz w:val="24"/>
                <w:szCs w:val="24"/>
              </w:rPr>
              <w:t xml:space="preserve"> </w:t>
            </w:r>
            <w:r w:rsidRPr="00A83073">
              <w:rPr>
                <w:rFonts w:ascii="Times New Roman" w:eastAsia="Times New Roman" w:hAnsi="Times New Roman" w:cs="Times New Roman"/>
                <w:b/>
                <w:bCs/>
                <w:sz w:val="24"/>
                <w:szCs w:val="24"/>
              </w:rPr>
              <w:t>b</w:t>
            </w:r>
            <w:r w:rsidRPr="00A83073">
              <w:rPr>
                <w:rFonts w:ascii="Times New Roman" w:eastAsia="Times New Roman" w:hAnsi="Times New Roman" w:cs="Times New Roman"/>
                <w:b/>
                <w:bCs/>
                <w:spacing w:val="-1"/>
                <w:sz w:val="24"/>
                <w:szCs w:val="24"/>
              </w:rPr>
              <w:t>e</w:t>
            </w:r>
            <w:r w:rsidRPr="00A83073">
              <w:rPr>
                <w:rFonts w:ascii="Times New Roman" w:eastAsia="Times New Roman" w:hAnsi="Times New Roman" w:cs="Times New Roman"/>
                <w:b/>
                <w:bCs/>
                <w:sz w:val="24"/>
                <w:szCs w:val="24"/>
              </w:rPr>
              <w:t>n</w:t>
            </w:r>
            <w:r w:rsidRPr="00A83073">
              <w:rPr>
                <w:rFonts w:ascii="Times New Roman" w:eastAsia="Times New Roman" w:hAnsi="Times New Roman" w:cs="Times New Roman"/>
                <w:b/>
                <w:bCs/>
                <w:spacing w:val="-1"/>
                <w:sz w:val="24"/>
                <w:szCs w:val="24"/>
              </w:rPr>
              <w:t>ef</w:t>
            </w:r>
            <w:r w:rsidRPr="00A83073">
              <w:rPr>
                <w:rFonts w:ascii="Times New Roman" w:eastAsia="Times New Roman" w:hAnsi="Times New Roman" w:cs="Times New Roman"/>
                <w:b/>
                <w:bCs/>
                <w:sz w:val="24"/>
                <w:szCs w:val="24"/>
              </w:rPr>
              <w:t>its)</w:t>
            </w:r>
          </w:p>
        </w:tc>
        <w:tc>
          <w:tcPr>
            <w:tcW w:w="1080" w:type="dxa"/>
            <w:shd w:val="clear" w:color="auto" w:fill="auto"/>
            <w:hideMark/>
          </w:tcPr>
          <w:p w:rsidR="00650DDE" w:rsidRPr="00A83073" w:rsidP="00650DDE" w14:paraId="54167F0A" w14:textId="77777777">
            <w:pPr>
              <w:spacing w:after="0" w:line="240" w:lineRule="auto"/>
              <w:ind w:left="-110" w:right="-110"/>
              <w:jc w:val="center"/>
              <w:rPr>
                <w:rFonts w:ascii="Times New Roman" w:eastAsia="Times New Roman" w:hAnsi="Times New Roman" w:cs="Times New Roman"/>
                <w:b/>
                <w:bCs/>
                <w:sz w:val="24"/>
                <w:szCs w:val="24"/>
              </w:rPr>
            </w:pPr>
            <w:r w:rsidRPr="00A83073">
              <w:rPr>
                <w:rFonts w:ascii="Times New Roman" w:eastAsia="Times New Roman" w:hAnsi="Times New Roman" w:cs="Times New Roman"/>
                <w:b/>
                <w:bCs/>
                <w:spacing w:val="-2"/>
                <w:sz w:val="24"/>
                <w:szCs w:val="24"/>
              </w:rPr>
              <w:t>B</w:t>
            </w:r>
            <w:r w:rsidRPr="00A83073">
              <w:rPr>
                <w:rFonts w:ascii="Times New Roman" w:eastAsia="Times New Roman" w:hAnsi="Times New Roman" w:cs="Times New Roman"/>
                <w:b/>
                <w:bCs/>
                <w:sz w:val="24"/>
                <w:szCs w:val="24"/>
              </w:rPr>
              <w:t>u</w:t>
            </w:r>
            <w:r w:rsidRPr="00A83073">
              <w:rPr>
                <w:rFonts w:ascii="Times New Roman" w:eastAsia="Times New Roman" w:hAnsi="Times New Roman" w:cs="Times New Roman"/>
                <w:b/>
                <w:bCs/>
                <w:spacing w:val="-1"/>
                <w:sz w:val="24"/>
                <w:szCs w:val="24"/>
              </w:rPr>
              <w:t>r</w:t>
            </w:r>
            <w:r w:rsidRPr="00A83073">
              <w:rPr>
                <w:rFonts w:ascii="Times New Roman" w:eastAsia="Times New Roman" w:hAnsi="Times New Roman" w:cs="Times New Roman"/>
                <w:b/>
                <w:bCs/>
                <w:sz w:val="24"/>
                <w:szCs w:val="24"/>
              </w:rPr>
              <w:t>d</w:t>
            </w:r>
            <w:r w:rsidRPr="00A83073">
              <w:rPr>
                <w:rFonts w:ascii="Times New Roman" w:eastAsia="Times New Roman" w:hAnsi="Times New Roman" w:cs="Times New Roman"/>
                <w:b/>
                <w:bCs/>
                <w:spacing w:val="-1"/>
                <w:sz w:val="24"/>
                <w:szCs w:val="24"/>
              </w:rPr>
              <w:t>e</w:t>
            </w:r>
            <w:r w:rsidRPr="00A83073">
              <w:rPr>
                <w:rFonts w:ascii="Times New Roman" w:eastAsia="Times New Roman" w:hAnsi="Times New Roman" w:cs="Times New Roman"/>
                <w:b/>
                <w:bCs/>
                <w:sz w:val="24"/>
                <w:szCs w:val="24"/>
              </w:rPr>
              <w:t>n</w:t>
            </w:r>
          </w:p>
          <w:p w:rsidR="00650DDE" w:rsidRPr="0006074A" w:rsidP="00650DDE" w14:paraId="5BA8DB56" w14:textId="290039FD">
            <w:pPr>
              <w:widowControl/>
              <w:spacing w:after="0" w:line="240" w:lineRule="auto"/>
              <w:ind w:left="-110" w:right="-110"/>
              <w:jc w:val="center"/>
              <w:rPr>
                <w:rFonts w:ascii="Times New Roman" w:eastAsia="Times New Roman" w:hAnsi="Times New Roman" w:cs="Times New Roman"/>
                <w:b/>
                <w:bCs/>
                <w:sz w:val="24"/>
                <w:szCs w:val="24"/>
                <w:vertAlign w:val="superscript"/>
              </w:rPr>
            </w:pPr>
            <w:r w:rsidRPr="00A83073">
              <w:rPr>
                <w:rFonts w:ascii="Times New Roman" w:eastAsia="Times New Roman" w:hAnsi="Times New Roman" w:cs="Times New Roman"/>
                <w:b/>
                <w:bCs/>
                <w:sz w:val="24"/>
                <w:szCs w:val="24"/>
              </w:rPr>
              <w:t>Hou</w:t>
            </w:r>
            <w:r w:rsidRPr="00A83073">
              <w:rPr>
                <w:rFonts w:ascii="Times New Roman" w:eastAsia="Times New Roman" w:hAnsi="Times New Roman" w:cs="Times New Roman"/>
                <w:b/>
                <w:bCs/>
                <w:spacing w:val="-1"/>
                <w:sz w:val="24"/>
                <w:szCs w:val="24"/>
              </w:rPr>
              <w:t>r</w:t>
            </w:r>
            <w:r w:rsidRPr="00A83073">
              <w:rPr>
                <w:rFonts w:ascii="Times New Roman" w:eastAsia="Times New Roman" w:hAnsi="Times New Roman" w:cs="Times New Roman"/>
                <w:b/>
                <w:bCs/>
                <w:sz w:val="24"/>
                <w:szCs w:val="24"/>
              </w:rPr>
              <w:t>s</w:t>
            </w:r>
            <w:r w:rsidRPr="0006074A" w:rsidR="0057195B">
              <w:rPr>
                <w:rFonts w:ascii="Times New Roman" w:eastAsia="Times New Roman" w:hAnsi="Times New Roman" w:cs="Times New Roman"/>
                <w:b/>
                <w:bCs/>
                <w:sz w:val="24"/>
                <w:szCs w:val="24"/>
                <w:vertAlign w:val="superscript"/>
              </w:rPr>
              <w:t>a</w:t>
            </w:r>
          </w:p>
        </w:tc>
        <w:tc>
          <w:tcPr>
            <w:tcW w:w="1530" w:type="dxa"/>
            <w:shd w:val="clear" w:color="auto" w:fill="auto"/>
            <w:hideMark/>
          </w:tcPr>
          <w:p w:rsidR="00650DDE" w:rsidRPr="00A83073" w:rsidP="00650DDE" w14:paraId="0B8453A1" w14:textId="77777777">
            <w:pPr>
              <w:spacing w:after="0" w:line="240" w:lineRule="auto"/>
              <w:ind w:left="-110" w:right="-110"/>
              <w:jc w:val="center"/>
              <w:rPr>
                <w:rFonts w:ascii="Times New Roman" w:eastAsia="Times New Roman" w:hAnsi="Times New Roman" w:cs="Times New Roman"/>
                <w:b/>
                <w:bCs/>
                <w:sz w:val="24"/>
                <w:szCs w:val="24"/>
              </w:rPr>
            </w:pPr>
            <w:r w:rsidRPr="00A83073">
              <w:rPr>
                <w:rFonts w:ascii="Times New Roman" w:eastAsia="Times New Roman" w:hAnsi="Times New Roman" w:cs="Times New Roman"/>
                <w:b/>
                <w:bCs/>
                <w:sz w:val="24"/>
                <w:szCs w:val="24"/>
              </w:rPr>
              <w:t>Tot</w:t>
            </w:r>
            <w:r w:rsidRPr="00A83073">
              <w:rPr>
                <w:rFonts w:ascii="Times New Roman" w:eastAsia="Times New Roman" w:hAnsi="Times New Roman" w:cs="Times New Roman"/>
                <w:b/>
                <w:bCs/>
                <w:spacing w:val="-1"/>
                <w:sz w:val="24"/>
                <w:szCs w:val="24"/>
              </w:rPr>
              <w:t>a</w:t>
            </w:r>
            <w:r w:rsidRPr="00A83073">
              <w:rPr>
                <w:rFonts w:ascii="Times New Roman" w:eastAsia="Times New Roman" w:hAnsi="Times New Roman" w:cs="Times New Roman"/>
                <w:b/>
                <w:bCs/>
                <w:sz w:val="24"/>
                <w:szCs w:val="24"/>
              </w:rPr>
              <w:t xml:space="preserve">l </w:t>
            </w:r>
            <w:r w:rsidRPr="00A83073">
              <w:rPr>
                <w:rFonts w:ascii="Times New Roman" w:eastAsia="Times New Roman" w:hAnsi="Times New Roman" w:cs="Times New Roman"/>
                <w:b/>
                <w:bCs/>
                <w:spacing w:val="-2"/>
                <w:sz w:val="24"/>
                <w:szCs w:val="24"/>
              </w:rPr>
              <w:t>B</w:t>
            </w:r>
            <w:r w:rsidRPr="00A83073">
              <w:rPr>
                <w:rFonts w:ascii="Times New Roman" w:eastAsia="Times New Roman" w:hAnsi="Times New Roman" w:cs="Times New Roman"/>
                <w:b/>
                <w:bCs/>
                <w:sz w:val="24"/>
                <w:szCs w:val="24"/>
              </w:rPr>
              <w:t>u</w:t>
            </w:r>
            <w:r w:rsidRPr="00A83073">
              <w:rPr>
                <w:rFonts w:ascii="Times New Roman" w:eastAsia="Times New Roman" w:hAnsi="Times New Roman" w:cs="Times New Roman"/>
                <w:b/>
                <w:bCs/>
                <w:spacing w:val="-1"/>
                <w:sz w:val="24"/>
                <w:szCs w:val="24"/>
              </w:rPr>
              <w:t>r</w:t>
            </w:r>
            <w:r w:rsidRPr="00A83073">
              <w:rPr>
                <w:rFonts w:ascii="Times New Roman" w:eastAsia="Times New Roman" w:hAnsi="Times New Roman" w:cs="Times New Roman"/>
                <w:b/>
                <w:bCs/>
                <w:sz w:val="24"/>
                <w:szCs w:val="24"/>
              </w:rPr>
              <w:t>d</w:t>
            </w:r>
            <w:r w:rsidRPr="00A83073">
              <w:rPr>
                <w:rFonts w:ascii="Times New Roman" w:eastAsia="Times New Roman" w:hAnsi="Times New Roman" w:cs="Times New Roman"/>
                <w:b/>
                <w:bCs/>
                <w:spacing w:val="-1"/>
                <w:sz w:val="24"/>
                <w:szCs w:val="24"/>
              </w:rPr>
              <w:t>e</w:t>
            </w:r>
            <w:r w:rsidRPr="00A83073">
              <w:rPr>
                <w:rFonts w:ascii="Times New Roman" w:eastAsia="Times New Roman" w:hAnsi="Times New Roman" w:cs="Times New Roman"/>
                <w:b/>
                <w:bCs/>
                <w:sz w:val="24"/>
                <w:szCs w:val="24"/>
              </w:rPr>
              <w:t>n</w:t>
            </w:r>
          </w:p>
          <w:p w:rsidR="00650DDE" w:rsidRPr="00805A00" w:rsidP="00650DDE" w14:paraId="77F34C74" w14:textId="6E890F7E">
            <w:pPr>
              <w:widowControl/>
              <w:spacing w:after="0" w:line="240" w:lineRule="auto"/>
              <w:ind w:left="-110" w:right="-110"/>
              <w:jc w:val="center"/>
              <w:rPr>
                <w:rFonts w:ascii="Times New Roman" w:eastAsia="Times New Roman" w:hAnsi="Times New Roman" w:cs="Times New Roman"/>
                <w:b/>
                <w:bCs/>
                <w:sz w:val="24"/>
                <w:szCs w:val="24"/>
              </w:rPr>
            </w:pPr>
            <w:r w:rsidRPr="00A83073">
              <w:rPr>
                <w:rFonts w:ascii="Times New Roman" w:eastAsia="Times New Roman" w:hAnsi="Times New Roman" w:cs="Times New Roman"/>
                <w:b/>
                <w:bCs/>
                <w:spacing w:val="1"/>
                <w:sz w:val="24"/>
                <w:szCs w:val="24"/>
              </w:rPr>
              <w:t>C</w:t>
            </w:r>
            <w:r w:rsidRPr="00A83073">
              <w:rPr>
                <w:rFonts w:ascii="Times New Roman" w:eastAsia="Times New Roman" w:hAnsi="Times New Roman" w:cs="Times New Roman"/>
                <w:b/>
                <w:bCs/>
                <w:sz w:val="24"/>
                <w:szCs w:val="24"/>
              </w:rPr>
              <w:t xml:space="preserve">osts </w:t>
            </w:r>
            <w:r w:rsidRPr="00A83073">
              <w:rPr>
                <w:rFonts w:ascii="Times New Roman" w:eastAsia="Times New Roman" w:hAnsi="Times New Roman" w:cs="Times New Roman"/>
                <w:b/>
                <w:bCs/>
                <w:spacing w:val="-1"/>
                <w:sz w:val="24"/>
                <w:szCs w:val="24"/>
              </w:rPr>
              <w:t>(</w:t>
            </w:r>
            <w:r w:rsidRPr="00A83073">
              <w:rPr>
                <w:rFonts w:ascii="Times New Roman" w:eastAsia="Times New Roman" w:hAnsi="Times New Roman" w:cs="Times New Roman"/>
                <w:b/>
                <w:bCs/>
                <w:sz w:val="24"/>
                <w:szCs w:val="24"/>
              </w:rPr>
              <w:t>p</w:t>
            </w:r>
            <w:r w:rsidRPr="00A83073">
              <w:rPr>
                <w:rFonts w:ascii="Times New Roman" w:eastAsia="Times New Roman" w:hAnsi="Times New Roman" w:cs="Times New Roman"/>
                <w:b/>
                <w:bCs/>
                <w:spacing w:val="-1"/>
                <w:sz w:val="24"/>
                <w:szCs w:val="24"/>
              </w:rPr>
              <w:t>e</w:t>
            </w:r>
            <w:r w:rsidRPr="00A83073">
              <w:rPr>
                <w:rFonts w:ascii="Times New Roman" w:eastAsia="Times New Roman" w:hAnsi="Times New Roman" w:cs="Times New Roman"/>
                <w:b/>
                <w:bCs/>
                <w:sz w:val="24"/>
                <w:szCs w:val="24"/>
              </w:rPr>
              <w:t xml:space="preserve">r </w:t>
            </w:r>
            <w:r w:rsidRPr="00A83073">
              <w:rPr>
                <w:rFonts w:ascii="Times New Roman" w:eastAsia="Times New Roman" w:hAnsi="Times New Roman" w:cs="Times New Roman"/>
                <w:b/>
                <w:bCs/>
                <w:spacing w:val="-1"/>
                <w:sz w:val="24"/>
                <w:szCs w:val="24"/>
              </w:rPr>
              <w:t>Re</w:t>
            </w:r>
            <w:r w:rsidRPr="00A83073">
              <w:rPr>
                <w:rFonts w:ascii="Times New Roman" w:eastAsia="Times New Roman" w:hAnsi="Times New Roman" w:cs="Times New Roman"/>
                <w:b/>
                <w:bCs/>
                <w:sz w:val="24"/>
                <w:szCs w:val="24"/>
              </w:rPr>
              <w:t>spond</w:t>
            </w:r>
            <w:r w:rsidRPr="00A83073">
              <w:rPr>
                <w:rFonts w:ascii="Times New Roman" w:eastAsia="Times New Roman" w:hAnsi="Times New Roman" w:cs="Times New Roman"/>
                <w:b/>
                <w:bCs/>
                <w:spacing w:val="-1"/>
                <w:sz w:val="24"/>
                <w:szCs w:val="24"/>
              </w:rPr>
              <w:t>e</w:t>
            </w:r>
            <w:r w:rsidRPr="00A83073">
              <w:rPr>
                <w:rFonts w:ascii="Times New Roman" w:eastAsia="Times New Roman" w:hAnsi="Times New Roman" w:cs="Times New Roman"/>
                <w:b/>
                <w:bCs/>
                <w:sz w:val="24"/>
                <w:szCs w:val="24"/>
              </w:rPr>
              <w:t>nt)</w:t>
            </w:r>
          </w:p>
        </w:tc>
        <w:tc>
          <w:tcPr>
            <w:tcW w:w="1620" w:type="dxa"/>
            <w:shd w:val="clear" w:color="auto" w:fill="auto"/>
            <w:hideMark/>
          </w:tcPr>
          <w:p w:rsidR="00650DDE" w:rsidRPr="00805A00" w:rsidP="00650DDE" w14:paraId="4BC8F2A7" w14:textId="595049D9">
            <w:pPr>
              <w:widowControl/>
              <w:spacing w:after="0" w:line="240" w:lineRule="auto"/>
              <w:ind w:left="-110" w:right="-110"/>
              <w:jc w:val="center"/>
              <w:rPr>
                <w:rFonts w:ascii="Times New Roman" w:eastAsia="Times New Roman" w:hAnsi="Times New Roman" w:cs="Times New Roman"/>
                <w:b/>
                <w:bCs/>
                <w:sz w:val="24"/>
                <w:szCs w:val="24"/>
              </w:rPr>
            </w:pPr>
            <w:r w:rsidRPr="00A83073">
              <w:rPr>
                <w:rFonts w:ascii="Times New Roman" w:eastAsia="Times New Roman" w:hAnsi="Times New Roman" w:cs="Times New Roman"/>
                <w:b/>
                <w:bCs/>
                <w:sz w:val="24"/>
                <w:szCs w:val="24"/>
              </w:rPr>
              <w:t>Tot</w:t>
            </w:r>
            <w:r w:rsidRPr="00A83073">
              <w:rPr>
                <w:rFonts w:ascii="Times New Roman" w:eastAsia="Times New Roman" w:hAnsi="Times New Roman" w:cs="Times New Roman"/>
                <w:b/>
                <w:bCs/>
                <w:spacing w:val="-1"/>
                <w:sz w:val="24"/>
                <w:szCs w:val="24"/>
              </w:rPr>
              <w:t>a</w:t>
            </w:r>
            <w:r w:rsidRPr="00A83073">
              <w:rPr>
                <w:rFonts w:ascii="Times New Roman" w:eastAsia="Times New Roman" w:hAnsi="Times New Roman" w:cs="Times New Roman"/>
                <w:b/>
                <w:bCs/>
                <w:sz w:val="24"/>
                <w:szCs w:val="24"/>
              </w:rPr>
              <w:t xml:space="preserve">l </w:t>
            </w:r>
            <w:r w:rsidRPr="00A83073">
              <w:rPr>
                <w:rFonts w:ascii="Times New Roman" w:eastAsia="Times New Roman" w:hAnsi="Times New Roman" w:cs="Times New Roman"/>
                <w:b/>
                <w:bCs/>
                <w:spacing w:val="-2"/>
                <w:sz w:val="24"/>
                <w:szCs w:val="24"/>
              </w:rPr>
              <w:t>B</w:t>
            </w:r>
            <w:r w:rsidRPr="00A83073">
              <w:rPr>
                <w:rFonts w:ascii="Times New Roman" w:eastAsia="Times New Roman" w:hAnsi="Times New Roman" w:cs="Times New Roman"/>
                <w:b/>
                <w:bCs/>
                <w:sz w:val="24"/>
                <w:szCs w:val="24"/>
              </w:rPr>
              <w:t>u</w:t>
            </w:r>
            <w:r w:rsidRPr="00A83073">
              <w:rPr>
                <w:rFonts w:ascii="Times New Roman" w:eastAsia="Times New Roman" w:hAnsi="Times New Roman" w:cs="Times New Roman"/>
                <w:b/>
                <w:bCs/>
                <w:spacing w:val="-1"/>
                <w:sz w:val="24"/>
                <w:szCs w:val="24"/>
              </w:rPr>
              <w:t>r</w:t>
            </w:r>
            <w:r w:rsidRPr="00A83073">
              <w:rPr>
                <w:rFonts w:ascii="Times New Roman" w:eastAsia="Times New Roman" w:hAnsi="Times New Roman" w:cs="Times New Roman"/>
                <w:b/>
                <w:bCs/>
                <w:sz w:val="24"/>
                <w:szCs w:val="24"/>
              </w:rPr>
              <w:t>d</w:t>
            </w:r>
            <w:r w:rsidRPr="00A83073">
              <w:rPr>
                <w:rFonts w:ascii="Times New Roman" w:eastAsia="Times New Roman" w:hAnsi="Times New Roman" w:cs="Times New Roman"/>
                <w:b/>
                <w:bCs/>
                <w:spacing w:val="-1"/>
                <w:sz w:val="24"/>
                <w:szCs w:val="24"/>
              </w:rPr>
              <w:t>e</w:t>
            </w:r>
            <w:r w:rsidRPr="00A83073">
              <w:rPr>
                <w:rFonts w:ascii="Times New Roman" w:eastAsia="Times New Roman" w:hAnsi="Times New Roman" w:cs="Times New Roman"/>
                <w:b/>
                <w:bCs/>
                <w:sz w:val="24"/>
                <w:szCs w:val="24"/>
              </w:rPr>
              <w:t xml:space="preserve">n </w:t>
            </w:r>
            <w:r w:rsidRPr="00A83073">
              <w:rPr>
                <w:rFonts w:ascii="Times New Roman" w:eastAsia="Times New Roman" w:hAnsi="Times New Roman" w:cs="Times New Roman"/>
                <w:b/>
                <w:bCs/>
                <w:spacing w:val="1"/>
                <w:sz w:val="24"/>
                <w:szCs w:val="24"/>
              </w:rPr>
              <w:t>C</w:t>
            </w:r>
            <w:r w:rsidRPr="00A83073">
              <w:rPr>
                <w:rFonts w:ascii="Times New Roman" w:eastAsia="Times New Roman" w:hAnsi="Times New Roman" w:cs="Times New Roman"/>
                <w:b/>
                <w:bCs/>
                <w:sz w:val="24"/>
                <w:szCs w:val="24"/>
              </w:rPr>
              <w:t xml:space="preserve">osts </w:t>
            </w:r>
            <w:r w:rsidRPr="00A83073">
              <w:rPr>
                <w:rFonts w:ascii="Times New Roman" w:eastAsia="Times New Roman" w:hAnsi="Times New Roman" w:cs="Times New Roman"/>
                <w:b/>
                <w:bCs/>
                <w:spacing w:val="-1"/>
                <w:sz w:val="24"/>
                <w:szCs w:val="24"/>
              </w:rPr>
              <w:t>(</w:t>
            </w:r>
            <w:r w:rsidRPr="00A83073">
              <w:rPr>
                <w:rFonts w:ascii="Times New Roman" w:eastAsia="Times New Roman" w:hAnsi="Times New Roman" w:cs="Times New Roman"/>
                <w:b/>
                <w:bCs/>
                <w:sz w:val="24"/>
                <w:szCs w:val="24"/>
              </w:rPr>
              <w:t xml:space="preserve">All </w:t>
            </w:r>
            <w:r w:rsidRPr="00A83073">
              <w:rPr>
                <w:rFonts w:ascii="Times New Roman" w:eastAsia="Times New Roman" w:hAnsi="Times New Roman" w:cs="Times New Roman"/>
                <w:b/>
                <w:bCs/>
                <w:spacing w:val="1"/>
                <w:sz w:val="24"/>
                <w:szCs w:val="24"/>
              </w:rPr>
              <w:t>R</w:t>
            </w:r>
            <w:r w:rsidRPr="00A83073">
              <w:rPr>
                <w:rFonts w:ascii="Times New Roman" w:eastAsia="Times New Roman" w:hAnsi="Times New Roman" w:cs="Times New Roman"/>
                <w:b/>
                <w:bCs/>
                <w:spacing w:val="-1"/>
                <w:sz w:val="24"/>
                <w:szCs w:val="24"/>
              </w:rPr>
              <w:t>e</w:t>
            </w:r>
            <w:r w:rsidRPr="00A83073">
              <w:rPr>
                <w:rFonts w:ascii="Times New Roman" w:eastAsia="Times New Roman" w:hAnsi="Times New Roman" w:cs="Times New Roman"/>
                <w:b/>
                <w:bCs/>
                <w:sz w:val="24"/>
                <w:szCs w:val="24"/>
              </w:rPr>
              <w:t>spond</w:t>
            </w:r>
            <w:r w:rsidRPr="00A83073">
              <w:rPr>
                <w:rFonts w:ascii="Times New Roman" w:eastAsia="Times New Roman" w:hAnsi="Times New Roman" w:cs="Times New Roman"/>
                <w:b/>
                <w:bCs/>
                <w:spacing w:val="-1"/>
                <w:sz w:val="24"/>
                <w:szCs w:val="24"/>
              </w:rPr>
              <w:t>e</w:t>
            </w:r>
            <w:r w:rsidRPr="00A83073">
              <w:rPr>
                <w:rFonts w:ascii="Times New Roman" w:eastAsia="Times New Roman" w:hAnsi="Times New Roman" w:cs="Times New Roman"/>
                <w:b/>
                <w:bCs/>
                <w:sz w:val="24"/>
                <w:szCs w:val="24"/>
              </w:rPr>
              <w:t>nts)</w:t>
            </w:r>
          </w:p>
        </w:tc>
      </w:tr>
      <w:tr w14:paraId="0AA58D79" w14:textId="77777777" w:rsidTr="00844EDF">
        <w:tblPrEx>
          <w:tblW w:w="9625" w:type="dxa"/>
          <w:tblLayout w:type="fixed"/>
          <w:tblLook w:val="04A0"/>
        </w:tblPrEx>
        <w:trPr>
          <w:trHeight w:val="638"/>
        </w:trPr>
        <w:tc>
          <w:tcPr>
            <w:tcW w:w="2335" w:type="dxa"/>
            <w:shd w:val="clear" w:color="auto" w:fill="auto"/>
            <w:vAlign w:val="center"/>
          </w:tcPr>
          <w:p w:rsidR="004C5EF1" w:rsidRPr="00805A00" w:rsidP="004C5EF1" w14:paraId="197B4642" w14:textId="090EFEAB">
            <w:pPr>
              <w:widowControl/>
              <w:spacing w:after="0" w:line="240" w:lineRule="auto"/>
              <w:rPr>
                <w:rFonts w:ascii="Times New Roman" w:eastAsia="Times New Roman" w:hAnsi="Times New Roman" w:cs="Times New Roman"/>
                <w:b/>
                <w:bCs/>
                <w:sz w:val="24"/>
                <w:szCs w:val="24"/>
              </w:rPr>
            </w:pPr>
            <w:r w:rsidRPr="003341CA">
              <w:rPr>
                <w:rFonts w:ascii="Times New Roman" w:eastAsia="Times New Roman" w:hAnsi="Times New Roman" w:cs="Times New Roman"/>
                <w:sz w:val="24"/>
                <w:szCs w:val="24"/>
              </w:rPr>
              <w:t>Business Operations Specialist</w:t>
            </w:r>
          </w:p>
        </w:tc>
        <w:tc>
          <w:tcPr>
            <w:tcW w:w="1350" w:type="dxa"/>
            <w:shd w:val="clear" w:color="auto" w:fill="auto"/>
            <w:vAlign w:val="center"/>
          </w:tcPr>
          <w:p w:rsidR="004C5EF1" w:rsidRPr="00033FDC" w:rsidP="004C5EF1" w14:paraId="2943223A" w14:textId="17DC67C8">
            <w:pPr>
              <w:spacing w:after="0" w:line="240" w:lineRule="auto"/>
              <w:ind w:left="-110" w:right="-110"/>
              <w:jc w:val="center"/>
              <w:rPr>
                <w:rFonts w:ascii="Times New Roman" w:eastAsia="Times New Roman" w:hAnsi="Times New Roman" w:cs="Times New Roman"/>
                <w:b/>
                <w:bCs/>
                <w:sz w:val="24"/>
                <w:szCs w:val="24"/>
              </w:rPr>
            </w:pPr>
            <w:r w:rsidRPr="00033FDC">
              <w:rPr>
                <w:rFonts w:ascii="Times New Roman" w:hAnsi="Times New Roman" w:cs="Times New Roman"/>
                <w:color w:val="000000"/>
                <w:sz w:val="24"/>
                <w:szCs w:val="24"/>
              </w:rPr>
              <w:t>20</w:t>
            </w:r>
          </w:p>
        </w:tc>
        <w:tc>
          <w:tcPr>
            <w:tcW w:w="1710" w:type="dxa"/>
            <w:shd w:val="clear" w:color="auto" w:fill="auto"/>
            <w:vAlign w:val="center"/>
          </w:tcPr>
          <w:p w:rsidR="004C5EF1" w:rsidRPr="00033FDC" w:rsidP="004C5EF1" w14:paraId="0F84D328" w14:textId="63B91693">
            <w:pPr>
              <w:widowControl/>
              <w:spacing w:after="0" w:line="240" w:lineRule="auto"/>
              <w:ind w:left="-110" w:right="-110"/>
              <w:jc w:val="center"/>
              <w:rPr>
                <w:rFonts w:ascii="Times New Roman" w:eastAsia="Times New Roman" w:hAnsi="Times New Roman" w:cs="Times New Roman"/>
                <w:b/>
                <w:bCs/>
                <w:sz w:val="24"/>
                <w:szCs w:val="24"/>
              </w:rPr>
            </w:pPr>
            <w:r w:rsidRPr="00033FDC">
              <w:rPr>
                <w:rFonts w:ascii="Times New Roman" w:hAnsi="Times New Roman" w:cs="Times New Roman"/>
                <w:color w:val="000000"/>
                <w:sz w:val="24"/>
                <w:szCs w:val="24"/>
              </w:rPr>
              <w:t>$73.12</w:t>
            </w:r>
          </w:p>
        </w:tc>
        <w:tc>
          <w:tcPr>
            <w:tcW w:w="1080" w:type="dxa"/>
            <w:shd w:val="clear" w:color="auto" w:fill="auto"/>
            <w:vAlign w:val="center"/>
          </w:tcPr>
          <w:p w:rsidR="004C5EF1" w:rsidRPr="00033FDC" w:rsidP="004C5EF1" w14:paraId="75A54EF7" w14:textId="1F4301B8">
            <w:pPr>
              <w:spacing w:after="0" w:line="240" w:lineRule="auto"/>
              <w:ind w:left="-110" w:right="-110"/>
              <w:jc w:val="center"/>
              <w:rPr>
                <w:rFonts w:ascii="Times New Roman" w:eastAsia="Times New Roman" w:hAnsi="Times New Roman" w:cs="Times New Roman"/>
                <w:b/>
                <w:bCs/>
                <w:spacing w:val="-2"/>
                <w:sz w:val="24"/>
                <w:szCs w:val="24"/>
              </w:rPr>
            </w:pPr>
            <w:r w:rsidRPr="00033FDC">
              <w:rPr>
                <w:rFonts w:ascii="Times New Roman" w:hAnsi="Times New Roman" w:cs="Times New Roman"/>
                <w:color w:val="000000"/>
                <w:sz w:val="24"/>
                <w:szCs w:val="24"/>
              </w:rPr>
              <w:t>95</w:t>
            </w:r>
          </w:p>
        </w:tc>
        <w:tc>
          <w:tcPr>
            <w:tcW w:w="1530" w:type="dxa"/>
            <w:shd w:val="clear" w:color="auto" w:fill="auto"/>
            <w:vAlign w:val="center"/>
          </w:tcPr>
          <w:p w:rsidR="004C5EF1" w:rsidRPr="00033FDC" w:rsidP="004C5EF1" w14:paraId="61D344BA" w14:textId="4EA3F951">
            <w:pPr>
              <w:spacing w:after="0" w:line="240" w:lineRule="auto"/>
              <w:ind w:left="-110" w:right="-110"/>
              <w:jc w:val="center"/>
              <w:rPr>
                <w:rFonts w:ascii="Times New Roman" w:eastAsia="Times New Roman" w:hAnsi="Times New Roman" w:cs="Times New Roman"/>
                <w:b/>
                <w:bCs/>
                <w:sz w:val="24"/>
                <w:szCs w:val="24"/>
              </w:rPr>
            </w:pPr>
            <w:r w:rsidRPr="00033FDC">
              <w:rPr>
                <w:rFonts w:ascii="Times New Roman" w:hAnsi="Times New Roman" w:cs="Times New Roman"/>
                <w:color w:val="000000"/>
                <w:sz w:val="24"/>
                <w:szCs w:val="24"/>
              </w:rPr>
              <w:t>$6,946.40</w:t>
            </w:r>
          </w:p>
        </w:tc>
        <w:tc>
          <w:tcPr>
            <w:tcW w:w="1620" w:type="dxa"/>
            <w:shd w:val="clear" w:color="auto" w:fill="auto"/>
            <w:vAlign w:val="center"/>
          </w:tcPr>
          <w:p w:rsidR="004C5EF1" w:rsidRPr="00033FDC" w:rsidP="004C5EF1" w14:paraId="01007C19" w14:textId="03A07232">
            <w:pPr>
              <w:widowControl/>
              <w:spacing w:after="0" w:line="240" w:lineRule="auto"/>
              <w:ind w:left="-110" w:right="-110"/>
              <w:jc w:val="center"/>
              <w:rPr>
                <w:rFonts w:ascii="Times New Roman" w:eastAsia="Times New Roman" w:hAnsi="Times New Roman" w:cs="Times New Roman"/>
                <w:b/>
                <w:bCs/>
                <w:sz w:val="24"/>
                <w:szCs w:val="24"/>
              </w:rPr>
            </w:pPr>
            <w:r w:rsidRPr="00033FDC">
              <w:rPr>
                <w:rFonts w:ascii="Times New Roman" w:hAnsi="Times New Roman" w:cs="Times New Roman"/>
                <w:color w:val="000000"/>
                <w:sz w:val="24"/>
                <w:szCs w:val="24"/>
              </w:rPr>
              <w:t>$138,928.00</w:t>
            </w:r>
          </w:p>
        </w:tc>
      </w:tr>
      <w:tr w14:paraId="77C8959D" w14:textId="77777777" w:rsidTr="00844EDF">
        <w:tblPrEx>
          <w:tblW w:w="9625" w:type="dxa"/>
          <w:tblLayout w:type="fixed"/>
          <w:tblLook w:val="04A0"/>
        </w:tblPrEx>
        <w:trPr>
          <w:trHeight w:val="360"/>
        </w:trPr>
        <w:tc>
          <w:tcPr>
            <w:tcW w:w="2335" w:type="dxa"/>
            <w:shd w:val="clear" w:color="auto" w:fill="auto"/>
            <w:vAlign w:val="center"/>
            <w:hideMark/>
          </w:tcPr>
          <w:p w:rsidR="000F4647" w:rsidRPr="003341CA" w:rsidP="00E632D2" w14:paraId="032D90E6" w14:textId="5F621EF5">
            <w:pPr>
              <w:widowControl/>
              <w:spacing w:after="0" w:line="240" w:lineRule="auto"/>
              <w:rPr>
                <w:rFonts w:ascii="Times New Roman" w:eastAsia="Times New Roman" w:hAnsi="Times New Roman" w:cs="Times New Roman"/>
                <w:sz w:val="24"/>
                <w:szCs w:val="24"/>
              </w:rPr>
            </w:pPr>
            <w:r w:rsidRPr="003341CA">
              <w:rPr>
                <w:rFonts w:ascii="Times New Roman" w:eastAsia="Times New Roman" w:hAnsi="Times New Roman" w:cs="Times New Roman"/>
                <w:sz w:val="24"/>
                <w:szCs w:val="24"/>
              </w:rPr>
              <w:t>Web and Digital Interface Designer</w:t>
            </w:r>
          </w:p>
        </w:tc>
        <w:tc>
          <w:tcPr>
            <w:tcW w:w="1350" w:type="dxa"/>
            <w:shd w:val="clear" w:color="auto" w:fill="auto"/>
            <w:vAlign w:val="center"/>
            <w:hideMark/>
          </w:tcPr>
          <w:p w:rsidR="000F4647" w:rsidRPr="00D87A4C" w:rsidP="003341CA" w14:paraId="061C7DBB" w14:textId="77777777">
            <w:pPr>
              <w:widowControl/>
              <w:spacing w:after="0" w:line="240" w:lineRule="auto"/>
              <w:jc w:val="center"/>
              <w:rPr>
                <w:rFonts w:ascii="Times New Roman" w:eastAsia="Times New Roman" w:hAnsi="Times New Roman" w:cs="Times New Roman"/>
                <w:sz w:val="24"/>
                <w:szCs w:val="24"/>
              </w:rPr>
            </w:pPr>
            <w:r w:rsidRPr="00D87A4C">
              <w:rPr>
                <w:rFonts w:ascii="Times New Roman" w:hAnsi="Times New Roman" w:cs="Times New Roman"/>
                <w:color w:val="000000"/>
                <w:sz w:val="24"/>
                <w:szCs w:val="24"/>
              </w:rPr>
              <w:t>20</w:t>
            </w:r>
          </w:p>
        </w:tc>
        <w:tc>
          <w:tcPr>
            <w:tcW w:w="1710" w:type="dxa"/>
            <w:shd w:val="clear" w:color="auto" w:fill="auto"/>
            <w:vAlign w:val="center"/>
            <w:hideMark/>
          </w:tcPr>
          <w:p w:rsidR="000F4647" w:rsidRPr="003341CA" w:rsidP="003341CA" w14:paraId="0E102EEE" w14:textId="3D498C81">
            <w:pPr>
              <w:widowControl/>
              <w:spacing w:after="0" w:line="240" w:lineRule="auto"/>
              <w:jc w:val="center"/>
              <w:rPr>
                <w:rFonts w:ascii="Times New Roman" w:eastAsia="Times New Roman" w:hAnsi="Times New Roman" w:cs="Times New Roman"/>
                <w:sz w:val="24"/>
                <w:szCs w:val="24"/>
              </w:rPr>
            </w:pPr>
            <w:r w:rsidRPr="003341CA">
              <w:rPr>
                <w:rFonts w:ascii="Times New Roman" w:hAnsi="Times New Roman" w:cs="Times New Roman"/>
                <w:color w:val="000000"/>
                <w:sz w:val="24"/>
                <w:szCs w:val="24"/>
              </w:rPr>
              <w:t>$</w:t>
            </w:r>
            <w:r w:rsidR="008E246D">
              <w:rPr>
                <w:rFonts w:ascii="Times New Roman" w:hAnsi="Times New Roman" w:cs="Times New Roman"/>
                <w:color w:val="000000"/>
                <w:sz w:val="24"/>
                <w:szCs w:val="24"/>
              </w:rPr>
              <w:t>80.04</w:t>
            </w:r>
          </w:p>
        </w:tc>
        <w:tc>
          <w:tcPr>
            <w:tcW w:w="1080" w:type="dxa"/>
            <w:shd w:val="clear" w:color="auto" w:fill="auto"/>
            <w:vAlign w:val="center"/>
            <w:hideMark/>
          </w:tcPr>
          <w:p w:rsidR="000F4647" w:rsidRPr="006739CF" w:rsidP="003341CA" w14:paraId="1DE50937" w14:textId="590E77FE">
            <w:pPr>
              <w:widowControl/>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115</w:t>
            </w:r>
          </w:p>
        </w:tc>
        <w:tc>
          <w:tcPr>
            <w:tcW w:w="1530" w:type="dxa"/>
            <w:shd w:val="clear" w:color="auto" w:fill="auto"/>
            <w:vAlign w:val="center"/>
            <w:hideMark/>
          </w:tcPr>
          <w:p w:rsidR="000F4647" w:rsidRPr="003341CA" w:rsidP="003341CA" w14:paraId="769F4660" w14:textId="1B1E2052">
            <w:pPr>
              <w:widowControl/>
              <w:spacing w:after="0" w:line="240" w:lineRule="auto"/>
              <w:jc w:val="center"/>
              <w:rPr>
                <w:rFonts w:ascii="Times New Roman" w:eastAsia="Times New Roman" w:hAnsi="Times New Roman" w:cs="Times New Roman"/>
                <w:sz w:val="24"/>
                <w:szCs w:val="24"/>
              </w:rPr>
            </w:pPr>
            <w:r w:rsidRPr="003341CA">
              <w:rPr>
                <w:rFonts w:ascii="Times New Roman" w:hAnsi="Times New Roman" w:cs="Times New Roman"/>
                <w:color w:val="000000"/>
                <w:sz w:val="24"/>
                <w:szCs w:val="24"/>
              </w:rPr>
              <w:t>$</w:t>
            </w:r>
            <w:r w:rsidR="00033FDC">
              <w:rPr>
                <w:rFonts w:ascii="Times New Roman" w:hAnsi="Times New Roman" w:cs="Times New Roman"/>
                <w:color w:val="000000"/>
                <w:sz w:val="24"/>
                <w:szCs w:val="24"/>
              </w:rPr>
              <w:t>9,204.60</w:t>
            </w:r>
          </w:p>
        </w:tc>
        <w:tc>
          <w:tcPr>
            <w:tcW w:w="1620" w:type="dxa"/>
            <w:shd w:val="clear" w:color="auto" w:fill="auto"/>
            <w:vAlign w:val="center"/>
            <w:hideMark/>
          </w:tcPr>
          <w:p w:rsidR="000F4647" w:rsidRPr="003341CA" w:rsidP="003341CA" w14:paraId="575BCCB1" w14:textId="6DCAA37B">
            <w:pPr>
              <w:widowControl/>
              <w:spacing w:after="0" w:line="240" w:lineRule="auto"/>
              <w:jc w:val="center"/>
              <w:rPr>
                <w:rFonts w:ascii="Times New Roman" w:eastAsia="Times New Roman" w:hAnsi="Times New Roman" w:cs="Times New Roman"/>
                <w:sz w:val="24"/>
                <w:szCs w:val="24"/>
              </w:rPr>
            </w:pPr>
            <w:r w:rsidRPr="003341CA">
              <w:rPr>
                <w:rFonts w:ascii="Times New Roman" w:hAnsi="Times New Roman" w:cs="Times New Roman"/>
                <w:color w:val="000000"/>
                <w:sz w:val="24"/>
                <w:szCs w:val="24"/>
              </w:rPr>
              <w:t>$</w:t>
            </w:r>
            <w:r w:rsidR="00BA4CA7">
              <w:rPr>
                <w:rFonts w:ascii="Times New Roman" w:hAnsi="Times New Roman" w:cs="Times New Roman"/>
                <w:color w:val="000000"/>
                <w:sz w:val="24"/>
                <w:szCs w:val="24"/>
              </w:rPr>
              <w:t>184,092.00</w:t>
            </w:r>
          </w:p>
        </w:tc>
      </w:tr>
      <w:tr w14:paraId="234FA807" w14:textId="77777777" w:rsidTr="00844EDF">
        <w:tblPrEx>
          <w:tblW w:w="9625" w:type="dxa"/>
          <w:tblLayout w:type="fixed"/>
          <w:tblLook w:val="04A0"/>
        </w:tblPrEx>
        <w:trPr>
          <w:trHeight w:val="360"/>
        </w:trPr>
        <w:tc>
          <w:tcPr>
            <w:tcW w:w="2335" w:type="dxa"/>
            <w:shd w:val="clear" w:color="auto" w:fill="auto"/>
            <w:vAlign w:val="center"/>
          </w:tcPr>
          <w:p w:rsidR="000F4647" w:rsidRPr="003341CA" w:rsidP="00E632D2" w14:paraId="652096C7" w14:textId="682A1CD8">
            <w:pPr>
              <w:widowControl/>
              <w:spacing w:after="0" w:line="240" w:lineRule="auto"/>
              <w:rPr>
                <w:rFonts w:ascii="Times New Roman" w:eastAsia="Times New Roman" w:hAnsi="Times New Roman" w:cs="Times New Roman"/>
                <w:sz w:val="24"/>
                <w:szCs w:val="24"/>
              </w:rPr>
            </w:pPr>
            <w:r w:rsidRPr="003341CA">
              <w:rPr>
                <w:rFonts w:ascii="Times New Roman" w:eastAsia="Times New Roman" w:hAnsi="Times New Roman" w:cs="Times New Roman"/>
                <w:sz w:val="24"/>
                <w:szCs w:val="24"/>
              </w:rPr>
              <w:t>Business Operations Specialist</w:t>
            </w:r>
          </w:p>
        </w:tc>
        <w:tc>
          <w:tcPr>
            <w:tcW w:w="1350" w:type="dxa"/>
            <w:shd w:val="clear" w:color="auto" w:fill="auto"/>
            <w:vAlign w:val="center"/>
          </w:tcPr>
          <w:p w:rsidR="000F4647" w:rsidRPr="00D87A4C" w:rsidP="003341CA" w14:paraId="2E453C1E" w14:textId="77777777">
            <w:pPr>
              <w:widowControl/>
              <w:spacing w:after="0" w:line="240" w:lineRule="auto"/>
              <w:jc w:val="center"/>
              <w:rPr>
                <w:rFonts w:ascii="Times New Roman" w:eastAsia="Times New Roman" w:hAnsi="Times New Roman" w:cs="Times New Roman"/>
                <w:sz w:val="24"/>
                <w:szCs w:val="24"/>
              </w:rPr>
            </w:pPr>
            <w:r w:rsidRPr="00D87A4C">
              <w:rPr>
                <w:rFonts w:ascii="Times New Roman" w:hAnsi="Times New Roman" w:cs="Times New Roman"/>
                <w:color w:val="000000"/>
                <w:sz w:val="24"/>
                <w:szCs w:val="24"/>
              </w:rPr>
              <w:t>20</w:t>
            </w:r>
          </w:p>
        </w:tc>
        <w:tc>
          <w:tcPr>
            <w:tcW w:w="1710" w:type="dxa"/>
            <w:shd w:val="clear" w:color="auto" w:fill="auto"/>
            <w:vAlign w:val="center"/>
          </w:tcPr>
          <w:p w:rsidR="000F4647" w:rsidRPr="003341CA" w:rsidP="003341CA" w14:paraId="31200CFD" w14:textId="32A16B0D">
            <w:pPr>
              <w:widowControl/>
              <w:spacing w:after="0" w:line="240" w:lineRule="auto"/>
              <w:jc w:val="center"/>
              <w:rPr>
                <w:rFonts w:ascii="Times New Roman" w:eastAsia="Times New Roman" w:hAnsi="Times New Roman" w:cs="Times New Roman"/>
                <w:sz w:val="24"/>
                <w:szCs w:val="24"/>
              </w:rPr>
            </w:pPr>
            <w:r w:rsidRPr="003341CA">
              <w:rPr>
                <w:rFonts w:ascii="Times New Roman" w:hAnsi="Times New Roman" w:cs="Times New Roman"/>
                <w:color w:val="000000"/>
                <w:sz w:val="24"/>
                <w:szCs w:val="24"/>
              </w:rPr>
              <w:t>$</w:t>
            </w:r>
            <w:r w:rsidR="008E246D">
              <w:rPr>
                <w:rFonts w:ascii="Times New Roman" w:hAnsi="Times New Roman" w:cs="Times New Roman"/>
                <w:color w:val="000000"/>
                <w:sz w:val="24"/>
                <w:szCs w:val="24"/>
              </w:rPr>
              <w:t>73.12</w:t>
            </w:r>
          </w:p>
        </w:tc>
        <w:tc>
          <w:tcPr>
            <w:tcW w:w="1080" w:type="dxa"/>
            <w:shd w:val="clear" w:color="auto" w:fill="auto"/>
            <w:vAlign w:val="center"/>
          </w:tcPr>
          <w:p w:rsidR="000F4647" w:rsidRPr="006739CF" w:rsidP="003341CA" w14:paraId="359F0154" w14:textId="11EEA0A5">
            <w:pPr>
              <w:widowControl/>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530" w:type="dxa"/>
            <w:shd w:val="clear" w:color="auto" w:fill="auto"/>
            <w:vAlign w:val="center"/>
          </w:tcPr>
          <w:p w:rsidR="000F4647" w:rsidRPr="003341CA" w:rsidP="003341CA" w14:paraId="3002CEEE" w14:textId="0A959045">
            <w:pPr>
              <w:widowControl/>
              <w:spacing w:after="0" w:line="240" w:lineRule="auto"/>
              <w:jc w:val="center"/>
              <w:rPr>
                <w:rFonts w:ascii="Times New Roman" w:eastAsia="Times New Roman" w:hAnsi="Times New Roman" w:cs="Times New Roman"/>
                <w:sz w:val="24"/>
                <w:szCs w:val="24"/>
              </w:rPr>
            </w:pPr>
            <w:r w:rsidRPr="003341CA">
              <w:rPr>
                <w:rFonts w:ascii="Times New Roman" w:hAnsi="Times New Roman" w:cs="Times New Roman"/>
                <w:color w:val="000000"/>
                <w:sz w:val="24"/>
                <w:szCs w:val="24"/>
              </w:rPr>
              <w:t>$</w:t>
            </w:r>
            <w:r w:rsidR="00BA4CA7">
              <w:rPr>
                <w:rFonts w:ascii="Times New Roman" w:hAnsi="Times New Roman" w:cs="Times New Roman"/>
                <w:color w:val="000000"/>
                <w:sz w:val="24"/>
                <w:szCs w:val="24"/>
              </w:rPr>
              <w:t>365.60</w:t>
            </w:r>
          </w:p>
        </w:tc>
        <w:tc>
          <w:tcPr>
            <w:tcW w:w="1620" w:type="dxa"/>
            <w:shd w:val="clear" w:color="auto" w:fill="auto"/>
            <w:vAlign w:val="center"/>
          </w:tcPr>
          <w:p w:rsidR="000F4647" w:rsidRPr="003341CA" w:rsidP="003341CA" w14:paraId="76C94B03" w14:textId="26CC4EA1">
            <w:pPr>
              <w:widowControl/>
              <w:spacing w:after="0" w:line="240" w:lineRule="auto"/>
              <w:jc w:val="center"/>
              <w:rPr>
                <w:rFonts w:ascii="Times New Roman" w:eastAsia="Times New Roman" w:hAnsi="Times New Roman" w:cs="Times New Roman"/>
                <w:sz w:val="24"/>
                <w:szCs w:val="24"/>
              </w:rPr>
            </w:pPr>
            <w:r w:rsidRPr="003341CA">
              <w:rPr>
                <w:rFonts w:ascii="Times New Roman" w:hAnsi="Times New Roman" w:cs="Times New Roman"/>
                <w:color w:val="000000"/>
                <w:sz w:val="24"/>
                <w:szCs w:val="24"/>
              </w:rPr>
              <w:t>$</w:t>
            </w:r>
            <w:r w:rsidR="00BA4CA7">
              <w:rPr>
                <w:rFonts w:ascii="Times New Roman" w:hAnsi="Times New Roman" w:cs="Times New Roman"/>
                <w:color w:val="000000"/>
                <w:sz w:val="24"/>
                <w:szCs w:val="24"/>
              </w:rPr>
              <w:t>7,312.00</w:t>
            </w:r>
          </w:p>
        </w:tc>
      </w:tr>
      <w:tr w14:paraId="4AC7C846" w14:textId="77777777" w:rsidTr="00844EDF">
        <w:tblPrEx>
          <w:tblW w:w="9625" w:type="dxa"/>
          <w:tblLayout w:type="fixed"/>
          <w:tblLook w:val="04A0"/>
        </w:tblPrEx>
        <w:trPr>
          <w:trHeight w:val="360"/>
        </w:trPr>
        <w:tc>
          <w:tcPr>
            <w:tcW w:w="2335" w:type="dxa"/>
            <w:shd w:val="clear" w:color="auto" w:fill="auto"/>
            <w:vAlign w:val="center"/>
          </w:tcPr>
          <w:p w:rsidR="000F4647" w:rsidRPr="003341CA" w:rsidP="00E632D2" w14:paraId="41EDEAC9" w14:textId="77777777">
            <w:pPr>
              <w:widowControl/>
              <w:spacing w:after="0" w:line="240" w:lineRule="auto"/>
              <w:rPr>
                <w:rFonts w:ascii="Times New Roman" w:eastAsia="Times New Roman" w:hAnsi="Times New Roman" w:cs="Times New Roman"/>
                <w:sz w:val="24"/>
                <w:szCs w:val="24"/>
              </w:rPr>
            </w:pPr>
            <w:r w:rsidRPr="003341CA">
              <w:rPr>
                <w:rFonts w:ascii="Times New Roman" w:eastAsia="Times New Roman" w:hAnsi="Times New Roman" w:cs="Times New Roman"/>
                <w:sz w:val="24"/>
                <w:szCs w:val="24"/>
              </w:rPr>
              <w:t>Web and Digital Interface Designer</w:t>
            </w:r>
          </w:p>
        </w:tc>
        <w:tc>
          <w:tcPr>
            <w:tcW w:w="1350" w:type="dxa"/>
            <w:shd w:val="clear" w:color="auto" w:fill="auto"/>
            <w:vAlign w:val="center"/>
          </w:tcPr>
          <w:p w:rsidR="000F4647" w:rsidRPr="00D87A4C" w:rsidP="003341CA" w14:paraId="5F54FD7B" w14:textId="77777777">
            <w:pPr>
              <w:widowControl/>
              <w:spacing w:after="0" w:line="240" w:lineRule="auto"/>
              <w:jc w:val="center"/>
              <w:rPr>
                <w:rFonts w:ascii="Times New Roman" w:eastAsia="Times New Roman" w:hAnsi="Times New Roman" w:cs="Times New Roman"/>
                <w:sz w:val="24"/>
                <w:szCs w:val="24"/>
              </w:rPr>
            </w:pPr>
            <w:r w:rsidRPr="00D87A4C">
              <w:rPr>
                <w:rFonts w:ascii="Times New Roman" w:hAnsi="Times New Roman" w:cs="Times New Roman"/>
                <w:color w:val="000000"/>
                <w:sz w:val="24"/>
                <w:szCs w:val="24"/>
              </w:rPr>
              <w:t>20</w:t>
            </w:r>
          </w:p>
        </w:tc>
        <w:tc>
          <w:tcPr>
            <w:tcW w:w="1710" w:type="dxa"/>
            <w:shd w:val="clear" w:color="auto" w:fill="auto"/>
            <w:vAlign w:val="center"/>
          </w:tcPr>
          <w:p w:rsidR="000F4647" w:rsidRPr="003341CA" w:rsidP="003341CA" w14:paraId="5A8D3711" w14:textId="73A31B77">
            <w:pPr>
              <w:widowControl/>
              <w:spacing w:after="0" w:line="240" w:lineRule="auto"/>
              <w:jc w:val="center"/>
              <w:rPr>
                <w:rFonts w:ascii="Times New Roman" w:eastAsia="Times New Roman" w:hAnsi="Times New Roman" w:cs="Times New Roman"/>
                <w:sz w:val="24"/>
                <w:szCs w:val="24"/>
              </w:rPr>
            </w:pPr>
            <w:r w:rsidRPr="003341CA">
              <w:rPr>
                <w:rFonts w:ascii="Times New Roman" w:hAnsi="Times New Roman" w:cs="Times New Roman"/>
                <w:color w:val="000000"/>
                <w:sz w:val="24"/>
                <w:szCs w:val="24"/>
              </w:rPr>
              <w:t>$</w:t>
            </w:r>
            <w:r w:rsidR="008E246D">
              <w:rPr>
                <w:rFonts w:ascii="Times New Roman" w:hAnsi="Times New Roman" w:cs="Times New Roman"/>
                <w:color w:val="000000"/>
                <w:sz w:val="24"/>
                <w:szCs w:val="24"/>
              </w:rPr>
              <w:t>80.04</w:t>
            </w:r>
          </w:p>
        </w:tc>
        <w:tc>
          <w:tcPr>
            <w:tcW w:w="1080" w:type="dxa"/>
            <w:shd w:val="clear" w:color="auto" w:fill="auto"/>
            <w:vAlign w:val="center"/>
          </w:tcPr>
          <w:p w:rsidR="000F4647" w:rsidRPr="006739CF" w:rsidP="003341CA" w14:paraId="768669C7" w14:textId="06F14CBC">
            <w:pPr>
              <w:widowControl/>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530" w:type="dxa"/>
            <w:shd w:val="clear" w:color="auto" w:fill="auto"/>
            <w:vAlign w:val="center"/>
          </w:tcPr>
          <w:p w:rsidR="000F4647" w:rsidRPr="003341CA" w:rsidP="003341CA" w14:paraId="1D94F8FF" w14:textId="72197E64">
            <w:pPr>
              <w:widowControl/>
              <w:spacing w:after="0" w:line="240" w:lineRule="auto"/>
              <w:jc w:val="center"/>
              <w:rPr>
                <w:rFonts w:ascii="Times New Roman" w:eastAsia="Times New Roman" w:hAnsi="Times New Roman" w:cs="Times New Roman"/>
                <w:sz w:val="24"/>
                <w:szCs w:val="24"/>
              </w:rPr>
            </w:pPr>
            <w:r w:rsidRPr="003341CA">
              <w:rPr>
                <w:rFonts w:ascii="Times New Roman" w:hAnsi="Times New Roman" w:cs="Times New Roman"/>
                <w:color w:val="000000"/>
                <w:sz w:val="24"/>
                <w:szCs w:val="24"/>
              </w:rPr>
              <w:t>$</w:t>
            </w:r>
            <w:r w:rsidR="00BA4CA7">
              <w:rPr>
                <w:rFonts w:ascii="Times New Roman" w:hAnsi="Times New Roman" w:cs="Times New Roman"/>
                <w:color w:val="000000"/>
                <w:sz w:val="24"/>
                <w:szCs w:val="24"/>
              </w:rPr>
              <w:t>1,200.60</w:t>
            </w:r>
          </w:p>
        </w:tc>
        <w:tc>
          <w:tcPr>
            <w:tcW w:w="1620" w:type="dxa"/>
            <w:shd w:val="clear" w:color="auto" w:fill="auto"/>
            <w:vAlign w:val="center"/>
          </w:tcPr>
          <w:p w:rsidR="000F4647" w:rsidRPr="003341CA" w:rsidP="003341CA" w14:paraId="7721124B" w14:textId="5712C813">
            <w:pPr>
              <w:widowControl/>
              <w:spacing w:after="0" w:line="240" w:lineRule="auto"/>
              <w:jc w:val="center"/>
              <w:rPr>
                <w:rFonts w:ascii="Times New Roman" w:eastAsia="Times New Roman" w:hAnsi="Times New Roman" w:cs="Times New Roman"/>
                <w:sz w:val="24"/>
                <w:szCs w:val="24"/>
              </w:rPr>
            </w:pPr>
            <w:r w:rsidRPr="003341CA">
              <w:rPr>
                <w:rFonts w:ascii="Times New Roman" w:hAnsi="Times New Roman" w:cs="Times New Roman"/>
                <w:color w:val="000000"/>
                <w:sz w:val="24"/>
                <w:szCs w:val="24"/>
              </w:rPr>
              <w:t>$</w:t>
            </w:r>
            <w:r w:rsidR="00BA4CA7">
              <w:rPr>
                <w:rFonts w:ascii="Times New Roman" w:hAnsi="Times New Roman" w:cs="Times New Roman"/>
                <w:color w:val="000000"/>
                <w:sz w:val="24"/>
                <w:szCs w:val="24"/>
              </w:rPr>
              <w:t>24,012.00</w:t>
            </w:r>
          </w:p>
        </w:tc>
      </w:tr>
      <w:tr w14:paraId="0477A40B" w14:textId="77777777" w:rsidTr="00844EDF">
        <w:tblPrEx>
          <w:tblW w:w="9625" w:type="dxa"/>
          <w:tblLayout w:type="fixed"/>
          <w:tblLook w:val="04A0"/>
        </w:tblPrEx>
        <w:trPr>
          <w:trHeight w:val="360"/>
        </w:trPr>
        <w:tc>
          <w:tcPr>
            <w:tcW w:w="2335" w:type="dxa"/>
            <w:shd w:val="clear" w:color="auto" w:fill="auto"/>
            <w:vAlign w:val="center"/>
          </w:tcPr>
          <w:p w:rsidR="000F4647" w:rsidRPr="003341CA" w:rsidP="00E632D2" w14:paraId="6D5AF72D" w14:textId="77777777">
            <w:pPr>
              <w:widowControl/>
              <w:spacing w:after="0" w:line="240" w:lineRule="auto"/>
              <w:rPr>
                <w:rFonts w:ascii="Times New Roman" w:eastAsia="Times New Roman" w:hAnsi="Times New Roman" w:cs="Times New Roman"/>
                <w:sz w:val="24"/>
                <w:szCs w:val="24"/>
              </w:rPr>
            </w:pPr>
            <w:r w:rsidRPr="003341CA">
              <w:rPr>
                <w:rFonts w:ascii="Times New Roman" w:eastAsia="Times New Roman" w:hAnsi="Times New Roman" w:cs="Times New Roman"/>
                <w:snapToGrid w:val="0"/>
                <w:sz w:val="24"/>
                <w:szCs w:val="24"/>
              </w:rPr>
              <w:t>Web and Digital Interface Designer</w:t>
            </w:r>
          </w:p>
        </w:tc>
        <w:tc>
          <w:tcPr>
            <w:tcW w:w="1350" w:type="dxa"/>
            <w:shd w:val="clear" w:color="auto" w:fill="auto"/>
            <w:vAlign w:val="center"/>
          </w:tcPr>
          <w:p w:rsidR="000F4647" w:rsidRPr="003341CA" w:rsidP="003341CA" w14:paraId="55C959B4" w14:textId="77777777">
            <w:pPr>
              <w:widowControl/>
              <w:spacing w:after="0" w:line="240" w:lineRule="auto"/>
              <w:jc w:val="center"/>
              <w:rPr>
                <w:rFonts w:ascii="Times New Roman" w:eastAsia="Times New Roman" w:hAnsi="Times New Roman" w:cs="Times New Roman"/>
                <w:sz w:val="24"/>
                <w:szCs w:val="24"/>
              </w:rPr>
            </w:pPr>
            <w:r w:rsidRPr="003341CA">
              <w:rPr>
                <w:rFonts w:ascii="Times New Roman" w:eastAsia="Times New Roman" w:hAnsi="Times New Roman" w:cs="Times New Roman"/>
                <w:snapToGrid w:val="0"/>
                <w:sz w:val="24"/>
                <w:szCs w:val="24"/>
              </w:rPr>
              <w:t>20</w:t>
            </w:r>
          </w:p>
        </w:tc>
        <w:tc>
          <w:tcPr>
            <w:tcW w:w="1710" w:type="dxa"/>
            <w:shd w:val="clear" w:color="auto" w:fill="auto"/>
            <w:vAlign w:val="center"/>
          </w:tcPr>
          <w:p w:rsidR="000F4647" w:rsidRPr="003341CA" w:rsidP="003341CA" w14:paraId="28833F02" w14:textId="18BEA1CF">
            <w:pPr>
              <w:widowControl/>
              <w:spacing w:after="0" w:line="240" w:lineRule="auto"/>
              <w:jc w:val="center"/>
              <w:rPr>
                <w:rFonts w:ascii="Times New Roman" w:eastAsia="Times New Roman" w:hAnsi="Times New Roman" w:cs="Times New Roman"/>
                <w:sz w:val="24"/>
                <w:szCs w:val="24"/>
              </w:rPr>
            </w:pPr>
            <w:r w:rsidRPr="003341CA">
              <w:rPr>
                <w:rFonts w:ascii="Times New Roman" w:eastAsia="Times New Roman" w:hAnsi="Times New Roman" w:cs="Times New Roman"/>
                <w:snapToGrid w:val="0"/>
                <w:sz w:val="24"/>
                <w:szCs w:val="24"/>
              </w:rPr>
              <w:t>$</w:t>
            </w:r>
            <w:r w:rsidR="008E246D">
              <w:rPr>
                <w:rFonts w:ascii="Times New Roman" w:hAnsi="Times New Roman" w:cs="Times New Roman"/>
                <w:color w:val="000000"/>
                <w:sz w:val="24"/>
                <w:szCs w:val="24"/>
              </w:rPr>
              <w:t>80.04</w:t>
            </w:r>
          </w:p>
        </w:tc>
        <w:tc>
          <w:tcPr>
            <w:tcW w:w="1080" w:type="dxa"/>
            <w:shd w:val="clear" w:color="auto" w:fill="auto"/>
            <w:vAlign w:val="center"/>
          </w:tcPr>
          <w:p w:rsidR="000F4647" w:rsidRPr="006739CF" w:rsidP="003341CA" w14:paraId="4E1509CA" w14:textId="06926396">
            <w:pPr>
              <w:widowControl/>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napToGrid w:val="0"/>
                <w:sz w:val="24"/>
                <w:szCs w:val="24"/>
              </w:rPr>
              <w:t>25</w:t>
            </w:r>
          </w:p>
        </w:tc>
        <w:tc>
          <w:tcPr>
            <w:tcW w:w="1530" w:type="dxa"/>
            <w:shd w:val="clear" w:color="auto" w:fill="auto"/>
            <w:vAlign w:val="center"/>
          </w:tcPr>
          <w:p w:rsidR="000F4647" w:rsidRPr="003341CA" w:rsidP="003341CA" w14:paraId="182570F6" w14:textId="39032D70">
            <w:pPr>
              <w:widowControl/>
              <w:spacing w:after="0" w:line="240" w:lineRule="auto"/>
              <w:jc w:val="center"/>
              <w:rPr>
                <w:rFonts w:ascii="Times New Roman" w:eastAsia="Times New Roman" w:hAnsi="Times New Roman" w:cs="Times New Roman"/>
                <w:sz w:val="24"/>
                <w:szCs w:val="24"/>
              </w:rPr>
            </w:pPr>
            <w:r w:rsidRPr="003341CA">
              <w:rPr>
                <w:rFonts w:ascii="Times New Roman" w:hAnsi="Times New Roman" w:cs="Times New Roman"/>
                <w:color w:val="000000"/>
                <w:sz w:val="24"/>
                <w:szCs w:val="24"/>
              </w:rPr>
              <w:t>$</w:t>
            </w:r>
            <w:r w:rsidR="00BA4CA7">
              <w:rPr>
                <w:rFonts w:ascii="Times New Roman" w:hAnsi="Times New Roman" w:cs="Times New Roman"/>
                <w:color w:val="000000"/>
                <w:sz w:val="24"/>
                <w:szCs w:val="24"/>
              </w:rPr>
              <w:t>2,001.00</w:t>
            </w:r>
          </w:p>
        </w:tc>
        <w:tc>
          <w:tcPr>
            <w:tcW w:w="1620" w:type="dxa"/>
            <w:shd w:val="clear" w:color="auto" w:fill="auto"/>
            <w:vAlign w:val="center"/>
          </w:tcPr>
          <w:p w:rsidR="000F4647" w:rsidRPr="003341CA" w:rsidP="003341CA" w14:paraId="6F6B5A64" w14:textId="49F2E127">
            <w:pPr>
              <w:widowControl/>
              <w:spacing w:after="0" w:line="240" w:lineRule="auto"/>
              <w:jc w:val="center"/>
              <w:rPr>
                <w:rFonts w:ascii="Times New Roman" w:eastAsia="Times New Roman" w:hAnsi="Times New Roman" w:cs="Times New Roman"/>
                <w:sz w:val="24"/>
                <w:szCs w:val="24"/>
              </w:rPr>
            </w:pPr>
            <w:r w:rsidRPr="003341CA">
              <w:rPr>
                <w:rFonts w:ascii="Times New Roman" w:eastAsia="Times New Roman" w:hAnsi="Times New Roman" w:cs="Times New Roman"/>
                <w:snapToGrid w:val="0"/>
                <w:sz w:val="24"/>
                <w:szCs w:val="24"/>
              </w:rPr>
              <w:t>$</w:t>
            </w:r>
            <w:r w:rsidR="00BA4CA7">
              <w:rPr>
                <w:rFonts w:ascii="Times New Roman" w:eastAsia="Times New Roman" w:hAnsi="Times New Roman" w:cs="Times New Roman"/>
                <w:snapToGrid w:val="0"/>
                <w:sz w:val="24"/>
                <w:szCs w:val="24"/>
              </w:rPr>
              <w:t>40,020.00</w:t>
            </w:r>
          </w:p>
        </w:tc>
      </w:tr>
      <w:tr w14:paraId="51E1F34A" w14:textId="77777777" w:rsidTr="005163DB">
        <w:tblPrEx>
          <w:tblW w:w="9625" w:type="dxa"/>
          <w:tblLayout w:type="fixed"/>
          <w:tblLook w:val="04A0"/>
        </w:tblPrEx>
        <w:trPr>
          <w:trHeight w:hRule="exact" w:val="478"/>
        </w:trPr>
        <w:tc>
          <w:tcPr>
            <w:tcW w:w="2335" w:type="dxa"/>
            <w:shd w:val="clear" w:color="auto" w:fill="auto"/>
            <w:vAlign w:val="center"/>
            <w:hideMark/>
          </w:tcPr>
          <w:p w:rsidR="006739CF" w:rsidRPr="003341CA" w:rsidP="006739CF" w14:paraId="66E8CEFE" w14:textId="77777777">
            <w:pPr>
              <w:widowControl/>
              <w:spacing w:after="0" w:line="240" w:lineRule="auto"/>
              <w:rPr>
                <w:rFonts w:ascii="Times New Roman" w:eastAsia="Times New Roman" w:hAnsi="Times New Roman" w:cs="Times New Roman"/>
                <w:b/>
                <w:bCs/>
                <w:sz w:val="24"/>
                <w:szCs w:val="24"/>
              </w:rPr>
            </w:pPr>
            <w:r w:rsidRPr="003341CA">
              <w:rPr>
                <w:rFonts w:ascii="Times New Roman" w:eastAsia="Times New Roman" w:hAnsi="Times New Roman" w:cs="Times New Roman"/>
                <w:b/>
                <w:bCs/>
                <w:sz w:val="24"/>
                <w:szCs w:val="24"/>
              </w:rPr>
              <w:t>Total</w:t>
            </w:r>
          </w:p>
        </w:tc>
        <w:tc>
          <w:tcPr>
            <w:tcW w:w="1350" w:type="dxa"/>
            <w:shd w:val="clear" w:color="auto" w:fill="auto"/>
            <w:vAlign w:val="center"/>
            <w:hideMark/>
          </w:tcPr>
          <w:p w:rsidR="006739CF" w:rsidRPr="003341CA" w:rsidP="006739CF" w14:paraId="0C59E0A3" w14:textId="7EDDE986">
            <w:pPr>
              <w:widowControl/>
              <w:spacing w:after="0" w:line="240" w:lineRule="auto"/>
              <w:jc w:val="center"/>
              <w:rPr>
                <w:rFonts w:ascii="Times New Roman" w:eastAsia="Times New Roman" w:hAnsi="Times New Roman" w:cs="Times New Roman"/>
                <w:b/>
                <w:bCs/>
                <w:sz w:val="24"/>
                <w:szCs w:val="24"/>
              </w:rPr>
            </w:pPr>
          </w:p>
        </w:tc>
        <w:tc>
          <w:tcPr>
            <w:tcW w:w="1710" w:type="dxa"/>
            <w:shd w:val="clear" w:color="auto" w:fill="auto"/>
            <w:vAlign w:val="center"/>
            <w:hideMark/>
          </w:tcPr>
          <w:p w:rsidR="006739CF" w:rsidRPr="003341CA" w:rsidP="006739CF" w14:paraId="6F0B7214" w14:textId="31BD5E2C">
            <w:pPr>
              <w:widowControl/>
              <w:spacing w:after="0" w:line="240" w:lineRule="auto"/>
              <w:jc w:val="center"/>
              <w:rPr>
                <w:rFonts w:ascii="Times New Roman" w:eastAsia="Times New Roman" w:hAnsi="Times New Roman" w:cs="Times New Roman"/>
                <w:b/>
                <w:bCs/>
                <w:sz w:val="24"/>
                <w:szCs w:val="24"/>
              </w:rPr>
            </w:pPr>
          </w:p>
        </w:tc>
        <w:tc>
          <w:tcPr>
            <w:tcW w:w="1080" w:type="dxa"/>
            <w:shd w:val="clear" w:color="auto" w:fill="auto"/>
            <w:vAlign w:val="center"/>
            <w:hideMark/>
          </w:tcPr>
          <w:p w:rsidR="006739CF" w:rsidRPr="003341CA" w:rsidP="006739CF" w14:paraId="25245131" w14:textId="05B4693E">
            <w:pPr>
              <w:widowControl/>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5,100</w:t>
            </w:r>
          </w:p>
        </w:tc>
        <w:tc>
          <w:tcPr>
            <w:tcW w:w="1530" w:type="dxa"/>
            <w:shd w:val="clear" w:color="auto" w:fill="auto"/>
            <w:vAlign w:val="center"/>
            <w:hideMark/>
          </w:tcPr>
          <w:p w:rsidR="006739CF" w:rsidRPr="003341CA" w:rsidP="006739CF" w14:paraId="7D4B9C3D" w14:textId="65551E34">
            <w:pPr>
              <w:widowControl/>
              <w:spacing w:after="0" w:line="240" w:lineRule="auto"/>
              <w:jc w:val="center"/>
              <w:rPr>
                <w:rFonts w:ascii="Times New Roman" w:eastAsia="Times New Roman" w:hAnsi="Times New Roman" w:cs="Times New Roman"/>
                <w:b/>
                <w:bCs/>
                <w:sz w:val="24"/>
                <w:szCs w:val="24"/>
              </w:rPr>
            </w:pPr>
          </w:p>
        </w:tc>
        <w:tc>
          <w:tcPr>
            <w:tcW w:w="1620" w:type="dxa"/>
            <w:shd w:val="clear" w:color="auto" w:fill="auto"/>
            <w:vAlign w:val="center"/>
            <w:hideMark/>
          </w:tcPr>
          <w:p w:rsidR="006739CF" w:rsidRPr="003341CA" w:rsidP="006739CF" w14:paraId="58B5CF63" w14:textId="75361B5B">
            <w:pPr>
              <w:widowControl/>
              <w:spacing w:after="0" w:line="240" w:lineRule="auto"/>
              <w:jc w:val="center"/>
              <w:rPr>
                <w:rFonts w:ascii="Times New Roman" w:eastAsia="Times New Roman" w:hAnsi="Times New Roman" w:cs="Times New Roman"/>
                <w:b/>
                <w:bCs/>
                <w:sz w:val="24"/>
                <w:szCs w:val="24"/>
              </w:rPr>
            </w:pPr>
            <w:r w:rsidRPr="003341CA">
              <w:rPr>
                <w:rFonts w:ascii="Times New Roman" w:hAnsi="Times New Roman" w:cs="Times New Roman"/>
                <w:b/>
                <w:bCs/>
                <w:color w:val="000000"/>
                <w:sz w:val="24"/>
                <w:szCs w:val="24"/>
              </w:rPr>
              <w:t>$</w:t>
            </w:r>
            <w:r w:rsidR="00BA4CA7">
              <w:rPr>
                <w:rFonts w:ascii="Times New Roman" w:hAnsi="Times New Roman" w:cs="Times New Roman"/>
                <w:b/>
                <w:bCs/>
                <w:color w:val="000000"/>
                <w:sz w:val="24"/>
                <w:szCs w:val="24"/>
              </w:rPr>
              <w:t>394,364.00</w:t>
            </w:r>
          </w:p>
        </w:tc>
      </w:tr>
    </w:tbl>
    <w:bookmarkEnd w:id="73"/>
    <w:bookmarkEnd w:id="75"/>
    <w:p w:rsidR="00977543" w:rsidRPr="00E11BA3" w:rsidP="00234238" w14:paraId="59BAAAF5" w14:textId="73197C3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24"/>
          <w:szCs w:val="24"/>
          <w:vertAlign w:val="superscript"/>
        </w:rPr>
        <w:t>a</w:t>
      </w:r>
      <w:r>
        <w:rPr>
          <w:rFonts w:ascii="Times New Roman" w:hAnsi="Times New Roman" w:cs="Times New Roman"/>
          <w:sz w:val="24"/>
          <w:szCs w:val="24"/>
        </w:rPr>
        <w:t xml:space="preserve"> </w:t>
      </w:r>
      <w:r>
        <w:rPr>
          <w:rFonts w:ascii="Times New Roman" w:hAnsi="Times New Roman" w:cs="Times New Roman"/>
          <w:sz w:val="18"/>
          <w:szCs w:val="18"/>
        </w:rPr>
        <w:t xml:space="preserve">Burden hours in this column are a result of multiplying </w:t>
      </w:r>
      <w:r w:rsidR="006C23D0">
        <w:rPr>
          <w:rFonts w:ascii="Times New Roman" w:hAnsi="Times New Roman" w:cs="Times New Roman"/>
          <w:sz w:val="18"/>
          <w:szCs w:val="18"/>
        </w:rPr>
        <w:t xml:space="preserve">by 5 </w:t>
      </w:r>
      <w:r>
        <w:rPr>
          <w:rFonts w:ascii="Times New Roman" w:hAnsi="Times New Roman" w:cs="Times New Roman"/>
          <w:sz w:val="18"/>
          <w:szCs w:val="18"/>
        </w:rPr>
        <w:t xml:space="preserve">the estimated burden hours for the </w:t>
      </w:r>
      <w:r w:rsidR="006C23D0">
        <w:rPr>
          <w:rFonts w:ascii="Times New Roman" w:hAnsi="Times New Roman" w:cs="Times New Roman"/>
          <w:sz w:val="18"/>
          <w:szCs w:val="18"/>
        </w:rPr>
        <w:t>“</w:t>
      </w:r>
      <w:r>
        <w:rPr>
          <w:rFonts w:ascii="Times New Roman" w:hAnsi="Times New Roman" w:cs="Times New Roman"/>
          <w:sz w:val="18"/>
          <w:szCs w:val="18"/>
        </w:rPr>
        <w:t>Web and Digital Interface Designer</w:t>
      </w:r>
      <w:r w:rsidR="006C23D0">
        <w:rPr>
          <w:rFonts w:ascii="Times New Roman" w:hAnsi="Times New Roman" w:cs="Times New Roman"/>
          <w:sz w:val="18"/>
          <w:szCs w:val="18"/>
        </w:rPr>
        <w:t>”</w:t>
      </w:r>
      <w:r>
        <w:rPr>
          <w:rFonts w:ascii="Times New Roman" w:hAnsi="Times New Roman" w:cs="Times New Roman"/>
          <w:sz w:val="18"/>
          <w:szCs w:val="18"/>
        </w:rPr>
        <w:t xml:space="preserve"> </w:t>
      </w:r>
      <w:r w:rsidR="006C23D0">
        <w:rPr>
          <w:rFonts w:ascii="Times New Roman" w:hAnsi="Times New Roman" w:cs="Times New Roman"/>
          <w:sz w:val="18"/>
          <w:szCs w:val="18"/>
        </w:rPr>
        <w:t xml:space="preserve">and/or “Business Operations Specialist” roles as they appear in Tables </w:t>
      </w:r>
      <w:r w:rsidR="004C5EF1">
        <w:rPr>
          <w:rFonts w:ascii="Times New Roman" w:hAnsi="Times New Roman" w:cs="Times New Roman"/>
          <w:sz w:val="18"/>
          <w:szCs w:val="18"/>
        </w:rPr>
        <w:t xml:space="preserve">2, </w:t>
      </w:r>
      <w:r w:rsidR="006C23D0">
        <w:rPr>
          <w:rFonts w:ascii="Times New Roman" w:hAnsi="Times New Roman" w:cs="Times New Roman"/>
          <w:sz w:val="18"/>
          <w:szCs w:val="18"/>
        </w:rPr>
        <w:t xml:space="preserve">4, 7, </w:t>
      </w:r>
      <w:r w:rsidR="004C5EF1">
        <w:rPr>
          <w:rFonts w:ascii="Times New Roman" w:hAnsi="Times New Roman" w:cs="Times New Roman"/>
          <w:sz w:val="18"/>
          <w:szCs w:val="18"/>
        </w:rPr>
        <w:t xml:space="preserve">and </w:t>
      </w:r>
      <w:r w:rsidR="006C23D0">
        <w:rPr>
          <w:rFonts w:ascii="Times New Roman" w:hAnsi="Times New Roman" w:cs="Times New Roman"/>
          <w:sz w:val="18"/>
          <w:szCs w:val="18"/>
        </w:rPr>
        <w:t xml:space="preserve">17. The hours for these roles in those tables are multiplied by 5 because Table 15 is estimating burden associated with 5 state exchanges. </w:t>
      </w:r>
    </w:p>
    <w:p w:rsidR="0057195B" w:rsidRPr="0057195B" w:rsidP="00234238" w14:paraId="0DDEFE89" w14:textId="77777777">
      <w:pPr>
        <w:autoSpaceDE w:val="0"/>
        <w:autoSpaceDN w:val="0"/>
        <w:adjustRightInd w:val="0"/>
        <w:spacing w:after="0" w:line="240" w:lineRule="auto"/>
        <w:rPr>
          <w:rFonts w:ascii="Times New Roman" w:hAnsi="Times New Roman" w:cs="Times New Roman"/>
          <w:sz w:val="24"/>
          <w:szCs w:val="24"/>
        </w:rPr>
      </w:pPr>
    </w:p>
    <w:p w:rsidR="00AF01A3" w:rsidRPr="00D87A4C" w:rsidP="00AF01A3" w14:paraId="00467440" w14:textId="3CCBEFD1">
      <w:pPr>
        <w:autoSpaceDE w:val="0"/>
        <w:autoSpaceDN w:val="0"/>
        <w:adjustRightInd w:val="0"/>
        <w:spacing w:after="0" w:line="240" w:lineRule="auto"/>
        <w:rPr>
          <w:rFonts w:ascii="Times New Roman" w:hAnsi="Times New Roman" w:cs="Times New Roman"/>
          <w:sz w:val="24"/>
          <w:szCs w:val="24"/>
        </w:rPr>
      </w:pPr>
      <w:bookmarkStart w:id="76" w:name="_Hlk146886006"/>
      <w:bookmarkStart w:id="77" w:name="_Hlk159959188"/>
      <w:r w:rsidRPr="00E92948">
        <w:rPr>
          <w:rFonts w:ascii="Times New Roman" w:hAnsi="Times New Roman" w:cs="Times New Roman"/>
          <w:b/>
          <w:bCs/>
          <w:sz w:val="24"/>
          <w:szCs w:val="24"/>
        </w:rPr>
        <w:t xml:space="preserve">Application to State </w:t>
      </w:r>
      <w:r w:rsidRPr="003341CA">
        <w:rPr>
          <w:rFonts w:ascii="Times New Roman" w:hAnsi="Times New Roman" w:cs="Times New Roman"/>
          <w:b/>
          <w:bCs/>
          <w:sz w:val="24"/>
          <w:szCs w:val="24"/>
        </w:rPr>
        <w:t xml:space="preserve">Exchanges </w:t>
      </w:r>
      <w:bookmarkEnd w:id="76"/>
      <w:r w:rsidRPr="003341CA">
        <w:rPr>
          <w:rFonts w:ascii="Times New Roman" w:hAnsi="Times New Roman" w:cs="Times New Roman"/>
          <w:b/>
          <w:bCs/>
          <w:sz w:val="24"/>
          <w:szCs w:val="24"/>
        </w:rPr>
        <w:t xml:space="preserve">(45 C.F.R </w:t>
      </w:r>
      <w:r w:rsidRPr="003341CA">
        <w:rPr>
          <w:rFonts w:ascii="Times New Roman" w:hAnsi="Times New Roman" w:cs="Times New Roman"/>
          <w:b/>
          <w:sz w:val="24"/>
          <w:szCs w:val="24"/>
        </w:rPr>
        <w:t>§</w:t>
      </w:r>
      <w:r w:rsidRPr="003341CA">
        <w:rPr>
          <w:rFonts w:ascii="Times New Roman" w:hAnsi="Times New Roman" w:cs="Times New Roman"/>
          <w:b/>
          <w:bCs/>
          <w:sz w:val="24"/>
          <w:szCs w:val="24"/>
        </w:rPr>
        <w:t>155.22</w:t>
      </w:r>
      <w:r w:rsidRPr="003341CA" w:rsidR="004B66FC">
        <w:rPr>
          <w:rFonts w:ascii="Times New Roman" w:hAnsi="Times New Roman" w:cs="Times New Roman"/>
          <w:b/>
          <w:bCs/>
          <w:sz w:val="24"/>
          <w:szCs w:val="24"/>
        </w:rPr>
        <w:t>1</w:t>
      </w:r>
      <w:r w:rsidRPr="003341CA">
        <w:rPr>
          <w:rFonts w:ascii="Times New Roman" w:hAnsi="Times New Roman" w:cs="Times New Roman"/>
          <w:b/>
          <w:bCs/>
          <w:sz w:val="24"/>
          <w:szCs w:val="24"/>
        </w:rPr>
        <w:t>(j</w:t>
      </w:r>
      <w:r w:rsidRPr="00013E7F">
        <w:rPr>
          <w:rFonts w:ascii="Times New Roman" w:hAnsi="Times New Roman" w:cs="Times New Roman"/>
          <w:b/>
          <w:bCs/>
          <w:sz w:val="24"/>
          <w:szCs w:val="24"/>
        </w:rPr>
        <w:t>)</w:t>
      </w:r>
      <w:r w:rsidR="00E749C7">
        <w:rPr>
          <w:rFonts w:ascii="Times New Roman" w:hAnsi="Times New Roman" w:cs="Times New Roman"/>
          <w:b/>
          <w:bCs/>
          <w:sz w:val="24"/>
          <w:szCs w:val="24"/>
        </w:rPr>
        <w:t>)</w:t>
      </w:r>
      <w:r w:rsidRPr="00E92948">
        <w:rPr>
          <w:rFonts w:ascii="Times New Roman" w:hAnsi="Times New Roman" w:cs="Times New Roman"/>
          <w:b/>
          <w:bCs/>
          <w:sz w:val="24"/>
          <w:szCs w:val="24"/>
        </w:rPr>
        <w:t>:</w:t>
      </w:r>
      <w:r w:rsidR="003341CA">
        <w:rPr>
          <w:rFonts w:ascii="Times New Roman" w:hAnsi="Times New Roman" w:cs="Times New Roman"/>
          <w:sz w:val="24"/>
          <w:szCs w:val="24"/>
        </w:rPr>
        <w:t xml:space="preserve"> </w:t>
      </w:r>
      <w:bookmarkEnd w:id="77"/>
      <w:r w:rsidRPr="002D5E3B" w:rsidR="002D5E3B">
        <w:rPr>
          <w:rFonts w:ascii="Times New Roman" w:hAnsi="Times New Roman" w:cs="Times New Roman"/>
          <w:sz w:val="24"/>
          <w:szCs w:val="24"/>
        </w:rPr>
        <w:t xml:space="preserve">We estimate that relevant costs may be </w:t>
      </w:r>
      <w:r w:rsidRPr="00D87A4C" w:rsidR="002D5E3B">
        <w:rPr>
          <w:rFonts w:ascii="Times New Roman" w:hAnsi="Times New Roman" w:cs="Times New Roman"/>
          <w:sz w:val="24"/>
          <w:szCs w:val="24"/>
        </w:rPr>
        <w:t xml:space="preserve">estimated based on current Federal costs. As such we estimate the total burden for DE entities operating in State Exchanges </w:t>
      </w:r>
      <w:r w:rsidRPr="00D87A4C">
        <w:rPr>
          <w:rFonts w:ascii="Times New Roman" w:hAnsi="Times New Roman" w:cs="Times New Roman"/>
          <w:sz w:val="24"/>
          <w:szCs w:val="24"/>
        </w:rPr>
        <w:t xml:space="preserve">to implement the following: </w:t>
      </w:r>
      <w:r w:rsidRPr="00D87A4C">
        <w:rPr>
          <w:rFonts w:ascii="Times New Roman" w:eastAsia="Times New Roman" w:hAnsi="Times New Roman" w:cs="Times New Roman"/>
          <w:sz w:val="24"/>
          <w:szCs w:val="24"/>
        </w:rPr>
        <w:t xml:space="preserve">separate plan display requirements, prominently display the standardized disclaimer, submit the ORR requirements, reflect website changes adopted by </w:t>
      </w:r>
      <w:r w:rsidRPr="00D87A4C">
        <w:rPr>
          <w:rFonts w:ascii="Times New Roman" w:eastAsia="Times New Roman" w:hAnsi="Times New Roman" w:cs="Times New Roman"/>
          <w:i/>
          <w:iCs/>
          <w:sz w:val="24"/>
          <w:szCs w:val="24"/>
        </w:rPr>
        <w:t>Healthcare.gov</w:t>
      </w:r>
      <w:r w:rsidRPr="00D87A4C">
        <w:rPr>
          <w:rFonts w:ascii="Times New Roman" w:eastAsia="Times New Roman" w:hAnsi="Times New Roman" w:cs="Times New Roman"/>
          <w:sz w:val="24"/>
          <w:szCs w:val="24"/>
        </w:rPr>
        <w:t xml:space="preserve">, and application assister requirements </w:t>
      </w:r>
      <w:r w:rsidRPr="00D87A4C" w:rsidR="002D5E3B">
        <w:rPr>
          <w:rFonts w:ascii="Times New Roman" w:hAnsi="Times New Roman" w:cs="Times New Roman"/>
          <w:sz w:val="24"/>
          <w:szCs w:val="24"/>
        </w:rPr>
        <w:t>will be</w:t>
      </w:r>
      <w:r w:rsidRPr="00D87A4C" w:rsidR="001C6BF5">
        <w:rPr>
          <w:rFonts w:ascii="Times New Roman" w:hAnsi="Times New Roman" w:cs="Times New Roman"/>
          <w:sz w:val="24"/>
          <w:szCs w:val="24"/>
        </w:rPr>
        <w:t xml:space="preserve"> </w:t>
      </w:r>
      <w:r w:rsidR="00C624B4">
        <w:rPr>
          <w:rFonts w:ascii="Times New Roman" w:hAnsi="Times New Roman" w:cs="Times New Roman"/>
          <w:sz w:val="24"/>
          <w:szCs w:val="24"/>
        </w:rPr>
        <w:t>20,706</w:t>
      </w:r>
      <w:r w:rsidRPr="00D87A4C" w:rsidR="002F0868">
        <w:rPr>
          <w:rFonts w:ascii="Times New Roman" w:hAnsi="Times New Roman" w:cs="Times New Roman"/>
          <w:sz w:val="24"/>
          <w:szCs w:val="24"/>
        </w:rPr>
        <w:t xml:space="preserve"> hours with a cost of </w:t>
      </w:r>
      <w:r w:rsidRPr="00D87A4C" w:rsidR="001C6BF5">
        <w:rPr>
          <w:rFonts w:ascii="Times New Roman" w:hAnsi="Times New Roman" w:cs="Times New Roman"/>
          <w:color w:val="000000"/>
          <w:sz w:val="24"/>
          <w:szCs w:val="24"/>
        </w:rPr>
        <w:t>$</w:t>
      </w:r>
      <w:r w:rsidRPr="00D87A4C" w:rsidR="00776176">
        <w:rPr>
          <w:rFonts w:ascii="Times New Roman" w:hAnsi="Times New Roman" w:cs="Times New Roman"/>
          <w:color w:val="000000"/>
          <w:sz w:val="24"/>
          <w:szCs w:val="24"/>
        </w:rPr>
        <w:t>1,480,620.70</w:t>
      </w:r>
      <w:r w:rsidRPr="00D87A4C" w:rsidR="001C6BF5">
        <w:rPr>
          <w:rFonts w:ascii="Times New Roman" w:hAnsi="Times New Roman" w:cs="Times New Roman"/>
          <w:sz w:val="24"/>
          <w:szCs w:val="24"/>
        </w:rPr>
        <w:t>.</w:t>
      </w:r>
      <w:r w:rsidRPr="00D87A4C" w:rsidR="002D5E3B">
        <w:rPr>
          <w:rFonts w:ascii="Times New Roman" w:hAnsi="Times New Roman" w:cs="Times New Roman"/>
          <w:sz w:val="24"/>
          <w:szCs w:val="24"/>
        </w:rPr>
        <w:t xml:space="preserve"> </w:t>
      </w:r>
      <w:r w:rsidRPr="00D87A4C">
        <w:rPr>
          <w:rFonts w:ascii="Times New Roman" w:hAnsi="Times New Roman" w:cs="Times New Roman"/>
          <w:sz w:val="24"/>
          <w:szCs w:val="24"/>
        </w:rPr>
        <w:t>This estimate includes costs associated with the following:</w:t>
      </w:r>
    </w:p>
    <w:p w:rsidR="00AF01A3" w:rsidRPr="00D87A4C" w:rsidP="00AF01A3" w14:paraId="29E66609" w14:textId="77777777">
      <w:pPr>
        <w:pStyle w:val="ListParagraph"/>
        <w:numPr>
          <w:ilvl w:val="0"/>
          <w:numId w:val="40"/>
        </w:numPr>
        <w:autoSpaceDE w:val="0"/>
        <w:autoSpaceDN w:val="0"/>
        <w:adjustRightInd w:val="0"/>
        <w:spacing w:after="0" w:line="240" w:lineRule="auto"/>
        <w:rPr>
          <w:rFonts w:ascii="Times New Roman" w:hAnsi="Times New Roman" w:cs="Times New Roman"/>
          <w:sz w:val="24"/>
          <w:szCs w:val="24"/>
        </w:rPr>
      </w:pPr>
      <w:r w:rsidRPr="00D87A4C">
        <w:rPr>
          <w:rFonts w:ascii="Times New Roman" w:hAnsi="Times New Roman" w:cs="Times New Roman"/>
          <w:sz w:val="24"/>
          <w:szCs w:val="24"/>
        </w:rPr>
        <w:t xml:space="preserve">Auditor submission of ORR documentation </w:t>
      </w:r>
    </w:p>
    <w:p w:rsidR="00AF01A3" w:rsidRPr="00D87A4C" w:rsidP="00AF01A3" w14:paraId="06E53640" w14:textId="77777777">
      <w:pPr>
        <w:pStyle w:val="ListParagraph"/>
        <w:numPr>
          <w:ilvl w:val="0"/>
          <w:numId w:val="40"/>
        </w:numPr>
        <w:autoSpaceDE w:val="0"/>
        <w:autoSpaceDN w:val="0"/>
        <w:adjustRightInd w:val="0"/>
        <w:spacing w:after="0" w:line="240" w:lineRule="auto"/>
        <w:rPr>
          <w:rFonts w:ascii="Times New Roman" w:hAnsi="Times New Roman" w:cs="Times New Roman"/>
          <w:sz w:val="24"/>
          <w:szCs w:val="24"/>
        </w:rPr>
      </w:pPr>
      <w:r w:rsidRPr="00D87A4C">
        <w:rPr>
          <w:rFonts w:ascii="Times New Roman" w:hAnsi="Times New Roman" w:cs="Times New Roman"/>
          <w:sz w:val="24"/>
          <w:szCs w:val="24"/>
        </w:rPr>
        <w:t>Business Operations Specialist submission of an EDE documentation package and implementation of the standardized disclaimer</w:t>
      </w:r>
    </w:p>
    <w:p w:rsidR="00AF01A3" w:rsidRPr="00D87A4C" w14:paraId="1BAFF06E" w14:textId="77777777">
      <w:pPr>
        <w:pStyle w:val="ListParagraph"/>
        <w:numPr>
          <w:ilvl w:val="0"/>
          <w:numId w:val="40"/>
        </w:numPr>
        <w:autoSpaceDE w:val="0"/>
        <w:autoSpaceDN w:val="0"/>
        <w:adjustRightInd w:val="0"/>
        <w:spacing w:after="0" w:line="240" w:lineRule="auto"/>
        <w:rPr>
          <w:rFonts w:ascii="Times New Roman" w:hAnsi="Times New Roman" w:cs="Times New Roman"/>
          <w:sz w:val="24"/>
          <w:szCs w:val="24"/>
        </w:rPr>
      </w:pPr>
      <w:r w:rsidRPr="00D87A4C">
        <w:rPr>
          <w:rFonts w:ascii="Times New Roman" w:hAnsi="Times New Roman" w:cs="Times New Roman"/>
          <w:sz w:val="24"/>
          <w:szCs w:val="24"/>
        </w:rPr>
        <w:t>Web and Digital Interface Designer modification of the website to display the standardized disclaimer, creation of a separate plan display of each type of coverage, and implementation of website display changes communicated by CMS</w:t>
      </w:r>
    </w:p>
    <w:p w:rsidR="00AF01A3" w:rsidRPr="00D87A4C" w14:paraId="2F5356DA" w14:textId="77777777">
      <w:pPr>
        <w:pStyle w:val="ListParagraph"/>
        <w:numPr>
          <w:ilvl w:val="0"/>
          <w:numId w:val="40"/>
        </w:numPr>
        <w:autoSpaceDE w:val="0"/>
        <w:autoSpaceDN w:val="0"/>
        <w:adjustRightInd w:val="0"/>
        <w:spacing w:after="0" w:line="240" w:lineRule="auto"/>
        <w:rPr>
          <w:rFonts w:ascii="Times New Roman" w:hAnsi="Times New Roman" w:cs="Times New Roman"/>
          <w:sz w:val="24"/>
          <w:szCs w:val="24"/>
        </w:rPr>
      </w:pPr>
      <w:r w:rsidRPr="00D87A4C">
        <w:rPr>
          <w:rFonts w:ascii="Times New Roman" w:hAnsi="Times New Roman" w:cs="Times New Roman"/>
          <w:sz w:val="24"/>
          <w:szCs w:val="24"/>
        </w:rPr>
        <w:t xml:space="preserve">Compliance Officer submission of requests to deviate from the display on </w:t>
      </w:r>
      <w:r w:rsidRPr="00D87A4C">
        <w:rPr>
          <w:rFonts w:ascii="Times New Roman" w:hAnsi="Times New Roman" w:cs="Times New Roman"/>
          <w:i/>
          <w:iCs/>
          <w:sz w:val="24"/>
          <w:szCs w:val="24"/>
        </w:rPr>
        <w:t>HealthCare.gov</w:t>
      </w:r>
      <w:r w:rsidRPr="00D87A4C">
        <w:rPr>
          <w:rFonts w:ascii="Times New Roman" w:hAnsi="Times New Roman" w:cs="Times New Roman"/>
          <w:sz w:val="24"/>
          <w:szCs w:val="24"/>
        </w:rPr>
        <w:t xml:space="preserve"> and implementation of the application assister minimum standards </w:t>
      </w:r>
    </w:p>
    <w:p w:rsidR="002D5E3B" w:rsidRPr="004C5EF1" w:rsidP="00AF01A3" w14:paraId="31CA2F71" w14:textId="7377DB92">
      <w:pPr>
        <w:autoSpaceDE w:val="0"/>
        <w:autoSpaceDN w:val="0"/>
        <w:adjustRightInd w:val="0"/>
        <w:spacing w:after="0" w:line="240" w:lineRule="auto"/>
        <w:rPr>
          <w:rFonts w:ascii="Times New Roman" w:hAnsi="Times New Roman" w:cs="Times New Roman"/>
          <w:sz w:val="24"/>
          <w:szCs w:val="24"/>
        </w:rPr>
      </w:pPr>
      <w:r w:rsidRPr="00D87A4C">
        <w:rPr>
          <w:rFonts w:ascii="Times New Roman" w:hAnsi="Times New Roman" w:cs="Times New Roman"/>
          <w:sz w:val="24"/>
          <w:szCs w:val="24"/>
        </w:rPr>
        <w:t xml:space="preserve">Refer to </w:t>
      </w:r>
      <w:r w:rsidRPr="00D87A4C" w:rsidR="00AF01A3">
        <w:rPr>
          <w:rFonts w:ascii="Times New Roman" w:hAnsi="Times New Roman" w:cs="Times New Roman"/>
          <w:sz w:val="24"/>
          <w:szCs w:val="24"/>
        </w:rPr>
        <w:t xml:space="preserve">the burden estimates described in section 12 pertaining to the Federal costs associated with </w:t>
      </w:r>
      <w:r w:rsidRPr="00D87A4C">
        <w:rPr>
          <w:rFonts w:ascii="Times New Roman" w:hAnsi="Times New Roman" w:cs="Times New Roman"/>
          <w:sz w:val="24"/>
          <w:szCs w:val="24"/>
        </w:rPr>
        <w:t xml:space="preserve">sections 1.g., 1.e., 1.b., 1.k. and </w:t>
      </w:r>
      <w:r w:rsidRPr="00D87A4C" w:rsidR="00D86A54">
        <w:rPr>
          <w:rFonts w:ascii="Times New Roman" w:hAnsi="Times New Roman" w:cs="Times New Roman"/>
          <w:sz w:val="24"/>
          <w:szCs w:val="24"/>
        </w:rPr>
        <w:t>1.m</w:t>
      </w:r>
      <w:r w:rsidRPr="00D87A4C">
        <w:rPr>
          <w:rFonts w:ascii="Times New Roman" w:hAnsi="Times New Roman" w:cs="Times New Roman"/>
          <w:sz w:val="24"/>
          <w:szCs w:val="24"/>
        </w:rPr>
        <w:t xml:space="preserve"> for a detailed discussion of the</w:t>
      </w:r>
      <w:r w:rsidRPr="004C5EF1">
        <w:rPr>
          <w:rFonts w:ascii="Times New Roman" w:hAnsi="Times New Roman" w:cs="Times New Roman"/>
          <w:sz w:val="24"/>
          <w:szCs w:val="24"/>
        </w:rPr>
        <w:t xml:space="preserve"> anticipated costs for web-brokers to implement these policies.</w:t>
      </w:r>
      <w:r w:rsidR="00AF01A3">
        <w:rPr>
          <w:rFonts w:ascii="Times New Roman" w:hAnsi="Times New Roman" w:cs="Times New Roman"/>
          <w:sz w:val="24"/>
          <w:szCs w:val="24"/>
        </w:rPr>
        <w:t xml:space="preserve"> (See also Table </w:t>
      </w:r>
      <w:r w:rsidR="00852F8D">
        <w:rPr>
          <w:rFonts w:ascii="Times New Roman" w:hAnsi="Times New Roman" w:cs="Times New Roman"/>
          <w:sz w:val="24"/>
          <w:szCs w:val="24"/>
        </w:rPr>
        <w:t>3</w:t>
      </w:r>
      <w:r w:rsidR="00AF01A3">
        <w:rPr>
          <w:rFonts w:ascii="Times New Roman" w:hAnsi="Times New Roman" w:cs="Times New Roman"/>
          <w:sz w:val="24"/>
          <w:szCs w:val="24"/>
        </w:rPr>
        <w:t xml:space="preserve">, Table </w:t>
      </w:r>
      <w:r w:rsidR="00852F8D">
        <w:rPr>
          <w:rFonts w:ascii="Times New Roman" w:hAnsi="Times New Roman" w:cs="Times New Roman"/>
          <w:sz w:val="24"/>
          <w:szCs w:val="24"/>
        </w:rPr>
        <w:t>6</w:t>
      </w:r>
      <w:r w:rsidR="00AF01A3">
        <w:rPr>
          <w:rFonts w:ascii="Times New Roman" w:hAnsi="Times New Roman" w:cs="Times New Roman"/>
          <w:sz w:val="24"/>
          <w:szCs w:val="24"/>
        </w:rPr>
        <w:t xml:space="preserve">, Table </w:t>
      </w:r>
      <w:r w:rsidR="00852F8D">
        <w:rPr>
          <w:rFonts w:ascii="Times New Roman" w:hAnsi="Times New Roman" w:cs="Times New Roman"/>
          <w:sz w:val="24"/>
          <w:szCs w:val="24"/>
        </w:rPr>
        <w:t>8</w:t>
      </w:r>
      <w:r w:rsidR="00AF01A3">
        <w:rPr>
          <w:rFonts w:ascii="Times New Roman" w:hAnsi="Times New Roman" w:cs="Times New Roman"/>
          <w:sz w:val="24"/>
          <w:szCs w:val="24"/>
        </w:rPr>
        <w:t xml:space="preserve">, Table </w:t>
      </w:r>
      <w:r w:rsidR="00852F8D">
        <w:rPr>
          <w:rFonts w:ascii="Times New Roman" w:hAnsi="Times New Roman" w:cs="Times New Roman"/>
          <w:sz w:val="24"/>
          <w:szCs w:val="24"/>
        </w:rPr>
        <w:t>12</w:t>
      </w:r>
      <w:r w:rsidR="00AF01A3">
        <w:rPr>
          <w:rFonts w:ascii="Times New Roman" w:hAnsi="Times New Roman" w:cs="Times New Roman"/>
          <w:sz w:val="24"/>
          <w:szCs w:val="24"/>
        </w:rPr>
        <w:t xml:space="preserve">, and Table </w:t>
      </w:r>
      <w:r w:rsidR="00852F8D">
        <w:rPr>
          <w:rFonts w:ascii="Times New Roman" w:hAnsi="Times New Roman" w:cs="Times New Roman"/>
          <w:sz w:val="24"/>
          <w:szCs w:val="24"/>
        </w:rPr>
        <w:t>14</w:t>
      </w:r>
      <w:r w:rsidR="00AF01A3">
        <w:rPr>
          <w:rFonts w:ascii="Times New Roman" w:hAnsi="Times New Roman" w:cs="Times New Roman"/>
          <w:sz w:val="24"/>
          <w:szCs w:val="24"/>
        </w:rPr>
        <w:t>)</w:t>
      </w:r>
      <w:r w:rsidRPr="002D5E3B" w:rsidR="00AF01A3">
        <w:rPr>
          <w:rFonts w:ascii="Times New Roman" w:hAnsi="Times New Roman" w:cs="Times New Roman"/>
          <w:sz w:val="24"/>
          <w:szCs w:val="24"/>
        </w:rPr>
        <w:t>.</w:t>
      </w:r>
    </w:p>
    <w:p w:rsidR="00E92948" w:rsidP="00234238" w14:paraId="5ED137BB" w14:textId="77777777">
      <w:pPr>
        <w:autoSpaceDE w:val="0"/>
        <w:autoSpaceDN w:val="0"/>
        <w:adjustRightInd w:val="0"/>
        <w:spacing w:after="0" w:line="240" w:lineRule="auto"/>
        <w:rPr>
          <w:rFonts w:ascii="Times New Roman" w:hAnsi="Times New Roman" w:cs="Times New Roman"/>
          <w:sz w:val="24"/>
          <w:szCs w:val="24"/>
        </w:rPr>
      </w:pPr>
    </w:p>
    <w:p w:rsidR="00E92948" w:rsidP="00234238" w14:paraId="6E283161" w14:textId="4B20D90E">
      <w:pPr>
        <w:spacing w:after="0" w:line="246" w:lineRule="auto"/>
        <w:rPr>
          <w:rFonts w:ascii="Times New Roman" w:eastAsia="Times New Roman" w:hAnsi="Times New Roman" w:cs="Times New Roman"/>
          <w:spacing w:val="1"/>
          <w:sz w:val="24"/>
          <w:szCs w:val="24"/>
        </w:rPr>
      </w:pPr>
      <w:r w:rsidRPr="00393CE5">
        <w:rPr>
          <w:rFonts w:ascii="Times New Roman" w:eastAsia="Times New Roman" w:hAnsi="Times New Roman" w:cs="Times New Roman"/>
          <w:spacing w:val="1"/>
          <w:sz w:val="24"/>
          <w:szCs w:val="24"/>
        </w:rPr>
        <w:t xml:space="preserve">Table </w:t>
      </w:r>
      <w:r w:rsidR="00CE76D8">
        <w:rPr>
          <w:rFonts w:ascii="Times New Roman" w:eastAsia="Times New Roman" w:hAnsi="Times New Roman" w:cs="Times New Roman"/>
          <w:spacing w:val="1"/>
          <w:sz w:val="24"/>
          <w:szCs w:val="24"/>
        </w:rPr>
        <w:t xml:space="preserve">16 </w:t>
      </w:r>
      <w:r w:rsidRPr="00393CE5">
        <w:rPr>
          <w:rFonts w:ascii="Times New Roman" w:eastAsia="Times New Roman" w:hAnsi="Times New Roman" w:cs="Times New Roman"/>
          <w:spacing w:val="1"/>
          <w:sz w:val="24"/>
          <w:szCs w:val="24"/>
        </w:rPr>
        <w:t xml:space="preserve">below displays the burden for </w:t>
      </w:r>
      <w:r w:rsidR="0088090C">
        <w:rPr>
          <w:rFonts w:ascii="Times New Roman" w:eastAsia="Times New Roman" w:hAnsi="Times New Roman" w:cs="Times New Roman"/>
          <w:spacing w:val="1"/>
          <w:sz w:val="24"/>
          <w:szCs w:val="24"/>
        </w:rPr>
        <w:t xml:space="preserve">DE Entities </w:t>
      </w:r>
      <w:r w:rsidRPr="00393CE5">
        <w:rPr>
          <w:rFonts w:ascii="Times New Roman" w:eastAsia="Times New Roman" w:hAnsi="Times New Roman" w:cs="Times New Roman"/>
          <w:spacing w:val="1"/>
          <w:sz w:val="24"/>
          <w:szCs w:val="24"/>
        </w:rPr>
        <w:t xml:space="preserve">relating to these </w:t>
      </w:r>
      <w:r>
        <w:rPr>
          <w:rFonts w:ascii="Times New Roman" w:eastAsia="Times New Roman" w:hAnsi="Times New Roman" w:cs="Times New Roman"/>
          <w:spacing w:val="1"/>
          <w:sz w:val="24"/>
          <w:szCs w:val="24"/>
        </w:rPr>
        <w:t xml:space="preserve">proposed </w:t>
      </w:r>
      <w:r w:rsidRPr="00393CE5">
        <w:rPr>
          <w:rFonts w:ascii="Times New Roman" w:eastAsia="Times New Roman" w:hAnsi="Times New Roman" w:cs="Times New Roman"/>
          <w:spacing w:val="1"/>
          <w:sz w:val="24"/>
          <w:szCs w:val="24"/>
        </w:rPr>
        <w:t>regulatory provisions.</w:t>
      </w:r>
    </w:p>
    <w:p w:rsidR="00E92948" w:rsidRPr="003341CA" w:rsidP="00234238" w14:paraId="16FB55D8" w14:textId="77777777">
      <w:pPr>
        <w:spacing w:after="0" w:line="240" w:lineRule="auto"/>
        <w:rPr>
          <w:rFonts w:ascii="Times New Roman" w:eastAsia="Times New Roman" w:hAnsi="Times New Roman" w:cs="Times New Roman"/>
          <w:b/>
          <w:bCs/>
          <w:snapToGrid w:val="0"/>
          <w:sz w:val="24"/>
          <w:szCs w:val="24"/>
        </w:rPr>
      </w:pPr>
    </w:p>
    <w:p w:rsidR="00E92948" w:rsidRPr="003341CA" w:rsidP="00234238" w14:paraId="311B6958" w14:textId="4CC012CD">
      <w:pPr>
        <w:spacing w:after="0" w:line="240" w:lineRule="auto"/>
        <w:rPr>
          <w:rFonts w:ascii="Times New Roman" w:eastAsia="Times New Roman" w:hAnsi="Times New Roman" w:cs="Times New Roman"/>
          <w:b/>
          <w:bCs/>
          <w:snapToGrid w:val="0"/>
          <w:color w:val="FF0000"/>
          <w:sz w:val="24"/>
          <w:szCs w:val="24"/>
        </w:rPr>
      </w:pPr>
      <w:bookmarkStart w:id="78" w:name="_Hlk148538164"/>
      <w:r w:rsidRPr="003341CA">
        <w:rPr>
          <w:rFonts w:ascii="Times New Roman" w:eastAsia="Times New Roman" w:hAnsi="Times New Roman" w:cs="Times New Roman"/>
          <w:b/>
          <w:bCs/>
          <w:snapToGrid w:val="0"/>
          <w:sz w:val="24"/>
          <w:szCs w:val="24"/>
        </w:rPr>
        <w:t>Table</w:t>
      </w:r>
      <w:r w:rsidR="00CE76D8">
        <w:rPr>
          <w:rFonts w:ascii="Times New Roman" w:eastAsia="Times New Roman" w:hAnsi="Times New Roman" w:cs="Times New Roman"/>
          <w:b/>
          <w:bCs/>
          <w:snapToGrid w:val="0"/>
          <w:sz w:val="24"/>
          <w:szCs w:val="24"/>
        </w:rPr>
        <w:t>16</w:t>
      </w:r>
      <w:r w:rsidRPr="003341CA">
        <w:rPr>
          <w:rFonts w:ascii="Times New Roman" w:eastAsia="Times New Roman" w:hAnsi="Times New Roman" w:cs="Times New Roman"/>
          <w:b/>
          <w:bCs/>
          <w:snapToGrid w:val="0"/>
          <w:sz w:val="24"/>
          <w:szCs w:val="24"/>
        </w:rPr>
        <w:t xml:space="preserve">: Burden to </w:t>
      </w:r>
      <w:r w:rsidRPr="003341CA" w:rsidR="0088090C">
        <w:rPr>
          <w:rFonts w:ascii="Times New Roman" w:eastAsia="Times New Roman" w:hAnsi="Times New Roman" w:cs="Times New Roman"/>
          <w:b/>
          <w:bCs/>
          <w:snapToGrid w:val="0"/>
          <w:sz w:val="24"/>
          <w:szCs w:val="24"/>
        </w:rPr>
        <w:t xml:space="preserve">DE Entities </w:t>
      </w:r>
      <w:r w:rsidRPr="003341CA" w:rsidR="00206922">
        <w:rPr>
          <w:rFonts w:ascii="Times New Roman" w:eastAsia="Times New Roman" w:hAnsi="Times New Roman" w:cs="Times New Roman"/>
          <w:b/>
          <w:bCs/>
          <w:snapToGrid w:val="0"/>
          <w:sz w:val="24"/>
          <w:szCs w:val="24"/>
        </w:rPr>
        <w:t>to Implement</w:t>
      </w:r>
      <w:r w:rsidRPr="003341CA">
        <w:rPr>
          <w:rFonts w:ascii="Times New Roman" w:eastAsia="Times New Roman" w:hAnsi="Times New Roman" w:cs="Times New Roman"/>
          <w:b/>
          <w:bCs/>
          <w:snapToGrid w:val="0"/>
          <w:sz w:val="24"/>
          <w:szCs w:val="24"/>
        </w:rPr>
        <w:t xml:space="preserve"> </w:t>
      </w:r>
      <w:r w:rsidRPr="003341CA" w:rsidR="00D05C79">
        <w:rPr>
          <w:rFonts w:ascii="Times New Roman" w:eastAsia="Times New Roman" w:hAnsi="Times New Roman" w:cs="Times New Roman"/>
          <w:b/>
          <w:bCs/>
          <w:snapToGrid w:val="0"/>
          <w:sz w:val="24"/>
          <w:szCs w:val="24"/>
        </w:rPr>
        <w:t>Application to State Exchanges</w:t>
      </w:r>
    </w:p>
    <w:p w:rsidR="00542411" w:rsidP="00E92948" w14:paraId="5A4C0BD7" w14:textId="77777777">
      <w:pPr>
        <w:autoSpaceDE w:val="0"/>
        <w:autoSpaceDN w:val="0"/>
        <w:adjustRightInd w:val="0"/>
        <w:spacing w:after="0" w:line="240" w:lineRule="auto"/>
        <w:rPr>
          <w:rFonts w:ascii="Times New Roman" w:hAnsi="Times New Roman" w:cs="Times New Roman"/>
          <w:sz w:val="24"/>
          <w:szCs w:val="24"/>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45"/>
        <w:gridCol w:w="1440"/>
        <w:gridCol w:w="1710"/>
        <w:gridCol w:w="1080"/>
        <w:gridCol w:w="1530"/>
        <w:gridCol w:w="1620"/>
      </w:tblGrid>
      <w:tr w14:paraId="557FBA73" w14:textId="77777777" w:rsidTr="00615AFC">
        <w:tblPrEx>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90"/>
        </w:trPr>
        <w:tc>
          <w:tcPr>
            <w:tcW w:w="2245" w:type="dxa"/>
            <w:shd w:val="clear" w:color="auto" w:fill="auto"/>
            <w:vAlign w:val="center"/>
            <w:hideMark/>
          </w:tcPr>
          <w:p w:rsidR="00650DDE" w:rsidRPr="00805A00" w:rsidP="00650DDE" w14:paraId="27DA93C6" w14:textId="77777777">
            <w:pPr>
              <w:widowControl/>
              <w:spacing w:after="0" w:line="240" w:lineRule="auto"/>
              <w:rPr>
                <w:rFonts w:ascii="Times New Roman" w:eastAsia="Times New Roman" w:hAnsi="Times New Roman" w:cs="Times New Roman"/>
                <w:b/>
                <w:bCs/>
                <w:sz w:val="24"/>
                <w:szCs w:val="24"/>
              </w:rPr>
            </w:pPr>
            <w:r w:rsidRPr="00805A00">
              <w:rPr>
                <w:rFonts w:ascii="Times New Roman" w:eastAsia="Times New Roman" w:hAnsi="Times New Roman" w:cs="Times New Roman"/>
                <w:b/>
                <w:bCs/>
                <w:sz w:val="24"/>
                <w:szCs w:val="24"/>
              </w:rPr>
              <w:t>Labor Category</w:t>
            </w:r>
          </w:p>
        </w:tc>
        <w:tc>
          <w:tcPr>
            <w:tcW w:w="1440" w:type="dxa"/>
            <w:shd w:val="clear" w:color="auto" w:fill="auto"/>
            <w:hideMark/>
          </w:tcPr>
          <w:p w:rsidR="00650DDE" w:rsidRPr="00A83073" w:rsidP="00650DDE" w14:paraId="631682FB" w14:textId="77777777">
            <w:pPr>
              <w:spacing w:after="0" w:line="240" w:lineRule="auto"/>
              <w:ind w:left="-110" w:right="-110"/>
              <w:jc w:val="center"/>
              <w:rPr>
                <w:rFonts w:ascii="Times New Roman" w:eastAsia="Times New Roman" w:hAnsi="Times New Roman" w:cs="Times New Roman"/>
                <w:b/>
                <w:bCs/>
                <w:sz w:val="24"/>
                <w:szCs w:val="24"/>
              </w:rPr>
            </w:pPr>
            <w:r w:rsidRPr="00A83073">
              <w:rPr>
                <w:rFonts w:ascii="Times New Roman" w:eastAsia="Times New Roman" w:hAnsi="Times New Roman" w:cs="Times New Roman"/>
                <w:b/>
                <w:bCs/>
                <w:sz w:val="24"/>
                <w:szCs w:val="24"/>
              </w:rPr>
              <w:t>Numb</w:t>
            </w:r>
            <w:r w:rsidRPr="00A83073">
              <w:rPr>
                <w:rFonts w:ascii="Times New Roman" w:eastAsia="Times New Roman" w:hAnsi="Times New Roman" w:cs="Times New Roman"/>
                <w:b/>
                <w:bCs/>
                <w:spacing w:val="-1"/>
                <w:sz w:val="24"/>
                <w:szCs w:val="24"/>
              </w:rPr>
              <w:t>e</w:t>
            </w:r>
            <w:r w:rsidRPr="00A83073">
              <w:rPr>
                <w:rFonts w:ascii="Times New Roman" w:eastAsia="Times New Roman" w:hAnsi="Times New Roman" w:cs="Times New Roman"/>
                <w:b/>
                <w:bCs/>
                <w:sz w:val="24"/>
                <w:szCs w:val="24"/>
              </w:rPr>
              <w:t>r</w:t>
            </w:r>
            <w:r w:rsidRPr="00A83073">
              <w:rPr>
                <w:rFonts w:ascii="Times New Roman" w:eastAsia="Times New Roman" w:hAnsi="Times New Roman" w:cs="Times New Roman"/>
                <w:b/>
                <w:bCs/>
                <w:spacing w:val="-1"/>
                <w:sz w:val="24"/>
                <w:szCs w:val="24"/>
              </w:rPr>
              <w:t xml:space="preserve"> </w:t>
            </w:r>
            <w:r w:rsidRPr="00A83073">
              <w:rPr>
                <w:rFonts w:ascii="Times New Roman" w:eastAsia="Times New Roman" w:hAnsi="Times New Roman" w:cs="Times New Roman"/>
                <w:b/>
                <w:bCs/>
                <w:sz w:val="24"/>
                <w:szCs w:val="24"/>
              </w:rPr>
              <w:t>of</w:t>
            </w:r>
          </w:p>
          <w:p w:rsidR="00650DDE" w:rsidRPr="00805A00" w:rsidP="00650DDE" w14:paraId="0763C97B" w14:textId="71ABBBA9">
            <w:pPr>
              <w:widowControl/>
              <w:spacing w:after="0" w:line="240" w:lineRule="auto"/>
              <w:ind w:left="-110" w:right="-110"/>
              <w:jc w:val="center"/>
              <w:rPr>
                <w:rFonts w:ascii="Times New Roman" w:eastAsia="Times New Roman" w:hAnsi="Times New Roman" w:cs="Times New Roman"/>
                <w:b/>
                <w:bCs/>
                <w:sz w:val="24"/>
                <w:szCs w:val="24"/>
              </w:rPr>
            </w:pPr>
            <w:r w:rsidRPr="00A83073">
              <w:rPr>
                <w:rFonts w:ascii="Times New Roman" w:eastAsia="Times New Roman" w:hAnsi="Times New Roman" w:cs="Times New Roman"/>
                <w:b/>
                <w:bCs/>
                <w:sz w:val="24"/>
                <w:szCs w:val="24"/>
              </w:rPr>
              <w:t>Respondents</w:t>
            </w:r>
          </w:p>
        </w:tc>
        <w:tc>
          <w:tcPr>
            <w:tcW w:w="1710" w:type="dxa"/>
            <w:shd w:val="clear" w:color="auto" w:fill="auto"/>
            <w:hideMark/>
          </w:tcPr>
          <w:p w:rsidR="00650DDE" w:rsidRPr="00805A00" w:rsidP="00650DDE" w14:paraId="1A353027" w14:textId="33DCB50F">
            <w:pPr>
              <w:widowControl/>
              <w:spacing w:after="0" w:line="240" w:lineRule="auto"/>
              <w:ind w:left="-110" w:right="-110"/>
              <w:jc w:val="center"/>
              <w:rPr>
                <w:rFonts w:ascii="Times New Roman" w:eastAsia="Times New Roman" w:hAnsi="Times New Roman" w:cs="Times New Roman"/>
                <w:b/>
                <w:bCs/>
                <w:sz w:val="24"/>
                <w:szCs w:val="24"/>
              </w:rPr>
            </w:pPr>
            <w:r w:rsidRPr="00A83073">
              <w:rPr>
                <w:rFonts w:ascii="Times New Roman" w:eastAsia="Times New Roman" w:hAnsi="Times New Roman" w:cs="Times New Roman"/>
                <w:b/>
                <w:bCs/>
                <w:sz w:val="24"/>
                <w:szCs w:val="24"/>
              </w:rPr>
              <w:t>Hou</w:t>
            </w:r>
            <w:r w:rsidRPr="00A83073">
              <w:rPr>
                <w:rFonts w:ascii="Times New Roman" w:eastAsia="Times New Roman" w:hAnsi="Times New Roman" w:cs="Times New Roman"/>
                <w:b/>
                <w:bCs/>
                <w:spacing w:val="-1"/>
                <w:sz w:val="24"/>
                <w:szCs w:val="24"/>
              </w:rPr>
              <w:t>r</w:t>
            </w:r>
            <w:r w:rsidRPr="00A83073">
              <w:rPr>
                <w:rFonts w:ascii="Times New Roman" w:eastAsia="Times New Roman" w:hAnsi="Times New Roman" w:cs="Times New Roman"/>
                <w:b/>
                <w:bCs/>
                <w:sz w:val="24"/>
                <w:szCs w:val="24"/>
              </w:rPr>
              <w:t>ly</w:t>
            </w:r>
            <w:r w:rsidRPr="00A83073">
              <w:rPr>
                <w:rFonts w:ascii="Times New Roman" w:eastAsia="Times New Roman" w:hAnsi="Times New Roman" w:cs="Times New Roman"/>
                <w:b/>
                <w:bCs/>
                <w:spacing w:val="-7"/>
                <w:sz w:val="24"/>
                <w:szCs w:val="24"/>
              </w:rPr>
              <w:t xml:space="preserve"> </w:t>
            </w:r>
            <w:r w:rsidRPr="00A83073">
              <w:rPr>
                <w:rFonts w:ascii="Times New Roman" w:eastAsia="Times New Roman" w:hAnsi="Times New Roman" w:cs="Times New Roman"/>
                <w:b/>
                <w:bCs/>
                <w:spacing w:val="-5"/>
                <w:sz w:val="24"/>
                <w:szCs w:val="24"/>
              </w:rPr>
              <w:t>L</w:t>
            </w:r>
            <w:r w:rsidRPr="00A83073">
              <w:rPr>
                <w:rFonts w:ascii="Times New Roman" w:eastAsia="Times New Roman" w:hAnsi="Times New Roman" w:cs="Times New Roman"/>
                <w:b/>
                <w:bCs/>
                <w:spacing w:val="-1"/>
                <w:sz w:val="24"/>
                <w:szCs w:val="24"/>
              </w:rPr>
              <w:t>a</w:t>
            </w:r>
            <w:r w:rsidRPr="00A83073">
              <w:rPr>
                <w:rFonts w:ascii="Times New Roman" w:eastAsia="Times New Roman" w:hAnsi="Times New Roman" w:cs="Times New Roman"/>
                <w:b/>
                <w:bCs/>
                <w:sz w:val="24"/>
                <w:szCs w:val="24"/>
              </w:rPr>
              <w:t xml:space="preserve">bor </w:t>
            </w:r>
            <w:r w:rsidRPr="00A83073">
              <w:rPr>
                <w:rFonts w:ascii="Times New Roman" w:eastAsia="Times New Roman" w:hAnsi="Times New Roman" w:cs="Times New Roman"/>
                <w:b/>
                <w:bCs/>
                <w:spacing w:val="1"/>
                <w:sz w:val="24"/>
                <w:szCs w:val="24"/>
              </w:rPr>
              <w:t>C</w:t>
            </w:r>
            <w:r w:rsidRPr="00A83073">
              <w:rPr>
                <w:rFonts w:ascii="Times New Roman" w:eastAsia="Times New Roman" w:hAnsi="Times New Roman" w:cs="Times New Roman"/>
                <w:b/>
                <w:bCs/>
                <w:sz w:val="24"/>
                <w:szCs w:val="24"/>
              </w:rPr>
              <w:t xml:space="preserve">osts </w:t>
            </w:r>
            <w:r w:rsidRPr="00A83073">
              <w:rPr>
                <w:rFonts w:ascii="Times New Roman" w:eastAsia="Times New Roman" w:hAnsi="Times New Roman" w:cs="Times New Roman"/>
                <w:b/>
                <w:bCs/>
                <w:spacing w:val="-1"/>
                <w:sz w:val="24"/>
                <w:szCs w:val="24"/>
              </w:rPr>
              <w:t>(</w:t>
            </w:r>
            <w:r w:rsidRPr="00A83073">
              <w:rPr>
                <w:rFonts w:ascii="Times New Roman" w:eastAsia="Times New Roman" w:hAnsi="Times New Roman" w:cs="Times New Roman"/>
                <w:b/>
                <w:bCs/>
                <w:sz w:val="24"/>
                <w:szCs w:val="24"/>
              </w:rPr>
              <w:t>Hou</w:t>
            </w:r>
            <w:r w:rsidRPr="00A83073">
              <w:rPr>
                <w:rFonts w:ascii="Times New Roman" w:eastAsia="Times New Roman" w:hAnsi="Times New Roman" w:cs="Times New Roman"/>
                <w:b/>
                <w:bCs/>
                <w:spacing w:val="-1"/>
                <w:sz w:val="24"/>
                <w:szCs w:val="24"/>
              </w:rPr>
              <w:t>r</w:t>
            </w:r>
            <w:r w:rsidRPr="00A83073">
              <w:rPr>
                <w:rFonts w:ascii="Times New Roman" w:eastAsia="Times New Roman" w:hAnsi="Times New Roman" w:cs="Times New Roman"/>
                <w:b/>
                <w:bCs/>
                <w:sz w:val="24"/>
                <w:szCs w:val="24"/>
              </w:rPr>
              <w:t xml:space="preserve">ly </w:t>
            </w:r>
            <w:r w:rsidRPr="00A83073">
              <w:rPr>
                <w:rFonts w:ascii="Times New Roman" w:eastAsia="Times New Roman" w:hAnsi="Times New Roman" w:cs="Times New Roman"/>
                <w:b/>
                <w:bCs/>
                <w:spacing w:val="-1"/>
                <w:sz w:val="24"/>
                <w:szCs w:val="24"/>
              </w:rPr>
              <w:t>ra</w:t>
            </w:r>
            <w:r w:rsidRPr="00A83073">
              <w:rPr>
                <w:rFonts w:ascii="Times New Roman" w:eastAsia="Times New Roman" w:hAnsi="Times New Roman" w:cs="Times New Roman"/>
                <w:b/>
                <w:bCs/>
                <w:sz w:val="24"/>
                <w:szCs w:val="24"/>
              </w:rPr>
              <w:t>te</w:t>
            </w:r>
            <w:r w:rsidRPr="00A83073">
              <w:rPr>
                <w:rFonts w:ascii="Times New Roman" w:eastAsia="Times New Roman" w:hAnsi="Times New Roman" w:cs="Times New Roman"/>
                <w:b/>
                <w:bCs/>
                <w:spacing w:val="-1"/>
                <w:sz w:val="24"/>
                <w:szCs w:val="24"/>
              </w:rPr>
              <w:t xml:space="preserve"> </w:t>
            </w:r>
            <w:r w:rsidRPr="00A83073">
              <w:rPr>
                <w:rFonts w:ascii="Times New Roman" w:eastAsia="Times New Roman" w:hAnsi="Times New Roman" w:cs="Times New Roman"/>
                <w:b/>
                <w:bCs/>
                <w:sz w:val="24"/>
                <w:szCs w:val="24"/>
              </w:rPr>
              <w:t>+</w:t>
            </w:r>
            <w:r w:rsidRPr="00A83073">
              <w:rPr>
                <w:rFonts w:ascii="Times New Roman" w:eastAsia="Times New Roman" w:hAnsi="Times New Roman" w:cs="Times New Roman"/>
                <w:b/>
                <w:bCs/>
                <w:spacing w:val="-1"/>
                <w:sz w:val="24"/>
                <w:szCs w:val="24"/>
              </w:rPr>
              <w:t xml:space="preserve"> </w:t>
            </w:r>
            <w:r w:rsidRPr="00A83073">
              <w:rPr>
                <w:rFonts w:ascii="Times New Roman" w:eastAsia="Times New Roman" w:hAnsi="Times New Roman" w:cs="Times New Roman"/>
                <w:b/>
                <w:bCs/>
                <w:sz w:val="24"/>
                <w:szCs w:val="24"/>
              </w:rPr>
              <w:t xml:space="preserve">100% </w:t>
            </w:r>
            <w:r w:rsidRPr="00A83073">
              <w:rPr>
                <w:rFonts w:ascii="Times New Roman" w:eastAsia="Times New Roman" w:hAnsi="Times New Roman" w:cs="Times New Roman"/>
                <w:b/>
                <w:bCs/>
                <w:spacing w:val="-1"/>
                <w:sz w:val="24"/>
                <w:szCs w:val="24"/>
              </w:rPr>
              <w:t>Fr</w:t>
            </w:r>
            <w:r w:rsidRPr="00A83073">
              <w:rPr>
                <w:rFonts w:ascii="Times New Roman" w:eastAsia="Times New Roman" w:hAnsi="Times New Roman" w:cs="Times New Roman"/>
                <w:b/>
                <w:bCs/>
                <w:sz w:val="24"/>
                <w:szCs w:val="24"/>
              </w:rPr>
              <w:t>in</w:t>
            </w:r>
            <w:r w:rsidRPr="00A83073">
              <w:rPr>
                <w:rFonts w:ascii="Times New Roman" w:eastAsia="Times New Roman" w:hAnsi="Times New Roman" w:cs="Times New Roman"/>
                <w:b/>
                <w:bCs/>
                <w:spacing w:val="-2"/>
                <w:sz w:val="24"/>
                <w:szCs w:val="24"/>
              </w:rPr>
              <w:t>g</w:t>
            </w:r>
            <w:r w:rsidRPr="00A83073">
              <w:rPr>
                <w:rFonts w:ascii="Times New Roman" w:eastAsia="Times New Roman" w:hAnsi="Times New Roman" w:cs="Times New Roman"/>
                <w:b/>
                <w:bCs/>
                <w:sz w:val="24"/>
                <w:szCs w:val="24"/>
              </w:rPr>
              <w:t>e</w:t>
            </w:r>
            <w:r w:rsidRPr="00A83073">
              <w:rPr>
                <w:rFonts w:ascii="Times New Roman" w:eastAsia="Times New Roman" w:hAnsi="Times New Roman" w:cs="Times New Roman"/>
                <w:b/>
                <w:bCs/>
                <w:spacing w:val="-1"/>
                <w:sz w:val="24"/>
                <w:szCs w:val="24"/>
              </w:rPr>
              <w:t xml:space="preserve"> </w:t>
            </w:r>
            <w:r w:rsidRPr="00A83073">
              <w:rPr>
                <w:rFonts w:ascii="Times New Roman" w:eastAsia="Times New Roman" w:hAnsi="Times New Roman" w:cs="Times New Roman"/>
                <w:b/>
                <w:bCs/>
                <w:sz w:val="24"/>
                <w:szCs w:val="24"/>
              </w:rPr>
              <w:t>b</w:t>
            </w:r>
            <w:r w:rsidRPr="00A83073">
              <w:rPr>
                <w:rFonts w:ascii="Times New Roman" w:eastAsia="Times New Roman" w:hAnsi="Times New Roman" w:cs="Times New Roman"/>
                <w:b/>
                <w:bCs/>
                <w:spacing w:val="-1"/>
                <w:sz w:val="24"/>
                <w:szCs w:val="24"/>
              </w:rPr>
              <w:t>e</w:t>
            </w:r>
            <w:r w:rsidRPr="00A83073">
              <w:rPr>
                <w:rFonts w:ascii="Times New Roman" w:eastAsia="Times New Roman" w:hAnsi="Times New Roman" w:cs="Times New Roman"/>
                <w:b/>
                <w:bCs/>
                <w:sz w:val="24"/>
                <w:szCs w:val="24"/>
              </w:rPr>
              <w:t>n</w:t>
            </w:r>
            <w:r w:rsidRPr="00A83073">
              <w:rPr>
                <w:rFonts w:ascii="Times New Roman" w:eastAsia="Times New Roman" w:hAnsi="Times New Roman" w:cs="Times New Roman"/>
                <w:b/>
                <w:bCs/>
                <w:spacing w:val="-1"/>
                <w:sz w:val="24"/>
                <w:szCs w:val="24"/>
              </w:rPr>
              <w:t>ef</w:t>
            </w:r>
            <w:r w:rsidRPr="00A83073">
              <w:rPr>
                <w:rFonts w:ascii="Times New Roman" w:eastAsia="Times New Roman" w:hAnsi="Times New Roman" w:cs="Times New Roman"/>
                <w:b/>
                <w:bCs/>
                <w:sz w:val="24"/>
                <w:szCs w:val="24"/>
              </w:rPr>
              <w:t>its)</w:t>
            </w:r>
          </w:p>
        </w:tc>
        <w:tc>
          <w:tcPr>
            <w:tcW w:w="1080" w:type="dxa"/>
            <w:shd w:val="clear" w:color="auto" w:fill="auto"/>
            <w:hideMark/>
          </w:tcPr>
          <w:p w:rsidR="00650DDE" w:rsidRPr="00A83073" w:rsidP="00650DDE" w14:paraId="62B0B4FE" w14:textId="77777777">
            <w:pPr>
              <w:spacing w:after="0" w:line="240" w:lineRule="auto"/>
              <w:ind w:left="-110" w:right="-110"/>
              <w:jc w:val="center"/>
              <w:rPr>
                <w:rFonts w:ascii="Times New Roman" w:eastAsia="Times New Roman" w:hAnsi="Times New Roman" w:cs="Times New Roman"/>
                <w:b/>
                <w:bCs/>
                <w:sz w:val="24"/>
                <w:szCs w:val="24"/>
              </w:rPr>
            </w:pPr>
            <w:r w:rsidRPr="00A83073">
              <w:rPr>
                <w:rFonts w:ascii="Times New Roman" w:eastAsia="Times New Roman" w:hAnsi="Times New Roman" w:cs="Times New Roman"/>
                <w:b/>
                <w:bCs/>
                <w:spacing w:val="-2"/>
                <w:sz w:val="24"/>
                <w:szCs w:val="24"/>
              </w:rPr>
              <w:t>B</w:t>
            </w:r>
            <w:r w:rsidRPr="00A83073">
              <w:rPr>
                <w:rFonts w:ascii="Times New Roman" w:eastAsia="Times New Roman" w:hAnsi="Times New Roman" w:cs="Times New Roman"/>
                <w:b/>
                <w:bCs/>
                <w:sz w:val="24"/>
                <w:szCs w:val="24"/>
              </w:rPr>
              <w:t>u</w:t>
            </w:r>
            <w:r w:rsidRPr="00A83073">
              <w:rPr>
                <w:rFonts w:ascii="Times New Roman" w:eastAsia="Times New Roman" w:hAnsi="Times New Roman" w:cs="Times New Roman"/>
                <w:b/>
                <w:bCs/>
                <w:spacing w:val="-1"/>
                <w:sz w:val="24"/>
                <w:szCs w:val="24"/>
              </w:rPr>
              <w:t>r</w:t>
            </w:r>
            <w:r w:rsidRPr="00A83073">
              <w:rPr>
                <w:rFonts w:ascii="Times New Roman" w:eastAsia="Times New Roman" w:hAnsi="Times New Roman" w:cs="Times New Roman"/>
                <w:b/>
                <w:bCs/>
                <w:sz w:val="24"/>
                <w:szCs w:val="24"/>
              </w:rPr>
              <w:t>d</w:t>
            </w:r>
            <w:r w:rsidRPr="00A83073">
              <w:rPr>
                <w:rFonts w:ascii="Times New Roman" w:eastAsia="Times New Roman" w:hAnsi="Times New Roman" w:cs="Times New Roman"/>
                <w:b/>
                <w:bCs/>
                <w:spacing w:val="-1"/>
                <w:sz w:val="24"/>
                <w:szCs w:val="24"/>
              </w:rPr>
              <w:t>e</w:t>
            </w:r>
            <w:r w:rsidRPr="00A83073">
              <w:rPr>
                <w:rFonts w:ascii="Times New Roman" w:eastAsia="Times New Roman" w:hAnsi="Times New Roman" w:cs="Times New Roman"/>
                <w:b/>
                <w:bCs/>
                <w:sz w:val="24"/>
                <w:szCs w:val="24"/>
              </w:rPr>
              <w:t>n</w:t>
            </w:r>
          </w:p>
          <w:p w:rsidR="00650DDE" w:rsidRPr="006904AC" w:rsidP="00650DDE" w14:paraId="0585120D" w14:textId="67761E26">
            <w:pPr>
              <w:widowControl/>
              <w:spacing w:after="0" w:line="240" w:lineRule="auto"/>
              <w:ind w:left="-110" w:right="-110"/>
              <w:jc w:val="center"/>
              <w:rPr>
                <w:rFonts w:ascii="Times New Roman" w:eastAsia="Times New Roman" w:hAnsi="Times New Roman" w:cs="Times New Roman"/>
                <w:b/>
                <w:bCs/>
                <w:sz w:val="24"/>
                <w:szCs w:val="24"/>
                <w:vertAlign w:val="superscript"/>
              </w:rPr>
            </w:pPr>
            <w:r w:rsidRPr="00A83073">
              <w:rPr>
                <w:rFonts w:ascii="Times New Roman" w:eastAsia="Times New Roman" w:hAnsi="Times New Roman" w:cs="Times New Roman"/>
                <w:b/>
                <w:bCs/>
                <w:sz w:val="24"/>
                <w:szCs w:val="24"/>
              </w:rPr>
              <w:t>Hou</w:t>
            </w:r>
            <w:r w:rsidRPr="00A83073">
              <w:rPr>
                <w:rFonts w:ascii="Times New Roman" w:eastAsia="Times New Roman" w:hAnsi="Times New Roman" w:cs="Times New Roman"/>
                <w:b/>
                <w:bCs/>
                <w:spacing w:val="-1"/>
                <w:sz w:val="24"/>
                <w:szCs w:val="24"/>
              </w:rPr>
              <w:t>r</w:t>
            </w:r>
            <w:r w:rsidRPr="00A83073">
              <w:rPr>
                <w:rFonts w:ascii="Times New Roman" w:eastAsia="Times New Roman" w:hAnsi="Times New Roman" w:cs="Times New Roman"/>
                <w:b/>
                <w:bCs/>
                <w:sz w:val="24"/>
                <w:szCs w:val="24"/>
              </w:rPr>
              <w:t>s</w:t>
            </w:r>
            <w:r w:rsidR="00D055D2">
              <w:rPr>
                <w:rFonts w:ascii="Times New Roman" w:eastAsia="Times New Roman" w:hAnsi="Times New Roman" w:cs="Times New Roman"/>
                <w:b/>
                <w:bCs/>
                <w:sz w:val="24"/>
                <w:szCs w:val="24"/>
                <w:vertAlign w:val="superscript"/>
              </w:rPr>
              <w:t>a</w:t>
            </w:r>
          </w:p>
        </w:tc>
        <w:tc>
          <w:tcPr>
            <w:tcW w:w="1530" w:type="dxa"/>
            <w:shd w:val="clear" w:color="auto" w:fill="auto"/>
            <w:hideMark/>
          </w:tcPr>
          <w:p w:rsidR="00650DDE" w:rsidRPr="00A83073" w:rsidP="00650DDE" w14:paraId="445877FB" w14:textId="77777777">
            <w:pPr>
              <w:spacing w:after="0" w:line="240" w:lineRule="auto"/>
              <w:ind w:left="-110" w:right="-110"/>
              <w:jc w:val="center"/>
              <w:rPr>
                <w:rFonts w:ascii="Times New Roman" w:eastAsia="Times New Roman" w:hAnsi="Times New Roman" w:cs="Times New Roman"/>
                <w:b/>
                <w:bCs/>
                <w:sz w:val="24"/>
                <w:szCs w:val="24"/>
              </w:rPr>
            </w:pPr>
            <w:r w:rsidRPr="00A83073">
              <w:rPr>
                <w:rFonts w:ascii="Times New Roman" w:eastAsia="Times New Roman" w:hAnsi="Times New Roman" w:cs="Times New Roman"/>
                <w:b/>
                <w:bCs/>
                <w:sz w:val="24"/>
                <w:szCs w:val="24"/>
              </w:rPr>
              <w:t>Tot</w:t>
            </w:r>
            <w:r w:rsidRPr="00A83073">
              <w:rPr>
                <w:rFonts w:ascii="Times New Roman" w:eastAsia="Times New Roman" w:hAnsi="Times New Roman" w:cs="Times New Roman"/>
                <w:b/>
                <w:bCs/>
                <w:spacing w:val="-1"/>
                <w:sz w:val="24"/>
                <w:szCs w:val="24"/>
              </w:rPr>
              <w:t>a</w:t>
            </w:r>
            <w:r w:rsidRPr="00A83073">
              <w:rPr>
                <w:rFonts w:ascii="Times New Roman" w:eastAsia="Times New Roman" w:hAnsi="Times New Roman" w:cs="Times New Roman"/>
                <w:b/>
                <w:bCs/>
                <w:sz w:val="24"/>
                <w:szCs w:val="24"/>
              </w:rPr>
              <w:t xml:space="preserve">l </w:t>
            </w:r>
            <w:r w:rsidRPr="00A83073">
              <w:rPr>
                <w:rFonts w:ascii="Times New Roman" w:eastAsia="Times New Roman" w:hAnsi="Times New Roman" w:cs="Times New Roman"/>
                <w:b/>
                <w:bCs/>
                <w:spacing w:val="-2"/>
                <w:sz w:val="24"/>
                <w:szCs w:val="24"/>
              </w:rPr>
              <w:t>B</w:t>
            </w:r>
            <w:r w:rsidRPr="00A83073">
              <w:rPr>
                <w:rFonts w:ascii="Times New Roman" w:eastAsia="Times New Roman" w:hAnsi="Times New Roman" w:cs="Times New Roman"/>
                <w:b/>
                <w:bCs/>
                <w:sz w:val="24"/>
                <w:szCs w:val="24"/>
              </w:rPr>
              <w:t>u</w:t>
            </w:r>
            <w:r w:rsidRPr="00A83073">
              <w:rPr>
                <w:rFonts w:ascii="Times New Roman" w:eastAsia="Times New Roman" w:hAnsi="Times New Roman" w:cs="Times New Roman"/>
                <w:b/>
                <w:bCs/>
                <w:spacing w:val="-1"/>
                <w:sz w:val="24"/>
                <w:szCs w:val="24"/>
              </w:rPr>
              <w:t>r</w:t>
            </w:r>
            <w:r w:rsidRPr="00A83073">
              <w:rPr>
                <w:rFonts w:ascii="Times New Roman" w:eastAsia="Times New Roman" w:hAnsi="Times New Roman" w:cs="Times New Roman"/>
                <w:b/>
                <w:bCs/>
                <w:sz w:val="24"/>
                <w:szCs w:val="24"/>
              </w:rPr>
              <w:t>d</w:t>
            </w:r>
            <w:r w:rsidRPr="00A83073">
              <w:rPr>
                <w:rFonts w:ascii="Times New Roman" w:eastAsia="Times New Roman" w:hAnsi="Times New Roman" w:cs="Times New Roman"/>
                <w:b/>
                <w:bCs/>
                <w:spacing w:val="-1"/>
                <w:sz w:val="24"/>
                <w:szCs w:val="24"/>
              </w:rPr>
              <w:t>e</w:t>
            </w:r>
            <w:r w:rsidRPr="00A83073">
              <w:rPr>
                <w:rFonts w:ascii="Times New Roman" w:eastAsia="Times New Roman" w:hAnsi="Times New Roman" w:cs="Times New Roman"/>
                <w:b/>
                <w:bCs/>
                <w:sz w:val="24"/>
                <w:szCs w:val="24"/>
              </w:rPr>
              <w:t>n</w:t>
            </w:r>
          </w:p>
          <w:p w:rsidR="00650DDE" w:rsidRPr="00805A00" w:rsidP="00650DDE" w14:paraId="5D1233F2" w14:textId="10FFA07E">
            <w:pPr>
              <w:widowControl/>
              <w:spacing w:after="0" w:line="240" w:lineRule="auto"/>
              <w:ind w:left="-110" w:right="-110"/>
              <w:jc w:val="center"/>
              <w:rPr>
                <w:rFonts w:ascii="Times New Roman" w:eastAsia="Times New Roman" w:hAnsi="Times New Roman" w:cs="Times New Roman"/>
                <w:b/>
                <w:bCs/>
                <w:sz w:val="24"/>
                <w:szCs w:val="24"/>
              </w:rPr>
            </w:pPr>
            <w:r w:rsidRPr="00A83073">
              <w:rPr>
                <w:rFonts w:ascii="Times New Roman" w:eastAsia="Times New Roman" w:hAnsi="Times New Roman" w:cs="Times New Roman"/>
                <w:b/>
                <w:bCs/>
                <w:spacing w:val="1"/>
                <w:sz w:val="24"/>
                <w:szCs w:val="24"/>
              </w:rPr>
              <w:t>C</w:t>
            </w:r>
            <w:r w:rsidRPr="00A83073">
              <w:rPr>
                <w:rFonts w:ascii="Times New Roman" w:eastAsia="Times New Roman" w:hAnsi="Times New Roman" w:cs="Times New Roman"/>
                <w:b/>
                <w:bCs/>
                <w:sz w:val="24"/>
                <w:szCs w:val="24"/>
              </w:rPr>
              <w:t xml:space="preserve">osts </w:t>
            </w:r>
            <w:r w:rsidRPr="00A83073">
              <w:rPr>
                <w:rFonts w:ascii="Times New Roman" w:eastAsia="Times New Roman" w:hAnsi="Times New Roman" w:cs="Times New Roman"/>
                <w:b/>
                <w:bCs/>
                <w:spacing w:val="-1"/>
                <w:sz w:val="24"/>
                <w:szCs w:val="24"/>
              </w:rPr>
              <w:t>(</w:t>
            </w:r>
            <w:r w:rsidRPr="00A83073">
              <w:rPr>
                <w:rFonts w:ascii="Times New Roman" w:eastAsia="Times New Roman" w:hAnsi="Times New Roman" w:cs="Times New Roman"/>
                <w:b/>
                <w:bCs/>
                <w:sz w:val="24"/>
                <w:szCs w:val="24"/>
              </w:rPr>
              <w:t>p</w:t>
            </w:r>
            <w:r w:rsidRPr="00A83073">
              <w:rPr>
                <w:rFonts w:ascii="Times New Roman" w:eastAsia="Times New Roman" w:hAnsi="Times New Roman" w:cs="Times New Roman"/>
                <w:b/>
                <w:bCs/>
                <w:spacing w:val="-1"/>
                <w:sz w:val="24"/>
                <w:szCs w:val="24"/>
              </w:rPr>
              <w:t>e</w:t>
            </w:r>
            <w:r w:rsidRPr="00A83073">
              <w:rPr>
                <w:rFonts w:ascii="Times New Roman" w:eastAsia="Times New Roman" w:hAnsi="Times New Roman" w:cs="Times New Roman"/>
                <w:b/>
                <w:bCs/>
                <w:sz w:val="24"/>
                <w:szCs w:val="24"/>
              </w:rPr>
              <w:t xml:space="preserve">r </w:t>
            </w:r>
            <w:r w:rsidRPr="00A83073">
              <w:rPr>
                <w:rFonts w:ascii="Times New Roman" w:eastAsia="Times New Roman" w:hAnsi="Times New Roman" w:cs="Times New Roman"/>
                <w:b/>
                <w:bCs/>
                <w:spacing w:val="-1"/>
                <w:sz w:val="24"/>
                <w:szCs w:val="24"/>
              </w:rPr>
              <w:t>Re</w:t>
            </w:r>
            <w:r w:rsidRPr="00A83073">
              <w:rPr>
                <w:rFonts w:ascii="Times New Roman" w:eastAsia="Times New Roman" w:hAnsi="Times New Roman" w:cs="Times New Roman"/>
                <w:b/>
                <w:bCs/>
                <w:sz w:val="24"/>
                <w:szCs w:val="24"/>
              </w:rPr>
              <w:t>spond</w:t>
            </w:r>
            <w:r w:rsidRPr="00A83073">
              <w:rPr>
                <w:rFonts w:ascii="Times New Roman" w:eastAsia="Times New Roman" w:hAnsi="Times New Roman" w:cs="Times New Roman"/>
                <w:b/>
                <w:bCs/>
                <w:spacing w:val="-1"/>
                <w:sz w:val="24"/>
                <w:szCs w:val="24"/>
              </w:rPr>
              <w:t>e</w:t>
            </w:r>
            <w:r w:rsidRPr="00A83073">
              <w:rPr>
                <w:rFonts w:ascii="Times New Roman" w:eastAsia="Times New Roman" w:hAnsi="Times New Roman" w:cs="Times New Roman"/>
                <w:b/>
                <w:bCs/>
                <w:sz w:val="24"/>
                <w:szCs w:val="24"/>
              </w:rPr>
              <w:t>nt)</w:t>
            </w:r>
          </w:p>
        </w:tc>
        <w:tc>
          <w:tcPr>
            <w:tcW w:w="1620" w:type="dxa"/>
            <w:shd w:val="clear" w:color="auto" w:fill="auto"/>
            <w:hideMark/>
          </w:tcPr>
          <w:p w:rsidR="00650DDE" w:rsidRPr="00805A00" w:rsidP="00650DDE" w14:paraId="1E5F9FBC" w14:textId="1922F72C">
            <w:pPr>
              <w:widowControl/>
              <w:spacing w:after="0" w:line="240" w:lineRule="auto"/>
              <w:ind w:left="-110" w:right="-110"/>
              <w:jc w:val="center"/>
              <w:rPr>
                <w:rFonts w:ascii="Times New Roman" w:eastAsia="Times New Roman" w:hAnsi="Times New Roman" w:cs="Times New Roman"/>
                <w:b/>
                <w:bCs/>
                <w:sz w:val="24"/>
                <w:szCs w:val="24"/>
              </w:rPr>
            </w:pPr>
            <w:r w:rsidRPr="00A83073">
              <w:rPr>
                <w:rFonts w:ascii="Times New Roman" w:eastAsia="Times New Roman" w:hAnsi="Times New Roman" w:cs="Times New Roman"/>
                <w:b/>
                <w:bCs/>
                <w:sz w:val="24"/>
                <w:szCs w:val="24"/>
              </w:rPr>
              <w:t>Tot</w:t>
            </w:r>
            <w:r w:rsidRPr="00A83073">
              <w:rPr>
                <w:rFonts w:ascii="Times New Roman" w:eastAsia="Times New Roman" w:hAnsi="Times New Roman" w:cs="Times New Roman"/>
                <w:b/>
                <w:bCs/>
                <w:spacing w:val="-1"/>
                <w:sz w:val="24"/>
                <w:szCs w:val="24"/>
              </w:rPr>
              <w:t>a</w:t>
            </w:r>
            <w:r w:rsidRPr="00A83073">
              <w:rPr>
                <w:rFonts w:ascii="Times New Roman" w:eastAsia="Times New Roman" w:hAnsi="Times New Roman" w:cs="Times New Roman"/>
                <w:b/>
                <w:bCs/>
                <w:sz w:val="24"/>
                <w:szCs w:val="24"/>
              </w:rPr>
              <w:t xml:space="preserve">l </w:t>
            </w:r>
            <w:r w:rsidRPr="00A83073">
              <w:rPr>
                <w:rFonts w:ascii="Times New Roman" w:eastAsia="Times New Roman" w:hAnsi="Times New Roman" w:cs="Times New Roman"/>
                <w:b/>
                <w:bCs/>
                <w:spacing w:val="-2"/>
                <w:sz w:val="24"/>
                <w:szCs w:val="24"/>
              </w:rPr>
              <w:t>B</w:t>
            </w:r>
            <w:r w:rsidRPr="00A83073">
              <w:rPr>
                <w:rFonts w:ascii="Times New Roman" w:eastAsia="Times New Roman" w:hAnsi="Times New Roman" w:cs="Times New Roman"/>
                <w:b/>
                <w:bCs/>
                <w:sz w:val="24"/>
                <w:szCs w:val="24"/>
              </w:rPr>
              <w:t>u</w:t>
            </w:r>
            <w:r w:rsidRPr="00A83073">
              <w:rPr>
                <w:rFonts w:ascii="Times New Roman" w:eastAsia="Times New Roman" w:hAnsi="Times New Roman" w:cs="Times New Roman"/>
                <w:b/>
                <w:bCs/>
                <w:spacing w:val="-1"/>
                <w:sz w:val="24"/>
                <w:szCs w:val="24"/>
              </w:rPr>
              <w:t>r</w:t>
            </w:r>
            <w:r w:rsidRPr="00A83073">
              <w:rPr>
                <w:rFonts w:ascii="Times New Roman" w:eastAsia="Times New Roman" w:hAnsi="Times New Roman" w:cs="Times New Roman"/>
                <w:b/>
                <w:bCs/>
                <w:sz w:val="24"/>
                <w:szCs w:val="24"/>
              </w:rPr>
              <w:t>d</w:t>
            </w:r>
            <w:r w:rsidRPr="00A83073">
              <w:rPr>
                <w:rFonts w:ascii="Times New Roman" w:eastAsia="Times New Roman" w:hAnsi="Times New Roman" w:cs="Times New Roman"/>
                <w:b/>
                <w:bCs/>
                <w:spacing w:val="-1"/>
                <w:sz w:val="24"/>
                <w:szCs w:val="24"/>
              </w:rPr>
              <w:t>e</w:t>
            </w:r>
            <w:r w:rsidRPr="00A83073">
              <w:rPr>
                <w:rFonts w:ascii="Times New Roman" w:eastAsia="Times New Roman" w:hAnsi="Times New Roman" w:cs="Times New Roman"/>
                <w:b/>
                <w:bCs/>
                <w:sz w:val="24"/>
                <w:szCs w:val="24"/>
              </w:rPr>
              <w:t xml:space="preserve">n </w:t>
            </w:r>
            <w:r w:rsidRPr="00A83073">
              <w:rPr>
                <w:rFonts w:ascii="Times New Roman" w:eastAsia="Times New Roman" w:hAnsi="Times New Roman" w:cs="Times New Roman"/>
                <w:b/>
                <w:bCs/>
                <w:spacing w:val="1"/>
                <w:sz w:val="24"/>
                <w:szCs w:val="24"/>
              </w:rPr>
              <w:t>C</w:t>
            </w:r>
            <w:r w:rsidRPr="00A83073">
              <w:rPr>
                <w:rFonts w:ascii="Times New Roman" w:eastAsia="Times New Roman" w:hAnsi="Times New Roman" w:cs="Times New Roman"/>
                <w:b/>
                <w:bCs/>
                <w:sz w:val="24"/>
                <w:szCs w:val="24"/>
              </w:rPr>
              <w:t xml:space="preserve">osts </w:t>
            </w:r>
            <w:r w:rsidRPr="00A83073">
              <w:rPr>
                <w:rFonts w:ascii="Times New Roman" w:eastAsia="Times New Roman" w:hAnsi="Times New Roman" w:cs="Times New Roman"/>
                <w:b/>
                <w:bCs/>
                <w:spacing w:val="-1"/>
                <w:sz w:val="24"/>
                <w:szCs w:val="24"/>
              </w:rPr>
              <w:t>(</w:t>
            </w:r>
            <w:r w:rsidRPr="00A83073">
              <w:rPr>
                <w:rFonts w:ascii="Times New Roman" w:eastAsia="Times New Roman" w:hAnsi="Times New Roman" w:cs="Times New Roman"/>
                <w:b/>
                <w:bCs/>
                <w:sz w:val="24"/>
                <w:szCs w:val="24"/>
              </w:rPr>
              <w:t xml:space="preserve">All </w:t>
            </w:r>
            <w:r w:rsidRPr="00A83073">
              <w:rPr>
                <w:rFonts w:ascii="Times New Roman" w:eastAsia="Times New Roman" w:hAnsi="Times New Roman" w:cs="Times New Roman"/>
                <w:b/>
                <w:bCs/>
                <w:spacing w:val="1"/>
                <w:sz w:val="24"/>
                <w:szCs w:val="24"/>
              </w:rPr>
              <w:t>R</w:t>
            </w:r>
            <w:r w:rsidRPr="00A83073">
              <w:rPr>
                <w:rFonts w:ascii="Times New Roman" w:eastAsia="Times New Roman" w:hAnsi="Times New Roman" w:cs="Times New Roman"/>
                <w:b/>
                <w:bCs/>
                <w:spacing w:val="-1"/>
                <w:sz w:val="24"/>
                <w:szCs w:val="24"/>
              </w:rPr>
              <w:t>e</w:t>
            </w:r>
            <w:r w:rsidRPr="00A83073">
              <w:rPr>
                <w:rFonts w:ascii="Times New Roman" w:eastAsia="Times New Roman" w:hAnsi="Times New Roman" w:cs="Times New Roman"/>
                <w:b/>
                <w:bCs/>
                <w:sz w:val="24"/>
                <w:szCs w:val="24"/>
              </w:rPr>
              <w:t>spond</w:t>
            </w:r>
            <w:r w:rsidRPr="00A83073">
              <w:rPr>
                <w:rFonts w:ascii="Times New Roman" w:eastAsia="Times New Roman" w:hAnsi="Times New Roman" w:cs="Times New Roman"/>
                <w:b/>
                <w:bCs/>
                <w:spacing w:val="-1"/>
                <w:sz w:val="24"/>
                <w:szCs w:val="24"/>
              </w:rPr>
              <w:t>e</w:t>
            </w:r>
            <w:r w:rsidRPr="00A83073">
              <w:rPr>
                <w:rFonts w:ascii="Times New Roman" w:eastAsia="Times New Roman" w:hAnsi="Times New Roman" w:cs="Times New Roman"/>
                <w:b/>
                <w:bCs/>
                <w:sz w:val="24"/>
                <w:szCs w:val="24"/>
              </w:rPr>
              <w:t>nts)</w:t>
            </w:r>
          </w:p>
        </w:tc>
      </w:tr>
      <w:tr w14:paraId="3B35882A" w14:textId="77777777" w:rsidTr="00B14657">
        <w:tblPrEx>
          <w:tblW w:w="9625" w:type="dxa"/>
          <w:tblLayout w:type="fixed"/>
          <w:tblLook w:val="04A0"/>
        </w:tblPrEx>
        <w:trPr>
          <w:trHeight w:val="278"/>
        </w:trPr>
        <w:tc>
          <w:tcPr>
            <w:tcW w:w="2245" w:type="dxa"/>
            <w:shd w:val="clear" w:color="auto" w:fill="auto"/>
            <w:vAlign w:val="center"/>
          </w:tcPr>
          <w:p w:rsidR="008D5CD0" w:rsidRPr="00805A00" w:rsidP="008D5CD0" w14:paraId="3BEC73FE" w14:textId="284A4CFB">
            <w:pPr>
              <w:widowControl/>
              <w:spacing w:after="0" w:line="240" w:lineRule="auto"/>
              <w:rPr>
                <w:rFonts w:ascii="Times New Roman" w:eastAsia="Times New Roman" w:hAnsi="Times New Roman" w:cs="Times New Roman"/>
                <w:b/>
                <w:bCs/>
                <w:sz w:val="24"/>
                <w:szCs w:val="24"/>
              </w:rPr>
            </w:pPr>
            <w:r w:rsidRPr="003341CA">
              <w:rPr>
                <w:rFonts w:ascii="Times New Roman" w:eastAsia="Times New Roman" w:hAnsi="Times New Roman" w:cs="Times New Roman"/>
                <w:sz w:val="24"/>
                <w:szCs w:val="24"/>
              </w:rPr>
              <w:t xml:space="preserve">Auditor </w:t>
            </w:r>
          </w:p>
        </w:tc>
        <w:tc>
          <w:tcPr>
            <w:tcW w:w="1440" w:type="dxa"/>
            <w:shd w:val="clear" w:color="auto" w:fill="auto"/>
            <w:vAlign w:val="center"/>
          </w:tcPr>
          <w:p w:rsidR="008D5CD0" w:rsidRPr="00D87A4C" w:rsidP="008D5CD0" w14:paraId="792A98E8" w14:textId="356264E4">
            <w:pPr>
              <w:spacing w:after="0" w:line="240" w:lineRule="auto"/>
              <w:ind w:left="-110" w:right="-110"/>
              <w:jc w:val="center"/>
              <w:rPr>
                <w:rFonts w:ascii="Times New Roman" w:eastAsia="Times New Roman" w:hAnsi="Times New Roman" w:cs="Times New Roman"/>
                <w:b/>
                <w:bCs/>
                <w:sz w:val="24"/>
                <w:szCs w:val="24"/>
              </w:rPr>
            </w:pPr>
            <w:r w:rsidRPr="00D87A4C">
              <w:rPr>
                <w:rFonts w:ascii="Times New Roman" w:eastAsia="Times New Roman" w:hAnsi="Times New Roman" w:cs="Times New Roman"/>
                <w:sz w:val="24"/>
                <w:szCs w:val="24"/>
              </w:rPr>
              <w:t>1</w:t>
            </w:r>
          </w:p>
        </w:tc>
        <w:tc>
          <w:tcPr>
            <w:tcW w:w="1710" w:type="dxa"/>
            <w:shd w:val="clear" w:color="auto" w:fill="auto"/>
            <w:vAlign w:val="center"/>
          </w:tcPr>
          <w:p w:rsidR="008D5CD0" w:rsidRPr="00A83073" w:rsidP="008D5CD0" w14:paraId="723900FA" w14:textId="7F9E2B25">
            <w:pPr>
              <w:widowControl/>
              <w:spacing w:after="0" w:line="240" w:lineRule="auto"/>
              <w:ind w:left="-110" w:right="-110"/>
              <w:jc w:val="center"/>
              <w:rPr>
                <w:rFonts w:ascii="Times New Roman" w:eastAsia="Times New Roman" w:hAnsi="Times New Roman" w:cs="Times New Roman"/>
                <w:b/>
                <w:bCs/>
                <w:sz w:val="24"/>
                <w:szCs w:val="24"/>
              </w:rPr>
            </w:pPr>
            <w:r w:rsidRPr="003341CA">
              <w:rPr>
                <w:rFonts w:ascii="Times New Roman" w:eastAsia="Times New Roman" w:hAnsi="Times New Roman" w:cs="Times New Roman"/>
                <w:sz w:val="24"/>
                <w:szCs w:val="24"/>
              </w:rPr>
              <w:t>$</w:t>
            </w:r>
            <w:r>
              <w:rPr>
                <w:rFonts w:ascii="Times New Roman" w:eastAsia="Times New Roman" w:hAnsi="Times New Roman" w:cs="Times New Roman"/>
                <w:sz w:val="24"/>
                <w:szCs w:val="24"/>
              </w:rPr>
              <w:t>75.00</w:t>
            </w:r>
          </w:p>
        </w:tc>
        <w:tc>
          <w:tcPr>
            <w:tcW w:w="1080" w:type="dxa"/>
            <w:shd w:val="clear" w:color="auto" w:fill="auto"/>
            <w:vAlign w:val="center"/>
          </w:tcPr>
          <w:p w:rsidR="008D5CD0" w:rsidRPr="00847D61" w:rsidP="008D5CD0" w14:paraId="0FE76B0A" w14:textId="45067195">
            <w:pPr>
              <w:spacing w:after="0" w:line="240" w:lineRule="auto"/>
              <w:ind w:left="-110" w:right="-110"/>
              <w:jc w:val="center"/>
              <w:rPr>
                <w:rFonts w:ascii="Times New Roman" w:eastAsia="Times New Roman" w:hAnsi="Times New Roman" w:cs="Times New Roman"/>
                <w:b/>
                <w:bCs/>
                <w:spacing w:val="-2"/>
                <w:sz w:val="24"/>
                <w:szCs w:val="24"/>
              </w:rPr>
            </w:pPr>
            <w:r w:rsidRPr="00847D61">
              <w:rPr>
                <w:rFonts w:ascii="Times New Roman" w:eastAsia="Times New Roman" w:hAnsi="Times New Roman" w:cs="Times New Roman"/>
                <w:sz w:val="24"/>
                <w:szCs w:val="24"/>
              </w:rPr>
              <w:t>360</w:t>
            </w:r>
          </w:p>
        </w:tc>
        <w:tc>
          <w:tcPr>
            <w:tcW w:w="1530" w:type="dxa"/>
            <w:shd w:val="clear" w:color="auto" w:fill="auto"/>
            <w:vAlign w:val="center"/>
          </w:tcPr>
          <w:p w:rsidR="008D5CD0" w:rsidRPr="00A83073" w:rsidP="008D5CD0" w14:paraId="3C02079F" w14:textId="71EA2120">
            <w:pPr>
              <w:spacing w:after="0" w:line="240" w:lineRule="auto"/>
              <w:ind w:left="-110" w:right="-110"/>
              <w:jc w:val="center"/>
              <w:rPr>
                <w:rFonts w:ascii="Times New Roman" w:eastAsia="Times New Roman" w:hAnsi="Times New Roman" w:cs="Times New Roman"/>
                <w:b/>
                <w:bCs/>
                <w:sz w:val="24"/>
                <w:szCs w:val="24"/>
              </w:rPr>
            </w:pPr>
            <w:r w:rsidRPr="003341CA">
              <w:rPr>
                <w:rFonts w:ascii="Times New Roman" w:eastAsia="Times New Roman" w:hAnsi="Times New Roman" w:cs="Times New Roman"/>
                <w:snapToGrid w:val="0"/>
                <w:sz w:val="24"/>
                <w:szCs w:val="24"/>
              </w:rPr>
              <w:t>$</w:t>
            </w:r>
            <w:r>
              <w:rPr>
                <w:rFonts w:ascii="Times New Roman" w:eastAsia="Times New Roman" w:hAnsi="Times New Roman" w:cs="Times New Roman"/>
                <w:snapToGrid w:val="0"/>
                <w:sz w:val="24"/>
                <w:szCs w:val="24"/>
              </w:rPr>
              <w:t>27,000.00</w:t>
            </w:r>
          </w:p>
        </w:tc>
        <w:tc>
          <w:tcPr>
            <w:tcW w:w="1620" w:type="dxa"/>
            <w:shd w:val="clear" w:color="auto" w:fill="auto"/>
            <w:vAlign w:val="center"/>
          </w:tcPr>
          <w:p w:rsidR="008D5CD0" w:rsidRPr="00A83073" w:rsidP="008D5CD0" w14:paraId="34EB1FF3" w14:textId="1AC548A3">
            <w:pPr>
              <w:widowControl/>
              <w:spacing w:after="0" w:line="240" w:lineRule="auto"/>
              <w:ind w:left="-110" w:right="-110"/>
              <w:jc w:val="center"/>
              <w:rPr>
                <w:rFonts w:ascii="Times New Roman" w:eastAsia="Times New Roman" w:hAnsi="Times New Roman" w:cs="Times New Roman"/>
                <w:b/>
                <w:bCs/>
                <w:sz w:val="24"/>
                <w:szCs w:val="24"/>
              </w:rPr>
            </w:pPr>
            <w:r w:rsidRPr="003341CA">
              <w:rPr>
                <w:rFonts w:ascii="Times New Roman" w:hAnsi="Times New Roman" w:cs="Times New Roman"/>
                <w:color w:val="000000"/>
                <w:sz w:val="24"/>
                <w:szCs w:val="24"/>
              </w:rPr>
              <w:t>$</w:t>
            </w:r>
            <w:r w:rsidR="00776176">
              <w:rPr>
                <w:rFonts w:ascii="Times New Roman" w:hAnsi="Times New Roman" w:cs="Times New Roman"/>
                <w:color w:val="000000"/>
                <w:sz w:val="24"/>
                <w:szCs w:val="24"/>
              </w:rPr>
              <w:t>27,000.00</w:t>
            </w:r>
          </w:p>
        </w:tc>
      </w:tr>
      <w:tr w14:paraId="1B846402" w14:textId="77777777" w:rsidTr="00B14657">
        <w:tblPrEx>
          <w:tblW w:w="9625" w:type="dxa"/>
          <w:tblLayout w:type="fixed"/>
          <w:tblLook w:val="04A0"/>
        </w:tblPrEx>
        <w:trPr>
          <w:trHeight w:val="260"/>
        </w:trPr>
        <w:tc>
          <w:tcPr>
            <w:tcW w:w="2245" w:type="dxa"/>
            <w:shd w:val="clear" w:color="auto" w:fill="auto"/>
            <w:vAlign w:val="center"/>
          </w:tcPr>
          <w:p w:rsidR="008D5CD0" w:rsidRPr="00805A00" w:rsidP="008D5CD0" w14:paraId="2C8EE2A9" w14:textId="36013F8C">
            <w:pPr>
              <w:widowControl/>
              <w:spacing w:after="0" w:line="240" w:lineRule="auto"/>
              <w:rPr>
                <w:rFonts w:ascii="Times New Roman" w:eastAsia="Times New Roman" w:hAnsi="Times New Roman" w:cs="Times New Roman"/>
                <w:b/>
                <w:bCs/>
                <w:sz w:val="24"/>
                <w:szCs w:val="24"/>
              </w:rPr>
            </w:pPr>
            <w:r w:rsidRPr="003341CA">
              <w:rPr>
                <w:rFonts w:ascii="Times New Roman" w:eastAsia="Times New Roman" w:hAnsi="Times New Roman" w:cs="Times New Roman"/>
                <w:sz w:val="24"/>
                <w:szCs w:val="24"/>
              </w:rPr>
              <w:t>Auditor</w:t>
            </w:r>
          </w:p>
        </w:tc>
        <w:tc>
          <w:tcPr>
            <w:tcW w:w="1440" w:type="dxa"/>
            <w:shd w:val="clear" w:color="auto" w:fill="auto"/>
            <w:vAlign w:val="center"/>
          </w:tcPr>
          <w:p w:rsidR="008D5CD0" w:rsidRPr="00D87A4C" w:rsidP="008D5CD0" w14:paraId="009A28AB" w14:textId="1D804579">
            <w:pPr>
              <w:spacing w:after="0" w:line="240" w:lineRule="auto"/>
              <w:ind w:left="-110" w:right="-110"/>
              <w:jc w:val="center"/>
              <w:rPr>
                <w:rFonts w:ascii="Times New Roman" w:eastAsia="Times New Roman" w:hAnsi="Times New Roman" w:cs="Times New Roman"/>
                <w:b/>
                <w:bCs/>
                <w:sz w:val="24"/>
                <w:szCs w:val="24"/>
              </w:rPr>
            </w:pPr>
            <w:r w:rsidRPr="00D87A4C">
              <w:rPr>
                <w:rFonts w:ascii="Times New Roman" w:eastAsia="Times New Roman" w:hAnsi="Times New Roman" w:cs="Times New Roman"/>
                <w:sz w:val="24"/>
                <w:szCs w:val="24"/>
              </w:rPr>
              <w:t>3</w:t>
            </w:r>
          </w:p>
        </w:tc>
        <w:tc>
          <w:tcPr>
            <w:tcW w:w="1710" w:type="dxa"/>
            <w:shd w:val="clear" w:color="auto" w:fill="auto"/>
            <w:vAlign w:val="center"/>
          </w:tcPr>
          <w:p w:rsidR="008D5CD0" w:rsidRPr="00A83073" w:rsidP="008D5CD0" w14:paraId="3516CF3C" w14:textId="7D585162">
            <w:pPr>
              <w:widowControl/>
              <w:spacing w:after="0" w:line="240" w:lineRule="auto"/>
              <w:ind w:left="-110" w:right="-110"/>
              <w:jc w:val="center"/>
              <w:rPr>
                <w:rFonts w:ascii="Times New Roman" w:eastAsia="Times New Roman" w:hAnsi="Times New Roman" w:cs="Times New Roman"/>
                <w:b/>
                <w:bCs/>
                <w:sz w:val="24"/>
                <w:szCs w:val="24"/>
              </w:rPr>
            </w:pPr>
            <w:r w:rsidRPr="003341CA">
              <w:rPr>
                <w:rFonts w:ascii="Times New Roman" w:eastAsia="Times New Roman" w:hAnsi="Times New Roman" w:cs="Times New Roman"/>
                <w:sz w:val="24"/>
                <w:szCs w:val="24"/>
              </w:rPr>
              <w:t>$</w:t>
            </w:r>
            <w:r>
              <w:rPr>
                <w:rFonts w:ascii="Times New Roman" w:eastAsia="Times New Roman" w:hAnsi="Times New Roman" w:cs="Times New Roman"/>
                <w:sz w:val="24"/>
                <w:szCs w:val="24"/>
              </w:rPr>
              <w:t>75.00</w:t>
            </w:r>
          </w:p>
        </w:tc>
        <w:tc>
          <w:tcPr>
            <w:tcW w:w="1080" w:type="dxa"/>
            <w:shd w:val="clear" w:color="auto" w:fill="auto"/>
            <w:vAlign w:val="center"/>
          </w:tcPr>
          <w:p w:rsidR="008D5CD0" w:rsidRPr="00847D61" w:rsidP="008D5CD0" w14:paraId="47190398" w14:textId="5CF5E588">
            <w:pPr>
              <w:spacing w:after="0" w:line="240" w:lineRule="auto"/>
              <w:ind w:left="-110" w:right="-110"/>
              <w:jc w:val="center"/>
              <w:rPr>
                <w:rFonts w:ascii="Times New Roman" w:eastAsia="Times New Roman" w:hAnsi="Times New Roman" w:cs="Times New Roman"/>
                <w:b/>
                <w:bCs/>
                <w:spacing w:val="-2"/>
                <w:sz w:val="24"/>
                <w:szCs w:val="24"/>
              </w:rPr>
            </w:pPr>
            <w:r>
              <w:rPr>
                <w:rFonts w:ascii="Times New Roman" w:eastAsia="Times New Roman" w:hAnsi="Times New Roman" w:cs="Times New Roman"/>
                <w:sz w:val="24"/>
                <w:szCs w:val="24"/>
              </w:rPr>
              <w:t>122</w:t>
            </w:r>
          </w:p>
        </w:tc>
        <w:tc>
          <w:tcPr>
            <w:tcW w:w="1530" w:type="dxa"/>
            <w:shd w:val="clear" w:color="auto" w:fill="auto"/>
            <w:vAlign w:val="center"/>
          </w:tcPr>
          <w:p w:rsidR="008D5CD0" w:rsidRPr="00A83073" w:rsidP="008D5CD0" w14:paraId="25ABB88C" w14:textId="6073838C">
            <w:pPr>
              <w:spacing w:after="0" w:line="240" w:lineRule="auto"/>
              <w:ind w:left="-110" w:right="-110"/>
              <w:jc w:val="center"/>
              <w:rPr>
                <w:rFonts w:ascii="Times New Roman" w:eastAsia="Times New Roman" w:hAnsi="Times New Roman" w:cs="Times New Roman"/>
                <w:b/>
                <w:bCs/>
                <w:sz w:val="24"/>
                <w:szCs w:val="24"/>
              </w:rPr>
            </w:pPr>
            <w:r w:rsidRPr="003341CA">
              <w:rPr>
                <w:rFonts w:ascii="Times New Roman" w:eastAsia="Times New Roman" w:hAnsi="Times New Roman" w:cs="Times New Roman"/>
                <w:snapToGrid w:val="0"/>
                <w:sz w:val="24"/>
                <w:szCs w:val="24"/>
              </w:rPr>
              <w:t>$</w:t>
            </w:r>
            <w:r w:rsidR="00776176">
              <w:rPr>
                <w:rFonts w:ascii="Times New Roman" w:eastAsia="Times New Roman" w:hAnsi="Times New Roman" w:cs="Times New Roman"/>
                <w:snapToGrid w:val="0"/>
                <w:sz w:val="24"/>
                <w:szCs w:val="24"/>
              </w:rPr>
              <w:t>9,150.00</w:t>
            </w:r>
          </w:p>
        </w:tc>
        <w:tc>
          <w:tcPr>
            <w:tcW w:w="1620" w:type="dxa"/>
            <w:shd w:val="clear" w:color="auto" w:fill="auto"/>
            <w:vAlign w:val="center"/>
          </w:tcPr>
          <w:p w:rsidR="008D5CD0" w:rsidRPr="00A83073" w:rsidP="008D5CD0" w14:paraId="47D3983E" w14:textId="4A8A7657">
            <w:pPr>
              <w:widowControl/>
              <w:spacing w:after="0" w:line="240" w:lineRule="auto"/>
              <w:ind w:left="-110" w:right="-110"/>
              <w:jc w:val="center"/>
              <w:rPr>
                <w:rFonts w:ascii="Times New Roman" w:eastAsia="Times New Roman" w:hAnsi="Times New Roman" w:cs="Times New Roman"/>
                <w:b/>
                <w:bCs/>
                <w:sz w:val="24"/>
                <w:szCs w:val="24"/>
              </w:rPr>
            </w:pPr>
            <w:r w:rsidRPr="003341CA">
              <w:rPr>
                <w:rFonts w:ascii="Times New Roman" w:hAnsi="Times New Roman" w:cs="Times New Roman"/>
                <w:color w:val="000000"/>
                <w:sz w:val="24"/>
                <w:szCs w:val="24"/>
              </w:rPr>
              <w:t>$</w:t>
            </w:r>
            <w:r w:rsidR="00776176">
              <w:rPr>
                <w:rFonts w:ascii="Times New Roman" w:hAnsi="Times New Roman" w:cs="Times New Roman"/>
                <w:color w:val="000000"/>
                <w:sz w:val="24"/>
                <w:szCs w:val="24"/>
              </w:rPr>
              <w:t>27,450.00</w:t>
            </w:r>
          </w:p>
        </w:tc>
      </w:tr>
      <w:tr w14:paraId="6BF9E370" w14:textId="77777777" w:rsidTr="00615AFC">
        <w:tblPrEx>
          <w:tblW w:w="9625" w:type="dxa"/>
          <w:tblLayout w:type="fixed"/>
          <w:tblLook w:val="04A0"/>
        </w:tblPrEx>
        <w:trPr>
          <w:trHeight w:val="494"/>
        </w:trPr>
        <w:tc>
          <w:tcPr>
            <w:tcW w:w="2245" w:type="dxa"/>
            <w:shd w:val="clear" w:color="auto" w:fill="auto"/>
            <w:vAlign w:val="center"/>
          </w:tcPr>
          <w:p w:rsidR="008D5CD0" w:rsidRPr="00805A00" w:rsidP="008D5CD0" w14:paraId="6088E499" w14:textId="69A2D6B9">
            <w:pPr>
              <w:widowControl/>
              <w:spacing w:after="0" w:line="240" w:lineRule="auto"/>
              <w:rPr>
                <w:rFonts w:ascii="Times New Roman" w:eastAsia="Times New Roman" w:hAnsi="Times New Roman" w:cs="Times New Roman"/>
                <w:b/>
                <w:bCs/>
                <w:sz w:val="24"/>
                <w:szCs w:val="24"/>
              </w:rPr>
            </w:pPr>
            <w:r w:rsidRPr="003341CA">
              <w:rPr>
                <w:rFonts w:ascii="Times New Roman" w:eastAsia="Times New Roman" w:hAnsi="Times New Roman" w:cs="Times New Roman"/>
                <w:sz w:val="24"/>
                <w:szCs w:val="24"/>
              </w:rPr>
              <w:t>Business Operations Specialist</w:t>
            </w:r>
          </w:p>
        </w:tc>
        <w:tc>
          <w:tcPr>
            <w:tcW w:w="1440" w:type="dxa"/>
            <w:shd w:val="clear" w:color="auto" w:fill="auto"/>
            <w:vAlign w:val="center"/>
          </w:tcPr>
          <w:p w:rsidR="008D5CD0" w:rsidRPr="00D87A4C" w:rsidP="008D5CD0" w14:paraId="7EB6A66F" w14:textId="3CEAB156">
            <w:pPr>
              <w:spacing w:after="0" w:line="240" w:lineRule="auto"/>
              <w:ind w:left="-110" w:right="-110"/>
              <w:jc w:val="center"/>
              <w:rPr>
                <w:rFonts w:ascii="Times New Roman" w:eastAsia="Times New Roman" w:hAnsi="Times New Roman" w:cs="Times New Roman"/>
                <w:b/>
                <w:bCs/>
                <w:sz w:val="24"/>
                <w:szCs w:val="24"/>
              </w:rPr>
            </w:pPr>
            <w:r w:rsidRPr="00D87A4C">
              <w:rPr>
                <w:rFonts w:ascii="Times New Roman" w:hAnsi="Times New Roman" w:cs="Times New Roman"/>
                <w:color w:val="000000"/>
                <w:sz w:val="24"/>
                <w:szCs w:val="24"/>
              </w:rPr>
              <w:t>15</w:t>
            </w:r>
          </w:p>
        </w:tc>
        <w:tc>
          <w:tcPr>
            <w:tcW w:w="1710" w:type="dxa"/>
            <w:shd w:val="clear" w:color="auto" w:fill="auto"/>
            <w:vAlign w:val="center"/>
          </w:tcPr>
          <w:p w:rsidR="008D5CD0" w:rsidRPr="00A83073" w:rsidP="008D5CD0" w14:paraId="401BDCE5" w14:textId="44337A96">
            <w:pPr>
              <w:widowControl/>
              <w:spacing w:after="0" w:line="240" w:lineRule="auto"/>
              <w:ind w:left="-110" w:right="-110"/>
              <w:jc w:val="center"/>
              <w:rPr>
                <w:rFonts w:ascii="Times New Roman" w:eastAsia="Times New Roman" w:hAnsi="Times New Roman" w:cs="Times New Roman"/>
                <w:b/>
                <w:bCs/>
                <w:sz w:val="24"/>
                <w:szCs w:val="24"/>
              </w:rPr>
            </w:pPr>
            <w:r w:rsidRPr="003341CA">
              <w:rPr>
                <w:rFonts w:ascii="Times New Roman" w:hAnsi="Times New Roman" w:cs="Times New Roman"/>
                <w:color w:val="000000"/>
                <w:sz w:val="24"/>
                <w:szCs w:val="24"/>
              </w:rPr>
              <w:t>$</w:t>
            </w:r>
            <w:r>
              <w:rPr>
                <w:rFonts w:ascii="Times New Roman" w:hAnsi="Times New Roman" w:cs="Times New Roman"/>
                <w:color w:val="000000"/>
                <w:sz w:val="24"/>
                <w:szCs w:val="24"/>
              </w:rPr>
              <w:t>73.12</w:t>
            </w:r>
          </w:p>
        </w:tc>
        <w:tc>
          <w:tcPr>
            <w:tcW w:w="1080" w:type="dxa"/>
            <w:shd w:val="clear" w:color="auto" w:fill="auto"/>
            <w:vAlign w:val="center"/>
          </w:tcPr>
          <w:p w:rsidR="008D5CD0" w:rsidRPr="00847D61" w:rsidP="008D5CD0" w14:paraId="07F61EAD" w14:textId="45A40D87">
            <w:pPr>
              <w:spacing w:after="0" w:line="240" w:lineRule="auto"/>
              <w:ind w:left="-110" w:right="-110"/>
              <w:jc w:val="center"/>
              <w:rPr>
                <w:rFonts w:ascii="Times New Roman" w:eastAsia="Times New Roman" w:hAnsi="Times New Roman" w:cs="Times New Roman"/>
                <w:b/>
                <w:bCs/>
                <w:spacing w:val="-2"/>
                <w:sz w:val="24"/>
                <w:szCs w:val="24"/>
              </w:rPr>
            </w:pPr>
            <w:r w:rsidRPr="00847D61">
              <w:rPr>
                <w:rFonts w:ascii="Times New Roman" w:hAnsi="Times New Roman" w:cs="Times New Roman"/>
                <w:color w:val="000000"/>
                <w:sz w:val="24"/>
                <w:szCs w:val="24"/>
              </w:rPr>
              <w:t>45</w:t>
            </w:r>
          </w:p>
        </w:tc>
        <w:tc>
          <w:tcPr>
            <w:tcW w:w="1530" w:type="dxa"/>
            <w:shd w:val="clear" w:color="auto" w:fill="auto"/>
            <w:vAlign w:val="center"/>
          </w:tcPr>
          <w:p w:rsidR="008D5CD0" w:rsidRPr="00A83073" w:rsidP="008D5CD0" w14:paraId="08039264" w14:textId="05F299E6">
            <w:pPr>
              <w:spacing w:after="0" w:line="240" w:lineRule="auto"/>
              <w:ind w:left="-110" w:right="-110"/>
              <w:jc w:val="center"/>
              <w:rPr>
                <w:rFonts w:ascii="Times New Roman" w:eastAsia="Times New Roman" w:hAnsi="Times New Roman" w:cs="Times New Roman"/>
                <w:b/>
                <w:bCs/>
                <w:sz w:val="24"/>
                <w:szCs w:val="24"/>
              </w:rPr>
            </w:pPr>
            <w:r w:rsidRPr="003341CA">
              <w:rPr>
                <w:rFonts w:ascii="Times New Roman" w:eastAsia="Times New Roman" w:hAnsi="Times New Roman" w:cs="Times New Roman"/>
                <w:snapToGrid w:val="0"/>
                <w:sz w:val="24"/>
                <w:szCs w:val="24"/>
              </w:rPr>
              <w:t>$</w:t>
            </w:r>
            <w:r>
              <w:rPr>
                <w:rFonts w:ascii="Times New Roman" w:eastAsia="Times New Roman" w:hAnsi="Times New Roman" w:cs="Times New Roman"/>
                <w:snapToGrid w:val="0"/>
                <w:sz w:val="24"/>
                <w:szCs w:val="24"/>
              </w:rPr>
              <w:t>3,290.</w:t>
            </w:r>
            <w:r w:rsidR="006D5362">
              <w:rPr>
                <w:rFonts w:ascii="Times New Roman" w:eastAsia="Times New Roman" w:hAnsi="Times New Roman" w:cs="Times New Roman"/>
                <w:snapToGrid w:val="0"/>
                <w:sz w:val="24"/>
                <w:szCs w:val="24"/>
              </w:rPr>
              <w:t>40</w:t>
            </w:r>
          </w:p>
        </w:tc>
        <w:tc>
          <w:tcPr>
            <w:tcW w:w="1620" w:type="dxa"/>
            <w:shd w:val="clear" w:color="auto" w:fill="auto"/>
            <w:vAlign w:val="center"/>
          </w:tcPr>
          <w:p w:rsidR="008D5CD0" w:rsidRPr="00A83073" w:rsidP="008D5CD0" w14:paraId="0C13BB02" w14:textId="485D729B">
            <w:pPr>
              <w:widowControl/>
              <w:spacing w:after="0" w:line="240" w:lineRule="auto"/>
              <w:ind w:left="-110" w:right="-110"/>
              <w:jc w:val="center"/>
              <w:rPr>
                <w:rFonts w:ascii="Times New Roman" w:eastAsia="Times New Roman" w:hAnsi="Times New Roman" w:cs="Times New Roman"/>
                <w:b/>
                <w:bCs/>
                <w:sz w:val="24"/>
                <w:szCs w:val="24"/>
              </w:rPr>
            </w:pPr>
            <w:r w:rsidRPr="003341CA">
              <w:rPr>
                <w:rFonts w:ascii="Times New Roman" w:hAnsi="Times New Roman" w:cs="Times New Roman"/>
                <w:color w:val="000000"/>
                <w:sz w:val="24"/>
                <w:szCs w:val="24"/>
              </w:rPr>
              <w:t>$</w:t>
            </w:r>
            <w:r w:rsidR="00776176">
              <w:rPr>
                <w:rFonts w:ascii="Times New Roman" w:hAnsi="Times New Roman" w:cs="Times New Roman"/>
                <w:color w:val="000000"/>
                <w:sz w:val="24"/>
                <w:szCs w:val="24"/>
              </w:rPr>
              <w:t>49,356.00</w:t>
            </w:r>
          </w:p>
        </w:tc>
      </w:tr>
      <w:tr w14:paraId="1ABCBB3D" w14:textId="77777777" w:rsidTr="00615AFC">
        <w:tblPrEx>
          <w:tblW w:w="9625" w:type="dxa"/>
          <w:tblLayout w:type="fixed"/>
          <w:tblLook w:val="04A0"/>
        </w:tblPrEx>
        <w:trPr>
          <w:trHeight w:val="494"/>
        </w:trPr>
        <w:tc>
          <w:tcPr>
            <w:tcW w:w="2245" w:type="dxa"/>
            <w:shd w:val="clear" w:color="auto" w:fill="auto"/>
            <w:vAlign w:val="center"/>
          </w:tcPr>
          <w:p w:rsidR="008D5CD0" w:rsidRPr="003341CA" w:rsidP="008D5CD0" w14:paraId="3731DD73" w14:textId="313305F3">
            <w:pPr>
              <w:widowControl/>
              <w:spacing w:after="0" w:line="240" w:lineRule="auto"/>
              <w:rPr>
                <w:rFonts w:ascii="Times New Roman" w:eastAsia="Times New Roman" w:hAnsi="Times New Roman" w:cs="Times New Roman"/>
                <w:sz w:val="24"/>
                <w:szCs w:val="24"/>
              </w:rPr>
            </w:pPr>
            <w:r w:rsidRPr="003341CA">
              <w:rPr>
                <w:rFonts w:ascii="Times New Roman" w:eastAsia="Times New Roman" w:hAnsi="Times New Roman" w:cs="Times New Roman"/>
                <w:sz w:val="24"/>
                <w:szCs w:val="24"/>
              </w:rPr>
              <w:t>Business Operations Specialist</w:t>
            </w:r>
          </w:p>
        </w:tc>
        <w:tc>
          <w:tcPr>
            <w:tcW w:w="1440" w:type="dxa"/>
            <w:shd w:val="clear" w:color="auto" w:fill="auto"/>
            <w:vAlign w:val="center"/>
          </w:tcPr>
          <w:p w:rsidR="008D5CD0" w:rsidRPr="00D87A4C" w:rsidP="008D5CD0" w14:paraId="0F095AA6" w14:textId="440274EE">
            <w:pPr>
              <w:spacing w:after="0" w:line="240" w:lineRule="auto"/>
              <w:ind w:left="-110" w:right="-110"/>
              <w:jc w:val="center"/>
              <w:rPr>
                <w:rFonts w:ascii="Times New Roman" w:hAnsi="Times New Roman" w:cs="Times New Roman"/>
                <w:color w:val="000000"/>
                <w:sz w:val="24"/>
                <w:szCs w:val="24"/>
              </w:rPr>
            </w:pPr>
            <w:r w:rsidRPr="00D87A4C">
              <w:rPr>
                <w:rFonts w:ascii="Times New Roman" w:hAnsi="Times New Roman" w:cs="Times New Roman"/>
                <w:color w:val="000000"/>
                <w:sz w:val="24"/>
                <w:szCs w:val="24"/>
              </w:rPr>
              <w:t>20</w:t>
            </w:r>
          </w:p>
        </w:tc>
        <w:tc>
          <w:tcPr>
            <w:tcW w:w="1710" w:type="dxa"/>
            <w:shd w:val="clear" w:color="auto" w:fill="auto"/>
            <w:vAlign w:val="center"/>
          </w:tcPr>
          <w:p w:rsidR="008D5CD0" w:rsidRPr="003341CA" w:rsidP="008D5CD0" w14:paraId="74E74BEC" w14:textId="66E83CC3">
            <w:pPr>
              <w:widowControl/>
              <w:spacing w:after="0" w:line="240" w:lineRule="auto"/>
              <w:ind w:left="-110" w:right="-110"/>
              <w:jc w:val="center"/>
              <w:rPr>
                <w:rFonts w:ascii="Times New Roman" w:hAnsi="Times New Roman" w:cs="Times New Roman"/>
                <w:color w:val="000000"/>
                <w:sz w:val="24"/>
                <w:szCs w:val="24"/>
              </w:rPr>
            </w:pPr>
            <w:r w:rsidRPr="003341CA">
              <w:rPr>
                <w:rFonts w:ascii="Times New Roman" w:hAnsi="Times New Roman" w:cs="Times New Roman"/>
                <w:color w:val="000000"/>
                <w:sz w:val="24"/>
                <w:szCs w:val="24"/>
              </w:rPr>
              <w:t>$</w:t>
            </w:r>
            <w:r>
              <w:rPr>
                <w:rFonts w:ascii="Times New Roman" w:hAnsi="Times New Roman" w:cs="Times New Roman"/>
                <w:color w:val="000000"/>
                <w:sz w:val="24"/>
                <w:szCs w:val="24"/>
              </w:rPr>
              <w:t>73.12</w:t>
            </w:r>
          </w:p>
        </w:tc>
        <w:tc>
          <w:tcPr>
            <w:tcW w:w="1080" w:type="dxa"/>
            <w:shd w:val="clear" w:color="auto" w:fill="auto"/>
            <w:vAlign w:val="center"/>
          </w:tcPr>
          <w:p w:rsidR="008D5CD0" w:rsidRPr="00847D61" w:rsidP="008D5CD0" w14:paraId="685890B9" w14:textId="2D4CB963">
            <w:pPr>
              <w:spacing w:after="0" w:line="240" w:lineRule="auto"/>
              <w:ind w:left="-110" w:right="-110"/>
              <w:jc w:val="center"/>
              <w:rPr>
                <w:rFonts w:ascii="Times New Roman" w:hAnsi="Times New Roman" w:cs="Times New Roman"/>
                <w:color w:val="000000"/>
                <w:sz w:val="24"/>
                <w:szCs w:val="24"/>
              </w:rPr>
            </w:pPr>
            <w:r w:rsidRPr="00847D61">
              <w:rPr>
                <w:rFonts w:ascii="Times New Roman" w:hAnsi="Times New Roman" w:cs="Times New Roman"/>
                <w:color w:val="000000"/>
                <w:sz w:val="24"/>
                <w:szCs w:val="24"/>
              </w:rPr>
              <w:t>5</w:t>
            </w:r>
          </w:p>
        </w:tc>
        <w:tc>
          <w:tcPr>
            <w:tcW w:w="1530" w:type="dxa"/>
            <w:shd w:val="clear" w:color="auto" w:fill="auto"/>
            <w:vAlign w:val="center"/>
          </w:tcPr>
          <w:p w:rsidR="008D5CD0" w:rsidRPr="003341CA" w:rsidP="008D5CD0" w14:paraId="28B4E9F1" w14:textId="7370C628">
            <w:pPr>
              <w:spacing w:after="0" w:line="240" w:lineRule="auto"/>
              <w:ind w:left="-110" w:right="-110"/>
              <w:jc w:val="center"/>
              <w:rPr>
                <w:rFonts w:ascii="Times New Roman" w:eastAsia="Times New Roman" w:hAnsi="Times New Roman" w:cs="Times New Roman"/>
                <w:snapToGrid w:val="0"/>
                <w:sz w:val="24"/>
                <w:szCs w:val="24"/>
              </w:rPr>
            </w:pPr>
            <w:r w:rsidRPr="003341CA">
              <w:rPr>
                <w:rFonts w:ascii="Times New Roman" w:eastAsia="Times New Roman" w:hAnsi="Times New Roman" w:cs="Times New Roman"/>
                <w:snapToGrid w:val="0"/>
                <w:sz w:val="24"/>
                <w:szCs w:val="24"/>
              </w:rPr>
              <w:t>$</w:t>
            </w:r>
            <w:r w:rsidR="00776176">
              <w:rPr>
                <w:rFonts w:ascii="Times New Roman" w:eastAsia="Times New Roman" w:hAnsi="Times New Roman" w:cs="Times New Roman"/>
                <w:snapToGrid w:val="0"/>
                <w:sz w:val="24"/>
                <w:szCs w:val="24"/>
              </w:rPr>
              <w:t>365.60</w:t>
            </w:r>
          </w:p>
        </w:tc>
        <w:tc>
          <w:tcPr>
            <w:tcW w:w="1620" w:type="dxa"/>
            <w:shd w:val="clear" w:color="auto" w:fill="auto"/>
            <w:vAlign w:val="center"/>
          </w:tcPr>
          <w:p w:rsidR="008D5CD0" w:rsidRPr="003341CA" w:rsidP="008D5CD0" w14:paraId="3F7F8922" w14:textId="486ED967">
            <w:pPr>
              <w:widowControl/>
              <w:spacing w:after="0" w:line="240" w:lineRule="auto"/>
              <w:ind w:left="-110" w:right="-110"/>
              <w:jc w:val="center"/>
              <w:rPr>
                <w:rFonts w:ascii="Times New Roman" w:hAnsi="Times New Roman" w:cs="Times New Roman"/>
                <w:color w:val="000000"/>
                <w:sz w:val="24"/>
                <w:szCs w:val="24"/>
              </w:rPr>
            </w:pPr>
            <w:r w:rsidRPr="003341CA">
              <w:rPr>
                <w:rFonts w:ascii="Times New Roman" w:hAnsi="Times New Roman" w:cs="Times New Roman"/>
                <w:color w:val="000000"/>
                <w:sz w:val="24"/>
                <w:szCs w:val="24"/>
              </w:rPr>
              <w:t>$</w:t>
            </w:r>
            <w:r w:rsidR="00776176">
              <w:rPr>
                <w:rFonts w:ascii="Times New Roman" w:hAnsi="Times New Roman" w:cs="Times New Roman"/>
                <w:color w:val="000000"/>
                <w:sz w:val="24"/>
                <w:szCs w:val="24"/>
              </w:rPr>
              <w:t>7,312.00</w:t>
            </w:r>
          </w:p>
        </w:tc>
      </w:tr>
      <w:tr w14:paraId="07537E4F" w14:textId="77777777" w:rsidTr="00615AFC">
        <w:tblPrEx>
          <w:tblW w:w="9625" w:type="dxa"/>
          <w:tblLayout w:type="fixed"/>
          <w:tblLook w:val="04A0"/>
        </w:tblPrEx>
        <w:trPr>
          <w:trHeight w:val="494"/>
        </w:trPr>
        <w:tc>
          <w:tcPr>
            <w:tcW w:w="2245" w:type="dxa"/>
            <w:shd w:val="clear" w:color="auto" w:fill="auto"/>
            <w:vAlign w:val="center"/>
          </w:tcPr>
          <w:p w:rsidR="008D5CD0" w:rsidRPr="003341CA" w:rsidP="008D5CD0" w14:paraId="7F458C13" w14:textId="70D18AB5">
            <w:pPr>
              <w:widowControl/>
              <w:spacing w:after="0" w:line="240" w:lineRule="auto"/>
              <w:rPr>
                <w:rFonts w:ascii="Times New Roman" w:eastAsia="Times New Roman" w:hAnsi="Times New Roman" w:cs="Times New Roman"/>
                <w:sz w:val="24"/>
                <w:szCs w:val="24"/>
              </w:rPr>
            </w:pPr>
            <w:r w:rsidRPr="003341CA">
              <w:rPr>
                <w:rFonts w:ascii="Times New Roman" w:eastAsia="Times New Roman" w:hAnsi="Times New Roman" w:cs="Times New Roman"/>
                <w:sz w:val="24"/>
                <w:szCs w:val="24"/>
              </w:rPr>
              <w:t>Web and Digital Interface Designer</w:t>
            </w:r>
          </w:p>
        </w:tc>
        <w:tc>
          <w:tcPr>
            <w:tcW w:w="1440" w:type="dxa"/>
            <w:shd w:val="clear" w:color="auto" w:fill="auto"/>
            <w:vAlign w:val="center"/>
          </w:tcPr>
          <w:p w:rsidR="008D5CD0" w:rsidRPr="00D87A4C" w:rsidP="008D5CD0" w14:paraId="2A1BB9FA" w14:textId="5F971B68">
            <w:pPr>
              <w:spacing w:after="0" w:line="240" w:lineRule="auto"/>
              <w:ind w:left="-110" w:right="-110"/>
              <w:jc w:val="center"/>
              <w:rPr>
                <w:rFonts w:ascii="Times New Roman" w:hAnsi="Times New Roman" w:cs="Times New Roman"/>
                <w:color w:val="000000"/>
                <w:sz w:val="24"/>
                <w:szCs w:val="24"/>
              </w:rPr>
            </w:pPr>
            <w:r w:rsidRPr="00D87A4C">
              <w:rPr>
                <w:rFonts w:ascii="Times New Roman" w:hAnsi="Times New Roman" w:cs="Times New Roman"/>
                <w:color w:val="000000"/>
                <w:sz w:val="24"/>
                <w:szCs w:val="24"/>
              </w:rPr>
              <w:t>20</w:t>
            </w:r>
          </w:p>
        </w:tc>
        <w:tc>
          <w:tcPr>
            <w:tcW w:w="1710" w:type="dxa"/>
            <w:shd w:val="clear" w:color="auto" w:fill="auto"/>
            <w:vAlign w:val="center"/>
          </w:tcPr>
          <w:p w:rsidR="008D5CD0" w:rsidRPr="003341CA" w:rsidP="008D5CD0" w14:paraId="04BA7614" w14:textId="419CFB4D">
            <w:pPr>
              <w:widowControl/>
              <w:spacing w:after="0" w:line="240" w:lineRule="auto"/>
              <w:ind w:left="-110" w:right="-110"/>
              <w:jc w:val="center"/>
              <w:rPr>
                <w:rFonts w:ascii="Times New Roman" w:hAnsi="Times New Roman" w:cs="Times New Roman"/>
                <w:color w:val="000000"/>
                <w:sz w:val="24"/>
                <w:szCs w:val="24"/>
              </w:rPr>
            </w:pPr>
            <w:r w:rsidRPr="003341CA">
              <w:rPr>
                <w:rFonts w:ascii="Times New Roman" w:hAnsi="Times New Roman" w:cs="Times New Roman"/>
                <w:color w:val="000000"/>
                <w:sz w:val="24"/>
                <w:szCs w:val="24"/>
              </w:rPr>
              <w:t>$</w:t>
            </w:r>
            <w:r>
              <w:rPr>
                <w:rFonts w:ascii="Times New Roman" w:eastAsia="Times New Roman" w:hAnsi="Times New Roman" w:cs="Times New Roman"/>
                <w:snapToGrid w:val="0"/>
                <w:sz w:val="24"/>
                <w:szCs w:val="24"/>
              </w:rPr>
              <w:t>80.04</w:t>
            </w:r>
          </w:p>
        </w:tc>
        <w:tc>
          <w:tcPr>
            <w:tcW w:w="1080" w:type="dxa"/>
            <w:shd w:val="clear" w:color="auto" w:fill="auto"/>
            <w:vAlign w:val="center"/>
          </w:tcPr>
          <w:p w:rsidR="008D5CD0" w:rsidRPr="00847D61" w:rsidP="008D5CD0" w14:paraId="005090F8" w14:textId="43036090">
            <w:pPr>
              <w:spacing w:after="0" w:line="240" w:lineRule="auto"/>
              <w:ind w:left="-110" w:right="-110"/>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1530" w:type="dxa"/>
            <w:shd w:val="clear" w:color="auto" w:fill="auto"/>
            <w:vAlign w:val="center"/>
          </w:tcPr>
          <w:p w:rsidR="008D5CD0" w:rsidRPr="003341CA" w:rsidP="008D5CD0" w14:paraId="2DD63A4F" w14:textId="739C50D9">
            <w:pPr>
              <w:spacing w:after="0" w:line="240" w:lineRule="auto"/>
              <w:ind w:left="-110" w:right="-110"/>
              <w:jc w:val="center"/>
              <w:rPr>
                <w:rFonts w:ascii="Times New Roman" w:eastAsia="Times New Roman" w:hAnsi="Times New Roman" w:cs="Times New Roman"/>
                <w:snapToGrid w:val="0"/>
                <w:sz w:val="24"/>
                <w:szCs w:val="24"/>
              </w:rPr>
            </w:pPr>
            <w:r w:rsidRPr="003341CA">
              <w:rPr>
                <w:rFonts w:ascii="Times New Roman" w:eastAsia="Times New Roman" w:hAnsi="Times New Roman" w:cs="Times New Roman"/>
                <w:snapToGrid w:val="0"/>
                <w:sz w:val="24"/>
                <w:szCs w:val="24"/>
              </w:rPr>
              <w:t>$</w:t>
            </w:r>
            <w:r w:rsidR="00776176">
              <w:rPr>
                <w:rFonts w:ascii="Times New Roman" w:eastAsia="Times New Roman" w:hAnsi="Times New Roman" w:cs="Times New Roman"/>
                <w:snapToGrid w:val="0"/>
                <w:sz w:val="24"/>
                <w:szCs w:val="24"/>
              </w:rPr>
              <w:t>1,200.60</w:t>
            </w:r>
          </w:p>
        </w:tc>
        <w:tc>
          <w:tcPr>
            <w:tcW w:w="1620" w:type="dxa"/>
            <w:shd w:val="clear" w:color="auto" w:fill="auto"/>
            <w:vAlign w:val="center"/>
          </w:tcPr>
          <w:p w:rsidR="008D5CD0" w:rsidRPr="003341CA" w:rsidP="008D5CD0" w14:paraId="0E87B5BB" w14:textId="4ED67B2F">
            <w:pPr>
              <w:widowControl/>
              <w:spacing w:after="0" w:line="240" w:lineRule="auto"/>
              <w:ind w:left="-110" w:right="-110"/>
              <w:jc w:val="center"/>
              <w:rPr>
                <w:rFonts w:ascii="Times New Roman" w:hAnsi="Times New Roman" w:cs="Times New Roman"/>
                <w:color w:val="000000"/>
                <w:sz w:val="24"/>
                <w:szCs w:val="24"/>
              </w:rPr>
            </w:pPr>
            <w:r w:rsidRPr="003341CA">
              <w:rPr>
                <w:rFonts w:ascii="Times New Roman" w:hAnsi="Times New Roman" w:cs="Times New Roman"/>
                <w:color w:val="000000"/>
                <w:sz w:val="24"/>
                <w:szCs w:val="24"/>
              </w:rPr>
              <w:t>$</w:t>
            </w:r>
            <w:r w:rsidR="00776176">
              <w:rPr>
                <w:rFonts w:ascii="Times New Roman" w:hAnsi="Times New Roman" w:cs="Times New Roman"/>
                <w:color w:val="000000"/>
                <w:sz w:val="24"/>
                <w:szCs w:val="24"/>
              </w:rPr>
              <w:t>24,012.00</w:t>
            </w:r>
          </w:p>
        </w:tc>
      </w:tr>
      <w:tr w14:paraId="0828DB11" w14:textId="77777777" w:rsidTr="00615AFC">
        <w:tblPrEx>
          <w:tblW w:w="9625" w:type="dxa"/>
          <w:tblLayout w:type="fixed"/>
          <w:tblLook w:val="04A0"/>
        </w:tblPrEx>
        <w:trPr>
          <w:trHeight w:val="360"/>
        </w:trPr>
        <w:tc>
          <w:tcPr>
            <w:tcW w:w="2245" w:type="dxa"/>
            <w:shd w:val="clear" w:color="auto" w:fill="auto"/>
            <w:vAlign w:val="center"/>
          </w:tcPr>
          <w:p w:rsidR="00B31D68" w:rsidRPr="003341CA" w:rsidP="00B31D68" w14:paraId="2020AEBD" w14:textId="77777777">
            <w:pPr>
              <w:widowControl/>
              <w:spacing w:after="0" w:line="240" w:lineRule="auto"/>
              <w:rPr>
                <w:rFonts w:ascii="Times New Roman" w:eastAsia="Times New Roman" w:hAnsi="Times New Roman" w:cs="Times New Roman"/>
                <w:sz w:val="24"/>
                <w:szCs w:val="24"/>
              </w:rPr>
            </w:pPr>
            <w:r w:rsidRPr="003341CA">
              <w:rPr>
                <w:rFonts w:ascii="Times New Roman" w:eastAsia="Times New Roman" w:hAnsi="Times New Roman" w:cs="Times New Roman"/>
                <w:snapToGrid w:val="0"/>
                <w:sz w:val="24"/>
                <w:szCs w:val="24"/>
              </w:rPr>
              <w:t>Web and Digital Interface Designer</w:t>
            </w:r>
          </w:p>
        </w:tc>
        <w:tc>
          <w:tcPr>
            <w:tcW w:w="1440" w:type="dxa"/>
            <w:shd w:val="clear" w:color="auto" w:fill="auto"/>
            <w:vAlign w:val="center"/>
          </w:tcPr>
          <w:p w:rsidR="00B31D68" w:rsidRPr="00D87A4C" w:rsidP="003341CA" w14:paraId="20DC3DC9" w14:textId="154098B6">
            <w:pPr>
              <w:widowControl/>
              <w:spacing w:after="0" w:line="240" w:lineRule="auto"/>
              <w:jc w:val="center"/>
              <w:rPr>
                <w:rFonts w:ascii="Times New Roman" w:eastAsia="Times New Roman" w:hAnsi="Times New Roman" w:cs="Times New Roman"/>
                <w:sz w:val="24"/>
                <w:szCs w:val="24"/>
              </w:rPr>
            </w:pPr>
            <w:r w:rsidRPr="00D87A4C">
              <w:rPr>
                <w:rFonts w:ascii="Times New Roman" w:eastAsia="Times New Roman" w:hAnsi="Times New Roman" w:cs="Times New Roman"/>
                <w:snapToGrid w:val="0"/>
                <w:sz w:val="24"/>
                <w:szCs w:val="24"/>
              </w:rPr>
              <w:t>8</w:t>
            </w:r>
          </w:p>
        </w:tc>
        <w:tc>
          <w:tcPr>
            <w:tcW w:w="1710" w:type="dxa"/>
            <w:shd w:val="clear" w:color="auto" w:fill="auto"/>
            <w:vAlign w:val="center"/>
          </w:tcPr>
          <w:p w:rsidR="00B31D68" w:rsidRPr="003341CA" w:rsidP="003341CA" w14:paraId="3C3B198B" w14:textId="3D9965A5">
            <w:pPr>
              <w:widowControl/>
              <w:spacing w:after="0" w:line="240" w:lineRule="auto"/>
              <w:jc w:val="center"/>
              <w:rPr>
                <w:rFonts w:ascii="Times New Roman" w:eastAsia="Times New Roman" w:hAnsi="Times New Roman" w:cs="Times New Roman"/>
                <w:sz w:val="24"/>
                <w:szCs w:val="24"/>
              </w:rPr>
            </w:pPr>
            <w:r w:rsidRPr="003341CA">
              <w:rPr>
                <w:rFonts w:ascii="Times New Roman" w:eastAsia="Times New Roman" w:hAnsi="Times New Roman" w:cs="Times New Roman"/>
                <w:snapToGrid w:val="0"/>
                <w:sz w:val="24"/>
                <w:szCs w:val="24"/>
              </w:rPr>
              <w:t>$</w:t>
            </w:r>
            <w:r w:rsidR="00CE76D8">
              <w:rPr>
                <w:rFonts w:ascii="Times New Roman" w:eastAsia="Times New Roman" w:hAnsi="Times New Roman" w:cs="Times New Roman"/>
                <w:snapToGrid w:val="0"/>
                <w:sz w:val="24"/>
                <w:szCs w:val="24"/>
              </w:rPr>
              <w:t>80.04</w:t>
            </w:r>
          </w:p>
        </w:tc>
        <w:tc>
          <w:tcPr>
            <w:tcW w:w="1080" w:type="dxa"/>
            <w:shd w:val="clear" w:color="auto" w:fill="auto"/>
            <w:vAlign w:val="center"/>
          </w:tcPr>
          <w:p w:rsidR="00B31D68" w:rsidRPr="00847D61" w:rsidP="003341CA" w14:paraId="424FB4F3" w14:textId="2F58B9D5">
            <w:pPr>
              <w:widowControl/>
              <w:spacing w:after="0" w:line="240" w:lineRule="auto"/>
              <w:jc w:val="center"/>
              <w:rPr>
                <w:rFonts w:ascii="Times New Roman" w:eastAsia="Times New Roman" w:hAnsi="Times New Roman" w:cs="Times New Roman"/>
                <w:sz w:val="24"/>
                <w:szCs w:val="24"/>
              </w:rPr>
            </w:pPr>
            <w:r w:rsidRPr="00847D61">
              <w:rPr>
                <w:rFonts w:ascii="Times New Roman" w:eastAsia="Times New Roman" w:hAnsi="Times New Roman" w:cs="Times New Roman"/>
                <w:snapToGrid w:val="0"/>
                <w:sz w:val="24"/>
                <w:szCs w:val="24"/>
              </w:rPr>
              <w:t>100</w:t>
            </w:r>
          </w:p>
        </w:tc>
        <w:tc>
          <w:tcPr>
            <w:tcW w:w="1530" w:type="dxa"/>
            <w:shd w:val="clear" w:color="auto" w:fill="auto"/>
            <w:vAlign w:val="center"/>
          </w:tcPr>
          <w:p w:rsidR="00B31D68" w:rsidRPr="003341CA" w:rsidP="003341CA" w14:paraId="06DDA4C0" w14:textId="40DD44A1">
            <w:pPr>
              <w:widowControl/>
              <w:spacing w:after="0" w:line="240" w:lineRule="auto"/>
              <w:jc w:val="center"/>
              <w:rPr>
                <w:rFonts w:ascii="Times New Roman" w:eastAsia="Times New Roman" w:hAnsi="Times New Roman" w:cs="Times New Roman"/>
                <w:snapToGrid w:val="0"/>
                <w:sz w:val="24"/>
                <w:szCs w:val="24"/>
              </w:rPr>
            </w:pPr>
            <w:r w:rsidRPr="003341CA">
              <w:rPr>
                <w:rFonts w:ascii="Times New Roman" w:eastAsia="Times New Roman" w:hAnsi="Times New Roman" w:cs="Times New Roman"/>
                <w:snapToGrid w:val="0"/>
                <w:sz w:val="24"/>
                <w:szCs w:val="24"/>
              </w:rPr>
              <w:t>$</w:t>
            </w:r>
            <w:r w:rsidR="00CE76D8">
              <w:rPr>
                <w:rFonts w:ascii="Times New Roman" w:eastAsia="Times New Roman" w:hAnsi="Times New Roman" w:cs="Times New Roman"/>
                <w:snapToGrid w:val="0"/>
                <w:sz w:val="24"/>
                <w:szCs w:val="24"/>
              </w:rPr>
              <w:t>8,004.00</w:t>
            </w:r>
          </w:p>
        </w:tc>
        <w:tc>
          <w:tcPr>
            <w:tcW w:w="1620" w:type="dxa"/>
            <w:shd w:val="clear" w:color="auto" w:fill="auto"/>
            <w:vAlign w:val="center"/>
          </w:tcPr>
          <w:p w:rsidR="00B31D68" w:rsidRPr="003341CA" w:rsidP="003341CA" w14:paraId="00FD155A" w14:textId="6A2F4167">
            <w:pPr>
              <w:widowControl/>
              <w:spacing w:after="0" w:line="240" w:lineRule="auto"/>
              <w:jc w:val="center"/>
              <w:rPr>
                <w:rFonts w:ascii="Times New Roman" w:eastAsia="Times New Roman" w:hAnsi="Times New Roman" w:cs="Times New Roman"/>
                <w:sz w:val="24"/>
                <w:szCs w:val="24"/>
              </w:rPr>
            </w:pPr>
            <w:r w:rsidRPr="003341CA">
              <w:rPr>
                <w:rFonts w:ascii="Times New Roman" w:hAnsi="Times New Roman" w:cs="Times New Roman"/>
                <w:color w:val="000000"/>
                <w:sz w:val="24"/>
                <w:szCs w:val="24"/>
              </w:rPr>
              <w:t>$</w:t>
            </w:r>
            <w:r w:rsidR="00776176">
              <w:rPr>
                <w:rFonts w:ascii="Times New Roman" w:hAnsi="Times New Roman" w:cs="Times New Roman"/>
                <w:color w:val="000000"/>
                <w:sz w:val="24"/>
                <w:szCs w:val="24"/>
              </w:rPr>
              <w:t>64,032.00</w:t>
            </w:r>
          </w:p>
        </w:tc>
      </w:tr>
      <w:tr w14:paraId="7FE286E1" w14:textId="77777777" w:rsidTr="00615AFC">
        <w:tblPrEx>
          <w:tblW w:w="9625" w:type="dxa"/>
          <w:tblLayout w:type="fixed"/>
          <w:tblLook w:val="04A0"/>
        </w:tblPrEx>
        <w:trPr>
          <w:trHeight w:val="360"/>
        </w:trPr>
        <w:tc>
          <w:tcPr>
            <w:tcW w:w="2245" w:type="dxa"/>
            <w:shd w:val="clear" w:color="auto" w:fill="auto"/>
            <w:vAlign w:val="center"/>
          </w:tcPr>
          <w:p w:rsidR="005A703E" w:rsidRPr="003341CA" w:rsidP="005A703E" w14:paraId="07C677C3" w14:textId="77777777">
            <w:pPr>
              <w:widowControl/>
              <w:spacing w:after="0" w:line="240" w:lineRule="auto"/>
              <w:rPr>
                <w:rFonts w:ascii="Times New Roman" w:eastAsia="Times New Roman" w:hAnsi="Times New Roman" w:cs="Times New Roman"/>
                <w:sz w:val="24"/>
                <w:szCs w:val="24"/>
              </w:rPr>
            </w:pPr>
            <w:r w:rsidRPr="003341CA">
              <w:rPr>
                <w:rFonts w:ascii="Times New Roman" w:eastAsia="Times New Roman" w:hAnsi="Times New Roman" w:cs="Times New Roman"/>
                <w:sz w:val="24"/>
                <w:szCs w:val="24"/>
              </w:rPr>
              <w:t>Web and Digital Interface Designer</w:t>
            </w:r>
          </w:p>
        </w:tc>
        <w:tc>
          <w:tcPr>
            <w:tcW w:w="1440" w:type="dxa"/>
            <w:shd w:val="clear" w:color="auto" w:fill="auto"/>
            <w:vAlign w:val="center"/>
          </w:tcPr>
          <w:p w:rsidR="005A703E" w:rsidRPr="00D87A4C" w:rsidP="003341CA" w14:paraId="63ED2CEF" w14:textId="00060E5B">
            <w:pPr>
              <w:widowControl/>
              <w:spacing w:after="0" w:line="240" w:lineRule="auto"/>
              <w:jc w:val="center"/>
              <w:rPr>
                <w:rFonts w:ascii="Times New Roman" w:eastAsia="Times New Roman" w:hAnsi="Times New Roman" w:cs="Times New Roman"/>
                <w:sz w:val="24"/>
                <w:szCs w:val="24"/>
              </w:rPr>
            </w:pPr>
            <w:r w:rsidRPr="00D87A4C">
              <w:rPr>
                <w:rFonts w:ascii="Times New Roman" w:eastAsia="Times New Roman" w:hAnsi="Times New Roman" w:cs="Times New Roman"/>
                <w:sz w:val="24"/>
                <w:szCs w:val="24"/>
              </w:rPr>
              <w:t>20</w:t>
            </w:r>
          </w:p>
        </w:tc>
        <w:tc>
          <w:tcPr>
            <w:tcW w:w="1710" w:type="dxa"/>
            <w:shd w:val="clear" w:color="auto" w:fill="auto"/>
            <w:vAlign w:val="center"/>
          </w:tcPr>
          <w:p w:rsidR="005A703E" w:rsidRPr="003341CA" w:rsidP="003341CA" w14:paraId="1CE1B667" w14:textId="027B331B">
            <w:pPr>
              <w:widowControl/>
              <w:spacing w:after="0" w:line="240" w:lineRule="auto"/>
              <w:jc w:val="center"/>
              <w:rPr>
                <w:rFonts w:ascii="Times New Roman" w:eastAsia="Times New Roman" w:hAnsi="Times New Roman" w:cs="Times New Roman"/>
                <w:sz w:val="24"/>
                <w:szCs w:val="24"/>
              </w:rPr>
            </w:pPr>
            <w:r w:rsidRPr="003341CA">
              <w:rPr>
                <w:rFonts w:ascii="Times New Roman" w:eastAsia="Times New Roman" w:hAnsi="Times New Roman" w:cs="Times New Roman"/>
                <w:sz w:val="24"/>
                <w:szCs w:val="24"/>
              </w:rPr>
              <w:t>$</w:t>
            </w:r>
            <w:r w:rsidR="00CE76D8">
              <w:rPr>
                <w:rFonts w:ascii="Times New Roman" w:eastAsia="Times New Roman" w:hAnsi="Times New Roman" w:cs="Times New Roman"/>
                <w:snapToGrid w:val="0"/>
                <w:sz w:val="24"/>
                <w:szCs w:val="24"/>
              </w:rPr>
              <w:t>80.04</w:t>
            </w:r>
          </w:p>
        </w:tc>
        <w:tc>
          <w:tcPr>
            <w:tcW w:w="1080" w:type="dxa"/>
            <w:shd w:val="clear" w:color="auto" w:fill="auto"/>
            <w:vAlign w:val="center"/>
          </w:tcPr>
          <w:p w:rsidR="005A703E" w:rsidRPr="00847D61" w:rsidP="003341CA" w14:paraId="1A1F3E46" w14:textId="06706B41">
            <w:pPr>
              <w:widowControl/>
              <w:spacing w:after="0" w:line="240" w:lineRule="auto"/>
              <w:jc w:val="center"/>
              <w:rPr>
                <w:rFonts w:ascii="Times New Roman" w:eastAsia="Times New Roman" w:hAnsi="Times New Roman" w:cs="Times New Roman"/>
                <w:sz w:val="24"/>
                <w:szCs w:val="24"/>
              </w:rPr>
            </w:pPr>
            <w:r w:rsidRPr="00847D61">
              <w:rPr>
                <w:rFonts w:ascii="Times New Roman" w:eastAsia="Times New Roman" w:hAnsi="Times New Roman" w:cs="Times New Roman"/>
                <w:sz w:val="24"/>
                <w:szCs w:val="24"/>
              </w:rPr>
              <w:t>150</w:t>
            </w:r>
          </w:p>
        </w:tc>
        <w:tc>
          <w:tcPr>
            <w:tcW w:w="1530" w:type="dxa"/>
            <w:shd w:val="clear" w:color="auto" w:fill="auto"/>
            <w:vAlign w:val="center"/>
          </w:tcPr>
          <w:p w:rsidR="005A703E" w:rsidRPr="003341CA" w:rsidP="003341CA" w14:paraId="2616FABE" w14:textId="4B643F64">
            <w:pPr>
              <w:widowControl/>
              <w:spacing w:after="0" w:line="240" w:lineRule="auto"/>
              <w:jc w:val="center"/>
              <w:rPr>
                <w:rFonts w:ascii="Times New Roman" w:eastAsia="Times New Roman" w:hAnsi="Times New Roman" w:cs="Times New Roman"/>
                <w:snapToGrid w:val="0"/>
                <w:sz w:val="24"/>
                <w:szCs w:val="24"/>
              </w:rPr>
            </w:pPr>
            <w:r w:rsidRPr="003341CA">
              <w:rPr>
                <w:rFonts w:ascii="Times New Roman" w:eastAsia="Times New Roman" w:hAnsi="Times New Roman" w:cs="Times New Roman"/>
                <w:snapToGrid w:val="0"/>
                <w:sz w:val="24"/>
                <w:szCs w:val="24"/>
              </w:rPr>
              <w:t>$</w:t>
            </w:r>
            <w:r w:rsidR="009F21EA">
              <w:rPr>
                <w:rFonts w:ascii="Times New Roman" w:eastAsia="Times New Roman" w:hAnsi="Times New Roman" w:cs="Times New Roman"/>
                <w:snapToGrid w:val="0"/>
                <w:sz w:val="24"/>
                <w:szCs w:val="24"/>
              </w:rPr>
              <w:t>12,006.00</w:t>
            </w:r>
          </w:p>
        </w:tc>
        <w:tc>
          <w:tcPr>
            <w:tcW w:w="1620" w:type="dxa"/>
            <w:shd w:val="clear" w:color="auto" w:fill="auto"/>
            <w:vAlign w:val="center"/>
          </w:tcPr>
          <w:p w:rsidR="005A703E" w:rsidRPr="003341CA" w:rsidP="003341CA" w14:paraId="7CBD2933" w14:textId="4D11A3FC">
            <w:pPr>
              <w:widowControl/>
              <w:spacing w:after="0" w:line="240" w:lineRule="auto"/>
              <w:jc w:val="center"/>
              <w:rPr>
                <w:rFonts w:ascii="Times New Roman" w:eastAsia="Times New Roman" w:hAnsi="Times New Roman" w:cs="Times New Roman"/>
                <w:sz w:val="24"/>
                <w:szCs w:val="24"/>
              </w:rPr>
            </w:pPr>
            <w:r w:rsidRPr="003341CA">
              <w:rPr>
                <w:rFonts w:ascii="Times New Roman" w:hAnsi="Times New Roman" w:cs="Times New Roman"/>
                <w:color w:val="000000"/>
                <w:sz w:val="24"/>
                <w:szCs w:val="24"/>
              </w:rPr>
              <w:t>$</w:t>
            </w:r>
            <w:r w:rsidR="00776176">
              <w:rPr>
                <w:rFonts w:ascii="Times New Roman" w:hAnsi="Times New Roman" w:cs="Times New Roman"/>
                <w:color w:val="000000"/>
                <w:sz w:val="24"/>
                <w:szCs w:val="24"/>
              </w:rPr>
              <w:t>240,120.00</w:t>
            </w:r>
          </w:p>
        </w:tc>
      </w:tr>
      <w:tr w14:paraId="2FAD86BB" w14:textId="77777777" w:rsidTr="00615AFC">
        <w:tblPrEx>
          <w:tblW w:w="9625" w:type="dxa"/>
          <w:tblLayout w:type="fixed"/>
          <w:tblLook w:val="04A0"/>
        </w:tblPrEx>
        <w:trPr>
          <w:trHeight w:val="360"/>
        </w:trPr>
        <w:tc>
          <w:tcPr>
            <w:tcW w:w="2245" w:type="dxa"/>
            <w:shd w:val="clear" w:color="auto" w:fill="auto"/>
            <w:vAlign w:val="center"/>
          </w:tcPr>
          <w:p w:rsidR="005A703E" w:rsidRPr="003341CA" w:rsidP="005A703E" w14:paraId="305D6199" w14:textId="77777777">
            <w:pPr>
              <w:widowControl/>
              <w:spacing w:after="0" w:line="240" w:lineRule="auto"/>
              <w:rPr>
                <w:rFonts w:ascii="Times New Roman" w:eastAsia="Times New Roman" w:hAnsi="Times New Roman" w:cs="Times New Roman"/>
                <w:sz w:val="24"/>
                <w:szCs w:val="24"/>
              </w:rPr>
            </w:pPr>
            <w:r w:rsidRPr="003341CA">
              <w:rPr>
                <w:rFonts w:ascii="Times New Roman" w:eastAsia="Times New Roman" w:hAnsi="Times New Roman" w:cs="Times New Roman"/>
                <w:sz w:val="24"/>
                <w:szCs w:val="24"/>
              </w:rPr>
              <w:t>Compliance Officer</w:t>
            </w:r>
          </w:p>
        </w:tc>
        <w:tc>
          <w:tcPr>
            <w:tcW w:w="1440" w:type="dxa"/>
            <w:shd w:val="clear" w:color="auto" w:fill="auto"/>
            <w:vAlign w:val="center"/>
          </w:tcPr>
          <w:p w:rsidR="005A703E" w:rsidRPr="00D87A4C" w:rsidP="003341CA" w14:paraId="0975E7CD" w14:textId="24148E10">
            <w:pPr>
              <w:widowControl/>
              <w:spacing w:after="0" w:line="240" w:lineRule="auto"/>
              <w:jc w:val="center"/>
              <w:rPr>
                <w:rFonts w:ascii="Times New Roman" w:eastAsia="Times New Roman" w:hAnsi="Times New Roman" w:cs="Times New Roman"/>
                <w:sz w:val="24"/>
                <w:szCs w:val="24"/>
              </w:rPr>
            </w:pPr>
            <w:r w:rsidRPr="00D87A4C">
              <w:rPr>
                <w:rFonts w:ascii="Times New Roman" w:eastAsia="Times New Roman" w:hAnsi="Times New Roman" w:cs="Times New Roman"/>
                <w:sz w:val="24"/>
                <w:szCs w:val="24"/>
              </w:rPr>
              <w:t>7</w:t>
            </w:r>
          </w:p>
        </w:tc>
        <w:tc>
          <w:tcPr>
            <w:tcW w:w="1710" w:type="dxa"/>
            <w:shd w:val="clear" w:color="auto" w:fill="auto"/>
            <w:vAlign w:val="center"/>
          </w:tcPr>
          <w:p w:rsidR="005A703E" w:rsidRPr="003341CA" w:rsidP="003341CA" w14:paraId="0B4A6650" w14:textId="27BCA5C9">
            <w:pPr>
              <w:widowControl/>
              <w:spacing w:after="0" w:line="240" w:lineRule="auto"/>
              <w:jc w:val="center"/>
              <w:rPr>
                <w:rFonts w:ascii="Times New Roman" w:eastAsia="Times New Roman" w:hAnsi="Times New Roman" w:cs="Times New Roman"/>
                <w:sz w:val="24"/>
                <w:szCs w:val="24"/>
              </w:rPr>
            </w:pPr>
            <w:r w:rsidRPr="003341CA">
              <w:rPr>
                <w:rFonts w:ascii="Times New Roman" w:eastAsia="Times New Roman" w:hAnsi="Times New Roman" w:cs="Times New Roman"/>
                <w:sz w:val="24"/>
                <w:szCs w:val="24"/>
              </w:rPr>
              <w:t>$</w:t>
            </w:r>
            <w:r w:rsidR="00CE76D8">
              <w:rPr>
                <w:rFonts w:ascii="Times New Roman" w:eastAsia="Times New Roman" w:hAnsi="Times New Roman" w:cs="Times New Roman"/>
                <w:sz w:val="24"/>
                <w:szCs w:val="24"/>
              </w:rPr>
              <w:t>68.94</w:t>
            </w:r>
          </w:p>
        </w:tc>
        <w:tc>
          <w:tcPr>
            <w:tcW w:w="1080" w:type="dxa"/>
            <w:shd w:val="clear" w:color="auto" w:fill="auto"/>
            <w:vAlign w:val="center"/>
          </w:tcPr>
          <w:p w:rsidR="005A703E" w:rsidRPr="00847D61" w:rsidP="003341CA" w14:paraId="4043BF70" w14:textId="393A2B20">
            <w:pPr>
              <w:widowControl/>
              <w:spacing w:after="0" w:line="240" w:lineRule="auto"/>
              <w:jc w:val="center"/>
              <w:rPr>
                <w:rFonts w:ascii="Times New Roman" w:eastAsia="Times New Roman" w:hAnsi="Times New Roman" w:cs="Times New Roman"/>
                <w:sz w:val="24"/>
                <w:szCs w:val="24"/>
              </w:rPr>
            </w:pPr>
            <w:r w:rsidRPr="00847D61">
              <w:rPr>
                <w:rFonts w:ascii="Times New Roman" w:eastAsia="Times New Roman" w:hAnsi="Times New Roman" w:cs="Times New Roman"/>
                <w:sz w:val="24"/>
                <w:szCs w:val="24"/>
              </w:rPr>
              <w:t>15</w:t>
            </w:r>
          </w:p>
        </w:tc>
        <w:tc>
          <w:tcPr>
            <w:tcW w:w="1530" w:type="dxa"/>
            <w:shd w:val="clear" w:color="auto" w:fill="auto"/>
            <w:vAlign w:val="center"/>
          </w:tcPr>
          <w:p w:rsidR="005A703E" w:rsidRPr="003341CA" w:rsidP="003341CA" w14:paraId="02140442" w14:textId="0B30C572">
            <w:pPr>
              <w:widowControl/>
              <w:spacing w:after="0" w:line="240" w:lineRule="auto"/>
              <w:jc w:val="center"/>
              <w:rPr>
                <w:rFonts w:ascii="Times New Roman" w:eastAsia="Times New Roman" w:hAnsi="Times New Roman" w:cs="Times New Roman"/>
                <w:snapToGrid w:val="0"/>
                <w:sz w:val="24"/>
                <w:szCs w:val="24"/>
              </w:rPr>
            </w:pPr>
            <w:r w:rsidRPr="003341CA">
              <w:rPr>
                <w:rFonts w:ascii="Times New Roman" w:eastAsia="Times New Roman" w:hAnsi="Times New Roman" w:cs="Times New Roman"/>
                <w:snapToGrid w:val="0"/>
                <w:sz w:val="24"/>
                <w:szCs w:val="24"/>
              </w:rPr>
              <w:t>$</w:t>
            </w:r>
            <w:r w:rsidR="009F21EA">
              <w:rPr>
                <w:rFonts w:ascii="Times New Roman" w:eastAsia="Times New Roman" w:hAnsi="Times New Roman" w:cs="Times New Roman"/>
                <w:snapToGrid w:val="0"/>
                <w:sz w:val="24"/>
                <w:szCs w:val="24"/>
              </w:rPr>
              <w:t>1,034.10</w:t>
            </w:r>
          </w:p>
        </w:tc>
        <w:tc>
          <w:tcPr>
            <w:tcW w:w="1620" w:type="dxa"/>
            <w:shd w:val="clear" w:color="auto" w:fill="auto"/>
            <w:vAlign w:val="center"/>
          </w:tcPr>
          <w:p w:rsidR="005A703E" w:rsidRPr="003341CA" w:rsidP="003341CA" w14:paraId="54F3FFEA" w14:textId="439AC6F7">
            <w:pPr>
              <w:widowControl/>
              <w:spacing w:after="0" w:line="240" w:lineRule="auto"/>
              <w:jc w:val="center"/>
              <w:rPr>
                <w:rFonts w:ascii="Times New Roman" w:eastAsia="Times New Roman" w:hAnsi="Times New Roman" w:cs="Times New Roman"/>
                <w:sz w:val="24"/>
                <w:szCs w:val="24"/>
              </w:rPr>
            </w:pPr>
            <w:r w:rsidRPr="003341CA">
              <w:rPr>
                <w:rFonts w:ascii="Times New Roman" w:hAnsi="Times New Roman" w:cs="Times New Roman"/>
                <w:color w:val="000000"/>
                <w:sz w:val="24"/>
                <w:szCs w:val="24"/>
              </w:rPr>
              <w:t>$</w:t>
            </w:r>
            <w:r w:rsidR="00776176">
              <w:rPr>
                <w:rFonts w:ascii="Times New Roman" w:hAnsi="Times New Roman" w:cs="Times New Roman"/>
                <w:color w:val="000000"/>
                <w:sz w:val="24"/>
                <w:szCs w:val="24"/>
              </w:rPr>
              <w:t>7,238.70</w:t>
            </w:r>
          </w:p>
        </w:tc>
      </w:tr>
      <w:tr w14:paraId="6DF07AB2" w14:textId="77777777" w:rsidTr="00B14657">
        <w:tblPrEx>
          <w:tblW w:w="9625" w:type="dxa"/>
          <w:tblLayout w:type="fixed"/>
          <w:tblLook w:val="04A0"/>
        </w:tblPrEx>
        <w:trPr>
          <w:trHeight w:val="360"/>
        </w:trPr>
        <w:tc>
          <w:tcPr>
            <w:tcW w:w="2245" w:type="dxa"/>
            <w:shd w:val="clear" w:color="auto" w:fill="auto"/>
            <w:vAlign w:val="center"/>
            <w:hideMark/>
          </w:tcPr>
          <w:p w:rsidR="00542411" w:rsidRPr="003341CA" w:rsidP="00B14657" w14:paraId="2F1692CB" w14:textId="77777777">
            <w:pPr>
              <w:widowControl/>
              <w:spacing w:after="0" w:line="240" w:lineRule="auto"/>
              <w:rPr>
                <w:rFonts w:ascii="Times New Roman" w:eastAsia="Times New Roman" w:hAnsi="Times New Roman" w:cs="Times New Roman"/>
                <w:sz w:val="24"/>
                <w:szCs w:val="24"/>
              </w:rPr>
            </w:pPr>
            <w:r w:rsidRPr="003341CA">
              <w:rPr>
                <w:rFonts w:ascii="Times New Roman" w:eastAsia="Times New Roman" w:hAnsi="Times New Roman" w:cs="Times New Roman"/>
                <w:sz w:val="24"/>
                <w:szCs w:val="24"/>
              </w:rPr>
              <w:t>Compliance Officer</w:t>
            </w:r>
          </w:p>
        </w:tc>
        <w:tc>
          <w:tcPr>
            <w:tcW w:w="1440" w:type="dxa"/>
            <w:shd w:val="clear" w:color="auto" w:fill="auto"/>
            <w:vAlign w:val="center"/>
            <w:hideMark/>
          </w:tcPr>
          <w:p w:rsidR="00542411" w:rsidRPr="00D87A4C" w:rsidP="00B14657" w14:paraId="100A4DF1" w14:textId="5C6AE26D">
            <w:pPr>
              <w:widowControl/>
              <w:spacing w:after="0" w:line="240" w:lineRule="auto"/>
              <w:jc w:val="center"/>
              <w:rPr>
                <w:rFonts w:ascii="Times New Roman" w:eastAsia="Times New Roman" w:hAnsi="Times New Roman" w:cs="Times New Roman"/>
                <w:sz w:val="24"/>
                <w:szCs w:val="24"/>
              </w:rPr>
            </w:pPr>
            <w:r w:rsidRPr="00D87A4C">
              <w:rPr>
                <w:rFonts w:ascii="Times New Roman" w:eastAsia="Times New Roman" w:hAnsi="Times New Roman" w:cs="Times New Roman"/>
                <w:sz w:val="24"/>
                <w:szCs w:val="24"/>
              </w:rPr>
              <w:t>20</w:t>
            </w:r>
          </w:p>
        </w:tc>
        <w:tc>
          <w:tcPr>
            <w:tcW w:w="1710" w:type="dxa"/>
            <w:shd w:val="clear" w:color="auto" w:fill="auto"/>
            <w:vAlign w:val="center"/>
            <w:hideMark/>
          </w:tcPr>
          <w:p w:rsidR="00542411" w:rsidRPr="003341CA" w:rsidP="00B14657" w14:paraId="765CC202" w14:textId="2581E1FA">
            <w:pPr>
              <w:widowControl/>
              <w:spacing w:after="0" w:line="240" w:lineRule="auto"/>
              <w:jc w:val="center"/>
              <w:rPr>
                <w:rFonts w:ascii="Times New Roman" w:eastAsia="Times New Roman" w:hAnsi="Times New Roman" w:cs="Times New Roman"/>
                <w:sz w:val="24"/>
                <w:szCs w:val="24"/>
              </w:rPr>
            </w:pPr>
            <w:r w:rsidRPr="003341CA">
              <w:rPr>
                <w:rFonts w:ascii="Times New Roman" w:eastAsia="Times New Roman" w:hAnsi="Times New Roman" w:cs="Times New Roman"/>
                <w:sz w:val="24"/>
                <w:szCs w:val="24"/>
              </w:rPr>
              <w:t>$</w:t>
            </w:r>
            <w:r w:rsidR="00CE76D8">
              <w:rPr>
                <w:rFonts w:ascii="Times New Roman" w:eastAsia="Times New Roman" w:hAnsi="Times New Roman" w:cs="Times New Roman"/>
                <w:sz w:val="24"/>
                <w:szCs w:val="24"/>
              </w:rPr>
              <w:t>68.94</w:t>
            </w:r>
          </w:p>
        </w:tc>
        <w:tc>
          <w:tcPr>
            <w:tcW w:w="1080" w:type="dxa"/>
            <w:shd w:val="clear" w:color="auto" w:fill="auto"/>
            <w:vAlign w:val="center"/>
            <w:hideMark/>
          </w:tcPr>
          <w:p w:rsidR="00542411" w:rsidRPr="003341CA" w:rsidP="00B14657" w14:paraId="5F8BAE0D" w14:textId="23CFD2B1">
            <w:pPr>
              <w:widowControl/>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750</w:t>
            </w:r>
          </w:p>
        </w:tc>
        <w:tc>
          <w:tcPr>
            <w:tcW w:w="1530" w:type="dxa"/>
            <w:shd w:val="clear" w:color="auto" w:fill="auto"/>
            <w:vAlign w:val="center"/>
            <w:hideMark/>
          </w:tcPr>
          <w:p w:rsidR="00542411" w:rsidRPr="003341CA" w:rsidP="00B14657" w14:paraId="0CA11526" w14:textId="76D2856C">
            <w:pPr>
              <w:widowControl/>
              <w:spacing w:after="0" w:line="240" w:lineRule="auto"/>
              <w:jc w:val="center"/>
              <w:rPr>
                <w:rFonts w:ascii="Times New Roman" w:eastAsia="Times New Roman" w:hAnsi="Times New Roman" w:cs="Times New Roman"/>
                <w:sz w:val="24"/>
                <w:szCs w:val="24"/>
              </w:rPr>
            </w:pPr>
            <w:r w:rsidRPr="003341CA">
              <w:rPr>
                <w:rFonts w:ascii="Times New Roman" w:eastAsia="Times New Roman" w:hAnsi="Times New Roman" w:cs="Times New Roman"/>
                <w:sz w:val="24"/>
                <w:szCs w:val="24"/>
              </w:rPr>
              <w:t>$</w:t>
            </w:r>
            <w:r w:rsidR="00E11DBE">
              <w:rPr>
                <w:rFonts w:ascii="Times New Roman" w:eastAsia="Times New Roman" w:hAnsi="Times New Roman" w:cs="Times New Roman"/>
                <w:sz w:val="24"/>
                <w:szCs w:val="24"/>
              </w:rPr>
              <w:t>51,705</w:t>
            </w:r>
            <w:r w:rsidR="000F6E23">
              <w:rPr>
                <w:rFonts w:ascii="Times New Roman" w:eastAsia="Times New Roman" w:hAnsi="Times New Roman" w:cs="Times New Roman"/>
                <w:sz w:val="24"/>
                <w:szCs w:val="24"/>
              </w:rPr>
              <w:t>.00</w:t>
            </w:r>
          </w:p>
        </w:tc>
        <w:tc>
          <w:tcPr>
            <w:tcW w:w="1620" w:type="dxa"/>
            <w:shd w:val="clear" w:color="auto" w:fill="auto"/>
            <w:vAlign w:val="center"/>
            <w:hideMark/>
          </w:tcPr>
          <w:p w:rsidR="00542411" w:rsidRPr="003341CA" w:rsidP="00B14657" w14:paraId="2CCA74D3" w14:textId="1097E187">
            <w:pPr>
              <w:widowControl/>
              <w:spacing w:after="0" w:line="240" w:lineRule="auto"/>
              <w:jc w:val="center"/>
              <w:rPr>
                <w:rFonts w:ascii="Times New Roman" w:eastAsia="Times New Roman" w:hAnsi="Times New Roman" w:cs="Times New Roman"/>
                <w:sz w:val="24"/>
                <w:szCs w:val="24"/>
              </w:rPr>
            </w:pPr>
            <w:r w:rsidRPr="003341CA">
              <w:rPr>
                <w:rFonts w:ascii="Times New Roman" w:eastAsia="Times New Roman" w:hAnsi="Times New Roman" w:cs="Times New Roman"/>
                <w:sz w:val="24"/>
                <w:szCs w:val="24"/>
              </w:rPr>
              <w:t>$</w:t>
            </w:r>
            <w:r w:rsidR="00E11DBE">
              <w:rPr>
                <w:rFonts w:ascii="Times New Roman" w:eastAsia="Times New Roman" w:hAnsi="Times New Roman" w:cs="Times New Roman"/>
                <w:sz w:val="24"/>
                <w:szCs w:val="24"/>
              </w:rPr>
              <w:t>1,034,100</w:t>
            </w:r>
            <w:r w:rsidR="009F21EA">
              <w:rPr>
                <w:rFonts w:ascii="Times New Roman" w:eastAsia="Times New Roman" w:hAnsi="Times New Roman" w:cs="Times New Roman"/>
                <w:sz w:val="24"/>
                <w:szCs w:val="24"/>
              </w:rPr>
              <w:t>.00</w:t>
            </w:r>
          </w:p>
        </w:tc>
      </w:tr>
      <w:tr w14:paraId="17C08455" w14:textId="77777777" w:rsidTr="00B14657">
        <w:tblPrEx>
          <w:tblW w:w="9625" w:type="dxa"/>
          <w:tblLayout w:type="fixed"/>
          <w:tblLook w:val="04A0"/>
        </w:tblPrEx>
        <w:trPr>
          <w:trHeight w:hRule="exact" w:val="334"/>
        </w:trPr>
        <w:tc>
          <w:tcPr>
            <w:tcW w:w="2245" w:type="dxa"/>
            <w:shd w:val="clear" w:color="auto" w:fill="auto"/>
            <w:vAlign w:val="center"/>
            <w:hideMark/>
          </w:tcPr>
          <w:p w:rsidR="00561C04" w:rsidRPr="003341CA" w:rsidP="00561C04" w14:paraId="3D9FF9C6" w14:textId="77777777">
            <w:pPr>
              <w:widowControl/>
              <w:spacing w:after="0" w:line="240" w:lineRule="auto"/>
              <w:rPr>
                <w:rFonts w:ascii="Times New Roman" w:eastAsia="Times New Roman" w:hAnsi="Times New Roman" w:cs="Times New Roman"/>
                <w:b/>
                <w:bCs/>
                <w:sz w:val="24"/>
                <w:szCs w:val="24"/>
              </w:rPr>
            </w:pPr>
            <w:r w:rsidRPr="003341CA">
              <w:rPr>
                <w:rFonts w:ascii="Times New Roman" w:eastAsia="Times New Roman" w:hAnsi="Times New Roman" w:cs="Times New Roman"/>
                <w:b/>
                <w:bCs/>
                <w:sz w:val="24"/>
                <w:szCs w:val="24"/>
              </w:rPr>
              <w:t>Total</w:t>
            </w:r>
          </w:p>
        </w:tc>
        <w:tc>
          <w:tcPr>
            <w:tcW w:w="1440" w:type="dxa"/>
            <w:shd w:val="clear" w:color="auto" w:fill="auto"/>
            <w:vAlign w:val="center"/>
            <w:hideMark/>
          </w:tcPr>
          <w:p w:rsidR="00561C04" w:rsidRPr="003341CA" w:rsidP="003341CA" w14:paraId="3D3DE531" w14:textId="6E3F4D0A">
            <w:pPr>
              <w:widowControl/>
              <w:spacing w:after="0" w:line="240" w:lineRule="auto"/>
              <w:jc w:val="center"/>
              <w:rPr>
                <w:rFonts w:ascii="Times New Roman" w:eastAsia="Times New Roman" w:hAnsi="Times New Roman" w:cs="Times New Roman"/>
                <w:b/>
                <w:bCs/>
                <w:sz w:val="24"/>
                <w:szCs w:val="24"/>
              </w:rPr>
            </w:pPr>
          </w:p>
        </w:tc>
        <w:tc>
          <w:tcPr>
            <w:tcW w:w="1710" w:type="dxa"/>
            <w:shd w:val="clear" w:color="auto" w:fill="auto"/>
            <w:vAlign w:val="center"/>
            <w:hideMark/>
          </w:tcPr>
          <w:p w:rsidR="00561C04" w:rsidRPr="003341CA" w:rsidP="003341CA" w14:paraId="0A8E4E7D" w14:textId="065E88D0">
            <w:pPr>
              <w:widowControl/>
              <w:spacing w:after="0" w:line="240" w:lineRule="auto"/>
              <w:jc w:val="center"/>
              <w:rPr>
                <w:rFonts w:ascii="Times New Roman" w:eastAsia="Times New Roman" w:hAnsi="Times New Roman" w:cs="Times New Roman"/>
                <w:b/>
                <w:bCs/>
                <w:sz w:val="24"/>
                <w:szCs w:val="24"/>
              </w:rPr>
            </w:pPr>
          </w:p>
        </w:tc>
        <w:tc>
          <w:tcPr>
            <w:tcW w:w="1080" w:type="dxa"/>
            <w:shd w:val="clear" w:color="auto" w:fill="auto"/>
            <w:vAlign w:val="center"/>
            <w:hideMark/>
          </w:tcPr>
          <w:p w:rsidR="00561C04" w:rsidRPr="003341CA" w:rsidP="003341CA" w14:paraId="1065C20B" w14:textId="45B8420A">
            <w:pPr>
              <w:widowControl/>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20,706</w:t>
            </w:r>
          </w:p>
        </w:tc>
        <w:tc>
          <w:tcPr>
            <w:tcW w:w="1530" w:type="dxa"/>
            <w:shd w:val="clear" w:color="auto" w:fill="auto"/>
            <w:vAlign w:val="center"/>
            <w:hideMark/>
          </w:tcPr>
          <w:p w:rsidR="00561C04" w:rsidRPr="003341CA" w:rsidP="003341CA" w14:paraId="2AD1CF0D" w14:textId="174AE26E">
            <w:pPr>
              <w:widowControl/>
              <w:spacing w:after="0" w:line="240" w:lineRule="auto"/>
              <w:jc w:val="center"/>
              <w:rPr>
                <w:rFonts w:ascii="Times New Roman" w:eastAsia="Times New Roman" w:hAnsi="Times New Roman" w:cs="Times New Roman"/>
                <w:b/>
                <w:bCs/>
                <w:sz w:val="24"/>
                <w:szCs w:val="24"/>
              </w:rPr>
            </w:pPr>
          </w:p>
        </w:tc>
        <w:tc>
          <w:tcPr>
            <w:tcW w:w="1620" w:type="dxa"/>
            <w:shd w:val="clear" w:color="auto" w:fill="auto"/>
            <w:vAlign w:val="center"/>
            <w:hideMark/>
          </w:tcPr>
          <w:p w:rsidR="00BD3AD6" w:rsidP="003341CA" w14:paraId="1000C065" w14:textId="48CA4C47">
            <w:pPr>
              <w:widowControl/>
              <w:spacing w:after="0" w:line="240" w:lineRule="auto"/>
              <w:jc w:val="center"/>
              <w:rPr>
                <w:rFonts w:ascii="Times New Roman" w:hAnsi="Times New Roman" w:cs="Times New Roman"/>
                <w:b/>
                <w:bCs/>
                <w:color w:val="000000"/>
                <w:sz w:val="24"/>
                <w:szCs w:val="24"/>
              </w:rPr>
            </w:pPr>
            <w:r w:rsidRPr="003341CA">
              <w:rPr>
                <w:rFonts w:ascii="Times New Roman" w:hAnsi="Times New Roman" w:cs="Times New Roman"/>
                <w:b/>
                <w:bCs/>
                <w:color w:val="000000"/>
                <w:sz w:val="24"/>
                <w:szCs w:val="24"/>
              </w:rPr>
              <w:t>$</w:t>
            </w:r>
            <w:r w:rsidR="00776176">
              <w:rPr>
                <w:rFonts w:ascii="Times New Roman" w:hAnsi="Times New Roman" w:cs="Times New Roman"/>
                <w:b/>
                <w:bCs/>
                <w:color w:val="000000"/>
                <w:sz w:val="24"/>
                <w:szCs w:val="24"/>
              </w:rPr>
              <w:t>1,480,620.70</w:t>
            </w:r>
          </w:p>
          <w:p w:rsidR="00561C04" w:rsidRPr="003341CA" w:rsidP="003341CA" w14:paraId="4E010242" w14:textId="77C50C58">
            <w:pPr>
              <w:widowControl/>
              <w:spacing w:after="0" w:line="240" w:lineRule="auto"/>
              <w:jc w:val="center"/>
              <w:rPr>
                <w:rFonts w:ascii="Times New Roman" w:eastAsia="Times New Roman" w:hAnsi="Times New Roman" w:cs="Times New Roman"/>
                <w:b/>
                <w:bCs/>
                <w:sz w:val="24"/>
                <w:szCs w:val="24"/>
              </w:rPr>
            </w:pPr>
          </w:p>
        </w:tc>
      </w:tr>
    </w:tbl>
    <w:bookmarkEnd w:id="78"/>
    <w:p w:rsidR="00D055D2" w:rsidRPr="00364F9B" w:rsidP="00D055D2" w14:paraId="2B4003AF" w14:textId="011CE01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24"/>
          <w:szCs w:val="24"/>
          <w:vertAlign w:val="superscript"/>
        </w:rPr>
        <w:t>a</w:t>
      </w:r>
      <w:r>
        <w:rPr>
          <w:rFonts w:ascii="Times New Roman" w:hAnsi="Times New Roman" w:cs="Times New Roman"/>
          <w:sz w:val="24"/>
          <w:szCs w:val="24"/>
        </w:rPr>
        <w:t xml:space="preserve"> </w:t>
      </w:r>
      <w:r>
        <w:rPr>
          <w:rFonts w:ascii="Times New Roman" w:hAnsi="Times New Roman" w:cs="Times New Roman"/>
          <w:sz w:val="18"/>
          <w:szCs w:val="18"/>
        </w:rPr>
        <w:t xml:space="preserve">Burden hours in this column are a result of multiplying by 5 the estimated burden hours for the “Web and Digital Interface Designer”, “Business Operations Specialist”, “Auditor”, and/or “Compliance Officer” roles as they appear in Tables </w:t>
      </w:r>
      <w:r w:rsidR="008D5CD0">
        <w:rPr>
          <w:rFonts w:ascii="Times New Roman" w:hAnsi="Times New Roman" w:cs="Times New Roman"/>
          <w:sz w:val="18"/>
          <w:szCs w:val="18"/>
        </w:rPr>
        <w:t xml:space="preserve">3, 6, </w:t>
      </w:r>
      <w:r>
        <w:rPr>
          <w:rFonts w:ascii="Times New Roman" w:hAnsi="Times New Roman" w:cs="Times New Roman"/>
          <w:sz w:val="18"/>
          <w:szCs w:val="18"/>
        </w:rPr>
        <w:t>8,  12, and 14</w:t>
      </w:r>
      <w:r w:rsidR="00572E9B">
        <w:rPr>
          <w:rFonts w:ascii="Times New Roman" w:hAnsi="Times New Roman" w:cs="Times New Roman"/>
          <w:sz w:val="18"/>
          <w:szCs w:val="18"/>
        </w:rPr>
        <w:t xml:space="preserve"> (with the exception of the 122 hours for the “Auditor” role as it appears in Table 3)</w:t>
      </w:r>
      <w:r>
        <w:rPr>
          <w:rFonts w:ascii="Times New Roman" w:hAnsi="Times New Roman" w:cs="Times New Roman"/>
          <w:sz w:val="18"/>
          <w:szCs w:val="18"/>
        </w:rPr>
        <w:t>. The hours for these roles in those tables are multiplied by 5 because Table 1</w:t>
      </w:r>
      <w:r w:rsidR="00560F13">
        <w:rPr>
          <w:rFonts w:ascii="Times New Roman" w:hAnsi="Times New Roman" w:cs="Times New Roman"/>
          <w:sz w:val="18"/>
          <w:szCs w:val="18"/>
        </w:rPr>
        <w:t>6</w:t>
      </w:r>
      <w:r>
        <w:rPr>
          <w:rFonts w:ascii="Times New Roman" w:hAnsi="Times New Roman" w:cs="Times New Roman"/>
          <w:sz w:val="18"/>
          <w:szCs w:val="18"/>
        </w:rPr>
        <w:t xml:space="preserve"> is estimating burden associated with 5 state exchanges. </w:t>
      </w:r>
      <w:r w:rsidR="00572E9B">
        <w:rPr>
          <w:rFonts w:ascii="Times New Roman" w:hAnsi="Times New Roman" w:cs="Times New Roman"/>
          <w:sz w:val="18"/>
          <w:szCs w:val="18"/>
        </w:rPr>
        <w:t xml:space="preserve">The 122 hours for the “Auditor” role in </w:t>
      </w:r>
      <w:r w:rsidR="00572E9B">
        <w:rPr>
          <w:rFonts w:ascii="Times New Roman" w:hAnsi="Times New Roman" w:cs="Times New Roman"/>
          <w:sz w:val="18"/>
          <w:szCs w:val="18"/>
        </w:rPr>
        <w:t xml:space="preserve">Table 3 was not multiplied by 5 </w:t>
      </w:r>
      <w:r w:rsidR="008E633E">
        <w:rPr>
          <w:rFonts w:ascii="Times New Roman" w:hAnsi="Times New Roman" w:cs="Times New Roman"/>
          <w:sz w:val="18"/>
          <w:szCs w:val="18"/>
        </w:rPr>
        <w:t>due</w:t>
      </w:r>
      <w:r w:rsidR="00572E9B">
        <w:rPr>
          <w:rFonts w:ascii="Times New Roman" w:hAnsi="Times New Roman" w:cs="Times New Roman"/>
          <w:sz w:val="18"/>
          <w:szCs w:val="18"/>
        </w:rPr>
        <w:t xml:space="preserve"> on the assumption that a standardized set of privacy &amp; security controls will be adopted across State Exchanges.</w:t>
      </w:r>
    </w:p>
    <w:p w:rsidR="00542411" w:rsidP="00E92948" w14:paraId="62859E0B" w14:textId="77777777">
      <w:pPr>
        <w:autoSpaceDE w:val="0"/>
        <w:autoSpaceDN w:val="0"/>
        <w:adjustRightInd w:val="0"/>
        <w:spacing w:after="0" w:line="240" w:lineRule="auto"/>
        <w:rPr>
          <w:rFonts w:ascii="Times New Roman" w:hAnsi="Times New Roman" w:cs="Times New Roman"/>
          <w:sz w:val="24"/>
          <w:szCs w:val="24"/>
        </w:rPr>
      </w:pPr>
    </w:p>
    <w:p w:rsidR="00B4104E" w:rsidP="003341CA" w14:paraId="645571AA" w14:textId="169D4A32">
      <w:pPr>
        <w:spacing w:after="0" w:line="240" w:lineRule="auto"/>
        <w:rPr>
          <w:rFonts w:ascii="Times New Roman" w:hAnsi="Times New Roman" w:cs="Times New Roman"/>
          <w:sz w:val="24"/>
          <w:szCs w:val="24"/>
        </w:rPr>
      </w:pPr>
      <w:bookmarkStart w:id="79" w:name="_Hlk159960097"/>
      <w:r>
        <w:rPr>
          <w:rFonts w:ascii="Times New Roman" w:eastAsia="Calibri" w:hAnsi="Times New Roman" w:cs="Times New Roman"/>
          <w:b/>
          <w:sz w:val="24"/>
          <w:szCs w:val="24"/>
        </w:rPr>
        <w:t>Requirement for</w:t>
      </w:r>
      <w:r w:rsidRPr="00203FF0">
        <w:rPr>
          <w:rFonts w:ascii="Times New Roman" w:eastAsia="Calibri" w:hAnsi="Times New Roman" w:cs="Times New Roman"/>
          <w:b/>
          <w:bCs/>
          <w:sz w:val="24"/>
          <w:szCs w:val="24"/>
        </w:rPr>
        <w:t xml:space="preserve"> </w:t>
      </w:r>
      <w:r w:rsidRPr="0060087E" w:rsidR="00583BED">
        <w:rPr>
          <w:rFonts w:ascii="Times New Roman" w:hAnsi="Times New Roman" w:cs="Times New Roman"/>
          <w:b/>
          <w:bCs/>
          <w:sz w:val="24"/>
          <w:szCs w:val="24"/>
        </w:rPr>
        <w:t xml:space="preserve">Web-brokers to </w:t>
      </w:r>
      <w:r w:rsidR="00583BED">
        <w:rPr>
          <w:rFonts w:ascii="Times New Roman" w:hAnsi="Times New Roman" w:cs="Times New Roman"/>
          <w:b/>
          <w:bCs/>
          <w:sz w:val="24"/>
          <w:szCs w:val="24"/>
        </w:rPr>
        <w:t>Prominently Display Consumer Eligibility Results for Advance Payments of the Premium Tax Credit and Cost-sharing Reductions</w:t>
      </w:r>
      <w:r w:rsidR="00365C4A">
        <w:rPr>
          <w:rFonts w:ascii="Times New Roman" w:hAnsi="Times New Roman" w:cs="Times New Roman"/>
          <w:b/>
          <w:bCs/>
          <w:sz w:val="24"/>
          <w:szCs w:val="24"/>
        </w:rPr>
        <w:t xml:space="preserve"> </w:t>
      </w:r>
      <w:r w:rsidRPr="00365C4A" w:rsidR="00365C4A">
        <w:rPr>
          <w:rFonts w:ascii="Times New Roman" w:hAnsi="Times New Roman" w:cs="Times New Roman"/>
          <w:b/>
          <w:bCs/>
          <w:sz w:val="24"/>
          <w:szCs w:val="24"/>
        </w:rPr>
        <w:t>(</w:t>
      </w:r>
      <w:r w:rsidRPr="00163FEF" w:rsidR="00365C4A">
        <w:rPr>
          <w:rFonts w:ascii="Times New Roman" w:hAnsi="Times New Roman" w:cs="Times New Roman"/>
          <w:b/>
          <w:bCs/>
          <w:sz w:val="24"/>
          <w:szCs w:val="24"/>
        </w:rPr>
        <w:t>45 C.F.R. § 155.220(c)(3)(i)(I))</w:t>
      </w:r>
      <w:r w:rsidRPr="003341CA" w:rsidR="003341CA">
        <w:rPr>
          <w:rFonts w:ascii="Times New Roman" w:eastAsia="Times New Roman" w:hAnsi="Times New Roman" w:cs="Times New Roman"/>
          <w:b/>
          <w:bCs/>
          <w:snapToGrid w:val="0"/>
          <w:sz w:val="24"/>
          <w:szCs w:val="24"/>
        </w:rPr>
        <w:t xml:space="preserve">: </w:t>
      </w:r>
      <w:bookmarkEnd w:id="79"/>
      <w:r w:rsidRPr="006F77E8">
        <w:rPr>
          <w:rFonts w:ascii="Times New Roman" w:hAnsi="Times New Roman" w:cs="Times New Roman"/>
          <w:sz w:val="24"/>
          <w:szCs w:val="24"/>
        </w:rPr>
        <w:t>We estimate that it will</w:t>
      </w:r>
      <w:r w:rsidRPr="006F77E8" w:rsidR="004E38A6">
        <w:rPr>
          <w:rFonts w:ascii="Times New Roman" w:hAnsi="Times New Roman" w:cs="Times New Roman"/>
          <w:sz w:val="24"/>
          <w:szCs w:val="24"/>
        </w:rPr>
        <w:t xml:space="preserve"> take</w:t>
      </w:r>
      <w:r w:rsidRPr="006F77E8">
        <w:rPr>
          <w:rFonts w:ascii="Times New Roman" w:hAnsi="Times New Roman" w:cs="Times New Roman"/>
          <w:sz w:val="24"/>
          <w:szCs w:val="24"/>
        </w:rPr>
        <w:t xml:space="preserve"> </w:t>
      </w:r>
      <w:r w:rsidRPr="006F77E8" w:rsidR="00C13B60">
        <w:rPr>
          <w:rFonts w:ascii="Times New Roman" w:hAnsi="Times New Roman" w:cs="Times New Roman"/>
          <w:sz w:val="24"/>
          <w:szCs w:val="24"/>
        </w:rPr>
        <w:t>an average of</w:t>
      </w:r>
      <w:r w:rsidRPr="006F77E8">
        <w:rPr>
          <w:rFonts w:ascii="Times New Roman" w:hAnsi="Times New Roman" w:cs="Times New Roman"/>
          <w:sz w:val="24"/>
          <w:szCs w:val="24"/>
        </w:rPr>
        <w:t xml:space="preserve"> up to </w:t>
      </w:r>
      <w:r w:rsidR="005E3F50">
        <w:rPr>
          <w:rFonts w:ascii="Times New Roman" w:hAnsi="Times New Roman" w:cs="Times New Roman"/>
          <w:sz w:val="24"/>
          <w:szCs w:val="24"/>
        </w:rPr>
        <w:t>5</w:t>
      </w:r>
      <w:r w:rsidRPr="006F77E8">
        <w:rPr>
          <w:rFonts w:ascii="Times New Roman" w:hAnsi="Times New Roman" w:cs="Times New Roman"/>
          <w:sz w:val="24"/>
          <w:szCs w:val="24"/>
        </w:rPr>
        <w:t xml:space="preserve"> hours at an hourly cost of $</w:t>
      </w:r>
      <w:r w:rsidR="00BD3AD6">
        <w:rPr>
          <w:rFonts w:ascii="Times New Roman" w:hAnsi="Times New Roman" w:cs="Times New Roman"/>
          <w:sz w:val="24"/>
          <w:szCs w:val="24"/>
        </w:rPr>
        <w:t>80.04</w:t>
      </w:r>
      <w:r w:rsidRPr="006F77E8">
        <w:rPr>
          <w:rFonts w:ascii="Times New Roman" w:hAnsi="Times New Roman" w:cs="Times New Roman"/>
          <w:sz w:val="24"/>
          <w:szCs w:val="24"/>
        </w:rPr>
        <w:t xml:space="preserve"> for a Web and Digital Interface Designer to </w:t>
      </w:r>
      <w:r w:rsidRPr="006F77E8" w:rsidR="00583BED">
        <w:rPr>
          <w:rFonts w:ascii="Times New Roman" w:hAnsi="Times New Roman" w:cs="Times New Roman"/>
          <w:sz w:val="24"/>
          <w:szCs w:val="24"/>
        </w:rPr>
        <w:t xml:space="preserve">develop a prominent </w:t>
      </w:r>
      <w:r w:rsidRPr="006F77E8">
        <w:rPr>
          <w:rFonts w:ascii="Times New Roman" w:hAnsi="Times New Roman" w:cs="Times New Roman"/>
          <w:sz w:val="24"/>
          <w:szCs w:val="24"/>
        </w:rPr>
        <w:t xml:space="preserve">display of </w:t>
      </w:r>
      <w:r w:rsidRPr="006F77E8" w:rsidR="00583BED">
        <w:rPr>
          <w:rFonts w:ascii="Times New Roman" w:hAnsi="Times New Roman" w:cs="Times New Roman"/>
          <w:sz w:val="24"/>
          <w:szCs w:val="24"/>
        </w:rPr>
        <w:t>the consumer eligibility results for advance payments</w:t>
      </w:r>
      <w:r w:rsidRPr="006F77E8">
        <w:rPr>
          <w:rFonts w:ascii="Times New Roman" w:hAnsi="Times New Roman" w:cs="Times New Roman"/>
          <w:sz w:val="24"/>
          <w:szCs w:val="24"/>
        </w:rPr>
        <w:t xml:space="preserve"> of </w:t>
      </w:r>
      <w:r w:rsidRPr="006F77E8" w:rsidR="00583BED">
        <w:rPr>
          <w:rFonts w:ascii="Times New Roman" w:hAnsi="Times New Roman" w:cs="Times New Roman"/>
          <w:sz w:val="24"/>
          <w:szCs w:val="24"/>
        </w:rPr>
        <w:t>the premium tax credit or cost-sharing reduction</w:t>
      </w:r>
      <w:r w:rsidRPr="006F77E8">
        <w:rPr>
          <w:rFonts w:ascii="Times New Roman" w:hAnsi="Times New Roman" w:cs="Times New Roman"/>
          <w:sz w:val="24"/>
          <w:szCs w:val="24"/>
        </w:rPr>
        <w:t xml:space="preserve"> based on the requirements in 45 C.F.R. § 155.220(c)(3)(i)(</w:t>
      </w:r>
      <w:r w:rsidRPr="006F77E8" w:rsidR="00583BED">
        <w:rPr>
          <w:rFonts w:ascii="Times New Roman" w:hAnsi="Times New Roman" w:cs="Times New Roman"/>
          <w:sz w:val="24"/>
          <w:szCs w:val="24"/>
        </w:rPr>
        <w:t>I</w:t>
      </w:r>
      <w:r w:rsidRPr="006F77E8">
        <w:rPr>
          <w:rFonts w:ascii="Times New Roman" w:hAnsi="Times New Roman" w:cs="Times New Roman"/>
          <w:sz w:val="24"/>
          <w:szCs w:val="24"/>
        </w:rPr>
        <w:t xml:space="preserve">). The total burden for each web-broker will be approximately </w:t>
      </w:r>
      <w:r w:rsidR="00776176">
        <w:rPr>
          <w:rFonts w:ascii="Times New Roman" w:hAnsi="Times New Roman" w:cs="Times New Roman"/>
          <w:sz w:val="24"/>
          <w:szCs w:val="24"/>
        </w:rPr>
        <w:t>5</w:t>
      </w:r>
      <w:r w:rsidRPr="006F77E8">
        <w:rPr>
          <w:rFonts w:ascii="Times New Roman" w:hAnsi="Times New Roman" w:cs="Times New Roman"/>
          <w:sz w:val="24"/>
          <w:szCs w:val="24"/>
        </w:rPr>
        <w:t xml:space="preserve"> hours, with an equivalent cost of approximately $</w:t>
      </w:r>
      <w:r w:rsidR="008E7706">
        <w:rPr>
          <w:rFonts w:ascii="Times New Roman" w:hAnsi="Times New Roman" w:cs="Times New Roman"/>
          <w:sz w:val="24"/>
          <w:szCs w:val="24"/>
        </w:rPr>
        <w:t>400.20</w:t>
      </w:r>
      <w:r w:rsidRPr="006F77E8">
        <w:rPr>
          <w:rFonts w:ascii="Times New Roman" w:hAnsi="Times New Roman" w:cs="Times New Roman"/>
          <w:sz w:val="24"/>
          <w:szCs w:val="24"/>
        </w:rPr>
        <w:t xml:space="preserve">. Based on current DE Entity year-to-date participation and potential market size, we estimate that 20 </w:t>
      </w:r>
      <w:r w:rsidRPr="006F77E8" w:rsidR="00C13B60">
        <w:rPr>
          <w:rFonts w:ascii="Times New Roman" w:hAnsi="Times New Roman" w:cs="Times New Roman"/>
          <w:sz w:val="24"/>
          <w:szCs w:val="24"/>
        </w:rPr>
        <w:t>web-brokers</w:t>
      </w:r>
      <w:r w:rsidRPr="006F77E8">
        <w:rPr>
          <w:rFonts w:ascii="Times New Roman" w:hAnsi="Times New Roman" w:cs="Times New Roman"/>
          <w:sz w:val="24"/>
          <w:szCs w:val="24"/>
        </w:rPr>
        <w:t xml:space="preserve"> will participate. We estimate that this data collection has a cumulative annual burden of </w:t>
      </w:r>
      <w:r w:rsidR="00553ADE">
        <w:rPr>
          <w:rFonts w:ascii="Times New Roman" w:hAnsi="Times New Roman" w:cs="Times New Roman"/>
          <w:sz w:val="24"/>
          <w:szCs w:val="24"/>
        </w:rPr>
        <w:t>100</w:t>
      </w:r>
      <w:r w:rsidRPr="006F77E8">
        <w:rPr>
          <w:rFonts w:ascii="Times New Roman" w:hAnsi="Times New Roman" w:cs="Times New Roman"/>
          <w:sz w:val="24"/>
          <w:szCs w:val="24"/>
        </w:rPr>
        <w:t xml:space="preserve"> hours with a cost of $</w:t>
      </w:r>
      <w:r w:rsidR="008E7706">
        <w:rPr>
          <w:rFonts w:ascii="Times New Roman" w:hAnsi="Times New Roman" w:cs="Times New Roman"/>
          <w:sz w:val="24"/>
          <w:szCs w:val="24"/>
        </w:rPr>
        <w:t>8,004.00</w:t>
      </w:r>
      <w:r w:rsidRPr="006F77E8">
        <w:rPr>
          <w:rFonts w:ascii="Times New Roman" w:hAnsi="Times New Roman" w:cs="Times New Roman"/>
          <w:sz w:val="24"/>
          <w:szCs w:val="24"/>
        </w:rPr>
        <w:t xml:space="preserve">. </w:t>
      </w:r>
    </w:p>
    <w:p w:rsidR="003341CA" w:rsidRPr="003341CA" w:rsidP="003341CA" w14:paraId="1263EC7B" w14:textId="77777777">
      <w:pPr>
        <w:spacing w:after="0" w:line="240" w:lineRule="auto"/>
        <w:rPr>
          <w:rFonts w:ascii="Times New Roman" w:eastAsia="Times New Roman" w:hAnsi="Times New Roman" w:cs="Times New Roman"/>
          <w:b/>
          <w:bCs/>
          <w:snapToGrid w:val="0"/>
          <w:sz w:val="24"/>
          <w:szCs w:val="24"/>
          <w:u w:val="single"/>
        </w:rPr>
      </w:pPr>
    </w:p>
    <w:p w:rsidR="00B4104E" w:rsidRPr="003341CA" w:rsidP="00B4104E" w14:paraId="57AD2829" w14:textId="4DB0614D">
      <w:pPr>
        <w:spacing w:after="0" w:line="240" w:lineRule="auto"/>
        <w:rPr>
          <w:rFonts w:ascii="Times New Roman" w:eastAsia="Times New Roman" w:hAnsi="Times New Roman" w:cs="Times New Roman"/>
          <w:snapToGrid w:val="0"/>
          <w:sz w:val="24"/>
          <w:szCs w:val="24"/>
        </w:rPr>
      </w:pPr>
      <w:r w:rsidRPr="003341CA">
        <w:rPr>
          <w:rFonts w:ascii="Times New Roman" w:eastAsia="Times New Roman" w:hAnsi="Times New Roman" w:cs="Times New Roman"/>
          <w:snapToGrid w:val="0"/>
          <w:sz w:val="24"/>
          <w:szCs w:val="24"/>
        </w:rPr>
        <w:t xml:space="preserve">Table </w:t>
      </w:r>
      <w:r w:rsidR="00BD3AD6">
        <w:rPr>
          <w:rFonts w:ascii="Times New Roman" w:eastAsia="Times New Roman" w:hAnsi="Times New Roman" w:cs="Times New Roman"/>
          <w:snapToGrid w:val="0"/>
          <w:sz w:val="24"/>
          <w:szCs w:val="24"/>
        </w:rPr>
        <w:t xml:space="preserve">17 </w:t>
      </w:r>
      <w:r w:rsidRPr="003341CA">
        <w:rPr>
          <w:rFonts w:ascii="Times New Roman" w:eastAsia="Times New Roman" w:hAnsi="Times New Roman" w:cs="Times New Roman"/>
          <w:snapToGrid w:val="0"/>
          <w:sz w:val="24"/>
          <w:szCs w:val="24"/>
        </w:rPr>
        <w:t xml:space="preserve">below displays the burden for </w:t>
      </w:r>
      <w:r w:rsidRPr="003341CA" w:rsidR="00831A42">
        <w:rPr>
          <w:rFonts w:ascii="Times New Roman" w:eastAsia="Times New Roman" w:hAnsi="Times New Roman" w:cs="Times New Roman"/>
          <w:snapToGrid w:val="0"/>
          <w:sz w:val="24"/>
          <w:szCs w:val="24"/>
        </w:rPr>
        <w:t xml:space="preserve">web-brokers </w:t>
      </w:r>
      <w:r w:rsidRPr="003341CA">
        <w:rPr>
          <w:rFonts w:ascii="Times New Roman" w:eastAsia="Times New Roman" w:hAnsi="Times New Roman" w:cs="Times New Roman"/>
          <w:snapToGrid w:val="0"/>
          <w:sz w:val="24"/>
          <w:szCs w:val="24"/>
        </w:rPr>
        <w:t>relating to these regulatory provisions.</w:t>
      </w:r>
    </w:p>
    <w:p w:rsidR="00B4104E" w:rsidRPr="003341CA" w:rsidP="00B4104E" w14:paraId="28EA8F6D" w14:textId="77777777">
      <w:pPr>
        <w:spacing w:after="0" w:line="240" w:lineRule="auto"/>
        <w:rPr>
          <w:rFonts w:ascii="Times New Roman" w:eastAsia="Times New Roman" w:hAnsi="Times New Roman" w:cs="Times New Roman"/>
          <w:snapToGrid w:val="0"/>
          <w:sz w:val="24"/>
          <w:szCs w:val="24"/>
        </w:rPr>
      </w:pPr>
    </w:p>
    <w:p w:rsidR="00B4104E" w:rsidP="00B4104E" w14:paraId="459D1DCD" w14:textId="0291A6E3">
      <w:pPr>
        <w:spacing w:after="0" w:line="240" w:lineRule="auto"/>
        <w:rPr>
          <w:rFonts w:ascii="Times New Roman" w:hAnsi="Times New Roman" w:cs="Times New Roman"/>
          <w:b/>
          <w:bCs/>
          <w:sz w:val="24"/>
          <w:szCs w:val="24"/>
        </w:rPr>
      </w:pPr>
      <w:bookmarkStart w:id="80" w:name="_Hlk148042460"/>
      <w:r w:rsidRPr="003341CA">
        <w:rPr>
          <w:rFonts w:ascii="Times New Roman" w:eastAsia="Times New Roman" w:hAnsi="Times New Roman" w:cs="Times New Roman"/>
          <w:b/>
          <w:bCs/>
          <w:snapToGrid w:val="0"/>
          <w:sz w:val="24"/>
          <w:szCs w:val="24"/>
        </w:rPr>
        <w:t>Table</w:t>
      </w:r>
      <w:r w:rsidR="00BD3AD6">
        <w:rPr>
          <w:rFonts w:ascii="Times New Roman" w:eastAsia="Times New Roman" w:hAnsi="Times New Roman" w:cs="Times New Roman"/>
          <w:b/>
          <w:bCs/>
          <w:snapToGrid w:val="0"/>
          <w:sz w:val="24"/>
          <w:szCs w:val="24"/>
        </w:rPr>
        <w:t>17</w:t>
      </w:r>
      <w:r w:rsidRPr="003341CA">
        <w:rPr>
          <w:rFonts w:ascii="Times New Roman" w:eastAsia="Times New Roman" w:hAnsi="Times New Roman" w:cs="Times New Roman"/>
          <w:b/>
          <w:bCs/>
          <w:snapToGrid w:val="0"/>
          <w:sz w:val="24"/>
          <w:szCs w:val="24"/>
        </w:rPr>
        <w:t xml:space="preserve">: Burden </w:t>
      </w:r>
      <w:r w:rsidRPr="003341CA" w:rsidR="00583BED">
        <w:rPr>
          <w:rFonts w:ascii="Times New Roman" w:hAnsi="Times New Roman" w:cs="Times New Roman"/>
          <w:b/>
          <w:bCs/>
          <w:sz w:val="24"/>
          <w:szCs w:val="24"/>
        </w:rPr>
        <w:t>for Web-brokers to Prominently Display Consumer</w:t>
      </w:r>
      <w:r w:rsidR="00583BED">
        <w:rPr>
          <w:rFonts w:ascii="Times New Roman" w:hAnsi="Times New Roman" w:cs="Times New Roman"/>
          <w:b/>
          <w:bCs/>
          <w:sz w:val="24"/>
          <w:szCs w:val="24"/>
        </w:rPr>
        <w:t xml:space="preserve"> Eligibility Results for Advance Payments of the Premium Tax Credit and Cost-sharing Reductions</w:t>
      </w:r>
    </w:p>
    <w:p w:rsidR="006F77E8" w:rsidRPr="00C86A98" w:rsidP="00B4104E" w14:paraId="429986ED" w14:textId="77777777">
      <w:pPr>
        <w:spacing w:after="0" w:line="240" w:lineRule="auto"/>
        <w:rPr>
          <w:rFonts w:ascii="Times New Roman" w:eastAsia="Times New Roman" w:hAnsi="Times New Roman" w:cs="Times New Roman"/>
          <w:snapToGrid w:val="0"/>
          <w:sz w:val="24"/>
          <w:szCs w:val="24"/>
          <w:u w:val="single"/>
        </w:rPr>
      </w:pPr>
    </w:p>
    <w:tbl>
      <w:tblPr>
        <w:tblW w:w="944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067"/>
        <w:gridCol w:w="1350"/>
        <w:gridCol w:w="1710"/>
        <w:gridCol w:w="1170"/>
        <w:gridCol w:w="1530"/>
        <w:gridCol w:w="1620"/>
      </w:tblGrid>
      <w:tr w14:paraId="5EF9AD60" w14:textId="77777777" w:rsidTr="00615AFC">
        <w:tblPrEx>
          <w:tblW w:w="944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trHeight w:val="1196"/>
        </w:trPr>
        <w:tc>
          <w:tcPr>
            <w:tcW w:w="2067" w:type="dxa"/>
            <w:shd w:val="clear" w:color="auto" w:fill="auto"/>
            <w:vAlign w:val="center"/>
            <w:hideMark/>
          </w:tcPr>
          <w:p w:rsidR="00650DDE" w:rsidRPr="003341CA" w:rsidP="00650DDE" w14:paraId="378D14CB" w14:textId="77777777">
            <w:pPr>
              <w:spacing w:after="0" w:line="240" w:lineRule="auto"/>
              <w:ind w:left="90"/>
              <w:rPr>
                <w:rFonts w:ascii="Times New Roman" w:eastAsia="Times New Roman" w:hAnsi="Times New Roman" w:cs="Times New Roman"/>
                <w:b/>
                <w:bCs/>
                <w:snapToGrid w:val="0"/>
                <w:sz w:val="24"/>
                <w:szCs w:val="24"/>
              </w:rPr>
            </w:pPr>
            <w:r w:rsidRPr="003341CA">
              <w:rPr>
                <w:rFonts w:ascii="Times New Roman" w:eastAsia="Times New Roman" w:hAnsi="Times New Roman" w:cs="Times New Roman"/>
                <w:b/>
                <w:bCs/>
                <w:snapToGrid w:val="0"/>
                <w:sz w:val="24"/>
                <w:szCs w:val="24"/>
              </w:rPr>
              <w:t>Labor Category</w:t>
            </w:r>
          </w:p>
        </w:tc>
        <w:tc>
          <w:tcPr>
            <w:tcW w:w="1350" w:type="dxa"/>
            <w:shd w:val="clear" w:color="auto" w:fill="auto"/>
            <w:hideMark/>
          </w:tcPr>
          <w:p w:rsidR="00650DDE" w:rsidRPr="00A83073" w:rsidP="00650DDE" w14:paraId="55CE0152" w14:textId="77777777">
            <w:pPr>
              <w:spacing w:after="0" w:line="240" w:lineRule="auto"/>
              <w:ind w:right="-10"/>
              <w:jc w:val="center"/>
              <w:rPr>
                <w:rFonts w:ascii="Times New Roman" w:eastAsia="Times New Roman" w:hAnsi="Times New Roman" w:cs="Times New Roman"/>
                <w:b/>
                <w:bCs/>
                <w:sz w:val="24"/>
                <w:szCs w:val="24"/>
              </w:rPr>
            </w:pPr>
            <w:r w:rsidRPr="00A83073">
              <w:rPr>
                <w:rFonts w:ascii="Times New Roman" w:eastAsia="Times New Roman" w:hAnsi="Times New Roman" w:cs="Times New Roman"/>
                <w:b/>
                <w:bCs/>
                <w:sz w:val="24"/>
                <w:szCs w:val="24"/>
              </w:rPr>
              <w:t>Numb</w:t>
            </w:r>
            <w:r w:rsidRPr="00A83073">
              <w:rPr>
                <w:rFonts w:ascii="Times New Roman" w:eastAsia="Times New Roman" w:hAnsi="Times New Roman" w:cs="Times New Roman"/>
                <w:b/>
                <w:bCs/>
                <w:spacing w:val="-1"/>
                <w:sz w:val="24"/>
                <w:szCs w:val="24"/>
              </w:rPr>
              <w:t>e</w:t>
            </w:r>
            <w:r w:rsidRPr="00A83073">
              <w:rPr>
                <w:rFonts w:ascii="Times New Roman" w:eastAsia="Times New Roman" w:hAnsi="Times New Roman" w:cs="Times New Roman"/>
                <w:b/>
                <w:bCs/>
                <w:sz w:val="24"/>
                <w:szCs w:val="24"/>
              </w:rPr>
              <w:t>r</w:t>
            </w:r>
            <w:r w:rsidRPr="00A83073">
              <w:rPr>
                <w:rFonts w:ascii="Times New Roman" w:eastAsia="Times New Roman" w:hAnsi="Times New Roman" w:cs="Times New Roman"/>
                <w:b/>
                <w:bCs/>
                <w:spacing w:val="-1"/>
                <w:sz w:val="24"/>
                <w:szCs w:val="24"/>
              </w:rPr>
              <w:t xml:space="preserve"> </w:t>
            </w:r>
            <w:r w:rsidRPr="00A83073">
              <w:rPr>
                <w:rFonts w:ascii="Times New Roman" w:eastAsia="Times New Roman" w:hAnsi="Times New Roman" w:cs="Times New Roman"/>
                <w:b/>
                <w:bCs/>
                <w:sz w:val="24"/>
                <w:szCs w:val="24"/>
              </w:rPr>
              <w:t>of</w:t>
            </w:r>
          </w:p>
          <w:p w:rsidR="00650DDE" w:rsidRPr="003341CA" w:rsidP="00650DDE" w14:paraId="3A6388FD" w14:textId="5B158D5D">
            <w:pPr>
              <w:spacing w:after="0" w:line="240" w:lineRule="auto"/>
              <w:ind w:right="-10"/>
              <w:jc w:val="center"/>
              <w:rPr>
                <w:rFonts w:ascii="Times New Roman" w:eastAsia="Times New Roman" w:hAnsi="Times New Roman" w:cs="Times New Roman"/>
                <w:b/>
                <w:bCs/>
                <w:snapToGrid w:val="0"/>
                <w:sz w:val="24"/>
                <w:szCs w:val="24"/>
              </w:rPr>
            </w:pPr>
            <w:r w:rsidRPr="00A83073">
              <w:rPr>
                <w:rFonts w:ascii="Times New Roman" w:eastAsia="Times New Roman" w:hAnsi="Times New Roman" w:cs="Times New Roman"/>
                <w:b/>
                <w:bCs/>
                <w:sz w:val="24"/>
                <w:szCs w:val="24"/>
              </w:rPr>
              <w:t>Respondents</w:t>
            </w:r>
          </w:p>
        </w:tc>
        <w:tc>
          <w:tcPr>
            <w:tcW w:w="1710" w:type="dxa"/>
            <w:shd w:val="clear" w:color="auto" w:fill="auto"/>
            <w:hideMark/>
          </w:tcPr>
          <w:p w:rsidR="00650DDE" w:rsidRPr="003341CA" w:rsidP="00650DDE" w14:paraId="178B1234" w14:textId="118EB9B3">
            <w:pPr>
              <w:spacing w:after="0" w:line="240" w:lineRule="auto"/>
              <w:ind w:right="-10"/>
              <w:jc w:val="center"/>
              <w:rPr>
                <w:rFonts w:ascii="Times New Roman" w:eastAsia="Times New Roman" w:hAnsi="Times New Roman" w:cs="Times New Roman"/>
                <w:b/>
                <w:bCs/>
                <w:snapToGrid w:val="0"/>
                <w:sz w:val="24"/>
                <w:szCs w:val="24"/>
              </w:rPr>
            </w:pPr>
            <w:r w:rsidRPr="00A83073">
              <w:rPr>
                <w:rFonts w:ascii="Times New Roman" w:eastAsia="Times New Roman" w:hAnsi="Times New Roman" w:cs="Times New Roman"/>
                <w:b/>
                <w:bCs/>
                <w:sz w:val="24"/>
                <w:szCs w:val="24"/>
              </w:rPr>
              <w:t>Hou</w:t>
            </w:r>
            <w:r w:rsidRPr="00A83073">
              <w:rPr>
                <w:rFonts w:ascii="Times New Roman" w:eastAsia="Times New Roman" w:hAnsi="Times New Roman" w:cs="Times New Roman"/>
                <w:b/>
                <w:bCs/>
                <w:spacing w:val="-1"/>
                <w:sz w:val="24"/>
                <w:szCs w:val="24"/>
              </w:rPr>
              <w:t>r</w:t>
            </w:r>
            <w:r w:rsidRPr="00A83073">
              <w:rPr>
                <w:rFonts w:ascii="Times New Roman" w:eastAsia="Times New Roman" w:hAnsi="Times New Roman" w:cs="Times New Roman"/>
                <w:b/>
                <w:bCs/>
                <w:sz w:val="24"/>
                <w:szCs w:val="24"/>
              </w:rPr>
              <w:t>ly</w:t>
            </w:r>
            <w:r w:rsidRPr="00A83073">
              <w:rPr>
                <w:rFonts w:ascii="Times New Roman" w:eastAsia="Times New Roman" w:hAnsi="Times New Roman" w:cs="Times New Roman"/>
                <w:b/>
                <w:bCs/>
                <w:spacing w:val="-7"/>
                <w:sz w:val="24"/>
                <w:szCs w:val="24"/>
              </w:rPr>
              <w:t xml:space="preserve"> </w:t>
            </w:r>
            <w:r w:rsidRPr="00A83073">
              <w:rPr>
                <w:rFonts w:ascii="Times New Roman" w:eastAsia="Times New Roman" w:hAnsi="Times New Roman" w:cs="Times New Roman"/>
                <w:b/>
                <w:bCs/>
                <w:spacing w:val="-5"/>
                <w:sz w:val="24"/>
                <w:szCs w:val="24"/>
              </w:rPr>
              <w:t>L</w:t>
            </w:r>
            <w:r w:rsidRPr="00A83073">
              <w:rPr>
                <w:rFonts w:ascii="Times New Roman" w:eastAsia="Times New Roman" w:hAnsi="Times New Roman" w:cs="Times New Roman"/>
                <w:b/>
                <w:bCs/>
                <w:spacing w:val="-1"/>
                <w:sz w:val="24"/>
                <w:szCs w:val="24"/>
              </w:rPr>
              <w:t>a</w:t>
            </w:r>
            <w:r w:rsidRPr="00A83073">
              <w:rPr>
                <w:rFonts w:ascii="Times New Roman" w:eastAsia="Times New Roman" w:hAnsi="Times New Roman" w:cs="Times New Roman"/>
                <w:b/>
                <w:bCs/>
                <w:sz w:val="24"/>
                <w:szCs w:val="24"/>
              </w:rPr>
              <w:t xml:space="preserve">bor </w:t>
            </w:r>
            <w:r w:rsidRPr="00A83073">
              <w:rPr>
                <w:rFonts w:ascii="Times New Roman" w:eastAsia="Times New Roman" w:hAnsi="Times New Roman" w:cs="Times New Roman"/>
                <w:b/>
                <w:bCs/>
                <w:spacing w:val="1"/>
                <w:sz w:val="24"/>
                <w:szCs w:val="24"/>
              </w:rPr>
              <w:t>C</w:t>
            </w:r>
            <w:r w:rsidRPr="00A83073">
              <w:rPr>
                <w:rFonts w:ascii="Times New Roman" w:eastAsia="Times New Roman" w:hAnsi="Times New Roman" w:cs="Times New Roman"/>
                <w:b/>
                <w:bCs/>
                <w:sz w:val="24"/>
                <w:szCs w:val="24"/>
              </w:rPr>
              <w:t xml:space="preserve">osts </w:t>
            </w:r>
            <w:r w:rsidRPr="00A83073">
              <w:rPr>
                <w:rFonts w:ascii="Times New Roman" w:eastAsia="Times New Roman" w:hAnsi="Times New Roman" w:cs="Times New Roman"/>
                <w:b/>
                <w:bCs/>
                <w:spacing w:val="-1"/>
                <w:sz w:val="24"/>
                <w:szCs w:val="24"/>
              </w:rPr>
              <w:t>(</w:t>
            </w:r>
            <w:r w:rsidRPr="00A83073">
              <w:rPr>
                <w:rFonts w:ascii="Times New Roman" w:eastAsia="Times New Roman" w:hAnsi="Times New Roman" w:cs="Times New Roman"/>
                <w:b/>
                <w:bCs/>
                <w:sz w:val="24"/>
                <w:szCs w:val="24"/>
              </w:rPr>
              <w:t>Hou</w:t>
            </w:r>
            <w:r w:rsidRPr="00A83073">
              <w:rPr>
                <w:rFonts w:ascii="Times New Roman" w:eastAsia="Times New Roman" w:hAnsi="Times New Roman" w:cs="Times New Roman"/>
                <w:b/>
                <w:bCs/>
                <w:spacing w:val="-1"/>
                <w:sz w:val="24"/>
                <w:szCs w:val="24"/>
              </w:rPr>
              <w:t>r</w:t>
            </w:r>
            <w:r w:rsidRPr="00A83073">
              <w:rPr>
                <w:rFonts w:ascii="Times New Roman" w:eastAsia="Times New Roman" w:hAnsi="Times New Roman" w:cs="Times New Roman"/>
                <w:b/>
                <w:bCs/>
                <w:sz w:val="24"/>
                <w:szCs w:val="24"/>
              </w:rPr>
              <w:t xml:space="preserve">ly </w:t>
            </w:r>
            <w:r w:rsidRPr="00A83073">
              <w:rPr>
                <w:rFonts w:ascii="Times New Roman" w:eastAsia="Times New Roman" w:hAnsi="Times New Roman" w:cs="Times New Roman"/>
                <w:b/>
                <w:bCs/>
                <w:spacing w:val="-1"/>
                <w:sz w:val="24"/>
                <w:szCs w:val="24"/>
              </w:rPr>
              <w:t>ra</w:t>
            </w:r>
            <w:r w:rsidRPr="00A83073">
              <w:rPr>
                <w:rFonts w:ascii="Times New Roman" w:eastAsia="Times New Roman" w:hAnsi="Times New Roman" w:cs="Times New Roman"/>
                <w:b/>
                <w:bCs/>
                <w:sz w:val="24"/>
                <w:szCs w:val="24"/>
              </w:rPr>
              <w:t>te</w:t>
            </w:r>
            <w:r w:rsidRPr="00A83073">
              <w:rPr>
                <w:rFonts w:ascii="Times New Roman" w:eastAsia="Times New Roman" w:hAnsi="Times New Roman" w:cs="Times New Roman"/>
                <w:b/>
                <w:bCs/>
                <w:spacing w:val="-1"/>
                <w:sz w:val="24"/>
                <w:szCs w:val="24"/>
              </w:rPr>
              <w:t xml:space="preserve"> </w:t>
            </w:r>
            <w:r w:rsidRPr="00A83073">
              <w:rPr>
                <w:rFonts w:ascii="Times New Roman" w:eastAsia="Times New Roman" w:hAnsi="Times New Roman" w:cs="Times New Roman"/>
                <w:b/>
                <w:bCs/>
                <w:sz w:val="24"/>
                <w:szCs w:val="24"/>
              </w:rPr>
              <w:t>+</w:t>
            </w:r>
            <w:r w:rsidRPr="00A83073">
              <w:rPr>
                <w:rFonts w:ascii="Times New Roman" w:eastAsia="Times New Roman" w:hAnsi="Times New Roman" w:cs="Times New Roman"/>
                <w:b/>
                <w:bCs/>
                <w:spacing w:val="-1"/>
                <w:sz w:val="24"/>
                <w:szCs w:val="24"/>
              </w:rPr>
              <w:t xml:space="preserve"> </w:t>
            </w:r>
            <w:r w:rsidRPr="00A83073">
              <w:rPr>
                <w:rFonts w:ascii="Times New Roman" w:eastAsia="Times New Roman" w:hAnsi="Times New Roman" w:cs="Times New Roman"/>
                <w:b/>
                <w:bCs/>
                <w:sz w:val="24"/>
                <w:szCs w:val="24"/>
              </w:rPr>
              <w:t xml:space="preserve">100% </w:t>
            </w:r>
            <w:r w:rsidRPr="00A83073">
              <w:rPr>
                <w:rFonts w:ascii="Times New Roman" w:eastAsia="Times New Roman" w:hAnsi="Times New Roman" w:cs="Times New Roman"/>
                <w:b/>
                <w:bCs/>
                <w:spacing w:val="-1"/>
                <w:sz w:val="24"/>
                <w:szCs w:val="24"/>
              </w:rPr>
              <w:t>Fr</w:t>
            </w:r>
            <w:r w:rsidRPr="00A83073">
              <w:rPr>
                <w:rFonts w:ascii="Times New Roman" w:eastAsia="Times New Roman" w:hAnsi="Times New Roman" w:cs="Times New Roman"/>
                <w:b/>
                <w:bCs/>
                <w:sz w:val="24"/>
                <w:szCs w:val="24"/>
              </w:rPr>
              <w:t>in</w:t>
            </w:r>
            <w:r w:rsidRPr="00A83073">
              <w:rPr>
                <w:rFonts w:ascii="Times New Roman" w:eastAsia="Times New Roman" w:hAnsi="Times New Roman" w:cs="Times New Roman"/>
                <w:b/>
                <w:bCs/>
                <w:spacing w:val="-2"/>
                <w:sz w:val="24"/>
                <w:szCs w:val="24"/>
              </w:rPr>
              <w:t>g</w:t>
            </w:r>
            <w:r w:rsidRPr="00A83073">
              <w:rPr>
                <w:rFonts w:ascii="Times New Roman" w:eastAsia="Times New Roman" w:hAnsi="Times New Roman" w:cs="Times New Roman"/>
                <w:b/>
                <w:bCs/>
                <w:sz w:val="24"/>
                <w:szCs w:val="24"/>
              </w:rPr>
              <w:t>e</w:t>
            </w:r>
            <w:r w:rsidRPr="00A83073">
              <w:rPr>
                <w:rFonts w:ascii="Times New Roman" w:eastAsia="Times New Roman" w:hAnsi="Times New Roman" w:cs="Times New Roman"/>
                <w:b/>
                <w:bCs/>
                <w:spacing w:val="-1"/>
                <w:sz w:val="24"/>
                <w:szCs w:val="24"/>
              </w:rPr>
              <w:t xml:space="preserve"> </w:t>
            </w:r>
            <w:r w:rsidRPr="00A83073">
              <w:rPr>
                <w:rFonts w:ascii="Times New Roman" w:eastAsia="Times New Roman" w:hAnsi="Times New Roman" w:cs="Times New Roman"/>
                <w:b/>
                <w:bCs/>
                <w:sz w:val="24"/>
                <w:szCs w:val="24"/>
              </w:rPr>
              <w:t>b</w:t>
            </w:r>
            <w:r w:rsidRPr="00A83073">
              <w:rPr>
                <w:rFonts w:ascii="Times New Roman" w:eastAsia="Times New Roman" w:hAnsi="Times New Roman" w:cs="Times New Roman"/>
                <w:b/>
                <w:bCs/>
                <w:spacing w:val="-1"/>
                <w:sz w:val="24"/>
                <w:szCs w:val="24"/>
              </w:rPr>
              <w:t>e</w:t>
            </w:r>
            <w:r w:rsidRPr="00A83073">
              <w:rPr>
                <w:rFonts w:ascii="Times New Roman" w:eastAsia="Times New Roman" w:hAnsi="Times New Roman" w:cs="Times New Roman"/>
                <w:b/>
                <w:bCs/>
                <w:sz w:val="24"/>
                <w:szCs w:val="24"/>
              </w:rPr>
              <w:t>n</w:t>
            </w:r>
            <w:r w:rsidRPr="00A83073">
              <w:rPr>
                <w:rFonts w:ascii="Times New Roman" w:eastAsia="Times New Roman" w:hAnsi="Times New Roman" w:cs="Times New Roman"/>
                <w:b/>
                <w:bCs/>
                <w:spacing w:val="-1"/>
                <w:sz w:val="24"/>
                <w:szCs w:val="24"/>
              </w:rPr>
              <w:t>ef</w:t>
            </w:r>
            <w:r w:rsidRPr="00A83073">
              <w:rPr>
                <w:rFonts w:ascii="Times New Roman" w:eastAsia="Times New Roman" w:hAnsi="Times New Roman" w:cs="Times New Roman"/>
                <w:b/>
                <w:bCs/>
                <w:sz w:val="24"/>
                <w:szCs w:val="24"/>
              </w:rPr>
              <w:t>its)</w:t>
            </w:r>
          </w:p>
        </w:tc>
        <w:tc>
          <w:tcPr>
            <w:tcW w:w="1170" w:type="dxa"/>
            <w:shd w:val="clear" w:color="auto" w:fill="auto"/>
            <w:hideMark/>
          </w:tcPr>
          <w:p w:rsidR="00650DDE" w:rsidRPr="00A83073" w:rsidP="00650DDE" w14:paraId="07121DDF" w14:textId="77777777">
            <w:pPr>
              <w:spacing w:after="0" w:line="240" w:lineRule="auto"/>
              <w:ind w:right="-10"/>
              <w:jc w:val="center"/>
              <w:rPr>
                <w:rFonts w:ascii="Times New Roman" w:eastAsia="Times New Roman" w:hAnsi="Times New Roman" w:cs="Times New Roman"/>
                <w:b/>
                <w:bCs/>
                <w:sz w:val="24"/>
                <w:szCs w:val="24"/>
              </w:rPr>
            </w:pPr>
            <w:r w:rsidRPr="00A83073">
              <w:rPr>
                <w:rFonts w:ascii="Times New Roman" w:eastAsia="Times New Roman" w:hAnsi="Times New Roman" w:cs="Times New Roman"/>
                <w:b/>
                <w:bCs/>
                <w:spacing w:val="-2"/>
                <w:sz w:val="24"/>
                <w:szCs w:val="24"/>
              </w:rPr>
              <w:t>B</w:t>
            </w:r>
            <w:r w:rsidRPr="00A83073">
              <w:rPr>
                <w:rFonts w:ascii="Times New Roman" w:eastAsia="Times New Roman" w:hAnsi="Times New Roman" w:cs="Times New Roman"/>
                <w:b/>
                <w:bCs/>
                <w:sz w:val="24"/>
                <w:szCs w:val="24"/>
              </w:rPr>
              <w:t>u</w:t>
            </w:r>
            <w:r w:rsidRPr="00A83073">
              <w:rPr>
                <w:rFonts w:ascii="Times New Roman" w:eastAsia="Times New Roman" w:hAnsi="Times New Roman" w:cs="Times New Roman"/>
                <w:b/>
                <w:bCs/>
                <w:spacing w:val="-1"/>
                <w:sz w:val="24"/>
                <w:szCs w:val="24"/>
              </w:rPr>
              <w:t>r</w:t>
            </w:r>
            <w:r w:rsidRPr="00A83073">
              <w:rPr>
                <w:rFonts w:ascii="Times New Roman" w:eastAsia="Times New Roman" w:hAnsi="Times New Roman" w:cs="Times New Roman"/>
                <w:b/>
                <w:bCs/>
                <w:sz w:val="24"/>
                <w:szCs w:val="24"/>
              </w:rPr>
              <w:t>d</w:t>
            </w:r>
            <w:r w:rsidRPr="00A83073">
              <w:rPr>
                <w:rFonts w:ascii="Times New Roman" w:eastAsia="Times New Roman" w:hAnsi="Times New Roman" w:cs="Times New Roman"/>
                <w:b/>
                <w:bCs/>
                <w:spacing w:val="-1"/>
                <w:sz w:val="24"/>
                <w:szCs w:val="24"/>
              </w:rPr>
              <w:t>e</w:t>
            </w:r>
            <w:r w:rsidRPr="00A83073">
              <w:rPr>
                <w:rFonts w:ascii="Times New Roman" w:eastAsia="Times New Roman" w:hAnsi="Times New Roman" w:cs="Times New Roman"/>
                <w:b/>
                <w:bCs/>
                <w:sz w:val="24"/>
                <w:szCs w:val="24"/>
              </w:rPr>
              <w:t>n</w:t>
            </w:r>
          </w:p>
          <w:p w:rsidR="00650DDE" w:rsidRPr="003341CA" w:rsidP="00650DDE" w14:paraId="4D460285" w14:textId="5D10B426">
            <w:pPr>
              <w:spacing w:after="0" w:line="240" w:lineRule="auto"/>
              <w:ind w:right="-10"/>
              <w:jc w:val="center"/>
              <w:rPr>
                <w:rFonts w:ascii="Times New Roman" w:eastAsia="Times New Roman" w:hAnsi="Times New Roman" w:cs="Times New Roman"/>
                <w:b/>
                <w:bCs/>
                <w:snapToGrid w:val="0"/>
                <w:sz w:val="24"/>
                <w:szCs w:val="24"/>
              </w:rPr>
            </w:pPr>
            <w:r w:rsidRPr="00A83073">
              <w:rPr>
                <w:rFonts w:ascii="Times New Roman" w:eastAsia="Times New Roman" w:hAnsi="Times New Roman" w:cs="Times New Roman"/>
                <w:b/>
                <w:bCs/>
                <w:sz w:val="24"/>
                <w:szCs w:val="24"/>
              </w:rPr>
              <w:t>Hou</w:t>
            </w:r>
            <w:r w:rsidRPr="00A83073">
              <w:rPr>
                <w:rFonts w:ascii="Times New Roman" w:eastAsia="Times New Roman" w:hAnsi="Times New Roman" w:cs="Times New Roman"/>
                <w:b/>
                <w:bCs/>
                <w:spacing w:val="-1"/>
                <w:sz w:val="24"/>
                <w:szCs w:val="24"/>
              </w:rPr>
              <w:t>r</w:t>
            </w:r>
            <w:r w:rsidRPr="00A83073">
              <w:rPr>
                <w:rFonts w:ascii="Times New Roman" w:eastAsia="Times New Roman" w:hAnsi="Times New Roman" w:cs="Times New Roman"/>
                <w:b/>
                <w:bCs/>
                <w:sz w:val="24"/>
                <w:szCs w:val="24"/>
              </w:rPr>
              <w:t>s</w:t>
            </w:r>
          </w:p>
        </w:tc>
        <w:tc>
          <w:tcPr>
            <w:tcW w:w="1530" w:type="dxa"/>
            <w:shd w:val="clear" w:color="auto" w:fill="auto"/>
            <w:hideMark/>
          </w:tcPr>
          <w:p w:rsidR="00650DDE" w:rsidRPr="00A83073" w:rsidP="00650DDE" w14:paraId="674E3E8A" w14:textId="77777777">
            <w:pPr>
              <w:spacing w:after="0" w:line="240" w:lineRule="auto"/>
              <w:ind w:right="-10"/>
              <w:jc w:val="center"/>
              <w:rPr>
                <w:rFonts w:ascii="Times New Roman" w:eastAsia="Times New Roman" w:hAnsi="Times New Roman" w:cs="Times New Roman"/>
                <w:b/>
                <w:bCs/>
                <w:sz w:val="24"/>
                <w:szCs w:val="24"/>
              </w:rPr>
            </w:pPr>
            <w:r w:rsidRPr="00A83073">
              <w:rPr>
                <w:rFonts w:ascii="Times New Roman" w:eastAsia="Times New Roman" w:hAnsi="Times New Roman" w:cs="Times New Roman"/>
                <w:b/>
                <w:bCs/>
                <w:sz w:val="24"/>
                <w:szCs w:val="24"/>
              </w:rPr>
              <w:t>Tot</w:t>
            </w:r>
            <w:r w:rsidRPr="00A83073">
              <w:rPr>
                <w:rFonts w:ascii="Times New Roman" w:eastAsia="Times New Roman" w:hAnsi="Times New Roman" w:cs="Times New Roman"/>
                <w:b/>
                <w:bCs/>
                <w:spacing w:val="-1"/>
                <w:sz w:val="24"/>
                <w:szCs w:val="24"/>
              </w:rPr>
              <w:t>a</w:t>
            </w:r>
            <w:r w:rsidRPr="00A83073">
              <w:rPr>
                <w:rFonts w:ascii="Times New Roman" w:eastAsia="Times New Roman" w:hAnsi="Times New Roman" w:cs="Times New Roman"/>
                <w:b/>
                <w:bCs/>
                <w:sz w:val="24"/>
                <w:szCs w:val="24"/>
              </w:rPr>
              <w:t xml:space="preserve">l </w:t>
            </w:r>
            <w:r w:rsidRPr="00A83073">
              <w:rPr>
                <w:rFonts w:ascii="Times New Roman" w:eastAsia="Times New Roman" w:hAnsi="Times New Roman" w:cs="Times New Roman"/>
                <w:b/>
                <w:bCs/>
                <w:spacing w:val="-2"/>
                <w:sz w:val="24"/>
                <w:szCs w:val="24"/>
              </w:rPr>
              <w:t>B</w:t>
            </w:r>
            <w:r w:rsidRPr="00A83073">
              <w:rPr>
                <w:rFonts w:ascii="Times New Roman" w:eastAsia="Times New Roman" w:hAnsi="Times New Roman" w:cs="Times New Roman"/>
                <w:b/>
                <w:bCs/>
                <w:sz w:val="24"/>
                <w:szCs w:val="24"/>
              </w:rPr>
              <w:t>u</w:t>
            </w:r>
            <w:r w:rsidRPr="00A83073">
              <w:rPr>
                <w:rFonts w:ascii="Times New Roman" w:eastAsia="Times New Roman" w:hAnsi="Times New Roman" w:cs="Times New Roman"/>
                <w:b/>
                <w:bCs/>
                <w:spacing w:val="-1"/>
                <w:sz w:val="24"/>
                <w:szCs w:val="24"/>
              </w:rPr>
              <w:t>r</w:t>
            </w:r>
            <w:r w:rsidRPr="00A83073">
              <w:rPr>
                <w:rFonts w:ascii="Times New Roman" w:eastAsia="Times New Roman" w:hAnsi="Times New Roman" w:cs="Times New Roman"/>
                <w:b/>
                <w:bCs/>
                <w:sz w:val="24"/>
                <w:szCs w:val="24"/>
              </w:rPr>
              <w:t>d</w:t>
            </w:r>
            <w:r w:rsidRPr="00A83073">
              <w:rPr>
                <w:rFonts w:ascii="Times New Roman" w:eastAsia="Times New Roman" w:hAnsi="Times New Roman" w:cs="Times New Roman"/>
                <w:b/>
                <w:bCs/>
                <w:spacing w:val="-1"/>
                <w:sz w:val="24"/>
                <w:szCs w:val="24"/>
              </w:rPr>
              <w:t>e</w:t>
            </w:r>
            <w:r w:rsidRPr="00A83073">
              <w:rPr>
                <w:rFonts w:ascii="Times New Roman" w:eastAsia="Times New Roman" w:hAnsi="Times New Roman" w:cs="Times New Roman"/>
                <w:b/>
                <w:bCs/>
                <w:sz w:val="24"/>
                <w:szCs w:val="24"/>
              </w:rPr>
              <w:t>n</w:t>
            </w:r>
          </w:p>
          <w:p w:rsidR="00650DDE" w:rsidRPr="003341CA" w:rsidP="00650DDE" w14:paraId="11DB99E9" w14:textId="3FC21B4F">
            <w:pPr>
              <w:spacing w:after="0" w:line="240" w:lineRule="auto"/>
              <w:ind w:right="-10"/>
              <w:jc w:val="center"/>
              <w:rPr>
                <w:rFonts w:ascii="Times New Roman" w:eastAsia="Times New Roman" w:hAnsi="Times New Roman" w:cs="Times New Roman"/>
                <w:b/>
                <w:bCs/>
                <w:snapToGrid w:val="0"/>
                <w:sz w:val="24"/>
                <w:szCs w:val="24"/>
              </w:rPr>
            </w:pPr>
            <w:r w:rsidRPr="00A83073">
              <w:rPr>
                <w:rFonts w:ascii="Times New Roman" w:eastAsia="Times New Roman" w:hAnsi="Times New Roman" w:cs="Times New Roman"/>
                <w:b/>
                <w:bCs/>
                <w:spacing w:val="1"/>
                <w:sz w:val="24"/>
                <w:szCs w:val="24"/>
              </w:rPr>
              <w:t>C</w:t>
            </w:r>
            <w:r w:rsidRPr="00A83073">
              <w:rPr>
                <w:rFonts w:ascii="Times New Roman" w:eastAsia="Times New Roman" w:hAnsi="Times New Roman" w:cs="Times New Roman"/>
                <w:b/>
                <w:bCs/>
                <w:sz w:val="24"/>
                <w:szCs w:val="24"/>
              </w:rPr>
              <w:t xml:space="preserve">osts </w:t>
            </w:r>
            <w:r w:rsidRPr="00A83073">
              <w:rPr>
                <w:rFonts w:ascii="Times New Roman" w:eastAsia="Times New Roman" w:hAnsi="Times New Roman" w:cs="Times New Roman"/>
                <w:b/>
                <w:bCs/>
                <w:spacing w:val="-1"/>
                <w:sz w:val="24"/>
                <w:szCs w:val="24"/>
              </w:rPr>
              <w:t>(</w:t>
            </w:r>
            <w:r w:rsidRPr="00A83073">
              <w:rPr>
                <w:rFonts w:ascii="Times New Roman" w:eastAsia="Times New Roman" w:hAnsi="Times New Roman" w:cs="Times New Roman"/>
                <w:b/>
                <w:bCs/>
                <w:sz w:val="24"/>
                <w:szCs w:val="24"/>
              </w:rPr>
              <w:t>p</w:t>
            </w:r>
            <w:r w:rsidRPr="00A83073">
              <w:rPr>
                <w:rFonts w:ascii="Times New Roman" w:eastAsia="Times New Roman" w:hAnsi="Times New Roman" w:cs="Times New Roman"/>
                <w:b/>
                <w:bCs/>
                <w:spacing w:val="-1"/>
                <w:sz w:val="24"/>
                <w:szCs w:val="24"/>
              </w:rPr>
              <w:t>e</w:t>
            </w:r>
            <w:r w:rsidRPr="00A83073">
              <w:rPr>
                <w:rFonts w:ascii="Times New Roman" w:eastAsia="Times New Roman" w:hAnsi="Times New Roman" w:cs="Times New Roman"/>
                <w:b/>
                <w:bCs/>
                <w:sz w:val="24"/>
                <w:szCs w:val="24"/>
              </w:rPr>
              <w:t xml:space="preserve">r </w:t>
            </w:r>
            <w:r w:rsidRPr="00A83073">
              <w:rPr>
                <w:rFonts w:ascii="Times New Roman" w:eastAsia="Times New Roman" w:hAnsi="Times New Roman" w:cs="Times New Roman"/>
                <w:b/>
                <w:bCs/>
                <w:spacing w:val="-1"/>
                <w:sz w:val="24"/>
                <w:szCs w:val="24"/>
              </w:rPr>
              <w:t>Re</w:t>
            </w:r>
            <w:r w:rsidRPr="00A83073">
              <w:rPr>
                <w:rFonts w:ascii="Times New Roman" w:eastAsia="Times New Roman" w:hAnsi="Times New Roman" w:cs="Times New Roman"/>
                <w:b/>
                <w:bCs/>
                <w:sz w:val="24"/>
                <w:szCs w:val="24"/>
              </w:rPr>
              <w:t>spond</w:t>
            </w:r>
            <w:r w:rsidRPr="00A83073">
              <w:rPr>
                <w:rFonts w:ascii="Times New Roman" w:eastAsia="Times New Roman" w:hAnsi="Times New Roman" w:cs="Times New Roman"/>
                <w:b/>
                <w:bCs/>
                <w:spacing w:val="-1"/>
                <w:sz w:val="24"/>
                <w:szCs w:val="24"/>
              </w:rPr>
              <w:t>e</w:t>
            </w:r>
            <w:r w:rsidRPr="00A83073">
              <w:rPr>
                <w:rFonts w:ascii="Times New Roman" w:eastAsia="Times New Roman" w:hAnsi="Times New Roman" w:cs="Times New Roman"/>
                <w:b/>
                <w:bCs/>
                <w:sz w:val="24"/>
                <w:szCs w:val="24"/>
              </w:rPr>
              <w:t>nt)</w:t>
            </w:r>
          </w:p>
        </w:tc>
        <w:tc>
          <w:tcPr>
            <w:tcW w:w="1620" w:type="dxa"/>
          </w:tcPr>
          <w:p w:rsidR="00650DDE" w:rsidRPr="003341CA" w:rsidP="00650DDE" w14:paraId="54125953" w14:textId="203EFAEB">
            <w:pPr>
              <w:spacing w:after="0" w:line="240" w:lineRule="auto"/>
              <w:ind w:right="-10"/>
              <w:jc w:val="center"/>
              <w:rPr>
                <w:rFonts w:ascii="Times New Roman" w:eastAsia="Times New Roman" w:hAnsi="Times New Roman" w:cs="Times New Roman"/>
                <w:b/>
                <w:bCs/>
                <w:snapToGrid w:val="0"/>
                <w:sz w:val="24"/>
                <w:szCs w:val="24"/>
              </w:rPr>
            </w:pPr>
            <w:r w:rsidRPr="00A83073">
              <w:rPr>
                <w:rFonts w:ascii="Times New Roman" w:eastAsia="Times New Roman" w:hAnsi="Times New Roman" w:cs="Times New Roman"/>
                <w:b/>
                <w:bCs/>
                <w:sz w:val="24"/>
                <w:szCs w:val="24"/>
              </w:rPr>
              <w:t>Tot</w:t>
            </w:r>
            <w:r w:rsidRPr="00A83073">
              <w:rPr>
                <w:rFonts w:ascii="Times New Roman" w:eastAsia="Times New Roman" w:hAnsi="Times New Roman" w:cs="Times New Roman"/>
                <w:b/>
                <w:bCs/>
                <w:spacing w:val="-1"/>
                <w:sz w:val="24"/>
                <w:szCs w:val="24"/>
              </w:rPr>
              <w:t>a</w:t>
            </w:r>
            <w:r w:rsidRPr="00A83073">
              <w:rPr>
                <w:rFonts w:ascii="Times New Roman" w:eastAsia="Times New Roman" w:hAnsi="Times New Roman" w:cs="Times New Roman"/>
                <w:b/>
                <w:bCs/>
                <w:sz w:val="24"/>
                <w:szCs w:val="24"/>
              </w:rPr>
              <w:t xml:space="preserve">l </w:t>
            </w:r>
            <w:r w:rsidRPr="00A83073">
              <w:rPr>
                <w:rFonts w:ascii="Times New Roman" w:eastAsia="Times New Roman" w:hAnsi="Times New Roman" w:cs="Times New Roman"/>
                <w:b/>
                <w:bCs/>
                <w:spacing w:val="-2"/>
                <w:sz w:val="24"/>
                <w:szCs w:val="24"/>
              </w:rPr>
              <w:t>B</w:t>
            </w:r>
            <w:r w:rsidRPr="00A83073">
              <w:rPr>
                <w:rFonts w:ascii="Times New Roman" w:eastAsia="Times New Roman" w:hAnsi="Times New Roman" w:cs="Times New Roman"/>
                <w:b/>
                <w:bCs/>
                <w:sz w:val="24"/>
                <w:szCs w:val="24"/>
              </w:rPr>
              <w:t>u</w:t>
            </w:r>
            <w:r w:rsidRPr="00A83073">
              <w:rPr>
                <w:rFonts w:ascii="Times New Roman" w:eastAsia="Times New Roman" w:hAnsi="Times New Roman" w:cs="Times New Roman"/>
                <w:b/>
                <w:bCs/>
                <w:spacing w:val="-1"/>
                <w:sz w:val="24"/>
                <w:szCs w:val="24"/>
              </w:rPr>
              <w:t>r</w:t>
            </w:r>
            <w:r w:rsidRPr="00A83073">
              <w:rPr>
                <w:rFonts w:ascii="Times New Roman" w:eastAsia="Times New Roman" w:hAnsi="Times New Roman" w:cs="Times New Roman"/>
                <w:b/>
                <w:bCs/>
                <w:sz w:val="24"/>
                <w:szCs w:val="24"/>
              </w:rPr>
              <w:t>d</w:t>
            </w:r>
            <w:r w:rsidRPr="00A83073">
              <w:rPr>
                <w:rFonts w:ascii="Times New Roman" w:eastAsia="Times New Roman" w:hAnsi="Times New Roman" w:cs="Times New Roman"/>
                <w:b/>
                <w:bCs/>
                <w:spacing w:val="-1"/>
                <w:sz w:val="24"/>
                <w:szCs w:val="24"/>
              </w:rPr>
              <w:t>e</w:t>
            </w:r>
            <w:r w:rsidRPr="00A83073">
              <w:rPr>
                <w:rFonts w:ascii="Times New Roman" w:eastAsia="Times New Roman" w:hAnsi="Times New Roman" w:cs="Times New Roman"/>
                <w:b/>
                <w:bCs/>
                <w:sz w:val="24"/>
                <w:szCs w:val="24"/>
              </w:rPr>
              <w:t xml:space="preserve">n </w:t>
            </w:r>
            <w:r w:rsidRPr="00A83073">
              <w:rPr>
                <w:rFonts w:ascii="Times New Roman" w:eastAsia="Times New Roman" w:hAnsi="Times New Roman" w:cs="Times New Roman"/>
                <w:b/>
                <w:bCs/>
                <w:spacing w:val="1"/>
                <w:sz w:val="24"/>
                <w:szCs w:val="24"/>
              </w:rPr>
              <w:t>C</w:t>
            </w:r>
            <w:r w:rsidRPr="00A83073">
              <w:rPr>
                <w:rFonts w:ascii="Times New Roman" w:eastAsia="Times New Roman" w:hAnsi="Times New Roman" w:cs="Times New Roman"/>
                <w:b/>
                <w:bCs/>
                <w:sz w:val="24"/>
                <w:szCs w:val="24"/>
              </w:rPr>
              <w:t xml:space="preserve">osts </w:t>
            </w:r>
            <w:r w:rsidRPr="00A83073">
              <w:rPr>
                <w:rFonts w:ascii="Times New Roman" w:eastAsia="Times New Roman" w:hAnsi="Times New Roman" w:cs="Times New Roman"/>
                <w:b/>
                <w:bCs/>
                <w:spacing w:val="-1"/>
                <w:sz w:val="24"/>
                <w:szCs w:val="24"/>
              </w:rPr>
              <w:t>(</w:t>
            </w:r>
            <w:r w:rsidRPr="00A83073">
              <w:rPr>
                <w:rFonts w:ascii="Times New Roman" w:eastAsia="Times New Roman" w:hAnsi="Times New Roman" w:cs="Times New Roman"/>
                <w:b/>
                <w:bCs/>
                <w:sz w:val="24"/>
                <w:szCs w:val="24"/>
              </w:rPr>
              <w:t xml:space="preserve">All </w:t>
            </w:r>
            <w:r w:rsidRPr="00A83073">
              <w:rPr>
                <w:rFonts w:ascii="Times New Roman" w:eastAsia="Times New Roman" w:hAnsi="Times New Roman" w:cs="Times New Roman"/>
                <w:b/>
                <w:bCs/>
                <w:spacing w:val="1"/>
                <w:sz w:val="24"/>
                <w:szCs w:val="24"/>
              </w:rPr>
              <w:t>R</w:t>
            </w:r>
            <w:r w:rsidRPr="00A83073">
              <w:rPr>
                <w:rFonts w:ascii="Times New Roman" w:eastAsia="Times New Roman" w:hAnsi="Times New Roman" w:cs="Times New Roman"/>
                <w:b/>
                <w:bCs/>
                <w:spacing w:val="-1"/>
                <w:sz w:val="24"/>
                <w:szCs w:val="24"/>
              </w:rPr>
              <w:t>e</w:t>
            </w:r>
            <w:r w:rsidRPr="00A83073">
              <w:rPr>
                <w:rFonts w:ascii="Times New Roman" w:eastAsia="Times New Roman" w:hAnsi="Times New Roman" w:cs="Times New Roman"/>
                <w:b/>
                <w:bCs/>
                <w:sz w:val="24"/>
                <w:szCs w:val="24"/>
              </w:rPr>
              <w:t>spond</w:t>
            </w:r>
            <w:r w:rsidRPr="00A83073">
              <w:rPr>
                <w:rFonts w:ascii="Times New Roman" w:eastAsia="Times New Roman" w:hAnsi="Times New Roman" w:cs="Times New Roman"/>
                <w:b/>
                <w:bCs/>
                <w:spacing w:val="-1"/>
                <w:sz w:val="24"/>
                <w:szCs w:val="24"/>
              </w:rPr>
              <w:t>e</w:t>
            </w:r>
            <w:r w:rsidRPr="00A83073">
              <w:rPr>
                <w:rFonts w:ascii="Times New Roman" w:eastAsia="Times New Roman" w:hAnsi="Times New Roman" w:cs="Times New Roman"/>
                <w:b/>
                <w:bCs/>
                <w:sz w:val="24"/>
                <w:szCs w:val="24"/>
              </w:rPr>
              <w:t>nts)</w:t>
            </w:r>
          </w:p>
        </w:tc>
      </w:tr>
      <w:tr w14:paraId="253C4B8E" w14:textId="77777777" w:rsidTr="008B651A">
        <w:tblPrEx>
          <w:tblW w:w="9447" w:type="dxa"/>
          <w:tblInd w:w="-2" w:type="dxa"/>
          <w:tblLayout w:type="fixed"/>
          <w:tblCellMar>
            <w:left w:w="0" w:type="dxa"/>
            <w:right w:w="0" w:type="dxa"/>
          </w:tblCellMar>
          <w:tblLook w:val="04A0"/>
        </w:tblPrEx>
        <w:trPr>
          <w:trHeight w:val="512"/>
        </w:trPr>
        <w:tc>
          <w:tcPr>
            <w:tcW w:w="2067" w:type="dxa"/>
            <w:shd w:val="clear" w:color="auto" w:fill="auto"/>
            <w:vAlign w:val="center"/>
            <w:hideMark/>
          </w:tcPr>
          <w:p w:rsidR="00B4104E" w:rsidRPr="003341CA" w:rsidP="00650DDE" w14:paraId="2B7D2F1E" w14:textId="77777777">
            <w:pPr>
              <w:spacing w:after="0" w:line="240" w:lineRule="auto"/>
              <w:ind w:left="90"/>
              <w:rPr>
                <w:rFonts w:ascii="Times New Roman" w:eastAsia="Times New Roman" w:hAnsi="Times New Roman" w:cs="Times New Roman"/>
                <w:snapToGrid w:val="0"/>
                <w:sz w:val="24"/>
                <w:szCs w:val="24"/>
              </w:rPr>
            </w:pPr>
            <w:r w:rsidRPr="003341CA">
              <w:rPr>
                <w:rFonts w:ascii="Times New Roman" w:eastAsia="Times New Roman" w:hAnsi="Times New Roman" w:cs="Times New Roman"/>
                <w:snapToGrid w:val="0"/>
                <w:sz w:val="24"/>
                <w:szCs w:val="24"/>
              </w:rPr>
              <w:t>Web and Digital Interface Designer</w:t>
            </w:r>
          </w:p>
        </w:tc>
        <w:tc>
          <w:tcPr>
            <w:tcW w:w="1350" w:type="dxa"/>
            <w:shd w:val="clear" w:color="auto" w:fill="auto"/>
            <w:vAlign w:val="center"/>
            <w:hideMark/>
          </w:tcPr>
          <w:p w:rsidR="00B4104E" w:rsidRPr="003341CA" w:rsidP="003341CA" w14:paraId="7C85534F" w14:textId="77777777">
            <w:pPr>
              <w:spacing w:after="0" w:line="240" w:lineRule="auto"/>
              <w:jc w:val="center"/>
              <w:rPr>
                <w:rFonts w:ascii="Times New Roman" w:eastAsia="Times New Roman" w:hAnsi="Times New Roman" w:cs="Times New Roman"/>
                <w:snapToGrid w:val="0"/>
                <w:sz w:val="24"/>
                <w:szCs w:val="24"/>
              </w:rPr>
            </w:pPr>
            <w:r w:rsidRPr="003341CA">
              <w:rPr>
                <w:rFonts w:ascii="Times New Roman" w:eastAsia="Times New Roman" w:hAnsi="Times New Roman" w:cs="Times New Roman"/>
                <w:snapToGrid w:val="0"/>
                <w:sz w:val="24"/>
                <w:szCs w:val="24"/>
              </w:rPr>
              <w:t>20</w:t>
            </w:r>
          </w:p>
        </w:tc>
        <w:tc>
          <w:tcPr>
            <w:tcW w:w="1710" w:type="dxa"/>
            <w:shd w:val="clear" w:color="auto" w:fill="auto"/>
            <w:vAlign w:val="center"/>
            <w:hideMark/>
          </w:tcPr>
          <w:p w:rsidR="00B4104E" w:rsidRPr="003341CA" w:rsidP="003341CA" w14:paraId="21D9ED7F" w14:textId="28BBF2C3">
            <w:pPr>
              <w:spacing w:after="0" w:line="240" w:lineRule="auto"/>
              <w:jc w:val="center"/>
              <w:rPr>
                <w:rFonts w:ascii="Times New Roman" w:eastAsia="Times New Roman" w:hAnsi="Times New Roman" w:cs="Times New Roman"/>
                <w:snapToGrid w:val="0"/>
                <w:sz w:val="24"/>
                <w:szCs w:val="24"/>
              </w:rPr>
            </w:pPr>
            <w:r w:rsidRPr="003341CA">
              <w:rPr>
                <w:rFonts w:ascii="Times New Roman" w:eastAsia="Times New Roman" w:hAnsi="Times New Roman" w:cs="Times New Roman"/>
                <w:snapToGrid w:val="0"/>
                <w:sz w:val="24"/>
                <w:szCs w:val="24"/>
              </w:rPr>
              <w:t>$</w:t>
            </w:r>
            <w:r w:rsidR="00BD3AD6">
              <w:rPr>
                <w:rFonts w:ascii="Times New Roman" w:eastAsia="Times New Roman" w:hAnsi="Times New Roman" w:cs="Times New Roman"/>
                <w:snapToGrid w:val="0"/>
                <w:sz w:val="24"/>
                <w:szCs w:val="24"/>
              </w:rPr>
              <w:t>80.04</w:t>
            </w:r>
          </w:p>
        </w:tc>
        <w:tc>
          <w:tcPr>
            <w:tcW w:w="1170" w:type="dxa"/>
            <w:shd w:val="clear" w:color="auto" w:fill="auto"/>
            <w:vAlign w:val="center"/>
            <w:hideMark/>
          </w:tcPr>
          <w:p w:rsidR="00B4104E" w:rsidRPr="003341CA" w:rsidP="003341CA" w14:paraId="4078D4EA" w14:textId="2B341537">
            <w:pPr>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5</w:t>
            </w:r>
          </w:p>
        </w:tc>
        <w:tc>
          <w:tcPr>
            <w:tcW w:w="1530" w:type="dxa"/>
            <w:shd w:val="clear" w:color="auto" w:fill="auto"/>
            <w:vAlign w:val="center"/>
            <w:hideMark/>
          </w:tcPr>
          <w:p w:rsidR="00B4104E" w:rsidRPr="003341CA" w:rsidP="003341CA" w14:paraId="768CDC30" w14:textId="081EA98A">
            <w:pPr>
              <w:spacing w:after="0" w:line="240" w:lineRule="auto"/>
              <w:jc w:val="center"/>
              <w:rPr>
                <w:rFonts w:ascii="Times New Roman" w:eastAsia="Times New Roman" w:hAnsi="Times New Roman" w:cs="Times New Roman"/>
                <w:snapToGrid w:val="0"/>
                <w:sz w:val="24"/>
                <w:szCs w:val="24"/>
              </w:rPr>
            </w:pPr>
            <w:r w:rsidRPr="003341CA">
              <w:rPr>
                <w:rFonts w:ascii="Times New Roman" w:hAnsi="Times New Roman" w:cs="Times New Roman"/>
                <w:color w:val="000000"/>
                <w:sz w:val="24"/>
                <w:szCs w:val="24"/>
              </w:rPr>
              <w:t>$</w:t>
            </w:r>
            <w:r w:rsidR="008E7706">
              <w:rPr>
                <w:rFonts w:ascii="Times New Roman" w:hAnsi="Times New Roman" w:cs="Times New Roman"/>
                <w:color w:val="000000"/>
                <w:sz w:val="24"/>
                <w:szCs w:val="24"/>
              </w:rPr>
              <w:t>400.20</w:t>
            </w:r>
          </w:p>
        </w:tc>
        <w:tc>
          <w:tcPr>
            <w:tcW w:w="1620" w:type="dxa"/>
            <w:shd w:val="clear" w:color="auto" w:fill="auto"/>
            <w:vAlign w:val="center"/>
          </w:tcPr>
          <w:p w:rsidR="00B4104E" w:rsidRPr="003341CA" w:rsidP="003341CA" w14:paraId="14E80CB5" w14:textId="1B5ABC59">
            <w:pPr>
              <w:spacing w:after="0" w:line="240" w:lineRule="auto"/>
              <w:jc w:val="center"/>
              <w:rPr>
                <w:rFonts w:ascii="Times New Roman" w:eastAsia="Times New Roman" w:hAnsi="Times New Roman" w:cs="Times New Roman"/>
                <w:snapToGrid w:val="0"/>
                <w:sz w:val="24"/>
                <w:szCs w:val="24"/>
              </w:rPr>
            </w:pPr>
            <w:r w:rsidRPr="003341CA">
              <w:rPr>
                <w:rFonts w:ascii="Times New Roman" w:eastAsia="Times New Roman" w:hAnsi="Times New Roman" w:cs="Times New Roman"/>
                <w:snapToGrid w:val="0"/>
                <w:sz w:val="24"/>
                <w:szCs w:val="24"/>
              </w:rPr>
              <w:t>$</w:t>
            </w:r>
            <w:r w:rsidR="008E7706">
              <w:rPr>
                <w:rFonts w:ascii="Times New Roman" w:eastAsia="Times New Roman" w:hAnsi="Times New Roman" w:cs="Times New Roman"/>
                <w:snapToGrid w:val="0"/>
                <w:sz w:val="24"/>
                <w:szCs w:val="24"/>
              </w:rPr>
              <w:t>8,004.00</w:t>
            </w:r>
          </w:p>
        </w:tc>
      </w:tr>
      <w:bookmarkEnd w:id="80"/>
    </w:tbl>
    <w:p w:rsidR="00E76FB5" w:rsidP="00FE1BF4" w14:paraId="1FB8C5A5" w14:textId="77777777">
      <w:pPr>
        <w:autoSpaceDE w:val="0"/>
        <w:autoSpaceDN w:val="0"/>
        <w:adjustRightInd w:val="0"/>
        <w:spacing w:after="0" w:line="240" w:lineRule="auto"/>
        <w:rPr>
          <w:rFonts w:ascii="Times New Roman" w:hAnsi="Times New Roman" w:cs="Times New Roman"/>
          <w:sz w:val="24"/>
          <w:szCs w:val="24"/>
        </w:rPr>
      </w:pPr>
    </w:p>
    <w:p w:rsidR="00FE1BF4" w:rsidRPr="007201C6" w:rsidP="00C86A98" w14:paraId="1124DA38" w14:textId="6AA88786">
      <w:pPr>
        <w:widowControl/>
        <w:spacing w:after="0" w:line="240" w:lineRule="auto"/>
        <w:rPr>
          <w:szCs w:val="24"/>
        </w:rPr>
      </w:pPr>
      <w:r w:rsidRPr="007201C6">
        <w:rPr>
          <w:rFonts w:ascii="Times New Roman" w:hAnsi="Times New Roman" w:cs="Times New Roman"/>
          <w:sz w:val="24"/>
          <w:szCs w:val="24"/>
        </w:rPr>
        <w:t>The</w:t>
      </w:r>
      <w:r w:rsidRPr="007201C6">
        <w:rPr>
          <w:rFonts w:ascii="Times New Roman" w:hAnsi="Times New Roman" w:cs="Times New Roman"/>
          <w:spacing w:val="1"/>
          <w:sz w:val="24"/>
          <w:szCs w:val="24"/>
        </w:rPr>
        <w:t xml:space="preserve"> </w:t>
      </w:r>
      <w:r w:rsidRPr="007201C6">
        <w:rPr>
          <w:rFonts w:ascii="Times New Roman" w:hAnsi="Times New Roman" w:cs="Times New Roman"/>
          <w:spacing w:val="-1"/>
          <w:sz w:val="24"/>
          <w:szCs w:val="24"/>
        </w:rPr>
        <w:t>a</w:t>
      </w:r>
      <w:r w:rsidRPr="007201C6">
        <w:rPr>
          <w:rFonts w:ascii="Times New Roman" w:hAnsi="Times New Roman" w:cs="Times New Roman"/>
          <w:sz w:val="24"/>
          <w:szCs w:val="24"/>
        </w:rPr>
        <w:t>g</w:t>
      </w:r>
      <w:r w:rsidRPr="007201C6">
        <w:rPr>
          <w:rFonts w:ascii="Times New Roman" w:hAnsi="Times New Roman" w:cs="Times New Roman"/>
          <w:spacing w:val="-5"/>
          <w:sz w:val="24"/>
          <w:szCs w:val="24"/>
        </w:rPr>
        <w:t>g</w:t>
      </w:r>
      <w:r w:rsidRPr="007201C6">
        <w:rPr>
          <w:rFonts w:ascii="Times New Roman" w:hAnsi="Times New Roman" w:cs="Times New Roman"/>
          <w:spacing w:val="2"/>
          <w:sz w:val="24"/>
          <w:szCs w:val="24"/>
        </w:rPr>
        <w:t>r</w:t>
      </w:r>
      <w:r w:rsidRPr="007201C6">
        <w:rPr>
          <w:rFonts w:ascii="Times New Roman" w:hAnsi="Times New Roman" w:cs="Times New Roman"/>
          <w:spacing w:val="1"/>
          <w:sz w:val="24"/>
          <w:szCs w:val="24"/>
        </w:rPr>
        <w:t>e</w:t>
      </w:r>
      <w:r w:rsidRPr="007201C6">
        <w:rPr>
          <w:rFonts w:ascii="Times New Roman" w:hAnsi="Times New Roman" w:cs="Times New Roman"/>
          <w:spacing w:val="-2"/>
          <w:sz w:val="24"/>
          <w:szCs w:val="24"/>
        </w:rPr>
        <w:t>g</w:t>
      </w:r>
      <w:r w:rsidRPr="007201C6">
        <w:rPr>
          <w:rFonts w:ascii="Times New Roman" w:hAnsi="Times New Roman" w:cs="Times New Roman"/>
          <w:spacing w:val="-1"/>
          <w:sz w:val="24"/>
          <w:szCs w:val="24"/>
        </w:rPr>
        <w:t>a</w:t>
      </w:r>
      <w:r w:rsidRPr="007201C6">
        <w:rPr>
          <w:rFonts w:ascii="Times New Roman" w:hAnsi="Times New Roman" w:cs="Times New Roman"/>
          <w:sz w:val="24"/>
          <w:szCs w:val="24"/>
        </w:rPr>
        <w:t>te annual</w:t>
      </w:r>
      <w:r w:rsidRPr="007201C6">
        <w:rPr>
          <w:rFonts w:ascii="Times New Roman" w:hAnsi="Times New Roman" w:cs="Times New Roman"/>
          <w:spacing w:val="-1"/>
          <w:sz w:val="24"/>
          <w:szCs w:val="24"/>
        </w:rPr>
        <w:t xml:space="preserve"> </w:t>
      </w:r>
      <w:r w:rsidRPr="007201C6">
        <w:rPr>
          <w:rFonts w:ascii="Times New Roman" w:hAnsi="Times New Roman" w:cs="Times New Roman"/>
          <w:sz w:val="24"/>
          <w:szCs w:val="24"/>
        </w:rPr>
        <w:t xml:space="preserve">cost </w:t>
      </w:r>
      <w:r w:rsidRPr="007201C6">
        <w:rPr>
          <w:rFonts w:ascii="Times New Roman" w:hAnsi="Times New Roman" w:cs="Times New Roman"/>
          <w:spacing w:val="-1"/>
          <w:sz w:val="24"/>
          <w:szCs w:val="24"/>
        </w:rPr>
        <w:t>acr</w:t>
      </w:r>
      <w:r w:rsidRPr="007201C6">
        <w:rPr>
          <w:rFonts w:ascii="Times New Roman" w:hAnsi="Times New Roman" w:cs="Times New Roman"/>
          <w:sz w:val="24"/>
          <w:szCs w:val="24"/>
        </w:rPr>
        <w:t xml:space="preserve">oss </w:t>
      </w:r>
      <w:r w:rsidRPr="007201C6">
        <w:rPr>
          <w:rFonts w:ascii="Times New Roman" w:hAnsi="Times New Roman" w:cs="Times New Roman"/>
          <w:spacing w:val="-1"/>
          <w:sz w:val="24"/>
          <w:szCs w:val="24"/>
        </w:rPr>
        <w:t>a</w:t>
      </w:r>
      <w:r w:rsidRPr="007201C6">
        <w:rPr>
          <w:rFonts w:ascii="Times New Roman" w:hAnsi="Times New Roman" w:cs="Times New Roman"/>
          <w:sz w:val="24"/>
          <w:szCs w:val="24"/>
        </w:rPr>
        <w:t>ll respondents</w:t>
      </w:r>
      <w:r w:rsidRPr="007201C6">
        <w:rPr>
          <w:rFonts w:ascii="Times New Roman" w:hAnsi="Times New Roman" w:cs="Times New Roman"/>
          <w:spacing w:val="-2"/>
          <w:sz w:val="24"/>
          <w:szCs w:val="24"/>
        </w:rPr>
        <w:t xml:space="preserve"> </w:t>
      </w:r>
      <w:r w:rsidRPr="002C3C0A">
        <w:rPr>
          <w:rFonts w:ascii="Times New Roman" w:hAnsi="Times New Roman" w:cs="Times New Roman"/>
          <w:sz w:val="24"/>
          <w:szCs w:val="24"/>
        </w:rPr>
        <w:t>is</w:t>
      </w:r>
      <w:r w:rsidRPr="002C3C0A" w:rsidR="00FB6E88">
        <w:rPr>
          <w:rFonts w:ascii="Times New Roman" w:eastAsia="Calibri" w:hAnsi="Times New Roman" w:cs="Times New Roman"/>
          <w:sz w:val="24"/>
          <w:szCs w:val="24"/>
        </w:rPr>
        <w:t xml:space="preserve"> </w:t>
      </w:r>
      <w:r w:rsidRPr="002C3C0A" w:rsidR="00E63910">
        <w:rPr>
          <w:rFonts w:ascii="Times New Roman" w:eastAsia="Calibri" w:hAnsi="Times New Roman" w:cs="Times New Roman"/>
          <w:sz w:val="24"/>
          <w:szCs w:val="24"/>
        </w:rPr>
        <w:t>$</w:t>
      </w:r>
      <w:r w:rsidRPr="002C3C0A" w:rsidR="008E633E">
        <w:rPr>
          <w:rFonts w:ascii="Times New Roman" w:hAnsi="Times New Roman" w:cs="Times New Roman"/>
          <w:color w:val="000000"/>
          <w:sz w:val="24"/>
          <w:szCs w:val="24"/>
        </w:rPr>
        <w:t>4,192,572.16</w:t>
      </w:r>
      <w:r w:rsidR="0040212C">
        <w:rPr>
          <w:rFonts w:ascii="Times New Roman" w:eastAsia="Calibri" w:hAnsi="Times New Roman" w:cs="Times New Roman"/>
          <w:sz w:val="24"/>
          <w:szCs w:val="24"/>
        </w:rPr>
        <w:t xml:space="preserve">. </w:t>
      </w:r>
      <w:r w:rsidRPr="007201C6">
        <w:rPr>
          <w:rFonts w:ascii="Times New Roman" w:hAnsi="Times New Roman" w:cs="Times New Roman"/>
          <w:color w:val="000000"/>
          <w:sz w:val="24"/>
          <w:szCs w:val="24"/>
        </w:rPr>
        <w:t xml:space="preserve">Table </w:t>
      </w:r>
      <w:r w:rsidR="001E45E1">
        <w:rPr>
          <w:rFonts w:ascii="Times New Roman" w:hAnsi="Times New Roman" w:cs="Times New Roman"/>
          <w:color w:val="000000"/>
          <w:sz w:val="24"/>
          <w:szCs w:val="24"/>
        </w:rPr>
        <w:t xml:space="preserve">18 </w:t>
      </w:r>
      <w:r w:rsidRPr="007201C6">
        <w:rPr>
          <w:rFonts w:ascii="Times New Roman" w:hAnsi="Times New Roman" w:cs="Times New Roman"/>
          <w:color w:val="000000"/>
          <w:sz w:val="24"/>
          <w:szCs w:val="24"/>
        </w:rPr>
        <w:t>below provides a summary of the estimates within this package.</w:t>
      </w:r>
    </w:p>
    <w:p w:rsidR="00FE1BF4" w:rsidP="00396933" w14:paraId="3265CE5F" w14:textId="77777777">
      <w:pPr>
        <w:spacing w:after="0" w:line="240" w:lineRule="auto"/>
        <w:ind w:right="-20"/>
        <w:rPr>
          <w:rFonts w:ascii="Times New Roman" w:hAnsi="Times New Roman" w:cs="Times New Roman"/>
          <w:b/>
          <w:bCs/>
          <w:sz w:val="24"/>
        </w:rPr>
      </w:pPr>
    </w:p>
    <w:p w:rsidR="00576FC5" w:rsidRPr="00576FC5" w:rsidP="00D15A00" w14:paraId="76197B5A" w14:textId="6E0B3542">
      <w:pPr>
        <w:spacing w:line="240" w:lineRule="auto"/>
        <w:ind w:right="-20"/>
        <w:rPr>
          <w:rFonts w:ascii="Times New Roman" w:eastAsia="Calibri" w:hAnsi="Times New Roman" w:cs="Times New Roman"/>
          <w:b/>
          <w:bCs/>
          <w:sz w:val="24"/>
        </w:rPr>
      </w:pPr>
      <w:bookmarkStart w:id="81" w:name="_Hlk161227913"/>
      <w:r w:rsidRPr="00576FC5">
        <w:rPr>
          <w:rFonts w:ascii="Times New Roman" w:eastAsia="Calibri" w:hAnsi="Times New Roman" w:cs="Times New Roman"/>
          <w:b/>
          <w:bCs/>
          <w:sz w:val="24"/>
        </w:rPr>
        <w:t>Table</w:t>
      </w:r>
      <w:r w:rsidR="001E45E1">
        <w:rPr>
          <w:rFonts w:ascii="Times New Roman" w:eastAsia="Calibri" w:hAnsi="Times New Roman" w:cs="Times New Roman"/>
          <w:b/>
          <w:bCs/>
          <w:sz w:val="24"/>
        </w:rPr>
        <w:t>18</w:t>
      </w:r>
      <w:r w:rsidRPr="00576FC5">
        <w:rPr>
          <w:rFonts w:ascii="Times New Roman" w:eastAsia="Calibri" w:hAnsi="Times New Roman" w:cs="Times New Roman"/>
          <w:b/>
          <w:bCs/>
          <w:sz w:val="24"/>
        </w:rPr>
        <w:t>: Summary of Total Burden</w:t>
      </w:r>
    </w:p>
    <w:tbl>
      <w:tblPr>
        <w:tblStyle w:val="TableGrid"/>
        <w:tblW w:w="5000" w:type="pct"/>
        <w:tblLayout w:type="fixed"/>
        <w:tblLook w:val="04A0"/>
      </w:tblPr>
      <w:tblGrid>
        <w:gridCol w:w="3572"/>
        <w:gridCol w:w="2477"/>
        <w:gridCol w:w="1468"/>
        <w:gridCol w:w="2013"/>
      </w:tblGrid>
      <w:tr w14:paraId="54EE13C0" w14:textId="77777777" w:rsidTr="0087601B">
        <w:tblPrEx>
          <w:tblW w:w="5000" w:type="pct"/>
          <w:tblLayout w:type="fixed"/>
          <w:tblLook w:val="04A0"/>
        </w:tblPrEx>
        <w:trPr>
          <w:trHeight w:val="566"/>
        </w:trPr>
        <w:tc>
          <w:tcPr>
            <w:tcW w:w="3505" w:type="dxa"/>
            <w:hideMark/>
          </w:tcPr>
          <w:p w:rsidR="006419E7" w:rsidRPr="008050A7" w:rsidP="00D15A00" w14:paraId="43CEE6DE" w14:textId="3F07124C">
            <w:pPr>
              <w:spacing w:after="0" w:line="240" w:lineRule="auto"/>
              <w:rPr>
                <w:rFonts w:ascii="Times New Roman" w:eastAsia="Calibri" w:hAnsi="Times New Roman" w:cs="Times New Roman"/>
                <w:b/>
                <w:bCs/>
                <w:sz w:val="24"/>
                <w:szCs w:val="24"/>
              </w:rPr>
            </w:pPr>
            <w:bookmarkStart w:id="82" w:name="_Hlk148030960"/>
            <w:r w:rsidRPr="008050A7">
              <w:rPr>
                <w:rFonts w:ascii="Times New Roman" w:eastAsia="Calibri" w:hAnsi="Times New Roman" w:cs="Times New Roman"/>
                <w:b/>
                <w:bCs/>
                <w:sz w:val="24"/>
                <w:szCs w:val="24"/>
              </w:rPr>
              <w:t xml:space="preserve">Table Number: </w:t>
            </w:r>
            <w:r w:rsidRPr="008050A7" w:rsidR="008050A7">
              <w:rPr>
                <w:rFonts w:ascii="Times New Roman" w:eastAsia="Calibri" w:hAnsi="Times New Roman" w:cs="Times New Roman"/>
                <w:b/>
                <w:bCs/>
                <w:sz w:val="24"/>
                <w:szCs w:val="24"/>
              </w:rPr>
              <w:t>Name</w:t>
            </w:r>
          </w:p>
        </w:tc>
        <w:tc>
          <w:tcPr>
            <w:tcW w:w="2430" w:type="dxa"/>
            <w:hideMark/>
          </w:tcPr>
          <w:p w:rsidR="006419E7" w:rsidRPr="008050A7" w:rsidP="00D15A00" w14:paraId="737BACC9" w14:textId="7AB12DD3">
            <w:pPr>
              <w:spacing w:after="0" w:line="240" w:lineRule="auto"/>
              <w:jc w:val="center"/>
              <w:rPr>
                <w:rFonts w:ascii="Times New Roman" w:eastAsia="Calibri" w:hAnsi="Times New Roman" w:cs="Times New Roman"/>
                <w:b/>
                <w:bCs/>
                <w:sz w:val="24"/>
                <w:szCs w:val="24"/>
              </w:rPr>
            </w:pPr>
            <w:r w:rsidRPr="008050A7">
              <w:rPr>
                <w:rFonts w:ascii="Times New Roman" w:eastAsia="Calibri" w:hAnsi="Times New Roman" w:cs="Times New Roman"/>
                <w:b/>
                <w:bCs/>
                <w:sz w:val="24"/>
                <w:szCs w:val="24"/>
              </w:rPr>
              <w:t>CFR Section</w:t>
            </w:r>
          </w:p>
        </w:tc>
        <w:tc>
          <w:tcPr>
            <w:tcW w:w="1440" w:type="dxa"/>
            <w:hideMark/>
          </w:tcPr>
          <w:p w:rsidR="006419E7" w:rsidRPr="008050A7" w:rsidP="00D15A00" w14:paraId="6AA08890" w14:textId="0008BBC1">
            <w:pPr>
              <w:spacing w:after="0" w:line="240" w:lineRule="auto"/>
              <w:jc w:val="center"/>
              <w:rPr>
                <w:rFonts w:ascii="Times New Roman" w:eastAsia="Calibri" w:hAnsi="Times New Roman" w:cs="Times New Roman"/>
                <w:b/>
                <w:bCs/>
                <w:sz w:val="24"/>
                <w:szCs w:val="24"/>
              </w:rPr>
            </w:pPr>
            <w:r w:rsidRPr="008050A7">
              <w:rPr>
                <w:rFonts w:ascii="Times New Roman" w:eastAsia="Calibri" w:hAnsi="Times New Roman" w:cs="Times New Roman"/>
                <w:b/>
                <w:bCs/>
                <w:sz w:val="24"/>
                <w:szCs w:val="24"/>
              </w:rPr>
              <w:t>Burden Hours</w:t>
            </w:r>
          </w:p>
        </w:tc>
        <w:tc>
          <w:tcPr>
            <w:tcW w:w="1975" w:type="dxa"/>
            <w:hideMark/>
          </w:tcPr>
          <w:p w:rsidR="006419E7" w:rsidRPr="008050A7" w:rsidP="008050A7" w14:paraId="2BA3EBBC" w14:textId="220C71DA">
            <w:pPr>
              <w:spacing w:after="0" w:line="240" w:lineRule="auto"/>
              <w:ind w:left="-20" w:right="-23"/>
              <w:jc w:val="center"/>
              <w:rPr>
                <w:rFonts w:ascii="Times New Roman" w:eastAsia="Calibri" w:hAnsi="Times New Roman" w:cs="Times New Roman"/>
                <w:b/>
                <w:bCs/>
                <w:sz w:val="24"/>
                <w:szCs w:val="24"/>
              </w:rPr>
            </w:pPr>
            <w:r w:rsidRPr="008050A7">
              <w:rPr>
                <w:rFonts w:ascii="Times New Roman" w:eastAsia="Calibri" w:hAnsi="Times New Roman" w:cs="Times New Roman"/>
                <w:b/>
                <w:bCs/>
                <w:sz w:val="24"/>
                <w:szCs w:val="24"/>
              </w:rPr>
              <w:t>Burden Cost</w:t>
            </w:r>
          </w:p>
        </w:tc>
      </w:tr>
      <w:tr w14:paraId="425005A9" w14:textId="77777777" w:rsidTr="0087601B">
        <w:tblPrEx>
          <w:tblW w:w="5000" w:type="pct"/>
          <w:tblLayout w:type="fixed"/>
          <w:tblLook w:val="04A0"/>
        </w:tblPrEx>
        <w:trPr>
          <w:trHeight w:val="1007"/>
        </w:trPr>
        <w:tc>
          <w:tcPr>
            <w:tcW w:w="3505" w:type="dxa"/>
            <w:hideMark/>
          </w:tcPr>
          <w:p w:rsidR="006419E7" w:rsidRPr="008050A7" w:rsidP="00D15A00" w14:paraId="27E29D02" w14:textId="0D55C80D">
            <w:pPr>
              <w:spacing w:after="0" w:line="240" w:lineRule="auto"/>
              <w:rPr>
                <w:rFonts w:ascii="Times New Roman" w:eastAsia="Calibri" w:hAnsi="Times New Roman" w:cs="Times New Roman"/>
                <w:sz w:val="24"/>
                <w:szCs w:val="24"/>
              </w:rPr>
            </w:pPr>
            <w:r w:rsidRPr="008050A7">
              <w:rPr>
                <w:rFonts w:ascii="Times New Roman" w:eastAsia="Calibri" w:hAnsi="Times New Roman" w:cs="Times New Roman"/>
                <w:sz w:val="24"/>
                <w:szCs w:val="24"/>
              </w:rPr>
              <w:t xml:space="preserve">Table </w:t>
            </w:r>
            <w:r w:rsidRPr="008050A7" w:rsidR="00757587">
              <w:rPr>
                <w:rFonts w:ascii="Times New Roman" w:eastAsia="Calibri" w:hAnsi="Times New Roman" w:cs="Times New Roman"/>
                <w:sz w:val="24"/>
                <w:szCs w:val="24"/>
              </w:rPr>
              <w:t>2</w:t>
            </w:r>
            <w:r w:rsidRPr="008050A7">
              <w:rPr>
                <w:rFonts w:ascii="Times New Roman" w:eastAsia="Calibri" w:hAnsi="Times New Roman" w:cs="Times New Roman"/>
                <w:sz w:val="24"/>
                <w:szCs w:val="24"/>
              </w:rPr>
              <w:t>: Burden to Web-Brokers to Fulfill ORR Requirements</w:t>
            </w:r>
          </w:p>
        </w:tc>
        <w:tc>
          <w:tcPr>
            <w:tcW w:w="2430" w:type="dxa"/>
            <w:hideMark/>
          </w:tcPr>
          <w:p w:rsidR="006419E7" w:rsidRPr="008050A7" w:rsidP="00D15A00" w14:paraId="3BAE1CC2" w14:textId="226E5C4B">
            <w:pPr>
              <w:spacing w:after="0" w:line="240" w:lineRule="auto"/>
              <w:jc w:val="center"/>
              <w:rPr>
                <w:rFonts w:ascii="Times New Roman" w:eastAsia="Calibri" w:hAnsi="Times New Roman" w:cs="Times New Roman"/>
                <w:sz w:val="24"/>
                <w:szCs w:val="24"/>
              </w:rPr>
            </w:pPr>
            <w:r w:rsidRPr="008050A7">
              <w:rPr>
                <w:rFonts w:ascii="Times New Roman" w:eastAsia="Calibri" w:hAnsi="Times New Roman" w:cs="Times New Roman"/>
                <w:sz w:val="24"/>
                <w:szCs w:val="24"/>
              </w:rPr>
              <w:t>45 CFR §§ 155.220(c)(6)(i)</w:t>
            </w:r>
            <w:r w:rsidRPr="008050A7" w:rsidR="005770B8">
              <w:rPr>
                <w:rFonts w:ascii="Times New Roman" w:eastAsia="Calibri" w:hAnsi="Times New Roman" w:cs="Times New Roman"/>
                <w:sz w:val="24"/>
                <w:szCs w:val="24"/>
              </w:rPr>
              <w:t>, (v), and (iv)</w:t>
            </w:r>
            <w:r w:rsidRPr="008050A7">
              <w:rPr>
                <w:rFonts w:ascii="Times New Roman" w:eastAsia="Calibri" w:hAnsi="Times New Roman" w:cs="Times New Roman"/>
                <w:sz w:val="24"/>
                <w:szCs w:val="24"/>
              </w:rPr>
              <w:t xml:space="preserve"> </w:t>
            </w:r>
          </w:p>
        </w:tc>
        <w:tc>
          <w:tcPr>
            <w:tcW w:w="1440" w:type="dxa"/>
            <w:hideMark/>
          </w:tcPr>
          <w:p w:rsidR="006419E7" w:rsidRPr="008050A7" w:rsidP="00D15A00" w14:paraId="21921FD0" w14:textId="77777777">
            <w:pPr>
              <w:spacing w:after="0" w:line="240" w:lineRule="auto"/>
              <w:jc w:val="center"/>
              <w:rPr>
                <w:rFonts w:ascii="Times New Roman" w:eastAsia="Calibri" w:hAnsi="Times New Roman" w:cs="Times New Roman"/>
                <w:sz w:val="24"/>
                <w:szCs w:val="24"/>
              </w:rPr>
            </w:pPr>
            <w:r w:rsidRPr="008050A7">
              <w:rPr>
                <w:rFonts w:ascii="Times New Roman" w:eastAsia="Calibri" w:hAnsi="Times New Roman" w:cs="Times New Roman"/>
                <w:sz w:val="24"/>
                <w:szCs w:val="24"/>
              </w:rPr>
              <w:t>380</w:t>
            </w:r>
          </w:p>
        </w:tc>
        <w:tc>
          <w:tcPr>
            <w:tcW w:w="1975" w:type="dxa"/>
            <w:hideMark/>
          </w:tcPr>
          <w:p w:rsidR="006419E7" w:rsidRPr="008050A7" w:rsidP="008050A7" w14:paraId="7DDB2029" w14:textId="7ED77A77">
            <w:pPr>
              <w:spacing w:after="0" w:line="240" w:lineRule="auto"/>
              <w:ind w:left="-20" w:right="-23"/>
              <w:jc w:val="center"/>
              <w:rPr>
                <w:rFonts w:ascii="Times New Roman" w:eastAsia="Calibri" w:hAnsi="Times New Roman" w:cs="Times New Roman"/>
                <w:sz w:val="24"/>
                <w:szCs w:val="24"/>
              </w:rPr>
            </w:pPr>
            <w:r w:rsidRPr="008050A7">
              <w:rPr>
                <w:rFonts w:ascii="Times New Roman" w:eastAsia="Calibri" w:hAnsi="Times New Roman" w:cs="Times New Roman"/>
                <w:sz w:val="24"/>
                <w:szCs w:val="24"/>
              </w:rPr>
              <w:t>$</w:t>
            </w:r>
            <w:r w:rsidRPr="008050A7" w:rsidR="00B82D31">
              <w:rPr>
                <w:rFonts w:ascii="Times New Roman" w:eastAsia="Calibri" w:hAnsi="Times New Roman" w:cs="Times New Roman"/>
                <w:sz w:val="24"/>
                <w:szCs w:val="24"/>
              </w:rPr>
              <w:t>27,785.60</w:t>
            </w:r>
          </w:p>
        </w:tc>
      </w:tr>
      <w:tr w14:paraId="1853E01A" w14:textId="77777777" w:rsidTr="0087601B">
        <w:tblPrEx>
          <w:tblW w:w="5000" w:type="pct"/>
          <w:tblLayout w:type="fixed"/>
          <w:tblLook w:val="04A0"/>
        </w:tblPrEx>
        <w:trPr>
          <w:trHeight w:val="940"/>
        </w:trPr>
        <w:tc>
          <w:tcPr>
            <w:tcW w:w="3505" w:type="dxa"/>
            <w:hideMark/>
          </w:tcPr>
          <w:p w:rsidR="006419E7" w:rsidRPr="008050A7" w:rsidP="00D15A00" w14:paraId="41995189" w14:textId="2B82238A">
            <w:pPr>
              <w:spacing w:after="0" w:line="240" w:lineRule="auto"/>
              <w:rPr>
                <w:rFonts w:ascii="Times New Roman" w:eastAsia="Calibri" w:hAnsi="Times New Roman" w:cs="Times New Roman"/>
                <w:sz w:val="24"/>
                <w:szCs w:val="24"/>
              </w:rPr>
            </w:pPr>
            <w:r w:rsidRPr="008050A7">
              <w:rPr>
                <w:rFonts w:ascii="Times New Roman" w:eastAsia="Calibri" w:hAnsi="Times New Roman" w:cs="Times New Roman"/>
                <w:sz w:val="24"/>
                <w:szCs w:val="24"/>
              </w:rPr>
              <w:t xml:space="preserve">Table </w:t>
            </w:r>
            <w:r w:rsidRPr="008050A7" w:rsidR="00757587">
              <w:rPr>
                <w:rFonts w:ascii="Times New Roman" w:eastAsia="Calibri" w:hAnsi="Times New Roman" w:cs="Times New Roman"/>
                <w:sz w:val="24"/>
                <w:szCs w:val="24"/>
              </w:rPr>
              <w:t>3</w:t>
            </w:r>
            <w:r w:rsidRPr="008050A7">
              <w:rPr>
                <w:rFonts w:ascii="Times New Roman" w:eastAsia="Calibri" w:hAnsi="Times New Roman" w:cs="Times New Roman"/>
                <w:sz w:val="24"/>
                <w:szCs w:val="24"/>
              </w:rPr>
              <w:t>: Burden to DE Entities to Fulfill ORR Requirements</w:t>
            </w:r>
          </w:p>
        </w:tc>
        <w:tc>
          <w:tcPr>
            <w:tcW w:w="2430" w:type="dxa"/>
            <w:hideMark/>
          </w:tcPr>
          <w:p w:rsidR="006419E7" w:rsidRPr="008050A7" w:rsidP="00D15A00" w14:paraId="31D9C099" w14:textId="3A9A25CC">
            <w:pPr>
              <w:spacing w:after="0" w:line="240" w:lineRule="auto"/>
              <w:jc w:val="center"/>
              <w:rPr>
                <w:rFonts w:ascii="Times New Roman" w:eastAsia="Calibri" w:hAnsi="Times New Roman" w:cs="Times New Roman"/>
                <w:sz w:val="24"/>
                <w:szCs w:val="24"/>
              </w:rPr>
            </w:pPr>
            <w:r w:rsidRPr="008050A7">
              <w:rPr>
                <w:rFonts w:ascii="Times New Roman" w:eastAsia="Calibri" w:hAnsi="Times New Roman" w:cs="Times New Roman"/>
                <w:sz w:val="24"/>
                <w:szCs w:val="24"/>
              </w:rPr>
              <w:t>45 CFR §§ 155.221(b)(4)(i)</w:t>
            </w:r>
            <w:r w:rsidRPr="008050A7" w:rsidR="005770B8">
              <w:rPr>
                <w:rFonts w:ascii="Times New Roman" w:eastAsia="Calibri" w:hAnsi="Times New Roman" w:cs="Times New Roman"/>
                <w:sz w:val="24"/>
                <w:szCs w:val="24"/>
              </w:rPr>
              <w:t>, (ii), and (v)</w:t>
            </w:r>
            <w:r w:rsidRPr="008050A7">
              <w:rPr>
                <w:rFonts w:ascii="Times New Roman" w:eastAsia="Calibri" w:hAnsi="Times New Roman" w:cs="Times New Roman"/>
                <w:sz w:val="24"/>
                <w:szCs w:val="24"/>
              </w:rPr>
              <w:t xml:space="preserve"> </w:t>
            </w:r>
          </w:p>
        </w:tc>
        <w:tc>
          <w:tcPr>
            <w:tcW w:w="1440" w:type="dxa"/>
            <w:hideMark/>
          </w:tcPr>
          <w:p w:rsidR="006419E7" w:rsidRPr="008050A7" w:rsidP="00D15A00" w14:paraId="09BE8088" w14:textId="269FCDEF">
            <w:pPr>
              <w:spacing w:after="0" w:line="240" w:lineRule="auto"/>
              <w:jc w:val="center"/>
              <w:rPr>
                <w:rFonts w:ascii="Times New Roman" w:eastAsia="Calibri" w:hAnsi="Times New Roman" w:cs="Times New Roman"/>
                <w:sz w:val="24"/>
                <w:szCs w:val="24"/>
              </w:rPr>
            </w:pPr>
            <w:r w:rsidRPr="008050A7">
              <w:rPr>
                <w:rFonts w:ascii="Times New Roman" w:eastAsia="Calibri" w:hAnsi="Times New Roman" w:cs="Times New Roman"/>
                <w:sz w:val="24"/>
                <w:szCs w:val="24"/>
              </w:rPr>
              <w:t>2</w:t>
            </w:r>
            <w:r w:rsidR="00CC024F">
              <w:rPr>
                <w:rFonts w:ascii="Times New Roman" w:eastAsia="Calibri" w:hAnsi="Times New Roman" w:cs="Times New Roman"/>
                <w:sz w:val="24"/>
                <w:szCs w:val="24"/>
              </w:rPr>
              <w:t>,</w:t>
            </w:r>
            <w:r w:rsidRPr="008050A7">
              <w:rPr>
                <w:rFonts w:ascii="Times New Roman" w:eastAsia="Calibri" w:hAnsi="Times New Roman" w:cs="Times New Roman"/>
                <w:sz w:val="24"/>
                <w:szCs w:val="24"/>
              </w:rPr>
              <w:t>689</w:t>
            </w:r>
          </w:p>
        </w:tc>
        <w:tc>
          <w:tcPr>
            <w:tcW w:w="1975" w:type="dxa"/>
            <w:hideMark/>
          </w:tcPr>
          <w:p w:rsidR="006419E7" w:rsidRPr="008050A7" w:rsidP="008050A7" w14:paraId="6C5597CD" w14:textId="46A8D395">
            <w:pPr>
              <w:spacing w:after="0" w:line="240" w:lineRule="auto"/>
              <w:ind w:left="-20" w:right="-23"/>
              <w:jc w:val="center"/>
              <w:rPr>
                <w:rFonts w:ascii="Times New Roman" w:eastAsia="Calibri" w:hAnsi="Times New Roman" w:cs="Times New Roman"/>
                <w:sz w:val="24"/>
                <w:szCs w:val="24"/>
              </w:rPr>
            </w:pPr>
            <w:r w:rsidRPr="008050A7">
              <w:rPr>
                <w:rFonts w:ascii="Times New Roman" w:eastAsia="Calibri" w:hAnsi="Times New Roman" w:cs="Times New Roman"/>
                <w:sz w:val="24"/>
                <w:szCs w:val="24"/>
              </w:rPr>
              <w:t>$</w:t>
            </w:r>
            <w:r w:rsidRPr="008050A7" w:rsidR="00B82D31">
              <w:rPr>
                <w:rFonts w:ascii="Times New Roman" w:eastAsia="Calibri" w:hAnsi="Times New Roman" w:cs="Times New Roman"/>
                <w:sz w:val="24"/>
                <w:szCs w:val="24"/>
              </w:rPr>
              <w:t>200,372.16</w:t>
            </w:r>
          </w:p>
        </w:tc>
      </w:tr>
      <w:tr w14:paraId="1081D4DC" w14:textId="77777777" w:rsidTr="0087601B">
        <w:tblPrEx>
          <w:tblW w:w="5000" w:type="pct"/>
          <w:tblLayout w:type="fixed"/>
          <w:tblLook w:val="04A0"/>
        </w:tblPrEx>
        <w:trPr>
          <w:trHeight w:val="1196"/>
        </w:trPr>
        <w:tc>
          <w:tcPr>
            <w:tcW w:w="3505" w:type="dxa"/>
            <w:hideMark/>
          </w:tcPr>
          <w:p w:rsidR="006419E7" w:rsidRPr="008050A7" w:rsidP="00D15A00" w14:paraId="5F496E21" w14:textId="55C9D81D">
            <w:pPr>
              <w:spacing w:after="0" w:line="240" w:lineRule="auto"/>
              <w:rPr>
                <w:rFonts w:ascii="Times New Roman" w:eastAsia="Calibri" w:hAnsi="Times New Roman" w:cs="Times New Roman"/>
                <w:sz w:val="24"/>
                <w:szCs w:val="24"/>
              </w:rPr>
            </w:pPr>
            <w:r w:rsidRPr="008050A7">
              <w:rPr>
                <w:rFonts w:ascii="Times New Roman" w:eastAsia="Calibri" w:hAnsi="Times New Roman" w:cs="Times New Roman"/>
                <w:sz w:val="24"/>
                <w:szCs w:val="24"/>
              </w:rPr>
              <w:t xml:space="preserve">Table </w:t>
            </w:r>
            <w:r w:rsidRPr="008050A7" w:rsidR="00757587">
              <w:rPr>
                <w:rFonts w:ascii="Times New Roman" w:eastAsia="Calibri" w:hAnsi="Times New Roman" w:cs="Times New Roman"/>
                <w:sz w:val="24"/>
                <w:szCs w:val="24"/>
              </w:rPr>
              <w:t>4</w:t>
            </w:r>
            <w:r w:rsidRPr="008050A7">
              <w:rPr>
                <w:rFonts w:ascii="Times New Roman" w:eastAsia="Calibri" w:hAnsi="Times New Roman" w:cs="Times New Roman"/>
                <w:sz w:val="24"/>
                <w:szCs w:val="24"/>
              </w:rPr>
              <w:t>: Burden to Web-brokers to Fulfill QHP Comparative Information and Enrollment Support Disclaimer Requirement</w:t>
            </w:r>
          </w:p>
        </w:tc>
        <w:tc>
          <w:tcPr>
            <w:tcW w:w="2430" w:type="dxa"/>
            <w:hideMark/>
          </w:tcPr>
          <w:p w:rsidR="006419E7" w:rsidRPr="008050A7" w:rsidP="00D15A00" w14:paraId="1F12CBCC" w14:textId="77777777">
            <w:pPr>
              <w:spacing w:after="0" w:line="240" w:lineRule="auto"/>
              <w:jc w:val="center"/>
              <w:rPr>
                <w:rFonts w:ascii="Times New Roman" w:eastAsia="Calibri" w:hAnsi="Times New Roman" w:cs="Times New Roman"/>
                <w:sz w:val="24"/>
                <w:szCs w:val="24"/>
              </w:rPr>
            </w:pPr>
            <w:r w:rsidRPr="008050A7">
              <w:rPr>
                <w:rFonts w:ascii="Times New Roman" w:eastAsia="Calibri" w:hAnsi="Times New Roman" w:cs="Times New Roman"/>
                <w:sz w:val="24"/>
                <w:szCs w:val="24"/>
              </w:rPr>
              <w:t>45 CFR § 155.220(c)(3)(i)(A)</w:t>
            </w:r>
          </w:p>
        </w:tc>
        <w:tc>
          <w:tcPr>
            <w:tcW w:w="1440" w:type="dxa"/>
            <w:hideMark/>
          </w:tcPr>
          <w:p w:rsidR="006419E7" w:rsidRPr="008050A7" w:rsidP="00D15A00" w14:paraId="2F21027D" w14:textId="5E6411F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460</w:t>
            </w:r>
          </w:p>
        </w:tc>
        <w:tc>
          <w:tcPr>
            <w:tcW w:w="1975" w:type="dxa"/>
            <w:hideMark/>
          </w:tcPr>
          <w:p w:rsidR="006419E7" w:rsidRPr="008050A7" w:rsidP="008050A7" w14:paraId="206943CA" w14:textId="40114AD4">
            <w:pPr>
              <w:spacing w:after="0" w:line="240" w:lineRule="auto"/>
              <w:ind w:left="-20" w:right="-23"/>
              <w:jc w:val="center"/>
              <w:rPr>
                <w:rFonts w:ascii="Times New Roman" w:eastAsia="Calibri" w:hAnsi="Times New Roman" w:cs="Times New Roman"/>
                <w:sz w:val="24"/>
                <w:szCs w:val="24"/>
              </w:rPr>
            </w:pPr>
            <w:r w:rsidRPr="008050A7">
              <w:rPr>
                <w:rFonts w:ascii="Times New Roman" w:eastAsia="Calibri" w:hAnsi="Times New Roman" w:cs="Times New Roman"/>
                <w:sz w:val="24"/>
                <w:szCs w:val="24"/>
              </w:rPr>
              <w:t>$</w:t>
            </w:r>
            <w:r w:rsidR="00DF3CFF">
              <w:rPr>
                <w:rFonts w:ascii="Times New Roman" w:eastAsia="Calibri" w:hAnsi="Times New Roman" w:cs="Times New Roman"/>
                <w:sz w:val="24"/>
                <w:szCs w:val="24"/>
              </w:rPr>
              <w:t>36,818.40</w:t>
            </w:r>
          </w:p>
        </w:tc>
      </w:tr>
      <w:tr w14:paraId="5FEF5ED8" w14:textId="77777777" w:rsidTr="0087601B">
        <w:tblPrEx>
          <w:tblW w:w="5000" w:type="pct"/>
          <w:tblLayout w:type="fixed"/>
          <w:tblLook w:val="04A0"/>
        </w:tblPrEx>
        <w:trPr>
          <w:trHeight w:val="1700"/>
        </w:trPr>
        <w:tc>
          <w:tcPr>
            <w:tcW w:w="3505" w:type="dxa"/>
            <w:hideMark/>
          </w:tcPr>
          <w:p w:rsidR="006419E7" w:rsidRPr="008050A7" w:rsidP="00D15A00" w14:paraId="00B0BCDB" w14:textId="081D3B01">
            <w:pPr>
              <w:spacing w:after="0" w:line="240" w:lineRule="auto"/>
              <w:rPr>
                <w:rFonts w:ascii="Times New Roman" w:eastAsia="Calibri" w:hAnsi="Times New Roman" w:cs="Times New Roman"/>
                <w:sz w:val="24"/>
                <w:szCs w:val="24"/>
              </w:rPr>
            </w:pPr>
            <w:r w:rsidRPr="008050A7">
              <w:rPr>
                <w:rFonts w:ascii="Times New Roman" w:eastAsia="Calibri" w:hAnsi="Times New Roman" w:cs="Times New Roman"/>
                <w:sz w:val="24"/>
                <w:szCs w:val="24"/>
              </w:rPr>
              <w:t xml:space="preserve">Table </w:t>
            </w:r>
            <w:r w:rsidRPr="008050A7" w:rsidR="00757587">
              <w:rPr>
                <w:rFonts w:ascii="Times New Roman" w:eastAsia="Calibri" w:hAnsi="Times New Roman" w:cs="Times New Roman"/>
                <w:sz w:val="24"/>
                <w:szCs w:val="24"/>
              </w:rPr>
              <w:t>5</w:t>
            </w:r>
            <w:r w:rsidRPr="008050A7">
              <w:rPr>
                <w:rFonts w:ascii="Times New Roman" w:eastAsia="Calibri" w:hAnsi="Times New Roman" w:cs="Times New Roman"/>
                <w:sz w:val="24"/>
                <w:szCs w:val="24"/>
              </w:rPr>
              <w:t>: Burden to Web-brokers to Fulfill Website Explanation of Rationale for QHP Recommendations and Methodology for Default Display Requirement</w:t>
            </w:r>
          </w:p>
        </w:tc>
        <w:tc>
          <w:tcPr>
            <w:tcW w:w="2430" w:type="dxa"/>
            <w:hideMark/>
          </w:tcPr>
          <w:p w:rsidR="006419E7" w:rsidRPr="008050A7" w:rsidP="00D15A00" w14:paraId="1749D8D5" w14:textId="77777777">
            <w:pPr>
              <w:spacing w:after="0" w:line="240" w:lineRule="auto"/>
              <w:jc w:val="center"/>
              <w:rPr>
                <w:rFonts w:ascii="Times New Roman" w:eastAsia="Calibri" w:hAnsi="Times New Roman" w:cs="Times New Roman"/>
                <w:sz w:val="24"/>
                <w:szCs w:val="24"/>
              </w:rPr>
            </w:pPr>
            <w:r w:rsidRPr="008050A7">
              <w:rPr>
                <w:rFonts w:ascii="Times New Roman" w:eastAsia="Calibri" w:hAnsi="Times New Roman" w:cs="Times New Roman"/>
                <w:sz w:val="24"/>
                <w:szCs w:val="24"/>
              </w:rPr>
              <w:t>45 CFR §155.220(c)(3)(i)(M)</w:t>
            </w:r>
          </w:p>
        </w:tc>
        <w:tc>
          <w:tcPr>
            <w:tcW w:w="1440" w:type="dxa"/>
            <w:hideMark/>
          </w:tcPr>
          <w:p w:rsidR="006419E7" w:rsidRPr="008050A7" w:rsidP="00D15A00" w14:paraId="071015FF" w14:textId="77777777">
            <w:pPr>
              <w:spacing w:after="0" w:line="240" w:lineRule="auto"/>
              <w:jc w:val="center"/>
              <w:rPr>
                <w:rFonts w:ascii="Times New Roman" w:eastAsia="Calibri" w:hAnsi="Times New Roman" w:cs="Times New Roman"/>
                <w:sz w:val="24"/>
                <w:szCs w:val="24"/>
              </w:rPr>
            </w:pPr>
            <w:r w:rsidRPr="008050A7">
              <w:rPr>
                <w:rFonts w:ascii="Times New Roman" w:eastAsia="Calibri" w:hAnsi="Times New Roman" w:cs="Times New Roman"/>
                <w:sz w:val="24"/>
                <w:szCs w:val="24"/>
              </w:rPr>
              <w:t>100</w:t>
            </w:r>
          </w:p>
        </w:tc>
        <w:tc>
          <w:tcPr>
            <w:tcW w:w="1975" w:type="dxa"/>
            <w:hideMark/>
          </w:tcPr>
          <w:p w:rsidR="006419E7" w:rsidRPr="008050A7" w:rsidP="008050A7" w14:paraId="0F287BB8" w14:textId="646D4CF5">
            <w:pPr>
              <w:spacing w:after="0" w:line="240" w:lineRule="auto"/>
              <w:ind w:left="-20" w:right="-23"/>
              <w:jc w:val="center"/>
              <w:rPr>
                <w:rFonts w:ascii="Times New Roman" w:eastAsia="Calibri" w:hAnsi="Times New Roman" w:cs="Times New Roman"/>
                <w:sz w:val="24"/>
                <w:szCs w:val="24"/>
              </w:rPr>
            </w:pPr>
            <w:r w:rsidRPr="008050A7">
              <w:rPr>
                <w:rFonts w:ascii="Times New Roman" w:eastAsia="Calibri" w:hAnsi="Times New Roman" w:cs="Times New Roman"/>
                <w:sz w:val="24"/>
                <w:szCs w:val="24"/>
              </w:rPr>
              <w:t>$</w:t>
            </w:r>
            <w:r w:rsidRPr="008050A7" w:rsidR="00B82D31">
              <w:rPr>
                <w:rFonts w:ascii="Times New Roman" w:eastAsia="Calibri" w:hAnsi="Times New Roman" w:cs="Times New Roman"/>
                <w:sz w:val="24"/>
                <w:szCs w:val="24"/>
              </w:rPr>
              <w:t>8,004.00</w:t>
            </w:r>
          </w:p>
        </w:tc>
      </w:tr>
      <w:tr w14:paraId="742E90C7" w14:textId="77777777" w:rsidTr="0087601B">
        <w:tblPrEx>
          <w:tblW w:w="5000" w:type="pct"/>
          <w:tblLayout w:type="fixed"/>
          <w:tblLook w:val="04A0"/>
        </w:tblPrEx>
        <w:trPr>
          <w:trHeight w:val="890"/>
        </w:trPr>
        <w:tc>
          <w:tcPr>
            <w:tcW w:w="3505" w:type="dxa"/>
            <w:hideMark/>
          </w:tcPr>
          <w:p w:rsidR="006419E7" w:rsidRPr="008050A7" w:rsidP="00D15A00" w14:paraId="017B2F1E" w14:textId="1AF338AC">
            <w:pPr>
              <w:spacing w:after="0" w:line="240" w:lineRule="auto"/>
              <w:rPr>
                <w:rFonts w:ascii="Times New Roman" w:eastAsia="Calibri" w:hAnsi="Times New Roman" w:cs="Times New Roman"/>
                <w:sz w:val="24"/>
                <w:szCs w:val="24"/>
              </w:rPr>
            </w:pPr>
            <w:r w:rsidRPr="008050A7">
              <w:rPr>
                <w:rFonts w:ascii="Times New Roman" w:eastAsia="Calibri" w:hAnsi="Times New Roman" w:cs="Times New Roman"/>
                <w:sz w:val="24"/>
                <w:szCs w:val="24"/>
              </w:rPr>
              <w:t xml:space="preserve">Table </w:t>
            </w:r>
            <w:r w:rsidRPr="008050A7" w:rsidR="00757587">
              <w:rPr>
                <w:rFonts w:ascii="Times New Roman" w:eastAsia="Calibri" w:hAnsi="Times New Roman" w:cs="Times New Roman"/>
                <w:sz w:val="24"/>
                <w:szCs w:val="24"/>
              </w:rPr>
              <w:t>6</w:t>
            </w:r>
            <w:r w:rsidRPr="008050A7">
              <w:rPr>
                <w:rFonts w:ascii="Times New Roman" w:eastAsia="Calibri" w:hAnsi="Times New Roman" w:cs="Times New Roman"/>
                <w:sz w:val="24"/>
                <w:szCs w:val="24"/>
              </w:rPr>
              <w:t xml:space="preserve">: Burden to </w:t>
            </w:r>
            <w:r w:rsidR="000F0477">
              <w:rPr>
                <w:rFonts w:ascii="Times New Roman" w:eastAsia="Calibri" w:hAnsi="Times New Roman" w:cs="Times New Roman"/>
                <w:sz w:val="24"/>
                <w:szCs w:val="24"/>
              </w:rPr>
              <w:t xml:space="preserve">DE Entities </w:t>
            </w:r>
            <w:r w:rsidRPr="008050A7">
              <w:rPr>
                <w:rFonts w:ascii="Times New Roman" w:eastAsia="Calibri" w:hAnsi="Times New Roman" w:cs="Times New Roman"/>
                <w:sz w:val="24"/>
                <w:szCs w:val="24"/>
              </w:rPr>
              <w:t>to Implement the Standardized Disclaimer Requirement</w:t>
            </w:r>
          </w:p>
        </w:tc>
        <w:tc>
          <w:tcPr>
            <w:tcW w:w="2430" w:type="dxa"/>
            <w:hideMark/>
          </w:tcPr>
          <w:p w:rsidR="006419E7" w:rsidRPr="008050A7" w:rsidP="00D15A00" w14:paraId="6DCB397F" w14:textId="77777777">
            <w:pPr>
              <w:spacing w:after="0" w:line="240" w:lineRule="auto"/>
              <w:jc w:val="center"/>
              <w:rPr>
                <w:rFonts w:ascii="Times New Roman" w:eastAsia="Calibri" w:hAnsi="Times New Roman" w:cs="Times New Roman"/>
                <w:sz w:val="24"/>
                <w:szCs w:val="24"/>
              </w:rPr>
            </w:pPr>
            <w:r w:rsidRPr="008050A7">
              <w:rPr>
                <w:rFonts w:ascii="Times New Roman" w:eastAsia="Calibri" w:hAnsi="Times New Roman" w:cs="Times New Roman"/>
                <w:sz w:val="24"/>
                <w:szCs w:val="24"/>
              </w:rPr>
              <w:t>45 C.F.R. § 155.221(b)(2)</w:t>
            </w:r>
          </w:p>
        </w:tc>
        <w:tc>
          <w:tcPr>
            <w:tcW w:w="1440" w:type="dxa"/>
            <w:hideMark/>
          </w:tcPr>
          <w:p w:rsidR="006419E7" w:rsidRPr="008050A7" w:rsidP="00D15A00" w14:paraId="2869AA0C" w14:textId="72707FA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400</w:t>
            </w:r>
          </w:p>
        </w:tc>
        <w:tc>
          <w:tcPr>
            <w:tcW w:w="1975" w:type="dxa"/>
            <w:hideMark/>
          </w:tcPr>
          <w:p w:rsidR="006419E7" w:rsidRPr="008050A7" w:rsidP="008050A7" w14:paraId="78AD6127" w14:textId="60DE254C">
            <w:pPr>
              <w:spacing w:after="0" w:line="240" w:lineRule="auto"/>
              <w:ind w:left="-20" w:right="-23"/>
              <w:jc w:val="center"/>
              <w:rPr>
                <w:rFonts w:ascii="Times New Roman" w:eastAsia="Calibri" w:hAnsi="Times New Roman" w:cs="Times New Roman"/>
                <w:sz w:val="24"/>
                <w:szCs w:val="24"/>
              </w:rPr>
            </w:pPr>
            <w:r w:rsidRPr="008050A7">
              <w:rPr>
                <w:rFonts w:ascii="Times New Roman" w:eastAsia="Calibri" w:hAnsi="Times New Roman" w:cs="Times New Roman"/>
                <w:sz w:val="24"/>
                <w:szCs w:val="24"/>
              </w:rPr>
              <w:t>$</w:t>
            </w:r>
            <w:r w:rsidR="00DF3CFF">
              <w:rPr>
                <w:rFonts w:ascii="Times New Roman" w:eastAsia="Calibri" w:hAnsi="Times New Roman" w:cs="Times New Roman"/>
                <w:sz w:val="24"/>
                <w:szCs w:val="24"/>
              </w:rPr>
              <w:t>31,324.00</w:t>
            </w:r>
          </w:p>
        </w:tc>
      </w:tr>
      <w:tr w14:paraId="08C337E6" w14:textId="77777777" w:rsidTr="0087601B">
        <w:tblPrEx>
          <w:tblW w:w="5000" w:type="pct"/>
          <w:tblLayout w:type="fixed"/>
          <w:tblLook w:val="04A0"/>
        </w:tblPrEx>
        <w:trPr>
          <w:trHeight w:val="890"/>
        </w:trPr>
        <w:tc>
          <w:tcPr>
            <w:tcW w:w="3505" w:type="dxa"/>
            <w:hideMark/>
          </w:tcPr>
          <w:p w:rsidR="006419E7" w:rsidRPr="008050A7" w:rsidP="00D15A00" w14:paraId="5B1B2231" w14:textId="30C98C85">
            <w:pPr>
              <w:spacing w:after="0" w:line="240" w:lineRule="auto"/>
              <w:rPr>
                <w:rFonts w:ascii="Times New Roman" w:eastAsia="Calibri" w:hAnsi="Times New Roman" w:cs="Times New Roman"/>
                <w:sz w:val="24"/>
                <w:szCs w:val="24"/>
              </w:rPr>
            </w:pPr>
            <w:r w:rsidRPr="008050A7">
              <w:rPr>
                <w:rFonts w:ascii="Times New Roman" w:eastAsia="Calibri" w:hAnsi="Times New Roman" w:cs="Times New Roman"/>
                <w:sz w:val="24"/>
                <w:szCs w:val="24"/>
              </w:rPr>
              <w:t xml:space="preserve">Table </w:t>
            </w:r>
            <w:r w:rsidRPr="008050A7" w:rsidR="00757587">
              <w:rPr>
                <w:rFonts w:ascii="Times New Roman" w:eastAsia="Calibri" w:hAnsi="Times New Roman" w:cs="Times New Roman"/>
                <w:sz w:val="24"/>
                <w:szCs w:val="24"/>
              </w:rPr>
              <w:t>7</w:t>
            </w:r>
            <w:r w:rsidRPr="008050A7">
              <w:rPr>
                <w:rFonts w:ascii="Times New Roman" w:eastAsia="Calibri" w:hAnsi="Times New Roman" w:cs="Times New Roman"/>
                <w:sz w:val="24"/>
                <w:szCs w:val="24"/>
              </w:rPr>
              <w:t>: Burden to Web-brokers to Implement the General non-FFE Disclaimer Requirement</w:t>
            </w:r>
          </w:p>
        </w:tc>
        <w:tc>
          <w:tcPr>
            <w:tcW w:w="2430" w:type="dxa"/>
            <w:hideMark/>
          </w:tcPr>
          <w:p w:rsidR="006419E7" w:rsidRPr="008050A7" w:rsidP="00D15A00" w14:paraId="3AFBA989" w14:textId="77777777">
            <w:pPr>
              <w:spacing w:after="0" w:line="240" w:lineRule="auto"/>
              <w:jc w:val="center"/>
              <w:rPr>
                <w:rFonts w:ascii="Times New Roman" w:eastAsia="Calibri" w:hAnsi="Times New Roman" w:cs="Times New Roman"/>
                <w:sz w:val="24"/>
                <w:szCs w:val="24"/>
              </w:rPr>
            </w:pPr>
            <w:r w:rsidRPr="008050A7">
              <w:rPr>
                <w:rFonts w:ascii="Times New Roman" w:eastAsia="Calibri" w:hAnsi="Times New Roman" w:cs="Times New Roman"/>
                <w:sz w:val="24"/>
                <w:szCs w:val="24"/>
              </w:rPr>
              <w:t>45 C.F.R. § 155.220(c)(3)(i)(G)</w:t>
            </w:r>
          </w:p>
        </w:tc>
        <w:tc>
          <w:tcPr>
            <w:tcW w:w="1440" w:type="dxa"/>
            <w:hideMark/>
          </w:tcPr>
          <w:p w:rsidR="006419E7" w:rsidRPr="008050A7" w:rsidP="00D15A00" w14:paraId="63A3D0A6" w14:textId="4549C9B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80</w:t>
            </w:r>
          </w:p>
        </w:tc>
        <w:tc>
          <w:tcPr>
            <w:tcW w:w="1975" w:type="dxa"/>
            <w:hideMark/>
          </w:tcPr>
          <w:p w:rsidR="006419E7" w:rsidRPr="008050A7" w:rsidP="008050A7" w14:paraId="1E884F04" w14:textId="3ACC9460">
            <w:pPr>
              <w:spacing w:after="0" w:line="240" w:lineRule="auto"/>
              <w:ind w:left="-20" w:right="-23"/>
              <w:jc w:val="center"/>
              <w:rPr>
                <w:rFonts w:ascii="Times New Roman" w:eastAsia="Calibri" w:hAnsi="Times New Roman" w:cs="Times New Roman"/>
                <w:sz w:val="24"/>
                <w:szCs w:val="24"/>
              </w:rPr>
            </w:pPr>
            <w:r w:rsidRPr="008050A7">
              <w:rPr>
                <w:rFonts w:ascii="Times New Roman" w:eastAsia="Calibri" w:hAnsi="Times New Roman" w:cs="Times New Roman"/>
                <w:sz w:val="24"/>
                <w:szCs w:val="24"/>
              </w:rPr>
              <w:t>$</w:t>
            </w:r>
            <w:r w:rsidR="00DF3CFF">
              <w:rPr>
                <w:rFonts w:ascii="Times New Roman" w:eastAsia="Calibri" w:hAnsi="Times New Roman" w:cs="Times New Roman"/>
                <w:sz w:val="24"/>
                <w:szCs w:val="24"/>
              </w:rPr>
              <w:t>6,264.80</w:t>
            </w:r>
          </w:p>
        </w:tc>
      </w:tr>
      <w:tr w14:paraId="31C135C1" w14:textId="77777777" w:rsidTr="0087601B">
        <w:tblPrEx>
          <w:tblW w:w="5000" w:type="pct"/>
          <w:tblLayout w:type="fixed"/>
          <w:tblLook w:val="04A0"/>
        </w:tblPrEx>
        <w:trPr>
          <w:trHeight w:val="890"/>
        </w:trPr>
        <w:tc>
          <w:tcPr>
            <w:tcW w:w="3505" w:type="dxa"/>
            <w:hideMark/>
          </w:tcPr>
          <w:p w:rsidR="006419E7" w:rsidRPr="008050A7" w:rsidP="00D15A00" w14:paraId="780FF7D1" w14:textId="62DBDD7A">
            <w:pPr>
              <w:spacing w:after="0" w:line="240" w:lineRule="auto"/>
              <w:rPr>
                <w:rFonts w:ascii="Times New Roman" w:eastAsia="Calibri" w:hAnsi="Times New Roman" w:cs="Times New Roman"/>
                <w:sz w:val="24"/>
                <w:szCs w:val="24"/>
              </w:rPr>
            </w:pPr>
            <w:r w:rsidRPr="008050A7">
              <w:rPr>
                <w:rFonts w:ascii="Times New Roman" w:eastAsia="Calibri" w:hAnsi="Times New Roman" w:cs="Times New Roman"/>
                <w:sz w:val="24"/>
                <w:szCs w:val="24"/>
              </w:rPr>
              <w:t xml:space="preserve">Table </w:t>
            </w:r>
            <w:r w:rsidRPr="008050A7" w:rsidR="00B82D31">
              <w:rPr>
                <w:rFonts w:ascii="Times New Roman" w:eastAsia="Calibri" w:hAnsi="Times New Roman" w:cs="Times New Roman"/>
                <w:sz w:val="24"/>
                <w:szCs w:val="24"/>
              </w:rPr>
              <w:t>8</w:t>
            </w:r>
            <w:r w:rsidRPr="008050A7">
              <w:rPr>
                <w:rFonts w:ascii="Times New Roman" w:eastAsia="Calibri" w:hAnsi="Times New Roman" w:cs="Times New Roman"/>
                <w:sz w:val="24"/>
                <w:szCs w:val="24"/>
              </w:rPr>
              <w:t xml:space="preserve">: Burden to DE Entities to Implement Separate Plan Display Requirement </w:t>
            </w:r>
          </w:p>
        </w:tc>
        <w:tc>
          <w:tcPr>
            <w:tcW w:w="2430" w:type="dxa"/>
            <w:hideMark/>
          </w:tcPr>
          <w:p w:rsidR="006419E7" w:rsidRPr="008050A7" w:rsidP="00D15A00" w14:paraId="17A2F3A8" w14:textId="066DC38C">
            <w:pPr>
              <w:spacing w:after="0" w:line="240" w:lineRule="auto"/>
              <w:jc w:val="center"/>
              <w:rPr>
                <w:rFonts w:ascii="Times New Roman" w:eastAsia="Calibri" w:hAnsi="Times New Roman" w:cs="Times New Roman"/>
                <w:sz w:val="24"/>
                <w:szCs w:val="24"/>
              </w:rPr>
            </w:pPr>
            <w:r w:rsidRPr="008050A7">
              <w:rPr>
                <w:rFonts w:ascii="Times New Roman" w:eastAsia="Calibri" w:hAnsi="Times New Roman" w:cs="Times New Roman"/>
                <w:sz w:val="24"/>
                <w:szCs w:val="24"/>
              </w:rPr>
              <w:t>45 C.F.R. § 155.221(b)(1)</w:t>
            </w:r>
            <w:r w:rsidR="00996C8E">
              <w:rPr>
                <w:rFonts w:ascii="Times New Roman" w:eastAsia="Calibri" w:hAnsi="Times New Roman" w:cs="Times New Roman"/>
                <w:sz w:val="24"/>
                <w:szCs w:val="24"/>
              </w:rPr>
              <w:t xml:space="preserve">, </w:t>
            </w:r>
            <w:r w:rsidRPr="003341CA" w:rsidR="00996C8E">
              <w:rPr>
                <w:rFonts w:ascii="Times New Roman" w:eastAsia="Times New Roman" w:hAnsi="Times New Roman" w:cs="Times New Roman"/>
                <w:snapToGrid w:val="0"/>
                <w:sz w:val="24"/>
                <w:szCs w:val="24"/>
              </w:rPr>
              <w:t>§155.221(c)(1)</w:t>
            </w:r>
            <w:r w:rsidRPr="008050A7" w:rsidR="00996C8E">
              <w:rPr>
                <w:rFonts w:ascii="Times New Roman" w:eastAsia="Calibri" w:hAnsi="Times New Roman" w:cs="Times New Roman"/>
                <w:sz w:val="24"/>
                <w:szCs w:val="24"/>
              </w:rPr>
              <w:t>-(2)</w:t>
            </w:r>
          </w:p>
        </w:tc>
        <w:tc>
          <w:tcPr>
            <w:tcW w:w="1440" w:type="dxa"/>
            <w:hideMark/>
          </w:tcPr>
          <w:p w:rsidR="006419E7" w:rsidRPr="008050A7" w:rsidP="00D15A00" w14:paraId="616A28B4" w14:textId="77777777">
            <w:pPr>
              <w:spacing w:after="0" w:line="240" w:lineRule="auto"/>
              <w:jc w:val="center"/>
              <w:rPr>
                <w:rFonts w:ascii="Times New Roman" w:eastAsia="Calibri" w:hAnsi="Times New Roman" w:cs="Times New Roman"/>
                <w:sz w:val="24"/>
                <w:szCs w:val="24"/>
              </w:rPr>
            </w:pPr>
            <w:r w:rsidRPr="008050A7">
              <w:rPr>
                <w:rFonts w:ascii="Times New Roman" w:eastAsia="Calibri" w:hAnsi="Times New Roman" w:cs="Times New Roman"/>
                <w:sz w:val="24"/>
                <w:szCs w:val="24"/>
              </w:rPr>
              <w:t>800</w:t>
            </w:r>
          </w:p>
        </w:tc>
        <w:tc>
          <w:tcPr>
            <w:tcW w:w="1975" w:type="dxa"/>
            <w:hideMark/>
          </w:tcPr>
          <w:p w:rsidR="006419E7" w:rsidRPr="008050A7" w:rsidP="008050A7" w14:paraId="40A875D4" w14:textId="27CC7A99">
            <w:pPr>
              <w:spacing w:after="0" w:line="240" w:lineRule="auto"/>
              <w:ind w:left="-20" w:right="-23"/>
              <w:jc w:val="center"/>
              <w:rPr>
                <w:rFonts w:ascii="Times New Roman" w:eastAsia="Calibri" w:hAnsi="Times New Roman" w:cs="Times New Roman"/>
                <w:sz w:val="24"/>
                <w:szCs w:val="24"/>
              </w:rPr>
            </w:pPr>
            <w:r w:rsidRPr="008050A7">
              <w:rPr>
                <w:rFonts w:ascii="Times New Roman" w:eastAsia="Calibri" w:hAnsi="Times New Roman" w:cs="Times New Roman"/>
                <w:sz w:val="24"/>
                <w:szCs w:val="24"/>
              </w:rPr>
              <w:t>$</w:t>
            </w:r>
            <w:r w:rsidRPr="008050A7" w:rsidR="00B82D31">
              <w:rPr>
                <w:rFonts w:ascii="Times New Roman" w:eastAsia="Calibri" w:hAnsi="Times New Roman" w:cs="Times New Roman"/>
                <w:sz w:val="24"/>
                <w:szCs w:val="24"/>
              </w:rPr>
              <w:t>64,032.00</w:t>
            </w:r>
          </w:p>
        </w:tc>
      </w:tr>
      <w:tr w14:paraId="5AE274AE" w14:textId="77777777" w:rsidTr="0087601B">
        <w:tblPrEx>
          <w:tblW w:w="5000" w:type="pct"/>
          <w:tblLayout w:type="fixed"/>
          <w:tblLook w:val="04A0"/>
        </w:tblPrEx>
        <w:trPr>
          <w:trHeight w:val="917"/>
        </w:trPr>
        <w:tc>
          <w:tcPr>
            <w:tcW w:w="3505" w:type="dxa"/>
            <w:hideMark/>
          </w:tcPr>
          <w:p w:rsidR="006419E7" w:rsidRPr="008050A7" w:rsidP="00D15A00" w14:paraId="09089463" w14:textId="6A87FAEC">
            <w:pPr>
              <w:spacing w:after="0" w:line="240" w:lineRule="auto"/>
              <w:rPr>
                <w:rFonts w:ascii="Times New Roman" w:eastAsia="Calibri" w:hAnsi="Times New Roman" w:cs="Times New Roman"/>
                <w:sz w:val="24"/>
                <w:szCs w:val="24"/>
              </w:rPr>
            </w:pPr>
            <w:r w:rsidRPr="008050A7">
              <w:rPr>
                <w:rFonts w:ascii="Times New Roman" w:eastAsia="Calibri" w:hAnsi="Times New Roman" w:cs="Times New Roman"/>
                <w:sz w:val="24"/>
                <w:szCs w:val="24"/>
              </w:rPr>
              <w:t xml:space="preserve">Table </w:t>
            </w:r>
            <w:r w:rsidRPr="008050A7" w:rsidR="00B82D31">
              <w:rPr>
                <w:rFonts w:ascii="Times New Roman" w:eastAsia="Calibri" w:hAnsi="Times New Roman" w:cs="Times New Roman"/>
                <w:sz w:val="24"/>
                <w:szCs w:val="24"/>
              </w:rPr>
              <w:t>9</w:t>
            </w:r>
            <w:r w:rsidRPr="008050A7">
              <w:rPr>
                <w:rFonts w:ascii="Times New Roman" w:eastAsia="Calibri" w:hAnsi="Times New Roman" w:cs="Times New Roman"/>
                <w:sz w:val="24"/>
                <w:szCs w:val="24"/>
              </w:rPr>
              <w:t xml:space="preserve">: Burden to DE Entities to Implement Separate Plan Display Exceptions </w:t>
            </w:r>
          </w:p>
        </w:tc>
        <w:tc>
          <w:tcPr>
            <w:tcW w:w="2430" w:type="dxa"/>
            <w:hideMark/>
          </w:tcPr>
          <w:p w:rsidR="006419E7" w:rsidRPr="008050A7" w:rsidP="00D15A00" w14:paraId="293153BC" w14:textId="77777777">
            <w:pPr>
              <w:spacing w:after="0" w:line="240" w:lineRule="auto"/>
              <w:jc w:val="center"/>
              <w:rPr>
                <w:rFonts w:ascii="Times New Roman" w:eastAsia="Calibri" w:hAnsi="Times New Roman" w:cs="Times New Roman"/>
                <w:sz w:val="24"/>
                <w:szCs w:val="24"/>
              </w:rPr>
            </w:pPr>
            <w:r w:rsidRPr="008050A7">
              <w:rPr>
                <w:rFonts w:ascii="Times New Roman" w:eastAsia="Calibri" w:hAnsi="Times New Roman" w:cs="Times New Roman"/>
                <w:sz w:val="24"/>
                <w:szCs w:val="24"/>
              </w:rPr>
              <w:t>45 C.F.R. § 155.221(c)(1)-(2)</w:t>
            </w:r>
          </w:p>
        </w:tc>
        <w:tc>
          <w:tcPr>
            <w:tcW w:w="1440" w:type="dxa"/>
            <w:hideMark/>
          </w:tcPr>
          <w:p w:rsidR="006419E7" w:rsidRPr="008050A7" w:rsidP="00D15A00" w14:paraId="64662EDB" w14:textId="77777777">
            <w:pPr>
              <w:spacing w:after="0" w:line="240" w:lineRule="auto"/>
              <w:jc w:val="center"/>
              <w:rPr>
                <w:rFonts w:ascii="Times New Roman" w:eastAsia="Calibri" w:hAnsi="Times New Roman" w:cs="Times New Roman"/>
                <w:sz w:val="24"/>
                <w:szCs w:val="24"/>
              </w:rPr>
            </w:pPr>
            <w:r w:rsidRPr="008050A7">
              <w:rPr>
                <w:rFonts w:ascii="Times New Roman" w:eastAsia="Calibri" w:hAnsi="Times New Roman" w:cs="Times New Roman"/>
                <w:sz w:val="24"/>
                <w:szCs w:val="24"/>
              </w:rPr>
              <w:t>400</w:t>
            </w:r>
          </w:p>
        </w:tc>
        <w:tc>
          <w:tcPr>
            <w:tcW w:w="1975" w:type="dxa"/>
            <w:hideMark/>
          </w:tcPr>
          <w:p w:rsidR="006419E7" w:rsidRPr="008050A7" w:rsidP="008050A7" w14:paraId="3F20866A" w14:textId="7DB22A8A">
            <w:pPr>
              <w:spacing w:after="0" w:line="240" w:lineRule="auto"/>
              <w:ind w:left="-20" w:right="-23"/>
              <w:jc w:val="center"/>
              <w:rPr>
                <w:rFonts w:ascii="Times New Roman" w:eastAsia="Calibri" w:hAnsi="Times New Roman" w:cs="Times New Roman"/>
                <w:sz w:val="24"/>
                <w:szCs w:val="24"/>
              </w:rPr>
            </w:pPr>
            <w:r w:rsidRPr="008050A7">
              <w:rPr>
                <w:rFonts w:ascii="Times New Roman" w:eastAsia="Calibri" w:hAnsi="Times New Roman" w:cs="Times New Roman"/>
                <w:sz w:val="24"/>
                <w:szCs w:val="24"/>
              </w:rPr>
              <w:t>$</w:t>
            </w:r>
            <w:r w:rsidRPr="008050A7" w:rsidR="00B82D31">
              <w:rPr>
                <w:rFonts w:ascii="Times New Roman" w:eastAsia="Calibri" w:hAnsi="Times New Roman" w:cs="Times New Roman"/>
                <w:sz w:val="24"/>
                <w:szCs w:val="24"/>
              </w:rPr>
              <w:t>32,016.00</w:t>
            </w:r>
          </w:p>
        </w:tc>
      </w:tr>
      <w:tr w14:paraId="0C808A00" w14:textId="77777777" w:rsidTr="0087601B">
        <w:tblPrEx>
          <w:tblW w:w="5000" w:type="pct"/>
          <w:tblLayout w:type="fixed"/>
          <w:tblLook w:val="04A0"/>
        </w:tblPrEx>
        <w:trPr>
          <w:trHeight w:val="872"/>
        </w:trPr>
        <w:tc>
          <w:tcPr>
            <w:tcW w:w="3505" w:type="dxa"/>
            <w:hideMark/>
          </w:tcPr>
          <w:p w:rsidR="006419E7" w:rsidRPr="008050A7" w:rsidP="00D15A00" w14:paraId="4323A9F3" w14:textId="3716E52C">
            <w:pPr>
              <w:spacing w:after="0" w:line="240" w:lineRule="auto"/>
              <w:rPr>
                <w:rFonts w:ascii="Times New Roman" w:eastAsia="Calibri" w:hAnsi="Times New Roman" w:cs="Times New Roman"/>
                <w:sz w:val="24"/>
                <w:szCs w:val="24"/>
              </w:rPr>
            </w:pPr>
            <w:r w:rsidRPr="008050A7">
              <w:rPr>
                <w:rFonts w:ascii="Times New Roman" w:eastAsia="Calibri" w:hAnsi="Times New Roman" w:cs="Times New Roman"/>
                <w:sz w:val="24"/>
                <w:szCs w:val="24"/>
              </w:rPr>
              <w:t xml:space="preserve">Table </w:t>
            </w:r>
            <w:r w:rsidRPr="008050A7" w:rsidR="00B82D31">
              <w:rPr>
                <w:rFonts w:ascii="Times New Roman" w:eastAsia="Calibri" w:hAnsi="Times New Roman" w:cs="Times New Roman"/>
                <w:sz w:val="24"/>
                <w:szCs w:val="24"/>
              </w:rPr>
              <w:t>10</w:t>
            </w:r>
            <w:r w:rsidRPr="008050A7">
              <w:rPr>
                <w:rFonts w:ascii="Times New Roman" w:eastAsia="Calibri" w:hAnsi="Times New Roman" w:cs="Times New Roman"/>
                <w:sz w:val="24"/>
                <w:szCs w:val="24"/>
              </w:rPr>
              <w:t>: Burden to DE Entities to Implement Third-Party Entity Contractual Requirements</w:t>
            </w:r>
          </w:p>
        </w:tc>
        <w:tc>
          <w:tcPr>
            <w:tcW w:w="2430" w:type="dxa"/>
            <w:hideMark/>
          </w:tcPr>
          <w:p w:rsidR="006419E7" w:rsidRPr="008050A7" w:rsidP="00D15A00" w14:paraId="4A3B96C2" w14:textId="4B0636E7">
            <w:pPr>
              <w:spacing w:after="0" w:line="240" w:lineRule="auto"/>
              <w:jc w:val="center"/>
              <w:rPr>
                <w:rFonts w:ascii="Times New Roman" w:eastAsia="Calibri" w:hAnsi="Times New Roman" w:cs="Times New Roman"/>
                <w:sz w:val="24"/>
                <w:szCs w:val="24"/>
              </w:rPr>
            </w:pPr>
            <w:r w:rsidRPr="008050A7">
              <w:rPr>
                <w:rFonts w:ascii="Times New Roman" w:eastAsia="Calibri" w:hAnsi="Times New Roman" w:cs="Times New Roman"/>
                <w:sz w:val="24"/>
                <w:szCs w:val="24"/>
              </w:rPr>
              <w:t>45 C.F.R. § 155.221(g)(3), (4), and (7)</w:t>
            </w:r>
          </w:p>
        </w:tc>
        <w:tc>
          <w:tcPr>
            <w:tcW w:w="1440" w:type="dxa"/>
            <w:hideMark/>
          </w:tcPr>
          <w:p w:rsidR="006419E7" w:rsidRPr="008050A7" w:rsidP="00D15A00" w14:paraId="6B137541" w14:textId="77777777">
            <w:pPr>
              <w:spacing w:after="0" w:line="240" w:lineRule="auto"/>
              <w:jc w:val="center"/>
              <w:rPr>
                <w:rFonts w:ascii="Times New Roman" w:eastAsia="Calibri" w:hAnsi="Times New Roman" w:cs="Times New Roman"/>
                <w:sz w:val="24"/>
                <w:szCs w:val="24"/>
              </w:rPr>
            </w:pPr>
            <w:r w:rsidRPr="008050A7">
              <w:rPr>
                <w:rFonts w:ascii="Times New Roman" w:eastAsia="Calibri" w:hAnsi="Times New Roman" w:cs="Times New Roman"/>
                <w:sz w:val="24"/>
                <w:szCs w:val="24"/>
              </w:rPr>
              <w:t>500</w:t>
            </w:r>
          </w:p>
        </w:tc>
        <w:tc>
          <w:tcPr>
            <w:tcW w:w="1975" w:type="dxa"/>
            <w:hideMark/>
          </w:tcPr>
          <w:p w:rsidR="006419E7" w:rsidRPr="008050A7" w:rsidP="008050A7" w14:paraId="64862437" w14:textId="04629856">
            <w:pPr>
              <w:spacing w:after="0" w:line="240" w:lineRule="auto"/>
              <w:ind w:left="-20" w:right="-23"/>
              <w:jc w:val="center"/>
              <w:rPr>
                <w:rFonts w:ascii="Times New Roman" w:eastAsia="Calibri" w:hAnsi="Times New Roman" w:cs="Times New Roman"/>
                <w:sz w:val="24"/>
                <w:szCs w:val="24"/>
              </w:rPr>
            </w:pPr>
            <w:r w:rsidRPr="008050A7">
              <w:rPr>
                <w:rFonts w:ascii="Times New Roman" w:eastAsia="Calibri" w:hAnsi="Times New Roman" w:cs="Times New Roman"/>
                <w:sz w:val="24"/>
                <w:szCs w:val="24"/>
              </w:rPr>
              <w:t>$</w:t>
            </w:r>
            <w:r w:rsidRPr="008050A7" w:rsidR="00B82D31">
              <w:rPr>
                <w:rFonts w:ascii="Times New Roman" w:eastAsia="Calibri" w:hAnsi="Times New Roman" w:cs="Times New Roman"/>
                <w:sz w:val="24"/>
                <w:szCs w:val="24"/>
              </w:rPr>
              <w:t>37,500.00</w:t>
            </w:r>
          </w:p>
        </w:tc>
      </w:tr>
      <w:tr w14:paraId="30E73474" w14:textId="77777777" w:rsidTr="0087601B">
        <w:tblPrEx>
          <w:tblW w:w="5000" w:type="pct"/>
          <w:tblLayout w:type="fixed"/>
          <w:tblLook w:val="04A0"/>
        </w:tblPrEx>
        <w:trPr>
          <w:trHeight w:val="881"/>
        </w:trPr>
        <w:tc>
          <w:tcPr>
            <w:tcW w:w="3505" w:type="dxa"/>
            <w:hideMark/>
          </w:tcPr>
          <w:p w:rsidR="006419E7" w:rsidRPr="008050A7" w:rsidP="00D15A00" w14:paraId="66E654C9" w14:textId="557ADC6E">
            <w:pPr>
              <w:spacing w:after="0" w:line="240" w:lineRule="auto"/>
              <w:rPr>
                <w:rFonts w:ascii="Times New Roman" w:eastAsia="Calibri" w:hAnsi="Times New Roman" w:cs="Times New Roman"/>
                <w:sz w:val="24"/>
                <w:szCs w:val="24"/>
              </w:rPr>
            </w:pPr>
            <w:r w:rsidRPr="008050A7">
              <w:rPr>
                <w:rFonts w:ascii="Times New Roman" w:eastAsia="Calibri" w:hAnsi="Times New Roman" w:cs="Times New Roman"/>
                <w:sz w:val="24"/>
                <w:szCs w:val="24"/>
              </w:rPr>
              <w:t xml:space="preserve">Table </w:t>
            </w:r>
            <w:r w:rsidRPr="008050A7" w:rsidR="00B82D31">
              <w:rPr>
                <w:rFonts w:ascii="Times New Roman" w:eastAsia="Calibri" w:hAnsi="Times New Roman" w:cs="Times New Roman"/>
                <w:sz w:val="24"/>
                <w:szCs w:val="24"/>
              </w:rPr>
              <w:t>11</w:t>
            </w:r>
            <w:r w:rsidRPr="008050A7">
              <w:rPr>
                <w:rFonts w:ascii="Times New Roman" w:eastAsia="Calibri" w:hAnsi="Times New Roman" w:cs="Times New Roman"/>
                <w:sz w:val="24"/>
                <w:szCs w:val="24"/>
              </w:rPr>
              <w:t xml:space="preserve">: Burden to Issuers to Implement Website Display Requirements for QHPs  </w:t>
            </w:r>
          </w:p>
        </w:tc>
        <w:tc>
          <w:tcPr>
            <w:tcW w:w="2430" w:type="dxa"/>
            <w:hideMark/>
          </w:tcPr>
          <w:p w:rsidR="006419E7" w:rsidRPr="008050A7" w:rsidP="00D15A00" w14:paraId="2D4F85B4" w14:textId="77777777">
            <w:pPr>
              <w:spacing w:after="0" w:line="240" w:lineRule="auto"/>
              <w:jc w:val="center"/>
              <w:rPr>
                <w:rFonts w:ascii="Times New Roman" w:eastAsia="Calibri" w:hAnsi="Times New Roman" w:cs="Times New Roman"/>
                <w:sz w:val="24"/>
                <w:szCs w:val="24"/>
              </w:rPr>
            </w:pPr>
            <w:r w:rsidRPr="008050A7">
              <w:rPr>
                <w:rFonts w:ascii="Times New Roman" w:eastAsia="Calibri" w:hAnsi="Times New Roman" w:cs="Times New Roman"/>
                <w:sz w:val="24"/>
                <w:szCs w:val="24"/>
              </w:rPr>
              <w:t>45 C.F.R. § 156.1230(a)(1)(ii)</w:t>
            </w:r>
          </w:p>
        </w:tc>
        <w:tc>
          <w:tcPr>
            <w:tcW w:w="1440" w:type="dxa"/>
            <w:hideMark/>
          </w:tcPr>
          <w:p w:rsidR="006419E7" w:rsidRPr="008050A7" w:rsidP="00D15A00" w14:paraId="5EC90655" w14:textId="09BCA368">
            <w:pPr>
              <w:spacing w:after="0" w:line="240" w:lineRule="auto"/>
              <w:jc w:val="center"/>
              <w:rPr>
                <w:rFonts w:ascii="Times New Roman" w:eastAsia="Calibri" w:hAnsi="Times New Roman" w:cs="Times New Roman"/>
                <w:sz w:val="24"/>
                <w:szCs w:val="24"/>
              </w:rPr>
            </w:pPr>
            <w:r w:rsidRPr="008050A7">
              <w:rPr>
                <w:rFonts w:ascii="Times New Roman" w:eastAsia="Calibri" w:hAnsi="Times New Roman" w:cs="Times New Roman"/>
                <w:sz w:val="24"/>
                <w:szCs w:val="24"/>
              </w:rPr>
              <w:t>1</w:t>
            </w:r>
            <w:r w:rsidR="00CC024F">
              <w:rPr>
                <w:rFonts w:ascii="Times New Roman" w:eastAsia="Calibri" w:hAnsi="Times New Roman" w:cs="Times New Roman"/>
                <w:sz w:val="24"/>
                <w:szCs w:val="24"/>
              </w:rPr>
              <w:t>,</w:t>
            </w:r>
            <w:r w:rsidRPr="008050A7">
              <w:rPr>
                <w:rFonts w:ascii="Times New Roman" w:eastAsia="Calibri" w:hAnsi="Times New Roman" w:cs="Times New Roman"/>
                <w:sz w:val="24"/>
                <w:szCs w:val="24"/>
              </w:rPr>
              <w:t>500</w:t>
            </w:r>
          </w:p>
        </w:tc>
        <w:tc>
          <w:tcPr>
            <w:tcW w:w="1975" w:type="dxa"/>
            <w:hideMark/>
          </w:tcPr>
          <w:p w:rsidR="006419E7" w:rsidRPr="008050A7" w:rsidP="008050A7" w14:paraId="6104D0B4" w14:textId="656742D9">
            <w:pPr>
              <w:spacing w:after="0" w:line="240" w:lineRule="auto"/>
              <w:ind w:left="-20" w:right="-23"/>
              <w:jc w:val="center"/>
              <w:rPr>
                <w:rFonts w:ascii="Times New Roman" w:eastAsia="Calibri" w:hAnsi="Times New Roman" w:cs="Times New Roman"/>
                <w:sz w:val="24"/>
                <w:szCs w:val="24"/>
              </w:rPr>
            </w:pPr>
            <w:r w:rsidRPr="008050A7">
              <w:rPr>
                <w:rFonts w:ascii="Times New Roman" w:eastAsia="Calibri" w:hAnsi="Times New Roman" w:cs="Times New Roman"/>
                <w:sz w:val="24"/>
                <w:szCs w:val="24"/>
              </w:rPr>
              <w:t>$</w:t>
            </w:r>
            <w:r w:rsidRPr="008050A7" w:rsidR="00B82D31">
              <w:rPr>
                <w:rFonts w:ascii="Times New Roman" w:eastAsia="Calibri" w:hAnsi="Times New Roman" w:cs="Times New Roman"/>
                <w:sz w:val="24"/>
                <w:szCs w:val="24"/>
              </w:rPr>
              <w:t>120,060.00</w:t>
            </w:r>
          </w:p>
        </w:tc>
      </w:tr>
      <w:tr w14:paraId="3C9D022A" w14:textId="77777777" w:rsidTr="0087601B">
        <w:tblPrEx>
          <w:tblW w:w="5000" w:type="pct"/>
          <w:tblLayout w:type="fixed"/>
          <w:tblLook w:val="04A0"/>
        </w:tblPrEx>
        <w:trPr>
          <w:trHeight w:val="1700"/>
        </w:trPr>
        <w:tc>
          <w:tcPr>
            <w:tcW w:w="3505" w:type="dxa"/>
            <w:hideMark/>
          </w:tcPr>
          <w:p w:rsidR="006419E7" w:rsidRPr="008050A7" w:rsidP="00D15A00" w14:paraId="511907D9" w14:textId="457C6555">
            <w:pPr>
              <w:spacing w:after="0" w:line="240" w:lineRule="auto"/>
              <w:rPr>
                <w:rFonts w:ascii="Times New Roman" w:eastAsia="Calibri" w:hAnsi="Times New Roman" w:cs="Times New Roman"/>
                <w:sz w:val="24"/>
                <w:szCs w:val="24"/>
              </w:rPr>
            </w:pPr>
            <w:r w:rsidRPr="008050A7">
              <w:rPr>
                <w:rFonts w:ascii="Times New Roman" w:eastAsia="Calibri" w:hAnsi="Times New Roman" w:cs="Times New Roman"/>
                <w:sz w:val="24"/>
                <w:szCs w:val="24"/>
              </w:rPr>
              <w:t xml:space="preserve">Table </w:t>
            </w:r>
            <w:r w:rsidRPr="008050A7" w:rsidR="00B82D31">
              <w:rPr>
                <w:rFonts w:ascii="Times New Roman" w:eastAsia="Calibri" w:hAnsi="Times New Roman" w:cs="Times New Roman"/>
                <w:sz w:val="24"/>
                <w:szCs w:val="24"/>
              </w:rPr>
              <w:t>12</w:t>
            </w:r>
            <w:r w:rsidRPr="008050A7">
              <w:rPr>
                <w:rFonts w:ascii="Times New Roman" w:eastAsia="Calibri" w:hAnsi="Times New Roman" w:cs="Times New Roman"/>
                <w:sz w:val="24"/>
                <w:szCs w:val="24"/>
              </w:rPr>
              <w:t>: Burden to DE Entity Web-brokers and QHP Issuers to Implement Mandate for HealthCare.gov Changes to Be Reflected on DE Entity Issuer and Web-Broker Websites</w:t>
            </w:r>
          </w:p>
        </w:tc>
        <w:tc>
          <w:tcPr>
            <w:tcW w:w="2430" w:type="dxa"/>
            <w:hideMark/>
          </w:tcPr>
          <w:p w:rsidR="006419E7" w:rsidRPr="008050A7" w:rsidP="00D15A00" w14:paraId="484EF3A3" w14:textId="244B523B">
            <w:pPr>
              <w:spacing w:after="0" w:line="240" w:lineRule="auto"/>
              <w:jc w:val="center"/>
              <w:rPr>
                <w:rFonts w:ascii="Times New Roman" w:eastAsia="Calibri" w:hAnsi="Times New Roman" w:cs="Times New Roman"/>
                <w:sz w:val="24"/>
                <w:szCs w:val="24"/>
              </w:rPr>
            </w:pPr>
            <w:r w:rsidRPr="008050A7">
              <w:rPr>
                <w:rFonts w:ascii="Times New Roman" w:eastAsia="Calibri" w:hAnsi="Times New Roman" w:cs="Times New Roman"/>
                <w:sz w:val="24"/>
                <w:szCs w:val="24"/>
              </w:rPr>
              <w:t>45 C</w:t>
            </w:r>
            <w:r w:rsidRPr="008050A7" w:rsidR="00773FFD">
              <w:rPr>
                <w:rFonts w:ascii="Times New Roman" w:eastAsia="Calibri" w:hAnsi="Times New Roman" w:cs="Times New Roman"/>
                <w:sz w:val="24"/>
                <w:szCs w:val="24"/>
              </w:rPr>
              <w:t>.</w:t>
            </w:r>
            <w:r w:rsidRPr="008050A7">
              <w:rPr>
                <w:rFonts w:ascii="Times New Roman" w:eastAsia="Calibri" w:hAnsi="Times New Roman" w:cs="Times New Roman"/>
                <w:sz w:val="24"/>
                <w:szCs w:val="24"/>
              </w:rPr>
              <w:t>F</w:t>
            </w:r>
            <w:r w:rsidRPr="008050A7" w:rsidR="00773FFD">
              <w:rPr>
                <w:rFonts w:ascii="Times New Roman" w:eastAsia="Calibri" w:hAnsi="Times New Roman" w:cs="Times New Roman"/>
                <w:sz w:val="24"/>
                <w:szCs w:val="24"/>
              </w:rPr>
              <w:t>.</w:t>
            </w:r>
            <w:r w:rsidRPr="008050A7">
              <w:rPr>
                <w:rFonts w:ascii="Times New Roman" w:eastAsia="Calibri" w:hAnsi="Times New Roman" w:cs="Times New Roman"/>
                <w:sz w:val="24"/>
                <w:szCs w:val="24"/>
              </w:rPr>
              <w:t>R § 155.221</w:t>
            </w:r>
            <w:r w:rsidRPr="008050A7" w:rsidR="00773FFD">
              <w:rPr>
                <w:rFonts w:ascii="Times New Roman" w:eastAsia="Calibri" w:hAnsi="Times New Roman" w:cs="Times New Roman"/>
                <w:sz w:val="24"/>
                <w:szCs w:val="24"/>
              </w:rPr>
              <w:t>(b)(6)</w:t>
            </w:r>
          </w:p>
        </w:tc>
        <w:tc>
          <w:tcPr>
            <w:tcW w:w="1440" w:type="dxa"/>
            <w:hideMark/>
          </w:tcPr>
          <w:p w:rsidR="006419E7" w:rsidRPr="008050A7" w:rsidP="00D15A00" w14:paraId="17E58BF5" w14:textId="50485A4D">
            <w:pPr>
              <w:spacing w:after="0" w:line="240" w:lineRule="auto"/>
              <w:jc w:val="center"/>
              <w:rPr>
                <w:rFonts w:ascii="Times New Roman" w:eastAsia="Calibri" w:hAnsi="Times New Roman" w:cs="Times New Roman"/>
                <w:sz w:val="24"/>
                <w:szCs w:val="24"/>
              </w:rPr>
            </w:pPr>
            <w:r w:rsidRPr="008050A7">
              <w:rPr>
                <w:rFonts w:ascii="Times New Roman" w:eastAsia="Calibri" w:hAnsi="Times New Roman" w:cs="Times New Roman"/>
                <w:sz w:val="24"/>
                <w:szCs w:val="24"/>
              </w:rPr>
              <w:t>3</w:t>
            </w:r>
            <w:r w:rsidR="00CC024F">
              <w:rPr>
                <w:rFonts w:ascii="Times New Roman" w:eastAsia="Calibri" w:hAnsi="Times New Roman" w:cs="Times New Roman"/>
                <w:sz w:val="24"/>
                <w:szCs w:val="24"/>
              </w:rPr>
              <w:t>,</w:t>
            </w:r>
            <w:r w:rsidR="004A1AE6">
              <w:rPr>
                <w:rFonts w:ascii="Times New Roman" w:eastAsia="Calibri" w:hAnsi="Times New Roman" w:cs="Times New Roman"/>
                <w:sz w:val="24"/>
                <w:szCs w:val="24"/>
              </w:rPr>
              <w:t>075</w:t>
            </w:r>
          </w:p>
        </w:tc>
        <w:tc>
          <w:tcPr>
            <w:tcW w:w="1975" w:type="dxa"/>
            <w:hideMark/>
          </w:tcPr>
          <w:p w:rsidR="006419E7" w:rsidRPr="008050A7" w:rsidP="008050A7" w14:paraId="5C370461" w14:textId="2A06493B">
            <w:pPr>
              <w:spacing w:after="0" w:line="240" w:lineRule="auto"/>
              <w:ind w:left="-20" w:right="-23"/>
              <w:jc w:val="center"/>
              <w:rPr>
                <w:rFonts w:ascii="Times New Roman" w:eastAsia="Calibri" w:hAnsi="Times New Roman" w:cs="Times New Roman"/>
                <w:sz w:val="24"/>
                <w:szCs w:val="24"/>
              </w:rPr>
            </w:pPr>
            <w:r w:rsidRPr="008050A7">
              <w:rPr>
                <w:rFonts w:ascii="Times New Roman" w:eastAsia="Calibri" w:hAnsi="Times New Roman" w:cs="Times New Roman"/>
                <w:sz w:val="24"/>
                <w:szCs w:val="24"/>
              </w:rPr>
              <w:t>$</w:t>
            </w:r>
            <w:r w:rsidRPr="008050A7" w:rsidR="00B82D31">
              <w:rPr>
                <w:rFonts w:ascii="Times New Roman" w:eastAsia="Calibri" w:hAnsi="Times New Roman" w:cs="Times New Roman"/>
                <w:sz w:val="24"/>
                <w:szCs w:val="24"/>
              </w:rPr>
              <w:t>2</w:t>
            </w:r>
            <w:r w:rsidR="004A1AE6">
              <w:rPr>
                <w:rFonts w:ascii="Times New Roman" w:eastAsia="Calibri" w:hAnsi="Times New Roman" w:cs="Times New Roman"/>
                <w:sz w:val="24"/>
                <w:szCs w:val="24"/>
              </w:rPr>
              <w:t>45,290.50</w:t>
            </w:r>
          </w:p>
        </w:tc>
      </w:tr>
      <w:tr w14:paraId="05986488" w14:textId="77777777" w:rsidTr="0087601B">
        <w:tblPrEx>
          <w:tblW w:w="5000" w:type="pct"/>
          <w:tblLayout w:type="fixed"/>
          <w:tblLook w:val="04A0"/>
        </w:tblPrEx>
        <w:trPr>
          <w:trHeight w:val="310"/>
        </w:trPr>
        <w:tc>
          <w:tcPr>
            <w:tcW w:w="3505" w:type="dxa"/>
          </w:tcPr>
          <w:p w:rsidR="00BC253E" w:rsidRPr="008050A7" w:rsidP="00D15A00" w14:paraId="4C79915A" w14:textId="4E34147B">
            <w:pPr>
              <w:spacing w:after="0" w:line="240" w:lineRule="auto"/>
              <w:rPr>
                <w:rFonts w:ascii="Times New Roman" w:hAnsi="Times New Roman" w:cs="Times New Roman"/>
                <w:sz w:val="24"/>
                <w:szCs w:val="24"/>
              </w:rPr>
            </w:pPr>
            <w:r w:rsidRPr="008050A7">
              <w:rPr>
                <w:rFonts w:ascii="Times New Roman" w:hAnsi="Times New Roman" w:cs="Times New Roman"/>
                <w:sz w:val="24"/>
                <w:szCs w:val="24"/>
              </w:rPr>
              <w:t xml:space="preserve">Table </w:t>
            </w:r>
            <w:r w:rsidRPr="008050A7" w:rsidR="00B82D31">
              <w:rPr>
                <w:rFonts w:ascii="Times New Roman" w:hAnsi="Times New Roman" w:cs="Times New Roman"/>
                <w:sz w:val="24"/>
                <w:szCs w:val="24"/>
              </w:rPr>
              <w:t>13</w:t>
            </w:r>
            <w:r w:rsidRPr="008050A7">
              <w:rPr>
                <w:rFonts w:ascii="Times New Roman" w:hAnsi="Times New Roman" w:cs="Times New Roman"/>
                <w:sz w:val="24"/>
                <w:szCs w:val="24"/>
              </w:rPr>
              <w:t xml:space="preserve">: Burden to Web-Brokers to Provide the </w:t>
            </w:r>
            <w:r w:rsidRPr="008050A7" w:rsidR="00B84E7B">
              <w:rPr>
                <w:rFonts w:ascii="Times New Roman" w:hAnsi="Times New Roman" w:cs="Times New Roman"/>
                <w:sz w:val="24"/>
                <w:szCs w:val="24"/>
              </w:rPr>
              <w:t>State Exchange</w:t>
            </w:r>
            <w:r w:rsidRPr="008050A7">
              <w:rPr>
                <w:rFonts w:ascii="Times New Roman" w:hAnsi="Times New Roman" w:cs="Times New Roman"/>
                <w:sz w:val="24"/>
                <w:szCs w:val="24"/>
              </w:rPr>
              <w:t xml:space="preserve"> a List of Agents or Brokers</w:t>
            </w:r>
          </w:p>
        </w:tc>
        <w:tc>
          <w:tcPr>
            <w:tcW w:w="2430" w:type="dxa"/>
          </w:tcPr>
          <w:p w:rsidR="00040204" w:rsidRPr="008050A7" w:rsidP="00D15A00" w14:paraId="6ECA0B53" w14:textId="5569606A">
            <w:pPr>
              <w:spacing w:after="0" w:line="240" w:lineRule="auto"/>
              <w:jc w:val="center"/>
              <w:rPr>
                <w:rFonts w:ascii="Times New Roman" w:eastAsia="Calibri" w:hAnsi="Times New Roman" w:cs="Times New Roman"/>
                <w:sz w:val="24"/>
                <w:szCs w:val="24"/>
              </w:rPr>
            </w:pPr>
            <w:r w:rsidRPr="008050A7">
              <w:rPr>
                <w:rFonts w:ascii="Times New Roman" w:eastAsia="Calibri" w:hAnsi="Times New Roman" w:cs="Times New Roman"/>
                <w:sz w:val="24"/>
                <w:szCs w:val="24"/>
              </w:rPr>
              <w:t>45 C.F.R §155.220(c)(4)(iii)</w:t>
            </w:r>
          </w:p>
        </w:tc>
        <w:tc>
          <w:tcPr>
            <w:tcW w:w="1440" w:type="dxa"/>
          </w:tcPr>
          <w:p w:rsidR="00040204" w:rsidRPr="008050A7" w:rsidP="00D15A00" w14:paraId="582162FE" w14:textId="5564FC5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5,000</w:t>
            </w:r>
          </w:p>
        </w:tc>
        <w:tc>
          <w:tcPr>
            <w:tcW w:w="1975" w:type="dxa"/>
          </w:tcPr>
          <w:p w:rsidR="00040204" w:rsidRPr="008050A7" w:rsidP="008050A7" w14:paraId="13DF7D39" w14:textId="1E3285A8">
            <w:pPr>
              <w:spacing w:after="0" w:line="240" w:lineRule="auto"/>
              <w:ind w:left="-20" w:right="-23"/>
              <w:jc w:val="center"/>
              <w:rPr>
                <w:rFonts w:ascii="Times New Roman" w:eastAsia="Calibri" w:hAnsi="Times New Roman" w:cs="Times New Roman"/>
                <w:sz w:val="24"/>
                <w:szCs w:val="24"/>
              </w:rPr>
            </w:pPr>
            <w:r w:rsidRPr="008050A7">
              <w:rPr>
                <w:rFonts w:ascii="Times New Roman" w:eastAsia="Times New Roman" w:hAnsi="Times New Roman" w:cs="Times New Roman"/>
                <w:sz w:val="24"/>
                <w:szCs w:val="24"/>
              </w:rPr>
              <w:t>$</w:t>
            </w:r>
            <w:r w:rsidR="00D57ED7">
              <w:rPr>
                <w:rFonts w:ascii="Times New Roman" w:eastAsia="Times New Roman" w:hAnsi="Times New Roman" w:cs="Times New Roman"/>
                <w:sz w:val="24"/>
                <w:szCs w:val="24"/>
              </w:rPr>
              <w:t>466,016.00</w:t>
            </w:r>
          </w:p>
        </w:tc>
      </w:tr>
      <w:tr w14:paraId="35D8ACCC" w14:textId="77777777" w:rsidTr="0087601B">
        <w:tblPrEx>
          <w:tblW w:w="5000" w:type="pct"/>
          <w:tblLayout w:type="fixed"/>
          <w:tblLook w:val="04A0"/>
        </w:tblPrEx>
        <w:trPr>
          <w:trHeight w:val="310"/>
        </w:trPr>
        <w:tc>
          <w:tcPr>
            <w:tcW w:w="3505" w:type="dxa"/>
          </w:tcPr>
          <w:p w:rsidR="007946CC" w:rsidRPr="008050A7" w:rsidP="00D15A00" w14:paraId="3A4F7A6D" w14:textId="2BDC034A">
            <w:pPr>
              <w:spacing w:after="0" w:line="240" w:lineRule="auto"/>
              <w:rPr>
                <w:rFonts w:ascii="Times New Roman" w:hAnsi="Times New Roman" w:cs="Times New Roman"/>
                <w:b/>
                <w:bCs/>
                <w:sz w:val="24"/>
                <w:szCs w:val="24"/>
              </w:rPr>
            </w:pPr>
            <w:r w:rsidRPr="008050A7">
              <w:rPr>
                <w:rFonts w:ascii="Times New Roman" w:hAnsi="Times New Roman" w:cs="Times New Roman"/>
                <w:sz w:val="24"/>
                <w:szCs w:val="24"/>
              </w:rPr>
              <w:t xml:space="preserve">Table </w:t>
            </w:r>
            <w:r w:rsidRPr="008050A7" w:rsidR="00B82D31">
              <w:rPr>
                <w:rFonts w:ascii="Times New Roman" w:hAnsi="Times New Roman" w:cs="Times New Roman"/>
                <w:sz w:val="24"/>
                <w:szCs w:val="24"/>
              </w:rPr>
              <w:t>14</w:t>
            </w:r>
            <w:r w:rsidRPr="008050A7">
              <w:rPr>
                <w:rFonts w:ascii="Times New Roman" w:hAnsi="Times New Roman" w:cs="Times New Roman"/>
                <w:sz w:val="24"/>
                <w:szCs w:val="24"/>
              </w:rPr>
              <w:t>: Burden to DE Entities to Implement Application Assister Requirements</w:t>
            </w:r>
          </w:p>
        </w:tc>
        <w:tc>
          <w:tcPr>
            <w:tcW w:w="2430" w:type="dxa"/>
          </w:tcPr>
          <w:p w:rsidR="002F1BAC" w:rsidRPr="008050A7" w:rsidP="00D15A00" w14:paraId="6005D600" w14:textId="576E0288">
            <w:pPr>
              <w:spacing w:after="0" w:line="240" w:lineRule="auto"/>
              <w:jc w:val="center"/>
              <w:rPr>
                <w:rFonts w:ascii="Times New Roman" w:eastAsia="Calibri" w:hAnsi="Times New Roman" w:cs="Times New Roman"/>
                <w:sz w:val="24"/>
                <w:szCs w:val="24"/>
              </w:rPr>
            </w:pPr>
            <w:r w:rsidRPr="008050A7">
              <w:rPr>
                <w:rFonts w:ascii="Times New Roman" w:eastAsia="Calibri" w:hAnsi="Times New Roman" w:cs="Times New Roman"/>
                <w:sz w:val="24"/>
                <w:szCs w:val="24"/>
              </w:rPr>
              <w:t>45 C.F.R §155.221(d)</w:t>
            </w:r>
          </w:p>
          <w:p w:rsidR="007946CC" w:rsidRPr="008050A7" w:rsidP="00D15A00" w14:paraId="161886E9" w14:textId="77777777">
            <w:pPr>
              <w:spacing w:after="0" w:line="240" w:lineRule="auto"/>
              <w:jc w:val="center"/>
              <w:rPr>
                <w:rFonts w:ascii="Times New Roman" w:eastAsia="Calibri" w:hAnsi="Times New Roman" w:cs="Times New Roman"/>
                <w:sz w:val="24"/>
                <w:szCs w:val="24"/>
              </w:rPr>
            </w:pPr>
          </w:p>
        </w:tc>
        <w:tc>
          <w:tcPr>
            <w:tcW w:w="1440" w:type="dxa"/>
          </w:tcPr>
          <w:p w:rsidR="007946CC" w:rsidRPr="008050A7" w:rsidP="00D15A00" w14:paraId="45FC4DEB" w14:textId="3276EBB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15,000</w:t>
            </w:r>
          </w:p>
        </w:tc>
        <w:tc>
          <w:tcPr>
            <w:tcW w:w="1975" w:type="dxa"/>
          </w:tcPr>
          <w:p w:rsidR="002F1BAC" w:rsidRPr="008050A7" w:rsidP="008050A7" w14:paraId="499DB22C" w14:textId="173D0640">
            <w:pPr>
              <w:widowControl/>
              <w:spacing w:after="0" w:line="240" w:lineRule="auto"/>
              <w:ind w:left="-20" w:right="-23"/>
              <w:jc w:val="center"/>
              <w:rPr>
                <w:rFonts w:ascii="Times New Roman" w:eastAsia="Times New Roman" w:hAnsi="Times New Roman" w:cs="Times New Roman"/>
                <w:sz w:val="24"/>
                <w:szCs w:val="24"/>
              </w:rPr>
            </w:pPr>
            <w:r w:rsidRPr="008050A7">
              <w:rPr>
                <w:rFonts w:ascii="Times New Roman" w:eastAsia="Times New Roman" w:hAnsi="Times New Roman" w:cs="Times New Roman"/>
                <w:sz w:val="24"/>
                <w:szCs w:val="24"/>
              </w:rPr>
              <w:t>$</w:t>
            </w:r>
            <w:r w:rsidRPr="008050A7" w:rsidR="00B82D31">
              <w:rPr>
                <w:rFonts w:ascii="Times New Roman" w:eastAsia="Times New Roman" w:hAnsi="Times New Roman" w:cs="Times New Roman"/>
                <w:sz w:val="24"/>
                <w:szCs w:val="24"/>
              </w:rPr>
              <w:t>1,034,1</w:t>
            </w:r>
            <w:r w:rsidR="00F31ECA">
              <w:rPr>
                <w:rFonts w:ascii="Times New Roman" w:eastAsia="Times New Roman" w:hAnsi="Times New Roman" w:cs="Times New Roman"/>
                <w:sz w:val="24"/>
                <w:szCs w:val="24"/>
              </w:rPr>
              <w:t>0</w:t>
            </w:r>
            <w:r w:rsidRPr="008050A7" w:rsidR="00B82D31">
              <w:rPr>
                <w:rFonts w:ascii="Times New Roman" w:eastAsia="Times New Roman" w:hAnsi="Times New Roman" w:cs="Times New Roman"/>
                <w:sz w:val="24"/>
                <w:szCs w:val="24"/>
              </w:rPr>
              <w:t>0.00</w:t>
            </w:r>
          </w:p>
          <w:p w:rsidR="007946CC" w:rsidRPr="008050A7" w:rsidP="008050A7" w14:paraId="7B460FD4" w14:textId="77777777">
            <w:pPr>
              <w:spacing w:after="0" w:line="240" w:lineRule="auto"/>
              <w:ind w:left="-20" w:right="-23"/>
              <w:jc w:val="center"/>
              <w:rPr>
                <w:rFonts w:ascii="Times New Roman" w:eastAsia="Calibri" w:hAnsi="Times New Roman" w:cs="Times New Roman"/>
                <w:b/>
                <w:bCs/>
                <w:sz w:val="24"/>
                <w:szCs w:val="24"/>
              </w:rPr>
            </w:pPr>
          </w:p>
        </w:tc>
      </w:tr>
      <w:tr w14:paraId="5BAAB143" w14:textId="77777777" w:rsidTr="0087601B">
        <w:tblPrEx>
          <w:tblW w:w="5000" w:type="pct"/>
          <w:tblLayout w:type="fixed"/>
          <w:tblLook w:val="04A0"/>
        </w:tblPrEx>
        <w:trPr>
          <w:trHeight w:val="310"/>
        </w:trPr>
        <w:tc>
          <w:tcPr>
            <w:tcW w:w="3505" w:type="dxa"/>
          </w:tcPr>
          <w:p w:rsidR="007946CC" w:rsidRPr="00D87A4C" w:rsidP="00D15A00" w14:paraId="1B6F6F4A" w14:textId="1B257F06">
            <w:pPr>
              <w:spacing w:after="0" w:line="240" w:lineRule="auto"/>
              <w:rPr>
                <w:rFonts w:ascii="Times New Roman" w:hAnsi="Times New Roman" w:cs="Times New Roman"/>
                <w:sz w:val="24"/>
                <w:szCs w:val="24"/>
              </w:rPr>
            </w:pPr>
            <w:r w:rsidRPr="00D87A4C">
              <w:rPr>
                <w:rFonts w:ascii="Times New Roman" w:hAnsi="Times New Roman" w:cs="Times New Roman"/>
                <w:sz w:val="24"/>
                <w:szCs w:val="24"/>
              </w:rPr>
              <w:t xml:space="preserve">Table </w:t>
            </w:r>
            <w:r w:rsidRPr="00D87A4C" w:rsidR="00B82D31">
              <w:rPr>
                <w:rFonts w:ascii="Times New Roman" w:hAnsi="Times New Roman" w:cs="Times New Roman"/>
                <w:sz w:val="24"/>
                <w:szCs w:val="24"/>
              </w:rPr>
              <w:t>15</w:t>
            </w:r>
            <w:r w:rsidRPr="00D87A4C">
              <w:rPr>
                <w:rFonts w:ascii="Times New Roman" w:hAnsi="Times New Roman" w:cs="Times New Roman"/>
                <w:sz w:val="24"/>
                <w:szCs w:val="24"/>
              </w:rPr>
              <w:t xml:space="preserve">: Burden to Web-brokers to Implement Application to </w:t>
            </w:r>
            <w:r w:rsidRPr="00D87A4C" w:rsidR="00B84E7B">
              <w:rPr>
                <w:rFonts w:ascii="Times New Roman" w:hAnsi="Times New Roman" w:cs="Times New Roman"/>
                <w:sz w:val="24"/>
                <w:szCs w:val="24"/>
              </w:rPr>
              <w:t xml:space="preserve">State </w:t>
            </w:r>
            <w:r w:rsidRPr="00D87A4C">
              <w:rPr>
                <w:rFonts w:ascii="Times New Roman" w:hAnsi="Times New Roman" w:cs="Times New Roman"/>
                <w:sz w:val="24"/>
                <w:szCs w:val="24"/>
              </w:rPr>
              <w:t xml:space="preserve">Exchanges </w:t>
            </w:r>
          </w:p>
        </w:tc>
        <w:tc>
          <w:tcPr>
            <w:tcW w:w="2430" w:type="dxa"/>
          </w:tcPr>
          <w:p w:rsidR="007946CC" w:rsidRPr="008050A7" w:rsidP="00D15A00" w14:paraId="1D0D2946" w14:textId="55BFF43C">
            <w:pPr>
              <w:spacing w:after="0" w:line="240" w:lineRule="auto"/>
              <w:jc w:val="center"/>
              <w:rPr>
                <w:rFonts w:ascii="Times New Roman" w:eastAsia="Calibri" w:hAnsi="Times New Roman" w:cs="Times New Roman"/>
                <w:sz w:val="24"/>
                <w:szCs w:val="24"/>
              </w:rPr>
            </w:pPr>
            <w:r w:rsidRPr="008050A7">
              <w:rPr>
                <w:rFonts w:ascii="Times New Roman" w:eastAsia="Calibri" w:hAnsi="Times New Roman" w:cs="Times New Roman"/>
                <w:sz w:val="24"/>
                <w:szCs w:val="24"/>
              </w:rPr>
              <w:t>45 C.F.R §155.220(n)</w:t>
            </w:r>
          </w:p>
        </w:tc>
        <w:tc>
          <w:tcPr>
            <w:tcW w:w="1440" w:type="dxa"/>
          </w:tcPr>
          <w:p w:rsidR="007946CC" w:rsidRPr="008050A7" w:rsidP="00D15A00" w14:paraId="1CF52F89" w14:textId="133E39E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5,100</w:t>
            </w:r>
          </w:p>
        </w:tc>
        <w:tc>
          <w:tcPr>
            <w:tcW w:w="1975" w:type="dxa"/>
          </w:tcPr>
          <w:p w:rsidR="007946CC" w:rsidRPr="008050A7" w:rsidP="008050A7" w14:paraId="052D4ABA" w14:textId="55400B6A">
            <w:pPr>
              <w:spacing w:after="0" w:line="240" w:lineRule="auto"/>
              <w:ind w:left="-20" w:right="-23"/>
              <w:jc w:val="center"/>
              <w:rPr>
                <w:rFonts w:ascii="Times New Roman" w:eastAsia="Calibri" w:hAnsi="Times New Roman" w:cs="Times New Roman"/>
                <w:sz w:val="24"/>
                <w:szCs w:val="24"/>
              </w:rPr>
            </w:pPr>
            <w:r w:rsidRPr="008050A7">
              <w:rPr>
                <w:rFonts w:ascii="Times New Roman" w:eastAsia="Calibri" w:hAnsi="Times New Roman" w:cs="Times New Roman"/>
                <w:sz w:val="24"/>
                <w:szCs w:val="24"/>
              </w:rPr>
              <w:t>$</w:t>
            </w:r>
            <w:r w:rsidR="0095705D">
              <w:rPr>
                <w:rFonts w:ascii="Times New Roman" w:eastAsia="Calibri" w:hAnsi="Times New Roman" w:cs="Times New Roman"/>
                <w:sz w:val="24"/>
                <w:szCs w:val="24"/>
              </w:rPr>
              <w:t>394,364.00</w:t>
            </w:r>
          </w:p>
        </w:tc>
      </w:tr>
      <w:tr w14:paraId="5A634C81" w14:textId="77777777" w:rsidTr="0087601B">
        <w:tblPrEx>
          <w:tblW w:w="5000" w:type="pct"/>
          <w:tblLayout w:type="fixed"/>
          <w:tblLook w:val="04A0"/>
        </w:tblPrEx>
        <w:trPr>
          <w:trHeight w:val="310"/>
        </w:trPr>
        <w:tc>
          <w:tcPr>
            <w:tcW w:w="3505" w:type="dxa"/>
          </w:tcPr>
          <w:p w:rsidR="007946CC" w:rsidRPr="00D87A4C" w:rsidP="00D15A00" w14:paraId="28A49856" w14:textId="72923843">
            <w:pPr>
              <w:spacing w:after="0" w:line="240" w:lineRule="auto"/>
              <w:rPr>
                <w:rFonts w:ascii="Times New Roman" w:hAnsi="Times New Roman" w:cs="Times New Roman"/>
                <w:sz w:val="24"/>
                <w:szCs w:val="24"/>
              </w:rPr>
            </w:pPr>
            <w:r w:rsidRPr="00D87A4C">
              <w:rPr>
                <w:rFonts w:ascii="Times New Roman" w:hAnsi="Times New Roman" w:cs="Times New Roman"/>
                <w:sz w:val="24"/>
                <w:szCs w:val="24"/>
              </w:rPr>
              <w:t xml:space="preserve">Table </w:t>
            </w:r>
            <w:r w:rsidRPr="00D87A4C" w:rsidR="00B82D31">
              <w:rPr>
                <w:rFonts w:ascii="Times New Roman" w:hAnsi="Times New Roman" w:cs="Times New Roman"/>
                <w:sz w:val="24"/>
                <w:szCs w:val="24"/>
              </w:rPr>
              <w:t>16</w:t>
            </w:r>
            <w:r w:rsidRPr="00D87A4C">
              <w:rPr>
                <w:rFonts w:ascii="Times New Roman" w:hAnsi="Times New Roman" w:cs="Times New Roman"/>
                <w:sz w:val="24"/>
                <w:szCs w:val="24"/>
              </w:rPr>
              <w:t xml:space="preserve">: Burden to DE Entities to Implement Application to State Exchanges </w:t>
            </w:r>
          </w:p>
        </w:tc>
        <w:tc>
          <w:tcPr>
            <w:tcW w:w="2430" w:type="dxa"/>
          </w:tcPr>
          <w:p w:rsidR="007946CC" w:rsidRPr="008050A7" w:rsidP="00D15A00" w14:paraId="4D74D4F0" w14:textId="6E855F8B">
            <w:pPr>
              <w:spacing w:after="0" w:line="240" w:lineRule="auto"/>
              <w:jc w:val="center"/>
              <w:rPr>
                <w:rFonts w:ascii="Times New Roman" w:eastAsia="Calibri" w:hAnsi="Times New Roman" w:cs="Times New Roman"/>
                <w:sz w:val="24"/>
                <w:szCs w:val="24"/>
              </w:rPr>
            </w:pPr>
            <w:r w:rsidRPr="008050A7">
              <w:rPr>
                <w:rFonts w:ascii="Times New Roman" w:eastAsia="Calibri" w:hAnsi="Times New Roman" w:cs="Times New Roman"/>
                <w:sz w:val="24"/>
                <w:szCs w:val="24"/>
              </w:rPr>
              <w:t>45 C.F.R §155.</w:t>
            </w:r>
            <w:r w:rsidRPr="008050A7" w:rsidR="00A00E9E">
              <w:rPr>
                <w:rFonts w:ascii="Times New Roman" w:eastAsia="Calibri" w:hAnsi="Times New Roman" w:cs="Times New Roman"/>
                <w:sz w:val="24"/>
                <w:szCs w:val="24"/>
              </w:rPr>
              <w:t>22</w:t>
            </w:r>
            <w:r w:rsidR="00A00E9E">
              <w:rPr>
                <w:rFonts w:ascii="Times New Roman" w:eastAsia="Calibri" w:hAnsi="Times New Roman" w:cs="Times New Roman"/>
                <w:sz w:val="24"/>
                <w:szCs w:val="24"/>
              </w:rPr>
              <w:t>1</w:t>
            </w:r>
            <w:r w:rsidRPr="008050A7">
              <w:rPr>
                <w:rFonts w:ascii="Times New Roman" w:eastAsia="Calibri" w:hAnsi="Times New Roman" w:cs="Times New Roman"/>
                <w:sz w:val="24"/>
                <w:szCs w:val="24"/>
              </w:rPr>
              <w:t>(j)</w:t>
            </w:r>
          </w:p>
        </w:tc>
        <w:tc>
          <w:tcPr>
            <w:tcW w:w="1440" w:type="dxa"/>
            <w:tcBorders>
              <w:bottom w:val="single" w:sz="4" w:space="0" w:color="auto"/>
            </w:tcBorders>
          </w:tcPr>
          <w:p w:rsidR="007946CC" w:rsidRPr="008050A7" w:rsidP="00D15A00" w14:paraId="1619CFC9" w14:textId="249AD9D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20,706</w:t>
            </w:r>
          </w:p>
        </w:tc>
        <w:tc>
          <w:tcPr>
            <w:tcW w:w="1975" w:type="dxa"/>
            <w:tcBorders>
              <w:bottom w:val="single" w:sz="4" w:space="0" w:color="auto"/>
            </w:tcBorders>
          </w:tcPr>
          <w:p w:rsidR="0095705D" w:rsidP="008050A7" w14:paraId="33EC2650" w14:textId="77777777">
            <w:pPr>
              <w:spacing w:after="0" w:line="240" w:lineRule="auto"/>
              <w:ind w:left="-20" w:right="-23"/>
              <w:jc w:val="center"/>
              <w:rPr>
                <w:rFonts w:ascii="Times New Roman" w:eastAsia="Calibri" w:hAnsi="Times New Roman" w:cs="Times New Roman"/>
                <w:sz w:val="24"/>
                <w:szCs w:val="24"/>
              </w:rPr>
            </w:pPr>
            <w:r w:rsidRPr="008050A7">
              <w:rPr>
                <w:rFonts w:ascii="Times New Roman" w:eastAsia="Calibri" w:hAnsi="Times New Roman" w:cs="Times New Roman"/>
                <w:sz w:val="24"/>
                <w:szCs w:val="24"/>
              </w:rPr>
              <w:t>$</w:t>
            </w:r>
            <w:r>
              <w:rPr>
                <w:rFonts w:ascii="Times New Roman" w:eastAsia="Calibri" w:hAnsi="Times New Roman" w:cs="Times New Roman"/>
                <w:sz w:val="24"/>
                <w:szCs w:val="24"/>
              </w:rPr>
              <w:t>1,480,620.70</w:t>
            </w:r>
          </w:p>
          <w:p w:rsidR="007946CC" w:rsidRPr="008050A7" w:rsidP="008050A7" w14:paraId="77450844" w14:textId="092D0276">
            <w:pPr>
              <w:spacing w:after="0" w:line="240" w:lineRule="auto"/>
              <w:ind w:left="-20" w:right="-23"/>
              <w:jc w:val="center"/>
              <w:rPr>
                <w:rFonts w:ascii="Times New Roman" w:eastAsia="Calibri" w:hAnsi="Times New Roman" w:cs="Times New Roman"/>
                <w:sz w:val="24"/>
                <w:szCs w:val="24"/>
              </w:rPr>
            </w:pPr>
          </w:p>
        </w:tc>
      </w:tr>
      <w:tr w14:paraId="5EAC4CD8" w14:textId="77777777" w:rsidTr="0087601B">
        <w:tblPrEx>
          <w:tblW w:w="5000" w:type="pct"/>
          <w:tblLayout w:type="fixed"/>
          <w:tblLook w:val="04A0"/>
        </w:tblPrEx>
        <w:trPr>
          <w:trHeight w:val="1736"/>
        </w:trPr>
        <w:tc>
          <w:tcPr>
            <w:tcW w:w="3505" w:type="dxa"/>
          </w:tcPr>
          <w:p w:rsidR="00D90AC4" w:rsidRPr="008050A7" w:rsidP="00D15A00" w14:paraId="33FC767D" w14:textId="22A2F701">
            <w:pPr>
              <w:spacing w:after="0" w:line="240" w:lineRule="auto"/>
              <w:rPr>
                <w:rFonts w:ascii="Times New Roman" w:eastAsia="Calibri" w:hAnsi="Times New Roman" w:cs="Times New Roman"/>
                <w:sz w:val="24"/>
                <w:szCs w:val="24"/>
              </w:rPr>
            </w:pPr>
            <w:r w:rsidRPr="008050A7">
              <w:rPr>
                <w:rFonts w:ascii="Times New Roman" w:hAnsi="Times New Roman" w:cs="Times New Roman"/>
                <w:sz w:val="24"/>
                <w:szCs w:val="24"/>
              </w:rPr>
              <w:t xml:space="preserve">Table </w:t>
            </w:r>
            <w:r w:rsidRPr="008050A7" w:rsidR="00B82D31">
              <w:rPr>
                <w:rFonts w:ascii="Times New Roman" w:hAnsi="Times New Roman" w:cs="Times New Roman"/>
                <w:sz w:val="24"/>
                <w:szCs w:val="24"/>
              </w:rPr>
              <w:t>17</w:t>
            </w:r>
            <w:r w:rsidRPr="008050A7">
              <w:rPr>
                <w:rFonts w:ascii="Times New Roman" w:hAnsi="Times New Roman" w:cs="Times New Roman"/>
                <w:sz w:val="24"/>
                <w:szCs w:val="24"/>
              </w:rPr>
              <w:t>: Burden to Web-brokers to Prominently Display Consumer Eligibility Results for Advance Payments of the Premium Tax Credit and Cost-sharing</w:t>
            </w:r>
            <w:r w:rsidR="009C4DBC">
              <w:rPr>
                <w:rFonts w:ascii="Times New Roman" w:hAnsi="Times New Roman" w:cs="Times New Roman"/>
                <w:sz w:val="24"/>
                <w:szCs w:val="24"/>
              </w:rPr>
              <w:t xml:space="preserve"> Reductions</w:t>
            </w:r>
          </w:p>
        </w:tc>
        <w:tc>
          <w:tcPr>
            <w:tcW w:w="2430" w:type="dxa"/>
            <w:tcBorders>
              <w:right w:val="single" w:sz="4" w:space="0" w:color="auto"/>
            </w:tcBorders>
          </w:tcPr>
          <w:p w:rsidR="00D90AC4" w:rsidRPr="008050A7" w:rsidP="00D15A00" w14:paraId="775A6DB4" w14:textId="1A4BC9A7">
            <w:pPr>
              <w:spacing w:after="0" w:line="240" w:lineRule="auto"/>
              <w:jc w:val="center"/>
              <w:rPr>
                <w:rFonts w:ascii="Times New Roman" w:eastAsia="Calibri" w:hAnsi="Times New Roman" w:cs="Times New Roman"/>
                <w:sz w:val="24"/>
                <w:szCs w:val="24"/>
              </w:rPr>
            </w:pPr>
            <w:r w:rsidRPr="008050A7">
              <w:rPr>
                <w:rFonts w:ascii="Times New Roman" w:eastAsia="Calibri" w:hAnsi="Times New Roman" w:cs="Times New Roman"/>
                <w:sz w:val="24"/>
                <w:szCs w:val="24"/>
              </w:rPr>
              <w:t>45 C.F.R. § 155.220(</w:t>
            </w:r>
            <w:r w:rsidRPr="00414464">
              <w:rPr>
                <w:rFonts w:ascii="Times New Roman" w:eastAsia="Calibri" w:hAnsi="Times New Roman" w:cs="Times New Roman"/>
                <w:sz w:val="24"/>
                <w:szCs w:val="24"/>
              </w:rPr>
              <w:t>c)(3)(i)(</w:t>
            </w:r>
            <w:r w:rsidRPr="00414464" w:rsidR="00E534F6">
              <w:rPr>
                <w:rFonts w:ascii="Times New Roman" w:eastAsia="Calibri" w:hAnsi="Times New Roman" w:cs="Times New Roman"/>
                <w:sz w:val="24"/>
                <w:szCs w:val="24"/>
              </w:rPr>
              <w:t>I</w:t>
            </w:r>
            <w:r w:rsidRPr="00414464">
              <w:rPr>
                <w:rFonts w:ascii="Times New Roman" w:eastAsia="Calibri" w:hAnsi="Times New Roman" w:cs="Times New Roman"/>
                <w:sz w:val="24"/>
                <w:szCs w:val="24"/>
              </w:rPr>
              <w:t>)</w:t>
            </w:r>
          </w:p>
        </w:tc>
        <w:tc>
          <w:tcPr>
            <w:tcW w:w="1440" w:type="dxa"/>
            <w:tcBorders>
              <w:top w:val="single" w:sz="4" w:space="0" w:color="auto"/>
              <w:left w:val="single" w:sz="4" w:space="0" w:color="auto"/>
              <w:bottom w:val="single" w:sz="4" w:space="0" w:color="auto"/>
              <w:right w:val="single" w:sz="4" w:space="0" w:color="auto"/>
            </w:tcBorders>
          </w:tcPr>
          <w:p w:rsidR="00D90AC4" w:rsidRPr="008050A7" w:rsidP="00D15A00" w14:paraId="632F797D" w14:textId="1EC4208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100</w:t>
            </w:r>
          </w:p>
        </w:tc>
        <w:tc>
          <w:tcPr>
            <w:tcW w:w="1975" w:type="dxa"/>
            <w:tcBorders>
              <w:top w:val="single" w:sz="4" w:space="0" w:color="auto"/>
              <w:left w:val="single" w:sz="4" w:space="0" w:color="auto"/>
              <w:bottom w:val="single" w:sz="4" w:space="0" w:color="auto"/>
              <w:right w:val="single" w:sz="4" w:space="0" w:color="auto"/>
            </w:tcBorders>
          </w:tcPr>
          <w:p w:rsidR="00D90AC4" w:rsidRPr="008050A7" w:rsidP="008050A7" w14:paraId="2F54AE37" w14:textId="65212665">
            <w:pPr>
              <w:spacing w:after="0" w:line="240" w:lineRule="auto"/>
              <w:ind w:left="-20" w:right="-23"/>
              <w:jc w:val="center"/>
              <w:rPr>
                <w:rFonts w:ascii="Times New Roman" w:eastAsia="Calibri" w:hAnsi="Times New Roman" w:cs="Times New Roman"/>
                <w:sz w:val="24"/>
                <w:szCs w:val="24"/>
              </w:rPr>
            </w:pPr>
            <w:r w:rsidRPr="008050A7">
              <w:rPr>
                <w:rFonts w:ascii="Times New Roman" w:eastAsia="Calibri" w:hAnsi="Times New Roman" w:cs="Times New Roman"/>
                <w:sz w:val="24"/>
                <w:szCs w:val="24"/>
              </w:rPr>
              <w:t>$</w:t>
            </w:r>
            <w:r w:rsidR="00DF3CFF">
              <w:rPr>
                <w:rFonts w:ascii="Times New Roman" w:eastAsia="Calibri" w:hAnsi="Times New Roman" w:cs="Times New Roman"/>
                <w:sz w:val="24"/>
                <w:szCs w:val="24"/>
              </w:rPr>
              <w:t>8,004.00</w:t>
            </w:r>
          </w:p>
        </w:tc>
      </w:tr>
      <w:tr w14:paraId="3E4824C0" w14:textId="77777777" w:rsidTr="008B651A">
        <w:tblPrEx>
          <w:tblW w:w="5000" w:type="pct"/>
          <w:tblLayout w:type="fixed"/>
          <w:tblLook w:val="04A0"/>
        </w:tblPrEx>
        <w:trPr>
          <w:trHeight w:val="404"/>
        </w:trPr>
        <w:tc>
          <w:tcPr>
            <w:tcW w:w="3505" w:type="dxa"/>
            <w:hideMark/>
          </w:tcPr>
          <w:p w:rsidR="00EE2BDD" w:rsidRPr="008050A7" w:rsidP="00EE2BDD" w14:paraId="05D52C33" w14:textId="77777777">
            <w:pPr>
              <w:rPr>
                <w:rFonts w:ascii="Times New Roman" w:eastAsia="Calibri" w:hAnsi="Times New Roman" w:cs="Times New Roman"/>
                <w:b/>
                <w:bCs/>
                <w:sz w:val="24"/>
                <w:szCs w:val="24"/>
              </w:rPr>
            </w:pPr>
            <w:r w:rsidRPr="008050A7">
              <w:rPr>
                <w:rFonts w:ascii="Times New Roman" w:eastAsia="Calibri" w:hAnsi="Times New Roman" w:cs="Times New Roman"/>
                <w:b/>
                <w:bCs/>
                <w:sz w:val="24"/>
                <w:szCs w:val="24"/>
              </w:rPr>
              <w:t>Total</w:t>
            </w:r>
          </w:p>
        </w:tc>
        <w:tc>
          <w:tcPr>
            <w:tcW w:w="2430" w:type="dxa"/>
            <w:tcBorders>
              <w:right w:val="single" w:sz="4" w:space="0" w:color="auto"/>
            </w:tcBorders>
            <w:hideMark/>
          </w:tcPr>
          <w:p w:rsidR="00EE2BDD" w:rsidRPr="008050A7" w:rsidP="00EE2BDD" w14:paraId="5E0D5BCB" w14:textId="77777777">
            <w:pPr>
              <w:rPr>
                <w:rFonts w:ascii="Times New Roman" w:eastAsia="Calibri" w:hAnsi="Times New Roman" w:cs="Times New Roman"/>
                <w:b/>
                <w:bCs/>
                <w:sz w:val="24"/>
                <w:szCs w:val="24"/>
              </w:rPr>
            </w:pPr>
            <w:r w:rsidRPr="008050A7">
              <w:rPr>
                <w:rFonts w:ascii="Times New Roman" w:eastAsia="Calibri" w:hAnsi="Times New Roman" w:cs="Times New Roman"/>
                <w:b/>
                <w:bCs/>
                <w:sz w:val="24"/>
                <w:szCs w:val="24"/>
              </w:rPr>
              <w:t> </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EE2BDD" w:rsidRPr="00D87A4C" w:rsidP="00EE2BDD" w14:paraId="41876E96" w14:textId="43CAEFD8">
            <w:pPr>
              <w:jc w:val="center"/>
              <w:rPr>
                <w:rFonts w:ascii="Times New Roman" w:eastAsia="Calibri" w:hAnsi="Times New Roman" w:cs="Times New Roman"/>
                <w:b/>
                <w:bCs/>
                <w:sz w:val="24"/>
                <w:szCs w:val="24"/>
              </w:rPr>
            </w:pPr>
            <w:r w:rsidRPr="008E633E">
              <w:rPr>
                <w:rFonts w:ascii="Times New Roman" w:hAnsi="Times New Roman" w:cs="Times New Roman"/>
                <w:b/>
                <w:bCs/>
                <w:color w:val="000000"/>
                <w:sz w:val="24"/>
                <w:szCs w:val="24"/>
              </w:rPr>
              <w:t>56,290</w:t>
            </w:r>
          </w:p>
        </w:tc>
        <w:tc>
          <w:tcPr>
            <w:tcW w:w="1975" w:type="dxa"/>
            <w:tcBorders>
              <w:top w:val="single" w:sz="4" w:space="0" w:color="auto"/>
              <w:left w:val="single" w:sz="4" w:space="0" w:color="auto"/>
              <w:bottom w:val="single" w:sz="4" w:space="0" w:color="auto"/>
              <w:right w:val="single" w:sz="4" w:space="0" w:color="auto"/>
            </w:tcBorders>
            <w:shd w:val="clear" w:color="auto" w:fill="auto"/>
            <w:hideMark/>
          </w:tcPr>
          <w:p w:rsidR="00EE2BDD" w:rsidRPr="00D87A4C" w:rsidP="008050A7" w14:paraId="03AA434B" w14:textId="16351C73">
            <w:pPr>
              <w:ind w:left="-20" w:right="-23"/>
              <w:jc w:val="center"/>
              <w:rPr>
                <w:rFonts w:ascii="Times New Roman" w:hAnsi="Times New Roman" w:cs="Times New Roman"/>
                <w:b/>
                <w:bCs/>
                <w:color w:val="000000"/>
                <w:sz w:val="24"/>
                <w:szCs w:val="24"/>
              </w:rPr>
            </w:pPr>
            <w:bookmarkStart w:id="83" w:name="_Hlk146913983"/>
            <w:r w:rsidRPr="00D87A4C">
              <w:rPr>
                <w:rFonts w:ascii="Times New Roman" w:hAnsi="Times New Roman" w:cs="Times New Roman"/>
                <w:b/>
                <w:bCs/>
                <w:color w:val="000000"/>
                <w:sz w:val="24"/>
                <w:szCs w:val="24"/>
              </w:rPr>
              <w:t>$</w:t>
            </w:r>
            <w:r w:rsidRPr="008E633E" w:rsidR="0095705D">
              <w:rPr>
                <w:rFonts w:ascii="Times New Roman" w:hAnsi="Times New Roman" w:cs="Times New Roman"/>
                <w:b/>
                <w:bCs/>
                <w:color w:val="000000"/>
                <w:sz w:val="24"/>
                <w:szCs w:val="24"/>
              </w:rPr>
              <w:t>4,192,572.16</w:t>
            </w:r>
            <w:bookmarkEnd w:id="83"/>
          </w:p>
        </w:tc>
      </w:tr>
      <w:bookmarkEnd w:id="81"/>
      <w:bookmarkEnd w:id="82"/>
    </w:tbl>
    <w:p w:rsidR="00D15A00" w:rsidP="00231FB0" w14:paraId="4408A04D" w14:textId="77777777">
      <w:pPr>
        <w:spacing w:after="0" w:line="240" w:lineRule="auto"/>
        <w:ind w:right="-20"/>
        <w:rPr>
          <w:rFonts w:ascii="Times New Roman" w:eastAsia="Times New Roman" w:hAnsi="Times New Roman" w:cs="Times New Roman"/>
          <w:position w:val="-1"/>
          <w:sz w:val="24"/>
          <w:szCs w:val="24"/>
        </w:rPr>
      </w:pPr>
    </w:p>
    <w:p w:rsidR="00D91479" w:rsidRPr="00396933" w:rsidP="00231FB0" w14:paraId="26316F6A" w14:textId="25297F62">
      <w:pPr>
        <w:spacing w:after="0" w:line="240" w:lineRule="auto"/>
        <w:ind w:right="-20"/>
        <w:rPr>
          <w:rFonts w:ascii="Times New Roman" w:eastAsia="Times New Roman" w:hAnsi="Times New Roman" w:cs="Times New Roman"/>
          <w:position w:val="-1"/>
          <w:sz w:val="24"/>
          <w:szCs w:val="24"/>
        </w:rPr>
      </w:pPr>
      <w:r w:rsidRPr="00805A00">
        <w:rPr>
          <w:rFonts w:ascii="Times New Roman" w:eastAsia="Times New Roman" w:hAnsi="Times New Roman" w:cs="Times New Roman"/>
          <w:position w:val="-1"/>
          <w:sz w:val="24"/>
          <w:szCs w:val="24"/>
        </w:rPr>
        <w:t xml:space="preserve">13. </w:t>
      </w:r>
      <w:r w:rsidRPr="00396933">
        <w:rPr>
          <w:rFonts w:ascii="Times New Roman" w:eastAsia="Times New Roman" w:hAnsi="Times New Roman" w:cs="Times New Roman"/>
          <w:position w:val="-1"/>
          <w:sz w:val="24"/>
          <w:szCs w:val="24"/>
        </w:rPr>
        <w:t xml:space="preserve"> </w:t>
      </w:r>
      <w:r w:rsidRPr="00431CFF">
        <w:rPr>
          <w:rFonts w:ascii="Times New Roman" w:eastAsia="Times New Roman" w:hAnsi="Times New Roman" w:cs="Times New Roman"/>
          <w:position w:val="-1"/>
          <w:sz w:val="24"/>
          <w:szCs w:val="24"/>
          <w:u w:val="single"/>
        </w:rPr>
        <w:t>Capital Costs</w:t>
      </w:r>
    </w:p>
    <w:p w:rsidR="00D91479" w:rsidRPr="00805A00" w:rsidP="00D91479" w14:paraId="518BFAAA" w14:textId="77777777">
      <w:pPr>
        <w:spacing w:before="6" w:after="0" w:line="260" w:lineRule="exact"/>
        <w:rPr>
          <w:sz w:val="26"/>
          <w:szCs w:val="26"/>
        </w:rPr>
      </w:pPr>
    </w:p>
    <w:p w:rsidR="00D91479" w:rsidP="00396933" w14:paraId="021C3EB4" w14:textId="3CD5BBB7">
      <w:pPr>
        <w:spacing w:after="0" w:line="240" w:lineRule="auto"/>
        <w:rPr>
          <w:rFonts w:ascii="Times New Roman" w:eastAsia="Times New Roman" w:hAnsi="Times New Roman" w:cs="Times New Roman"/>
          <w:sz w:val="24"/>
          <w:szCs w:val="24"/>
        </w:rPr>
      </w:pPr>
      <w:r w:rsidRPr="00805A00">
        <w:rPr>
          <w:rFonts w:ascii="Times New Roman" w:eastAsia="Times New Roman" w:hAnsi="Times New Roman" w:cs="Times New Roman"/>
          <w:sz w:val="24"/>
          <w:szCs w:val="24"/>
        </w:rPr>
        <w:t>Th</w:t>
      </w:r>
      <w:r w:rsidRPr="00396933">
        <w:rPr>
          <w:rFonts w:ascii="Times New Roman" w:eastAsia="Times New Roman" w:hAnsi="Times New Roman" w:cs="Times New Roman"/>
          <w:sz w:val="24"/>
          <w:szCs w:val="24"/>
        </w:rPr>
        <w:t>er</w:t>
      </w:r>
      <w:r w:rsidRPr="00805A00">
        <w:rPr>
          <w:rFonts w:ascii="Times New Roman" w:eastAsia="Times New Roman" w:hAnsi="Times New Roman" w:cs="Times New Roman"/>
          <w:sz w:val="24"/>
          <w:szCs w:val="24"/>
        </w:rPr>
        <w:t>e</w:t>
      </w:r>
      <w:r w:rsidRPr="00396933">
        <w:rPr>
          <w:rFonts w:ascii="Times New Roman" w:eastAsia="Times New Roman" w:hAnsi="Times New Roman" w:cs="Times New Roman"/>
          <w:sz w:val="24"/>
          <w:szCs w:val="24"/>
        </w:rPr>
        <w:t xml:space="preserve"> ar</w:t>
      </w:r>
      <w:r w:rsidRPr="00805A00">
        <w:rPr>
          <w:rFonts w:ascii="Times New Roman" w:eastAsia="Times New Roman" w:hAnsi="Times New Roman" w:cs="Times New Roman"/>
          <w:sz w:val="24"/>
          <w:szCs w:val="24"/>
        </w:rPr>
        <w:t>e</w:t>
      </w:r>
      <w:r w:rsidRPr="00396933">
        <w:rPr>
          <w:rFonts w:ascii="Times New Roman" w:eastAsia="Times New Roman" w:hAnsi="Times New Roman" w:cs="Times New Roman"/>
          <w:sz w:val="24"/>
          <w:szCs w:val="24"/>
        </w:rPr>
        <w:t xml:space="preserve"> </w:t>
      </w:r>
      <w:r w:rsidRPr="00805A00">
        <w:rPr>
          <w:rFonts w:ascii="Times New Roman" w:eastAsia="Times New Roman" w:hAnsi="Times New Roman" w:cs="Times New Roman"/>
          <w:sz w:val="24"/>
          <w:szCs w:val="24"/>
        </w:rPr>
        <w:t xml:space="preserve">no </w:t>
      </w:r>
      <w:r w:rsidRPr="00396933">
        <w:rPr>
          <w:rFonts w:ascii="Times New Roman" w:eastAsia="Times New Roman" w:hAnsi="Times New Roman" w:cs="Times New Roman"/>
          <w:sz w:val="24"/>
          <w:szCs w:val="24"/>
        </w:rPr>
        <w:t>a</w:t>
      </w:r>
      <w:r w:rsidRPr="00805A00">
        <w:rPr>
          <w:rFonts w:ascii="Times New Roman" w:eastAsia="Times New Roman" w:hAnsi="Times New Roman" w:cs="Times New Roman"/>
          <w:sz w:val="24"/>
          <w:szCs w:val="24"/>
        </w:rPr>
        <w:t>nti</w:t>
      </w:r>
      <w:r w:rsidRPr="00396933">
        <w:rPr>
          <w:rFonts w:ascii="Times New Roman" w:eastAsia="Times New Roman" w:hAnsi="Times New Roman" w:cs="Times New Roman"/>
          <w:sz w:val="24"/>
          <w:szCs w:val="24"/>
        </w:rPr>
        <w:t>c</w:t>
      </w:r>
      <w:r w:rsidRPr="00805A00">
        <w:rPr>
          <w:rFonts w:ascii="Times New Roman" w:eastAsia="Times New Roman" w:hAnsi="Times New Roman" w:cs="Times New Roman"/>
          <w:sz w:val="24"/>
          <w:szCs w:val="24"/>
        </w:rPr>
        <w:t>ip</w:t>
      </w:r>
      <w:r w:rsidRPr="00396933">
        <w:rPr>
          <w:rFonts w:ascii="Times New Roman" w:eastAsia="Times New Roman" w:hAnsi="Times New Roman" w:cs="Times New Roman"/>
          <w:sz w:val="24"/>
          <w:szCs w:val="24"/>
        </w:rPr>
        <w:t>a</w:t>
      </w:r>
      <w:r w:rsidRPr="00805A00">
        <w:rPr>
          <w:rFonts w:ascii="Times New Roman" w:eastAsia="Times New Roman" w:hAnsi="Times New Roman" w:cs="Times New Roman"/>
          <w:sz w:val="24"/>
          <w:szCs w:val="24"/>
        </w:rPr>
        <w:t>t</w:t>
      </w:r>
      <w:r w:rsidRPr="00396933">
        <w:rPr>
          <w:rFonts w:ascii="Times New Roman" w:eastAsia="Times New Roman" w:hAnsi="Times New Roman" w:cs="Times New Roman"/>
          <w:sz w:val="24"/>
          <w:szCs w:val="24"/>
        </w:rPr>
        <w:t>e</w:t>
      </w:r>
      <w:r w:rsidRPr="00805A00">
        <w:rPr>
          <w:rFonts w:ascii="Times New Roman" w:eastAsia="Times New Roman" w:hAnsi="Times New Roman" w:cs="Times New Roman"/>
          <w:sz w:val="24"/>
          <w:szCs w:val="24"/>
        </w:rPr>
        <w:t xml:space="preserve">d </w:t>
      </w:r>
      <w:r w:rsidRPr="00396933">
        <w:rPr>
          <w:rFonts w:ascii="Times New Roman" w:eastAsia="Times New Roman" w:hAnsi="Times New Roman" w:cs="Times New Roman"/>
          <w:sz w:val="24"/>
          <w:szCs w:val="24"/>
        </w:rPr>
        <w:t>ca</w:t>
      </w:r>
      <w:r w:rsidRPr="00805A00">
        <w:rPr>
          <w:rFonts w:ascii="Times New Roman" w:eastAsia="Times New Roman" w:hAnsi="Times New Roman" w:cs="Times New Roman"/>
          <w:sz w:val="24"/>
          <w:szCs w:val="24"/>
        </w:rPr>
        <w:t>pit</w:t>
      </w:r>
      <w:r w:rsidRPr="00396933">
        <w:rPr>
          <w:rFonts w:ascii="Times New Roman" w:eastAsia="Times New Roman" w:hAnsi="Times New Roman" w:cs="Times New Roman"/>
          <w:sz w:val="24"/>
          <w:szCs w:val="24"/>
        </w:rPr>
        <w:t>a</w:t>
      </w:r>
      <w:r w:rsidRPr="00805A00">
        <w:rPr>
          <w:rFonts w:ascii="Times New Roman" w:eastAsia="Times New Roman" w:hAnsi="Times New Roman" w:cs="Times New Roman"/>
          <w:sz w:val="24"/>
          <w:szCs w:val="24"/>
        </w:rPr>
        <w:t xml:space="preserve">l </w:t>
      </w:r>
      <w:r w:rsidRPr="00396933">
        <w:rPr>
          <w:rFonts w:ascii="Times New Roman" w:eastAsia="Times New Roman" w:hAnsi="Times New Roman" w:cs="Times New Roman"/>
          <w:sz w:val="24"/>
          <w:szCs w:val="24"/>
        </w:rPr>
        <w:t>c</w:t>
      </w:r>
      <w:r w:rsidRPr="00805A00">
        <w:rPr>
          <w:rFonts w:ascii="Times New Roman" w:eastAsia="Times New Roman" w:hAnsi="Times New Roman" w:cs="Times New Roman"/>
          <w:sz w:val="24"/>
          <w:szCs w:val="24"/>
        </w:rPr>
        <w:t xml:space="preserve">osts </w:t>
      </w:r>
      <w:r w:rsidRPr="00396933">
        <w:rPr>
          <w:rFonts w:ascii="Times New Roman" w:eastAsia="Times New Roman" w:hAnsi="Times New Roman" w:cs="Times New Roman"/>
          <w:sz w:val="24"/>
          <w:szCs w:val="24"/>
        </w:rPr>
        <w:t>a</w:t>
      </w:r>
      <w:r w:rsidRPr="00805A00">
        <w:rPr>
          <w:rFonts w:ascii="Times New Roman" w:eastAsia="Times New Roman" w:hAnsi="Times New Roman" w:cs="Times New Roman"/>
          <w:sz w:val="24"/>
          <w:szCs w:val="24"/>
        </w:rPr>
        <w:t>sso</w:t>
      </w:r>
      <w:r w:rsidRPr="00396933">
        <w:rPr>
          <w:rFonts w:ascii="Times New Roman" w:eastAsia="Times New Roman" w:hAnsi="Times New Roman" w:cs="Times New Roman"/>
          <w:sz w:val="24"/>
          <w:szCs w:val="24"/>
        </w:rPr>
        <w:t>c</w:t>
      </w:r>
      <w:r w:rsidRPr="00805A00">
        <w:rPr>
          <w:rFonts w:ascii="Times New Roman" w:eastAsia="Times New Roman" w:hAnsi="Times New Roman" w:cs="Times New Roman"/>
          <w:sz w:val="24"/>
          <w:szCs w:val="24"/>
        </w:rPr>
        <w:t>i</w:t>
      </w:r>
      <w:r w:rsidRPr="00396933">
        <w:rPr>
          <w:rFonts w:ascii="Times New Roman" w:eastAsia="Times New Roman" w:hAnsi="Times New Roman" w:cs="Times New Roman"/>
          <w:sz w:val="24"/>
          <w:szCs w:val="24"/>
        </w:rPr>
        <w:t>a</w:t>
      </w:r>
      <w:r w:rsidRPr="00805A00">
        <w:rPr>
          <w:rFonts w:ascii="Times New Roman" w:eastAsia="Times New Roman" w:hAnsi="Times New Roman" w:cs="Times New Roman"/>
          <w:sz w:val="24"/>
          <w:szCs w:val="24"/>
        </w:rPr>
        <w:t>t</w:t>
      </w:r>
      <w:r w:rsidRPr="00396933">
        <w:rPr>
          <w:rFonts w:ascii="Times New Roman" w:eastAsia="Times New Roman" w:hAnsi="Times New Roman" w:cs="Times New Roman"/>
          <w:sz w:val="24"/>
          <w:szCs w:val="24"/>
        </w:rPr>
        <w:t>e</w:t>
      </w:r>
      <w:r w:rsidRPr="00805A00">
        <w:rPr>
          <w:rFonts w:ascii="Times New Roman" w:eastAsia="Times New Roman" w:hAnsi="Times New Roman" w:cs="Times New Roman"/>
          <w:sz w:val="24"/>
          <w:szCs w:val="24"/>
        </w:rPr>
        <w:t xml:space="preserve">d with </w:t>
      </w:r>
      <w:r w:rsidRPr="00805A00" w:rsidR="00AB35CD">
        <w:rPr>
          <w:rFonts w:ascii="Times New Roman" w:eastAsia="Times New Roman" w:hAnsi="Times New Roman" w:cs="Times New Roman"/>
          <w:sz w:val="24"/>
          <w:szCs w:val="24"/>
        </w:rPr>
        <w:t>this</w:t>
      </w:r>
      <w:r w:rsidRPr="00396933" w:rsidR="00AB35CD">
        <w:rPr>
          <w:rFonts w:ascii="Times New Roman" w:eastAsia="Times New Roman" w:hAnsi="Times New Roman" w:cs="Times New Roman"/>
          <w:sz w:val="24"/>
          <w:szCs w:val="24"/>
        </w:rPr>
        <w:t xml:space="preserve"> </w:t>
      </w:r>
      <w:r w:rsidRPr="00805A00">
        <w:rPr>
          <w:rFonts w:ascii="Times New Roman" w:eastAsia="Times New Roman" w:hAnsi="Times New Roman" w:cs="Times New Roman"/>
          <w:sz w:val="24"/>
          <w:szCs w:val="24"/>
        </w:rPr>
        <w:t>in</w:t>
      </w:r>
      <w:r w:rsidRPr="00396933">
        <w:rPr>
          <w:rFonts w:ascii="Times New Roman" w:eastAsia="Times New Roman" w:hAnsi="Times New Roman" w:cs="Times New Roman"/>
          <w:sz w:val="24"/>
          <w:szCs w:val="24"/>
        </w:rPr>
        <w:t>f</w:t>
      </w:r>
      <w:r w:rsidRPr="00805A00">
        <w:rPr>
          <w:rFonts w:ascii="Times New Roman" w:eastAsia="Times New Roman" w:hAnsi="Times New Roman" w:cs="Times New Roman"/>
          <w:sz w:val="24"/>
          <w:szCs w:val="24"/>
        </w:rPr>
        <w:t>o</w:t>
      </w:r>
      <w:r w:rsidRPr="00396933">
        <w:rPr>
          <w:rFonts w:ascii="Times New Roman" w:eastAsia="Times New Roman" w:hAnsi="Times New Roman" w:cs="Times New Roman"/>
          <w:sz w:val="24"/>
          <w:szCs w:val="24"/>
        </w:rPr>
        <w:t>r</w:t>
      </w:r>
      <w:r w:rsidRPr="00805A00">
        <w:rPr>
          <w:rFonts w:ascii="Times New Roman" w:eastAsia="Times New Roman" w:hAnsi="Times New Roman" w:cs="Times New Roman"/>
          <w:sz w:val="24"/>
          <w:szCs w:val="24"/>
        </w:rPr>
        <w:t>m</w:t>
      </w:r>
      <w:r w:rsidRPr="00396933">
        <w:rPr>
          <w:rFonts w:ascii="Times New Roman" w:eastAsia="Times New Roman" w:hAnsi="Times New Roman" w:cs="Times New Roman"/>
          <w:sz w:val="24"/>
          <w:szCs w:val="24"/>
        </w:rPr>
        <w:t>a</w:t>
      </w:r>
      <w:r w:rsidRPr="00805A00">
        <w:rPr>
          <w:rFonts w:ascii="Times New Roman" w:eastAsia="Times New Roman" w:hAnsi="Times New Roman" w:cs="Times New Roman"/>
          <w:sz w:val="24"/>
          <w:szCs w:val="24"/>
        </w:rPr>
        <w:t xml:space="preserve">tion </w:t>
      </w:r>
      <w:r w:rsidRPr="00396933">
        <w:rPr>
          <w:rFonts w:ascii="Times New Roman" w:eastAsia="Times New Roman" w:hAnsi="Times New Roman" w:cs="Times New Roman"/>
          <w:sz w:val="24"/>
          <w:szCs w:val="24"/>
        </w:rPr>
        <w:t>c</w:t>
      </w:r>
      <w:r w:rsidRPr="00805A00">
        <w:rPr>
          <w:rFonts w:ascii="Times New Roman" w:eastAsia="Times New Roman" w:hAnsi="Times New Roman" w:cs="Times New Roman"/>
          <w:sz w:val="24"/>
          <w:szCs w:val="24"/>
        </w:rPr>
        <w:t>oll</w:t>
      </w:r>
      <w:r w:rsidRPr="00396933">
        <w:rPr>
          <w:rFonts w:ascii="Times New Roman" w:eastAsia="Times New Roman" w:hAnsi="Times New Roman" w:cs="Times New Roman"/>
          <w:sz w:val="24"/>
          <w:szCs w:val="24"/>
        </w:rPr>
        <w:t>ec</w:t>
      </w:r>
      <w:r w:rsidRPr="00805A00">
        <w:rPr>
          <w:rFonts w:ascii="Times New Roman" w:eastAsia="Times New Roman" w:hAnsi="Times New Roman" w:cs="Times New Roman"/>
          <w:sz w:val="24"/>
          <w:szCs w:val="24"/>
        </w:rPr>
        <w:t>tion.</w:t>
      </w:r>
    </w:p>
    <w:p w:rsidR="00D91479" w:rsidRPr="00805A00" w:rsidP="00D91479" w14:paraId="109E24EF" w14:textId="77777777">
      <w:pPr>
        <w:spacing w:before="10" w:after="0" w:line="280" w:lineRule="exact"/>
        <w:rPr>
          <w:sz w:val="28"/>
          <w:szCs w:val="28"/>
        </w:rPr>
      </w:pPr>
    </w:p>
    <w:p w:rsidR="00D91479" w:rsidRPr="00805A00" w:rsidP="00231FB0" w14:paraId="1DFB9861" w14:textId="77777777">
      <w:pPr>
        <w:spacing w:after="0" w:line="240" w:lineRule="auto"/>
        <w:ind w:right="-20"/>
        <w:rPr>
          <w:rFonts w:ascii="Times New Roman" w:eastAsia="Times New Roman" w:hAnsi="Times New Roman" w:cs="Times New Roman"/>
          <w:sz w:val="24"/>
          <w:szCs w:val="24"/>
        </w:rPr>
      </w:pPr>
      <w:r w:rsidRPr="00805A00">
        <w:rPr>
          <w:rFonts w:ascii="Times New Roman" w:eastAsia="Times New Roman" w:hAnsi="Times New Roman" w:cs="Times New Roman"/>
          <w:sz w:val="24"/>
          <w:szCs w:val="24"/>
        </w:rPr>
        <w:t xml:space="preserve">14. </w:t>
      </w:r>
      <w:r w:rsidRPr="00396933">
        <w:rPr>
          <w:rFonts w:ascii="Times New Roman" w:eastAsia="Times New Roman" w:hAnsi="Times New Roman" w:cs="Times New Roman"/>
          <w:sz w:val="24"/>
          <w:szCs w:val="24"/>
        </w:rPr>
        <w:t xml:space="preserve"> </w:t>
      </w:r>
      <w:r w:rsidRPr="00431CFF">
        <w:rPr>
          <w:rFonts w:ascii="Times New Roman" w:eastAsia="Times New Roman" w:hAnsi="Times New Roman" w:cs="Times New Roman"/>
          <w:sz w:val="24"/>
          <w:szCs w:val="24"/>
          <w:u w:val="single"/>
        </w:rPr>
        <w:t>Cost to Federal Government</w:t>
      </w:r>
    </w:p>
    <w:p w:rsidR="00D91479" w:rsidRPr="00805A00" w:rsidP="00D91479" w14:paraId="58118A84" w14:textId="77777777">
      <w:pPr>
        <w:spacing w:before="10" w:after="0" w:line="280" w:lineRule="exact"/>
        <w:rPr>
          <w:sz w:val="28"/>
          <w:szCs w:val="28"/>
        </w:rPr>
      </w:pPr>
    </w:p>
    <w:p w:rsidR="00D91479" w:rsidRPr="00396933" w:rsidP="00396933" w14:paraId="6047A9BD" w14:textId="38C06DBF">
      <w:pPr>
        <w:spacing w:after="0" w:line="240" w:lineRule="auto"/>
        <w:rPr>
          <w:rFonts w:ascii="Times New Roman" w:eastAsia="Times New Roman" w:hAnsi="Times New Roman" w:cs="Times New Roman"/>
          <w:sz w:val="24"/>
          <w:szCs w:val="24"/>
        </w:rPr>
      </w:pPr>
      <w:r w:rsidRPr="00805A00">
        <w:rPr>
          <w:rFonts w:ascii="Times New Roman" w:eastAsia="Times New Roman" w:hAnsi="Times New Roman" w:cs="Times New Roman"/>
          <w:sz w:val="24"/>
          <w:szCs w:val="24"/>
        </w:rPr>
        <w:t>The</w:t>
      </w:r>
      <w:r w:rsidRPr="00396933">
        <w:rPr>
          <w:rFonts w:ascii="Times New Roman" w:eastAsia="Times New Roman" w:hAnsi="Times New Roman" w:cs="Times New Roman"/>
          <w:sz w:val="24"/>
          <w:szCs w:val="24"/>
        </w:rPr>
        <w:t xml:space="preserve"> </w:t>
      </w:r>
      <w:r w:rsidRPr="00805A00">
        <w:rPr>
          <w:rFonts w:ascii="Times New Roman" w:eastAsia="Times New Roman" w:hAnsi="Times New Roman" w:cs="Times New Roman"/>
          <w:sz w:val="24"/>
          <w:szCs w:val="24"/>
        </w:rPr>
        <w:t>bu</w:t>
      </w:r>
      <w:r w:rsidRPr="00396933">
        <w:rPr>
          <w:rFonts w:ascii="Times New Roman" w:eastAsia="Times New Roman" w:hAnsi="Times New Roman" w:cs="Times New Roman"/>
          <w:sz w:val="24"/>
          <w:szCs w:val="24"/>
        </w:rPr>
        <w:t>r</w:t>
      </w:r>
      <w:r w:rsidRPr="00805A00">
        <w:rPr>
          <w:rFonts w:ascii="Times New Roman" w:eastAsia="Times New Roman" w:hAnsi="Times New Roman" w:cs="Times New Roman"/>
          <w:sz w:val="24"/>
          <w:szCs w:val="24"/>
        </w:rPr>
        <w:t>d</w:t>
      </w:r>
      <w:r w:rsidRPr="00396933">
        <w:rPr>
          <w:rFonts w:ascii="Times New Roman" w:eastAsia="Times New Roman" w:hAnsi="Times New Roman" w:cs="Times New Roman"/>
          <w:sz w:val="24"/>
          <w:szCs w:val="24"/>
        </w:rPr>
        <w:t>e</w:t>
      </w:r>
      <w:r w:rsidRPr="00805A00">
        <w:rPr>
          <w:rFonts w:ascii="Times New Roman" w:eastAsia="Times New Roman" w:hAnsi="Times New Roman" w:cs="Times New Roman"/>
          <w:sz w:val="24"/>
          <w:szCs w:val="24"/>
        </w:rPr>
        <w:t>n to the</w:t>
      </w:r>
      <w:r w:rsidRPr="00396933">
        <w:rPr>
          <w:rFonts w:ascii="Times New Roman" w:eastAsia="Times New Roman" w:hAnsi="Times New Roman" w:cs="Times New Roman"/>
          <w:sz w:val="24"/>
          <w:szCs w:val="24"/>
        </w:rPr>
        <w:t xml:space="preserve"> Fe</w:t>
      </w:r>
      <w:r w:rsidRPr="00805A00">
        <w:rPr>
          <w:rFonts w:ascii="Times New Roman" w:eastAsia="Times New Roman" w:hAnsi="Times New Roman" w:cs="Times New Roman"/>
          <w:sz w:val="24"/>
          <w:szCs w:val="24"/>
        </w:rPr>
        <w:t>d</w:t>
      </w:r>
      <w:r w:rsidRPr="00396933">
        <w:rPr>
          <w:rFonts w:ascii="Times New Roman" w:eastAsia="Times New Roman" w:hAnsi="Times New Roman" w:cs="Times New Roman"/>
          <w:sz w:val="24"/>
          <w:szCs w:val="24"/>
        </w:rPr>
        <w:t>era</w:t>
      </w:r>
      <w:r w:rsidRPr="00805A00">
        <w:rPr>
          <w:rFonts w:ascii="Times New Roman" w:eastAsia="Times New Roman" w:hAnsi="Times New Roman" w:cs="Times New Roman"/>
          <w:sz w:val="24"/>
          <w:szCs w:val="24"/>
        </w:rPr>
        <w:t xml:space="preserve">l </w:t>
      </w:r>
      <w:r w:rsidRPr="00396933">
        <w:rPr>
          <w:rFonts w:ascii="Times New Roman" w:eastAsia="Times New Roman" w:hAnsi="Times New Roman" w:cs="Times New Roman"/>
          <w:sz w:val="24"/>
          <w:szCs w:val="24"/>
        </w:rPr>
        <w:t>g</w:t>
      </w:r>
      <w:r w:rsidRPr="00805A00">
        <w:rPr>
          <w:rFonts w:ascii="Times New Roman" w:eastAsia="Times New Roman" w:hAnsi="Times New Roman" w:cs="Times New Roman"/>
          <w:sz w:val="24"/>
          <w:szCs w:val="24"/>
        </w:rPr>
        <w:t>ov</w:t>
      </w:r>
      <w:r w:rsidRPr="00396933">
        <w:rPr>
          <w:rFonts w:ascii="Times New Roman" w:eastAsia="Times New Roman" w:hAnsi="Times New Roman" w:cs="Times New Roman"/>
          <w:sz w:val="24"/>
          <w:szCs w:val="24"/>
        </w:rPr>
        <w:t>er</w:t>
      </w:r>
      <w:r w:rsidRPr="00805A00">
        <w:rPr>
          <w:rFonts w:ascii="Times New Roman" w:eastAsia="Times New Roman" w:hAnsi="Times New Roman" w:cs="Times New Roman"/>
          <w:sz w:val="24"/>
          <w:szCs w:val="24"/>
        </w:rPr>
        <w:t>nm</w:t>
      </w:r>
      <w:r w:rsidRPr="00396933">
        <w:rPr>
          <w:rFonts w:ascii="Times New Roman" w:eastAsia="Times New Roman" w:hAnsi="Times New Roman" w:cs="Times New Roman"/>
          <w:sz w:val="24"/>
          <w:szCs w:val="24"/>
        </w:rPr>
        <w:t>e</w:t>
      </w:r>
      <w:r w:rsidRPr="00805A00">
        <w:rPr>
          <w:rFonts w:ascii="Times New Roman" w:eastAsia="Times New Roman" w:hAnsi="Times New Roman" w:cs="Times New Roman"/>
          <w:sz w:val="24"/>
          <w:szCs w:val="24"/>
        </w:rPr>
        <w:t xml:space="preserve">nt </w:t>
      </w:r>
      <w:r w:rsidRPr="00396933">
        <w:rPr>
          <w:rFonts w:ascii="Times New Roman" w:eastAsia="Times New Roman" w:hAnsi="Times New Roman" w:cs="Times New Roman"/>
          <w:sz w:val="24"/>
          <w:szCs w:val="24"/>
        </w:rPr>
        <w:t>f</w:t>
      </w:r>
      <w:r w:rsidRPr="00805A00">
        <w:rPr>
          <w:rFonts w:ascii="Times New Roman" w:eastAsia="Times New Roman" w:hAnsi="Times New Roman" w:cs="Times New Roman"/>
          <w:sz w:val="24"/>
          <w:szCs w:val="24"/>
        </w:rPr>
        <w:t>or</w:t>
      </w:r>
      <w:r w:rsidRPr="00396933">
        <w:rPr>
          <w:rFonts w:ascii="Times New Roman" w:eastAsia="Times New Roman" w:hAnsi="Times New Roman" w:cs="Times New Roman"/>
          <w:sz w:val="24"/>
          <w:szCs w:val="24"/>
        </w:rPr>
        <w:t xml:space="preserve"> </w:t>
      </w:r>
      <w:r w:rsidRPr="00396933" w:rsidR="00197ED3">
        <w:rPr>
          <w:rFonts w:ascii="Times New Roman" w:eastAsia="Times New Roman" w:hAnsi="Times New Roman" w:cs="Times New Roman"/>
          <w:sz w:val="24"/>
          <w:szCs w:val="24"/>
        </w:rPr>
        <w:t xml:space="preserve">continuing </w:t>
      </w:r>
      <w:r w:rsidRPr="00805A00">
        <w:rPr>
          <w:rFonts w:ascii="Times New Roman" w:eastAsia="Times New Roman" w:hAnsi="Times New Roman" w:cs="Times New Roman"/>
          <w:sz w:val="24"/>
          <w:szCs w:val="24"/>
        </w:rPr>
        <w:t>the</w:t>
      </w:r>
      <w:r w:rsidRPr="00396933">
        <w:rPr>
          <w:rFonts w:ascii="Times New Roman" w:eastAsia="Times New Roman" w:hAnsi="Times New Roman" w:cs="Times New Roman"/>
          <w:sz w:val="24"/>
          <w:szCs w:val="24"/>
        </w:rPr>
        <w:t xml:space="preserve"> </w:t>
      </w:r>
      <w:r w:rsidRPr="00396933" w:rsidR="00197ED3">
        <w:rPr>
          <w:rFonts w:ascii="Times New Roman" w:eastAsia="Times New Roman" w:hAnsi="Times New Roman" w:cs="Times New Roman"/>
          <w:sz w:val="24"/>
          <w:szCs w:val="24"/>
        </w:rPr>
        <w:t xml:space="preserve">established </w:t>
      </w:r>
      <w:r w:rsidRPr="00805A00">
        <w:rPr>
          <w:rFonts w:ascii="Times New Roman" w:eastAsia="Times New Roman" w:hAnsi="Times New Roman" w:cs="Times New Roman"/>
          <w:sz w:val="24"/>
          <w:szCs w:val="24"/>
        </w:rPr>
        <w:t>s</w:t>
      </w:r>
      <w:r w:rsidRPr="00396933">
        <w:rPr>
          <w:rFonts w:ascii="Times New Roman" w:eastAsia="Times New Roman" w:hAnsi="Times New Roman" w:cs="Times New Roman"/>
          <w:sz w:val="24"/>
          <w:szCs w:val="24"/>
        </w:rPr>
        <w:t>y</w:t>
      </w:r>
      <w:r w:rsidRPr="00805A00">
        <w:rPr>
          <w:rFonts w:ascii="Times New Roman" w:eastAsia="Times New Roman" w:hAnsi="Times New Roman" w:cs="Times New Roman"/>
          <w:sz w:val="24"/>
          <w:szCs w:val="24"/>
        </w:rPr>
        <w:t>st</w:t>
      </w:r>
      <w:r w:rsidRPr="00396933">
        <w:rPr>
          <w:rFonts w:ascii="Times New Roman" w:eastAsia="Times New Roman" w:hAnsi="Times New Roman" w:cs="Times New Roman"/>
          <w:sz w:val="24"/>
          <w:szCs w:val="24"/>
        </w:rPr>
        <w:t>e</w:t>
      </w:r>
      <w:r w:rsidRPr="00805A00">
        <w:rPr>
          <w:rFonts w:ascii="Times New Roman" w:eastAsia="Times New Roman" w:hAnsi="Times New Roman" w:cs="Times New Roman"/>
          <w:sz w:val="24"/>
          <w:szCs w:val="24"/>
        </w:rPr>
        <w:t xml:space="preserve">ms </w:t>
      </w:r>
      <w:r w:rsidRPr="00396933">
        <w:rPr>
          <w:rFonts w:ascii="Times New Roman" w:eastAsia="Times New Roman" w:hAnsi="Times New Roman" w:cs="Times New Roman"/>
          <w:sz w:val="24"/>
          <w:szCs w:val="24"/>
        </w:rPr>
        <w:t>a</w:t>
      </w:r>
      <w:r w:rsidRPr="00805A00">
        <w:rPr>
          <w:rFonts w:ascii="Times New Roman" w:eastAsia="Times New Roman" w:hAnsi="Times New Roman" w:cs="Times New Roman"/>
          <w:sz w:val="24"/>
          <w:szCs w:val="24"/>
        </w:rPr>
        <w:t>nd poli</w:t>
      </w:r>
      <w:r w:rsidRPr="00396933">
        <w:rPr>
          <w:rFonts w:ascii="Times New Roman" w:eastAsia="Times New Roman" w:hAnsi="Times New Roman" w:cs="Times New Roman"/>
          <w:sz w:val="24"/>
          <w:szCs w:val="24"/>
        </w:rPr>
        <w:t>c</w:t>
      </w:r>
      <w:r w:rsidRPr="00805A00">
        <w:rPr>
          <w:rFonts w:ascii="Times New Roman" w:eastAsia="Times New Roman" w:hAnsi="Times New Roman" w:cs="Times New Roman"/>
          <w:sz w:val="24"/>
          <w:szCs w:val="24"/>
        </w:rPr>
        <w:t>i</w:t>
      </w:r>
      <w:r w:rsidRPr="00396933">
        <w:rPr>
          <w:rFonts w:ascii="Times New Roman" w:eastAsia="Times New Roman" w:hAnsi="Times New Roman" w:cs="Times New Roman"/>
          <w:sz w:val="24"/>
          <w:szCs w:val="24"/>
        </w:rPr>
        <w:t>e</w:t>
      </w:r>
      <w:r w:rsidRPr="00805A00">
        <w:rPr>
          <w:rFonts w:ascii="Times New Roman" w:eastAsia="Times New Roman" w:hAnsi="Times New Roman" w:cs="Times New Roman"/>
          <w:sz w:val="24"/>
          <w:szCs w:val="24"/>
        </w:rPr>
        <w:t xml:space="preserve">s </w:t>
      </w:r>
      <w:r w:rsidRPr="00396933">
        <w:rPr>
          <w:rFonts w:ascii="Times New Roman" w:eastAsia="Times New Roman" w:hAnsi="Times New Roman" w:cs="Times New Roman"/>
          <w:sz w:val="24"/>
          <w:szCs w:val="24"/>
        </w:rPr>
        <w:t>a</w:t>
      </w:r>
      <w:r w:rsidRPr="00805A00">
        <w:rPr>
          <w:rFonts w:ascii="Times New Roman" w:eastAsia="Times New Roman" w:hAnsi="Times New Roman" w:cs="Times New Roman"/>
          <w:sz w:val="24"/>
          <w:szCs w:val="24"/>
        </w:rPr>
        <w:t>sso</w:t>
      </w:r>
      <w:r w:rsidRPr="00396933">
        <w:rPr>
          <w:rFonts w:ascii="Times New Roman" w:eastAsia="Times New Roman" w:hAnsi="Times New Roman" w:cs="Times New Roman"/>
          <w:sz w:val="24"/>
          <w:szCs w:val="24"/>
        </w:rPr>
        <w:t>c</w:t>
      </w:r>
      <w:r w:rsidRPr="00805A00">
        <w:rPr>
          <w:rFonts w:ascii="Times New Roman" w:eastAsia="Times New Roman" w:hAnsi="Times New Roman" w:cs="Times New Roman"/>
          <w:sz w:val="24"/>
          <w:szCs w:val="24"/>
        </w:rPr>
        <w:t>i</w:t>
      </w:r>
      <w:r w:rsidRPr="00396933">
        <w:rPr>
          <w:rFonts w:ascii="Times New Roman" w:eastAsia="Times New Roman" w:hAnsi="Times New Roman" w:cs="Times New Roman"/>
          <w:sz w:val="24"/>
          <w:szCs w:val="24"/>
        </w:rPr>
        <w:t>a</w:t>
      </w:r>
      <w:r w:rsidRPr="00805A00">
        <w:rPr>
          <w:rFonts w:ascii="Times New Roman" w:eastAsia="Times New Roman" w:hAnsi="Times New Roman" w:cs="Times New Roman"/>
          <w:sz w:val="24"/>
          <w:szCs w:val="24"/>
        </w:rPr>
        <w:t>t</w:t>
      </w:r>
      <w:r w:rsidRPr="00396933">
        <w:rPr>
          <w:rFonts w:ascii="Times New Roman" w:eastAsia="Times New Roman" w:hAnsi="Times New Roman" w:cs="Times New Roman"/>
          <w:sz w:val="24"/>
          <w:szCs w:val="24"/>
        </w:rPr>
        <w:t>e</w:t>
      </w:r>
      <w:r w:rsidRPr="00805A00">
        <w:rPr>
          <w:rFonts w:ascii="Times New Roman" w:eastAsia="Times New Roman" w:hAnsi="Times New Roman" w:cs="Times New Roman"/>
          <w:sz w:val="24"/>
          <w:szCs w:val="24"/>
        </w:rPr>
        <w:t>d with this in</w:t>
      </w:r>
      <w:r w:rsidRPr="00396933">
        <w:rPr>
          <w:rFonts w:ascii="Times New Roman" w:eastAsia="Times New Roman" w:hAnsi="Times New Roman" w:cs="Times New Roman"/>
          <w:sz w:val="24"/>
          <w:szCs w:val="24"/>
        </w:rPr>
        <w:t>f</w:t>
      </w:r>
      <w:r w:rsidRPr="00805A00">
        <w:rPr>
          <w:rFonts w:ascii="Times New Roman" w:eastAsia="Times New Roman" w:hAnsi="Times New Roman" w:cs="Times New Roman"/>
          <w:sz w:val="24"/>
          <w:szCs w:val="24"/>
        </w:rPr>
        <w:t>o</w:t>
      </w:r>
      <w:r w:rsidRPr="00396933">
        <w:rPr>
          <w:rFonts w:ascii="Times New Roman" w:eastAsia="Times New Roman" w:hAnsi="Times New Roman" w:cs="Times New Roman"/>
          <w:sz w:val="24"/>
          <w:szCs w:val="24"/>
        </w:rPr>
        <w:t>r</w:t>
      </w:r>
      <w:r w:rsidRPr="00805A00">
        <w:rPr>
          <w:rFonts w:ascii="Times New Roman" w:eastAsia="Times New Roman" w:hAnsi="Times New Roman" w:cs="Times New Roman"/>
          <w:sz w:val="24"/>
          <w:szCs w:val="24"/>
        </w:rPr>
        <w:t>m</w:t>
      </w:r>
      <w:r w:rsidRPr="00396933">
        <w:rPr>
          <w:rFonts w:ascii="Times New Roman" w:eastAsia="Times New Roman" w:hAnsi="Times New Roman" w:cs="Times New Roman"/>
          <w:sz w:val="24"/>
          <w:szCs w:val="24"/>
        </w:rPr>
        <w:t>a</w:t>
      </w:r>
      <w:r w:rsidRPr="00805A00">
        <w:rPr>
          <w:rFonts w:ascii="Times New Roman" w:eastAsia="Times New Roman" w:hAnsi="Times New Roman" w:cs="Times New Roman"/>
          <w:sz w:val="24"/>
          <w:szCs w:val="24"/>
        </w:rPr>
        <w:t xml:space="preserve">tion </w:t>
      </w:r>
      <w:r w:rsidRPr="00396933">
        <w:rPr>
          <w:rFonts w:ascii="Times New Roman" w:eastAsia="Times New Roman" w:hAnsi="Times New Roman" w:cs="Times New Roman"/>
          <w:sz w:val="24"/>
          <w:szCs w:val="24"/>
        </w:rPr>
        <w:t>c</w:t>
      </w:r>
      <w:r w:rsidRPr="00805A00">
        <w:rPr>
          <w:rFonts w:ascii="Times New Roman" w:eastAsia="Times New Roman" w:hAnsi="Times New Roman" w:cs="Times New Roman"/>
          <w:sz w:val="24"/>
          <w:szCs w:val="24"/>
        </w:rPr>
        <w:t>oll</w:t>
      </w:r>
      <w:r w:rsidRPr="00396933">
        <w:rPr>
          <w:rFonts w:ascii="Times New Roman" w:eastAsia="Times New Roman" w:hAnsi="Times New Roman" w:cs="Times New Roman"/>
          <w:sz w:val="24"/>
          <w:szCs w:val="24"/>
        </w:rPr>
        <w:t>ec</w:t>
      </w:r>
      <w:r w:rsidRPr="00805A00">
        <w:rPr>
          <w:rFonts w:ascii="Times New Roman" w:eastAsia="Times New Roman" w:hAnsi="Times New Roman" w:cs="Times New Roman"/>
          <w:sz w:val="24"/>
          <w:szCs w:val="24"/>
        </w:rPr>
        <w:t>tion is $</w:t>
      </w:r>
      <w:r w:rsidR="00E6525E">
        <w:rPr>
          <w:rFonts w:ascii="Times New Roman" w:eastAsia="Times New Roman" w:hAnsi="Times New Roman" w:cs="Times New Roman"/>
          <w:sz w:val="24"/>
          <w:szCs w:val="24"/>
        </w:rPr>
        <w:t>29,185.60</w:t>
      </w:r>
      <w:r w:rsidRPr="00805A00">
        <w:rPr>
          <w:rFonts w:ascii="Times New Roman" w:eastAsia="Times New Roman" w:hAnsi="Times New Roman" w:cs="Times New Roman"/>
          <w:sz w:val="24"/>
          <w:szCs w:val="24"/>
        </w:rPr>
        <w:t>. The</w:t>
      </w:r>
      <w:r w:rsidRPr="00396933">
        <w:rPr>
          <w:rFonts w:ascii="Times New Roman" w:eastAsia="Times New Roman" w:hAnsi="Times New Roman" w:cs="Times New Roman"/>
          <w:sz w:val="24"/>
          <w:szCs w:val="24"/>
        </w:rPr>
        <w:t xml:space="preserve"> </w:t>
      </w:r>
      <w:r w:rsidRPr="00396933" w:rsidR="006C306E">
        <w:rPr>
          <w:rFonts w:ascii="Times New Roman" w:eastAsia="Times New Roman" w:hAnsi="Times New Roman" w:cs="Times New Roman"/>
          <w:sz w:val="24"/>
          <w:szCs w:val="24"/>
        </w:rPr>
        <w:t>data</w:t>
      </w:r>
      <w:r w:rsidRPr="00805A00" w:rsidR="006C306E">
        <w:rPr>
          <w:rFonts w:ascii="Times New Roman" w:eastAsia="Times New Roman" w:hAnsi="Times New Roman" w:cs="Times New Roman"/>
          <w:sz w:val="24"/>
          <w:szCs w:val="24"/>
        </w:rPr>
        <w:t xml:space="preserve"> </w:t>
      </w:r>
      <w:r w:rsidRPr="00396933">
        <w:rPr>
          <w:rFonts w:ascii="Times New Roman" w:eastAsia="Times New Roman" w:hAnsi="Times New Roman" w:cs="Times New Roman"/>
          <w:sz w:val="24"/>
          <w:szCs w:val="24"/>
        </w:rPr>
        <w:t>f</w:t>
      </w:r>
      <w:r w:rsidRPr="00805A00">
        <w:rPr>
          <w:rFonts w:ascii="Times New Roman" w:eastAsia="Times New Roman" w:hAnsi="Times New Roman" w:cs="Times New Roman"/>
          <w:sz w:val="24"/>
          <w:szCs w:val="24"/>
        </w:rPr>
        <w:t>or</w:t>
      </w:r>
      <w:r w:rsidRPr="00396933">
        <w:rPr>
          <w:rFonts w:ascii="Times New Roman" w:eastAsia="Times New Roman" w:hAnsi="Times New Roman" w:cs="Times New Roman"/>
          <w:sz w:val="24"/>
          <w:szCs w:val="24"/>
        </w:rPr>
        <w:t xml:space="preserve"> CCII</w:t>
      </w:r>
      <w:r w:rsidRPr="00805A00">
        <w:rPr>
          <w:rFonts w:ascii="Times New Roman" w:eastAsia="Times New Roman" w:hAnsi="Times New Roman" w:cs="Times New Roman"/>
          <w:sz w:val="24"/>
          <w:szCs w:val="24"/>
        </w:rPr>
        <w:t xml:space="preserve">O </w:t>
      </w:r>
      <w:r w:rsidRPr="00396933">
        <w:rPr>
          <w:rFonts w:ascii="Times New Roman" w:eastAsia="Times New Roman" w:hAnsi="Times New Roman" w:cs="Times New Roman"/>
          <w:sz w:val="24"/>
          <w:szCs w:val="24"/>
        </w:rPr>
        <w:t>e</w:t>
      </w:r>
      <w:r w:rsidRPr="00805A00">
        <w:rPr>
          <w:rFonts w:ascii="Times New Roman" w:eastAsia="Times New Roman" w:hAnsi="Times New Roman" w:cs="Times New Roman"/>
          <w:sz w:val="24"/>
          <w:szCs w:val="24"/>
        </w:rPr>
        <w:t>mplo</w:t>
      </w:r>
      <w:r w:rsidRPr="00396933">
        <w:rPr>
          <w:rFonts w:ascii="Times New Roman" w:eastAsia="Times New Roman" w:hAnsi="Times New Roman" w:cs="Times New Roman"/>
          <w:sz w:val="24"/>
          <w:szCs w:val="24"/>
        </w:rPr>
        <w:t>yee</w:t>
      </w:r>
      <w:r w:rsidRPr="00805A00">
        <w:rPr>
          <w:rFonts w:ascii="Times New Roman" w:eastAsia="Times New Roman" w:hAnsi="Times New Roman" w:cs="Times New Roman"/>
          <w:sz w:val="24"/>
          <w:szCs w:val="24"/>
        </w:rPr>
        <w:t>s’ hou</w:t>
      </w:r>
      <w:r w:rsidRPr="00396933">
        <w:rPr>
          <w:rFonts w:ascii="Times New Roman" w:eastAsia="Times New Roman" w:hAnsi="Times New Roman" w:cs="Times New Roman"/>
          <w:sz w:val="24"/>
          <w:szCs w:val="24"/>
        </w:rPr>
        <w:t>r</w:t>
      </w:r>
      <w:r w:rsidRPr="00805A00">
        <w:rPr>
          <w:rFonts w:ascii="Times New Roman" w:eastAsia="Times New Roman" w:hAnsi="Times New Roman" w:cs="Times New Roman"/>
          <w:sz w:val="24"/>
          <w:szCs w:val="24"/>
        </w:rPr>
        <w:t>ly</w:t>
      </w:r>
      <w:r w:rsidRPr="00396933">
        <w:rPr>
          <w:rFonts w:ascii="Times New Roman" w:eastAsia="Times New Roman" w:hAnsi="Times New Roman" w:cs="Times New Roman"/>
          <w:sz w:val="24"/>
          <w:szCs w:val="24"/>
        </w:rPr>
        <w:t xml:space="preserve"> </w:t>
      </w:r>
      <w:r w:rsidR="006C306E">
        <w:rPr>
          <w:rFonts w:ascii="Times New Roman" w:eastAsia="Times New Roman" w:hAnsi="Times New Roman" w:cs="Times New Roman"/>
          <w:sz w:val="24"/>
          <w:szCs w:val="24"/>
        </w:rPr>
        <w:t>salaries</w:t>
      </w:r>
      <w:r w:rsidRPr="00396933" w:rsidR="006C306E">
        <w:rPr>
          <w:rFonts w:ascii="Times New Roman" w:eastAsia="Times New Roman" w:hAnsi="Times New Roman" w:cs="Times New Roman"/>
          <w:sz w:val="24"/>
          <w:szCs w:val="24"/>
        </w:rPr>
        <w:t xml:space="preserve"> </w:t>
      </w:r>
      <w:r w:rsidRPr="00805A00">
        <w:rPr>
          <w:rFonts w:ascii="Times New Roman" w:eastAsia="Times New Roman" w:hAnsi="Times New Roman" w:cs="Times New Roman"/>
          <w:sz w:val="24"/>
          <w:szCs w:val="24"/>
        </w:rPr>
        <w:t>w</w:t>
      </w:r>
      <w:r w:rsidRPr="00396933">
        <w:rPr>
          <w:rFonts w:ascii="Times New Roman" w:eastAsia="Times New Roman" w:hAnsi="Times New Roman" w:cs="Times New Roman"/>
          <w:sz w:val="24"/>
          <w:szCs w:val="24"/>
        </w:rPr>
        <w:t>a</w:t>
      </w:r>
      <w:r w:rsidRPr="00805A00">
        <w:rPr>
          <w:rFonts w:ascii="Times New Roman" w:eastAsia="Times New Roman" w:hAnsi="Times New Roman" w:cs="Times New Roman"/>
          <w:sz w:val="24"/>
          <w:szCs w:val="24"/>
        </w:rPr>
        <w:t>s obt</w:t>
      </w:r>
      <w:r w:rsidRPr="00396933">
        <w:rPr>
          <w:rFonts w:ascii="Times New Roman" w:eastAsia="Times New Roman" w:hAnsi="Times New Roman" w:cs="Times New Roman"/>
          <w:sz w:val="24"/>
          <w:szCs w:val="24"/>
        </w:rPr>
        <w:t>a</w:t>
      </w:r>
      <w:r w:rsidRPr="00805A00">
        <w:rPr>
          <w:rFonts w:ascii="Times New Roman" w:eastAsia="Times New Roman" w:hAnsi="Times New Roman" w:cs="Times New Roman"/>
          <w:sz w:val="24"/>
          <w:szCs w:val="24"/>
        </w:rPr>
        <w:t>in</w:t>
      </w:r>
      <w:r w:rsidRPr="00396933">
        <w:rPr>
          <w:rFonts w:ascii="Times New Roman" w:eastAsia="Times New Roman" w:hAnsi="Times New Roman" w:cs="Times New Roman"/>
          <w:sz w:val="24"/>
          <w:szCs w:val="24"/>
        </w:rPr>
        <w:t>e</w:t>
      </w:r>
      <w:r w:rsidRPr="00805A00">
        <w:rPr>
          <w:rFonts w:ascii="Times New Roman" w:eastAsia="Times New Roman" w:hAnsi="Times New Roman" w:cs="Times New Roman"/>
          <w:sz w:val="24"/>
          <w:szCs w:val="24"/>
        </w:rPr>
        <w:t xml:space="preserve">d </w:t>
      </w:r>
      <w:r w:rsidRPr="00396933">
        <w:rPr>
          <w:rFonts w:ascii="Times New Roman" w:eastAsia="Times New Roman" w:hAnsi="Times New Roman" w:cs="Times New Roman"/>
          <w:sz w:val="24"/>
          <w:szCs w:val="24"/>
        </w:rPr>
        <w:t>fr</w:t>
      </w:r>
      <w:r w:rsidRPr="00805A00">
        <w:rPr>
          <w:rFonts w:ascii="Times New Roman" w:eastAsia="Times New Roman" w:hAnsi="Times New Roman" w:cs="Times New Roman"/>
          <w:sz w:val="24"/>
          <w:szCs w:val="24"/>
        </w:rPr>
        <w:t>om the</w:t>
      </w:r>
      <w:r w:rsidRPr="00396933">
        <w:rPr>
          <w:rFonts w:ascii="Times New Roman" w:eastAsia="Times New Roman" w:hAnsi="Times New Roman" w:cs="Times New Roman"/>
          <w:sz w:val="24"/>
          <w:szCs w:val="24"/>
        </w:rPr>
        <w:t xml:space="preserve"> </w:t>
      </w:r>
      <w:r w:rsidRPr="00805A00">
        <w:rPr>
          <w:rFonts w:ascii="Times New Roman" w:eastAsia="Times New Roman" w:hAnsi="Times New Roman" w:cs="Times New Roman"/>
          <w:sz w:val="24"/>
          <w:szCs w:val="24"/>
        </w:rPr>
        <w:t>O</w:t>
      </w:r>
      <w:r w:rsidRPr="00396933">
        <w:rPr>
          <w:rFonts w:ascii="Times New Roman" w:eastAsia="Times New Roman" w:hAnsi="Times New Roman" w:cs="Times New Roman"/>
          <w:sz w:val="24"/>
          <w:szCs w:val="24"/>
        </w:rPr>
        <w:t>P</w:t>
      </w:r>
      <w:r w:rsidRPr="00805A00">
        <w:rPr>
          <w:rFonts w:ascii="Times New Roman" w:eastAsia="Times New Roman" w:hAnsi="Times New Roman" w:cs="Times New Roman"/>
          <w:sz w:val="24"/>
          <w:szCs w:val="24"/>
        </w:rPr>
        <w:t>M w</w:t>
      </w:r>
      <w:r w:rsidRPr="00396933">
        <w:rPr>
          <w:rFonts w:ascii="Times New Roman" w:eastAsia="Times New Roman" w:hAnsi="Times New Roman" w:cs="Times New Roman"/>
          <w:sz w:val="24"/>
          <w:szCs w:val="24"/>
        </w:rPr>
        <w:t>e</w:t>
      </w:r>
      <w:r w:rsidRPr="00805A00">
        <w:rPr>
          <w:rFonts w:ascii="Times New Roman" w:eastAsia="Times New Roman" w:hAnsi="Times New Roman" w:cs="Times New Roman"/>
          <w:sz w:val="24"/>
          <w:szCs w:val="24"/>
        </w:rPr>
        <w:t>bsit</w:t>
      </w:r>
      <w:r w:rsidRPr="00396933">
        <w:rPr>
          <w:rFonts w:ascii="Times New Roman" w:eastAsia="Times New Roman" w:hAnsi="Times New Roman" w:cs="Times New Roman"/>
          <w:sz w:val="24"/>
          <w:szCs w:val="24"/>
        </w:rPr>
        <w:t>e</w:t>
      </w:r>
      <w:r w:rsidRPr="00805A00">
        <w:rPr>
          <w:rFonts w:ascii="Times New Roman" w:eastAsia="Times New Roman" w:hAnsi="Times New Roman" w:cs="Times New Roman"/>
          <w:sz w:val="24"/>
          <w:szCs w:val="24"/>
        </w:rPr>
        <w:t>:</w:t>
      </w:r>
      <w:hyperlink w:history="1"/>
      <w:r w:rsidR="006675E7">
        <w:rPr>
          <w:rStyle w:val="Hyperlink"/>
          <w:rFonts w:ascii="Times New Roman" w:eastAsia="Times New Roman" w:hAnsi="Times New Roman" w:cs="Times New Roman"/>
          <w:sz w:val="24"/>
          <w:szCs w:val="24"/>
        </w:rPr>
        <w:t xml:space="preserve"> </w:t>
      </w:r>
      <w:r w:rsidRPr="00190526" w:rsidR="00190526">
        <w:rPr>
          <w:rFonts w:ascii="Times New Roman" w:hAnsi="Times New Roman" w:cs="Times New Roman"/>
          <w:sz w:val="24"/>
          <w:szCs w:val="24"/>
        </w:rPr>
        <w:t>https://www.opm.gov/policy-data-oversight/pay-leave/salaries-wages/salary-tables/24Tables/html/DCB_h.aspx</w:t>
      </w:r>
      <w:r w:rsidRPr="00396933" w:rsidR="00F719DE">
        <w:rPr>
          <w:rStyle w:val="Hyperlink"/>
        </w:rPr>
        <w:t>.</w:t>
      </w:r>
      <w:r w:rsidRPr="00805A00" w:rsidR="00F719DE">
        <w:rPr>
          <w:rFonts w:ascii="Times New Roman" w:eastAsia="Times New Roman" w:hAnsi="Times New Roman" w:cs="Times New Roman"/>
          <w:sz w:val="24"/>
          <w:szCs w:val="24"/>
        </w:rPr>
        <w:t xml:space="preserve"> </w:t>
      </w:r>
      <w:r w:rsidR="002D12F5">
        <w:rPr>
          <w:rFonts w:ascii="Times New Roman" w:eastAsia="Times New Roman" w:hAnsi="Times New Roman" w:cs="Times New Roman"/>
          <w:sz w:val="24"/>
          <w:szCs w:val="24"/>
        </w:rPr>
        <w:t>The assumptions used are for</w:t>
      </w:r>
      <w:r w:rsidR="002125E9">
        <w:rPr>
          <w:rFonts w:ascii="Times New Roman" w:eastAsia="Times New Roman" w:hAnsi="Times New Roman" w:cs="Times New Roman"/>
          <w:sz w:val="24"/>
          <w:szCs w:val="24"/>
        </w:rPr>
        <w:t>: (1)</w:t>
      </w:r>
      <w:r w:rsidR="002D12F5">
        <w:rPr>
          <w:rFonts w:ascii="Times New Roman" w:eastAsia="Times New Roman" w:hAnsi="Times New Roman" w:cs="Times New Roman"/>
          <w:sz w:val="24"/>
          <w:szCs w:val="24"/>
        </w:rPr>
        <w:t xml:space="preserve"> two GS-13 </w:t>
      </w:r>
      <w:r w:rsidR="005461C2">
        <w:rPr>
          <w:rFonts w:ascii="Times New Roman" w:eastAsia="Times New Roman" w:hAnsi="Times New Roman" w:cs="Times New Roman"/>
          <w:sz w:val="24"/>
          <w:szCs w:val="24"/>
        </w:rPr>
        <w:t xml:space="preserve">(step 5) </w:t>
      </w:r>
      <w:r w:rsidR="002D12F5">
        <w:rPr>
          <w:rFonts w:ascii="Times New Roman" w:eastAsia="Times New Roman" w:hAnsi="Times New Roman" w:cs="Times New Roman"/>
          <w:sz w:val="24"/>
          <w:szCs w:val="24"/>
        </w:rPr>
        <w:t>employe</w:t>
      </w:r>
      <w:r w:rsidR="005461C2">
        <w:rPr>
          <w:rFonts w:ascii="Times New Roman" w:eastAsia="Times New Roman" w:hAnsi="Times New Roman" w:cs="Times New Roman"/>
          <w:sz w:val="24"/>
          <w:szCs w:val="24"/>
        </w:rPr>
        <w:t xml:space="preserve">es </w:t>
      </w:r>
      <w:r w:rsidR="0075567D">
        <w:rPr>
          <w:rFonts w:ascii="Times New Roman" w:eastAsia="Times New Roman" w:hAnsi="Times New Roman" w:cs="Times New Roman"/>
          <w:sz w:val="24"/>
          <w:szCs w:val="24"/>
        </w:rPr>
        <w:t xml:space="preserve">working </w:t>
      </w:r>
      <w:r w:rsidR="005461C2">
        <w:rPr>
          <w:rFonts w:ascii="Times New Roman" w:eastAsia="Times New Roman" w:hAnsi="Times New Roman" w:cs="Times New Roman"/>
          <w:sz w:val="24"/>
          <w:szCs w:val="24"/>
        </w:rPr>
        <w:t>at an hourly</w:t>
      </w:r>
      <w:r w:rsidR="0085492D">
        <w:rPr>
          <w:rFonts w:ascii="Times New Roman" w:eastAsia="Times New Roman" w:hAnsi="Times New Roman" w:cs="Times New Roman"/>
          <w:sz w:val="24"/>
          <w:szCs w:val="24"/>
        </w:rPr>
        <w:t xml:space="preserve"> rate of </w:t>
      </w:r>
      <w:r w:rsidR="002411BA">
        <w:rPr>
          <w:rFonts w:ascii="Times New Roman" w:eastAsia="Times New Roman" w:hAnsi="Times New Roman" w:cs="Times New Roman"/>
          <w:sz w:val="24"/>
          <w:szCs w:val="24"/>
        </w:rPr>
        <w:t>$</w:t>
      </w:r>
      <w:r w:rsidR="00190526">
        <w:rPr>
          <w:rFonts w:ascii="Times New Roman" w:eastAsia="Times New Roman" w:hAnsi="Times New Roman" w:cs="Times New Roman"/>
          <w:sz w:val="24"/>
          <w:szCs w:val="24"/>
        </w:rPr>
        <w:t>64.06</w:t>
      </w:r>
      <w:r w:rsidR="002411BA">
        <w:rPr>
          <w:rFonts w:ascii="Times New Roman" w:eastAsia="Times New Roman" w:hAnsi="Times New Roman" w:cs="Times New Roman"/>
          <w:sz w:val="24"/>
          <w:szCs w:val="24"/>
        </w:rPr>
        <w:t xml:space="preserve"> </w:t>
      </w:r>
      <w:r w:rsidR="00E45F21">
        <w:rPr>
          <w:rFonts w:ascii="Times New Roman" w:eastAsia="Times New Roman" w:hAnsi="Times New Roman" w:cs="Times New Roman"/>
          <w:sz w:val="24"/>
          <w:szCs w:val="24"/>
        </w:rPr>
        <w:t>plus 100% fringe benefits for an hourly loaded rate of</w:t>
      </w:r>
      <w:r w:rsidR="002411BA">
        <w:rPr>
          <w:rFonts w:ascii="Times New Roman" w:eastAsia="Times New Roman" w:hAnsi="Times New Roman" w:cs="Times New Roman"/>
          <w:sz w:val="24"/>
          <w:szCs w:val="24"/>
        </w:rPr>
        <w:t xml:space="preserve"> </w:t>
      </w:r>
      <w:r w:rsidR="00F270DF">
        <w:rPr>
          <w:rFonts w:ascii="Times New Roman" w:eastAsia="Times New Roman" w:hAnsi="Times New Roman" w:cs="Times New Roman"/>
          <w:sz w:val="24"/>
          <w:szCs w:val="24"/>
        </w:rPr>
        <w:t>$</w:t>
      </w:r>
      <w:r w:rsidR="00190526">
        <w:rPr>
          <w:rFonts w:ascii="Times New Roman" w:eastAsia="Times New Roman" w:hAnsi="Times New Roman" w:cs="Times New Roman"/>
          <w:sz w:val="24"/>
          <w:szCs w:val="24"/>
        </w:rPr>
        <w:t>128.12</w:t>
      </w:r>
      <w:r w:rsidR="00F270DF">
        <w:rPr>
          <w:rFonts w:ascii="Times New Roman" w:eastAsia="Times New Roman" w:hAnsi="Times New Roman" w:cs="Times New Roman"/>
          <w:sz w:val="24"/>
          <w:szCs w:val="24"/>
        </w:rPr>
        <w:t xml:space="preserve"> </w:t>
      </w:r>
      <w:r w:rsidR="0075567D">
        <w:rPr>
          <w:rFonts w:ascii="Times New Roman" w:eastAsia="Times New Roman" w:hAnsi="Times New Roman" w:cs="Times New Roman"/>
          <w:sz w:val="24"/>
          <w:szCs w:val="24"/>
        </w:rPr>
        <w:t xml:space="preserve">each </w:t>
      </w:r>
      <w:r w:rsidR="00822661">
        <w:rPr>
          <w:rFonts w:ascii="Times New Roman" w:eastAsia="Times New Roman" w:hAnsi="Times New Roman" w:cs="Times New Roman"/>
          <w:sz w:val="24"/>
          <w:szCs w:val="24"/>
        </w:rPr>
        <w:t xml:space="preserve">for initial documentation review, </w:t>
      </w:r>
      <w:r w:rsidR="0075567D">
        <w:rPr>
          <w:rFonts w:ascii="Times New Roman" w:eastAsia="Times New Roman" w:hAnsi="Times New Roman" w:cs="Times New Roman"/>
          <w:sz w:val="24"/>
          <w:szCs w:val="24"/>
        </w:rPr>
        <w:t xml:space="preserve">and </w:t>
      </w:r>
      <w:r w:rsidR="002125E9">
        <w:rPr>
          <w:rFonts w:ascii="Times New Roman" w:eastAsia="Times New Roman" w:hAnsi="Times New Roman" w:cs="Times New Roman"/>
          <w:sz w:val="24"/>
          <w:szCs w:val="24"/>
        </w:rPr>
        <w:t xml:space="preserve">(2) </w:t>
      </w:r>
      <w:r w:rsidR="0075567D">
        <w:rPr>
          <w:rFonts w:ascii="Times New Roman" w:eastAsia="Times New Roman" w:hAnsi="Times New Roman" w:cs="Times New Roman"/>
          <w:sz w:val="24"/>
          <w:szCs w:val="24"/>
        </w:rPr>
        <w:t xml:space="preserve">one GS-15 (step 5) employee </w:t>
      </w:r>
      <w:r w:rsidR="007B1854">
        <w:rPr>
          <w:rFonts w:ascii="Times New Roman" w:eastAsia="Times New Roman" w:hAnsi="Times New Roman" w:cs="Times New Roman"/>
          <w:sz w:val="24"/>
          <w:szCs w:val="24"/>
        </w:rPr>
        <w:t xml:space="preserve">working at an hourly rate of </w:t>
      </w:r>
      <w:r w:rsidR="008F7071">
        <w:rPr>
          <w:rFonts w:ascii="Times New Roman" w:eastAsia="Times New Roman" w:hAnsi="Times New Roman" w:cs="Times New Roman"/>
          <w:sz w:val="24"/>
          <w:szCs w:val="24"/>
        </w:rPr>
        <w:t>$</w:t>
      </w:r>
      <w:r w:rsidR="00190526">
        <w:rPr>
          <w:rFonts w:ascii="Times New Roman" w:eastAsia="Times New Roman" w:hAnsi="Times New Roman" w:cs="Times New Roman"/>
          <w:sz w:val="24"/>
          <w:szCs w:val="24"/>
        </w:rPr>
        <w:t>89.04</w:t>
      </w:r>
      <w:r w:rsidR="008F7071">
        <w:rPr>
          <w:rFonts w:ascii="Times New Roman" w:eastAsia="Times New Roman" w:hAnsi="Times New Roman" w:cs="Times New Roman"/>
          <w:sz w:val="24"/>
          <w:szCs w:val="24"/>
        </w:rPr>
        <w:t xml:space="preserve"> </w:t>
      </w:r>
      <w:r w:rsidR="002125E9">
        <w:rPr>
          <w:rFonts w:ascii="Times New Roman" w:eastAsia="Times New Roman" w:hAnsi="Times New Roman" w:cs="Times New Roman"/>
          <w:sz w:val="24"/>
          <w:szCs w:val="24"/>
        </w:rPr>
        <w:t xml:space="preserve">plus 100% fringe benefits for an </w:t>
      </w:r>
      <w:r w:rsidR="006574C6">
        <w:rPr>
          <w:rFonts w:ascii="Times New Roman" w:eastAsia="Times New Roman" w:hAnsi="Times New Roman" w:cs="Times New Roman"/>
          <w:sz w:val="24"/>
          <w:szCs w:val="24"/>
        </w:rPr>
        <w:t>hourly loaded rate of</w:t>
      </w:r>
      <w:r w:rsidR="00F270DF">
        <w:rPr>
          <w:rFonts w:ascii="Times New Roman" w:eastAsia="Times New Roman" w:hAnsi="Times New Roman" w:cs="Times New Roman"/>
          <w:sz w:val="24"/>
          <w:szCs w:val="24"/>
        </w:rPr>
        <w:t xml:space="preserve"> $</w:t>
      </w:r>
      <w:r w:rsidR="00190526">
        <w:rPr>
          <w:rFonts w:ascii="Times New Roman" w:eastAsia="Times New Roman" w:hAnsi="Times New Roman" w:cs="Times New Roman"/>
          <w:sz w:val="24"/>
          <w:szCs w:val="24"/>
        </w:rPr>
        <w:t>178.08</w:t>
      </w:r>
      <w:r w:rsidR="006574C6">
        <w:rPr>
          <w:rFonts w:ascii="Times New Roman" w:eastAsia="Times New Roman" w:hAnsi="Times New Roman" w:cs="Times New Roman"/>
          <w:sz w:val="24"/>
          <w:szCs w:val="24"/>
        </w:rPr>
        <w:t>. Additionally, costs to the Federal government include</w:t>
      </w:r>
      <w:r w:rsidR="00C15BB6">
        <w:rPr>
          <w:rFonts w:ascii="Times New Roman" w:eastAsia="Times New Roman" w:hAnsi="Times New Roman" w:cs="Times New Roman"/>
          <w:sz w:val="24"/>
          <w:szCs w:val="24"/>
        </w:rPr>
        <w:t xml:space="preserve"> </w:t>
      </w:r>
      <w:r w:rsidRPr="00F32B45" w:rsidR="00F32B45">
        <w:rPr>
          <w:rFonts w:ascii="Times New Roman" w:eastAsia="Times New Roman" w:hAnsi="Times New Roman" w:cs="Times New Roman"/>
          <w:sz w:val="24"/>
          <w:szCs w:val="24"/>
        </w:rPr>
        <w:t xml:space="preserve">$1,029,189.97 </w:t>
      </w:r>
      <w:r w:rsidR="006574C6">
        <w:rPr>
          <w:rFonts w:ascii="Times New Roman" w:eastAsia="Times New Roman" w:hAnsi="Times New Roman" w:cs="Times New Roman"/>
          <w:sz w:val="24"/>
          <w:szCs w:val="24"/>
        </w:rPr>
        <w:t xml:space="preserve">in costs for contractor support for activities </w:t>
      </w:r>
      <w:r w:rsidR="00614C0C">
        <w:rPr>
          <w:rFonts w:ascii="Times New Roman" w:eastAsia="Times New Roman" w:hAnsi="Times New Roman" w:cs="Times New Roman"/>
          <w:sz w:val="24"/>
          <w:szCs w:val="24"/>
        </w:rPr>
        <w:t xml:space="preserve">in this ICR. </w:t>
      </w:r>
      <w:r w:rsidR="008B651A">
        <w:rPr>
          <w:rFonts w:ascii="Times New Roman" w:eastAsia="Times New Roman" w:hAnsi="Times New Roman" w:cs="Times New Roman"/>
          <w:sz w:val="24"/>
          <w:szCs w:val="24"/>
        </w:rPr>
        <w:t>The t</w:t>
      </w:r>
      <w:r w:rsidR="00405EA4">
        <w:rPr>
          <w:rFonts w:ascii="Times New Roman" w:eastAsia="Times New Roman" w:hAnsi="Times New Roman" w:cs="Times New Roman"/>
          <w:sz w:val="24"/>
          <w:szCs w:val="24"/>
        </w:rPr>
        <w:t xml:space="preserve">otal </w:t>
      </w:r>
      <w:r w:rsidR="00C20655">
        <w:rPr>
          <w:rFonts w:ascii="Times New Roman" w:eastAsia="Times New Roman" w:hAnsi="Times New Roman" w:cs="Times New Roman"/>
          <w:sz w:val="24"/>
          <w:szCs w:val="24"/>
        </w:rPr>
        <w:t xml:space="preserve">estimated </w:t>
      </w:r>
      <w:r w:rsidR="00405EA4">
        <w:rPr>
          <w:rFonts w:ascii="Times New Roman" w:eastAsia="Times New Roman" w:hAnsi="Times New Roman" w:cs="Times New Roman"/>
          <w:sz w:val="24"/>
          <w:szCs w:val="24"/>
        </w:rPr>
        <w:t xml:space="preserve">cost to the Federal government associated with this ICR </w:t>
      </w:r>
      <w:r w:rsidR="00C20655">
        <w:rPr>
          <w:rFonts w:ascii="Times New Roman" w:eastAsia="Times New Roman" w:hAnsi="Times New Roman" w:cs="Times New Roman"/>
          <w:sz w:val="24"/>
          <w:szCs w:val="24"/>
        </w:rPr>
        <w:t>is $</w:t>
      </w:r>
      <w:r w:rsidR="009F6A3F">
        <w:rPr>
          <w:rFonts w:ascii="Times New Roman" w:eastAsia="Times New Roman" w:hAnsi="Times New Roman" w:cs="Times New Roman"/>
          <w:sz w:val="24"/>
          <w:szCs w:val="24"/>
        </w:rPr>
        <w:t>1,058,375.57</w:t>
      </w:r>
      <w:r w:rsidR="00FA62F6">
        <w:rPr>
          <w:rFonts w:ascii="Times New Roman" w:eastAsia="Times New Roman" w:hAnsi="Times New Roman" w:cs="Times New Roman"/>
          <w:sz w:val="24"/>
          <w:szCs w:val="24"/>
        </w:rPr>
        <w:t>.</w:t>
      </w:r>
    </w:p>
    <w:p w:rsidR="00F719DE" w:rsidRPr="00805A00" w:rsidP="00F719DE" w14:paraId="4209556B" w14:textId="77777777">
      <w:pPr>
        <w:spacing w:before="29" w:after="0" w:line="240" w:lineRule="auto"/>
        <w:ind w:left="928" w:right="471"/>
        <w:jc w:val="center"/>
        <w:rPr>
          <w:rFonts w:ascii="Times New Roman" w:eastAsia="Times New Roman" w:hAnsi="Times New Roman" w:cs="Times New Roman"/>
          <w:sz w:val="24"/>
          <w:szCs w:val="24"/>
        </w:rPr>
      </w:pPr>
    </w:p>
    <w:p w:rsidR="00F719DE" w:rsidRPr="00431CFF" w:rsidP="00231FB0" w14:paraId="21B79B22" w14:textId="31A5152A">
      <w:pPr>
        <w:spacing w:before="29" w:after="0" w:line="240" w:lineRule="auto"/>
        <w:ind w:right="471"/>
        <w:rPr>
          <w:rFonts w:ascii="Times New Roman" w:eastAsia="Times New Roman" w:hAnsi="Times New Roman" w:cs="Times New Roman"/>
          <w:b/>
          <w:spacing w:val="1"/>
          <w:sz w:val="24"/>
          <w:szCs w:val="24"/>
        </w:rPr>
      </w:pPr>
      <w:r w:rsidRPr="00431CFF">
        <w:rPr>
          <w:rFonts w:ascii="Times New Roman" w:eastAsia="Times New Roman" w:hAnsi="Times New Roman" w:cs="Times New Roman"/>
          <w:b/>
          <w:sz w:val="24"/>
          <w:szCs w:val="24"/>
        </w:rPr>
        <w:t>T</w:t>
      </w:r>
      <w:r w:rsidRPr="00431CFF">
        <w:rPr>
          <w:rFonts w:ascii="Times New Roman" w:eastAsia="Times New Roman" w:hAnsi="Times New Roman" w:cs="Times New Roman"/>
          <w:b/>
          <w:spacing w:val="-1"/>
          <w:sz w:val="24"/>
          <w:szCs w:val="24"/>
        </w:rPr>
        <w:t>a</w:t>
      </w:r>
      <w:r w:rsidRPr="00431CFF">
        <w:rPr>
          <w:rFonts w:ascii="Times New Roman" w:eastAsia="Times New Roman" w:hAnsi="Times New Roman" w:cs="Times New Roman"/>
          <w:b/>
          <w:sz w:val="24"/>
          <w:szCs w:val="24"/>
        </w:rPr>
        <w:t>ble</w:t>
      </w:r>
      <w:r w:rsidRPr="00431CFF">
        <w:rPr>
          <w:rFonts w:ascii="Times New Roman" w:eastAsia="Times New Roman" w:hAnsi="Times New Roman" w:cs="Times New Roman"/>
          <w:b/>
          <w:spacing w:val="-1"/>
          <w:sz w:val="24"/>
          <w:szCs w:val="24"/>
        </w:rPr>
        <w:t xml:space="preserve"> </w:t>
      </w:r>
      <w:r w:rsidR="00ED1427">
        <w:rPr>
          <w:rFonts w:ascii="Times New Roman" w:eastAsia="Times New Roman" w:hAnsi="Times New Roman" w:cs="Times New Roman"/>
          <w:b/>
          <w:sz w:val="24"/>
          <w:szCs w:val="24"/>
        </w:rPr>
        <w:t>20</w:t>
      </w:r>
      <w:r w:rsidR="00231FB0">
        <w:rPr>
          <w:rFonts w:ascii="Times New Roman" w:eastAsia="Times New Roman" w:hAnsi="Times New Roman" w:cs="Times New Roman"/>
          <w:b/>
          <w:sz w:val="24"/>
          <w:szCs w:val="24"/>
        </w:rPr>
        <w:t xml:space="preserve">. </w:t>
      </w:r>
      <w:r w:rsidRPr="00431CFF">
        <w:rPr>
          <w:rFonts w:ascii="Times New Roman" w:eastAsia="Times New Roman" w:hAnsi="Times New Roman" w:cs="Times New Roman"/>
          <w:b/>
          <w:sz w:val="24"/>
          <w:szCs w:val="24"/>
        </w:rPr>
        <w:t>Administ</w:t>
      </w:r>
      <w:r w:rsidRPr="00431CFF">
        <w:rPr>
          <w:rFonts w:ascii="Times New Roman" w:eastAsia="Times New Roman" w:hAnsi="Times New Roman" w:cs="Times New Roman"/>
          <w:b/>
          <w:spacing w:val="-1"/>
          <w:sz w:val="24"/>
          <w:szCs w:val="24"/>
        </w:rPr>
        <w:t>ra</w:t>
      </w:r>
      <w:r w:rsidRPr="00431CFF">
        <w:rPr>
          <w:rFonts w:ascii="Times New Roman" w:eastAsia="Times New Roman" w:hAnsi="Times New Roman" w:cs="Times New Roman"/>
          <w:b/>
          <w:sz w:val="24"/>
          <w:szCs w:val="24"/>
        </w:rPr>
        <w:t>tive</w:t>
      </w:r>
      <w:r w:rsidRPr="00431CFF">
        <w:rPr>
          <w:rFonts w:ascii="Times New Roman" w:eastAsia="Times New Roman" w:hAnsi="Times New Roman" w:cs="Times New Roman"/>
          <w:b/>
          <w:spacing w:val="-1"/>
          <w:sz w:val="24"/>
          <w:szCs w:val="24"/>
        </w:rPr>
        <w:t xml:space="preserve"> </w:t>
      </w:r>
      <w:r w:rsidRPr="00431CFF">
        <w:rPr>
          <w:rFonts w:ascii="Times New Roman" w:eastAsia="Times New Roman" w:hAnsi="Times New Roman" w:cs="Times New Roman"/>
          <w:b/>
          <w:spacing w:val="-2"/>
          <w:sz w:val="24"/>
          <w:szCs w:val="24"/>
        </w:rPr>
        <w:t>B</w:t>
      </w:r>
      <w:r w:rsidRPr="00431CFF">
        <w:rPr>
          <w:rFonts w:ascii="Times New Roman" w:eastAsia="Times New Roman" w:hAnsi="Times New Roman" w:cs="Times New Roman"/>
          <w:b/>
          <w:sz w:val="24"/>
          <w:szCs w:val="24"/>
        </w:rPr>
        <w:t>u</w:t>
      </w:r>
      <w:r w:rsidRPr="00431CFF">
        <w:rPr>
          <w:rFonts w:ascii="Times New Roman" w:eastAsia="Times New Roman" w:hAnsi="Times New Roman" w:cs="Times New Roman"/>
          <w:b/>
          <w:spacing w:val="-1"/>
          <w:sz w:val="24"/>
          <w:szCs w:val="24"/>
        </w:rPr>
        <w:t>r</w:t>
      </w:r>
      <w:r w:rsidRPr="00431CFF">
        <w:rPr>
          <w:rFonts w:ascii="Times New Roman" w:eastAsia="Times New Roman" w:hAnsi="Times New Roman" w:cs="Times New Roman"/>
          <w:b/>
          <w:sz w:val="24"/>
          <w:szCs w:val="24"/>
        </w:rPr>
        <w:t>d</w:t>
      </w:r>
      <w:r w:rsidRPr="00431CFF">
        <w:rPr>
          <w:rFonts w:ascii="Times New Roman" w:eastAsia="Times New Roman" w:hAnsi="Times New Roman" w:cs="Times New Roman"/>
          <w:b/>
          <w:spacing w:val="-1"/>
          <w:sz w:val="24"/>
          <w:szCs w:val="24"/>
        </w:rPr>
        <w:t>e</w:t>
      </w:r>
      <w:r w:rsidRPr="00431CFF">
        <w:rPr>
          <w:rFonts w:ascii="Times New Roman" w:eastAsia="Times New Roman" w:hAnsi="Times New Roman" w:cs="Times New Roman"/>
          <w:b/>
          <w:sz w:val="24"/>
          <w:szCs w:val="24"/>
        </w:rPr>
        <w:t xml:space="preserve">n </w:t>
      </w:r>
      <w:r w:rsidRPr="00431CFF">
        <w:rPr>
          <w:rFonts w:ascii="Times New Roman" w:eastAsia="Times New Roman" w:hAnsi="Times New Roman" w:cs="Times New Roman"/>
          <w:b/>
          <w:spacing w:val="1"/>
          <w:sz w:val="24"/>
          <w:szCs w:val="24"/>
        </w:rPr>
        <w:t>C</w:t>
      </w:r>
      <w:r w:rsidRPr="00431CFF">
        <w:rPr>
          <w:rFonts w:ascii="Times New Roman" w:eastAsia="Times New Roman" w:hAnsi="Times New Roman" w:cs="Times New Roman"/>
          <w:b/>
          <w:sz w:val="24"/>
          <w:szCs w:val="24"/>
        </w:rPr>
        <w:t xml:space="preserve">osts </w:t>
      </w:r>
      <w:r w:rsidRPr="00431CFF">
        <w:rPr>
          <w:rFonts w:ascii="Times New Roman" w:eastAsia="Times New Roman" w:hAnsi="Times New Roman" w:cs="Times New Roman"/>
          <w:b/>
          <w:spacing w:val="-1"/>
          <w:sz w:val="24"/>
          <w:szCs w:val="24"/>
        </w:rPr>
        <w:t>f</w:t>
      </w:r>
      <w:r w:rsidRPr="00431CFF">
        <w:rPr>
          <w:rFonts w:ascii="Times New Roman" w:eastAsia="Times New Roman" w:hAnsi="Times New Roman" w:cs="Times New Roman"/>
          <w:b/>
          <w:sz w:val="24"/>
          <w:szCs w:val="24"/>
        </w:rPr>
        <w:t>or</w:t>
      </w:r>
      <w:r w:rsidRPr="00431CFF">
        <w:rPr>
          <w:rFonts w:ascii="Times New Roman" w:eastAsia="Times New Roman" w:hAnsi="Times New Roman" w:cs="Times New Roman"/>
          <w:b/>
          <w:spacing w:val="-1"/>
          <w:sz w:val="24"/>
          <w:szCs w:val="24"/>
        </w:rPr>
        <w:t xml:space="preserve"> </w:t>
      </w:r>
      <w:r w:rsidRPr="00431CFF">
        <w:rPr>
          <w:rFonts w:ascii="Times New Roman" w:eastAsia="Times New Roman" w:hAnsi="Times New Roman" w:cs="Times New Roman"/>
          <w:b/>
          <w:sz w:val="24"/>
          <w:szCs w:val="24"/>
        </w:rPr>
        <w:t>the</w:t>
      </w:r>
      <w:r w:rsidRPr="00431CFF">
        <w:rPr>
          <w:rFonts w:ascii="Times New Roman" w:eastAsia="Times New Roman" w:hAnsi="Times New Roman" w:cs="Times New Roman"/>
          <w:b/>
          <w:spacing w:val="-1"/>
          <w:sz w:val="24"/>
          <w:szCs w:val="24"/>
        </w:rPr>
        <w:t xml:space="preserve"> Fe</w:t>
      </w:r>
      <w:r w:rsidRPr="00431CFF">
        <w:rPr>
          <w:rFonts w:ascii="Times New Roman" w:eastAsia="Times New Roman" w:hAnsi="Times New Roman" w:cs="Times New Roman"/>
          <w:b/>
          <w:sz w:val="24"/>
          <w:szCs w:val="24"/>
        </w:rPr>
        <w:t>d</w:t>
      </w:r>
      <w:r w:rsidRPr="00431CFF">
        <w:rPr>
          <w:rFonts w:ascii="Times New Roman" w:eastAsia="Times New Roman" w:hAnsi="Times New Roman" w:cs="Times New Roman"/>
          <w:b/>
          <w:spacing w:val="-1"/>
          <w:sz w:val="24"/>
          <w:szCs w:val="24"/>
        </w:rPr>
        <w:t>era</w:t>
      </w:r>
      <w:r w:rsidRPr="00431CFF">
        <w:rPr>
          <w:rFonts w:ascii="Times New Roman" w:eastAsia="Times New Roman" w:hAnsi="Times New Roman" w:cs="Times New Roman"/>
          <w:b/>
          <w:sz w:val="24"/>
          <w:szCs w:val="24"/>
        </w:rPr>
        <w:t>l Gov</w:t>
      </w:r>
      <w:r w:rsidRPr="00431CFF">
        <w:rPr>
          <w:rFonts w:ascii="Times New Roman" w:eastAsia="Times New Roman" w:hAnsi="Times New Roman" w:cs="Times New Roman"/>
          <w:b/>
          <w:spacing w:val="-1"/>
          <w:sz w:val="24"/>
          <w:szCs w:val="24"/>
        </w:rPr>
        <w:t>er</w:t>
      </w:r>
      <w:r w:rsidRPr="00431CFF">
        <w:rPr>
          <w:rFonts w:ascii="Times New Roman" w:eastAsia="Times New Roman" w:hAnsi="Times New Roman" w:cs="Times New Roman"/>
          <w:b/>
          <w:sz w:val="24"/>
          <w:szCs w:val="24"/>
        </w:rPr>
        <w:t>nm</w:t>
      </w:r>
      <w:r w:rsidRPr="00431CFF">
        <w:rPr>
          <w:rFonts w:ascii="Times New Roman" w:eastAsia="Times New Roman" w:hAnsi="Times New Roman" w:cs="Times New Roman"/>
          <w:b/>
          <w:spacing w:val="-1"/>
          <w:sz w:val="24"/>
          <w:szCs w:val="24"/>
        </w:rPr>
        <w:t>e</w:t>
      </w:r>
      <w:r w:rsidRPr="00431CFF">
        <w:rPr>
          <w:rFonts w:ascii="Times New Roman" w:eastAsia="Times New Roman" w:hAnsi="Times New Roman" w:cs="Times New Roman"/>
          <w:b/>
          <w:sz w:val="24"/>
          <w:szCs w:val="24"/>
        </w:rPr>
        <w:t>nt Asso</w:t>
      </w:r>
      <w:r w:rsidRPr="00431CFF">
        <w:rPr>
          <w:rFonts w:ascii="Times New Roman" w:eastAsia="Times New Roman" w:hAnsi="Times New Roman" w:cs="Times New Roman"/>
          <w:b/>
          <w:spacing w:val="-1"/>
          <w:sz w:val="24"/>
          <w:szCs w:val="24"/>
        </w:rPr>
        <w:t>c</w:t>
      </w:r>
      <w:r w:rsidRPr="00431CFF">
        <w:rPr>
          <w:rFonts w:ascii="Times New Roman" w:eastAsia="Times New Roman" w:hAnsi="Times New Roman" w:cs="Times New Roman"/>
          <w:b/>
          <w:sz w:val="24"/>
          <w:szCs w:val="24"/>
        </w:rPr>
        <w:t>i</w:t>
      </w:r>
      <w:r w:rsidRPr="00431CFF">
        <w:rPr>
          <w:rFonts w:ascii="Times New Roman" w:eastAsia="Times New Roman" w:hAnsi="Times New Roman" w:cs="Times New Roman"/>
          <w:b/>
          <w:spacing w:val="-1"/>
          <w:sz w:val="24"/>
          <w:szCs w:val="24"/>
        </w:rPr>
        <w:t>a</w:t>
      </w:r>
      <w:r w:rsidRPr="00431CFF">
        <w:rPr>
          <w:rFonts w:ascii="Times New Roman" w:eastAsia="Times New Roman" w:hAnsi="Times New Roman" w:cs="Times New Roman"/>
          <w:b/>
          <w:sz w:val="24"/>
          <w:szCs w:val="24"/>
        </w:rPr>
        <w:t>t</w:t>
      </w:r>
      <w:r w:rsidRPr="00431CFF">
        <w:rPr>
          <w:rFonts w:ascii="Times New Roman" w:eastAsia="Times New Roman" w:hAnsi="Times New Roman" w:cs="Times New Roman"/>
          <w:b/>
          <w:spacing w:val="-1"/>
          <w:sz w:val="24"/>
          <w:szCs w:val="24"/>
        </w:rPr>
        <w:t>e</w:t>
      </w:r>
      <w:r w:rsidRPr="00431CFF">
        <w:rPr>
          <w:rFonts w:ascii="Times New Roman" w:eastAsia="Times New Roman" w:hAnsi="Times New Roman" w:cs="Times New Roman"/>
          <w:b/>
          <w:sz w:val="24"/>
          <w:szCs w:val="24"/>
        </w:rPr>
        <w:t>d with the</w:t>
      </w:r>
      <w:r w:rsidRPr="00431CFF">
        <w:rPr>
          <w:rFonts w:ascii="Times New Roman" w:eastAsia="Times New Roman" w:hAnsi="Times New Roman" w:cs="Times New Roman"/>
          <w:b/>
          <w:spacing w:val="1"/>
          <w:sz w:val="24"/>
          <w:szCs w:val="24"/>
        </w:rPr>
        <w:t xml:space="preserve"> D</w:t>
      </w:r>
      <w:r w:rsidR="00231FB0">
        <w:rPr>
          <w:rFonts w:ascii="Times New Roman" w:eastAsia="Times New Roman" w:hAnsi="Times New Roman" w:cs="Times New Roman"/>
          <w:b/>
          <w:spacing w:val="1"/>
          <w:sz w:val="24"/>
          <w:szCs w:val="24"/>
        </w:rPr>
        <w:t xml:space="preserve">irect </w:t>
      </w:r>
      <w:r w:rsidRPr="00431CFF">
        <w:rPr>
          <w:rFonts w:ascii="Times New Roman" w:eastAsia="Times New Roman" w:hAnsi="Times New Roman" w:cs="Times New Roman"/>
          <w:b/>
          <w:spacing w:val="1"/>
          <w:sz w:val="24"/>
          <w:szCs w:val="24"/>
        </w:rPr>
        <w:t>E</w:t>
      </w:r>
      <w:r w:rsidR="00231FB0">
        <w:rPr>
          <w:rFonts w:ascii="Times New Roman" w:eastAsia="Times New Roman" w:hAnsi="Times New Roman" w:cs="Times New Roman"/>
          <w:b/>
          <w:spacing w:val="1"/>
          <w:sz w:val="24"/>
          <w:szCs w:val="24"/>
        </w:rPr>
        <w:t>nrollment</w:t>
      </w:r>
      <w:r w:rsidRPr="00431CFF">
        <w:rPr>
          <w:rFonts w:ascii="Times New Roman" w:eastAsia="Times New Roman" w:hAnsi="Times New Roman" w:cs="Times New Roman"/>
          <w:b/>
          <w:spacing w:val="1"/>
          <w:sz w:val="24"/>
          <w:szCs w:val="24"/>
        </w:rPr>
        <w:t xml:space="preserve"> Entities</w:t>
      </w:r>
      <w:r w:rsidRPr="00431CFF">
        <w:rPr>
          <w:rFonts w:ascii="Times New Roman" w:eastAsia="Times New Roman" w:hAnsi="Times New Roman" w:cs="Times New Roman"/>
          <w:b/>
          <w:spacing w:val="1"/>
          <w:sz w:val="24"/>
          <w:szCs w:val="24"/>
        </w:rPr>
        <w:t xml:space="preserve"> </w:t>
      </w:r>
      <w:r w:rsidR="00231FB0">
        <w:rPr>
          <w:rFonts w:ascii="Times New Roman" w:eastAsia="Times New Roman" w:hAnsi="Times New Roman" w:cs="Times New Roman"/>
          <w:b/>
          <w:spacing w:val="1"/>
          <w:sz w:val="24"/>
          <w:szCs w:val="24"/>
        </w:rPr>
        <w:t>Data Collection</w:t>
      </w:r>
    </w:p>
    <w:p w:rsidR="00D91479" w:rsidRPr="00805A00" w:rsidP="00D91479" w14:paraId="4EDB7432" w14:textId="77777777">
      <w:pPr>
        <w:spacing w:before="8" w:after="0" w:line="280" w:lineRule="exact"/>
        <w:rPr>
          <w:sz w:val="28"/>
          <w:szCs w:val="28"/>
        </w:rPr>
      </w:pPr>
    </w:p>
    <w:tbl>
      <w:tblPr>
        <w:tblW w:w="9190" w:type="dxa"/>
        <w:tblLayout w:type="fixed"/>
        <w:tblCellMar>
          <w:left w:w="0" w:type="dxa"/>
          <w:right w:w="0" w:type="dxa"/>
        </w:tblCellMar>
        <w:tblLook w:val="01E0"/>
      </w:tblPr>
      <w:tblGrid>
        <w:gridCol w:w="5040"/>
        <w:gridCol w:w="4150"/>
      </w:tblGrid>
      <w:tr w14:paraId="79B7CAAE" w14:textId="77777777" w:rsidTr="00553ADE">
        <w:tblPrEx>
          <w:tblW w:w="9190" w:type="dxa"/>
          <w:tblLayout w:type="fixed"/>
          <w:tblCellMar>
            <w:left w:w="0" w:type="dxa"/>
            <w:right w:w="0" w:type="dxa"/>
          </w:tblCellMar>
          <w:tblLook w:val="01E0"/>
        </w:tblPrEx>
        <w:trPr>
          <w:trHeight w:hRule="exact" w:val="310"/>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1479" w:rsidRPr="00805A00" w:rsidP="00231FB0" w14:paraId="54058B10" w14:textId="77777777">
            <w:pPr>
              <w:spacing w:before="22" w:after="0" w:line="240" w:lineRule="auto"/>
              <w:ind w:left="80" w:right="10"/>
              <w:rPr>
                <w:rFonts w:ascii="Times New Roman" w:eastAsia="Times New Roman" w:hAnsi="Times New Roman" w:cs="Times New Roman"/>
                <w:sz w:val="24"/>
                <w:szCs w:val="24"/>
              </w:rPr>
            </w:pPr>
            <w:bookmarkStart w:id="84" w:name="_Hlk146895335"/>
            <w:r w:rsidRPr="00805A00">
              <w:rPr>
                <w:rFonts w:ascii="Times New Roman" w:eastAsia="Times New Roman" w:hAnsi="Times New Roman" w:cs="Times New Roman"/>
                <w:b/>
                <w:bCs/>
                <w:spacing w:val="1"/>
                <w:sz w:val="24"/>
                <w:szCs w:val="24"/>
              </w:rPr>
              <w:t>T</w:t>
            </w:r>
            <w:r w:rsidRPr="00805A00">
              <w:rPr>
                <w:rFonts w:ascii="Times New Roman" w:eastAsia="Times New Roman" w:hAnsi="Times New Roman" w:cs="Times New Roman"/>
                <w:b/>
                <w:bCs/>
                <w:sz w:val="24"/>
                <w:szCs w:val="24"/>
              </w:rPr>
              <w:t>ask</w:t>
            </w:r>
          </w:p>
        </w:tc>
        <w:tc>
          <w:tcPr>
            <w:tcW w:w="4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1479" w:rsidRPr="00805A00" w:rsidP="00231FB0" w14:paraId="73B4CA0A" w14:textId="77777777">
            <w:pPr>
              <w:spacing w:before="22" w:after="0" w:line="240" w:lineRule="auto"/>
              <w:ind w:left="70" w:right="10"/>
              <w:rPr>
                <w:rFonts w:ascii="Times New Roman" w:eastAsia="Times New Roman" w:hAnsi="Times New Roman" w:cs="Times New Roman"/>
                <w:sz w:val="24"/>
                <w:szCs w:val="24"/>
              </w:rPr>
            </w:pPr>
            <w:r w:rsidRPr="00805A00">
              <w:rPr>
                <w:rFonts w:ascii="Times New Roman" w:eastAsia="Times New Roman" w:hAnsi="Times New Roman" w:cs="Times New Roman"/>
                <w:b/>
                <w:bCs/>
                <w:spacing w:val="1"/>
                <w:sz w:val="24"/>
                <w:szCs w:val="24"/>
              </w:rPr>
              <w:t>E</w:t>
            </w:r>
            <w:r w:rsidRPr="00805A00">
              <w:rPr>
                <w:rFonts w:ascii="Times New Roman" w:eastAsia="Times New Roman" w:hAnsi="Times New Roman" w:cs="Times New Roman"/>
                <w:b/>
                <w:bCs/>
                <w:sz w:val="24"/>
                <w:szCs w:val="24"/>
              </w:rPr>
              <w:t>s</w:t>
            </w:r>
            <w:r w:rsidRPr="00805A00">
              <w:rPr>
                <w:rFonts w:ascii="Times New Roman" w:eastAsia="Times New Roman" w:hAnsi="Times New Roman" w:cs="Times New Roman"/>
                <w:b/>
                <w:bCs/>
                <w:spacing w:val="-1"/>
                <w:sz w:val="24"/>
                <w:szCs w:val="24"/>
              </w:rPr>
              <w:t>t</w:t>
            </w:r>
            <w:r w:rsidRPr="00805A00">
              <w:rPr>
                <w:rFonts w:ascii="Times New Roman" w:eastAsia="Times New Roman" w:hAnsi="Times New Roman" w:cs="Times New Roman"/>
                <w:b/>
                <w:bCs/>
                <w:sz w:val="24"/>
                <w:szCs w:val="24"/>
              </w:rPr>
              <w:t>i</w:t>
            </w:r>
            <w:r w:rsidRPr="00805A00">
              <w:rPr>
                <w:rFonts w:ascii="Times New Roman" w:eastAsia="Times New Roman" w:hAnsi="Times New Roman" w:cs="Times New Roman"/>
                <w:b/>
                <w:bCs/>
                <w:spacing w:val="-3"/>
                <w:sz w:val="24"/>
                <w:szCs w:val="24"/>
              </w:rPr>
              <w:t>m</w:t>
            </w:r>
            <w:r w:rsidRPr="00805A00">
              <w:rPr>
                <w:rFonts w:ascii="Times New Roman" w:eastAsia="Times New Roman" w:hAnsi="Times New Roman" w:cs="Times New Roman"/>
                <w:b/>
                <w:bCs/>
                <w:sz w:val="24"/>
                <w:szCs w:val="24"/>
              </w:rPr>
              <w:t>a</w:t>
            </w:r>
            <w:r w:rsidRPr="00805A00">
              <w:rPr>
                <w:rFonts w:ascii="Times New Roman" w:eastAsia="Times New Roman" w:hAnsi="Times New Roman" w:cs="Times New Roman"/>
                <w:b/>
                <w:bCs/>
                <w:spacing w:val="-1"/>
                <w:sz w:val="24"/>
                <w:szCs w:val="24"/>
              </w:rPr>
              <w:t>te</w:t>
            </w:r>
            <w:r w:rsidRPr="00805A00">
              <w:rPr>
                <w:rFonts w:ascii="Times New Roman" w:eastAsia="Times New Roman" w:hAnsi="Times New Roman" w:cs="Times New Roman"/>
                <w:b/>
                <w:bCs/>
                <w:sz w:val="24"/>
                <w:szCs w:val="24"/>
              </w:rPr>
              <w:t>d</w:t>
            </w:r>
            <w:r w:rsidRPr="00805A00">
              <w:rPr>
                <w:rFonts w:ascii="Times New Roman" w:eastAsia="Times New Roman" w:hAnsi="Times New Roman" w:cs="Times New Roman"/>
                <w:b/>
                <w:bCs/>
                <w:spacing w:val="1"/>
                <w:sz w:val="24"/>
                <w:szCs w:val="24"/>
              </w:rPr>
              <w:t xml:space="preserve"> </w:t>
            </w:r>
            <w:r w:rsidRPr="00805A00">
              <w:rPr>
                <w:rFonts w:ascii="Times New Roman" w:eastAsia="Times New Roman" w:hAnsi="Times New Roman" w:cs="Times New Roman"/>
                <w:b/>
                <w:bCs/>
                <w:sz w:val="24"/>
                <w:szCs w:val="24"/>
              </w:rPr>
              <w:t>Cost</w:t>
            </w:r>
          </w:p>
        </w:tc>
      </w:tr>
      <w:tr w14:paraId="6C08B9C6" w14:textId="77777777" w:rsidTr="00553ADE">
        <w:tblPrEx>
          <w:tblW w:w="9190" w:type="dxa"/>
          <w:tblLayout w:type="fixed"/>
          <w:tblCellMar>
            <w:left w:w="0" w:type="dxa"/>
            <w:right w:w="0" w:type="dxa"/>
          </w:tblCellMar>
          <w:tblLook w:val="01E0"/>
        </w:tblPrEx>
        <w:trPr>
          <w:trHeight w:hRule="exact" w:val="310"/>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1479" w:rsidRPr="00805A00" w:rsidP="00E60984" w14:paraId="1AE76887" w14:textId="4CF360F9">
            <w:pPr>
              <w:spacing w:before="17" w:after="0" w:line="240" w:lineRule="auto"/>
              <w:ind w:left="102" w:right="-20"/>
              <w:rPr>
                <w:rFonts w:ascii="Times New Roman" w:eastAsia="Times New Roman" w:hAnsi="Times New Roman" w:cs="Times New Roman"/>
                <w:sz w:val="24"/>
                <w:szCs w:val="24"/>
              </w:rPr>
            </w:pPr>
            <w:r w:rsidRPr="00805A00">
              <w:rPr>
                <w:rFonts w:ascii="Times New Roman" w:eastAsia="Times New Roman" w:hAnsi="Times New Roman" w:cs="Times New Roman"/>
                <w:sz w:val="24"/>
                <w:szCs w:val="24"/>
              </w:rPr>
              <w:t xml:space="preserve">Initial Documentation Review </w:t>
            </w:r>
          </w:p>
        </w:tc>
        <w:tc>
          <w:tcPr>
            <w:tcW w:w="4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1479" w:rsidRPr="00805A00" w:rsidP="00231FB0" w14:paraId="3AA1CB80" w14:textId="77777777"/>
        </w:tc>
      </w:tr>
      <w:tr w14:paraId="59D84378" w14:textId="77777777" w:rsidTr="00553ADE">
        <w:tblPrEx>
          <w:tblW w:w="9190" w:type="dxa"/>
          <w:tblLayout w:type="fixed"/>
          <w:tblCellMar>
            <w:left w:w="0" w:type="dxa"/>
            <w:right w:w="0" w:type="dxa"/>
          </w:tblCellMar>
          <w:tblLook w:val="01E0"/>
        </w:tblPrEx>
        <w:trPr>
          <w:trHeight w:hRule="exact" w:val="310"/>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1479" w:rsidRPr="00805A00" w:rsidP="00197ED3" w14:paraId="25CBDDB0" w14:textId="493F087C">
            <w:pPr>
              <w:spacing w:before="17"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805A00">
              <w:rPr>
                <w:rFonts w:ascii="Times New Roman" w:eastAsia="Times New Roman" w:hAnsi="Times New Roman" w:cs="Times New Roman"/>
                <w:sz w:val="24"/>
                <w:szCs w:val="24"/>
              </w:rPr>
              <w:t xml:space="preserve"> G</w:t>
            </w:r>
            <w:r w:rsidRPr="00805A00">
              <w:rPr>
                <w:rFonts w:ascii="Times New Roman" w:eastAsia="Times New Roman" w:hAnsi="Times New Roman" w:cs="Times New Roman"/>
                <w:spacing w:val="1"/>
                <w:sz w:val="24"/>
                <w:szCs w:val="24"/>
              </w:rPr>
              <w:t>S</w:t>
            </w:r>
            <w:r w:rsidRPr="00805A00">
              <w:rPr>
                <w:rFonts w:ascii="Times New Roman" w:eastAsia="Times New Roman" w:hAnsi="Times New Roman" w:cs="Times New Roman"/>
                <w:spacing w:val="-1"/>
                <w:sz w:val="24"/>
                <w:szCs w:val="24"/>
              </w:rPr>
              <w:t>-</w:t>
            </w:r>
            <w:r w:rsidRPr="00805A00">
              <w:rPr>
                <w:rFonts w:ascii="Times New Roman" w:eastAsia="Times New Roman" w:hAnsi="Times New Roman" w:cs="Times New Roman"/>
                <w:sz w:val="24"/>
                <w:szCs w:val="24"/>
              </w:rPr>
              <w:t xml:space="preserve">13: </w:t>
            </w:r>
            <w:r>
              <w:rPr>
                <w:rFonts w:ascii="Times New Roman" w:eastAsia="Times New Roman" w:hAnsi="Times New Roman" w:cs="Times New Roman"/>
                <w:sz w:val="24"/>
                <w:szCs w:val="24"/>
              </w:rPr>
              <w:t>2</w:t>
            </w:r>
            <w:r w:rsidRPr="00805A00">
              <w:rPr>
                <w:rFonts w:ascii="Times New Roman" w:eastAsia="Times New Roman" w:hAnsi="Times New Roman" w:cs="Times New Roman"/>
                <w:sz w:val="24"/>
                <w:szCs w:val="24"/>
              </w:rPr>
              <w:t xml:space="preserve"> x</w:t>
            </w:r>
            <w:r w:rsidRPr="00805A00">
              <w:rPr>
                <w:rFonts w:ascii="Times New Roman" w:eastAsia="Times New Roman" w:hAnsi="Times New Roman" w:cs="Times New Roman"/>
                <w:spacing w:val="2"/>
                <w:sz w:val="24"/>
                <w:szCs w:val="24"/>
              </w:rPr>
              <w:t xml:space="preserve"> </w:t>
            </w:r>
            <w:r w:rsidRPr="00805A00">
              <w:rPr>
                <w:rFonts w:ascii="Times New Roman" w:eastAsia="Times New Roman" w:hAnsi="Times New Roman" w:cs="Times New Roman"/>
                <w:sz w:val="24"/>
                <w:szCs w:val="24"/>
              </w:rPr>
              <w:t>$</w:t>
            </w:r>
            <w:r w:rsidR="00190526">
              <w:rPr>
                <w:rFonts w:ascii="Times New Roman" w:eastAsia="Times New Roman" w:hAnsi="Times New Roman" w:cs="Times New Roman"/>
                <w:sz w:val="24"/>
                <w:szCs w:val="24"/>
              </w:rPr>
              <w:t>128.12</w:t>
            </w:r>
            <w:r w:rsidR="006936A6">
              <w:rPr>
                <w:rFonts w:ascii="Times New Roman" w:eastAsia="Times New Roman" w:hAnsi="Times New Roman" w:cs="Times New Roman"/>
                <w:sz w:val="24"/>
                <w:szCs w:val="24"/>
              </w:rPr>
              <w:t xml:space="preserve"> </w:t>
            </w:r>
            <w:r w:rsidRPr="00805A00">
              <w:rPr>
                <w:rFonts w:ascii="Times New Roman" w:eastAsia="Times New Roman" w:hAnsi="Times New Roman" w:cs="Times New Roman"/>
                <w:sz w:val="24"/>
                <w:szCs w:val="24"/>
              </w:rPr>
              <w:t>x</w:t>
            </w:r>
            <w:r w:rsidRPr="00805A00">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10</w:t>
            </w:r>
            <w:r w:rsidRPr="00805A00">
              <w:rPr>
                <w:rFonts w:ascii="Times New Roman" w:eastAsia="Times New Roman" w:hAnsi="Times New Roman" w:cs="Times New Roman"/>
                <w:sz w:val="24"/>
                <w:szCs w:val="24"/>
              </w:rPr>
              <w:t xml:space="preserve">0 </w:t>
            </w:r>
            <w:r w:rsidRPr="00805A00" w:rsidR="00BB2D3A">
              <w:rPr>
                <w:rFonts w:ascii="Times New Roman" w:eastAsia="Times New Roman" w:hAnsi="Times New Roman" w:cs="Times New Roman"/>
                <w:sz w:val="24"/>
                <w:szCs w:val="24"/>
              </w:rPr>
              <w:t>hours</w:t>
            </w:r>
            <w:r w:rsidR="006B6346">
              <w:rPr>
                <w:rFonts w:ascii="Times New Roman" w:eastAsia="Times New Roman" w:hAnsi="Times New Roman" w:cs="Times New Roman"/>
                <w:sz w:val="24"/>
                <w:szCs w:val="24"/>
              </w:rPr>
              <w:t xml:space="preserve"> each</w:t>
            </w:r>
            <w:r w:rsidRPr="00805A00" w:rsidR="00BB2D3A">
              <w:rPr>
                <w:rFonts w:ascii="Times New Roman" w:eastAsia="Times New Roman" w:hAnsi="Times New Roman" w:cs="Times New Roman"/>
                <w:sz w:val="24"/>
                <w:szCs w:val="24"/>
              </w:rPr>
              <w:t xml:space="preserve"> </w:t>
            </w:r>
          </w:p>
        </w:tc>
        <w:tc>
          <w:tcPr>
            <w:tcW w:w="4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1479" w:rsidRPr="00805A00" w:rsidP="003C4C33" w14:paraId="19046D0D" w14:textId="12355D8F">
            <w:pPr>
              <w:spacing w:before="17" w:after="0" w:line="240" w:lineRule="auto"/>
              <w:ind w:left="80" w:right="82"/>
              <w:rPr>
                <w:rFonts w:ascii="Times New Roman" w:eastAsia="Times New Roman" w:hAnsi="Times New Roman" w:cs="Times New Roman"/>
                <w:sz w:val="24"/>
                <w:szCs w:val="24"/>
              </w:rPr>
            </w:pPr>
            <w:r w:rsidRPr="00805A00">
              <w:rPr>
                <w:rFonts w:ascii="Times New Roman" w:eastAsia="Times New Roman" w:hAnsi="Times New Roman" w:cs="Times New Roman"/>
                <w:sz w:val="24"/>
                <w:szCs w:val="24"/>
              </w:rPr>
              <w:t>$</w:t>
            </w:r>
            <w:r w:rsidR="009F6A3F">
              <w:rPr>
                <w:rFonts w:ascii="Times New Roman" w:eastAsia="Times New Roman" w:hAnsi="Times New Roman" w:cs="Times New Roman"/>
                <w:sz w:val="24"/>
                <w:szCs w:val="24"/>
              </w:rPr>
              <w:t>25,624</w:t>
            </w:r>
          </w:p>
        </w:tc>
      </w:tr>
      <w:tr w14:paraId="3FCD2B27" w14:textId="77777777" w:rsidTr="00553ADE">
        <w:tblPrEx>
          <w:tblW w:w="9190" w:type="dxa"/>
          <w:tblLayout w:type="fixed"/>
          <w:tblCellMar>
            <w:left w:w="0" w:type="dxa"/>
            <w:right w:w="0" w:type="dxa"/>
          </w:tblCellMar>
          <w:tblLook w:val="01E0"/>
        </w:tblPrEx>
        <w:trPr>
          <w:trHeight w:hRule="exact" w:val="310"/>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1479" w:rsidRPr="00805A00" w:rsidP="00E60984" w14:paraId="58A131D4" w14:textId="77777777"/>
        </w:tc>
        <w:tc>
          <w:tcPr>
            <w:tcW w:w="4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1479" w:rsidRPr="00805A00" w:rsidP="003C4C33" w14:paraId="3B0166AF" w14:textId="77777777">
            <w:pPr>
              <w:ind w:left="80"/>
            </w:pPr>
          </w:p>
        </w:tc>
      </w:tr>
      <w:tr w14:paraId="06686D09" w14:textId="77777777" w:rsidTr="00553ADE">
        <w:tblPrEx>
          <w:tblW w:w="9190" w:type="dxa"/>
          <w:tblLayout w:type="fixed"/>
          <w:tblCellMar>
            <w:left w:w="0" w:type="dxa"/>
            <w:right w:w="0" w:type="dxa"/>
          </w:tblCellMar>
          <w:tblLook w:val="01E0"/>
        </w:tblPrEx>
        <w:trPr>
          <w:trHeight w:hRule="exact" w:val="310"/>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1479" w:rsidRPr="00805A00" w:rsidP="00E60984" w14:paraId="3CFD605E" w14:textId="77777777">
            <w:pPr>
              <w:spacing w:before="17" w:after="0" w:line="240" w:lineRule="auto"/>
              <w:ind w:left="102" w:right="-20"/>
              <w:rPr>
                <w:rFonts w:ascii="Times New Roman" w:eastAsia="Times New Roman" w:hAnsi="Times New Roman" w:cs="Times New Roman"/>
                <w:sz w:val="24"/>
                <w:szCs w:val="24"/>
              </w:rPr>
            </w:pPr>
            <w:r w:rsidRPr="00805A00">
              <w:rPr>
                <w:rFonts w:ascii="Times New Roman" w:eastAsia="Times New Roman" w:hAnsi="Times New Roman" w:cs="Times New Roman"/>
                <w:sz w:val="24"/>
                <w:szCs w:val="24"/>
              </w:rPr>
              <w:t>M</w:t>
            </w:r>
            <w:r w:rsidRPr="00805A00">
              <w:rPr>
                <w:rFonts w:ascii="Times New Roman" w:eastAsia="Times New Roman" w:hAnsi="Times New Roman" w:cs="Times New Roman"/>
                <w:spacing w:val="-1"/>
                <w:sz w:val="24"/>
                <w:szCs w:val="24"/>
              </w:rPr>
              <w:t>a</w:t>
            </w:r>
            <w:r w:rsidRPr="00805A00">
              <w:rPr>
                <w:rFonts w:ascii="Times New Roman" w:eastAsia="Times New Roman" w:hAnsi="Times New Roman" w:cs="Times New Roman"/>
                <w:sz w:val="24"/>
                <w:szCs w:val="24"/>
              </w:rPr>
              <w:t>n</w:t>
            </w:r>
            <w:r w:rsidRPr="00805A00">
              <w:rPr>
                <w:rFonts w:ascii="Times New Roman" w:eastAsia="Times New Roman" w:hAnsi="Times New Roman" w:cs="Times New Roman"/>
                <w:spacing w:val="-1"/>
                <w:sz w:val="24"/>
                <w:szCs w:val="24"/>
              </w:rPr>
              <w:t>a</w:t>
            </w:r>
            <w:r w:rsidRPr="00805A00">
              <w:rPr>
                <w:rFonts w:ascii="Times New Roman" w:eastAsia="Times New Roman" w:hAnsi="Times New Roman" w:cs="Times New Roman"/>
                <w:spacing w:val="-2"/>
                <w:sz w:val="24"/>
                <w:szCs w:val="24"/>
              </w:rPr>
              <w:t>g</w:t>
            </w:r>
            <w:r w:rsidRPr="00805A00">
              <w:rPr>
                <w:rFonts w:ascii="Times New Roman" w:eastAsia="Times New Roman" w:hAnsi="Times New Roman" w:cs="Times New Roman"/>
                <w:spacing w:val="-1"/>
                <w:sz w:val="24"/>
                <w:szCs w:val="24"/>
              </w:rPr>
              <w:t>er</w:t>
            </w:r>
            <w:r w:rsidRPr="00805A00">
              <w:rPr>
                <w:rFonts w:ascii="Times New Roman" w:eastAsia="Times New Roman" w:hAnsi="Times New Roman" w:cs="Times New Roman"/>
                <w:sz w:val="24"/>
                <w:szCs w:val="24"/>
              </w:rPr>
              <w:t>i</w:t>
            </w:r>
            <w:r w:rsidRPr="00805A00">
              <w:rPr>
                <w:rFonts w:ascii="Times New Roman" w:eastAsia="Times New Roman" w:hAnsi="Times New Roman" w:cs="Times New Roman"/>
                <w:spacing w:val="-1"/>
                <w:sz w:val="24"/>
                <w:szCs w:val="24"/>
              </w:rPr>
              <w:t>a</w:t>
            </w:r>
            <w:r w:rsidRPr="00805A00">
              <w:rPr>
                <w:rFonts w:ascii="Times New Roman" w:eastAsia="Times New Roman" w:hAnsi="Times New Roman" w:cs="Times New Roman"/>
                <w:sz w:val="24"/>
                <w:szCs w:val="24"/>
              </w:rPr>
              <w:t xml:space="preserve">l </w:t>
            </w:r>
            <w:r w:rsidRPr="00805A00">
              <w:rPr>
                <w:rFonts w:ascii="Times New Roman" w:eastAsia="Times New Roman" w:hAnsi="Times New Roman" w:cs="Times New Roman"/>
                <w:spacing w:val="1"/>
                <w:sz w:val="24"/>
                <w:szCs w:val="24"/>
              </w:rPr>
              <w:t>R</w:t>
            </w:r>
            <w:r w:rsidRPr="00805A00">
              <w:rPr>
                <w:rFonts w:ascii="Times New Roman" w:eastAsia="Times New Roman" w:hAnsi="Times New Roman" w:cs="Times New Roman"/>
                <w:spacing w:val="-1"/>
                <w:sz w:val="24"/>
                <w:szCs w:val="24"/>
              </w:rPr>
              <w:t>e</w:t>
            </w:r>
            <w:r w:rsidRPr="00805A00">
              <w:rPr>
                <w:rFonts w:ascii="Times New Roman" w:eastAsia="Times New Roman" w:hAnsi="Times New Roman" w:cs="Times New Roman"/>
                <w:sz w:val="24"/>
                <w:szCs w:val="24"/>
              </w:rPr>
              <w:t>vi</w:t>
            </w:r>
            <w:r w:rsidRPr="00805A00">
              <w:rPr>
                <w:rFonts w:ascii="Times New Roman" w:eastAsia="Times New Roman" w:hAnsi="Times New Roman" w:cs="Times New Roman"/>
                <w:spacing w:val="-1"/>
                <w:sz w:val="24"/>
                <w:szCs w:val="24"/>
              </w:rPr>
              <w:t>e</w:t>
            </w:r>
            <w:r w:rsidRPr="00805A00">
              <w:rPr>
                <w:rFonts w:ascii="Times New Roman" w:eastAsia="Times New Roman" w:hAnsi="Times New Roman" w:cs="Times New Roman"/>
                <w:sz w:val="24"/>
                <w:szCs w:val="24"/>
              </w:rPr>
              <w:t xml:space="preserve">w </w:t>
            </w:r>
            <w:r w:rsidRPr="00805A00">
              <w:rPr>
                <w:rFonts w:ascii="Times New Roman" w:eastAsia="Times New Roman" w:hAnsi="Times New Roman" w:cs="Times New Roman"/>
                <w:spacing w:val="-1"/>
                <w:sz w:val="24"/>
                <w:szCs w:val="24"/>
              </w:rPr>
              <w:t>a</w:t>
            </w:r>
            <w:r w:rsidRPr="00805A00">
              <w:rPr>
                <w:rFonts w:ascii="Times New Roman" w:eastAsia="Times New Roman" w:hAnsi="Times New Roman" w:cs="Times New Roman"/>
                <w:sz w:val="24"/>
                <w:szCs w:val="24"/>
              </w:rPr>
              <w:t>nd Ov</w:t>
            </w:r>
            <w:r w:rsidRPr="00805A00">
              <w:rPr>
                <w:rFonts w:ascii="Times New Roman" w:eastAsia="Times New Roman" w:hAnsi="Times New Roman" w:cs="Times New Roman"/>
                <w:spacing w:val="-1"/>
                <w:sz w:val="24"/>
                <w:szCs w:val="24"/>
              </w:rPr>
              <w:t>er</w:t>
            </w:r>
            <w:r w:rsidRPr="00805A00">
              <w:rPr>
                <w:rFonts w:ascii="Times New Roman" w:eastAsia="Times New Roman" w:hAnsi="Times New Roman" w:cs="Times New Roman"/>
                <w:sz w:val="24"/>
                <w:szCs w:val="24"/>
              </w:rPr>
              <w:t>si</w:t>
            </w:r>
            <w:r w:rsidRPr="00805A00">
              <w:rPr>
                <w:rFonts w:ascii="Times New Roman" w:eastAsia="Times New Roman" w:hAnsi="Times New Roman" w:cs="Times New Roman"/>
                <w:spacing w:val="-2"/>
                <w:sz w:val="24"/>
                <w:szCs w:val="24"/>
              </w:rPr>
              <w:t>g</w:t>
            </w:r>
            <w:r w:rsidRPr="00805A00">
              <w:rPr>
                <w:rFonts w:ascii="Times New Roman" w:eastAsia="Times New Roman" w:hAnsi="Times New Roman" w:cs="Times New Roman"/>
                <w:sz w:val="24"/>
                <w:szCs w:val="24"/>
              </w:rPr>
              <w:t>ht</w:t>
            </w:r>
          </w:p>
        </w:tc>
        <w:tc>
          <w:tcPr>
            <w:tcW w:w="4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1479" w:rsidRPr="00805A00" w:rsidP="003C4C33" w14:paraId="5F66D0E3" w14:textId="77777777">
            <w:pPr>
              <w:ind w:left="80"/>
            </w:pPr>
          </w:p>
        </w:tc>
      </w:tr>
      <w:tr w14:paraId="669CFFAD" w14:textId="77777777" w:rsidTr="00553ADE">
        <w:tblPrEx>
          <w:tblW w:w="9190" w:type="dxa"/>
          <w:tblLayout w:type="fixed"/>
          <w:tblCellMar>
            <w:left w:w="0" w:type="dxa"/>
            <w:right w:w="0" w:type="dxa"/>
          </w:tblCellMar>
          <w:tblLook w:val="01E0"/>
        </w:tblPrEx>
        <w:trPr>
          <w:trHeight w:hRule="exact" w:val="305"/>
        </w:trPr>
        <w:tc>
          <w:tcPr>
            <w:tcW w:w="5040" w:type="dxa"/>
            <w:tcBorders>
              <w:top w:val="nil"/>
              <w:left w:val="single" w:sz="4" w:space="0" w:color="000000" w:themeColor="text1"/>
              <w:bottom w:val="single" w:sz="4" w:space="0" w:color="000000" w:themeColor="text1"/>
              <w:right w:val="single" w:sz="4" w:space="0" w:color="000000" w:themeColor="text1"/>
            </w:tcBorders>
          </w:tcPr>
          <w:p w:rsidR="00D91479" w:rsidRPr="00805A00" w:rsidP="00197ED3" w14:paraId="6F2B9A34" w14:textId="2452E8A1">
            <w:pPr>
              <w:spacing w:before="18"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805A00">
              <w:rPr>
                <w:rFonts w:ascii="Times New Roman" w:eastAsia="Times New Roman" w:hAnsi="Times New Roman" w:cs="Times New Roman"/>
                <w:sz w:val="24"/>
                <w:szCs w:val="24"/>
              </w:rPr>
              <w:t xml:space="preserve"> G</w:t>
            </w:r>
            <w:r w:rsidRPr="00805A00">
              <w:rPr>
                <w:rFonts w:ascii="Times New Roman" w:eastAsia="Times New Roman" w:hAnsi="Times New Roman" w:cs="Times New Roman"/>
                <w:spacing w:val="1"/>
                <w:sz w:val="24"/>
                <w:szCs w:val="24"/>
              </w:rPr>
              <w:t>S</w:t>
            </w:r>
            <w:r w:rsidRPr="00805A00">
              <w:rPr>
                <w:rFonts w:ascii="Times New Roman" w:eastAsia="Times New Roman" w:hAnsi="Times New Roman" w:cs="Times New Roman"/>
                <w:spacing w:val="-1"/>
                <w:sz w:val="24"/>
                <w:szCs w:val="24"/>
              </w:rPr>
              <w:t>-</w:t>
            </w:r>
            <w:r w:rsidRPr="00805A00">
              <w:rPr>
                <w:rFonts w:ascii="Times New Roman" w:eastAsia="Times New Roman" w:hAnsi="Times New Roman" w:cs="Times New Roman"/>
                <w:sz w:val="24"/>
                <w:szCs w:val="24"/>
              </w:rPr>
              <w:t xml:space="preserve">15: </w:t>
            </w:r>
            <w:r>
              <w:rPr>
                <w:rFonts w:ascii="Times New Roman" w:eastAsia="Times New Roman" w:hAnsi="Times New Roman" w:cs="Times New Roman"/>
                <w:sz w:val="24"/>
                <w:szCs w:val="24"/>
              </w:rPr>
              <w:t>1</w:t>
            </w:r>
            <w:r w:rsidRPr="00805A00">
              <w:rPr>
                <w:rFonts w:ascii="Times New Roman" w:eastAsia="Times New Roman" w:hAnsi="Times New Roman" w:cs="Times New Roman"/>
                <w:sz w:val="24"/>
                <w:szCs w:val="24"/>
              </w:rPr>
              <w:t xml:space="preserve"> x</w:t>
            </w:r>
            <w:r w:rsidRPr="00805A00">
              <w:rPr>
                <w:rFonts w:ascii="Times New Roman" w:eastAsia="Times New Roman" w:hAnsi="Times New Roman" w:cs="Times New Roman"/>
                <w:spacing w:val="2"/>
                <w:sz w:val="24"/>
                <w:szCs w:val="24"/>
              </w:rPr>
              <w:t xml:space="preserve"> </w:t>
            </w:r>
            <w:r w:rsidRPr="00805A00">
              <w:rPr>
                <w:rFonts w:ascii="Times New Roman" w:eastAsia="Times New Roman" w:hAnsi="Times New Roman" w:cs="Times New Roman"/>
                <w:sz w:val="24"/>
                <w:szCs w:val="24"/>
              </w:rPr>
              <w:t>$</w:t>
            </w:r>
            <w:r w:rsidR="009F6A3F">
              <w:rPr>
                <w:rFonts w:ascii="Times New Roman" w:eastAsia="Times New Roman" w:hAnsi="Times New Roman" w:cs="Times New Roman"/>
                <w:sz w:val="24"/>
                <w:szCs w:val="24"/>
              </w:rPr>
              <w:t>178.08</w:t>
            </w:r>
            <w:r w:rsidRPr="00805A00">
              <w:rPr>
                <w:rFonts w:ascii="Times New Roman" w:eastAsia="Times New Roman" w:hAnsi="Times New Roman" w:cs="Times New Roman"/>
                <w:sz w:val="24"/>
                <w:szCs w:val="24"/>
              </w:rPr>
              <w:t xml:space="preserve"> x</w:t>
            </w:r>
            <w:r w:rsidRPr="00805A00">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20</w:t>
            </w:r>
            <w:r w:rsidRPr="00805A00">
              <w:rPr>
                <w:rFonts w:ascii="Times New Roman" w:eastAsia="Times New Roman" w:hAnsi="Times New Roman" w:cs="Times New Roman"/>
                <w:sz w:val="24"/>
                <w:szCs w:val="24"/>
              </w:rPr>
              <w:t xml:space="preserve"> </w:t>
            </w:r>
            <w:r w:rsidRPr="00805A00">
              <w:rPr>
                <w:rFonts w:ascii="Times New Roman" w:eastAsia="Times New Roman" w:hAnsi="Times New Roman" w:cs="Times New Roman"/>
                <w:sz w:val="24"/>
                <w:szCs w:val="24"/>
              </w:rPr>
              <w:t>hou</w:t>
            </w:r>
            <w:r w:rsidRPr="00805A00">
              <w:rPr>
                <w:rFonts w:ascii="Times New Roman" w:eastAsia="Times New Roman" w:hAnsi="Times New Roman" w:cs="Times New Roman"/>
                <w:spacing w:val="-1"/>
                <w:sz w:val="24"/>
                <w:szCs w:val="24"/>
              </w:rPr>
              <w:t>r</w:t>
            </w:r>
            <w:r w:rsidRPr="00805A00">
              <w:rPr>
                <w:rFonts w:ascii="Times New Roman" w:eastAsia="Times New Roman" w:hAnsi="Times New Roman" w:cs="Times New Roman"/>
                <w:sz w:val="24"/>
                <w:szCs w:val="24"/>
              </w:rPr>
              <w:t>s</w:t>
            </w:r>
          </w:p>
        </w:tc>
        <w:tc>
          <w:tcPr>
            <w:tcW w:w="4150" w:type="dxa"/>
            <w:tcBorders>
              <w:top w:val="nil"/>
              <w:left w:val="single" w:sz="4" w:space="0" w:color="000000" w:themeColor="text1"/>
              <w:bottom w:val="single" w:sz="4" w:space="0" w:color="000000" w:themeColor="text1"/>
              <w:right w:val="single" w:sz="4" w:space="0" w:color="000000" w:themeColor="text1"/>
            </w:tcBorders>
          </w:tcPr>
          <w:p w:rsidR="00D91479" w:rsidRPr="00805A00" w:rsidP="003C4C33" w14:paraId="76C7B5F9" w14:textId="43BA2814">
            <w:pPr>
              <w:spacing w:before="18" w:after="0" w:line="240" w:lineRule="auto"/>
              <w:ind w:left="80" w:right="82"/>
              <w:rPr>
                <w:rFonts w:ascii="Times New Roman" w:eastAsia="Times New Roman" w:hAnsi="Times New Roman" w:cs="Times New Roman"/>
                <w:sz w:val="24"/>
                <w:szCs w:val="24"/>
              </w:rPr>
            </w:pPr>
            <w:r w:rsidRPr="00805A00">
              <w:rPr>
                <w:rFonts w:ascii="Times New Roman" w:eastAsia="Times New Roman" w:hAnsi="Times New Roman" w:cs="Times New Roman"/>
                <w:sz w:val="24"/>
                <w:szCs w:val="24"/>
              </w:rPr>
              <w:t>$</w:t>
            </w:r>
            <w:r w:rsidR="009F6A3F">
              <w:rPr>
                <w:rFonts w:ascii="Times New Roman" w:eastAsia="Times New Roman" w:hAnsi="Times New Roman" w:cs="Times New Roman"/>
                <w:sz w:val="24"/>
                <w:szCs w:val="24"/>
              </w:rPr>
              <w:t>3,561.60</w:t>
            </w:r>
          </w:p>
        </w:tc>
      </w:tr>
      <w:tr w14:paraId="5E10D520" w14:textId="77777777" w:rsidTr="00553ADE">
        <w:tblPrEx>
          <w:tblW w:w="9190" w:type="dxa"/>
          <w:tblLayout w:type="fixed"/>
          <w:tblCellMar>
            <w:left w:w="0" w:type="dxa"/>
            <w:right w:w="0" w:type="dxa"/>
          </w:tblCellMar>
          <w:tblLook w:val="01E0"/>
        </w:tblPrEx>
        <w:trPr>
          <w:trHeight w:hRule="exact" w:val="310"/>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1479" w:rsidRPr="00805A00" w:rsidP="00E60984" w14:paraId="3009712E" w14:textId="77777777"/>
        </w:tc>
        <w:tc>
          <w:tcPr>
            <w:tcW w:w="4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1479" w:rsidRPr="00805A00" w:rsidP="003C4C33" w14:paraId="7547C9AC" w14:textId="77777777">
            <w:pPr>
              <w:ind w:left="80"/>
            </w:pPr>
          </w:p>
        </w:tc>
      </w:tr>
      <w:tr w14:paraId="20EF4A09" w14:textId="77777777" w:rsidTr="00553ADE">
        <w:tblPrEx>
          <w:tblW w:w="9190" w:type="dxa"/>
          <w:tblLayout w:type="fixed"/>
          <w:tblCellMar>
            <w:left w:w="0" w:type="dxa"/>
            <w:right w:w="0" w:type="dxa"/>
          </w:tblCellMar>
          <w:tblLook w:val="01E0"/>
        </w:tblPrEx>
        <w:trPr>
          <w:trHeight w:hRule="exact" w:val="577"/>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405A" w:rsidRPr="00635E5F" w:rsidP="00CD07B4" w14:paraId="773F0380" w14:textId="1A0CDDF3">
            <w:pPr>
              <w:spacing w:before="17" w:after="0" w:line="240" w:lineRule="auto"/>
              <w:ind w:left="102" w:right="-20"/>
              <w:rPr>
                <w:rFonts w:ascii="Times New Roman" w:hAnsi="Times New Roman" w:cs="Times New Roman"/>
                <w:sz w:val="24"/>
                <w:szCs w:val="24"/>
              </w:rPr>
            </w:pPr>
            <w:r w:rsidRPr="002D48C0">
              <w:rPr>
                <w:rFonts w:ascii="Times New Roman" w:eastAsia="Times New Roman" w:hAnsi="Times New Roman" w:cs="Times New Roman"/>
                <w:sz w:val="24"/>
                <w:szCs w:val="24"/>
              </w:rPr>
              <w:t xml:space="preserve">Federal </w:t>
            </w:r>
            <w:r w:rsidRPr="002D48C0" w:rsidR="00CD07B4">
              <w:rPr>
                <w:rFonts w:ascii="Times New Roman" w:eastAsia="Times New Roman" w:hAnsi="Times New Roman" w:cs="Times New Roman"/>
                <w:sz w:val="24"/>
                <w:szCs w:val="24"/>
              </w:rPr>
              <w:t>C</w:t>
            </w:r>
            <w:r w:rsidRPr="002D48C0">
              <w:rPr>
                <w:rFonts w:ascii="Times New Roman" w:eastAsia="Times New Roman" w:hAnsi="Times New Roman" w:cs="Times New Roman"/>
                <w:sz w:val="24"/>
                <w:szCs w:val="24"/>
              </w:rPr>
              <w:t xml:space="preserve">ontracts and </w:t>
            </w:r>
            <w:r w:rsidRPr="002D48C0" w:rsidR="00CD07B4">
              <w:rPr>
                <w:rFonts w:ascii="Times New Roman" w:eastAsia="Times New Roman" w:hAnsi="Times New Roman" w:cs="Times New Roman"/>
                <w:sz w:val="24"/>
                <w:szCs w:val="24"/>
              </w:rPr>
              <w:t>C</w:t>
            </w:r>
            <w:r w:rsidRPr="002D48C0">
              <w:rPr>
                <w:rFonts w:ascii="Times New Roman" w:eastAsia="Times New Roman" w:hAnsi="Times New Roman" w:cs="Times New Roman"/>
                <w:sz w:val="24"/>
                <w:szCs w:val="24"/>
              </w:rPr>
              <w:t>ontractors</w:t>
            </w:r>
            <w:r w:rsidR="00DB48FE">
              <w:rPr>
                <w:rFonts w:ascii="Times New Roman" w:eastAsia="Times New Roman" w:hAnsi="Times New Roman" w:cs="Times New Roman"/>
                <w:sz w:val="24"/>
                <w:szCs w:val="24"/>
              </w:rPr>
              <w:t xml:space="preserve"> </w:t>
            </w:r>
            <w:r w:rsidR="00055F8B">
              <w:rPr>
                <w:rFonts w:ascii="Times New Roman" w:eastAsia="Times New Roman" w:hAnsi="Times New Roman" w:cs="Times New Roman"/>
                <w:sz w:val="24"/>
                <w:szCs w:val="24"/>
              </w:rPr>
              <w:t>Ongoing Reviews and Oversight for 1a-</w:t>
            </w:r>
            <w:r w:rsidR="00EB3935">
              <w:rPr>
                <w:rFonts w:ascii="Times New Roman" w:eastAsia="Times New Roman" w:hAnsi="Times New Roman" w:cs="Times New Roman"/>
                <w:sz w:val="24"/>
                <w:szCs w:val="24"/>
              </w:rPr>
              <w:t xml:space="preserve"> 1k</w:t>
            </w:r>
          </w:p>
        </w:tc>
        <w:tc>
          <w:tcPr>
            <w:tcW w:w="4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405A" w:rsidRPr="00635E5F" w:rsidP="003C4C33" w14:paraId="47765031" w14:textId="5964CFE5">
            <w:pPr>
              <w:ind w:left="80"/>
              <w:rPr>
                <w:rFonts w:ascii="Times New Roman" w:hAnsi="Times New Roman" w:cs="Times New Roman"/>
                <w:sz w:val="24"/>
                <w:szCs w:val="24"/>
              </w:rPr>
            </w:pPr>
            <w:r w:rsidRPr="00DB2175">
              <w:rPr>
                <w:rFonts w:ascii="Times New Roman" w:hAnsi="Times New Roman" w:cs="Times New Roman"/>
                <w:sz w:val="24"/>
                <w:szCs w:val="24"/>
              </w:rPr>
              <w:t>$1,029,189.97</w:t>
            </w:r>
          </w:p>
        </w:tc>
      </w:tr>
      <w:tr w14:paraId="7B889979" w14:textId="77777777" w:rsidTr="00553ADE">
        <w:tblPrEx>
          <w:tblW w:w="9190" w:type="dxa"/>
          <w:tblLayout w:type="fixed"/>
          <w:tblCellMar>
            <w:left w:w="0" w:type="dxa"/>
            <w:right w:w="0" w:type="dxa"/>
          </w:tblCellMar>
          <w:tblLook w:val="01E0"/>
        </w:tblPrEx>
        <w:trPr>
          <w:trHeight w:hRule="exact" w:val="460"/>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1479" w:rsidRPr="00231FB0" w:rsidP="00E60984" w14:paraId="46CD2064" w14:textId="77777777">
            <w:pPr>
              <w:spacing w:before="17" w:after="0" w:line="240" w:lineRule="auto"/>
              <w:ind w:left="102" w:right="-20"/>
              <w:rPr>
                <w:rFonts w:ascii="Times New Roman" w:eastAsia="Times New Roman" w:hAnsi="Times New Roman" w:cs="Times New Roman"/>
                <w:b/>
                <w:bCs/>
                <w:sz w:val="24"/>
                <w:szCs w:val="24"/>
              </w:rPr>
            </w:pPr>
            <w:r w:rsidRPr="00231FB0">
              <w:rPr>
                <w:rFonts w:ascii="Times New Roman" w:eastAsia="Times New Roman" w:hAnsi="Times New Roman" w:cs="Times New Roman"/>
                <w:b/>
                <w:bCs/>
                <w:sz w:val="24"/>
                <w:szCs w:val="24"/>
              </w:rPr>
              <w:t>Tot</w:t>
            </w:r>
            <w:r w:rsidRPr="00231FB0">
              <w:rPr>
                <w:rFonts w:ascii="Times New Roman" w:eastAsia="Times New Roman" w:hAnsi="Times New Roman" w:cs="Times New Roman"/>
                <w:b/>
                <w:bCs/>
                <w:spacing w:val="-1"/>
                <w:sz w:val="24"/>
                <w:szCs w:val="24"/>
              </w:rPr>
              <w:t>a</w:t>
            </w:r>
            <w:r w:rsidRPr="00231FB0">
              <w:rPr>
                <w:rFonts w:ascii="Times New Roman" w:eastAsia="Times New Roman" w:hAnsi="Times New Roman" w:cs="Times New Roman"/>
                <w:b/>
                <w:bCs/>
                <w:sz w:val="24"/>
                <w:szCs w:val="24"/>
              </w:rPr>
              <w:t xml:space="preserve">l </w:t>
            </w:r>
            <w:r w:rsidRPr="00231FB0">
              <w:rPr>
                <w:rFonts w:ascii="Times New Roman" w:eastAsia="Times New Roman" w:hAnsi="Times New Roman" w:cs="Times New Roman"/>
                <w:b/>
                <w:bCs/>
                <w:spacing w:val="1"/>
                <w:sz w:val="24"/>
                <w:szCs w:val="24"/>
              </w:rPr>
              <w:t>C</w:t>
            </w:r>
            <w:r w:rsidRPr="00231FB0">
              <w:rPr>
                <w:rFonts w:ascii="Times New Roman" w:eastAsia="Times New Roman" w:hAnsi="Times New Roman" w:cs="Times New Roman"/>
                <w:b/>
                <w:bCs/>
                <w:sz w:val="24"/>
                <w:szCs w:val="24"/>
              </w:rPr>
              <w:t>osts to Gov</w:t>
            </w:r>
            <w:r w:rsidRPr="00231FB0">
              <w:rPr>
                <w:rFonts w:ascii="Times New Roman" w:eastAsia="Times New Roman" w:hAnsi="Times New Roman" w:cs="Times New Roman"/>
                <w:b/>
                <w:bCs/>
                <w:spacing w:val="-1"/>
                <w:sz w:val="24"/>
                <w:szCs w:val="24"/>
              </w:rPr>
              <w:t>er</w:t>
            </w:r>
            <w:r w:rsidRPr="00231FB0">
              <w:rPr>
                <w:rFonts w:ascii="Times New Roman" w:eastAsia="Times New Roman" w:hAnsi="Times New Roman" w:cs="Times New Roman"/>
                <w:b/>
                <w:bCs/>
                <w:sz w:val="24"/>
                <w:szCs w:val="24"/>
              </w:rPr>
              <w:t>nm</w:t>
            </w:r>
            <w:r w:rsidRPr="00231FB0">
              <w:rPr>
                <w:rFonts w:ascii="Times New Roman" w:eastAsia="Times New Roman" w:hAnsi="Times New Roman" w:cs="Times New Roman"/>
                <w:b/>
                <w:bCs/>
                <w:spacing w:val="-1"/>
                <w:sz w:val="24"/>
                <w:szCs w:val="24"/>
              </w:rPr>
              <w:t>e</w:t>
            </w:r>
            <w:r w:rsidRPr="00231FB0">
              <w:rPr>
                <w:rFonts w:ascii="Times New Roman" w:eastAsia="Times New Roman" w:hAnsi="Times New Roman" w:cs="Times New Roman"/>
                <w:b/>
                <w:bCs/>
                <w:sz w:val="24"/>
                <w:szCs w:val="24"/>
              </w:rPr>
              <w:t>nt</w:t>
            </w:r>
          </w:p>
        </w:tc>
        <w:tc>
          <w:tcPr>
            <w:tcW w:w="4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6B09" w:rsidP="003C4C33" w14:paraId="08818CAC" w14:textId="57A072DD">
            <w:pPr>
              <w:spacing w:before="17" w:after="0" w:line="240" w:lineRule="auto"/>
              <w:ind w:left="80" w:right="82"/>
              <w:rPr>
                <w:rFonts w:ascii="Times New Roman" w:eastAsia="Times New Roman" w:hAnsi="Times New Roman" w:cs="Times New Roman"/>
                <w:b/>
                <w:bCs/>
                <w:sz w:val="24"/>
                <w:szCs w:val="24"/>
              </w:rPr>
            </w:pPr>
            <w:r w:rsidRPr="00412C1A">
              <w:rPr>
                <w:rFonts w:ascii="Times New Roman" w:eastAsia="Times New Roman" w:hAnsi="Times New Roman" w:cs="Times New Roman"/>
                <w:b/>
                <w:bCs/>
                <w:sz w:val="24"/>
                <w:szCs w:val="24"/>
              </w:rPr>
              <w:t>$</w:t>
            </w:r>
            <w:r w:rsidR="009F6A3F">
              <w:rPr>
                <w:rFonts w:ascii="Times New Roman" w:eastAsia="Times New Roman" w:hAnsi="Times New Roman" w:cs="Times New Roman"/>
                <w:b/>
                <w:bCs/>
                <w:sz w:val="24"/>
                <w:szCs w:val="24"/>
              </w:rPr>
              <w:t>1,058,375.57</w:t>
            </w:r>
          </w:p>
          <w:p w:rsidR="009F6B09" w:rsidP="003C4C33" w14:paraId="548CD30C" w14:textId="77777777">
            <w:pPr>
              <w:spacing w:before="17" w:after="0" w:line="240" w:lineRule="auto"/>
              <w:ind w:left="80" w:right="82"/>
              <w:rPr>
                <w:rFonts w:ascii="Times New Roman" w:eastAsia="Times New Roman" w:hAnsi="Times New Roman" w:cs="Times New Roman"/>
                <w:b/>
                <w:bCs/>
                <w:sz w:val="24"/>
                <w:szCs w:val="24"/>
              </w:rPr>
            </w:pPr>
          </w:p>
          <w:p w:rsidR="009F6B09" w:rsidP="003C4C33" w14:paraId="0526D73B" w14:textId="77777777">
            <w:pPr>
              <w:spacing w:before="17" w:after="0" w:line="240" w:lineRule="auto"/>
              <w:ind w:left="80" w:right="82"/>
              <w:rPr>
                <w:rFonts w:ascii="Times New Roman" w:eastAsia="Times New Roman" w:hAnsi="Times New Roman" w:cs="Times New Roman"/>
                <w:b/>
                <w:bCs/>
                <w:sz w:val="24"/>
                <w:szCs w:val="24"/>
              </w:rPr>
            </w:pPr>
          </w:p>
          <w:p w:rsidR="00583CC6" w:rsidRPr="00231FB0" w:rsidP="003C4C33" w14:paraId="5BEE5758" w14:textId="77777777">
            <w:pPr>
              <w:spacing w:before="17" w:after="0" w:line="240" w:lineRule="auto"/>
              <w:ind w:left="80" w:right="82"/>
              <w:rPr>
                <w:rFonts w:ascii="Times New Roman" w:eastAsia="Times New Roman" w:hAnsi="Times New Roman" w:cs="Times New Roman"/>
                <w:b/>
                <w:bCs/>
                <w:sz w:val="24"/>
                <w:szCs w:val="24"/>
              </w:rPr>
            </w:pPr>
          </w:p>
          <w:p w:rsidR="00D91479" w:rsidRPr="00231FB0" w:rsidP="003C4C33" w14:paraId="781524CE" w14:textId="2EF423A8">
            <w:pPr>
              <w:spacing w:before="17" w:after="0" w:line="240" w:lineRule="auto"/>
              <w:ind w:left="80" w:right="82"/>
              <w:rPr>
                <w:rFonts w:ascii="Times New Roman" w:eastAsia="Times New Roman" w:hAnsi="Times New Roman" w:cs="Times New Roman"/>
                <w:b/>
                <w:bCs/>
                <w:sz w:val="24"/>
                <w:szCs w:val="24"/>
              </w:rPr>
            </w:pPr>
          </w:p>
          <w:p w:rsidR="00D91479" w:rsidRPr="00231FB0" w:rsidP="003C4C33" w14:paraId="46606828" w14:textId="17275127">
            <w:pPr>
              <w:spacing w:before="17" w:after="0" w:line="240" w:lineRule="auto"/>
              <w:ind w:left="80" w:right="82"/>
              <w:rPr>
                <w:rFonts w:ascii="Times New Roman" w:eastAsia="Times New Roman" w:hAnsi="Times New Roman" w:cs="Times New Roman"/>
                <w:b/>
                <w:bCs/>
                <w:sz w:val="24"/>
                <w:szCs w:val="24"/>
              </w:rPr>
            </w:pPr>
          </w:p>
        </w:tc>
      </w:tr>
      <w:bookmarkEnd w:id="84"/>
    </w:tbl>
    <w:p w:rsidR="007D3F99" w:rsidP="00231FB0" w14:paraId="5147643E" w14:textId="77777777">
      <w:pPr>
        <w:spacing w:after="0" w:line="240" w:lineRule="auto"/>
        <w:ind w:right="-20"/>
        <w:rPr>
          <w:rFonts w:ascii="Times New Roman" w:eastAsia="Times New Roman" w:hAnsi="Times New Roman" w:cs="Times New Roman"/>
          <w:position w:val="-1"/>
          <w:sz w:val="24"/>
          <w:szCs w:val="24"/>
        </w:rPr>
      </w:pPr>
    </w:p>
    <w:p w:rsidR="00D91479" w:rsidRPr="00431CFF" w:rsidP="00231FB0" w14:paraId="13138CAD" w14:textId="5170039C">
      <w:pPr>
        <w:spacing w:after="0" w:line="240" w:lineRule="auto"/>
        <w:ind w:right="-20"/>
        <w:rPr>
          <w:rFonts w:ascii="Times New Roman" w:eastAsia="Times New Roman" w:hAnsi="Times New Roman" w:cs="Times New Roman"/>
          <w:position w:val="-1"/>
          <w:sz w:val="24"/>
          <w:szCs w:val="24"/>
          <w:u w:val="single"/>
        </w:rPr>
      </w:pPr>
      <w:r w:rsidRPr="00805A00">
        <w:rPr>
          <w:rFonts w:ascii="Times New Roman" w:eastAsia="Times New Roman" w:hAnsi="Times New Roman" w:cs="Times New Roman"/>
          <w:position w:val="-1"/>
          <w:sz w:val="24"/>
          <w:szCs w:val="24"/>
        </w:rPr>
        <w:t xml:space="preserve">15. </w:t>
      </w:r>
      <w:r w:rsidRPr="00396933">
        <w:rPr>
          <w:rFonts w:ascii="Times New Roman" w:eastAsia="Times New Roman" w:hAnsi="Times New Roman" w:cs="Times New Roman"/>
          <w:position w:val="-1"/>
          <w:sz w:val="24"/>
          <w:szCs w:val="24"/>
        </w:rPr>
        <w:t xml:space="preserve"> </w:t>
      </w:r>
      <w:r w:rsidRPr="00431CFF">
        <w:rPr>
          <w:rFonts w:ascii="Times New Roman" w:eastAsia="Times New Roman" w:hAnsi="Times New Roman" w:cs="Times New Roman"/>
          <w:position w:val="-1"/>
          <w:sz w:val="24"/>
          <w:szCs w:val="24"/>
          <w:u w:val="single"/>
        </w:rPr>
        <w:t>Changes to Burden</w:t>
      </w:r>
    </w:p>
    <w:p w:rsidR="00D91479" w:rsidRPr="00805A00" w:rsidP="00D91479" w14:paraId="7008828A" w14:textId="77777777">
      <w:pPr>
        <w:spacing w:before="6" w:after="0" w:line="260" w:lineRule="exact"/>
        <w:rPr>
          <w:sz w:val="26"/>
          <w:szCs w:val="26"/>
        </w:rPr>
      </w:pPr>
    </w:p>
    <w:p w:rsidR="00D91479" w:rsidRPr="00396933" w:rsidP="00396933" w14:paraId="1184E318" w14:textId="2E40F4FA">
      <w:pPr>
        <w:spacing w:after="0" w:line="240" w:lineRule="auto"/>
        <w:rPr>
          <w:rFonts w:ascii="Times New Roman" w:eastAsia="Times New Roman" w:hAnsi="Times New Roman" w:cs="Times New Roman"/>
          <w:position w:val="-1"/>
          <w:sz w:val="24"/>
          <w:szCs w:val="24"/>
        </w:rPr>
      </w:pPr>
      <w:r w:rsidRPr="00396933">
        <w:rPr>
          <w:rFonts w:ascii="Times New Roman" w:eastAsia="Times New Roman" w:hAnsi="Times New Roman" w:cs="Times New Roman"/>
          <w:position w:val="-1"/>
          <w:sz w:val="24"/>
          <w:szCs w:val="24"/>
        </w:rPr>
        <w:t>There are no changes to the burden</w:t>
      </w:r>
      <w:r w:rsidR="001A6382">
        <w:rPr>
          <w:rFonts w:ascii="Times New Roman" w:eastAsia="Times New Roman" w:hAnsi="Times New Roman" w:cs="Times New Roman"/>
          <w:position w:val="-1"/>
          <w:sz w:val="24"/>
          <w:szCs w:val="24"/>
        </w:rPr>
        <w:t xml:space="preserve"> as this</w:t>
      </w:r>
      <w:r w:rsidR="008A15AF">
        <w:rPr>
          <w:rFonts w:ascii="Times New Roman" w:eastAsia="Times New Roman" w:hAnsi="Times New Roman" w:cs="Times New Roman"/>
          <w:position w:val="-1"/>
          <w:sz w:val="24"/>
          <w:szCs w:val="24"/>
        </w:rPr>
        <w:t xml:space="preserve"> is</w:t>
      </w:r>
      <w:r w:rsidRPr="00396933">
        <w:rPr>
          <w:rFonts w:ascii="Times New Roman" w:eastAsia="Times New Roman" w:hAnsi="Times New Roman" w:cs="Times New Roman"/>
          <w:position w:val="-1"/>
          <w:sz w:val="24"/>
          <w:szCs w:val="24"/>
        </w:rPr>
        <w:t xml:space="preserve"> a new </w:t>
      </w:r>
      <w:r w:rsidRPr="00396933" w:rsidR="00C039E0">
        <w:rPr>
          <w:rFonts w:ascii="Times New Roman" w:eastAsia="Times New Roman" w:hAnsi="Times New Roman" w:cs="Times New Roman"/>
          <w:position w:val="-1"/>
          <w:sz w:val="24"/>
          <w:szCs w:val="24"/>
        </w:rPr>
        <w:t xml:space="preserve">information </w:t>
      </w:r>
      <w:r w:rsidRPr="00396933">
        <w:rPr>
          <w:rFonts w:ascii="Times New Roman" w:eastAsia="Times New Roman" w:hAnsi="Times New Roman" w:cs="Times New Roman"/>
          <w:position w:val="-1"/>
          <w:sz w:val="24"/>
          <w:szCs w:val="24"/>
        </w:rPr>
        <w:t>collection.</w:t>
      </w:r>
    </w:p>
    <w:p w:rsidR="00D91479" w:rsidRPr="00805A00" w:rsidP="00D91479" w14:paraId="3208C60B" w14:textId="77777777">
      <w:pPr>
        <w:spacing w:before="10" w:after="0" w:line="280" w:lineRule="exact"/>
        <w:rPr>
          <w:sz w:val="28"/>
          <w:szCs w:val="28"/>
        </w:rPr>
      </w:pPr>
    </w:p>
    <w:p w:rsidR="00D91479" w:rsidRPr="00805A00" w:rsidP="00C91A31" w14:paraId="15A261ED" w14:textId="77777777">
      <w:pPr>
        <w:spacing w:after="0" w:line="240" w:lineRule="auto"/>
        <w:ind w:right="-20"/>
        <w:rPr>
          <w:rFonts w:ascii="Times New Roman" w:eastAsia="Times New Roman" w:hAnsi="Times New Roman" w:cs="Times New Roman"/>
          <w:sz w:val="24"/>
          <w:szCs w:val="24"/>
        </w:rPr>
      </w:pPr>
      <w:r w:rsidRPr="00805A00">
        <w:rPr>
          <w:rFonts w:ascii="Times New Roman" w:eastAsia="Times New Roman" w:hAnsi="Times New Roman" w:cs="Times New Roman"/>
          <w:sz w:val="24"/>
          <w:szCs w:val="24"/>
        </w:rPr>
        <w:t xml:space="preserve">16. </w:t>
      </w:r>
      <w:r w:rsidRPr="00396933">
        <w:rPr>
          <w:rFonts w:ascii="Times New Roman" w:eastAsia="Times New Roman" w:hAnsi="Times New Roman" w:cs="Times New Roman"/>
          <w:sz w:val="24"/>
          <w:szCs w:val="24"/>
        </w:rPr>
        <w:t xml:space="preserve"> </w:t>
      </w:r>
      <w:r w:rsidRPr="00431CFF">
        <w:rPr>
          <w:rFonts w:ascii="Times New Roman" w:eastAsia="Times New Roman" w:hAnsi="Times New Roman" w:cs="Times New Roman"/>
          <w:sz w:val="24"/>
          <w:szCs w:val="24"/>
          <w:u w:val="single"/>
        </w:rPr>
        <w:t>Publication/Tabulation Dates</w:t>
      </w:r>
    </w:p>
    <w:p w:rsidR="00F40B5E" w:rsidRPr="00805A00" w:rsidP="00D91479" w14:paraId="51559BAE" w14:textId="77777777">
      <w:pPr>
        <w:spacing w:before="10" w:after="0" w:line="280" w:lineRule="exact"/>
        <w:rPr>
          <w:sz w:val="28"/>
          <w:szCs w:val="28"/>
        </w:rPr>
      </w:pPr>
    </w:p>
    <w:p w:rsidR="001A6382" w:rsidRPr="001A6382" w:rsidP="001A6382" w14:paraId="7DDCF458" w14:textId="77777777">
      <w:pPr>
        <w:spacing w:before="10" w:after="0" w:line="280" w:lineRule="exact"/>
        <w:rPr>
          <w:rFonts w:ascii="Times New Roman" w:eastAsia="Times New Roman" w:hAnsi="Times New Roman" w:cs="Times New Roman"/>
          <w:position w:val="-1"/>
          <w:sz w:val="24"/>
          <w:szCs w:val="24"/>
        </w:rPr>
      </w:pPr>
      <w:r w:rsidRPr="001A6382">
        <w:rPr>
          <w:rFonts w:ascii="Times New Roman" w:eastAsia="Times New Roman" w:hAnsi="Times New Roman" w:cs="Times New Roman"/>
          <w:position w:val="-1"/>
          <w:sz w:val="24"/>
          <w:szCs w:val="24"/>
        </w:rPr>
        <w:t>Results of the collection will not be made public.</w:t>
      </w:r>
    </w:p>
    <w:p w:rsidR="00D91479" w:rsidRPr="00805A00" w:rsidP="00D91479" w14:paraId="2B24C08B" w14:textId="77777777">
      <w:pPr>
        <w:spacing w:before="6" w:after="0" w:line="260" w:lineRule="exact"/>
        <w:rPr>
          <w:sz w:val="26"/>
          <w:szCs w:val="26"/>
        </w:rPr>
      </w:pPr>
    </w:p>
    <w:p w:rsidR="00D91479" w:rsidRPr="00396933" w:rsidP="00C91A31" w14:paraId="3BFB50BD" w14:textId="77777777">
      <w:pPr>
        <w:spacing w:after="0" w:line="240" w:lineRule="auto"/>
        <w:ind w:right="-20"/>
        <w:rPr>
          <w:rFonts w:ascii="Times New Roman" w:eastAsia="Times New Roman" w:hAnsi="Times New Roman" w:cs="Times New Roman"/>
          <w:position w:val="-1"/>
          <w:sz w:val="24"/>
          <w:szCs w:val="24"/>
        </w:rPr>
      </w:pPr>
      <w:r w:rsidRPr="00805A00">
        <w:rPr>
          <w:rFonts w:ascii="Times New Roman" w:eastAsia="Times New Roman" w:hAnsi="Times New Roman" w:cs="Times New Roman"/>
          <w:position w:val="-1"/>
          <w:sz w:val="24"/>
          <w:szCs w:val="24"/>
        </w:rPr>
        <w:t xml:space="preserve">17. </w:t>
      </w:r>
      <w:r w:rsidRPr="00396933">
        <w:rPr>
          <w:rFonts w:ascii="Times New Roman" w:eastAsia="Times New Roman" w:hAnsi="Times New Roman" w:cs="Times New Roman"/>
          <w:position w:val="-1"/>
          <w:sz w:val="24"/>
          <w:szCs w:val="24"/>
        </w:rPr>
        <w:t xml:space="preserve"> </w:t>
      </w:r>
      <w:r w:rsidRPr="00431CFF">
        <w:rPr>
          <w:rFonts w:ascii="Times New Roman" w:eastAsia="Times New Roman" w:hAnsi="Times New Roman" w:cs="Times New Roman"/>
          <w:position w:val="-1"/>
          <w:sz w:val="24"/>
          <w:szCs w:val="24"/>
          <w:u w:val="single"/>
        </w:rPr>
        <w:t>Expiration Date</w:t>
      </w:r>
    </w:p>
    <w:p w:rsidR="00AB3157" w:rsidP="00D91479" w14:paraId="5E29522F" w14:textId="594166D5">
      <w:pPr>
        <w:spacing w:before="10" w:after="0" w:line="280" w:lineRule="exact"/>
        <w:rPr>
          <w:rFonts w:ascii="Times New Roman" w:eastAsia="Times New Roman" w:hAnsi="Times New Roman" w:cs="Times New Roman"/>
          <w:position w:val="-1"/>
          <w:sz w:val="24"/>
          <w:szCs w:val="24"/>
        </w:rPr>
      </w:pPr>
    </w:p>
    <w:p w:rsidR="00D91479" w:rsidP="00D91479" w14:paraId="526BD330" w14:textId="23CBD7FA">
      <w:pPr>
        <w:spacing w:before="10" w:after="0" w:line="280" w:lineRule="exact"/>
        <w:rPr>
          <w:sz w:val="28"/>
          <w:szCs w:val="28"/>
        </w:rPr>
      </w:pPr>
      <w:r w:rsidRPr="00AB3157">
        <w:rPr>
          <w:rFonts w:ascii="Times New Roman" w:eastAsia="Times New Roman" w:hAnsi="Times New Roman" w:cs="Times New Roman"/>
          <w:position w:val="-1"/>
          <w:sz w:val="24"/>
          <w:szCs w:val="24"/>
        </w:rPr>
        <w:t>The expiration date and OMB control number will appear on the first page of the instrument (top-right corner).</w:t>
      </w:r>
    </w:p>
    <w:p w:rsidR="00AA73A9" w14:paraId="0D91AE29" w14:textId="77777777"/>
    <w:bookmarkEnd w:id="0"/>
    <w:p w:rsidR="00E41B49" w14:paraId="411B66F9" w14:textId="77777777"/>
    <w:sectPr w:rsidSect="006A7E85">
      <w:footerReference w:type="default" r:id="rId16"/>
      <w:pgSz w:w="12240" w:h="15840"/>
      <w:pgMar w:top="1440" w:right="12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25413055"/>
      <w:docPartObj>
        <w:docPartGallery w:val="Page Numbers (Bottom of Page)"/>
        <w:docPartUnique/>
      </w:docPartObj>
    </w:sdtPr>
    <w:sdtEndPr>
      <w:rPr>
        <w:rFonts w:ascii="Times New Roman" w:hAnsi="Times New Roman" w:cs="Times New Roman"/>
        <w:noProof/>
      </w:rPr>
    </w:sdtEndPr>
    <w:sdtContent>
      <w:p w:rsidR="00F36526" w:rsidRPr="00886A82" w:rsidP="00886A82" w14:paraId="7F1391CC" w14:textId="770977FE">
        <w:pPr>
          <w:pStyle w:val="Footer"/>
          <w:shd w:val="clear" w:color="auto" w:fill="FFFFFF" w:themeFill="background1"/>
          <w:jc w:val="center"/>
          <w:rPr>
            <w:rFonts w:ascii="Times New Roman" w:hAnsi="Times New Roman" w:cs="Times New Roman"/>
          </w:rPr>
        </w:pPr>
        <w:r w:rsidRPr="00886A82">
          <w:rPr>
            <w:rFonts w:ascii="Times New Roman" w:hAnsi="Times New Roman" w:cs="Times New Roman"/>
            <w:shd w:val="clear" w:color="auto" w:fill="E6E6E6"/>
          </w:rPr>
          <w:fldChar w:fldCharType="begin"/>
        </w:r>
        <w:r w:rsidRPr="00886A82">
          <w:rPr>
            <w:rFonts w:ascii="Times New Roman" w:hAnsi="Times New Roman" w:cs="Times New Roman"/>
          </w:rPr>
          <w:instrText xml:space="preserve"> PAGE   \* MERGEFORMAT </w:instrText>
        </w:r>
        <w:r w:rsidRPr="00886A82">
          <w:rPr>
            <w:rFonts w:ascii="Times New Roman" w:hAnsi="Times New Roman" w:cs="Times New Roman"/>
            <w:shd w:val="clear" w:color="auto" w:fill="E6E6E6"/>
          </w:rPr>
          <w:fldChar w:fldCharType="separate"/>
        </w:r>
        <w:r w:rsidRPr="00886A82">
          <w:rPr>
            <w:rFonts w:ascii="Times New Roman" w:hAnsi="Times New Roman" w:cs="Times New Roman"/>
            <w:noProof/>
          </w:rPr>
          <w:t>6</w:t>
        </w:r>
        <w:r w:rsidRPr="00886A82">
          <w:rPr>
            <w:rFonts w:ascii="Times New Roman" w:hAnsi="Times New Roman" w:cs="Times New Roman"/>
            <w:noProof/>
            <w:shd w:val="clear" w:color="auto" w:fill="E6E6E6"/>
          </w:rPr>
          <w:fldChar w:fldCharType="end"/>
        </w:r>
      </w:p>
    </w:sdtContent>
  </w:sdt>
  <w:p w:rsidR="00F36526" w14:paraId="34E38C6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35C0E" w14:paraId="554C3731" w14:textId="77777777">
      <w:pPr>
        <w:spacing w:after="0" w:line="240" w:lineRule="auto"/>
      </w:pPr>
      <w:r>
        <w:separator/>
      </w:r>
    </w:p>
  </w:footnote>
  <w:footnote w:type="continuationSeparator" w:id="1">
    <w:p w:rsidR="00035C0E" w14:paraId="370E02EF" w14:textId="77777777">
      <w:pPr>
        <w:spacing w:after="0" w:line="240" w:lineRule="auto"/>
      </w:pPr>
      <w:r>
        <w:continuationSeparator/>
      </w:r>
    </w:p>
  </w:footnote>
  <w:footnote w:type="continuationNotice" w:id="2">
    <w:p w:rsidR="00035C0E" w14:paraId="4100282B" w14:textId="77777777">
      <w:pPr>
        <w:spacing w:after="0" w:line="240" w:lineRule="auto"/>
      </w:pPr>
    </w:p>
  </w:footnote>
  <w:footnote w:id="3">
    <w:p w:rsidR="00234238" w:rsidRPr="00CF00E4" w:rsidP="00234238" w14:paraId="49F9923F" w14:textId="77777777">
      <w:pPr>
        <w:pStyle w:val="FootnoteText"/>
        <w:rPr>
          <w:rFonts w:ascii="Times New Roman" w:hAnsi="Times New Roman" w:cs="Times New Roman"/>
        </w:rPr>
      </w:pPr>
      <w:r w:rsidRPr="00CF00E4">
        <w:rPr>
          <w:rStyle w:val="FootnoteReference"/>
          <w:rFonts w:ascii="Times New Roman" w:hAnsi="Times New Roman" w:cs="Times New Roman"/>
        </w:rPr>
        <w:footnoteRef/>
      </w:r>
      <w:r w:rsidRPr="00CF00E4">
        <w:rPr>
          <w:rFonts w:ascii="Times New Roman" w:hAnsi="Times New Roman" w:cs="Times New Roman"/>
        </w:rPr>
        <w:t xml:space="preserve"> State Exchange</w:t>
      </w:r>
      <w:r>
        <w:rPr>
          <w:rFonts w:ascii="Times New Roman" w:hAnsi="Times New Roman" w:cs="Times New Roman"/>
        </w:rPr>
        <w:t>(s)</w:t>
      </w:r>
      <w:r w:rsidRPr="00CF00E4">
        <w:rPr>
          <w:rFonts w:ascii="Times New Roman" w:hAnsi="Times New Roman" w:cs="Times New Roman"/>
        </w:rPr>
        <w:t xml:space="preserve"> refers to </w:t>
      </w:r>
      <w:r w:rsidRPr="00CF00E4">
        <w:rPr>
          <w:rFonts w:ascii="Times New Roman" w:eastAsia="Calibri" w:hAnsi="Times New Roman" w:cs="Times New Roman"/>
          <w:szCs w:val="24"/>
        </w:rPr>
        <w:t>State-based Exchanges that do not use the Federal platform.</w:t>
      </w:r>
    </w:p>
  </w:footnote>
  <w:footnote w:id="4">
    <w:p w:rsidR="00234238" w:rsidRPr="00CF00E4" w:rsidP="007D1903" w14:paraId="1DED0F6F" w14:textId="13744F3A">
      <w:pPr>
        <w:pStyle w:val="FootnoteText"/>
        <w:rPr>
          <w:rFonts w:ascii="Times New Roman" w:hAnsi="Times New Roman" w:cs="Times New Roman"/>
        </w:rPr>
      </w:pPr>
      <w:r w:rsidRPr="00CF00E4">
        <w:rPr>
          <w:rStyle w:val="FootnoteReference"/>
          <w:rFonts w:ascii="Times New Roman" w:hAnsi="Times New Roman" w:cs="Times New Roman"/>
        </w:rPr>
        <w:footnoteRef/>
      </w:r>
      <w:r w:rsidRPr="00CF00E4">
        <w:rPr>
          <w:rFonts w:ascii="Times New Roman" w:hAnsi="Times New Roman" w:cs="Times New Roman"/>
        </w:rPr>
        <w:t xml:space="preserve"> See CMS. (2023, July 12). </w:t>
      </w:r>
      <w:r w:rsidRPr="00CF00E4">
        <w:rPr>
          <w:rStyle w:val="Emphasis"/>
          <w:rFonts w:ascii="Times New Roman" w:hAnsi="Times New Roman" w:eastAsiaTheme="majorEastAsia" w:cs="Times New Roman"/>
        </w:rPr>
        <w:t>Federally-facilitated Exchange (FFE) Enrollment Manual.</w:t>
      </w:r>
      <w:r w:rsidRPr="00CF00E4">
        <w:rPr>
          <w:rFonts w:ascii="Times New Roman" w:hAnsi="Times New Roman" w:cs="Times New Roman"/>
        </w:rPr>
        <w:t xml:space="preserve"> (Section 4.4.2, p. 54).</w:t>
      </w:r>
      <w:r w:rsidRPr="00CF00E4">
        <w:rPr>
          <w:rFonts w:ascii="Times New Roman" w:hAnsi="Times New Roman" w:eastAsiaTheme="majorEastAsia" w:cs="Times New Roman"/>
        </w:rPr>
        <w:t xml:space="preserve"> </w:t>
      </w:r>
      <w:hyperlink r:id="rId1" w:history="1">
        <w:r w:rsidRPr="006C0747" w:rsidR="003C2B23">
          <w:rPr>
            <w:rStyle w:val="Hyperlink"/>
            <w:rFonts w:ascii="Times New Roman" w:hAnsi="Times New Roman" w:eastAsiaTheme="majorEastAsia" w:cs="Times New Roman"/>
            <w:i/>
            <w:iCs/>
          </w:rPr>
          <w:t>https://www.cms.gov/files/document/ffe-enrollment-manual-2023-5cr-071323.pdf</w:t>
        </w:r>
      </w:hyperlink>
      <w:r w:rsidR="003C2B23">
        <w:rPr>
          <w:rFonts w:ascii="Times New Roman" w:hAnsi="Times New Roman" w:eastAsiaTheme="majorEastAsia" w:cs="Times New Roman"/>
          <w:i/>
          <w:iCs/>
        </w:rPr>
        <w:t xml:space="preserve"> </w:t>
      </w:r>
    </w:p>
  </w:footnote>
  <w:footnote w:id="5">
    <w:p w:rsidR="00F36526" w:rsidRPr="00632B2A" w:rsidP="00FE1BF4" w14:paraId="6468ABBA" w14:textId="77777777">
      <w:pPr>
        <w:pStyle w:val="FootnoteText"/>
        <w:rPr>
          <w:rFonts w:ascii="Times New Roman" w:hAnsi="Times New Roman" w:cs="Times New Roman"/>
        </w:rPr>
      </w:pPr>
      <w:r w:rsidRPr="00632B2A">
        <w:rPr>
          <w:rStyle w:val="FootnoteReference"/>
          <w:rFonts w:ascii="Times New Roman" w:hAnsi="Times New Roman" w:cs="Times New Roman"/>
        </w:rPr>
        <w:footnoteRef/>
      </w:r>
      <w:r w:rsidRPr="00632B2A">
        <w:rPr>
          <w:rFonts w:ascii="Times New Roman" w:hAnsi="Times New Roman" w:cs="Times New Roman"/>
        </w:rPr>
        <w:t xml:space="preserve"> The information appearing in this row reflects the </w:t>
      </w:r>
      <w:r>
        <w:rPr>
          <w:rFonts w:ascii="Times New Roman" w:hAnsi="Times New Roman" w:cs="Times New Roman"/>
        </w:rPr>
        <w:t xml:space="preserve">estimated </w:t>
      </w:r>
      <w:r w:rsidRPr="00632B2A">
        <w:rPr>
          <w:rFonts w:ascii="Times New Roman" w:hAnsi="Times New Roman" w:cs="Times New Roman"/>
        </w:rPr>
        <w:t xml:space="preserve">burden associated with an </w:t>
      </w:r>
      <w:r>
        <w:rPr>
          <w:rFonts w:ascii="Times New Roman" w:hAnsi="Times New Roman" w:cs="Times New Roman"/>
        </w:rPr>
        <w:t xml:space="preserve">EDE Entity’s </w:t>
      </w:r>
      <w:r w:rsidRPr="00632B2A">
        <w:rPr>
          <w:rFonts w:ascii="Times New Roman" w:hAnsi="Times New Roman" w:cs="Times New Roman"/>
        </w:rPr>
        <w:t xml:space="preserve">Auditor completing and submitting a business audit report </w:t>
      </w:r>
      <w:r w:rsidRPr="00632B2A">
        <w:rPr>
          <w:rFonts w:ascii="Times New Roman" w:eastAsia="Times New Roman" w:hAnsi="Times New Roman" w:cs="Times New Roman"/>
          <w:spacing w:val="1"/>
        </w:rPr>
        <w:t xml:space="preserve">to HHS </w:t>
      </w:r>
      <w:r>
        <w:rPr>
          <w:rFonts w:ascii="Times New Roman" w:eastAsia="Times New Roman" w:hAnsi="Times New Roman" w:cs="Times New Roman"/>
          <w:spacing w:val="1"/>
        </w:rPr>
        <w:t>each</w:t>
      </w:r>
      <w:r w:rsidRPr="00632B2A">
        <w:rPr>
          <w:rFonts w:ascii="Times New Roman" w:eastAsia="Times New Roman" w:hAnsi="Times New Roman" w:cs="Times New Roman"/>
          <w:spacing w:val="1"/>
        </w:rPr>
        <w:t xml:space="preserve"> year</w:t>
      </w:r>
      <w:r w:rsidRPr="00632B2A">
        <w:rPr>
          <w:rFonts w:ascii="Times New Roman" w:hAnsi="Times New Roman" w:cs="Times New Roman"/>
        </w:rPr>
        <w:t xml:space="preserve">, including testing results, as described in </w:t>
      </w:r>
      <w:r w:rsidRPr="00632B2A">
        <w:rPr>
          <w:rFonts w:ascii="Times New Roman" w:eastAsia="Times New Roman" w:hAnsi="Times New Roman" w:cs="Times New Roman"/>
          <w:spacing w:val="1"/>
        </w:rPr>
        <w:t>§155.221(b)(4)(i)(C).</w:t>
      </w:r>
      <w:r w:rsidRPr="00632B2A">
        <w:rPr>
          <w:rFonts w:ascii="Times New Roman" w:hAnsi="Times New Roman" w:cs="Times New Roman"/>
        </w:rPr>
        <w:t xml:space="preserve"> </w:t>
      </w:r>
    </w:p>
  </w:footnote>
  <w:footnote w:id="6">
    <w:p w:rsidR="00F36526" w:rsidP="00FE1BF4" w14:paraId="1E90E407" w14:textId="77777777">
      <w:pPr>
        <w:pStyle w:val="FootnoteText"/>
      </w:pPr>
      <w:r w:rsidRPr="00632B2A">
        <w:rPr>
          <w:rStyle w:val="FootnoteReference"/>
          <w:rFonts w:ascii="Times New Roman" w:hAnsi="Times New Roman" w:cs="Times New Roman"/>
        </w:rPr>
        <w:footnoteRef/>
      </w:r>
      <w:r w:rsidRPr="00632B2A">
        <w:rPr>
          <w:rFonts w:ascii="Times New Roman" w:hAnsi="Times New Roman" w:cs="Times New Roman"/>
        </w:rPr>
        <w:t xml:space="preserve"> The information appearing in this row reflects the </w:t>
      </w:r>
      <w:r>
        <w:rPr>
          <w:rFonts w:ascii="Times New Roman" w:hAnsi="Times New Roman" w:cs="Times New Roman"/>
        </w:rPr>
        <w:t xml:space="preserve">estimated </w:t>
      </w:r>
      <w:r w:rsidRPr="00632B2A">
        <w:rPr>
          <w:rFonts w:ascii="Times New Roman" w:hAnsi="Times New Roman" w:cs="Times New Roman"/>
        </w:rPr>
        <w:t xml:space="preserve">burden associated with an </w:t>
      </w:r>
      <w:r>
        <w:rPr>
          <w:rFonts w:ascii="Times New Roman" w:hAnsi="Times New Roman" w:cs="Times New Roman"/>
        </w:rPr>
        <w:t xml:space="preserve">EDE Entity’s </w:t>
      </w:r>
      <w:r w:rsidRPr="00632B2A">
        <w:rPr>
          <w:rFonts w:ascii="Times New Roman" w:hAnsi="Times New Roman" w:cs="Times New Roman"/>
        </w:rPr>
        <w:t xml:space="preserve">Auditor completing and submitting a security and privacy audit package </w:t>
      </w:r>
      <w:r w:rsidRPr="00632B2A">
        <w:rPr>
          <w:rFonts w:ascii="Times New Roman" w:eastAsia="Times New Roman" w:hAnsi="Times New Roman" w:cs="Times New Roman"/>
          <w:spacing w:val="1"/>
        </w:rPr>
        <w:t xml:space="preserve">to HHS </w:t>
      </w:r>
      <w:r>
        <w:rPr>
          <w:rFonts w:ascii="Times New Roman" w:eastAsia="Times New Roman" w:hAnsi="Times New Roman" w:cs="Times New Roman"/>
          <w:spacing w:val="1"/>
        </w:rPr>
        <w:t>each</w:t>
      </w:r>
      <w:r w:rsidRPr="00632B2A">
        <w:rPr>
          <w:rFonts w:ascii="Times New Roman" w:eastAsia="Times New Roman" w:hAnsi="Times New Roman" w:cs="Times New Roman"/>
          <w:spacing w:val="1"/>
        </w:rPr>
        <w:t xml:space="preserve"> year</w:t>
      </w:r>
      <w:r w:rsidRPr="00632B2A">
        <w:rPr>
          <w:rFonts w:ascii="Times New Roman" w:hAnsi="Times New Roman" w:cs="Times New Roman"/>
        </w:rPr>
        <w:t xml:space="preserve">, as described in </w:t>
      </w:r>
      <w:r w:rsidRPr="00632B2A">
        <w:rPr>
          <w:rFonts w:ascii="Times New Roman" w:eastAsia="Times New Roman" w:hAnsi="Times New Roman" w:cs="Times New Roman"/>
          <w:spacing w:val="1"/>
        </w:rPr>
        <w:t>§155.221(b)(4)(ii).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C822A3"/>
    <w:multiLevelType w:val="hybridMultilevel"/>
    <w:tmpl w:val="EDB6E9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575D3B"/>
    <w:multiLevelType w:val="hybridMultilevel"/>
    <w:tmpl w:val="DDAEE8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B8760B5"/>
    <w:multiLevelType w:val="hybridMultilevel"/>
    <w:tmpl w:val="8C0E8DB2"/>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3">
    <w:nsid w:val="0C875A59"/>
    <w:multiLevelType w:val="hybridMultilevel"/>
    <w:tmpl w:val="D6C273EA"/>
    <w:lvl w:ilvl="0">
      <w:start w:val="12"/>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DCA4380"/>
    <w:multiLevelType w:val="hybridMultilevel"/>
    <w:tmpl w:val="A7B678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DEF416C"/>
    <w:multiLevelType w:val="hybridMultilevel"/>
    <w:tmpl w:val="0980D6BC"/>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6">
    <w:nsid w:val="0DFB0357"/>
    <w:multiLevelType w:val="hybridMultilevel"/>
    <w:tmpl w:val="A97440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24B7E44"/>
    <w:multiLevelType w:val="multilevel"/>
    <w:tmpl w:val="AEA68E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12E0542D"/>
    <w:multiLevelType w:val="hybridMultilevel"/>
    <w:tmpl w:val="86803B62"/>
    <w:lvl w:ilvl="0">
      <w:start w:val="1"/>
      <w:numFmt w:val="decimal"/>
      <w:lvlText w:val="%1"/>
      <w:lvlJc w:val="left"/>
      <w:pPr>
        <w:ind w:left="520" w:hanging="360"/>
      </w:pPr>
      <w:rPr>
        <w:rFonts w:hint="default"/>
      </w:rPr>
    </w:lvl>
    <w:lvl w:ilvl="1" w:tentative="1">
      <w:start w:val="1"/>
      <w:numFmt w:val="lowerLetter"/>
      <w:lvlText w:val="%2."/>
      <w:lvlJc w:val="left"/>
      <w:pPr>
        <w:ind w:left="1240" w:hanging="360"/>
      </w:pPr>
    </w:lvl>
    <w:lvl w:ilvl="2" w:tentative="1">
      <w:start w:val="1"/>
      <w:numFmt w:val="lowerRoman"/>
      <w:lvlText w:val="%3."/>
      <w:lvlJc w:val="right"/>
      <w:pPr>
        <w:ind w:left="1960" w:hanging="180"/>
      </w:pPr>
    </w:lvl>
    <w:lvl w:ilvl="3" w:tentative="1">
      <w:start w:val="1"/>
      <w:numFmt w:val="decimal"/>
      <w:lvlText w:val="%4."/>
      <w:lvlJc w:val="left"/>
      <w:pPr>
        <w:ind w:left="2680" w:hanging="360"/>
      </w:pPr>
    </w:lvl>
    <w:lvl w:ilvl="4" w:tentative="1">
      <w:start w:val="1"/>
      <w:numFmt w:val="lowerLetter"/>
      <w:lvlText w:val="%5."/>
      <w:lvlJc w:val="left"/>
      <w:pPr>
        <w:ind w:left="3400" w:hanging="360"/>
      </w:pPr>
    </w:lvl>
    <w:lvl w:ilvl="5" w:tentative="1">
      <w:start w:val="1"/>
      <w:numFmt w:val="lowerRoman"/>
      <w:lvlText w:val="%6."/>
      <w:lvlJc w:val="right"/>
      <w:pPr>
        <w:ind w:left="4120" w:hanging="180"/>
      </w:pPr>
    </w:lvl>
    <w:lvl w:ilvl="6" w:tentative="1">
      <w:start w:val="1"/>
      <w:numFmt w:val="decimal"/>
      <w:lvlText w:val="%7."/>
      <w:lvlJc w:val="left"/>
      <w:pPr>
        <w:ind w:left="4840" w:hanging="360"/>
      </w:pPr>
    </w:lvl>
    <w:lvl w:ilvl="7" w:tentative="1">
      <w:start w:val="1"/>
      <w:numFmt w:val="lowerLetter"/>
      <w:lvlText w:val="%8."/>
      <w:lvlJc w:val="left"/>
      <w:pPr>
        <w:ind w:left="5560" w:hanging="360"/>
      </w:pPr>
    </w:lvl>
    <w:lvl w:ilvl="8" w:tentative="1">
      <w:start w:val="1"/>
      <w:numFmt w:val="lowerRoman"/>
      <w:lvlText w:val="%9."/>
      <w:lvlJc w:val="right"/>
      <w:pPr>
        <w:ind w:left="6280" w:hanging="180"/>
      </w:pPr>
    </w:lvl>
  </w:abstractNum>
  <w:abstractNum w:abstractNumId="9">
    <w:nsid w:val="14F23E16"/>
    <w:multiLevelType w:val="hybridMultilevel"/>
    <w:tmpl w:val="0C1AB3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6B84B68"/>
    <w:multiLevelType w:val="hybridMultilevel"/>
    <w:tmpl w:val="4DD209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0854BDC"/>
    <w:multiLevelType w:val="hybridMultilevel"/>
    <w:tmpl w:val="01A2F6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DCA47A4"/>
    <w:multiLevelType w:val="hybridMultilevel"/>
    <w:tmpl w:val="59BAACDA"/>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3">
    <w:nsid w:val="31D86BCF"/>
    <w:multiLevelType w:val="hybridMultilevel"/>
    <w:tmpl w:val="512C93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333F2D21"/>
    <w:multiLevelType w:val="hybridMultilevel"/>
    <w:tmpl w:val="F98E7A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87948C5"/>
    <w:multiLevelType w:val="hybridMultilevel"/>
    <w:tmpl w:val="E49A8BD0"/>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CEF6415"/>
    <w:multiLevelType w:val="hybridMultilevel"/>
    <w:tmpl w:val="67F46A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0E712CC"/>
    <w:multiLevelType w:val="hybridMultilevel"/>
    <w:tmpl w:val="B0008D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1B33E2A"/>
    <w:multiLevelType w:val="hybridMultilevel"/>
    <w:tmpl w:val="338038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81A4AB1"/>
    <w:multiLevelType w:val="hybridMultilevel"/>
    <w:tmpl w:val="762E2828"/>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20">
    <w:nsid w:val="4BD84FE1"/>
    <w:multiLevelType w:val="hybridMultilevel"/>
    <w:tmpl w:val="0FCEBCFE"/>
    <w:lvl w:ilvl="0">
      <w:start w:val="1"/>
      <w:numFmt w:val="decimal"/>
      <w:lvlText w:val="%1."/>
      <w:lvlJc w:val="left"/>
      <w:pPr>
        <w:ind w:left="655" w:hanging="495"/>
      </w:pPr>
      <w:rPr>
        <w:rFonts w:hint="default"/>
        <w:b/>
      </w:rPr>
    </w:lvl>
    <w:lvl w:ilvl="1" w:tentative="1">
      <w:start w:val="1"/>
      <w:numFmt w:val="lowerLetter"/>
      <w:lvlText w:val="%2."/>
      <w:lvlJc w:val="left"/>
      <w:pPr>
        <w:ind w:left="1240" w:hanging="360"/>
      </w:pPr>
    </w:lvl>
    <w:lvl w:ilvl="2" w:tentative="1">
      <w:start w:val="1"/>
      <w:numFmt w:val="lowerRoman"/>
      <w:lvlText w:val="%3."/>
      <w:lvlJc w:val="right"/>
      <w:pPr>
        <w:ind w:left="1960" w:hanging="180"/>
      </w:pPr>
    </w:lvl>
    <w:lvl w:ilvl="3" w:tentative="1">
      <w:start w:val="1"/>
      <w:numFmt w:val="decimal"/>
      <w:lvlText w:val="%4."/>
      <w:lvlJc w:val="left"/>
      <w:pPr>
        <w:ind w:left="2680" w:hanging="360"/>
      </w:pPr>
    </w:lvl>
    <w:lvl w:ilvl="4" w:tentative="1">
      <w:start w:val="1"/>
      <w:numFmt w:val="lowerLetter"/>
      <w:lvlText w:val="%5."/>
      <w:lvlJc w:val="left"/>
      <w:pPr>
        <w:ind w:left="3400" w:hanging="360"/>
      </w:pPr>
    </w:lvl>
    <w:lvl w:ilvl="5" w:tentative="1">
      <w:start w:val="1"/>
      <w:numFmt w:val="lowerRoman"/>
      <w:lvlText w:val="%6."/>
      <w:lvlJc w:val="right"/>
      <w:pPr>
        <w:ind w:left="4120" w:hanging="180"/>
      </w:pPr>
    </w:lvl>
    <w:lvl w:ilvl="6" w:tentative="1">
      <w:start w:val="1"/>
      <w:numFmt w:val="decimal"/>
      <w:lvlText w:val="%7."/>
      <w:lvlJc w:val="left"/>
      <w:pPr>
        <w:ind w:left="4840" w:hanging="360"/>
      </w:pPr>
    </w:lvl>
    <w:lvl w:ilvl="7" w:tentative="1">
      <w:start w:val="1"/>
      <w:numFmt w:val="lowerLetter"/>
      <w:lvlText w:val="%8."/>
      <w:lvlJc w:val="left"/>
      <w:pPr>
        <w:ind w:left="5560" w:hanging="360"/>
      </w:pPr>
    </w:lvl>
    <w:lvl w:ilvl="8" w:tentative="1">
      <w:start w:val="1"/>
      <w:numFmt w:val="lowerRoman"/>
      <w:lvlText w:val="%9."/>
      <w:lvlJc w:val="right"/>
      <w:pPr>
        <w:ind w:left="6280" w:hanging="180"/>
      </w:pPr>
    </w:lvl>
  </w:abstractNum>
  <w:abstractNum w:abstractNumId="21">
    <w:nsid w:val="4F9C59C1"/>
    <w:multiLevelType w:val="hybridMultilevel"/>
    <w:tmpl w:val="04BABFB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53826BCD"/>
    <w:multiLevelType w:val="hybridMultilevel"/>
    <w:tmpl w:val="E1E839C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5CAC7294"/>
    <w:multiLevelType w:val="hybridMultilevel"/>
    <w:tmpl w:val="BC74514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4">
    <w:nsid w:val="5ED2755A"/>
    <w:multiLevelType w:val="hybridMultilevel"/>
    <w:tmpl w:val="D8223F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12C291C"/>
    <w:multiLevelType w:val="hybridMultilevel"/>
    <w:tmpl w:val="961671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19A1117"/>
    <w:multiLevelType w:val="hybridMultilevel"/>
    <w:tmpl w:val="49B2ABF8"/>
    <w:lvl w:ilvl="0">
      <w:start w:va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63AA3AEB"/>
    <w:multiLevelType w:val="multilevel"/>
    <w:tmpl w:val="18E21D6E"/>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0"/>
        </w:tabs>
        <w:ind w:left="0" w:hanging="360"/>
      </w:pPr>
      <w:rPr>
        <w:rFonts w:ascii="Symbol" w:hAnsi="Symbol" w:hint="default"/>
        <w:sz w:val="20"/>
      </w:rPr>
    </w:lvl>
    <w:lvl w:ilvl="3">
      <w:start w:val="1"/>
      <w:numFmt w:val="bullet"/>
      <w:lvlText w:val=""/>
      <w:lvlJc w:val="left"/>
      <w:pPr>
        <w:tabs>
          <w:tab w:val="num" w:pos="720"/>
        </w:tabs>
        <w:ind w:left="720" w:hanging="360"/>
      </w:pPr>
      <w:rPr>
        <w:rFonts w:ascii="Symbol" w:hAnsi="Symbol" w:hint="default"/>
        <w:sz w:val="20"/>
      </w:rPr>
    </w:lvl>
    <w:lvl w:ilvl="4">
      <w:start w:val="1"/>
      <w:numFmt w:val="bullet"/>
      <w:lvlText w:val=""/>
      <w:lvlJc w:val="left"/>
      <w:pPr>
        <w:tabs>
          <w:tab w:val="num" w:pos="1440"/>
        </w:tabs>
        <w:ind w:left="1440" w:hanging="360"/>
      </w:pPr>
      <w:rPr>
        <w:rFonts w:ascii="Symbol" w:hAnsi="Symbol" w:hint="default"/>
        <w:sz w:val="20"/>
      </w:rPr>
    </w:lvl>
    <w:lvl w:ilvl="5">
      <w:start w:val="1"/>
      <w:numFmt w:val="bullet"/>
      <w:lvlText w:val=""/>
      <w:lvlJc w:val="left"/>
      <w:pPr>
        <w:tabs>
          <w:tab w:val="num" w:pos="2160"/>
        </w:tabs>
        <w:ind w:left="2160" w:hanging="360"/>
      </w:pPr>
      <w:rPr>
        <w:rFonts w:ascii="Symbol" w:hAnsi="Symbol" w:hint="default"/>
        <w:sz w:val="20"/>
      </w:rPr>
    </w:lvl>
    <w:lvl w:ilvl="6">
      <w:start w:val="1"/>
      <w:numFmt w:val="bullet"/>
      <w:lvlText w:val=""/>
      <w:lvlJc w:val="left"/>
      <w:pPr>
        <w:tabs>
          <w:tab w:val="num" w:pos="2880"/>
        </w:tabs>
        <w:ind w:left="2880" w:hanging="360"/>
      </w:pPr>
      <w:rPr>
        <w:rFonts w:ascii="Symbol" w:hAnsi="Symbol" w:hint="default"/>
        <w:sz w:val="20"/>
      </w:rPr>
    </w:lvl>
    <w:lvl w:ilvl="7">
      <w:start w:val="1"/>
      <w:numFmt w:val="bullet"/>
      <w:lvlText w:val=""/>
      <w:lvlJc w:val="left"/>
      <w:pPr>
        <w:tabs>
          <w:tab w:val="num" w:pos="3600"/>
        </w:tabs>
        <w:ind w:left="3600" w:hanging="360"/>
      </w:pPr>
      <w:rPr>
        <w:rFonts w:ascii="Symbol" w:hAnsi="Symbol" w:hint="default"/>
        <w:sz w:val="20"/>
      </w:rPr>
    </w:lvl>
    <w:lvl w:ilvl="8">
      <w:start w:val="1"/>
      <w:numFmt w:val="bullet"/>
      <w:lvlText w:val=""/>
      <w:lvlJc w:val="left"/>
      <w:pPr>
        <w:tabs>
          <w:tab w:val="num" w:pos="4320"/>
        </w:tabs>
        <w:ind w:left="4320" w:hanging="360"/>
      </w:pPr>
      <w:rPr>
        <w:rFonts w:ascii="Symbol" w:hAnsi="Symbol" w:hint="default"/>
        <w:sz w:val="20"/>
      </w:rPr>
    </w:lvl>
  </w:abstractNum>
  <w:abstractNum w:abstractNumId="28">
    <w:nsid w:val="63EF221E"/>
    <w:multiLevelType w:val="hybridMultilevel"/>
    <w:tmpl w:val="3D368FFE"/>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29">
    <w:nsid w:val="648F7FE9"/>
    <w:multiLevelType w:val="hybridMultilevel"/>
    <w:tmpl w:val="55061D0C"/>
    <w:lvl w:ilvl="0">
      <w:start w:val="1"/>
      <w:numFmt w:val="upperLetter"/>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8CC1F7A"/>
    <w:multiLevelType w:val="hybridMultilevel"/>
    <w:tmpl w:val="8E108CE8"/>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1">
    <w:nsid w:val="70524684"/>
    <w:multiLevelType w:val="hybridMultilevel"/>
    <w:tmpl w:val="D298BD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72224ED"/>
    <w:multiLevelType w:val="hybridMultilevel"/>
    <w:tmpl w:val="C1208862"/>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33">
    <w:nsid w:val="7A2C3F42"/>
    <w:multiLevelType w:val="hybridMultilevel"/>
    <w:tmpl w:val="A9744C2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E124AC8"/>
    <w:multiLevelType w:val="hybridMultilevel"/>
    <w:tmpl w:val="C210686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5">
    <w:nsid w:val="7EA43693"/>
    <w:multiLevelType w:val="hybridMultilevel"/>
    <w:tmpl w:val="067060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5029599">
    <w:abstractNumId w:val="8"/>
  </w:num>
  <w:num w:numId="2" w16cid:durableId="1592467129">
    <w:abstractNumId w:val="3"/>
  </w:num>
  <w:num w:numId="3" w16cid:durableId="262038302">
    <w:abstractNumId w:val="35"/>
  </w:num>
  <w:num w:numId="4" w16cid:durableId="2039314170">
    <w:abstractNumId w:val="7"/>
  </w:num>
  <w:num w:numId="5" w16cid:durableId="452603259">
    <w:abstractNumId w:val="26"/>
  </w:num>
  <w:num w:numId="6" w16cid:durableId="775710982">
    <w:abstractNumId w:val="27"/>
  </w:num>
  <w:num w:numId="7" w16cid:durableId="975649934">
    <w:abstractNumId w:val="7"/>
  </w:num>
  <w:num w:numId="8" w16cid:durableId="598562810">
    <w:abstractNumId w:val="26"/>
  </w:num>
  <w:num w:numId="9" w16cid:durableId="445152057">
    <w:abstractNumId w:val="27"/>
  </w:num>
  <w:num w:numId="10" w16cid:durableId="1417022085">
    <w:abstractNumId w:val="11"/>
  </w:num>
  <w:num w:numId="11" w16cid:durableId="1133252261">
    <w:abstractNumId w:val="9"/>
  </w:num>
  <w:num w:numId="12" w16cid:durableId="761216921">
    <w:abstractNumId w:val="11"/>
  </w:num>
  <w:num w:numId="13" w16cid:durableId="56367133">
    <w:abstractNumId w:val="12"/>
  </w:num>
  <w:num w:numId="14" w16cid:durableId="1460873523">
    <w:abstractNumId w:val="34"/>
  </w:num>
  <w:num w:numId="15" w16cid:durableId="731850830">
    <w:abstractNumId w:val="15"/>
  </w:num>
  <w:num w:numId="16" w16cid:durableId="992373610">
    <w:abstractNumId w:val="2"/>
  </w:num>
  <w:num w:numId="17" w16cid:durableId="859515193">
    <w:abstractNumId w:val="20"/>
  </w:num>
  <w:num w:numId="18" w16cid:durableId="156115849">
    <w:abstractNumId w:val="25"/>
  </w:num>
  <w:num w:numId="19" w16cid:durableId="49545664">
    <w:abstractNumId w:val="10"/>
  </w:num>
  <w:num w:numId="20" w16cid:durableId="1061946544">
    <w:abstractNumId w:val="14"/>
  </w:num>
  <w:num w:numId="21" w16cid:durableId="377710004">
    <w:abstractNumId w:val="16"/>
  </w:num>
  <w:num w:numId="22" w16cid:durableId="2133086533">
    <w:abstractNumId w:val="29"/>
  </w:num>
  <w:num w:numId="23" w16cid:durableId="1878355020">
    <w:abstractNumId w:val="13"/>
  </w:num>
  <w:num w:numId="24" w16cid:durableId="1542471628">
    <w:abstractNumId w:val="17"/>
  </w:num>
  <w:num w:numId="25" w16cid:durableId="711617365">
    <w:abstractNumId w:val="24"/>
  </w:num>
  <w:num w:numId="26" w16cid:durableId="1105925463">
    <w:abstractNumId w:val="23"/>
  </w:num>
  <w:num w:numId="27" w16cid:durableId="1665280644">
    <w:abstractNumId w:val="21"/>
  </w:num>
  <w:num w:numId="28" w16cid:durableId="661200680">
    <w:abstractNumId w:val="0"/>
  </w:num>
  <w:num w:numId="29" w16cid:durableId="1662468253">
    <w:abstractNumId w:val="28"/>
  </w:num>
  <w:num w:numId="30" w16cid:durableId="1948611997">
    <w:abstractNumId w:val="19"/>
  </w:num>
  <w:num w:numId="31" w16cid:durableId="621115526">
    <w:abstractNumId w:val="5"/>
  </w:num>
  <w:num w:numId="32" w16cid:durableId="1828277730">
    <w:abstractNumId w:val="32"/>
  </w:num>
  <w:num w:numId="33" w16cid:durableId="2553290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18524324">
    <w:abstractNumId w:val="18"/>
  </w:num>
  <w:num w:numId="35" w16cid:durableId="1046485329">
    <w:abstractNumId w:val="30"/>
  </w:num>
  <w:num w:numId="36" w16cid:durableId="1330063462">
    <w:abstractNumId w:val="4"/>
  </w:num>
  <w:num w:numId="37" w16cid:durableId="216431412">
    <w:abstractNumId w:val="22"/>
  </w:num>
  <w:num w:numId="38" w16cid:durableId="1387030208">
    <w:abstractNumId w:val="6"/>
  </w:num>
  <w:num w:numId="39" w16cid:durableId="1911844290">
    <w:abstractNumId w:val="33"/>
  </w:num>
  <w:num w:numId="40" w16cid:durableId="210915496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486"/>
    <w:rsid w:val="00001B16"/>
    <w:rsid w:val="00002E0B"/>
    <w:rsid w:val="000035AF"/>
    <w:rsid w:val="000037E1"/>
    <w:rsid w:val="00003B2C"/>
    <w:rsid w:val="000055D8"/>
    <w:rsid w:val="000059E7"/>
    <w:rsid w:val="00005A5C"/>
    <w:rsid w:val="00005FEB"/>
    <w:rsid w:val="00006897"/>
    <w:rsid w:val="00006A68"/>
    <w:rsid w:val="00007850"/>
    <w:rsid w:val="00007DC1"/>
    <w:rsid w:val="00010962"/>
    <w:rsid w:val="0001158D"/>
    <w:rsid w:val="000119E0"/>
    <w:rsid w:val="000123F8"/>
    <w:rsid w:val="000133EC"/>
    <w:rsid w:val="00013720"/>
    <w:rsid w:val="00013E7F"/>
    <w:rsid w:val="00014A09"/>
    <w:rsid w:val="00015599"/>
    <w:rsid w:val="00016449"/>
    <w:rsid w:val="00017E55"/>
    <w:rsid w:val="0002108F"/>
    <w:rsid w:val="00021399"/>
    <w:rsid w:val="00022074"/>
    <w:rsid w:val="00022339"/>
    <w:rsid w:val="00023A75"/>
    <w:rsid w:val="00024297"/>
    <w:rsid w:val="00024AC0"/>
    <w:rsid w:val="00025559"/>
    <w:rsid w:val="00025919"/>
    <w:rsid w:val="00026739"/>
    <w:rsid w:val="00026856"/>
    <w:rsid w:val="00027031"/>
    <w:rsid w:val="000273E8"/>
    <w:rsid w:val="0002760C"/>
    <w:rsid w:val="00027E70"/>
    <w:rsid w:val="00030D33"/>
    <w:rsid w:val="00031C99"/>
    <w:rsid w:val="00032A09"/>
    <w:rsid w:val="00033486"/>
    <w:rsid w:val="00033981"/>
    <w:rsid w:val="00033BAF"/>
    <w:rsid w:val="00033C0F"/>
    <w:rsid w:val="00033CEB"/>
    <w:rsid w:val="00033F0C"/>
    <w:rsid w:val="00033FDC"/>
    <w:rsid w:val="00034916"/>
    <w:rsid w:val="00035C0E"/>
    <w:rsid w:val="00035C8F"/>
    <w:rsid w:val="00035F3C"/>
    <w:rsid w:val="00036D05"/>
    <w:rsid w:val="000372BB"/>
    <w:rsid w:val="00037923"/>
    <w:rsid w:val="00037FEB"/>
    <w:rsid w:val="00040204"/>
    <w:rsid w:val="0004029D"/>
    <w:rsid w:val="0004073C"/>
    <w:rsid w:val="00041037"/>
    <w:rsid w:val="00041C94"/>
    <w:rsid w:val="00042916"/>
    <w:rsid w:val="00043EED"/>
    <w:rsid w:val="00044E49"/>
    <w:rsid w:val="00045561"/>
    <w:rsid w:val="00046059"/>
    <w:rsid w:val="0004635E"/>
    <w:rsid w:val="00046A8E"/>
    <w:rsid w:val="000475B6"/>
    <w:rsid w:val="000507D4"/>
    <w:rsid w:val="00050ECC"/>
    <w:rsid w:val="00051E8A"/>
    <w:rsid w:val="00051F8B"/>
    <w:rsid w:val="000525FD"/>
    <w:rsid w:val="000530FF"/>
    <w:rsid w:val="000535DE"/>
    <w:rsid w:val="00053F9A"/>
    <w:rsid w:val="00054641"/>
    <w:rsid w:val="00055F8B"/>
    <w:rsid w:val="00056D82"/>
    <w:rsid w:val="00057C1E"/>
    <w:rsid w:val="00057ECE"/>
    <w:rsid w:val="00057FAA"/>
    <w:rsid w:val="000606C3"/>
    <w:rsid w:val="0006071C"/>
    <w:rsid w:val="0006074A"/>
    <w:rsid w:val="00061113"/>
    <w:rsid w:val="000617C5"/>
    <w:rsid w:val="0006302B"/>
    <w:rsid w:val="000637A6"/>
    <w:rsid w:val="00063A63"/>
    <w:rsid w:val="00064651"/>
    <w:rsid w:val="00064B7C"/>
    <w:rsid w:val="00064C0F"/>
    <w:rsid w:val="00064DFA"/>
    <w:rsid w:val="0006596D"/>
    <w:rsid w:val="00065B23"/>
    <w:rsid w:val="00066056"/>
    <w:rsid w:val="0006642E"/>
    <w:rsid w:val="00066472"/>
    <w:rsid w:val="00066EC6"/>
    <w:rsid w:val="00066EEE"/>
    <w:rsid w:val="00067004"/>
    <w:rsid w:val="00067A07"/>
    <w:rsid w:val="00067A66"/>
    <w:rsid w:val="00067A82"/>
    <w:rsid w:val="00067E0B"/>
    <w:rsid w:val="00071050"/>
    <w:rsid w:val="0007247C"/>
    <w:rsid w:val="00072BE4"/>
    <w:rsid w:val="00072ED2"/>
    <w:rsid w:val="00074113"/>
    <w:rsid w:val="00074D56"/>
    <w:rsid w:val="00074E3E"/>
    <w:rsid w:val="00076715"/>
    <w:rsid w:val="000772DE"/>
    <w:rsid w:val="0008072E"/>
    <w:rsid w:val="0008078F"/>
    <w:rsid w:val="00081E0E"/>
    <w:rsid w:val="00082CAB"/>
    <w:rsid w:val="00082CC5"/>
    <w:rsid w:val="00082E10"/>
    <w:rsid w:val="00083CA2"/>
    <w:rsid w:val="0008436A"/>
    <w:rsid w:val="000843EA"/>
    <w:rsid w:val="000857EF"/>
    <w:rsid w:val="00085FE8"/>
    <w:rsid w:val="00086832"/>
    <w:rsid w:val="00091122"/>
    <w:rsid w:val="000914A1"/>
    <w:rsid w:val="00091DAD"/>
    <w:rsid w:val="00092608"/>
    <w:rsid w:val="00092F94"/>
    <w:rsid w:val="00093BCF"/>
    <w:rsid w:val="0009468C"/>
    <w:rsid w:val="00094D40"/>
    <w:rsid w:val="00095372"/>
    <w:rsid w:val="000954EF"/>
    <w:rsid w:val="00095C94"/>
    <w:rsid w:val="000965DC"/>
    <w:rsid w:val="0009795D"/>
    <w:rsid w:val="00097B5B"/>
    <w:rsid w:val="00097C1D"/>
    <w:rsid w:val="00097F3D"/>
    <w:rsid w:val="000A0892"/>
    <w:rsid w:val="000A1822"/>
    <w:rsid w:val="000A1C1F"/>
    <w:rsid w:val="000A2D9C"/>
    <w:rsid w:val="000A3562"/>
    <w:rsid w:val="000A37B2"/>
    <w:rsid w:val="000A3FCB"/>
    <w:rsid w:val="000A46F1"/>
    <w:rsid w:val="000A4F34"/>
    <w:rsid w:val="000A5015"/>
    <w:rsid w:val="000A537E"/>
    <w:rsid w:val="000A5469"/>
    <w:rsid w:val="000A5ADF"/>
    <w:rsid w:val="000A635F"/>
    <w:rsid w:val="000A6372"/>
    <w:rsid w:val="000A654D"/>
    <w:rsid w:val="000A6A8B"/>
    <w:rsid w:val="000A6E14"/>
    <w:rsid w:val="000A6E66"/>
    <w:rsid w:val="000A7521"/>
    <w:rsid w:val="000B09FF"/>
    <w:rsid w:val="000B0AFF"/>
    <w:rsid w:val="000B167B"/>
    <w:rsid w:val="000B17E2"/>
    <w:rsid w:val="000B1FF3"/>
    <w:rsid w:val="000B2110"/>
    <w:rsid w:val="000B2C5B"/>
    <w:rsid w:val="000B33EF"/>
    <w:rsid w:val="000B41B4"/>
    <w:rsid w:val="000B4750"/>
    <w:rsid w:val="000B4975"/>
    <w:rsid w:val="000B49E8"/>
    <w:rsid w:val="000B4F15"/>
    <w:rsid w:val="000B5064"/>
    <w:rsid w:val="000B568D"/>
    <w:rsid w:val="000B571A"/>
    <w:rsid w:val="000B656B"/>
    <w:rsid w:val="000B6A94"/>
    <w:rsid w:val="000B6AFB"/>
    <w:rsid w:val="000C00A3"/>
    <w:rsid w:val="000C1885"/>
    <w:rsid w:val="000C1990"/>
    <w:rsid w:val="000C1AE0"/>
    <w:rsid w:val="000C2BFD"/>
    <w:rsid w:val="000C2D5B"/>
    <w:rsid w:val="000C2F3B"/>
    <w:rsid w:val="000C2F86"/>
    <w:rsid w:val="000C3247"/>
    <w:rsid w:val="000C32EE"/>
    <w:rsid w:val="000C3D10"/>
    <w:rsid w:val="000C4AB4"/>
    <w:rsid w:val="000C5E4B"/>
    <w:rsid w:val="000C60FE"/>
    <w:rsid w:val="000C6F9A"/>
    <w:rsid w:val="000C7BA6"/>
    <w:rsid w:val="000D041F"/>
    <w:rsid w:val="000D2654"/>
    <w:rsid w:val="000D32A5"/>
    <w:rsid w:val="000D3564"/>
    <w:rsid w:val="000D3D0C"/>
    <w:rsid w:val="000D3E78"/>
    <w:rsid w:val="000D4D14"/>
    <w:rsid w:val="000D4E07"/>
    <w:rsid w:val="000D4F78"/>
    <w:rsid w:val="000D56BF"/>
    <w:rsid w:val="000D5828"/>
    <w:rsid w:val="000D63DE"/>
    <w:rsid w:val="000D6C3F"/>
    <w:rsid w:val="000D6C5D"/>
    <w:rsid w:val="000D6F9B"/>
    <w:rsid w:val="000D7697"/>
    <w:rsid w:val="000D7B5C"/>
    <w:rsid w:val="000E1F7F"/>
    <w:rsid w:val="000E24AA"/>
    <w:rsid w:val="000E263C"/>
    <w:rsid w:val="000E343A"/>
    <w:rsid w:val="000E4A5C"/>
    <w:rsid w:val="000E61A8"/>
    <w:rsid w:val="000E7018"/>
    <w:rsid w:val="000E70FF"/>
    <w:rsid w:val="000E7651"/>
    <w:rsid w:val="000E79B4"/>
    <w:rsid w:val="000F026E"/>
    <w:rsid w:val="000F03C2"/>
    <w:rsid w:val="000F0477"/>
    <w:rsid w:val="000F0F3D"/>
    <w:rsid w:val="000F1251"/>
    <w:rsid w:val="000F171C"/>
    <w:rsid w:val="000F218D"/>
    <w:rsid w:val="000F2B8F"/>
    <w:rsid w:val="000F301D"/>
    <w:rsid w:val="000F3162"/>
    <w:rsid w:val="000F3BDE"/>
    <w:rsid w:val="000F4647"/>
    <w:rsid w:val="000F4AA3"/>
    <w:rsid w:val="000F56DE"/>
    <w:rsid w:val="000F5DB6"/>
    <w:rsid w:val="000F698B"/>
    <w:rsid w:val="000F6BC4"/>
    <w:rsid w:val="000F6C06"/>
    <w:rsid w:val="000F6E23"/>
    <w:rsid w:val="000F7E81"/>
    <w:rsid w:val="000F7F83"/>
    <w:rsid w:val="000F7FB4"/>
    <w:rsid w:val="001000AB"/>
    <w:rsid w:val="001002C6"/>
    <w:rsid w:val="00100829"/>
    <w:rsid w:val="00100CFC"/>
    <w:rsid w:val="001017E4"/>
    <w:rsid w:val="00102486"/>
    <w:rsid w:val="0010263F"/>
    <w:rsid w:val="0010268D"/>
    <w:rsid w:val="001027A6"/>
    <w:rsid w:val="00104531"/>
    <w:rsid w:val="00104821"/>
    <w:rsid w:val="0010492B"/>
    <w:rsid w:val="00104B0D"/>
    <w:rsid w:val="0010547B"/>
    <w:rsid w:val="00105858"/>
    <w:rsid w:val="0010597B"/>
    <w:rsid w:val="00105F1F"/>
    <w:rsid w:val="0010623D"/>
    <w:rsid w:val="00106520"/>
    <w:rsid w:val="00106583"/>
    <w:rsid w:val="00106995"/>
    <w:rsid w:val="00106E9C"/>
    <w:rsid w:val="00107158"/>
    <w:rsid w:val="00107989"/>
    <w:rsid w:val="00110A00"/>
    <w:rsid w:val="00111125"/>
    <w:rsid w:val="0011265C"/>
    <w:rsid w:val="00112A95"/>
    <w:rsid w:val="00113671"/>
    <w:rsid w:val="00113906"/>
    <w:rsid w:val="00113951"/>
    <w:rsid w:val="00113F06"/>
    <w:rsid w:val="001148A6"/>
    <w:rsid w:val="00114A42"/>
    <w:rsid w:val="00114ADF"/>
    <w:rsid w:val="00114E5D"/>
    <w:rsid w:val="00114E66"/>
    <w:rsid w:val="0011510F"/>
    <w:rsid w:val="00115141"/>
    <w:rsid w:val="001159CA"/>
    <w:rsid w:val="00115C23"/>
    <w:rsid w:val="001162C5"/>
    <w:rsid w:val="001169B8"/>
    <w:rsid w:val="00117173"/>
    <w:rsid w:val="001178A3"/>
    <w:rsid w:val="00117C75"/>
    <w:rsid w:val="001201A9"/>
    <w:rsid w:val="00120996"/>
    <w:rsid w:val="00121325"/>
    <w:rsid w:val="0012154D"/>
    <w:rsid w:val="00121827"/>
    <w:rsid w:val="00123A06"/>
    <w:rsid w:val="001241EA"/>
    <w:rsid w:val="0012474D"/>
    <w:rsid w:val="00124A61"/>
    <w:rsid w:val="00124EC1"/>
    <w:rsid w:val="0012538E"/>
    <w:rsid w:val="001258FB"/>
    <w:rsid w:val="001259C8"/>
    <w:rsid w:val="00125C12"/>
    <w:rsid w:val="00125D23"/>
    <w:rsid w:val="00125F54"/>
    <w:rsid w:val="0012721D"/>
    <w:rsid w:val="00127569"/>
    <w:rsid w:val="00127E82"/>
    <w:rsid w:val="00127F5F"/>
    <w:rsid w:val="0013094B"/>
    <w:rsid w:val="00130AA5"/>
    <w:rsid w:val="0013162E"/>
    <w:rsid w:val="001327D7"/>
    <w:rsid w:val="00133127"/>
    <w:rsid w:val="0013322B"/>
    <w:rsid w:val="00134CBA"/>
    <w:rsid w:val="00135080"/>
    <w:rsid w:val="00135141"/>
    <w:rsid w:val="00135A6D"/>
    <w:rsid w:val="00135E20"/>
    <w:rsid w:val="0013673D"/>
    <w:rsid w:val="001369F1"/>
    <w:rsid w:val="00136CC4"/>
    <w:rsid w:val="00136E85"/>
    <w:rsid w:val="00140048"/>
    <w:rsid w:val="001402DC"/>
    <w:rsid w:val="001412EB"/>
    <w:rsid w:val="00141742"/>
    <w:rsid w:val="00141945"/>
    <w:rsid w:val="00141C88"/>
    <w:rsid w:val="00141D83"/>
    <w:rsid w:val="00141DC6"/>
    <w:rsid w:val="00142114"/>
    <w:rsid w:val="00142214"/>
    <w:rsid w:val="00142C08"/>
    <w:rsid w:val="00143237"/>
    <w:rsid w:val="00143CF3"/>
    <w:rsid w:val="00143DB7"/>
    <w:rsid w:val="00143EC3"/>
    <w:rsid w:val="00144782"/>
    <w:rsid w:val="0014497D"/>
    <w:rsid w:val="00144BD9"/>
    <w:rsid w:val="00144E09"/>
    <w:rsid w:val="00145AB1"/>
    <w:rsid w:val="00145EC8"/>
    <w:rsid w:val="0014650B"/>
    <w:rsid w:val="00147E77"/>
    <w:rsid w:val="00150778"/>
    <w:rsid w:val="00150B64"/>
    <w:rsid w:val="001519BA"/>
    <w:rsid w:val="001521AC"/>
    <w:rsid w:val="0015265A"/>
    <w:rsid w:val="0015299B"/>
    <w:rsid w:val="00152AF7"/>
    <w:rsid w:val="00154400"/>
    <w:rsid w:val="00154866"/>
    <w:rsid w:val="00154876"/>
    <w:rsid w:val="0015508B"/>
    <w:rsid w:val="001551CD"/>
    <w:rsid w:val="001558AF"/>
    <w:rsid w:val="00156162"/>
    <w:rsid w:val="00156231"/>
    <w:rsid w:val="001573D6"/>
    <w:rsid w:val="00157A16"/>
    <w:rsid w:val="0016019C"/>
    <w:rsid w:val="00160237"/>
    <w:rsid w:val="00160616"/>
    <w:rsid w:val="001609E7"/>
    <w:rsid w:val="00161982"/>
    <w:rsid w:val="00161B34"/>
    <w:rsid w:val="00162072"/>
    <w:rsid w:val="00163566"/>
    <w:rsid w:val="00163FEF"/>
    <w:rsid w:val="001650E6"/>
    <w:rsid w:val="001652D8"/>
    <w:rsid w:val="001660F9"/>
    <w:rsid w:val="00166475"/>
    <w:rsid w:val="0017063C"/>
    <w:rsid w:val="00170697"/>
    <w:rsid w:val="0017127A"/>
    <w:rsid w:val="001713A5"/>
    <w:rsid w:val="00171F54"/>
    <w:rsid w:val="00172CA1"/>
    <w:rsid w:val="001736BD"/>
    <w:rsid w:val="00175AB4"/>
    <w:rsid w:val="00176203"/>
    <w:rsid w:val="00176477"/>
    <w:rsid w:val="001767AB"/>
    <w:rsid w:val="0017704D"/>
    <w:rsid w:val="00177827"/>
    <w:rsid w:val="00177B13"/>
    <w:rsid w:val="00177C46"/>
    <w:rsid w:val="00177D3D"/>
    <w:rsid w:val="00177F55"/>
    <w:rsid w:val="001808A9"/>
    <w:rsid w:val="00180A25"/>
    <w:rsid w:val="001815CB"/>
    <w:rsid w:val="001822A8"/>
    <w:rsid w:val="001827D3"/>
    <w:rsid w:val="00182954"/>
    <w:rsid w:val="00183A28"/>
    <w:rsid w:val="00183AB7"/>
    <w:rsid w:val="00184227"/>
    <w:rsid w:val="0018423F"/>
    <w:rsid w:val="00184680"/>
    <w:rsid w:val="0018526A"/>
    <w:rsid w:val="0018531F"/>
    <w:rsid w:val="00185F31"/>
    <w:rsid w:val="00186A16"/>
    <w:rsid w:val="00187144"/>
    <w:rsid w:val="001871A6"/>
    <w:rsid w:val="00187534"/>
    <w:rsid w:val="00187C72"/>
    <w:rsid w:val="00187F1D"/>
    <w:rsid w:val="00190526"/>
    <w:rsid w:val="001906B4"/>
    <w:rsid w:val="0019160C"/>
    <w:rsid w:val="00192691"/>
    <w:rsid w:val="00192B02"/>
    <w:rsid w:val="00192B1D"/>
    <w:rsid w:val="00192C08"/>
    <w:rsid w:val="00193DA7"/>
    <w:rsid w:val="0019463F"/>
    <w:rsid w:val="0019489F"/>
    <w:rsid w:val="001948C3"/>
    <w:rsid w:val="001948C9"/>
    <w:rsid w:val="00196A18"/>
    <w:rsid w:val="00196A49"/>
    <w:rsid w:val="00196C5A"/>
    <w:rsid w:val="00197346"/>
    <w:rsid w:val="00197377"/>
    <w:rsid w:val="001977AD"/>
    <w:rsid w:val="00197ED3"/>
    <w:rsid w:val="001A0390"/>
    <w:rsid w:val="001A0777"/>
    <w:rsid w:val="001A22CA"/>
    <w:rsid w:val="001A2B54"/>
    <w:rsid w:val="001A3023"/>
    <w:rsid w:val="001A4669"/>
    <w:rsid w:val="001A4B11"/>
    <w:rsid w:val="001A5480"/>
    <w:rsid w:val="001A5997"/>
    <w:rsid w:val="001A5F3D"/>
    <w:rsid w:val="001A5F41"/>
    <w:rsid w:val="001A6382"/>
    <w:rsid w:val="001A74DE"/>
    <w:rsid w:val="001A7836"/>
    <w:rsid w:val="001A7BA7"/>
    <w:rsid w:val="001B039D"/>
    <w:rsid w:val="001B140B"/>
    <w:rsid w:val="001B223B"/>
    <w:rsid w:val="001B2703"/>
    <w:rsid w:val="001B288B"/>
    <w:rsid w:val="001B2D45"/>
    <w:rsid w:val="001B421A"/>
    <w:rsid w:val="001B4508"/>
    <w:rsid w:val="001B515D"/>
    <w:rsid w:val="001B5D40"/>
    <w:rsid w:val="001B69FF"/>
    <w:rsid w:val="001B7061"/>
    <w:rsid w:val="001B7374"/>
    <w:rsid w:val="001B7C9F"/>
    <w:rsid w:val="001C005C"/>
    <w:rsid w:val="001C0601"/>
    <w:rsid w:val="001C2503"/>
    <w:rsid w:val="001C2DF7"/>
    <w:rsid w:val="001C3A13"/>
    <w:rsid w:val="001C44D5"/>
    <w:rsid w:val="001C4881"/>
    <w:rsid w:val="001C4B0D"/>
    <w:rsid w:val="001C527B"/>
    <w:rsid w:val="001C5786"/>
    <w:rsid w:val="001C57C2"/>
    <w:rsid w:val="001C6BF5"/>
    <w:rsid w:val="001C7138"/>
    <w:rsid w:val="001C73C6"/>
    <w:rsid w:val="001C7599"/>
    <w:rsid w:val="001C7893"/>
    <w:rsid w:val="001C7B06"/>
    <w:rsid w:val="001D02A5"/>
    <w:rsid w:val="001D0CC8"/>
    <w:rsid w:val="001D12F0"/>
    <w:rsid w:val="001D1812"/>
    <w:rsid w:val="001D18DB"/>
    <w:rsid w:val="001D1F3B"/>
    <w:rsid w:val="001D3AE1"/>
    <w:rsid w:val="001D3C09"/>
    <w:rsid w:val="001D4F5E"/>
    <w:rsid w:val="001D5D75"/>
    <w:rsid w:val="001D6A8E"/>
    <w:rsid w:val="001D7B0E"/>
    <w:rsid w:val="001D7EA1"/>
    <w:rsid w:val="001E1029"/>
    <w:rsid w:val="001E1AF1"/>
    <w:rsid w:val="001E20BD"/>
    <w:rsid w:val="001E2C6D"/>
    <w:rsid w:val="001E33A6"/>
    <w:rsid w:val="001E4353"/>
    <w:rsid w:val="001E4428"/>
    <w:rsid w:val="001E4455"/>
    <w:rsid w:val="001E45E1"/>
    <w:rsid w:val="001E4DF0"/>
    <w:rsid w:val="001E522D"/>
    <w:rsid w:val="001E5609"/>
    <w:rsid w:val="001E5FBF"/>
    <w:rsid w:val="001E6496"/>
    <w:rsid w:val="001E683F"/>
    <w:rsid w:val="001E735B"/>
    <w:rsid w:val="001E7831"/>
    <w:rsid w:val="001E7D97"/>
    <w:rsid w:val="001F078B"/>
    <w:rsid w:val="001F0941"/>
    <w:rsid w:val="001F0D3C"/>
    <w:rsid w:val="001F1FF1"/>
    <w:rsid w:val="001F2008"/>
    <w:rsid w:val="001F24CF"/>
    <w:rsid w:val="001F2E4C"/>
    <w:rsid w:val="001F2F1C"/>
    <w:rsid w:val="001F328F"/>
    <w:rsid w:val="001F3DF4"/>
    <w:rsid w:val="001F4733"/>
    <w:rsid w:val="001F4DBB"/>
    <w:rsid w:val="001F5873"/>
    <w:rsid w:val="001F5E31"/>
    <w:rsid w:val="001F631C"/>
    <w:rsid w:val="001F7FA2"/>
    <w:rsid w:val="00201F60"/>
    <w:rsid w:val="00203EDB"/>
    <w:rsid w:val="00203F09"/>
    <w:rsid w:val="00203FF0"/>
    <w:rsid w:val="0020474A"/>
    <w:rsid w:val="00204DE6"/>
    <w:rsid w:val="0020614F"/>
    <w:rsid w:val="00206161"/>
    <w:rsid w:val="00206922"/>
    <w:rsid w:val="00206AA7"/>
    <w:rsid w:val="00207B09"/>
    <w:rsid w:val="00207E7C"/>
    <w:rsid w:val="0021110A"/>
    <w:rsid w:val="00211342"/>
    <w:rsid w:val="0021137D"/>
    <w:rsid w:val="002114CB"/>
    <w:rsid w:val="002114F5"/>
    <w:rsid w:val="0021160F"/>
    <w:rsid w:val="00211A1F"/>
    <w:rsid w:val="00211CC9"/>
    <w:rsid w:val="00212457"/>
    <w:rsid w:val="002125E9"/>
    <w:rsid w:val="002130FB"/>
    <w:rsid w:val="00213170"/>
    <w:rsid w:val="00213302"/>
    <w:rsid w:val="00213919"/>
    <w:rsid w:val="00214D83"/>
    <w:rsid w:val="00214FA0"/>
    <w:rsid w:val="00215621"/>
    <w:rsid w:val="00215A52"/>
    <w:rsid w:val="00215B62"/>
    <w:rsid w:val="00215CFE"/>
    <w:rsid w:val="00216A6D"/>
    <w:rsid w:val="002173CB"/>
    <w:rsid w:val="00217817"/>
    <w:rsid w:val="00217E7E"/>
    <w:rsid w:val="00220384"/>
    <w:rsid w:val="00220420"/>
    <w:rsid w:val="00220FF6"/>
    <w:rsid w:val="002214B4"/>
    <w:rsid w:val="0022164F"/>
    <w:rsid w:val="002219E2"/>
    <w:rsid w:val="00221AFF"/>
    <w:rsid w:val="00222090"/>
    <w:rsid w:val="0022320E"/>
    <w:rsid w:val="00223278"/>
    <w:rsid w:val="00223CBB"/>
    <w:rsid w:val="00223D53"/>
    <w:rsid w:val="00223E0D"/>
    <w:rsid w:val="00225A7B"/>
    <w:rsid w:val="00225FFD"/>
    <w:rsid w:val="0022606C"/>
    <w:rsid w:val="00230070"/>
    <w:rsid w:val="0023078D"/>
    <w:rsid w:val="00231878"/>
    <w:rsid w:val="00231E36"/>
    <w:rsid w:val="00231FB0"/>
    <w:rsid w:val="00232149"/>
    <w:rsid w:val="00232158"/>
    <w:rsid w:val="00232484"/>
    <w:rsid w:val="002326F1"/>
    <w:rsid w:val="0023310D"/>
    <w:rsid w:val="002333F6"/>
    <w:rsid w:val="00234238"/>
    <w:rsid w:val="00236553"/>
    <w:rsid w:val="002378FC"/>
    <w:rsid w:val="0024045E"/>
    <w:rsid w:val="00240800"/>
    <w:rsid w:val="002411BA"/>
    <w:rsid w:val="00241B21"/>
    <w:rsid w:val="00242A0A"/>
    <w:rsid w:val="00242D54"/>
    <w:rsid w:val="00242D9F"/>
    <w:rsid w:val="002445F5"/>
    <w:rsid w:val="00244A17"/>
    <w:rsid w:val="00245908"/>
    <w:rsid w:val="002461C2"/>
    <w:rsid w:val="002471A4"/>
    <w:rsid w:val="002475C9"/>
    <w:rsid w:val="00247901"/>
    <w:rsid w:val="00251FAF"/>
    <w:rsid w:val="002531E2"/>
    <w:rsid w:val="002540BC"/>
    <w:rsid w:val="00254473"/>
    <w:rsid w:val="0025483E"/>
    <w:rsid w:val="002551C3"/>
    <w:rsid w:val="00255861"/>
    <w:rsid w:val="00256AF0"/>
    <w:rsid w:val="002575DB"/>
    <w:rsid w:val="00257748"/>
    <w:rsid w:val="00260275"/>
    <w:rsid w:val="002605F4"/>
    <w:rsid w:val="00260748"/>
    <w:rsid w:val="00260FCF"/>
    <w:rsid w:val="00261B42"/>
    <w:rsid w:val="00261E67"/>
    <w:rsid w:val="00262212"/>
    <w:rsid w:val="0026225A"/>
    <w:rsid w:val="00263210"/>
    <w:rsid w:val="0026344F"/>
    <w:rsid w:val="002639E1"/>
    <w:rsid w:val="0026471C"/>
    <w:rsid w:val="00264BA6"/>
    <w:rsid w:val="00265E89"/>
    <w:rsid w:val="00265F87"/>
    <w:rsid w:val="00267104"/>
    <w:rsid w:val="00267578"/>
    <w:rsid w:val="002678A7"/>
    <w:rsid w:val="00267916"/>
    <w:rsid w:val="002702D1"/>
    <w:rsid w:val="0027078E"/>
    <w:rsid w:val="00270899"/>
    <w:rsid w:val="002710DB"/>
    <w:rsid w:val="002718B7"/>
    <w:rsid w:val="00271C7E"/>
    <w:rsid w:val="00271C82"/>
    <w:rsid w:val="00272AA3"/>
    <w:rsid w:val="002730FC"/>
    <w:rsid w:val="00273432"/>
    <w:rsid w:val="00273799"/>
    <w:rsid w:val="0027407C"/>
    <w:rsid w:val="00274221"/>
    <w:rsid w:val="00274472"/>
    <w:rsid w:val="00274CA1"/>
    <w:rsid w:val="00275306"/>
    <w:rsid w:val="00275D15"/>
    <w:rsid w:val="002762A8"/>
    <w:rsid w:val="00276330"/>
    <w:rsid w:val="00276721"/>
    <w:rsid w:val="00277222"/>
    <w:rsid w:val="0027745A"/>
    <w:rsid w:val="00277741"/>
    <w:rsid w:val="00277922"/>
    <w:rsid w:val="002779D5"/>
    <w:rsid w:val="0028049A"/>
    <w:rsid w:val="00280817"/>
    <w:rsid w:val="00281EC4"/>
    <w:rsid w:val="00282280"/>
    <w:rsid w:val="00282505"/>
    <w:rsid w:val="00282A2F"/>
    <w:rsid w:val="00282EF3"/>
    <w:rsid w:val="00283011"/>
    <w:rsid w:val="00283931"/>
    <w:rsid w:val="00284482"/>
    <w:rsid w:val="002845DB"/>
    <w:rsid w:val="002846E8"/>
    <w:rsid w:val="002848E1"/>
    <w:rsid w:val="00285769"/>
    <w:rsid w:val="002858C3"/>
    <w:rsid w:val="00285C5D"/>
    <w:rsid w:val="00287EE0"/>
    <w:rsid w:val="0029034F"/>
    <w:rsid w:val="002907AE"/>
    <w:rsid w:val="00290D5A"/>
    <w:rsid w:val="0029147D"/>
    <w:rsid w:val="002924FB"/>
    <w:rsid w:val="002935F5"/>
    <w:rsid w:val="00293BFE"/>
    <w:rsid w:val="00293FCB"/>
    <w:rsid w:val="0029464F"/>
    <w:rsid w:val="00295A76"/>
    <w:rsid w:val="00295E31"/>
    <w:rsid w:val="00296349"/>
    <w:rsid w:val="00296407"/>
    <w:rsid w:val="00297B83"/>
    <w:rsid w:val="002A0417"/>
    <w:rsid w:val="002A05AD"/>
    <w:rsid w:val="002A0950"/>
    <w:rsid w:val="002A096B"/>
    <w:rsid w:val="002A110F"/>
    <w:rsid w:val="002A1816"/>
    <w:rsid w:val="002A1F7A"/>
    <w:rsid w:val="002A26A7"/>
    <w:rsid w:val="002A2B93"/>
    <w:rsid w:val="002A30A6"/>
    <w:rsid w:val="002A4242"/>
    <w:rsid w:val="002A42BA"/>
    <w:rsid w:val="002A432F"/>
    <w:rsid w:val="002A485C"/>
    <w:rsid w:val="002A4B7E"/>
    <w:rsid w:val="002A4D2A"/>
    <w:rsid w:val="002A5147"/>
    <w:rsid w:val="002A5435"/>
    <w:rsid w:val="002A5A4B"/>
    <w:rsid w:val="002A5AC3"/>
    <w:rsid w:val="002A5D27"/>
    <w:rsid w:val="002A5EEA"/>
    <w:rsid w:val="002A61DC"/>
    <w:rsid w:val="002A67D8"/>
    <w:rsid w:val="002A6BE2"/>
    <w:rsid w:val="002A6DD2"/>
    <w:rsid w:val="002A715F"/>
    <w:rsid w:val="002A7AED"/>
    <w:rsid w:val="002B067C"/>
    <w:rsid w:val="002B088A"/>
    <w:rsid w:val="002B143C"/>
    <w:rsid w:val="002B1698"/>
    <w:rsid w:val="002B17FE"/>
    <w:rsid w:val="002B3A53"/>
    <w:rsid w:val="002B3D40"/>
    <w:rsid w:val="002B4B35"/>
    <w:rsid w:val="002B5230"/>
    <w:rsid w:val="002B539C"/>
    <w:rsid w:val="002B6198"/>
    <w:rsid w:val="002B61A6"/>
    <w:rsid w:val="002B662B"/>
    <w:rsid w:val="002B6D9B"/>
    <w:rsid w:val="002B6EAA"/>
    <w:rsid w:val="002B7CA7"/>
    <w:rsid w:val="002C01A2"/>
    <w:rsid w:val="002C0A11"/>
    <w:rsid w:val="002C0DF6"/>
    <w:rsid w:val="002C1203"/>
    <w:rsid w:val="002C1609"/>
    <w:rsid w:val="002C27F8"/>
    <w:rsid w:val="002C2914"/>
    <w:rsid w:val="002C2A8E"/>
    <w:rsid w:val="002C2ED7"/>
    <w:rsid w:val="002C30E9"/>
    <w:rsid w:val="002C327B"/>
    <w:rsid w:val="002C3C0A"/>
    <w:rsid w:val="002C3D15"/>
    <w:rsid w:val="002C4128"/>
    <w:rsid w:val="002C4221"/>
    <w:rsid w:val="002C5A80"/>
    <w:rsid w:val="002C5F8E"/>
    <w:rsid w:val="002C60D0"/>
    <w:rsid w:val="002C6C26"/>
    <w:rsid w:val="002C793F"/>
    <w:rsid w:val="002C7F6E"/>
    <w:rsid w:val="002D03C8"/>
    <w:rsid w:val="002D108C"/>
    <w:rsid w:val="002D12F5"/>
    <w:rsid w:val="002D1C7D"/>
    <w:rsid w:val="002D24AD"/>
    <w:rsid w:val="002D29F9"/>
    <w:rsid w:val="002D3E2D"/>
    <w:rsid w:val="002D3F44"/>
    <w:rsid w:val="002D429D"/>
    <w:rsid w:val="002D46DB"/>
    <w:rsid w:val="002D48C0"/>
    <w:rsid w:val="002D5014"/>
    <w:rsid w:val="002D56E6"/>
    <w:rsid w:val="002D5DA6"/>
    <w:rsid w:val="002D5E3B"/>
    <w:rsid w:val="002D5E5B"/>
    <w:rsid w:val="002D5FA5"/>
    <w:rsid w:val="002D651F"/>
    <w:rsid w:val="002D6FD1"/>
    <w:rsid w:val="002D79DC"/>
    <w:rsid w:val="002E0875"/>
    <w:rsid w:val="002E094B"/>
    <w:rsid w:val="002E0AD3"/>
    <w:rsid w:val="002E0F39"/>
    <w:rsid w:val="002E16F8"/>
    <w:rsid w:val="002E2C1D"/>
    <w:rsid w:val="002E39EA"/>
    <w:rsid w:val="002E569C"/>
    <w:rsid w:val="002E6B8B"/>
    <w:rsid w:val="002E72D8"/>
    <w:rsid w:val="002E7C58"/>
    <w:rsid w:val="002E7D4A"/>
    <w:rsid w:val="002E7DFD"/>
    <w:rsid w:val="002E7F2D"/>
    <w:rsid w:val="002F0681"/>
    <w:rsid w:val="002F0868"/>
    <w:rsid w:val="002F16DE"/>
    <w:rsid w:val="002F1BAC"/>
    <w:rsid w:val="002F22BB"/>
    <w:rsid w:val="002F2860"/>
    <w:rsid w:val="002F2B20"/>
    <w:rsid w:val="002F2DBB"/>
    <w:rsid w:val="002F3B1F"/>
    <w:rsid w:val="002F40FE"/>
    <w:rsid w:val="002F5591"/>
    <w:rsid w:val="002F5B11"/>
    <w:rsid w:val="002F629D"/>
    <w:rsid w:val="002F6361"/>
    <w:rsid w:val="002F7A92"/>
    <w:rsid w:val="0030069C"/>
    <w:rsid w:val="00300875"/>
    <w:rsid w:val="00300FB0"/>
    <w:rsid w:val="00301063"/>
    <w:rsid w:val="0030129C"/>
    <w:rsid w:val="003020D0"/>
    <w:rsid w:val="003027A2"/>
    <w:rsid w:val="00302ADA"/>
    <w:rsid w:val="00302BC0"/>
    <w:rsid w:val="00305A53"/>
    <w:rsid w:val="00305B76"/>
    <w:rsid w:val="003063B4"/>
    <w:rsid w:val="0030698B"/>
    <w:rsid w:val="00306E66"/>
    <w:rsid w:val="00307D1D"/>
    <w:rsid w:val="00310A4B"/>
    <w:rsid w:val="00310BA0"/>
    <w:rsid w:val="00311F5C"/>
    <w:rsid w:val="00311F95"/>
    <w:rsid w:val="00312409"/>
    <w:rsid w:val="00312572"/>
    <w:rsid w:val="0031287F"/>
    <w:rsid w:val="00313E34"/>
    <w:rsid w:val="0031484F"/>
    <w:rsid w:val="0031531D"/>
    <w:rsid w:val="00315407"/>
    <w:rsid w:val="00315414"/>
    <w:rsid w:val="003154BD"/>
    <w:rsid w:val="003163B2"/>
    <w:rsid w:val="00316A86"/>
    <w:rsid w:val="003203C5"/>
    <w:rsid w:val="00320B2D"/>
    <w:rsid w:val="00320B9C"/>
    <w:rsid w:val="003214CF"/>
    <w:rsid w:val="00322241"/>
    <w:rsid w:val="00322E0E"/>
    <w:rsid w:val="00323370"/>
    <w:rsid w:val="003233DA"/>
    <w:rsid w:val="00324993"/>
    <w:rsid w:val="003257C8"/>
    <w:rsid w:val="00325C84"/>
    <w:rsid w:val="00325ED4"/>
    <w:rsid w:val="00326B21"/>
    <w:rsid w:val="00326F97"/>
    <w:rsid w:val="003276B2"/>
    <w:rsid w:val="00327A0A"/>
    <w:rsid w:val="00330F15"/>
    <w:rsid w:val="003317AA"/>
    <w:rsid w:val="00331C48"/>
    <w:rsid w:val="00332324"/>
    <w:rsid w:val="00332456"/>
    <w:rsid w:val="00332DE6"/>
    <w:rsid w:val="00332F2C"/>
    <w:rsid w:val="0033313D"/>
    <w:rsid w:val="00333CBD"/>
    <w:rsid w:val="00333EA8"/>
    <w:rsid w:val="003341CA"/>
    <w:rsid w:val="003348B4"/>
    <w:rsid w:val="00334CC2"/>
    <w:rsid w:val="00335C02"/>
    <w:rsid w:val="00335C35"/>
    <w:rsid w:val="00335F11"/>
    <w:rsid w:val="003368B8"/>
    <w:rsid w:val="00336AE3"/>
    <w:rsid w:val="0033751C"/>
    <w:rsid w:val="00337D85"/>
    <w:rsid w:val="00337FBF"/>
    <w:rsid w:val="003403DF"/>
    <w:rsid w:val="00340918"/>
    <w:rsid w:val="003409D9"/>
    <w:rsid w:val="003415EB"/>
    <w:rsid w:val="00342892"/>
    <w:rsid w:val="00343147"/>
    <w:rsid w:val="00343A6B"/>
    <w:rsid w:val="00343EBE"/>
    <w:rsid w:val="00344573"/>
    <w:rsid w:val="003449FA"/>
    <w:rsid w:val="00344D08"/>
    <w:rsid w:val="00345BB0"/>
    <w:rsid w:val="0034672A"/>
    <w:rsid w:val="003467B1"/>
    <w:rsid w:val="00346954"/>
    <w:rsid w:val="003474C5"/>
    <w:rsid w:val="00347860"/>
    <w:rsid w:val="00347F4F"/>
    <w:rsid w:val="00350020"/>
    <w:rsid w:val="003502BA"/>
    <w:rsid w:val="003508AD"/>
    <w:rsid w:val="00350FA0"/>
    <w:rsid w:val="00351817"/>
    <w:rsid w:val="00351F9A"/>
    <w:rsid w:val="00352071"/>
    <w:rsid w:val="0035294C"/>
    <w:rsid w:val="003537EA"/>
    <w:rsid w:val="00354849"/>
    <w:rsid w:val="0035647C"/>
    <w:rsid w:val="00357136"/>
    <w:rsid w:val="003574D1"/>
    <w:rsid w:val="00357CA5"/>
    <w:rsid w:val="00357FF1"/>
    <w:rsid w:val="00360655"/>
    <w:rsid w:val="0036091C"/>
    <w:rsid w:val="00360BF3"/>
    <w:rsid w:val="00361031"/>
    <w:rsid w:val="00361466"/>
    <w:rsid w:val="003616AC"/>
    <w:rsid w:val="003618C8"/>
    <w:rsid w:val="00361D22"/>
    <w:rsid w:val="00361F63"/>
    <w:rsid w:val="00363476"/>
    <w:rsid w:val="00364193"/>
    <w:rsid w:val="003641D9"/>
    <w:rsid w:val="00364748"/>
    <w:rsid w:val="00364C77"/>
    <w:rsid w:val="00364F9B"/>
    <w:rsid w:val="003650F0"/>
    <w:rsid w:val="00365C4A"/>
    <w:rsid w:val="00365DF6"/>
    <w:rsid w:val="00365F4D"/>
    <w:rsid w:val="00365F9B"/>
    <w:rsid w:val="00365FEB"/>
    <w:rsid w:val="00366EE6"/>
    <w:rsid w:val="00367CC6"/>
    <w:rsid w:val="00371F66"/>
    <w:rsid w:val="0037218D"/>
    <w:rsid w:val="00372561"/>
    <w:rsid w:val="003725C5"/>
    <w:rsid w:val="00373F3B"/>
    <w:rsid w:val="00374434"/>
    <w:rsid w:val="00374AB6"/>
    <w:rsid w:val="00374BFF"/>
    <w:rsid w:val="0037524E"/>
    <w:rsid w:val="00375604"/>
    <w:rsid w:val="00375A39"/>
    <w:rsid w:val="00375D60"/>
    <w:rsid w:val="00375DCD"/>
    <w:rsid w:val="003760BD"/>
    <w:rsid w:val="003772CA"/>
    <w:rsid w:val="0038098D"/>
    <w:rsid w:val="0038144B"/>
    <w:rsid w:val="00382BBA"/>
    <w:rsid w:val="00383626"/>
    <w:rsid w:val="003837DD"/>
    <w:rsid w:val="00383C9C"/>
    <w:rsid w:val="0038405A"/>
    <w:rsid w:val="00384152"/>
    <w:rsid w:val="0038427D"/>
    <w:rsid w:val="003842BA"/>
    <w:rsid w:val="00384570"/>
    <w:rsid w:val="00385273"/>
    <w:rsid w:val="00385598"/>
    <w:rsid w:val="00385689"/>
    <w:rsid w:val="003861D4"/>
    <w:rsid w:val="00386450"/>
    <w:rsid w:val="00386DB0"/>
    <w:rsid w:val="00386E01"/>
    <w:rsid w:val="0038730D"/>
    <w:rsid w:val="0038744D"/>
    <w:rsid w:val="003875A7"/>
    <w:rsid w:val="003902E6"/>
    <w:rsid w:val="003906BE"/>
    <w:rsid w:val="00390A1A"/>
    <w:rsid w:val="003933D8"/>
    <w:rsid w:val="0039373A"/>
    <w:rsid w:val="00393CE5"/>
    <w:rsid w:val="0039411B"/>
    <w:rsid w:val="00394270"/>
    <w:rsid w:val="00394D3B"/>
    <w:rsid w:val="0039581E"/>
    <w:rsid w:val="00395C2F"/>
    <w:rsid w:val="00396933"/>
    <w:rsid w:val="00396CFB"/>
    <w:rsid w:val="00397F1F"/>
    <w:rsid w:val="003A06A4"/>
    <w:rsid w:val="003A0C42"/>
    <w:rsid w:val="003A122F"/>
    <w:rsid w:val="003A164D"/>
    <w:rsid w:val="003A1FE4"/>
    <w:rsid w:val="003A221D"/>
    <w:rsid w:val="003A32EF"/>
    <w:rsid w:val="003A3AB6"/>
    <w:rsid w:val="003A4308"/>
    <w:rsid w:val="003A520B"/>
    <w:rsid w:val="003A6056"/>
    <w:rsid w:val="003A631F"/>
    <w:rsid w:val="003A7034"/>
    <w:rsid w:val="003A70F9"/>
    <w:rsid w:val="003A7417"/>
    <w:rsid w:val="003B0C83"/>
    <w:rsid w:val="003B0DEC"/>
    <w:rsid w:val="003B0FCA"/>
    <w:rsid w:val="003B125F"/>
    <w:rsid w:val="003B144C"/>
    <w:rsid w:val="003B166A"/>
    <w:rsid w:val="003B1EFB"/>
    <w:rsid w:val="003B2A27"/>
    <w:rsid w:val="003B3619"/>
    <w:rsid w:val="003B3B67"/>
    <w:rsid w:val="003B3CBA"/>
    <w:rsid w:val="003B3D8D"/>
    <w:rsid w:val="003B49A3"/>
    <w:rsid w:val="003B4C55"/>
    <w:rsid w:val="003B4C71"/>
    <w:rsid w:val="003B4C76"/>
    <w:rsid w:val="003B5652"/>
    <w:rsid w:val="003B5994"/>
    <w:rsid w:val="003B5EF4"/>
    <w:rsid w:val="003B6314"/>
    <w:rsid w:val="003B7C9A"/>
    <w:rsid w:val="003C05EC"/>
    <w:rsid w:val="003C083F"/>
    <w:rsid w:val="003C0CEE"/>
    <w:rsid w:val="003C27D1"/>
    <w:rsid w:val="003C2B23"/>
    <w:rsid w:val="003C329C"/>
    <w:rsid w:val="003C340D"/>
    <w:rsid w:val="003C4338"/>
    <w:rsid w:val="003C4433"/>
    <w:rsid w:val="003C49FA"/>
    <w:rsid w:val="003C4AB8"/>
    <w:rsid w:val="003C4C33"/>
    <w:rsid w:val="003C5097"/>
    <w:rsid w:val="003C5686"/>
    <w:rsid w:val="003C5FE4"/>
    <w:rsid w:val="003C6E13"/>
    <w:rsid w:val="003C6E46"/>
    <w:rsid w:val="003C7309"/>
    <w:rsid w:val="003C7791"/>
    <w:rsid w:val="003C7825"/>
    <w:rsid w:val="003C7A70"/>
    <w:rsid w:val="003C7AE9"/>
    <w:rsid w:val="003C7C3A"/>
    <w:rsid w:val="003D008E"/>
    <w:rsid w:val="003D0309"/>
    <w:rsid w:val="003D0B14"/>
    <w:rsid w:val="003D0B57"/>
    <w:rsid w:val="003D1733"/>
    <w:rsid w:val="003D1F31"/>
    <w:rsid w:val="003D3359"/>
    <w:rsid w:val="003D3DEF"/>
    <w:rsid w:val="003D3E97"/>
    <w:rsid w:val="003D3F5F"/>
    <w:rsid w:val="003D43B8"/>
    <w:rsid w:val="003D44C1"/>
    <w:rsid w:val="003D502E"/>
    <w:rsid w:val="003D5781"/>
    <w:rsid w:val="003D58B8"/>
    <w:rsid w:val="003D6332"/>
    <w:rsid w:val="003D6D51"/>
    <w:rsid w:val="003E0207"/>
    <w:rsid w:val="003E0AE7"/>
    <w:rsid w:val="003E0F8D"/>
    <w:rsid w:val="003E3815"/>
    <w:rsid w:val="003E396C"/>
    <w:rsid w:val="003E3FF9"/>
    <w:rsid w:val="003E43D5"/>
    <w:rsid w:val="003E45A2"/>
    <w:rsid w:val="003E4C09"/>
    <w:rsid w:val="003E53E2"/>
    <w:rsid w:val="003E55EF"/>
    <w:rsid w:val="003E5FB2"/>
    <w:rsid w:val="003E600F"/>
    <w:rsid w:val="003E6035"/>
    <w:rsid w:val="003E6382"/>
    <w:rsid w:val="003E658C"/>
    <w:rsid w:val="003E66A9"/>
    <w:rsid w:val="003E67F9"/>
    <w:rsid w:val="003F0805"/>
    <w:rsid w:val="003F181E"/>
    <w:rsid w:val="003F18EF"/>
    <w:rsid w:val="003F2095"/>
    <w:rsid w:val="003F2DD4"/>
    <w:rsid w:val="003F37BE"/>
    <w:rsid w:val="003F3A97"/>
    <w:rsid w:val="003F3B32"/>
    <w:rsid w:val="003F3D5F"/>
    <w:rsid w:val="003F4E5D"/>
    <w:rsid w:val="003F51FD"/>
    <w:rsid w:val="003F5562"/>
    <w:rsid w:val="003F5A38"/>
    <w:rsid w:val="003F5E71"/>
    <w:rsid w:val="003F663A"/>
    <w:rsid w:val="003F67CC"/>
    <w:rsid w:val="003F68DE"/>
    <w:rsid w:val="003F6E04"/>
    <w:rsid w:val="003F6EE5"/>
    <w:rsid w:val="003F7549"/>
    <w:rsid w:val="003F777E"/>
    <w:rsid w:val="00400C3B"/>
    <w:rsid w:val="00401312"/>
    <w:rsid w:val="0040212C"/>
    <w:rsid w:val="00402690"/>
    <w:rsid w:val="00402D75"/>
    <w:rsid w:val="0040312A"/>
    <w:rsid w:val="00404B49"/>
    <w:rsid w:val="00405B1A"/>
    <w:rsid w:val="00405EA4"/>
    <w:rsid w:val="00405F56"/>
    <w:rsid w:val="00406695"/>
    <w:rsid w:val="004068B9"/>
    <w:rsid w:val="00406EB9"/>
    <w:rsid w:val="004076C2"/>
    <w:rsid w:val="0041136F"/>
    <w:rsid w:val="00411423"/>
    <w:rsid w:val="00411702"/>
    <w:rsid w:val="00411DCA"/>
    <w:rsid w:val="004120A8"/>
    <w:rsid w:val="00412C1A"/>
    <w:rsid w:val="00414280"/>
    <w:rsid w:val="004142FC"/>
    <w:rsid w:val="00414464"/>
    <w:rsid w:val="00414C2E"/>
    <w:rsid w:val="00414DE8"/>
    <w:rsid w:val="004159EE"/>
    <w:rsid w:val="00415BCF"/>
    <w:rsid w:val="00416045"/>
    <w:rsid w:val="00416956"/>
    <w:rsid w:val="00416FE0"/>
    <w:rsid w:val="00417BD8"/>
    <w:rsid w:val="0042064F"/>
    <w:rsid w:val="00421FE1"/>
    <w:rsid w:val="0042265F"/>
    <w:rsid w:val="00423EAC"/>
    <w:rsid w:val="004257A9"/>
    <w:rsid w:val="0042588C"/>
    <w:rsid w:val="00426C19"/>
    <w:rsid w:val="00426C73"/>
    <w:rsid w:val="00426FD2"/>
    <w:rsid w:val="00427C0E"/>
    <w:rsid w:val="00430D73"/>
    <w:rsid w:val="00430E7B"/>
    <w:rsid w:val="00431CFF"/>
    <w:rsid w:val="00433FA5"/>
    <w:rsid w:val="00434767"/>
    <w:rsid w:val="0043524E"/>
    <w:rsid w:val="00435B6B"/>
    <w:rsid w:val="00435D3C"/>
    <w:rsid w:val="00435D71"/>
    <w:rsid w:val="00436C9E"/>
    <w:rsid w:val="00436ED3"/>
    <w:rsid w:val="004377AA"/>
    <w:rsid w:val="00437E0B"/>
    <w:rsid w:val="00440AEA"/>
    <w:rsid w:val="00440EB9"/>
    <w:rsid w:val="00441794"/>
    <w:rsid w:val="00441B26"/>
    <w:rsid w:val="00442CD8"/>
    <w:rsid w:val="00442F8E"/>
    <w:rsid w:val="004435FC"/>
    <w:rsid w:val="00444083"/>
    <w:rsid w:val="004449B6"/>
    <w:rsid w:val="00445664"/>
    <w:rsid w:val="004466FB"/>
    <w:rsid w:val="004470D2"/>
    <w:rsid w:val="0045090C"/>
    <w:rsid w:val="00450C18"/>
    <w:rsid w:val="00450C2E"/>
    <w:rsid w:val="00450DAC"/>
    <w:rsid w:val="004512F7"/>
    <w:rsid w:val="00451409"/>
    <w:rsid w:val="004518EE"/>
    <w:rsid w:val="00451960"/>
    <w:rsid w:val="00451B15"/>
    <w:rsid w:val="00451B31"/>
    <w:rsid w:val="004526DB"/>
    <w:rsid w:val="00452F59"/>
    <w:rsid w:val="00452F68"/>
    <w:rsid w:val="00453097"/>
    <w:rsid w:val="004531BC"/>
    <w:rsid w:val="0045323D"/>
    <w:rsid w:val="00453CCE"/>
    <w:rsid w:val="0045420D"/>
    <w:rsid w:val="00454930"/>
    <w:rsid w:val="00454F02"/>
    <w:rsid w:val="00455031"/>
    <w:rsid w:val="004551DF"/>
    <w:rsid w:val="00455F7F"/>
    <w:rsid w:val="004579B9"/>
    <w:rsid w:val="00457D03"/>
    <w:rsid w:val="00460172"/>
    <w:rsid w:val="0046095D"/>
    <w:rsid w:val="00460974"/>
    <w:rsid w:val="004611F4"/>
    <w:rsid w:val="00461E79"/>
    <w:rsid w:val="004643AC"/>
    <w:rsid w:val="004652CA"/>
    <w:rsid w:val="0046585B"/>
    <w:rsid w:val="004660B6"/>
    <w:rsid w:val="00466CDF"/>
    <w:rsid w:val="00466D4A"/>
    <w:rsid w:val="004673D5"/>
    <w:rsid w:val="004673E6"/>
    <w:rsid w:val="0046765D"/>
    <w:rsid w:val="00467994"/>
    <w:rsid w:val="00467BFE"/>
    <w:rsid w:val="00467E34"/>
    <w:rsid w:val="00467E57"/>
    <w:rsid w:val="00467FE7"/>
    <w:rsid w:val="00470BA4"/>
    <w:rsid w:val="00470E79"/>
    <w:rsid w:val="004711DC"/>
    <w:rsid w:val="004713EF"/>
    <w:rsid w:val="0047165D"/>
    <w:rsid w:val="004726BB"/>
    <w:rsid w:val="00472860"/>
    <w:rsid w:val="00472CF4"/>
    <w:rsid w:val="00472E49"/>
    <w:rsid w:val="00473378"/>
    <w:rsid w:val="00474067"/>
    <w:rsid w:val="004751A9"/>
    <w:rsid w:val="00475238"/>
    <w:rsid w:val="00475924"/>
    <w:rsid w:val="00475BA7"/>
    <w:rsid w:val="00475C33"/>
    <w:rsid w:val="004765DA"/>
    <w:rsid w:val="00476F25"/>
    <w:rsid w:val="00476F79"/>
    <w:rsid w:val="00477086"/>
    <w:rsid w:val="0047719D"/>
    <w:rsid w:val="00477273"/>
    <w:rsid w:val="00477640"/>
    <w:rsid w:val="0047764F"/>
    <w:rsid w:val="00477E83"/>
    <w:rsid w:val="00477ED3"/>
    <w:rsid w:val="0048014A"/>
    <w:rsid w:val="00480A57"/>
    <w:rsid w:val="00481996"/>
    <w:rsid w:val="00482F62"/>
    <w:rsid w:val="00483184"/>
    <w:rsid w:val="004834AE"/>
    <w:rsid w:val="0048358A"/>
    <w:rsid w:val="00483990"/>
    <w:rsid w:val="00484310"/>
    <w:rsid w:val="004849C4"/>
    <w:rsid w:val="00486559"/>
    <w:rsid w:val="004869C0"/>
    <w:rsid w:val="004876CC"/>
    <w:rsid w:val="00487B66"/>
    <w:rsid w:val="00487BCB"/>
    <w:rsid w:val="00487E91"/>
    <w:rsid w:val="00490267"/>
    <w:rsid w:val="004906B8"/>
    <w:rsid w:val="0049113A"/>
    <w:rsid w:val="00493B15"/>
    <w:rsid w:val="00493FE5"/>
    <w:rsid w:val="00494437"/>
    <w:rsid w:val="004946F9"/>
    <w:rsid w:val="004951B3"/>
    <w:rsid w:val="004959D0"/>
    <w:rsid w:val="0049660E"/>
    <w:rsid w:val="0049663D"/>
    <w:rsid w:val="00497680"/>
    <w:rsid w:val="004A0679"/>
    <w:rsid w:val="004A08F9"/>
    <w:rsid w:val="004A0B40"/>
    <w:rsid w:val="004A0BD7"/>
    <w:rsid w:val="004A0F76"/>
    <w:rsid w:val="004A1AE6"/>
    <w:rsid w:val="004A1EB8"/>
    <w:rsid w:val="004A202D"/>
    <w:rsid w:val="004A2F12"/>
    <w:rsid w:val="004A412E"/>
    <w:rsid w:val="004A48F0"/>
    <w:rsid w:val="004A4970"/>
    <w:rsid w:val="004A5517"/>
    <w:rsid w:val="004A5DF0"/>
    <w:rsid w:val="004A618A"/>
    <w:rsid w:val="004A6450"/>
    <w:rsid w:val="004A6B9C"/>
    <w:rsid w:val="004B00B7"/>
    <w:rsid w:val="004B0860"/>
    <w:rsid w:val="004B0B32"/>
    <w:rsid w:val="004B0C17"/>
    <w:rsid w:val="004B2E48"/>
    <w:rsid w:val="004B396E"/>
    <w:rsid w:val="004B4000"/>
    <w:rsid w:val="004B414D"/>
    <w:rsid w:val="004B4211"/>
    <w:rsid w:val="004B466D"/>
    <w:rsid w:val="004B4FB5"/>
    <w:rsid w:val="004B505E"/>
    <w:rsid w:val="004B5FC4"/>
    <w:rsid w:val="004B62C9"/>
    <w:rsid w:val="004B631F"/>
    <w:rsid w:val="004B66FC"/>
    <w:rsid w:val="004B7337"/>
    <w:rsid w:val="004B74DA"/>
    <w:rsid w:val="004B74F2"/>
    <w:rsid w:val="004C048C"/>
    <w:rsid w:val="004C06B7"/>
    <w:rsid w:val="004C0A29"/>
    <w:rsid w:val="004C0F13"/>
    <w:rsid w:val="004C2102"/>
    <w:rsid w:val="004C2195"/>
    <w:rsid w:val="004C2829"/>
    <w:rsid w:val="004C3257"/>
    <w:rsid w:val="004C39F4"/>
    <w:rsid w:val="004C3E49"/>
    <w:rsid w:val="004C3F89"/>
    <w:rsid w:val="004C4C00"/>
    <w:rsid w:val="004C51F0"/>
    <w:rsid w:val="004C5EF1"/>
    <w:rsid w:val="004C600C"/>
    <w:rsid w:val="004C6B69"/>
    <w:rsid w:val="004D0089"/>
    <w:rsid w:val="004D0D15"/>
    <w:rsid w:val="004D0F81"/>
    <w:rsid w:val="004D1157"/>
    <w:rsid w:val="004D11FE"/>
    <w:rsid w:val="004D1AC9"/>
    <w:rsid w:val="004D2338"/>
    <w:rsid w:val="004D2362"/>
    <w:rsid w:val="004D3110"/>
    <w:rsid w:val="004D33C8"/>
    <w:rsid w:val="004D4022"/>
    <w:rsid w:val="004D472A"/>
    <w:rsid w:val="004D4A2C"/>
    <w:rsid w:val="004D4C0C"/>
    <w:rsid w:val="004D5160"/>
    <w:rsid w:val="004D629E"/>
    <w:rsid w:val="004D6965"/>
    <w:rsid w:val="004D6BBE"/>
    <w:rsid w:val="004D6F35"/>
    <w:rsid w:val="004D735B"/>
    <w:rsid w:val="004D77E8"/>
    <w:rsid w:val="004D7DB3"/>
    <w:rsid w:val="004E12A0"/>
    <w:rsid w:val="004E1F15"/>
    <w:rsid w:val="004E1FC8"/>
    <w:rsid w:val="004E2ACE"/>
    <w:rsid w:val="004E2B4E"/>
    <w:rsid w:val="004E3078"/>
    <w:rsid w:val="004E388E"/>
    <w:rsid w:val="004E38A6"/>
    <w:rsid w:val="004E3DFD"/>
    <w:rsid w:val="004E48B4"/>
    <w:rsid w:val="004E6488"/>
    <w:rsid w:val="004E6767"/>
    <w:rsid w:val="004E6A3A"/>
    <w:rsid w:val="004E6E27"/>
    <w:rsid w:val="004E70F5"/>
    <w:rsid w:val="004E7D21"/>
    <w:rsid w:val="004F07BF"/>
    <w:rsid w:val="004F0D8F"/>
    <w:rsid w:val="004F12E9"/>
    <w:rsid w:val="004F19FC"/>
    <w:rsid w:val="004F1C00"/>
    <w:rsid w:val="004F1F5C"/>
    <w:rsid w:val="004F20D9"/>
    <w:rsid w:val="004F22F6"/>
    <w:rsid w:val="004F2640"/>
    <w:rsid w:val="004F2A3D"/>
    <w:rsid w:val="004F2D4F"/>
    <w:rsid w:val="004F2FD0"/>
    <w:rsid w:val="004F484E"/>
    <w:rsid w:val="004F4CDC"/>
    <w:rsid w:val="004F5345"/>
    <w:rsid w:val="004F54A9"/>
    <w:rsid w:val="004F55A2"/>
    <w:rsid w:val="004F6942"/>
    <w:rsid w:val="004F6D68"/>
    <w:rsid w:val="004F7214"/>
    <w:rsid w:val="004F74A6"/>
    <w:rsid w:val="00500116"/>
    <w:rsid w:val="005015F6"/>
    <w:rsid w:val="0050200F"/>
    <w:rsid w:val="005028C2"/>
    <w:rsid w:val="00502A82"/>
    <w:rsid w:val="0050384B"/>
    <w:rsid w:val="00503853"/>
    <w:rsid w:val="00503B54"/>
    <w:rsid w:val="0050454F"/>
    <w:rsid w:val="00505DE4"/>
    <w:rsid w:val="0050670E"/>
    <w:rsid w:val="0050671B"/>
    <w:rsid w:val="00507447"/>
    <w:rsid w:val="00510006"/>
    <w:rsid w:val="005108C1"/>
    <w:rsid w:val="00511165"/>
    <w:rsid w:val="0051177A"/>
    <w:rsid w:val="005119E6"/>
    <w:rsid w:val="00512818"/>
    <w:rsid w:val="00512C85"/>
    <w:rsid w:val="00512EFB"/>
    <w:rsid w:val="00512FE9"/>
    <w:rsid w:val="00513818"/>
    <w:rsid w:val="00513E21"/>
    <w:rsid w:val="0051489C"/>
    <w:rsid w:val="00514956"/>
    <w:rsid w:val="00515436"/>
    <w:rsid w:val="005154C1"/>
    <w:rsid w:val="0051598E"/>
    <w:rsid w:val="0051599E"/>
    <w:rsid w:val="00515B63"/>
    <w:rsid w:val="005163DB"/>
    <w:rsid w:val="00520A8C"/>
    <w:rsid w:val="00520F5C"/>
    <w:rsid w:val="00521AE3"/>
    <w:rsid w:val="00521F94"/>
    <w:rsid w:val="00522BC2"/>
    <w:rsid w:val="00522FC5"/>
    <w:rsid w:val="005236CD"/>
    <w:rsid w:val="005242A8"/>
    <w:rsid w:val="0052430B"/>
    <w:rsid w:val="005243C8"/>
    <w:rsid w:val="00524E1A"/>
    <w:rsid w:val="00526936"/>
    <w:rsid w:val="00527B57"/>
    <w:rsid w:val="00527BD5"/>
    <w:rsid w:val="00530B3B"/>
    <w:rsid w:val="00530B52"/>
    <w:rsid w:val="00531520"/>
    <w:rsid w:val="0053638B"/>
    <w:rsid w:val="00537363"/>
    <w:rsid w:val="00537F85"/>
    <w:rsid w:val="00540844"/>
    <w:rsid w:val="005418CE"/>
    <w:rsid w:val="00542411"/>
    <w:rsid w:val="005428D6"/>
    <w:rsid w:val="00542C11"/>
    <w:rsid w:val="00543BC1"/>
    <w:rsid w:val="00543C4D"/>
    <w:rsid w:val="00543EB5"/>
    <w:rsid w:val="0054497D"/>
    <w:rsid w:val="00545317"/>
    <w:rsid w:val="005461C2"/>
    <w:rsid w:val="0054734B"/>
    <w:rsid w:val="00547727"/>
    <w:rsid w:val="00550707"/>
    <w:rsid w:val="0055079F"/>
    <w:rsid w:val="00550F56"/>
    <w:rsid w:val="0055122A"/>
    <w:rsid w:val="00551559"/>
    <w:rsid w:val="005524E6"/>
    <w:rsid w:val="00552A8D"/>
    <w:rsid w:val="00553ADE"/>
    <w:rsid w:val="00553BF1"/>
    <w:rsid w:val="0055549F"/>
    <w:rsid w:val="0055589C"/>
    <w:rsid w:val="0055652C"/>
    <w:rsid w:val="005578F0"/>
    <w:rsid w:val="00557FEE"/>
    <w:rsid w:val="00560600"/>
    <w:rsid w:val="00560F13"/>
    <w:rsid w:val="005610E0"/>
    <w:rsid w:val="00561C04"/>
    <w:rsid w:val="00561E7E"/>
    <w:rsid w:val="00563790"/>
    <w:rsid w:val="00563A12"/>
    <w:rsid w:val="0056402E"/>
    <w:rsid w:val="00564729"/>
    <w:rsid w:val="00564C89"/>
    <w:rsid w:val="00564CED"/>
    <w:rsid w:val="00565A05"/>
    <w:rsid w:val="00566474"/>
    <w:rsid w:val="0056684F"/>
    <w:rsid w:val="00566ADF"/>
    <w:rsid w:val="00566CCB"/>
    <w:rsid w:val="0057049F"/>
    <w:rsid w:val="005706FE"/>
    <w:rsid w:val="0057085F"/>
    <w:rsid w:val="00570CF5"/>
    <w:rsid w:val="00571733"/>
    <w:rsid w:val="0057195B"/>
    <w:rsid w:val="00571EBE"/>
    <w:rsid w:val="00572247"/>
    <w:rsid w:val="005726AB"/>
    <w:rsid w:val="00572E9B"/>
    <w:rsid w:val="0057370F"/>
    <w:rsid w:val="00575560"/>
    <w:rsid w:val="005755AD"/>
    <w:rsid w:val="0057600B"/>
    <w:rsid w:val="005765DC"/>
    <w:rsid w:val="005767AF"/>
    <w:rsid w:val="005768E8"/>
    <w:rsid w:val="00576FC5"/>
    <w:rsid w:val="005770B8"/>
    <w:rsid w:val="00580608"/>
    <w:rsid w:val="005809CC"/>
    <w:rsid w:val="00580F04"/>
    <w:rsid w:val="005818AC"/>
    <w:rsid w:val="00581B4E"/>
    <w:rsid w:val="00581B5E"/>
    <w:rsid w:val="00582752"/>
    <w:rsid w:val="00582895"/>
    <w:rsid w:val="00582EE7"/>
    <w:rsid w:val="00583003"/>
    <w:rsid w:val="00583706"/>
    <w:rsid w:val="00583BED"/>
    <w:rsid w:val="00583CC6"/>
    <w:rsid w:val="0058516E"/>
    <w:rsid w:val="005854B5"/>
    <w:rsid w:val="00585C66"/>
    <w:rsid w:val="00586802"/>
    <w:rsid w:val="00586B1D"/>
    <w:rsid w:val="00586D47"/>
    <w:rsid w:val="00587F79"/>
    <w:rsid w:val="00590559"/>
    <w:rsid w:val="00590C8B"/>
    <w:rsid w:val="00591340"/>
    <w:rsid w:val="00591CD8"/>
    <w:rsid w:val="00592373"/>
    <w:rsid w:val="00592774"/>
    <w:rsid w:val="00593651"/>
    <w:rsid w:val="00593CF5"/>
    <w:rsid w:val="005942DD"/>
    <w:rsid w:val="00594850"/>
    <w:rsid w:val="00594931"/>
    <w:rsid w:val="00594DAA"/>
    <w:rsid w:val="005959BD"/>
    <w:rsid w:val="005A118C"/>
    <w:rsid w:val="005A21BC"/>
    <w:rsid w:val="005A2B42"/>
    <w:rsid w:val="005A2D07"/>
    <w:rsid w:val="005A67C1"/>
    <w:rsid w:val="005A703E"/>
    <w:rsid w:val="005A7509"/>
    <w:rsid w:val="005A751A"/>
    <w:rsid w:val="005A76D4"/>
    <w:rsid w:val="005A7B70"/>
    <w:rsid w:val="005A7DB0"/>
    <w:rsid w:val="005B00A9"/>
    <w:rsid w:val="005B0120"/>
    <w:rsid w:val="005B0624"/>
    <w:rsid w:val="005B091B"/>
    <w:rsid w:val="005B096F"/>
    <w:rsid w:val="005B09B0"/>
    <w:rsid w:val="005B1C91"/>
    <w:rsid w:val="005B26B1"/>
    <w:rsid w:val="005B28F2"/>
    <w:rsid w:val="005B3D1B"/>
    <w:rsid w:val="005B3E50"/>
    <w:rsid w:val="005B4028"/>
    <w:rsid w:val="005B43F9"/>
    <w:rsid w:val="005B4542"/>
    <w:rsid w:val="005B4969"/>
    <w:rsid w:val="005B49BD"/>
    <w:rsid w:val="005B4C89"/>
    <w:rsid w:val="005B55F3"/>
    <w:rsid w:val="005B5AF5"/>
    <w:rsid w:val="005B618D"/>
    <w:rsid w:val="005B630C"/>
    <w:rsid w:val="005B72C0"/>
    <w:rsid w:val="005B7B94"/>
    <w:rsid w:val="005B7E7D"/>
    <w:rsid w:val="005C0749"/>
    <w:rsid w:val="005C1C73"/>
    <w:rsid w:val="005C2167"/>
    <w:rsid w:val="005C23E1"/>
    <w:rsid w:val="005C24A4"/>
    <w:rsid w:val="005C2913"/>
    <w:rsid w:val="005C451F"/>
    <w:rsid w:val="005C48DB"/>
    <w:rsid w:val="005C5979"/>
    <w:rsid w:val="005C6610"/>
    <w:rsid w:val="005C6D41"/>
    <w:rsid w:val="005C70FA"/>
    <w:rsid w:val="005C7AA2"/>
    <w:rsid w:val="005D00D6"/>
    <w:rsid w:val="005D07C2"/>
    <w:rsid w:val="005D0C8C"/>
    <w:rsid w:val="005D12E9"/>
    <w:rsid w:val="005D1764"/>
    <w:rsid w:val="005D1FD2"/>
    <w:rsid w:val="005D23C0"/>
    <w:rsid w:val="005D25D2"/>
    <w:rsid w:val="005D2728"/>
    <w:rsid w:val="005D3A71"/>
    <w:rsid w:val="005D404E"/>
    <w:rsid w:val="005D4435"/>
    <w:rsid w:val="005D4A0A"/>
    <w:rsid w:val="005D52A7"/>
    <w:rsid w:val="005D5622"/>
    <w:rsid w:val="005D686A"/>
    <w:rsid w:val="005D6A5B"/>
    <w:rsid w:val="005D7020"/>
    <w:rsid w:val="005D7457"/>
    <w:rsid w:val="005D7A3A"/>
    <w:rsid w:val="005E01E9"/>
    <w:rsid w:val="005E0216"/>
    <w:rsid w:val="005E09B8"/>
    <w:rsid w:val="005E20E0"/>
    <w:rsid w:val="005E2E23"/>
    <w:rsid w:val="005E3AFA"/>
    <w:rsid w:val="005E3F06"/>
    <w:rsid w:val="005E3F50"/>
    <w:rsid w:val="005E4B6E"/>
    <w:rsid w:val="005E5F23"/>
    <w:rsid w:val="005E7F8C"/>
    <w:rsid w:val="005F0502"/>
    <w:rsid w:val="005F1BDF"/>
    <w:rsid w:val="005F2A90"/>
    <w:rsid w:val="005F2B49"/>
    <w:rsid w:val="005F2CBF"/>
    <w:rsid w:val="005F2D48"/>
    <w:rsid w:val="005F38DE"/>
    <w:rsid w:val="005F445D"/>
    <w:rsid w:val="005F4666"/>
    <w:rsid w:val="005F7388"/>
    <w:rsid w:val="006000AF"/>
    <w:rsid w:val="0060087E"/>
    <w:rsid w:val="00600BD1"/>
    <w:rsid w:val="00602104"/>
    <w:rsid w:val="00602114"/>
    <w:rsid w:val="006041F9"/>
    <w:rsid w:val="00604452"/>
    <w:rsid w:val="00604494"/>
    <w:rsid w:val="0060488D"/>
    <w:rsid w:val="00605023"/>
    <w:rsid w:val="006062A6"/>
    <w:rsid w:val="00607088"/>
    <w:rsid w:val="00607BB6"/>
    <w:rsid w:val="00607BDE"/>
    <w:rsid w:val="00607C78"/>
    <w:rsid w:val="00610BBF"/>
    <w:rsid w:val="00611483"/>
    <w:rsid w:val="006116D8"/>
    <w:rsid w:val="00611725"/>
    <w:rsid w:val="00611AEA"/>
    <w:rsid w:val="00611E13"/>
    <w:rsid w:val="00612878"/>
    <w:rsid w:val="00613541"/>
    <w:rsid w:val="006139C1"/>
    <w:rsid w:val="00613BEE"/>
    <w:rsid w:val="00613BF6"/>
    <w:rsid w:val="00614C0C"/>
    <w:rsid w:val="006154D8"/>
    <w:rsid w:val="00615AFC"/>
    <w:rsid w:val="006160D6"/>
    <w:rsid w:val="006162AF"/>
    <w:rsid w:val="006165DB"/>
    <w:rsid w:val="00616CA2"/>
    <w:rsid w:val="00617315"/>
    <w:rsid w:val="006175C3"/>
    <w:rsid w:val="00620262"/>
    <w:rsid w:val="006218D4"/>
    <w:rsid w:val="0062196A"/>
    <w:rsid w:val="00621D39"/>
    <w:rsid w:val="00622B29"/>
    <w:rsid w:val="00623CD9"/>
    <w:rsid w:val="00623D95"/>
    <w:rsid w:val="00624D04"/>
    <w:rsid w:val="00624D3B"/>
    <w:rsid w:val="00624DA0"/>
    <w:rsid w:val="00624E36"/>
    <w:rsid w:val="00625107"/>
    <w:rsid w:val="00625FF7"/>
    <w:rsid w:val="00626B0C"/>
    <w:rsid w:val="00626B25"/>
    <w:rsid w:val="00626F27"/>
    <w:rsid w:val="00631206"/>
    <w:rsid w:val="00632229"/>
    <w:rsid w:val="006326F3"/>
    <w:rsid w:val="00632B2A"/>
    <w:rsid w:val="00632F3D"/>
    <w:rsid w:val="00633737"/>
    <w:rsid w:val="0063435A"/>
    <w:rsid w:val="00634823"/>
    <w:rsid w:val="006349F0"/>
    <w:rsid w:val="00634B7A"/>
    <w:rsid w:val="00634FF4"/>
    <w:rsid w:val="00635738"/>
    <w:rsid w:val="00635E5F"/>
    <w:rsid w:val="00636FDD"/>
    <w:rsid w:val="00637328"/>
    <w:rsid w:val="00637F86"/>
    <w:rsid w:val="006404F1"/>
    <w:rsid w:val="006411E1"/>
    <w:rsid w:val="00641327"/>
    <w:rsid w:val="006419E7"/>
    <w:rsid w:val="00641FCD"/>
    <w:rsid w:val="0064223F"/>
    <w:rsid w:val="00642541"/>
    <w:rsid w:val="006436F8"/>
    <w:rsid w:val="00643C9E"/>
    <w:rsid w:val="00643F40"/>
    <w:rsid w:val="00644F20"/>
    <w:rsid w:val="006451B6"/>
    <w:rsid w:val="0064574B"/>
    <w:rsid w:val="0064578D"/>
    <w:rsid w:val="006462D7"/>
    <w:rsid w:val="006465E2"/>
    <w:rsid w:val="00646DED"/>
    <w:rsid w:val="00646FE1"/>
    <w:rsid w:val="006478B7"/>
    <w:rsid w:val="00647FAD"/>
    <w:rsid w:val="00650162"/>
    <w:rsid w:val="006502BA"/>
    <w:rsid w:val="0065085E"/>
    <w:rsid w:val="00650DDE"/>
    <w:rsid w:val="0065161E"/>
    <w:rsid w:val="0065437D"/>
    <w:rsid w:val="006544D9"/>
    <w:rsid w:val="0065556B"/>
    <w:rsid w:val="0065586A"/>
    <w:rsid w:val="00656430"/>
    <w:rsid w:val="006574C6"/>
    <w:rsid w:val="00657607"/>
    <w:rsid w:val="0065766E"/>
    <w:rsid w:val="00660901"/>
    <w:rsid w:val="006625C1"/>
    <w:rsid w:val="00662682"/>
    <w:rsid w:val="00662837"/>
    <w:rsid w:val="00663FFF"/>
    <w:rsid w:val="00665EC5"/>
    <w:rsid w:val="00666251"/>
    <w:rsid w:val="00666E1E"/>
    <w:rsid w:val="00666E46"/>
    <w:rsid w:val="006672B9"/>
    <w:rsid w:val="006675E7"/>
    <w:rsid w:val="00667D29"/>
    <w:rsid w:val="00667F73"/>
    <w:rsid w:val="00667FD9"/>
    <w:rsid w:val="0067074C"/>
    <w:rsid w:val="006715C4"/>
    <w:rsid w:val="00671631"/>
    <w:rsid w:val="00671B66"/>
    <w:rsid w:val="0067314E"/>
    <w:rsid w:val="0067361C"/>
    <w:rsid w:val="006739CF"/>
    <w:rsid w:val="00673C95"/>
    <w:rsid w:val="00673EF4"/>
    <w:rsid w:val="00674E32"/>
    <w:rsid w:val="0067607B"/>
    <w:rsid w:val="00676164"/>
    <w:rsid w:val="00676D0C"/>
    <w:rsid w:val="00676EB8"/>
    <w:rsid w:val="006774C3"/>
    <w:rsid w:val="00680EC1"/>
    <w:rsid w:val="00681473"/>
    <w:rsid w:val="00681F4F"/>
    <w:rsid w:val="00681F8A"/>
    <w:rsid w:val="0068257A"/>
    <w:rsid w:val="0068294B"/>
    <w:rsid w:val="00683853"/>
    <w:rsid w:val="00683AAF"/>
    <w:rsid w:val="00685F15"/>
    <w:rsid w:val="00686432"/>
    <w:rsid w:val="0068690F"/>
    <w:rsid w:val="0068695C"/>
    <w:rsid w:val="00686C97"/>
    <w:rsid w:val="00686D7C"/>
    <w:rsid w:val="00687B76"/>
    <w:rsid w:val="00687E70"/>
    <w:rsid w:val="006904AC"/>
    <w:rsid w:val="00691AC8"/>
    <w:rsid w:val="00692A9B"/>
    <w:rsid w:val="006936A6"/>
    <w:rsid w:val="00693F15"/>
    <w:rsid w:val="00694364"/>
    <w:rsid w:val="00694A67"/>
    <w:rsid w:val="00695188"/>
    <w:rsid w:val="006974DF"/>
    <w:rsid w:val="006978A7"/>
    <w:rsid w:val="00697B37"/>
    <w:rsid w:val="006A0292"/>
    <w:rsid w:val="006A0910"/>
    <w:rsid w:val="006A0D83"/>
    <w:rsid w:val="006A15DF"/>
    <w:rsid w:val="006A391E"/>
    <w:rsid w:val="006A3C62"/>
    <w:rsid w:val="006A4626"/>
    <w:rsid w:val="006A5531"/>
    <w:rsid w:val="006A598F"/>
    <w:rsid w:val="006A653F"/>
    <w:rsid w:val="006A76EA"/>
    <w:rsid w:val="006A7E85"/>
    <w:rsid w:val="006B049A"/>
    <w:rsid w:val="006B168E"/>
    <w:rsid w:val="006B29E7"/>
    <w:rsid w:val="006B2DA2"/>
    <w:rsid w:val="006B3B1E"/>
    <w:rsid w:val="006B3B81"/>
    <w:rsid w:val="006B4F33"/>
    <w:rsid w:val="006B5729"/>
    <w:rsid w:val="006B59F8"/>
    <w:rsid w:val="006B5A4A"/>
    <w:rsid w:val="006B616B"/>
    <w:rsid w:val="006B6346"/>
    <w:rsid w:val="006B6C03"/>
    <w:rsid w:val="006B7586"/>
    <w:rsid w:val="006B7898"/>
    <w:rsid w:val="006B7BD8"/>
    <w:rsid w:val="006C0747"/>
    <w:rsid w:val="006C157D"/>
    <w:rsid w:val="006C16CB"/>
    <w:rsid w:val="006C1DBF"/>
    <w:rsid w:val="006C23D0"/>
    <w:rsid w:val="006C25F6"/>
    <w:rsid w:val="006C306E"/>
    <w:rsid w:val="006C3851"/>
    <w:rsid w:val="006C42F2"/>
    <w:rsid w:val="006C4B33"/>
    <w:rsid w:val="006C4D80"/>
    <w:rsid w:val="006C6BB0"/>
    <w:rsid w:val="006C6E55"/>
    <w:rsid w:val="006C7B91"/>
    <w:rsid w:val="006C7F19"/>
    <w:rsid w:val="006D0A0C"/>
    <w:rsid w:val="006D10B1"/>
    <w:rsid w:val="006D1B13"/>
    <w:rsid w:val="006D2126"/>
    <w:rsid w:val="006D2FC6"/>
    <w:rsid w:val="006D3246"/>
    <w:rsid w:val="006D3590"/>
    <w:rsid w:val="006D361A"/>
    <w:rsid w:val="006D433A"/>
    <w:rsid w:val="006D4D0D"/>
    <w:rsid w:val="006D5362"/>
    <w:rsid w:val="006D554C"/>
    <w:rsid w:val="006D58BD"/>
    <w:rsid w:val="006D6291"/>
    <w:rsid w:val="006D6618"/>
    <w:rsid w:val="006D7D3B"/>
    <w:rsid w:val="006D7F62"/>
    <w:rsid w:val="006E0C8C"/>
    <w:rsid w:val="006E1860"/>
    <w:rsid w:val="006E19FB"/>
    <w:rsid w:val="006E1A30"/>
    <w:rsid w:val="006E1FD4"/>
    <w:rsid w:val="006E28FD"/>
    <w:rsid w:val="006E2E88"/>
    <w:rsid w:val="006E5250"/>
    <w:rsid w:val="006E54F9"/>
    <w:rsid w:val="006E5974"/>
    <w:rsid w:val="006E7152"/>
    <w:rsid w:val="006E7D83"/>
    <w:rsid w:val="006F13C6"/>
    <w:rsid w:val="006F18CC"/>
    <w:rsid w:val="006F1B2B"/>
    <w:rsid w:val="006F1C3B"/>
    <w:rsid w:val="006F1E1F"/>
    <w:rsid w:val="006F3343"/>
    <w:rsid w:val="006F3529"/>
    <w:rsid w:val="006F3EE2"/>
    <w:rsid w:val="006F428A"/>
    <w:rsid w:val="006F4371"/>
    <w:rsid w:val="006F456E"/>
    <w:rsid w:val="006F4604"/>
    <w:rsid w:val="006F5022"/>
    <w:rsid w:val="006F5198"/>
    <w:rsid w:val="006F52CC"/>
    <w:rsid w:val="006F57F0"/>
    <w:rsid w:val="006F5B8A"/>
    <w:rsid w:val="006F69E0"/>
    <w:rsid w:val="006F715A"/>
    <w:rsid w:val="006F77E8"/>
    <w:rsid w:val="00700739"/>
    <w:rsid w:val="00700A56"/>
    <w:rsid w:val="00700AD8"/>
    <w:rsid w:val="0070151E"/>
    <w:rsid w:val="00701DEB"/>
    <w:rsid w:val="00702186"/>
    <w:rsid w:val="007021F0"/>
    <w:rsid w:val="0070236D"/>
    <w:rsid w:val="007028E8"/>
    <w:rsid w:val="00702E06"/>
    <w:rsid w:val="007039B9"/>
    <w:rsid w:val="00703B11"/>
    <w:rsid w:val="00704221"/>
    <w:rsid w:val="00704811"/>
    <w:rsid w:val="0070516E"/>
    <w:rsid w:val="0070560A"/>
    <w:rsid w:val="007107A8"/>
    <w:rsid w:val="00710BD0"/>
    <w:rsid w:val="00710BFB"/>
    <w:rsid w:val="00710F60"/>
    <w:rsid w:val="007118C3"/>
    <w:rsid w:val="007123C5"/>
    <w:rsid w:val="0071296A"/>
    <w:rsid w:val="00713486"/>
    <w:rsid w:val="00714760"/>
    <w:rsid w:val="00715914"/>
    <w:rsid w:val="00715C33"/>
    <w:rsid w:val="007164B3"/>
    <w:rsid w:val="00716A77"/>
    <w:rsid w:val="00716B31"/>
    <w:rsid w:val="00716C60"/>
    <w:rsid w:val="00716D31"/>
    <w:rsid w:val="00717DCF"/>
    <w:rsid w:val="00720187"/>
    <w:rsid w:val="007201C6"/>
    <w:rsid w:val="007202C7"/>
    <w:rsid w:val="00720E78"/>
    <w:rsid w:val="00721108"/>
    <w:rsid w:val="00721AD9"/>
    <w:rsid w:val="0072274E"/>
    <w:rsid w:val="00722D7D"/>
    <w:rsid w:val="0072447B"/>
    <w:rsid w:val="00724AAE"/>
    <w:rsid w:val="00725609"/>
    <w:rsid w:val="00726740"/>
    <w:rsid w:val="007268D3"/>
    <w:rsid w:val="00726951"/>
    <w:rsid w:val="00726A94"/>
    <w:rsid w:val="00726BB6"/>
    <w:rsid w:val="00726D02"/>
    <w:rsid w:val="00726F02"/>
    <w:rsid w:val="00727646"/>
    <w:rsid w:val="00730428"/>
    <w:rsid w:val="00731EC3"/>
    <w:rsid w:val="00732A0C"/>
    <w:rsid w:val="00732F88"/>
    <w:rsid w:val="007336FA"/>
    <w:rsid w:val="00734D46"/>
    <w:rsid w:val="007368D2"/>
    <w:rsid w:val="00736DED"/>
    <w:rsid w:val="007375B8"/>
    <w:rsid w:val="007400D4"/>
    <w:rsid w:val="007417C3"/>
    <w:rsid w:val="0074334A"/>
    <w:rsid w:val="00743510"/>
    <w:rsid w:val="00743716"/>
    <w:rsid w:val="00743771"/>
    <w:rsid w:val="00743997"/>
    <w:rsid w:val="0074485F"/>
    <w:rsid w:val="00746FB6"/>
    <w:rsid w:val="00747685"/>
    <w:rsid w:val="0075000A"/>
    <w:rsid w:val="0075049D"/>
    <w:rsid w:val="007508EC"/>
    <w:rsid w:val="00750DD8"/>
    <w:rsid w:val="00751A6F"/>
    <w:rsid w:val="007522BB"/>
    <w:rsid w:val="007524FF"/>
    <w:rsid w:val="00752E08"/>
    <w:rsid w:val="0075364E"/>
    <w:rsid w:val="00753B50"/>
    <w:rsid w:val="00753EDA"/>
    <w:rsid w:val="0075567D"/>
    <w:rsid w:val="00755A2E"/>
    <w:rsid w:val="007561DA"/>
    <w:rsid w:val="00756FE4"/>
    <w:rsid w:val="0075723F"/>
    <w:rsid w:val="00757587"/>
    <w:rsid w:val="0076089E"/>
    <w:rsid w:val="00761293"/>
    <w:rsid w:val="00761BAF"/>
    <w:rsid w:val="007624B0"/>
    <w:rsid w:val="007630A4"/>
    <w:rsid w:val="007638DF"/>
    <w:rsid w:val="0076440F"/>
    <w:rsid w:val="00764537"/>
    <w:rsid w:val="00764573"/>
    <w:rsid w:val="0076568F"/>
    <w:rsid w:val="007663A2"/>
    <w:rsid w:val="0076676D"/>
    <w:rsid w:val="0076684B"/>
    <w:rsid w:val="00766891"/>
    <w:rsid w:val="00767B12"/>
    <w:rsid w:val="00767F4F"/>
    <w:rsid w:val="00770342"/>
    <w:rsid w:val="00770EEE"/>
    <w:rsid w:val="00771991"/>
    <w:rsid w:val="0077217E"/>
    <w:rsid w:val="00772350"/>
    <w:rsid w:val="00772CA3"/>
    <w:rsid w:val="00772CC2"/>
    <w:rsid w:val="007732A8"/>
    <w:rsid w:val="007737F5"/>
    <w:rsid w:val="00773F0E"/>
    <w:rsid w:val="00773FFD"/>
    <w:rsid w:val="00774267"/>
    <w:rsid w:val="00774BFD"/>
    <w:rsid w:val="007753AC"/>
    <w:rsid w:val="00776176"/>
    <w:rsid w:val="0077630B"/>
    <w:rsid w:val="00776795"/>
    <w:rsid w:val="00776F2C"/>
    <w:rsid w:val="0078014F"/>
    <w:rsid w:val="00780357"/>
    <w:rsid w:val="0078061B"/>
    <w:rsid w:val="00781E5D"/>
    <w:rsid w:val="007821EA"/>
    <w:rsid w:val="0078289C"/>
    <w:rsid w:val="00782BCD"/>
    <w:rsid w:val="00782C18"/>
    <w:rsid w:val="007831B0"/>
    <w:rsid w:val="00783D36"/>
    <w:rsid w:val="00783FF2"/>
    <w:rsid w:val="00784792"/>
    <w:rsid w:val="00784B49"/>
    <w:rsid w:val="00784F8F"/>
    <w:rsid w:val="007861A6"/>
    <w:rsid w:val="00786AEB"/>
    <w:rsid w:val="007905CE"/>
    <w:rsid w:val="00790F0E"/>
    <w:rsid w:val="0079155C"/>
    <w:rsid w:val="00791B3A"/>
    <w:rsid w:val="00792154"/>
    <w:rsid w:val="0079332B"/>
    <w:rsid w:val="007935EC"/>
    <w:rsid w:val="00793C9D"/>
    <w:rsid w:val="00794249"/>
    <w:rsid w:val="007946CC"/>
    <w:rsid w:val="00794791"/>
    <w:rsid w:val="00795251"/>
    <w:rsid w:val="00796441"/>
    <w:rsid w:val="007965D1"/>
    <w:rsid w:val="007966EE"/>
    <w:rsid w:val="00796DBB"/>
    <w:rsid w:val="00796E2C"/>
    <w:rsid w:val="007A03AD"/>
    <w:rsid w:val="007A0E1B"/>
    <w:rsid w:val="007A122C"/>
    <w:rsid w:val="007A1DC0"/>
    <w:rsid w:val="007A254B"/>
    <w:rsid w:val="007A2F12"/>
    <w:rsid w:val="007A3054"/>
    <w:rsid w:val="007A523A"/>
    <w:rsid w:val="007A5C06"/>
    <w:rsid w:val="007A5C07"/>
    <w:rsid w:val="007A7228"/>
    <w:rsid w:val="007A7235"/>
    <w:rsid w:val="007A7390"/>
    <w:rsid w:val="007B114D"/>
    <w:rsid w:val="007B1555"/>
    <w:rsid w:val="007B1618"/>
    <w:rsid w:val="007B1854"/>
    <w:rsid w:val="007B1B46"/>
    <w:rsid w:val="007B1F69"/>
    <w:rsid w:val="007B2FA1"/>
    <w:rsid w:val="007B4617"/>
    <w:rsid w:val="007B5245"/>
    <w:rsid w:val="007B5E25"/>
    <w:rsid w:val="007B706B"/>
    <w:rsid w:val="007B73B8"/>
    <w:rsid w:val="007B7DA9"/>
    <w:rsid w:val="007B7FF3"/>
    <w:rsid w:val="007C0A96"/>
    <w:rsid w:val="007C0BCF"/>
    <w:rsid w:val="007C0E73"/>
    <w:rsid w:val="007C1285"/>
    <w:rsid w:val="007C190A"/>
    <w:rsid w:val="007C243F"/>
    <w:rsid w:val="007C2FAA"/>
    <w:rsid w:val="007C56A1"/>
    <w:rsid w:val="007C586F"/>
    <w:rsid w:val="007C5B66"/>
    <w:rsid w:val="007C5C3E"/>
    <w:rsid w:val="007D09B5"/>
    <w:rsid w:val="007D0BB0"/>
    <w:rsid w:val="007D115C"/>
    <w:rsid w:val="007D16E1"/>
    <w:rsid w:val="007D1903"/>
    <w:rsid w:val="007D2816"/>
    <w:rsid w:val="007D36FD"/>
    <w:rsid w:val="007D37E5"/>
    <w:rsid w:val="007D3B06"/>
    <w:rsid w:val="007D3F99"/>
    <w:rsid w:val="007D4B73"/>
    <w:rsid w:val="007D53ED"/>
    <w:rsid w:val="007D6221"/>
    <w:rsid w:val="007D7A26"/>
    <w:rsid w:val="007D7E66"/>
    <w:rsid w:val="007E14AE"/>
    <w:rsid w:val="007E2728"/>
    <w:rsid w:val="007E3DCB"/>
    <w:rsid w:val="007E453B"/>
    <w:rsid w:val="007E4E63"/>
    <w:rsid w:val="007E4E6F"/>
    <w:rsid w:val="007E4F3E"/>
    <w:rsid w:val="007E4FFF"/>
    <w:rsid w:val="007E5171"/>
    <w:rsid w:val="007E5560"/>
    <w:rsid w:val="007F0011"/>
    <w:rsid w:val="007F01F2"/>
    <w:rsid w:val="007F0470"/>
    <w:rsid w:val="007F0E6A"/>
    <w:rsid w:val="007F0F18"/>
    <w:rsid w:val="007F1609"/>
    <w:rsid w:val="007F1626"/>
    <w:rsid w:val="007F1E69"/>
    <w:rsid w:val="007F302E"/>
    <w:rsid w:val="007F30E4"/>
    <w:rsid w:val="007F312A"/>
    <w:rsid w:val="007F3770"/>
    <w:rsid w:val="007F4148"/>
    <w:rsid w:val="007F48AE"/>
    <w:rsid w:val="007F51F1"/>
    <w:rsid w:val="007F5DCC"/>
    <w:rsid w:val="007F68B7"/>
    <w:rsid w:val="007F6CEB"/>
    <w:rsid w:val="007F7727"/>
    <w:rsid w:val="007F7A96"/>
    <w:rsid w:val="00800399"/>
    <w:rsid w:val="008012BF"/>
    <w:rsid w:val="00801966"/>
    <w:rsid w:val="00802172"/>
    <w:rsid w:val="00802CF2"/>
    <w:rsid w:val="0080301C"/>
    <w:rsid w:val="00803BA8"/>
    <w:rsid w:val="008044E7"/>
    <w:rsid w:val="008049A5"/>
    <w:rsid w:val="00804E64"/>
    <w:rsid w:val="008050A7"/>
    <w:rsid w:val="008054F9"/>
    <w:rsid w:val="008059B8"/>
    <w:rsid w:val="00805A00"/>
    <w:rsid w:val="00805BFA"/>
    <w:rsid w:val="00805CF6"/>
    <w:rsid w:val="008061FE"/>
    <w:rsid w:val="00807EE9"/>
    <w:rsid w:val="00807FE9"/>
    <w:rsid w:val="008100E0"/>
    <w:rsid w:val="008115E4"/>
    <w:rsid w:val="008116DE"/>
    <w:rsid w:val="00811B58"/>
    <w:rsid w:val="00811E1A"/>
    <w:rsid w:val="008126D0"/>
    <w:rsid w:val="00812B00"/>
    <w:rsid w:val="00813500"/>
    <w:rsid w:val="00813A3B"/>
    <w:rsid w:val="008153AD"/>
    <w:rsid w:val="00815562"/>
    <w:rsid w:val="008157A5"/>
    <w:rsid w:val="00815979"/>
    <w:rsid w:val="00815FDA"/>
    <w:rsid w:val="00816619"/>
    <w:rsid w:val="008177E8"/>
    <w:rsid w:val="00817BB1"/>
    <w:rsid w:val="0082038E"/>
    <w:rsid w:val="0082051B"/>
    <w:rsid w:val="00820745"/>
    <w:rsid w:val="0082113D"/>
    <w:rsid w:val="00821A1B"/>
    <w:rsid w:val="00822661"/>
    <w:rsid w:val="00822D8A"/>
    <w:rsid w:val="00823C8A"/>
    <w:rsid w:val="0082413B"/>
    <w:rsid w:val="00824171"/>
    <w:rsid w:val="008247AF"/>
    <w:rsid w:val="008248A8"/>
    <w:rsid w:val="00824CAD"/>
    <w:rsid w:val="00825598"/>
    <w:rsid w:val="008257C9"/>
    <w:rsid w:val="00825EF5"/>
    <w:rsid w:val="008265C4"/>
    <w:rsid w:val="008268DC"/>
    <w:rsid w:val="008269DC"/>
    <w:rsid w:val="0082777A"/>
    <w:rsid w:val="00827C6F"/>
    <w:rsid w:val="0083043D"/>
    <w:rsid w:val="00830DBC"/>
    <w:rsid w:val="0083159C"/>
    <w:rsid w:val="0083193A"/>
    <w:rsid w:val="00831A42"/>
    <w:rsid w:val="00832692"/>
    <w:rsid w:val="00833760"/>
    <w:rsid w:val="008348D9"/>
    <w:rsid w:val="008348F0"/>
    <w:rsid w:val="0083685E"/>
    <w:rsid w:val="008402C2"/>
    <w:rsid w:val="0084100F"/>
    <w:rsid w:val="0084121A"/>
    <w:rsid w:val="00841A95"/>
    <w:rsid w:val="00841AAA"/>
    <w:rsid w:val="00842C68"/>
    <w:rsid w:val="008430D6"/>
    <w:rsid w:val="00843151"/>
    <w:rsid w:val="008435DF"/>
    <w:rsid w:val="008442AC"/>
    <w:rsid w:val="00844620"/>
    <w:rsid w:val="0084462D"/>
    <w:rsid w:val="00844A34"/>
    <w:rsid w:val="00844DBB"/>
    <w:rsid w:val="00844EDF"/>
    <w:rsid w:val="00847C73"/>
    <w:rsid w:val="00847C7B"/>
    <w:rsid w:val="00847CF8"/>
    <w:rsid w:val="00847D61"/>
    <w:rsid w:val="00847DFD"/>
    <w:rsid w:val="0085015A"/>
    <w:rsid w:val="00850DF4"/>
    <w:rsid w:val="00851345"/>
    <w:rsid w:val="0085154E"/>
    <w:rsid w:val="0085179B"/>
    <w:rsid w:val="0085273F"/>
    <w:rsid w:val="00852881"/>
    <w:rsid w:val="00852F8D"/>
    <w:rsid w:val="0085492D"/>
    <w:rsid w:val="00854A87"/>
    <w:rsid w:val="008552A0"/>
    <w:rsid w:val="0085546A"/>
    <w:rsid w:val="00855E09"/>
    <w:rsid w:val="00856B69"/>
    <w:rsid w:val="008574B2"/>
    <w:rsid w:val="00857905"/>
    <w:rsid w:val="008607FC"/>
    <w:rsid w:val="0086114C"/>
    <w:rsid w:val="00861652"/>
    <w:rsid w:val="00862BB0"/>
    <w:rsid w:val="00864825"/>
    <w:rsid w:val="00864FC1"/>
    <w:rsid w:val="008657C2"/>
    <w:rsid w:val="0086598A"/>
    <w:rsid w:val="008674DE"/>
    <w:rsid w:val="00867752"/>
    <w:rsid w:val="00871B80"/>
    <w:rsid w:val="00871E98"/>
    <w:rsid w:val="00871ED3"/>
    <w:rsid w:val="00872149"/>
    <w:rsid w:val="00872335"/>
    <w:rsid w:val="00872389"/>
    <w:rsid w:val="0087256C"/>
    <w:rsid w:val="00872671"/>
    <w:rsid w:val="00872A6A"/>
    <w:rsid w:val="00873E43"/>
    <w:rsid w:val="00874A95"/>
    <w:rsid w:val="00874F60"/>
    <w:rsid w:val="008755B0"/>
    <w:rsid w:val="0087579F"/>
    <w:rsid w:val="0087601B"/>
    <w:rsid w:val="0087603D"/>
    <w:rsid w:val="008760BA"/>
    <w:rsid w:val="00877475"/>
    <w:rsid w:val="00877AB7"/>
    <w:rsid w:val="0088090C"/>
    <w:rsid w:val="00881095"/>
    <w:rsid w:val="008810E4"/>
    <w:rsid w:val="00881EBA"/>
    <w:rsid w:val="008822DE"/>
    <w:rsid w:val="00882F47"/>
    <w:rsid w:val="00883500"/>
    <w:rsid w:val="0088463C"/>
    <w:rsid w:val="00884869"/>
    <w:rsid w:val="00884893"/>
    <w:rsid w:val="008849FE"/>
    <w:rsid w:val="00885AB1"/>
    <w:rsid w:val="008862D7"/>
    <w:rsid w:val="00886632"/>
    <w:rsid w:val="008866C8"/>
    <w:rsid w:val="00886A81"/>
    <w:rsid w:val="00886A82"/>
    <w:rsid w:val="00886AA1"/>
    <w:rsid w:val="00886F75"/>
    <w:rsid w:val="008906E1"/>
    <w:rsid w:val="00891E42"/>
    <w:rsid w:val="00891FD6"/>
    <w:rsid w:val="008933D9"/>
    <w:rsid w:val="00893E12"/>
    <w:rsid w:val="00894A4A"/>
    <w:rsid w:val="008954C8"/>
    <w:rsid w:val="00895775"/>
    <w:rsid w:val="00895F39"/>
    <w:rsid w:val="00896716"/>
    <w:rsid w:val="008968C0"/>
    <w:rsid w:val="00897F8F"/>
    <w:rsid w:val="008A037E"/>
    <w:rsid w:val="008A0430"/>
    <w:rsid w:val="008A110A"/>
    <w:rsid w:val="008A15AF"/>
    <w:rsid w:val="008A1721"/>
    <w:rsid w:val="008A2544"/>
    <w:rsid w:val="008A3242"/>
    <w:rsid w:val="008A4E0B"/>
    <w:rsid w:val="008A6082"/>
    <w:rsid w:val="008A619B"/>
    <w:rsid w:val="008A6E64"/>
    <w:rsid w:val="008A7804"/>
    <w:rsid w:val="008A7E07"/>
    <w:rsid w:val="008B039E"/>
    <w:rsid w:val="008B06B8"/>
    <w:rsid w:val="008B0F34"/>
    <w:rsid w:val="008B1150"/>
    <w:rsid w:val="008B2012"/>
    <w:rsid w:val="008B230E"/>
    <w:rsid w:val="008B29C2"/>
    <w:rsid w:val="008B2A17"/>
    <w:rsid w:val="008B453C"/>
    <w:rsid w:val="008B4DA6"/>
    <w:rsid w:val="008B582F"/>
    <w:rsid w:val="008B5EBD"/>
    <w:rsid w:val="008B651A"/>
    <w:rsid w:val="008B67D3"/>
    <w:rsid w:val="008B755C"/>
    <w:rsid w:val="008B7811"/>
    <w:rsid w:val="008B7BF6"/>
    <w:rsid w:val="008C029E"/>
    <w:rsid w:val="008C083A"/>
    <w:rsid w:val="008C0992"/>
    <w:rsid w:val="008C0EB6"/>
    <w:rsid w:val="008C12F3"/>
    <w:rsid w:val="008C16B2"/>
    <w:rsid w:val="008C1CD1"/>
    <w:rsid w:val="008C1DE0"/>
    <w:rsid w:val="008C1E04"/>
    <w:rsid w:val="008C2401"/>
    <w:rsid w:val="008C3EDC"/>
    <w:rsid w:val="008C4505"/>
    <w:rsid w:val="008C57C3"/>
    <w:rsid w:val="008C63FE"/>
    <w:rsid w:val="008C6B35"/>
    <w:rsid w:val="008C7853"/>
    <w:rsid w:val="008C7CF1"/>
    <w:rsid w:val="008D0A45"/>
    <w:rsid w:val="008D1461"/>
    <w:rsid w:val="008D181A"/>
    <w:rsid w:val="008D1FF1"/>
    <w:rsid w:val="008D2F14"/>
    <w:rsid w:val="008D33D5"/>
    <w:rsid w:val="008D3FE1"/>
    <w:rsid w:val="008D4321"/>
    <w:rsid w:val="008D4D6C"/>
    <w:rsid w:val="008D5527"/>
    <w:rsid w:val="008D5CD0"/>
    <w:rsid w:val="008E07E5"/>
    <w:rsid w:val="008E0E8B"/>
    <w:rsid w:val="008E246D"/>
    <w:rsid w:val="008E4470"/>
    <w:rsid w:val="008E5BB8"/>
    <w:rsid w:val="008E633E"/>
    <w:rsid w:val="008E676B"/>
    <w:rsid w:val="008E7706"/>
    <w:rsid w:val="008E7893"/>
    <w:rsid w:val="008F0DBD"/>
    <w:rsid w:val="008F12D6"/>
    <w:rsid w:val="008F2430"/>
    <w:rsid w:val="008F24A7"/>
    <w:rsid w:val="008F24BC"/>
    <w:rsid w:val="008F2677"/>
    <w:rsid w:val="008F2E04"/>
    <w:rsid w:val="008F2E3B"/>
    <w:rsid w:val="008F3B32"/>
    <w:rsid w:val="008F3E95"/>
    <w:rsid w:val="008F42E8"/>
    <w:rsid w:val="008F517B"/>
    <w:rsid w:val="008F66C5"/>
    <w:rsid w:val="008F7071"/>
    <w:rsid w:val="008F7105"/>
    <w:rsid w:val="00900605"/>
    <w:rsid w:val="00900CF7"/>
    <w:rsid w:val="00900EAE"/>
    <w:rsid w:val="009017B2"/>
    <w:rsid w:val="00901813"/>
    <w:rsid w:val="00901A1C"/>
    <w:rsid w:val="00902A2C"/>
    <w:rsid w:val="0090360F"/>
    <w:rsid w:val="0090387E"/>
    <w:rsid w:val="009040BF"/>
    <w:rsid w:val="009042F3"/>
    <w:rsid w:val="0090440D"/>
    <w:rsid w:val="0090597B"/>
    <w:rsid w:val="00905996"/>
    <w:rsid w:val="00905B31"/>
    <w:rsid w:val="0090696F"/>
    <w:rsid w:val="00906F09"/>
    <w:rsid w:val="0091010A"/>
    <w:rsid w:val="0091054A"/>
    <w:rsid w:val="00910C12"/>
    <w:rsid w:val="00910C1E"/>
    <w:rsid w:val="00911121"/>
    <w:rsid w:val="009113B1"/>
    <w:rsid w:val="009135D6"/>
    <w:rsid w:val="00913686"/>
    <w:rsid w:val="00913749"/>
    <w:rsid w:val="00913FDC"/>
    <w:rsid w:val="009140C1"/>
    <w:rsid w:val="00914430"/>
    <w:rsid w:val="009146A9"/>
    <w:rsid w:val="00915143"/>
    <w:rsid w:val="009155D7"/>
    <w:rsid w:val="009155F6"/>
    <w:rsid w:val="00916E35"/>
    <w:rsid w:val="00917806"/>
    <w:rsid w:val="00917A32"/>
    <w:rsid w:val="00920A9D"/>
    <w:rsid w:val="00921269"/>
    <w:rsid w:val="009213A7"/>
    <w:rsid w:val="0092153B"/>
    <w:rsid w:val="00921F28"/>
    <w:rsid w:val="00922440"/>
    <w:rsid w:val="00922993"/>
    <w:rsid w:val="00923A49"/>
    <w:rsid w:val="0092592B"/>
    <w:rsid w:val="00925C66"/>
    <w:rsid w:val="009264FD"/>
    <w:rsid w:val="00926561"/>
    <w:rsid w:val="00927AD1"/>
    <w:rsid w:val="00930491"/>
    <w:rsid w:val="009308D8"/>
    <w:rsid w:val="00930E2C"/>
    <w:rsid w:val="00931284"/>
    <w:rsid w:val="00931B79"/>
    <w:rsid w:val="00933417"/>
    <w:rsid w:val="009336CF"/>
    <w:rsid w:val="00933770"/>
    <w:rsid w:val="00933B53"/>
    <w:rsid w:val="00934533"/>
    <w:rsid w:val="009351B3"/>
    <w:rsid w:val="00935F41"/>
    <w:rsid w:val="0093600D"/>
    <w:rsid w:val="00936773"/>
    <w:rsid w:val="009373DA"/>
    <w:rsid w:val="00937891"/>
    <w:rsid w:val="00937D71"/>
    <w:rsid w:val="00940128"/>
    <w:rsid w:val="0094041C"/>
    <w:rsid w:val="00940423"/>
    <w:rsid w:val="00941271"/>
    <w:rsid w:val="00941780"/>
    <w:rsid w:val="00941F3D"/>
    <w:rsid w:val="009422D9"/>
    <w:rsid w:val="009423FD"/>
    <w:rsid w:val="009435DD"/>
    <w:rsid w:val="00943AAE"/>
    <w:rsid w:val="00943EC0"/>
    <w:rsid w:val="009454BA"/>
    <w:rsid w:val="00945965"/>
    <w:rsid w:val="00945B60"/>
    <w:rsid w:val="009462E4"/>
    <w:rsid w:val="00946630"/>
    <w:rsid w:val="00947696"/>
    <w:rsid w:val="00947709"/>
    <w:rsid w:val="00951441"/>
    <w:rsid w:val="00951550"/>
    <w:rsid w:val="0095228D"/>
    <w:rsid w:val="0095237A"/>
    <w:rsid w:val="00952A2A"/>
    <w:rsid w:val="009550FA"/>
    <w:rsid w:val="00955519"/>
    <w:rsid w:val="00955D12"/>
    <w:rsid w:val="00956ACD"/>
    <w:rsid w:val="0095705D"/>
    <w:rsid w:val="0095754B"/>
    <w:rsid w:val="00957677"/>
    <w:rsid w:val="009607ED"/>
    <w:rsid w:val="00960D83"/>
    <w:rsid w:val="009616DB"/>
    <w:rsid w:val="00961704"/>
    <w:rsid w:val="00961813"/>
    <w:rsid w:val="00961FC0"/>
    <w:rsid w:val="009625B7"/>
    <w:rsid w:val="00962F6D"/>
    <w:rsid w:val="009633D8"/>
    <w:rsid w:val="00963B1B"/>
    <w:rsid w:val="009643EC"/>
    <w:rsid w:val="00964544"/>
    <w:rsid w:val="009648EC"/>
    <w:rsid w:val="00966AA0"/>
    <w:rsid w:val="009674CE"/>
    <w:rsid w:val="0096762C"/>
    <w:rsid w:val="0097018C"/>
    <w:rsid w:val="009702C9"/>
    <w:rsid w:val="00970DE1"/>
    <w:rsid w:val="00971F19"/>
    <w:rsid w:val="00972D7C"/>
    <w:rsid w:val="00972F34"/>
    <w:rsid w:val="0097449F"/>
    <w:rsid w:val="00974D1D"/>
    <w:rsid w:val="00974DBD"/>
    <w:rsid w:val="00974E96"/>
    <w:rsid w:val="0097574B"/>
    <w:rsid w:val="00975A86"/>
    <w:rsid w:val="00975ABC"/>
    <w:rsid w:val="00975F43"/>
    <w:rsid w:val="00977543"/>
    <w:rsid w:val="00980363"/>
    <w:rsid w:val="009817EF"/>
    <w:rsid w:val="00981C6C"/>
    <w:rsid w:val="00982661"/>
    <w:rsid w:val="00982C60"/>
    <w:rsid w:val="00983307"/>
    <w:rsid w:val="00983543"/>
    <w:rsid w:val="00984346"/>
    <w:rsid w:val="0098455D"/>
    <w:rsid w:val="00985B21"/>
    <w:rsid w:val="00985C36"/>
    <w:rsid w:val="009873C7"/>
    <w:rsid w:val="0098761C"/>
    <w:rsid w:val="00987B32"/>
    <w:rsid w:val="00987F46"/>
    <w:rsid w:val="009902C9"/>
    <w:rsid w:val="00990E83"/>
    <w:rsid w:val="0099268C"/>
    <w:rsid w:val="0099282B"/>
    <w:rsid w:val="0099390C"/>
    <w:rsid w:val="00994756"/>
    <w:rsid w:val="009949F7"/>
    <w:rsid w:val="009962DC"/>
    <w:rsid w:val="0099678A"/>
    <w:rsid w:val="00996BAF"/>
    <w:rsid w:val="00996C8E"/>
    <w:rsid w:val="00997867"/>
    <w:rsid w:val="009A0B59"/>
    <w:rsid w:val="009A0D3A"/>
    <w:rsid w:val="009A2A07"/>
    <w:rsid w:val="009A2A71"/>
    <w:rsid w:val="009A2B07"/>
    <w:rsid w:val="009A4A6D"/>
    <w:rsid w:val="009A4B4F"/>
    <w:rsid w:val="009A4D19"/>
    <w:rsid w:val="009A5C77"/>
    <w:rsid w:val="009A5FC9"/>
    <w:rsid w:val="009A605B"/>
    <w:rsid w:val="009A6B77"/>
    <w:rsid w:val="009A6CA2"/>
    <w:rsid w:val="009A7683"/>
    <w:rsid w:val="009B02A6"/>
    <w:rsid w:val="009B0F8E"/>
    <w:rsid w:val="009B129A"/>
    <w:rsid w:val="009B133F"/>
    <w:rsid w:val="009B1E37"/>
    <w:rsid w:val="009B265B"/>
    <w:rsid w:val="009B2A70"/>
    <w:rsid w:val="009B3374"/>
    <w:rsid w:val="009B3B0E"/>
    <w:rsid w:val="009B3DBB"/>
    <w:rsid w:val="009B3F3A"/>
    <w:rsid w:val="009B4066"/>
    <w:rsid w:val="009B41D7"/>
    <w:rsid w:val="009B428C"/>
    <w:rsid w:val="009B4713"/>
    <w:rsid w:val="009B4A83"/>
    <w:rsid w:val="009B5C00"/>
    <w:rsid w:val="009B616A"/>
    <w:rsid w:val="009B63A0"/>
    <w:rsid w:val="009B63C6"/>
    <w:rsid w:val="009B679E"/>
    <w:rsid w:val="009C0116"/>
    <w:rsid w:val="009C0C34"/>
    <w:rsid w:val="009C150E"/>
    <w:rsid w:val="009C1760"/>
    <w:rsid w:val="009C1F4C"/>
    <w:rsid w:val="009C2A3A"/>
    <w:rsid w:val="009C2BA3"/>
    <w:rsid w:val="009C30FD"/>
    <w:rsid w:val="009C397A"/>
    <w:rsid w:val="009C3B64"/>
    <w:rsid w:val="009C4DBC"/>
    <w:rsid w:val="009C4DFB"/>
    <w:rsid w:val="009C54B4"/>
    <w:rsid w:val="009C5AA5"/>
    <w:rsid w:val="009C6910"/>
    <w:rsid w:val="009C6C8E"/>
    <w:rsid w:val="009C6E45"/>
    <w:rsid w:val="009C7112"/>
    <w:rsid w:val="009D08D7"/>
    <w:rsid w:val="009D0C42"/>
    <w:rsid w:val="009D16D7"/>
    <w:rsid w:val="009D1E57"/>
    <w:rsid w:val="009D1F85"/>
    <w:rsid w:val="009D226D"/>
    <w:rsid w:val="009D2287"/>
    <w:rsid w:val="009D2EF4"/>
    <w:rsid w:val="009D3121"/>
    <w:rsid w:val="009D34B3"/>
    <w:rsid w:val="009D4A83"/>
    <w:rsid w:val="009D5674"/>
    <w:rsid w:val="009D586D"/>
    <w:rsid w:val="009D5907"/>
    <w:rsid w:val="009D6282"/>
    <w:rsid w:val="009D640F"/>
    <w:rsid w:val="009D66EF"/>
    <w:rsid w:val="009D6E35"/>
    <w:rsid w:val="009D708A"/>
    <w:rsid w:val="009D7207"/>
    <w:rsid w:val="009D770A"/>
    <w:rsid w:val="009E110B"/>
    <w:rsid w:val="009E1338"/>
    <w:rsid w:val="009E1477"/>
    <w:rsid w:val="009E1CAA"/>
    <w:rsid w:val="009E2343"/>
    <w:rsid w:val="009E2391"/>
    <w:rsid w:val="009E3518"/>
    <w:rsid w:val="009E3BD0"/>
    <w:rsid w:val="009E4282"/>
    <w:rsid w:val="009E488F"/>
    <w:rsid w:val="009E4928"/>
    <w:rsid w:val="009E5D5B"/>
    <w:rsid w:val="009E607D"/>
    <w:rsid w:val="009E6246"/>
    <w:rsid w:val="009E6F85"/>
    <w:rsid w:val="009E7335"/>
    <w:rsid w:val="009F01B8"/>
    <w:rsid w:val="009F21EA"/>
    <w:rsid w:val="009F2E77"/>
    <w:rsid w:val="009F2F06"/>
    <w:rsid w:val="009F3CDF"/>
    <w:rsid w:val="009F4F19"/>
    <w:rsid w:val="009F5451"/>
    <w:rsid w:val="009F5F9B"/>
    <w:rsid w:val="009F6109"/>
    <w:rsid w:val="009F6539"/>
    <w:rsid w:val="009F666D"/>
    <w:rsid w:val="009F667F"/>
    <w:rsid w:val="009F6A3F"/>
    <w:rsid w:val="009F6B09"/>
    <w:rsid w:val="009F6D93"/>
    <w:rsid w:val="009F7F9D"/>
    <w:rsid w:val="00A00E9E"/>
    <w:rsid w:val="00A0160E"/>
    <w:rsid w:val="00A01734"/>
    <w:rsid w:val="00A0180C"/>
    <w:rsid w:val="00A01A09"/>
    <w:rsid w:val="00A01B9C"/>
    <w:rsid w:val="00A024A4"/>
    <w:rsid w:val="00A037C1"/>
    <w:rsid w:val="00A03A6E"/>
    <w:rsid w:val="00A05086"/>
    <w:rsid w:val="00A05108"/>
    <w:rsid w:val="00A05BE9"/>
    <w:rsid w:val="00A0608B"/>
    <w:rsid w:val="00A06514"/>
    <w:rsid w:val="00A0693C"/>
    <w:rsid w:val="00A06D09"/>
    <w:rsid w:val="00A074F6"/>
    <w:rsid w:val="00A10171"/>
    <w:rsid w:val="00A114DC"/>
    <w:rsid w:val="00A1166A"/>
    <w:rsid w:val="00A11D86"/>
    <w:rsid w:val="00A12710"/>
    <w:rsid w:val="00A12B58"/>
    <w:rsid w:val="00A133AB"/>
    <w:rsid w:val="00A13C92"/>
    <w:rsid w:val="00A14DAC"/>
    <w:rsid w:val="00A15CDB"/>
    <w:rsid w:val="00A15FDC"/>
    <w:rsid w:val="00A16017"/>
    <w:rsid w:val="00A1697A"/>
    <w:rsid w:val="00A17EDA"/>
    <w:rsid w:val="00A2047B"/>
    <w:rsid w:val="00A20BD8"/>
    <w:rsid w:val="00A20FA6"/>
    <w:rsid w:val="00A2135B"/>
    <w:rsid w:val="00A214E1"/>
    <w:rsid w:val="00A21ACF"/>
    <w:rsid w:val="00A229C5"/>
    <w:rsid w:val="00A238A7"/>
    <w:rsid w:val="00A23CAF"/>
    <w:rsid w:val="00A23F81"/>
    <w:rsid w:val="00A25133"/>
    <w:rsid w:val="00A25683"/>
    <w:rsid w:val="00A25FC9"/>
    <w:rsid w:val="00A261D7"/>
    <w:rsid w:val="00A26284"/>
    <w:rsid w:val="00A26327"/>
    <w:rsid w:val="00A26C23"/>
    <w:rsid w:val="00A270AA"/>
    <w:rsid w:val="00A2795D"/>
    <w:rsid w:val="00A307E8"/>
    <w:rsid w:val="00A307F7"/>
    <w:rsid w:val="00A308FF"/>
    <w:rsid w:val="00A325A0"/>
    <w:rsid w:val="00A329D4"/>
    <w:rsid w:val="00A32B73"/>
    <w:rsid w:val="00A32BB2"/>
    <w:rsid w:val="00A32CAD"/>
    <w:rsid w:val="00A32DAC"/>
    <w:rsid w:val="00A32EAB"/>
    <w:rsid w:val="00A331A0"/>
    <w:rsid w:val="00A331AA"/>
    <w:rsid w:val="00A33A14"/>
    <w:rsid w:val="00A33B28"/>
    <w:rsid w:val="00A344E3"/>
    <w:rsid w:val="00A3480C"/>
    <w:rsid w:val="00A34D6C"/>
    <w:rsid w:val="00A360C3"/>
    <w:rsid w:val="00A36178"/>
    <w:rsid w:val="00A3650F"/>
    <w:rsid w:val="00A36F96"/>
    <w:rsid w:val="00A374F3"/>
    <w:rsid w:val="00A375F0"/>
    <w:rsid w:val="00A4071B"/>
    <w:rsid w:val="00A407F0"/>
    <w:rsid w:val="00A40C22"/>
    <w:rsid w:val="00A41231"/>
    <w:rsid w:val="00A417F2"/>
    <w:rsid w:val="00A42562"/>
    <w:rsid w:val="00A428ED"/>
    <w:rsid w:val="00A42A99"/>
    <w:rsid w:val="00A42E54"/>
    <w:rsid w:val="00A42F4C"/>
    <w:rsid w:val="00A43273"/>
    <w:rsid w:val="00A435DE"/>
    <w:rsid w:val="00A43638"/>
    <w:rsid w:val="00A44472"/>
    <w:rsid w:val="00A44738"/>
    <w:rsid w:val="00A44C8C"/>
    <w:rsid w:val="00A45FFF"/>
    <w:rsid w:val="00A462C0"/>
    <w:rsid w:val="00A46BC2"/>
    <w:rsid w:val="00A46C0F"/>
    <w:rsid w:val="00A46CF9"/>
    <w:rsid w:val="00A479E7"/>
    <w:rsid w:val="00A47D27"/>
    <w:rsid w:val="00A47F7B"/>
    <w:rsid w:val="00A51270"/>
    <w:rsid w:val="00A51D69"/>
    <w:rsid w:val="00A52800"/>
    <w:rsid w:val="00A537E8"/>
    <w:rsid w:val="00A53F32"/>
    <w:rsid w:val="00A54F7D"/>
    <w:rsid w:val="00A5511D"/>
    <w:rsid w:val="00A5520A"/>
    <w:rsid w:val="00A5610F"/>
    <w:rsid w:val="00A56276"/>
    <w:rsid w:val="00A566DC"/>
    <w:rsid w:val="00A568B9"/>
    <w:rsid w:val="00A56E62"/>
    <w:rsid w:val="00A570AD"/>
    <w:rsid w:val="00A5740E"/>
    <w:rsid w:val="00A579AC"/>
    <w:rsid w:val="00A57B09"/>
    <w:rsid w:val="00A57C00"/>
    <w:rsid w:val="00A60297"/>
    <w:rsid w:val="00A605FC"/>
    <w:rsid w:val="00A614B0"/>
    <w:rsid w:val="00A61880"/>
    <w:rsid w:val="00A62543"/>
    <w:rsid w:val="00A62750"/>
    <w:rsid w:val="00A62762"/>
    <w:rsid w:val="00A628D0"/>
    <w:rsid w:val="00A636A6"/>
    <w:rsid w:val="00A63F89"/>
    <w:rsid w:val="00A64731"/>
    <w:rsid w:val="00A6492A"/>
    <w:rsid w:val="00A64B1A"/>
    <w:rsid w:val="00A64B39"/>
    <w:rsid w:val="00A64C75"/>
    <w:rsid w:val="00A652CD"/>
    <w:rsid w:val="00A65DF3"/>
    <w:rsid w:val="00A66475"/>
    <w:rsid w:val="00A6688E"/>
    <w:rsid w:val="00A678B6"/>
    <w:rsid w:val="00A707BC"/>
    <w:rsid w:val="00A70C01"/>
    <w:rsid w:val="00A71125"/>
    <w:rsid w:val="00A72210"/>
    <w:rsid w:val="00A7287D"/>
    <w:rsid w:val="00A72EA6"/>
    <w:rsid w:val="00A738B6"/>
    <w:rsid w:val="00A73BFF"/>
    <w:rsid w:val="00A744F3"/>
    <w:rsid w:val="00A7453F"/>
    <w:rsid w:val="00A7546A"/>
    <w:rsid w:val="00A76067"/>
    <w:rsid w:val="00A766C6"/>
    <w:rsid w:val="00A7689B"/>
    <w:rsid w:val="00A76BA5"/>
    <w:rsid w:val="00A76D95"/>
    <w:rsid w:val="00A77683"/>
    <w:rsid w:val="00A7789B"/>
    <w:rsid w:val="00A778E2"/>
    <w:rsid w:val="00A77A62"/>
    <w:rsid w:val="00A77DC1"/>
    <w:rsid w:val="00A77DEE"/>
    <w:rsid w:val="00A800AF"/>
    <w:rsid w:val="00A80253"/>
    <w:rsid w:val="00A8030A"/>
    <w:rsid w:val="00A806AD"/>
    <w:rsid w:val="00A80DE5"/>
    <w:rsid w:val="00A811E6"/>
    <w:rsid w:val="00A81551"/>
    <w:rsid w:val="00A821CD"/>
    <w:rsid w:val="00A83073"/>
    <w:rsid w:val="00A83415"/>
    <w:rsid w:val="00A834D2"/>
    <w:rsid w:val="00A8463B"/>
    <w:rsid w:val="00A846A9"/>
    <w:rsid w:val="00A84A7F"/>
    <w:rsid w:val="00A85555"/>
    <w:rsid w:val="00A8576A"/>
    <w:rsid w:val="00A85AD9"/>
    <w:rsid w:val="00A86305"/>
    <w:rsid w:val="00A8653B"/>
    <w:rsid w:val="00A87F05"/>
    <w:rsid w:val="00A902A3"/>
    <w:rsid w:val="00A9054A"/>
    <w:rsid w:val="00A906F0"/>
    <w:rsid w:val="00A90A14"/>
    <w:rsid w:val="00A90A5C"/>
    <w:rsid w:val="00A90B28"/>
    <w:rsid w:val="00A90EF7"/>
    <w:rsid w:val="00A915BC"/>
    <w:rsid w:val="00A92119"/>
    <w:rsid w:val="00A9243F"/>
    <w:rsid w:val="00A92852"/>
    <w:rsid w:val="00A9322D"/>
    <w:rsid w:val="00A934D4"/>
    <w:rsid w:val="00A93C0C"/>
    <w:rsid w:val="00A940AA"/>
    <w:rsid w:val="00A94198"/>
    <w:rsid w:val="00A947C9"/>
    <w:rsid w:val="00A95170"/>
    <w:rsid w:val="00A955CB"/>
    <w:rsid w:val="00A96A86"/>
    <w:rsid w:val="00A96AE2"/>
    <w:rsid w:val="00A97F91"/>
    <w:rsid w:val="00AA02A9"/>
    <w:rsid w:val="00AA0C8F"/>
    <w:rsid w:val="00AA17A2"/>
    <w:rsid w:val="00AA1B9B"/>
    <w:rsid w:val="00AA221A"/>
    <w:rsid w:val="00AA2799"/>
    <w:rsid w:val="00AA2A29"/>
    <w:rsid w:val="00AA2FCE"/>
    <w:rsid w:val="00AA32DB"/>
    <w:rsid w:val="00AA4CC9"/>
    <w:rsid w:val="00AA4CD7"/>
    <w:rsid w:val="00AA51FA"/>
    <w:rsid w:val="00AA559F"/>
    <w:rsid w:val="00AA5FC7"/>
    <w:rsid w:val="00AA63DF"/>
    <w:rsid w:val="00AA73A9"/>
    <w:rsid w:val="00AA78A8"/>
    <w:rsid w:val="00AB01F3"/>
    <w:rsid w:val="00AB23AC"/>
    <w:rsid w:val="00AB29B4"/>
    <w:rsid w:val="00AB3024"/>
    <w:rsid w:val="00AB3157"/>
    <w:rsid w:val="00AB31D3"/>
    <w:rsid w:val="00AB35CD"/>
    <w:rsid w:val="00AB420B"/>
    <w:rsid w:val="00AB442C"/>
    <w:rsid w:val="00AB4F8B"/>
    <w:rsid w:val="00AB5461"/>
    <w:rsid w:val="00AB6082"/>
    <w:rsid w:val="00AB61E9"/>
    <w:rsid w:val="00AB62E2"/>
    <w:rsid w:val="00AB6832"/>
    <w:rsid w:val="00AB693C"/>
    <w:rsid w:val="00AB7C0A"/>
    <w:rsid w:val="00AC097D"/>
    <w:rsid w:val="00AC1DF8"/>
    <w:rsid w:val="00AC3DAF"/>
    <w:rsid w:val="00AC5655"/>
    <w:rsid w:val="00AC5B96"/>
    <w:rsid w:val="00AC5C16"/>
    <w:rsid w:val="00AC626C"/>
    <w:rsid w:val="00AC6689"/>
    <w:rsid w:val="00AC672A"/>
    <w:rsid w:val="00AC6FC2"/>
    <w:rsid w:val="00AC7513"/>
    <w:rsid w:val="00AC7A5E"/>
    <w:rsid w:val="00AC7A7A"/>
    <w:rsid w:val="00AC7AE6"/>
    <w:rsid w:val="00AD0A0A"/>
    <w:rsid w:val="00AD0AB4"/>
    <w:rsid w:val="00AD1BFA"/>
    <w:rsid w:val="00AD1CAB"/>
    <w:rsid w:val="00AD38E2"/>
    <w:rsid w:val="00AD3D6F"/>
    <w:rsid w:val="00AD409B"/>
    <w:rsid w:val="00AD47D0"/>
    <w:rsid w:val="00AD489E"/>
    <w:rsid w:val="00AD4F2B"/>
    <w:rsid w:val="00AD5055"/>
    <w:rsid w:val="00AD59C0"/>
    <w:rsid w:val="00AD6067"/>
    <w:rsid w:val="00AD617B"/>
    <w:rsid w:val="00AD6690"/>
    <w:rsid w:val="00AD697F"/>
    <w:rsid w:val="00AD6A14"/>
    <w:rsid w:val="00AD739F"/>
    <w:rsid w:val="00AD7FC0"/>
    <w:rsid w:val="00AE0A39"/>
    <w:rsid w:val="00AE14ED"/>
    <w:rsid w:val="00AE23B7"/>
    <w:rsid w:val="00AE2818"/>
    <w:rsid w:val="00AE35C4"/>
    <w:rsid w:val="00AE3B34"/>
    <w:rsid w:val="00AE48C0"/>
    <w:rsid w:val="00AE4B05"/>
    <w:rsid w:val="00AE4EFF"/>
    <w:rsid w:val="00AE5D8B"/>
    <w:rsid w:val="00AE692D"/>
    <w:rsid w:val="00AE732C"/>
    <w:rsid w:val="00AE761E"/>
    <w:rsid w:val="00AE79F9"/>
    <w:rsid w:val="00AE7A46"/>
    <w:rsid w:val="00AE7C26"/>
    <w:rsid w:val="00AF01A3"/>
    <w:rsid w:val="00AF035C"/>
    <w:rsid w:val="00AF0B53"/>
    <w:rsid w:val="00AF0B63"/>
    <w:rsid w:val="00AF0FE7"/>
    <w:rsid w:val="00AF1622"/>
    <w:rsid w:val="00AF1A0A"/>
    <w:rsid w:val="00AF2FD0"/>
    <w:rsid w:val="00AF3B97"/>
    <w:rsid w:val="00AF4B35"/>
    <w:rsid w:val="00AF6164"/>
    <w:rsid w:val="00AF61E3"/>
    <w:rsid w:val="00AF6522"/>
    <w:rsid w:val="00AF74E4"/>
    <w:rsid w:val="00B00331"/>
    <w:rsid w:val="00B01942"/>
    <w:rsid w:val="00B025B8"/>
    <w:rsid w:val="00B03094"/>
    <w:rsid w:val="00B03BE8"/>
    <w:rsid w:val="00B04E1E"/>
    <w:rsid w:val="00B04EE7"/>
    <w:rsid w:val="00B050AE"/>
    <w:rsid w:val="00B05199"/>
    <w:rsid w:val="00B05840"/>
    <w:rsid w:val="00B05887"/>
    <w:rsid w:val="00B05F58"/>
    <w:rsid w:val="00B07B1C"/>
    <w:rsid w:val="00B07E22"/>
    <w:rsid w:val="00B100B1"/>
    <w:rsid w:val="00B10ED7"/>
    <w:rsid w:val="00B11420"/>
    <w:rsid w:val="00B1147C"/>
    <w:rsid w:val="00B11922"/>
    <w:rsid w:val="00B1231A"/>
    <w:rsid w:val="00B12C03"/>
    <w:rsid w:val="00B12C86"/>
    <w:rsid w:val="00B12C9D"/>
    <w:rsid w:val="00B137B7"/>
    <w:rsid w:val="00B14657"/>
    <w:rsid w:val="00B14C42"/>
    <w:rsid w:val="00B157B3"/>
    <w:rsid w:val="00B16610"/>
    <w:rsid w:val="00B168CC"/>
    <w:rsid w:val="00B16B9C"/>
    <w:rsid w:val="00B16E6C"/>
    <w:rsid w:val="00B17207"/>
    <w:rsid w:val="00B17958"/>
    <w:rsid w:val="00B17E6C"/>
    <w:rsid w:val="00B20B8D"/>
    <w:rsid w:val="00B20FFE"/>
    <w:rsid w:val="00B21869"/>
    <w:rsid w:val="00B220D3"/>
    <w:rsid w:val="00B224AD"/>
    <w:rsid w:val="00B2284A"/>
    <w:rsid w:val="00B2325F"/>
    <w:rsid w:val="00B2398A"/>
    <w:rsid w:val="00B23B37"/>
    <w:rsid w:val="00B251B7"/>
    <w:rsid w:val="00B26021"/>
    <w:rsid w:val="00B26C56"/>
    <w:rsid w:val="00B26DB4"/>
    <w:rsid w:val="00B2798D"/>
    <w:rsid w:val="00B27CC4"/>
    <w:rsid w:val="00B30B36"/>
    <w:rsid w:val="00B3154B"/>
    <w:rsid w:val="00B315F3"/>
    <w:rsid w:val="00B31741"/>
    <w:rsid w:val="00B31BDD"/>
    <w:rsid w:val="00B31D68"/>
    <w:rsid w:val="00B31E94"/>
    <w:rsid w:val="00B3229C"/>
    <w:rsid w:val="00B32B92"/>
    <w:rsid w:val="00B32C15"/>
    <w:rsid w:val="00B32FBB"/>
    <w:rsid w:val="00B33D13"/>
    <w:rsid w:val="00B33D4C"/>
    <w:rsid w:val="00B35092"/>
    <w:rsid w:val="00B35379"/>
    <w:rsid w:val="00B356D0"/>
    <w:rsid w:val="00B35835"/>
    <w:rsid w:val="00B35A45"/>
    <w:rsid w:val="00B35A53"/>
    <w:rsid w:val="00B35F5D"/>
    <w:rsid w:val="00B3628C"/>
    <w:rsid w:val="00B3704D"/>
    <w:rsid w:val="00B370DE"/>
    <w:rsid w:val="00B37178"/>
    <w:rsid w:val="00B37A65"/>
    <w:rsid w:val="00B40727"/>
    <w:rsid w:val="00B4104E"/>
    <w:rsid w:val="00B411F1"/>
    <w:rsid w:val="00B4261B"/>
    <w:rsid w:val="00B43F94"/>
    <w:rsid w:val="00B46246"/>
    <w:rsid w:val="00B463D0"/>
    <w:rsid w:val="00B47071"/>
    <w:rsid w:val="00B4783F"/>
    <w:rsid w:val="00B504B0"/>
    <w:rsid w:val="00B50CF4"/>
    <w:rsid w:val="00B51350"/>
    <w:rsid w:val="00B51A46"/>
    <w:rsid w:val="00B52211"/>
    <w:rsid w:val="00B5264F"/>
    <w:rsid w:val="00B52740"/>
    <w:rsid w:val="00B52BAB"/>
    <w:rsid w:val="00B5324D"/>
    <w:rsid w:val="00B53883"/>
    <w:rsid w:val="00B54808"/>
    <w:rsid w:val="00B54A67"/>
    <w:rsid w:val="00B54D07"/>
    <w:rsid w:val="00B550F2"/>
    <w:rsid w:val="00B55102"/>
    <w:rsid w:val="00B551A4"/>
    <w:rsid w:val="00B55F62"/>
    <w:rsid w:val="00B6145B"/>
    <w:rsid w:val="00B61F80"/>
    <w:rsid w:val="00B638D2"/>
    <w:rsid w:val="00B63D95"/>
    <w:rsid w:val="00B64310"/>
    <w:rsid w:val="00B645F1"/>
    <w:rsid w:val="00B64F04"/>
    <w:rsid w:val="00B6537E"/>
    <w:rsid w:val="00B6590C"/>
    <w:rsid w:val="00B668E5"/>
    <w:rsid w:val="00B66A9A"/>
    <w:rsid w:val="00B671B9"/>
    <w:rsid w:val="00B72406"/>
    <w:rsid w:val="00B724DC"/>
    <w:rsid w:val="00B728FA"/>
    <w:rsid w:val="00B72B29"/>
    <w:rsid w:val="00B734D7"/>
    <w:rsid w:val="00B7355D"/>
    <w:rsid w:val="00B7383B"/>
    <w:rsid w:val="00B742BB"/>
    <w:rsid w:val="00B7485C"/>
    <w:rsid w:val="00B74BC1"/>
    <w:rsid w:val="00B75CA5"/>
    <w:rsid w:val="00B7634D"/>
    <w:rsid w:val="00B77560"/>
    <w:rsid w:val="00B800B2"/>
    <w:rsid w:val="00B806CD"/>
    <w:rsid w:val="00B80BD8"/>
    <w:rsid w:val="00B8126A"/>
    <w:rsid w:val="00B820BE"/>
    <w:rsid w:val="00B82835"/>
    <w:rsid w:val="00B82C7D"/>
    <w:rsid w:val="00B82D31"/>
    <w:rsid w:val="00B84755"/>
    <w:rsid w:val="00B84DFC"/>
    <w:rsid w:val="00B84E7B"/>
    <w:rsid w:val="00B8543F"/>
    <w:rsid w:val="00B86124"/>
    <w:rsid w:val="00B8657D"/>
    <w:rsid w:val="00B8721C"/>
    <w:rsid w:val="00B878EA"/>
    <w:rsid w:val="00B87C31"/>
    <w:rsid w:val="00B90882"/>
    <w:rsid w:val="00B909D8"/>
    <w:rsid w:val="00B9175B"/>
    <w:rsid w:val="00B9198D"/>
    <w:rsid w:val="00B91A54"/>
    <w:rsid w:val="00B91BDF"/>
    <w:rsid w:val="00B91ECA"/>
    <w:rsid w:val="00B921EB"/>
    <w:rsid w:val="00B949AE"/>
    <w:rsid w:val="00B9529D"/>
    <w:rsid w:val="00B961A6"/>
    <w:rsid w:val="00B96355"/>
    <w:rsid w:val="00B97233"/>
    <w:rsid w:val="00B975CF"/>
    <w:rsid w:val="00B9787E"/>
    <w:rsid w:val="00B97D16"/>
    <w:rsid w:val="00B97E41"/>
    <w:rsid w:val="00BA1267"/>
    <w:rsid w:val="00BA1479"/>
    <w:rsid w:val="00BA2AB2"/>
    <w:rsid w:val="00BA30B8"/>
    <w:rsid w:val="00BA32CF"/>
    <w:rsid w:val="00BA3EB2"/>
    <w:rsid w:val="00BA401E"/>
    <w:rsid w:val="00BA47A5"/>
    <w:rsid w:val="00BA47D6"/>
    <w:rsid w:val="00BA49E7"/>
    <w:rsid w:val="00BA4CA7"/>
    <w:rsid w:val="00BA5204"/>
    <w:rsid w:val="00BA54D9"/>
    <w:rsid w:val="00BA5848"/>
    <w:rsid w:val="00BA63A7"/>
    <w:rsid w:val="00BB0196"/>
    <w:rsid w:val="00BB1A58"/>
    <w:rsid w:val="00BB1BA3"/>
    <w:rsid w:val="00BB1E6C"/>
    <w:rsid w:val="00BB2294"/>
    <w:rsid w:val="00BB25DC"/>
    <w:rsid w:val="00BB2967"/>
    <w:rsid w:val="00BB2C64"/>
    <w:rsid w:val="00BB2D3A"/>
    <w:rsid w:val="00BB3FC2"/>
    <w:rsid w:val="00BB425E"/>
    <w:rsid w:val="00BB4DB7"/>
    <w:rsid w:val="00BB5C61"/>
    <w:rsid w:val="00BB5D4F"/>
    <w:rsid w:val="00BB6D71"/>
    <w:rsid w:val="00BB6E83"/>
    <w:rsid w:val="00BB6EDF"/>
    <w:rsid w:val="00BB7088"/>
    <w:rsid w:val="00BC00F7"/>
    <w:rsid w:val="00BC01BA"/>
    <w:rsid w:val="00BC0749"/>
    <w:rsid w:val="00BC0790"/>
    <w:rsid w:val="00BC0928"/>
    <w:rsid w:val="00BC0FF4"/>
    <w:rsid w:val="00BC18EA"/>
    <w:rsid w:val="00BC1CCA"/>
    <w:rsid w:val="00BC1D32"/>
    <w:rsid w:val="00BC253E"/>
    <w:rsid w:val="00BC321F"/>
    <w:rsid w:val="00BC3687"/>
    <w:rsid w:val="00BC412A"/>
    <w:rsid w:val="00BC41BA"/>
    <w:rsid w:val="00BC424A"/>
    <w:rsid w:val="00BC42EE"/>
    <w:rsid w:val="00BC467B"/>
    <w:rsid w:val="00BC48A1"/>
    <w:rsid w:val="00BC4E25"/>
    <w:rsid w:val="00BC63C5"/>
    <w:rsid w:val="00BC657E"/>
    <w:rsid w:val="00BC66CE"/>
    <w:rsid w:val="00BC7DA9"/>
    <w:rsid w:val="00BC7F78"/>
    <w:rsid w:val="00BD0D6B"/>
    <w:rsid w:val="00BD0E7F"/>
    <w:rsid w:val="00BD1F7D"/>
    <w:rsid w:val="00BD2C6A"/>
    <w:rsid w:val="00BD3AD6"/>
    <w:rsid w:val="00BD46BF"/>
    <w:rsid w:val="00BD5F50"/>
    <w:rsid w:val="00BD67A2"/>
    <w:rsid w:val="00BD6C0D"/>
    <w:rsid w:val="00BD75C8"/>
    <w:rsid w:val="00BD777C"/>
    <w:rsid w:val="00BD79F6"/>
    <w:rsid w:val="00BE08EB"/>
    <w:rsid w:val="00BE0BF5"/>
    <w:rsid w:val="00BE1051"/>
    <w:rsid w:val="00BE1876"/>
    <w:rsid w:val="00BE2A3D"/>
    <w:rsid w:val="00BE3473"/>
    <w:rsid w:val="00BE3798"/>
    <w:rsid w:val="00BE3A19"/>
    <w:rsid w:val="00BE4548"/>
    <w:rsid w:val="00BE5E05"/>
    <w:rsid w:val="00BE7349"/>
    <w:rsid w:val="00BE7549"/>
    <w:rsid w:val="00BF04BA"/>
    <w:rsid w:val="00BF0D53"/>
    <w:rsid w:val="00BF18FB"/>
    <w:rsid w:val="00BF191F"/>
    <w:rsid w:val="00BF1FAF"/>
    <w:rsid w:val="00BF342C"/>
    <w:rsid w:val="00BF370B"/>
    <w:rsid w:val="00BF3D6E"/>
    <w:rsid w:val="00BF45B9"/>
    <w:rsid w:val="00BF467A"/>
    <w:rsid w:val="00BF4C52"/>
    <w:rsid w:val="00BF5498"/>
    <w:rsid w:val="00BF59D5"/>
    <w:rsid w:val="00BF6114"/>
    <w:rsid w:val="00BF67FD"/>
    <w:rsid w:val="00BF6D78"/>
    <w:rsid w:val="00C0002A"/>
    <w:rsid w:val="00C0141E"/>
    <w:rsid w:val="00C01ADB"/>
    <w:rsid w:val="00C01F68"/>
    <w:rsid w:val="00C02186"/>
    <w:rsid w:val="00C02405"/>
    <w:rsid w:val="00C0267A"/>
    <w:rsid w:val="00C02858"/>
    <w:rsid w:val="00C0293E"/>
    <w:rsid w:val="00C02F86"/>
    <w:rsid w:val="00C039E0"/>
    <w:rsid w:val="00C03D48"/>
    <w:rsid w:val="00C03D7D"/>
    <w:rsid w:val="00C044F7"/>
    <w:rsid w:val="00C04806"/>
    <w:rsid w:val="00C04879"/>
    <w:rsid w:val="00C04DD0"/>
    <w:rsid w:val="00C05861"/>
    <w:rsid w:val="00C0747B"/>
    <w:rsid w:val="00C076C9"/>
    <w:rsid w:val="00C07C01"/>
    <w:rsid w:val="00C102EB"/>
    <w:rsid w:val="00C1032F"/>
    <w:rsid w:val="00C104FF"/>
    <w:rsid w:val="00C10B6A"/>
    <w:rsid w:val="00C113BA"/>
    <w:rsid w:val="00C115D9"/>
    <w:rsid w:val="00C118F8"/>
    <w:rsid w:val="00C11D17"/>
    <w:rsid w:val="00C137A2"/>
    <w:rsid w:val="00C13ADF"/>
    <w:rsid w:val="00C13B60"/>
    <w:rsid w:val="00C13D30"/>
    <w:rsid w:val="00C13DA5"/>
    <w:rsid w:val="00C154CA"/>
    <w:rsid w:val="00C15BB6"/>
    <w:rsid w:val="00C15C25"/>
    <w:rsid w:val="00C15D96"/>
    <w:rsid w:val="00C16015"/>
    <w:rsid w:val="00C16295"/>
    <w:rsid w:val="00C16710"/>
    <w:rsid w:val="00C16C06"/>
    <w:rsid w:val="00C17059"/>
    <w:rsid w:val="00C20655"/>
    <w:rsid w:val="00C20C14"/>
    <w:rsid w:val="00C20CE2"/>
    <w:rsid w:val="00C21159"/>
    <w:rsid w:val="00C21F2B"/>
    <w:rsid w:val="00C21F3E"/>
    <w:rsid w:val="00C221EB"/>
    <w:rsid w:val="00C22E98"/>
    <w:rsid w:val="00C23B44"/>
    <w:rsid w:val="00C24574"/>
    <w:rsid w:val="00C24627"/>
    <w:rsid w:val="00C24FCB"/>
    <w:rsid w:val="00C26182"/>
    <w:rsid w:val="00C264DC"/>
    <w:rsid w:val="00C2738D"/>
    <w:rsid w:val="00C27C6E"/>
    <w:rsid w:val="00C30060"/>
    <w:rsid w:val="00C308D3"/>
    <w:rsid w:val="00C31612"/>
    <w:rsid w:val="00C323D0"/>
    <w:rsid w:val="00C32648"/>
    <w:rsid w:val="00C326CF"/>
    <w:rsid w:val="00C32BD3"/>
    <w:rsid w:val="00C33104"/>
    <w:rsid w:val="00C33167"/>
    <w:rsid w:val="00C33514"/>
    <w:rsid w:val="00C33B01"/>
    <w:rsid w:val="00C33C66"/>
    <w:rsid w:val="00C354F3"/>
    <w:rsid w:val="00C35658"/>
    <w:rsid w:val="00C359FC"/>
    <w:rsid w:val="00C35AFB"/>
    <w:rsid w:val="00C35DAD"/>
    <w:rsid w:val="00C36F16"/>
    <w:rsid w:val="00C40FB6"/>
    <w:rsid w:val="00C419BE"/>
    <w:rsid w:val="00C4232E"/>
    <w:rsid w:val="00C42C80"/>
    <w:rsid w:val="00C4413E"/>
    <w:rsid w:val="00C44156"/>
    <w:rsid w:val="00C4419D"/>
    <w:rsid w:val="00C44ADD"/>
    <w:rsid w:val="00C46255"/>
    <w:rsid w:val="00C47E7A"/>
    <w:rsid w:val="00C5026C"/>
    <w:rsid w:val="00C50677"/>
    <w:rsid w:val="00C51752"/>
    <w:rsid w:val="00C51809"/>
    <w:rsid w:val="00C51D92"/>
    <w:rsid w:val="00C53738"/>
    <w:rsid w:val="00C53C39"/>
    <w:rsid w:val="00C54019"/>
    <w:rsid w:val="00C54133"/>
    <w:rsid w:val="00C542D5"/>
    <w:rsid w:val="00C54EEA"/>
    <w:rsid w:val="00C5542B"/>
    <w:rsid w:val="00C56A53"/>
    <w:rsid w:val="00C56C23"/>
    <w:rsid w:val="00C57158"/>
    <w:rsid w:val="00C57465"/>
    <w:rsid w:val="00C57AEA"/>
    <w:rsid w:val="00C60378"/>
    <w:rsid w:val="00C6088F"/>
    <w:rsid w:val="00C60CF9"/>
    <w:rsid w:val="00C6169E"/>
    <w:rsid w:val="00C61C56"/>
    <w:rsid w:val="00C6214C"/>
    <w:rsid w:val="00C62435"/>
    <w:rsid w:val="00C624B4"/>
    <w:rsid w:val="00C6349E"/>
    <w:rsid w:val="00C6411E"/>
    <w:rsid w:val="00C65C8A"/>
    <w:rsid w:val="00C66673"/>
    <w:rsid w:val="00C66D47"/>
    <w:rsid w:val="00C67266"/>
    <w:rsid w:val="00C67B28"/>
    <w:rsid w:val="00C70570"/>
    <w:rsid w:val="00C70CBC"/>
    <w:rsid w:val="00C70E5E"/>
    <w:rsid w:val="00C71494"/>
    <w:rsid w:val="00C7162D"/>
    <w:rsid w:val="00C72131"/>
    <w:rsid w:val="00C72318"/>
    <w:rsid w:val="00C72BAC"/>
    <w:rsid w:val="00C72D78"/>
    <w:rsid w:val="00C73348"/>
    <w:rsid w:val="00C742EE"/>
    <w:rsid w:val="00C7444F"/>
    <w:rsid w:val="00C7532E"/>
    <w:rsid w:val="00C75831"/>
    <w:rsid w:val="00C75851"/>
    <w:rsid w:val="00C76138"/>
    <w:rsid w:val="00C76347"/>
    <w:rsid w:val="00C7647A"/>
    <w:rsid w:val="00C764C3"/>
    <w:rsid w:val="00C766A0"/>
    <w:rsid w:val="00C76A9A"/>
    <w:rsid w:val="00C76D2E"/>
    <w:rsid w:val="00C76D77"/>
    <w:rsid w:val="00C77FED"/>
    <w:rsid w:val="00C80C26"/>
    <w:rsid w:val="00C81445"/>
    <w:rsid w:val="00C81CAA"/>
    <w:rsid w:val="00C82B32"/>
    <w:rsid w:val="00C8361D"/>
    <w:rsid w:val="00C83CA9"/>
    <w:rsid w:val="00C8485F"/>
    <w:rsid w:val="00C85068"/>
    <w:rsid w:val="00C854F5"/>
    <w:rsid w:val="00C8610D"/>
    <w:rsid w:val="00C86A98"/>
    <w:rsid w:val="00C86B06"/>
    <w:rsid w:val="00C86B54"/>
    <w:rsid w:val="00C86F3B"/>
    <w:rsid w:val="00C87370"/>
    <w:rsid w:val="00C908FB"/>
    <w:rsid w:val="00C90EA8"/>
    <w:rsid w:val="00C91122"/>
    <w:rsid w:val="00C91A31"/>
    <w:rsid w:val="00C91E49"/>
    <w:rsid w:val="00C91F51"/>
    <w:rsid w:val="00C928EB"/>
    <w:rsid w:val="00C931D4"/>
    <w:rsid w:val="00C932C1"/>
    <w:rsid w:val="00C93B9F"/>
    <w:rsid w:val="00C93C18"/>
    <w:rsid w:val="00C94343"/>
    <w:rsid w:val="00C94584"/>
    <w:rsid w:val="00C9473A"/>
    <w:rsid w:val="00C953AB"/>
    <w:rsid w:val="00C95EC9"/>
    <w:rsid w:val="00C9673A"/>
    <w:rsid w:val="00C96D2D"/>
    <w:rsid w:val="00C97000"/>
    <w:rsid w:val="00C97203"/>
    <w:rsid w:val="00C97ACD"/>
    <w:rsid w:val="00CA03B5"/>
    <w:rsid w:val="00CA0D69"/>
    <w:rsid w:val="00CA1033"/>
    <w:rsid w:val="00CA1C05"/>
    <w:rsid w:val="00CA1D78"/>
    <w:rsid w:val="00CA266E"/>
    <w:rsid w:val="00CA2C32"/>
    <w:rsid w:val="00CA2C78"/>
    <w:rsid w:val="00CA3082"/>
    <w:rsid w:val="00CA4504"/>
    <w:rsid w:val="00CA524F"/>
    <w:rsid w:val="00CA5A46"/>
    <w:rsid w:val="00CA6804"/>
    <w:rsid w:val="00CA6D31"/>
    <w:rsid w:val="00CA75CA"/>
    <w:rsid w:val="00CA79DB"/>
    <w:rsid w:val="00CB01C9"/>
    <w:rsid w:val="00CB04CA"/>
    <w:rsid w:val="00CB1A1E"/>
    <w:rsid w:val="00CB1B0F"/>
    <w:rsid w:val="00CB2817"/>
    <w:rsid w:val="00CB3261"/>
    <w:rsid w:val="00CB3D72"/>
    <w:rsid w:val="00CB4459"/>
    <w:rsid w:val="00CB5D6E"/>
    <w:rsid w:val="00CB6768"/>
    <w:rsid w:val="00CB6A91"/>
    <w:rsid w:val="00CB7C10"/>
    <w:rsid w:val="00CC024F"/>
    <w:rsid w:val="00CC034C"/>
    <w:rsid w:val="00CC03CE"/>
    <w:rsid w:val="00CC05C4"/>
    <w:rsid w:val="00CC130D"/>
    <w:rsid w:val="00CC143A"/>
    <w:rsid w:val="00CC1AF2"/>
    <w:rsid w:val="00CC1EB8"/>
    <w:rsid w:val="00CC22C9"/>
    <w:rsid w:val="00CC25A4"/>
    <w:rsid w:val="00CC2651"/>
    <w:rsid w:val="00CC2D15"/>
    <w:rsid w:val="00CC34D4"/>
    <w:rsid w:val="00CC3503"/>
    <w:rsid w:val="00CC3AC2"/>
    <w:rsid w:val="00CC47FD"/>
    <w:rsid w:val="00CC480E"/>
    <w:rsid w:val="00CC4F1D"/>
    <w:rsid w:val="00CC5C3D"/>
    <w:rsid w:val="00CC6661"/>
    <w:rsid w:val="00CC69FD"/>
    <w:rsid w:val="00CC6C0A"/>
    <w:rsid w:val="00CC75CE"/>
    <w:rsid w:val="00CC7881"/>
    <w:rsid w:val="00CD07B4"/>
    <w:rsid w:val="00CD07E6"/>
    <w:rsid w:val="00CD09E3"/>
    <w:rsid w:val="00CD1045"/>
    <w:rsid w:val="00CD11F9"/>
    <w:rsid w:val="00CD125F"/>
    <w:rsid w:val="00CD2A5C"/>
    <w:rsid w:val="00CD2BE1"/>
    <w:rsid w:val="00CD30BD"/>
    <w:rsid w:val="00CD326E"/>
    <w:rsid w:val="00CD380B"/>
    <w:rsid w:val="00CD3B98"/>
    <w:rsid w:val="00CD505F"/>
    <w:rsid w:val="00CD61DC"/>
    <w:rsid w:val="00CD7258"/>
    <w:rsid w:val="00CD770D"/>
    <w:rsid w:val="00CD7BF9"/>
    <w:rsid w:val="00CE1907"/>
    <w:rsid w:val="00CE1988"/>
    <w:rsid w:val="00CE2AB3"/>
    <w:rsid w:val="00CE2AF1"/>
    <w:rsid w:val="00CE3E4B"/>
    <w:rsid w:val="00CE3ED9"/>
    <w:rsid w:val="00CE51B0"/>
    <w:rsid w:val="00CE5785"/>
    <w:rsid w:val="00CE585C"/>
    <w:rsid w:val="00CE67D2"/>
    <w:rsid w:val="00CE68D1"/>
    <w:rsid w:val="00CE6C51"/>
    <w:rsid w:val="00CE6E6F"/>
    <w:rsid w:val="00CE76D8"/>
    <w:rsid w:val="00CE7800"/>
    <w:rsid w:val="00CE7B6C"/>
    <w:rsid w:val="00CF00E4"/>
    <w:rsid w:val="00CF0A7E"/>
    <w:rsid w:val="00CF1C77"/>
    <w:rsid w:val="00CF2D2C"/>
    <w:rsid w:val="00CF412F"/>
    <w:rsid w:val="00CF44F0"/>
    <w:rsid w:val="00CF6621"/>
    <w:rsid w:val="00CF7D47"/>
    <w:rsid w:val="00D002BE"/>
    <w:rsid w:val="00D01310"/>
    <w:rsid w:val="00D0143C"/>
    <w:rsid w:val="00D0268F"/>
    <w:rsid w:val="00D03002"/>
    <w:rsid w:val="00D0368F"/>
    <w:rsid w:val="00D03B3B"/>
    <w:rsid w:val="00D044F2"/>
    <w:rsid w:val="00D046B2"/>
    <w:rsid w:val="00D0485A"/>
    <w:rsid w:val="00D055D2"/>
    <w:rsid w:val="00D059E0"/>
    <w:rsid w:val="00D05C79"/>
    <w:rsid w:val="00D06582"/>
    <w:rsid w:val="00D0664D"/>
    <w:rsid w:val="00D067E4"/>
    <w:rsid w:val="00D069D8"/>
    <w:rsid w:val="00D07502"/>
    <w:rsid w:val="00D07FEF"/>
    <w:rsid w:val="00D105CF"/>
    <w:rsid w:val="00D10EC3"/>
    <w:rsid w:val="00D119AE"/>
    <w:rsid w:val="00D11EEB"/>
    <w:rsid w:val="00D12866"/>
    <w:rsid w:val="00D14B1C"/>
    <w:rsid w:val="00D14ED6"/>
    <w:rsid w:val="00D15263"/>
    <w:rsid w:val="00D153AB"/>
    <w:rsid w:val="00D157D2"/>
    <w:rsid w:val="00D1594E"/>
    <w:rsid w:val="00D15A00"/>
    <w:rsid w:val="00D16896"/>
    <w:rsid w:val="00D17322"/>
    <w:rsid w:val="00D20AD4"/>
    <w:rsid w:val="00D20B32"/>
    <w:rsid w:val="00D20D06"/>
    <w:rsid w:val="00D20E9B"/>
    <w:rsid w:val="00D2181D"/>
    <w:rsid w:val="00D21E3C"/>
    <w:rsid w:val="00D22289"/>
    <w:rsid w:val="00D22793"/>
    <w:rsid w:val="00D22EC6"/>
    <w:rsid w:val="00D22ECE"/>
    <w:rsid w:val="00D23A30"/>
    <w:rsid w:val="00D2411D"/>
    <w:rsid w:val="00D241D6"/>
    <w:rsid w:val="00D24362"/>
    <w:rsid w:val="00D24EBB"/>
    <w:rsid w:val="00D24F7D"/>
    <w:rsid w:val="00D252C1"/>
    <w:rsid w:val="00D254C6"/>
    <w:rsid w:val="00D26034"/>
    <w:rsid w:val="00D267AB"/>
    <w:rsid w:val="00D27ADA"/>
    <w:rsid w:val="00D27D0C"/>
    <w:rsid w:val="00D27D39"/>
    <w:rsid w:val="00D30C48"/>
    <w:rsid w:val="00D30E0D"/>
    <w:rsid w:val="00D30EF1"/>
    <w:rsid w:val="00D311A6"/>
    <w:rsid w:val="00D31492"/>
    <w:rsid w:val="00D323B4"/>
    <w:rsid w:val="00D342CB"/>
    <w:rsid w:val="00D34A45"/>
    <w:rsid w:val="00D34A48"/>
    <w:rsid w:val="00D35453"/>
    <w:rsid w:val="00D36992"/>
    <w:rsid w:val="00D36B39"/>
    <w:rsid w:val="00D36D03"/>
    <w:rsid w:val="00D37E84"/>
    <w:rsid w:val="00D408F9"/>
    <w:rsid w:val="00D40E33"/>
    <w:rsid w:val="00D41441"/>
    <w:rsid w:val="00D41E14"/>
    <w:rsid w:val="00D42420"/>
    <w:rsid w:val="00D4329C"/>
    <w:rsid w:val="00D438F2"/>
    <w:rsid w:val="00D43A25"/>
    <w:rsid w:val="00D440CA"/>
    <w:rsid w:val="00D448BA"/>
    <w:rsid w:val="00D44A2F"/>
    <w:rsid w:val="00D45E5B"/>
    <w:rsid w:val="00D464DE"/>
    <w:rsid w:val="00D4682B"/>
    <w:rsid w:val="00D469DE"/>
    <w:rsid w:val="00D46C81"/>
    <w:rsid w:val="00D47726"/>
    <w:rsid w:val="00D4794F"/>
    <w:rsid w:val="00D47DF1"/>
    <w:rsid w:val="00D47EEA"/>
    <w:rsid w:val="00D50D52"/>
    <w:rsid w:val="00D5135D"/>
    <w:rsid w:val="00D523D2"/>
    <w:rsid w:val="00D53472"/>
    <w:rsid w:val="00D535DC"/>
    <w:rsid w:val="00D536B1"/>
    <w:rsid w:val="00D53F3D"/>
    <w:rsid w:val="00D5467C"/>
    <w:rsid w:val="00D546C5"/>
    <w:rsid w:val="00D5487D"/>
    <w:rsid w:val="00D549B9"/>
    <w:rsid w:val="00D5500C"/>
    <w:rsid w:val="00D55306"/>
    <w:rsid w:val="00D5531E"/>
    <w:rsid w:val="00D56201"/>
    <w:rsid w:val="00D564BB"/>
    <w:rsid w:val="00D56961"/>
    <w:rsid w:val="00D56F8C"/>
    <w:rsid w:val="00D57C77"/>
    <w:rsid w:val="00D57ED7"/>
    <w:rsid w:val="00D6081D"/>
    <w:rsid w:val="00D60D1F"/>
    <w:rsid w:val="00D6161B"/>
    <w:rsid w:val="00D61B27"/>
    <w:rsid w:val="00D6257B"/>
    <w:rsid w:val="00D630B8"/>
    <w:rsid w:val="00D635B0"/>
    <w:rsid w:val="00D63A9F"/>
    <w:rsid w:val="00D65E85"/>
    <w:rsid w:val="00D667B1"/>
    <w:rsid w:val="00D667C2"/>
    <w:rsid w:val="00D66B9E"/>
    <w:rsid w:val="00D66D5B"/>
    <w:rsid w:val="00D67293"/>
    <w:rsid w:val="00D70207"/>
    <w:rsid w:val="00D70DC3"/>
    <w:rsid w:val="00D70DDA"/>
    <w:rsid w:val="00D70F44"/>
    <w:rsid w:val="00D71F60"/>
    <w:rsid w:val="00D7286A"/>
    <w:rsid w:val="00D74098"/>
    <w:rsid w:val="00D7425D"/>
    <w:rsid w:val="00D75371"/>
    <w:rsid w:val="00D7656D"/>
    <w:rsid w:val="00D768BC"/>
    <w:rsid w:val="00D76F35"/>
    <w:rsid w:val="00D7705C"/>
    <w:rsid w:val="00D774DE"/>
    <w:rsid w:val="00D77EBD"/>
    <w:rsid w:val="00D80820"/>
    <w:rsid w:val="00D809F5"/>
    <w:rsid w:val="00D80A29"/>
    <w:rsid w:val="00D81557"/>
    <w:rsid w:val="00D82029"/>
    <w:rsid w:val="00D8209B"/>
    <w:rsid w:val="00D82249"/>
    <w:rsid w:val="00D824BD"/>
    <w:rsid w:val="00D82C73"/>
    <w:rsid w:val="00D82F84"/>
    <w:rsid w:val="00D835D0"/>
    <w:rsid w:val="00D83FEF"/>
    <w:rsid w:val="00D84497"/>
    <w:rsid w:val="00D851AF"/>
    <w:rsid w:val="00D8538A"/>
    <w:rsid w:val="00D85662"/>
    <w:rsid w:val="00D8609E"/>
    <w:rsid w:val="00D8614B"/>
    <w:rsid w:val="00D86A54"/>
    <w:rsid w:val="00D86C8A"/>
    <w:rsid w:val="00D87A4C"/>
    <w:rsid w:val="00D87B8D"/>
    <w:rsid w:val="00D87C82"/>
    <w:rsid w:val="00D9018B"/>
    <w:rsid w:val="00D90745"/>
    <w:rsid w:val="00D90AC4"/>
    <w:rsid w:val="00D90ED9"/>
    <w:rsid w:val="00D91268"/>
    <w:rsid w:val="00D91479"/>
    <w:rsid w:val="00D9197D"/>
    <w:rsid w:val="00D92213"/>
    <w:rsid w:val="00D94397"/>
    <w:rsid w:val="00D9472B"/>
    <w:rsid w:val="00D9487E"/>
    <w:rsid w:val="00D948CA"/>
    <w:rsid w:val="00D94A00"/>
    <w:rsid w:val="00D9523F"/>
    <w:rsid w:val="00D9631C"/>
    <w:rsid w:val="00D96BB9"/>
    <w:rsid w:val="00D96D73"/>
    <w:rsid w:val="00D96EF3"/>
    <w:rsid w:val="00D973A0"/>
    <w:rsid w:val="00DA02A5"/>
    <w:rsid w:val="00DA0441"/>
    <w:rsid w:val="00DA09E8"/>
    <w:rsid w:val="00DA0B23"/>
    <w:rsid w:val="00DA1703"/>
    <w:rsid w:val="00DA2ABE"/>
    <w:rsid w:val="00DA2DB9"/>
    <w:rsid w:val="00DA2F17"/>
    <w:rsid w:val="00DA3603"/>
    <w:rsid w:val="00DA3A37"/>
    <w:rsid w:val="00DA3B64"/>
    <w:rsid w:val="00DA6552"/>
    <w:rsid w:val="00DA666D"/>
    <w:rsid w:val="00DA6E00"/>
    <w:rsid w:val="00DA7D97"/>
    <w:rsid w:val="00DA7E78"/>
    <w:rsid w:val="00DB086F"/>
    <w:rsid w:val="00DB10E8"/>
    <w:rsid w:val="00DB1679"/>
    <w:rsid w:val="00DB2014"/>
    <w:rsid w:val="00DB2175"/>
    <w:rsid w:val="00DB3482"/>
    <w:rsid w:val="00DB3925"/>
    <w:rsid w:val="00DB48FE"/>
    <w:rsid w:val="00DB60A5"/>
    <w:rsid w:val="00DC01A8"/>
    <w:rsid w:val="00DC067F"/>
    <w:rsid w:val="00DC08C1"/>
    <w:rsid w:val="00DC08E5"/>
    <w:rsid w:val="00DC0FF9"/>
    <w:rsid w:val="00DC15A2"/>
    <w:rsid w:val="00DC3014"/>
    <w:rsid w:val="00DC301E"/>
    <w:rsid w:val="00DC38FD"/>
    <w:rsid w:val="00DC408F"/>
    <w:rsid w:val="00DC5442"/>
    <w:rsid w:val="00DC5F99"/>
    <w:rsid w:val="00DC6044"/>
    <w:rsid w:val="00DC6091"/>
    <w:rsid w:val="00DC6463"/>
    <w:rsid w:val="00DC6953"/>
    <w:rsid w:val="00DC730F"/>
    <w:rsid w:val="00DC7F30"/>
    <w:rsid w:val="00DD0902"/>
    <w:rsid w:val="00DD1400"/>
    <w:rsid w:val="00DD1D3F"/>
    <w:rsid w:val="00DD30C6"/>
    <w:rsid w:val="00DD34EB"/>
    <w:rsid w:val="00DD616F"/>
    <w:rsid w:val="00DD7815"/>
    <w:rsid w:val="00DE197E"/>
    <w:rsid w:val="00DE2D87"/>
    <w:rsid w:val="00DE333F"/>
    <w:rsid w:val="00DE3E24"/>
    <w:rsid w:val="00DE49CA"/>
    <w:rsid w:val="00DE567E"/>
    <w:rsid w:val="00DE632B"/>
    <w:rsid w:val="00DE63CE"/>
    <w:rsid w:val="00DE6F5C"/>
    <w:rsid w:val="00DF08F0"/>
    <w:rsid w:val="00DF124C"/>
    <w:rsid w:val="00DF1532"/>
    <w:rsid w:val="00DF1720"/>
    <w:rsid w:val="00DF1CC6"/>
    <w:rsid w:val="00DF2618"/>
    <w:rsid w:val="00DF3CFF"/>
    <w:rsid w:val="00DF42BC"/>
    <w:rsid w:val="00DF42F5"/>
    <w:rsid w:val="00DF498B"/>
    <w:rsid w:val="00DF4C4C"/>
    <w:rsid w:val="00DF54BE"/>
    <w:rsid w:val="00DF5703"/>
    <w:rsid w:val="00DF5A71"/>
    <w:rsid w:val="00DF7891"/>
    <w:rsid w:val="00E0105B"/>
    <w:rsid w:val="00E0173D"/>
    <w:rsid w:val="00E0260C"/>
    <w:rsid w:val="00E0262D"/>
    <w:rsid w:val="00E02CE7"/>
    <w:rsid w:val="00E03811"/>
    <w:rsid w:val="00E03957"/>
    <w:rsid w:val="00E04715"/>
    <w:rsid w:val="00E059EF"/>
    <w:rsid w:val="00E05E6F"/>
    <w:rsid w:val="00E064A5"/>
    <w:rsid w:val="00E068C0"/>
    <w:rsid w:val="00E06B35"/>
    <w:rsid w:val="00E07B2B"/>
    <w:rsid w:val="00E07E05"/>
    <w:rsid w:val="00E07FFD"/>
    <w:rsid w:val="00E10908"/>
    <w:rsid w:val="00E10E50"/>
    <w:rsid w:val="00E11BA3"/>
    <w:rsid w:val="00E11DBE"/>
    <w:rsid w:val="00E12EDA"/>
    <w:rsid w:val="00E1311A"/>
    <w:rsid w:val="00E139F8"/>
    <w:rsid w:val="00E13E59"/>
    <w:rsid w:val="00E14B18"/>
    <w:rsid w:val="00E14D84"/>
    <w:rsid w:val="00E14DA0"/>
    <w:rsid w:val="00E15102"/>
    <w:rsid w:val="00E16487"/>
    <w:rsid w:val="00E177AA"/>
    <w:rsid w:val="00E20425"/>
    <w:rsid w:val="00E20BD1"/>
    <w:rsid w:val="00E21514"/>
    <w:rsid w:val="00E221FF"/>
    <w:rsid w:val="00E229D1"/>
    <w:rsid w:val="00E22A5C"/>
    <w:rsid w:val="00E23911"/>
    <w:rsid w:val="00E2406C"/>
    <w:rsid w:val="00E245E6"/>
    <w:rsid w:val="00E24D3E"/>
    <w:rsid w:val="00E24FA3"/>
    <w:rsid w:val="00E261D1"/>
    <w:rsid w:val="00E27388"/>
    <w:rsid w:val="00E30789"/>
    <w:rsid w:val="00E314F8"/>
    <w:rsid w:val="00E31DAE"/>
    <w:rsid w:val="00E31DDA"/>
    <w:rsid w:val="00E3279D"/>
    <w:rsid w:val="00E32C4A"/>
    <w:rsid w:val="00E32F12"/>
    <w:rsid w:val="00E335AF"/>
    <w:rsid w:val="00E33E3D"/>
    <w:rsid w:val="00E34454"/>
    <w:rsid w:val="00E34743"/>
    <w:rsid w:val="00E34C24"/>
    <w:rsid w:val="00E35572"/>
    <w:rsid w:val="00E35E3D"/>
    <w:rsid w:val="00E35EB0"/>
    <w:rsid w:val="00E36820"/>
    <w:rsid w:val="00E371B4"/>
    <w:rsid w:val="00E374EB"/>
    <w:rsid w:val="00E37909"/>
    <w:rsid w:val="00E40544"/>
    <w:rsid w:val="00E40D49"/>
    <w:rsid w:val="00E40D82"/>
    <w:rsid w:val="00E41B1B"/>
    <w:rsid w:val="00E41B49"/>
    <w:rsid w:val="00E430A5"/>
    <w:rsid w:val="00E430E1"/>
    <w:rsid w:val="00E44469"/>
    <w:rsid w:val="00E44624"/>
    <w:rsid w:val="00E449B7"/>
    <w:rsid w:val="00E44E80"/>
    <w:rsid w:val="00E45223"/>
    <w:rsid w:val="00E45398"/>
    <w:rsid w:val="00E454D0"/>
    <w:rsid w:val="00E45973"/>
    <w:rsid w:val="00E45F21"/>
    <w:rsid w:val="00E46059"/>
    <w:rsid w:val="00E460EC"/>
    <w:rsid w:val="00E467DE"/>
    <w:rsid w:val="00E476A7"/>
    <w:rsid w:val="00E50F4A"/>
    <w:rsid w:val="00E515DA"/>
    <w:rsid w:val="00E519A7"/>
    <w:rsid w:val="00E51D72"/>
    <w:rsid w:val="00E530AE"/>
    <w:rsid w:val="00E534F6"/>
    <w:rsid w:val="00E537B2"/>
    <w:rsid w:val="00E54B6B"/>
    <w:rsid w:val="00E559AD"/>
    <w:rsid w:val="00E560D1"/>
    <w:rsid w:val="00E5640A"/>
    <w:rsid w:val="00E56C6B"/>
    <w:rsid w:val="00E56EC0"/>
    <w:rsid w:val="00E5732F"/>
    <w:rsid w:val="00E574BD"/>
    <w:rsid w:val="00E6027D"/>
    <w:rsid w:val="00E60862"/>
    <w:rsid w:val="00E60984"/>
    <w:rsid w:val="00E61048"/>
    <w:rsid w:val="00E610E7"/>
    <w:rsid w:val="00E6118A"/>
    <w:rsid w:val="00E62355"/>
    <w:rsid w:val="00E62E97"/>
    <w:rsid w:val="00E62F41"/>
    <w:rsid w:val="00E632D2"/>
    <w:rsid w:val="00E63564"/>
    <w:rsid w:val="00E63910"/>
    <w:rsid w:val="00E63AC6"/>
    <w:rsid w:val="00E641E3"/>
    <w:rsid w:val="00E64320"/>
    <w:rsid w:val="00E6525E"/>
    <w:rsid w:val="00E66173"/>
    <w:rsid w:val="00E66751"/>
    <w:rsid w:val="00E66B81"/>
    <w:rsid w:val="00E672CC"/>
    <w:rsid w:val="00E7043A"/>
    <w:rsid w:val="00E70D7E"/>
    <w:rsid w:val="00E71634"/>
    <w:rsid w:val="00E71782"/>
    <w:rsid w:val="00E71C88"/>
    <w:rsid w:val="00E72260"/>
    <w:rsid w:val="00E72529"/>
    <w:rsid w:val="00E728EA"/>
    <w:rsid w:val="00E73509"/>
    <w:rsid w:val="00E74568"/>
    <w:rsid w:val="00E747FF"/>
    <w:rsid w:val="00E749C7"/>
    <w:rsid w:val="00E75F5E"/>
    <w:rsid w:val="00E7604A"/>
    <w:rsid w:val="00E76206"/>
    <w:rsid w:val="00E76BF1"/>
    <w:rsid w:val="00E76DCB"/>
    <w:rsid w:val="00E76FB5"/>
    <w:rsid w:val="00E771FF"/>
    <w:rsid w:val="00E7737A"/>
    <w:rsid w:val="00E773CE"/>
    <w:rsid w:val="00E77840"/>
    <w:rsid w:val="00E80059"/>
    <w:rsid w:val="00E808D4"/>
    <w:rsid w:val="00E817B1"/>
    <w:rsid w:val="00E81B65"/>
    <w:rsid w:val="00E82240"/>
    <w:rsid w:val="00E82380"/>
    <w:rsid w:val="00E8301C"/>
    <w:rsid w:val="00E84AC6"/>
    <w:rsid w:val="00E8528B"/>
    <w:rsid w:val="00E8694A"/>
    <w:rsid w:val="00E870D8"/>
    <w:rsid w:val="00E87483"/>
    <w:rsid w:val="00E87D2D"/>
    <w:rsid w:val="00E91321"/>
    <w:rsid w:val="00E916FA"/>
    <w:rsid w:val="00E925C3"/>
    <w:rsid w:val="00E92948"/>
    <w:rsid w:val="00E92B41"/>
    <w:rsid w:val="00E92CCA"/>
    <w:rsid w:val="00E92E20"/>
    <w:rsid w:val="00E92E43"/>
    <w:rsid w:val="00E943B0"/>
    <w:rsid w:val="00E94CBB"/>
    <w:rsid w:val="00E9550F"/>
    <w:rsid w:val="00E9589E"/>
    <w:rsid w:val="00E96039"/>
    <w:rsid w:val="00E96C8D"/>
    <w:rsid w:val="00E971CC"/>
    <w:rsid w:val="00E97282"/>
    <w:rsid w:val="00E9747F"/>
    <w:rsid w:val="00EA0967"/>
    <w:rsid w:val="00EA0A5A"/>
    <w:rsid w:val="00EA0C65"/>
    <w:rsid w:val="00EA1EAE"/>
    <w:rsid w:val="00EA213A"/>
    <w:rsid w:val="00EA21A7"/>
    <w:rsid w:val="00EA2588"/>
    <w:rsid w:val="00EA2E67"/>
    <w:rsid w:val="00EA3378"/>
    <w:rsid w:val="00EA39F0"/>
    <w:rsid w:val="00EA40EA"/>
    <w:rsid w:val="00EA5375"/>
    <w:rsid w:val="00EA58C7"/>
    <w:rsid w:val="00EA5B89"/>
    <w:rsid w:val="00EA5CC6"/>
    <w:rsid w:val="00EA649E"/>
    <w:rsid w:val="00EA6AE8"/>
    <w:rsid w:val="00EA77D5"/>
    <w:rsid w:val="00EA7CD5"/>
    <w:rsid w:val="00EB0110"/>
    <w:rsid w:val="00EB01A2"/>
    <w:rsid w:val="00EB0A71"/>
    <w:rsid w:val="00EB0F75"/>
    <w:rsid w:val="00EB1169"/>
    <w:rsid w:val="00EB15DD"/>
    <w:rsid w:val="00EB1679"/>
    <w:rsid w:val="00EB26DC"/>
    <w:rsid w:val="00EB2808"/>
    <w:rsid w:val="00EB2B98"/>
    <w:rsid w:val="00EB2E29"/>
    <w:rsid w:val="00EB328C"/>
    <w:rsid w:val="00EB3935"/>
    <w:rsid w:val="00EB4E9C"/>
    <w:rsid w:val="00EB5A3A"/>
    <w:rsid w:val="00EB5E6B"/>
    <w:rsid w:val="00EB612D"/>
    <w:rsid w:val="00EB647C"/>
    <w:rsid w:val="00EB6677"/>
    <w:rsid w:val="00EB6697"/>
    <w:rsid w:val="00EB6E50"/>
    <w:rsid w:val="00EB7128"/>
    <w:rsid w:val="00EB734B"/>
    <w:rsid w:val="00EC0574"/>
    <w:rsid w:val="00EC0E7E"/>
    <w:rsid w:val="00EC1E3E"/>
    <w:rsid w:val="00EC2CBD"/>
    <w:rsid w:val="00EC2DFF"/>
    <w:rsid w:val="00EC33BF"/>
    <w:rsid w:val="00EC3480"/>
    <w:rsid w:val="00EC4335"/>
    <w:rsid w:val="00EC4AA4"/>
    <w:rsid w:val="00EC4D8D"/>
    <w:rsid w:val="00EC50A6"/>
    <w:rsid w:val="00EC5A65"/>
    <w:rsid w:val="00EC5A79"/>
    <w:rsid w:val="00EC5FA5"/>
    <w:rsid w:val="00EC73E9"/>
    <w:rsid w:val="00EC76C4"/>
    <w:rsid w:val="00ED0594"/>
    <w:rsid w:val="00ED078A"/>
    <w:rsid w:val="00ED1427"/>
    <w:rsid w:val="00ED1E34"/>
    <w:rsid w:val="00ED225B"/>
    <w:rsid w:val="00ED242A"/>
    <w:rsid w:val="00ED2A9B"/>
    <w:rsid w:val="00ED3022"/>
    <w:rsid w:val="00ED4E45"/>
    <w:rsid w:val="00ED4FBB"/>
    <w:rsid w:val="00ED513E"/>
    <w:rsid w:val="00ED5381"/>
    <w:rsid w:val="00ED57D2"/>
    <w:rsid w:val="00ED5E97"/>
    <w:rsid w:val="00ED647A"/>
    <w:rsid w:val="00ED66FC"/>
    <w:rsid w:val="00ED6920"/>
    <w:rsid w:val="00ED7030"/>
    <w:rsid w:val="00ED7483"/>
    <w:rsid w:val="00ED7BA7"/>
    <w:rsid w:val="00ED7E59"/>
    <w:rsid w:val="00EE0921"/>
    <w:rsid w:val="00EE108F"/>
    <w:rsid w:val="00EE1560"/>
    <w:rsid w:val="00EE2319"/>
    <w:rsid w:val="00EE23DE"/>
    <w:rsid w:val="00EE2BDD"/>
    <w:rsid w:val="00EE33ED"/>
    <w:rsid w:val="00EE3F8D"/>
    <w:rsid w:val="00EE4074"/>
    <w:rsid w:val="00EE4F08"/>
    <w:rsid w:val="00EE587B"/>
    <w:rsid w:val="00EE6CAA"/>
    <w:rsid w:val="00EE6DD0"/>
    <w:rsid w:val="00EE6F5A"/>
    <w:rsid w:val="00EF029F"/>
    <w:rsid w:val="00EF094D"/>
    <w:rsid w:val="00EF0B35"/>
    <w:rsid w:val="00EF0B36"/>
    <w:rsid w:val="00EF12D0"/>
    <w:rsid w:val="00EF153B"/>
    <w:rsid w:val="00EF15D4"/>
    <w:rsid w:val="00EF1D61"/>
    <w:rsid w:val="00EF1D90"/>
    <w:rsid w:val="00EF1EED"/>
    <w:rsid w:val="00EF1FBE"/>
    <w:rsid w:val="00EF2798"/>
    <w:rsid w:val="00EF28BD"/>
    <w:rsid w:val="00EF2EDE"/>
    <w:rsid w:val="00EF5475"/>
    <w:rsid w:val="00EF6A94"/>
    <w:rsid w:val="00EF6C37"/>
    <w:rsid w:val="00EF7B02"/>
    <w:rsid w:val="00F00226"/>
    <w:rsid w:val="00F00723"/>
    <w:rsid w:val="00F00980"/>
    <w:rsid w:val="00F00FE3"/>
    <w:rsid w:val="00F0157F"/>
    <w:rsid w:val="00F01996"/>
    <w:rsid w:val="00F02306"/>
    <w:rsid w:val="00F025DD"/>
    <w:rsid w:val="00F02A23"/>
    <w:rsid w:val="00F02CE6"/>
    <w:rsid w:val="00F03177"/>
    <w:rsid w:val="00F033E3"/>
    <w:rsid w:val="00F036C0"/>
    <w:rsid w:val="00F036E9"/>
    <w:rsid w:val="00F04D57"/>
    <w:rsid w:val="00F05A89"/>
    <w:rsid w:val="00F06430"/>
    <w:rsid w:val="00F06910"/>
    <w:rsid w:val="00F069BA"/>
    <w:rsid w:val="00F101C8"/>
    <w:rsid w:val="00F10438"/>
    <w:rsid w:val="00F10608"/>
    <w:rsid w:val="00F115F2"/>
    <w:rsid w:val="00F1268A"/>
    <w:rsid w:val="00F127D7"/>
    <w:rsid w:val="00F13197"/>
    <w:rsid w:val="00F14806"/>
    <w:rsid w:val="00F148BD"/>
    <w:rsid w:val="00F14D68"/>
    <w:rsid w:val="00F15238"/>
    <w:rsid w:val="00F1541A"/>
    <w:rsid w:val="00F156BE"/>
    <w:rsid w:val="00F160F8"/>
    <w:rsid w:val="00F161FE"/>
    <w:rsid w:val="00F16B98"/>
    <w:rsid w:val="00F16DBC"/>
    <w:rsid w:val="00F17DF7"/>
    <w:rsid w:val="00F205D1"/>
    <w:rsid w:val="00F2092E"/>
    <w:rsid w:val="00F20C8D"/>
    <w:rsid w:val="00F21310"/>
    <w:rsid w:val="00F21338"/>
    <w:rsid w:val="00F2212B"/>
    <w:rsid w:val="00F22F0C"/>
    <w:rsid w:val="00F23FB1"/>
    <w:rsid w:val="00F24C2B"/>
    <w:rsid w:val="00F2512B"/>
    <w:rsid w:val="00F25CDA"/>
    <w:rsid w:val="00F264BB"/>
    <w:rsid w:val="00F270DF"/>
    <w:rsid w:val="00F2766D"/>
    <w:rsid w:val="00F30D39"/>
    <w:rsid w:val="00F31B96"/>
    <w:rsid w:val="00F31ECA"/>
    <w:rsid w:val="00F31ED7"/>
    <w:rsid w:val="00F32219"/>
    <w:rsid w:val="00F3245A"/>
    <w:rsid w:val="00F32A50"/>
    <w:rsid w:val="00F32B45"/>
    <w:rsid w:val="00F331CE"/>
    <w:rsid w:val="00F33656"/>
    <w:rsid w:val="00F33D09"/>
    <w:rsid w:val="00F3404B"/>
    <w:rsid w:val="00F3432E"/>
    <w:rsid w:val="00F34F2C"/>
    <w:rsid w:val="00F34FAA"/>
    <w:rsid w:val="00F3522B"/>
    <w:rsid w:val="00F353CA"/>
    <w:rsid w:val="00F36526"/>
    <w:rsid w:val="00F37084"/>
    <w:rsid w:val="00F376BF"/>
    <w:rsid w:val="00F37A85"/>
    <w:rsid w:val="00F37B62"/>
    <w:rsid w:val="00F37C4C"/>
    <w:rsid w:val="00F4091A"/>
    <w:rsid w:val="00F40B5E"/>
    <w:rsid w:val="00F41524"/>
    <w:rsid w:val="00F41DA0"/>
    <w:rsid w:val="00F4275C"/>
    <w:rsid w:val="00F429BA"/>
    <w:rsid w:val="00F42D49"/>
    <w:rsid w:val="00F42E92"/>
    <w:rsid w:val="00F43BD8"/>
    <w:rsid w:val="00F44296"/>
    <w:rsid w:val="00F4521E"/>
    <w:rsid w:val="00F46670"/>
    <w:rsid w:val="00F46895"/>
    <w:rsid w:val="00F473F0"/>
    <w:rsid w:val="00F47E41"/>
    <w:rsid w:val="00F50849"/>
    <w:rsid w:val="00F51E02"/>
    <w:rsid w:val="00F525EE"/>
    <w:rsid w:val="00F52BB4"/>
    <w:rsid w:val="00F533B2"/>
    <w:rsid w:val="00F53D14"/>
    <w:rsid w:val="00F5466A"/>
    <w:rsid w:val="00F54C7A"/>
    <w:rsid w:val="00F54F11"/>
    <w:rsid w:val="00F5531A"/>
    <w:rsid w:val="00F553AC"/>
    <w:rsid w:val="00F564FC"/>
    <w:rsid w:val="00F57F4D"/>
    <w:rsid w:val="00F61784"/>
    <w:rsid w:val="00F62648"/>
    <w:rsid w:val="00F62BAD"/>
    <w:rsid w:val="00F63202"/>
    <w:rsid w:val="00F644F5"/>
    <w:rsid w:val="00F6605F"/>
    <w:rsid w:val="00F662BE"/>
    <w:rsid w:val="00F66419"/>
    <w:rsid w:val="00F670FC"/>
    <w:rsid w:val="00F6752B"/>
    <w:rsid w:val="00F678A1"/>
    <w:rsid w:val="00F678EA"/>
    <w:rsid w:val="00F67EE7"/>
    <w:rsid w:val="00F709D0"/>
    <w:rsid w:val="00F70F90"/>
    <w:rsid w:val="00F70FDA"/>
    <w:rsid w:val="00F719DE"/>
    <w:rsid w:val="00F71A4E"/>
    <w:rsid w:val="00F71A93"/>
    <w:rsid w:val="00F72A8F"/>
    <w:rsid w:val="00F72DB9"/>
    <w:rsid w:val="00F736A2"/>
    <w:rsid w:val="00F740D4"/>
    <w:rsid w:val="00F74141"/>
    <w:rsid w:val="00F74841"/>
    <w:rsid w:val="00F75B74"/>
    <w:rsid w:val="00F76B3F"/>
    <w:rsid w:val="00F77F13"/>
    <w:rsid w:val="00F8000A"/>
    <w:rsid w:val="00F804FD"/>
    <w:rsid w:val="00F810C5"/>
    <w:rsid w:val="00F810EE"/>
    <w:rsid w:val="00F81788"/>
    <w:rsid w:val="00F81A82"/>
    <w:rsid w:val="00F81D97"/>
    <w:rsid w:val="00F81DCC"/>
    <w:rsid w:val="00F825E0"/>
    <w:rsid w:val="00F82650"/>
    <w:rsid w:val="00F8342D"/>
    <w:rsid w:val="00F8377E"/>
    <w:rsid w:val="00F855A2"/>
    <w:rsid w:val="00F85D75"/>
    <w:rsid w:val="00F861B7"/>
    <w:rsid w:val="00F86218"/>
    <w:rsid w:val="00F8639D"/>
    <w:rsid w:val="00F86964"/>
    <w:rsid w:val="00F87826"/>
    <w:rsid w:val="00F915CE"/>
    <w:rsid w:val="00F91A4B"/>
    <w:rsid w:val="00F920A9"/>
    <w:rsid w:val="00F93224"/>
    <w:rsid w:val="00F93B78"/>
    <w:rsid w:val="00F960A7"/>
    <w:rsid w:val="00F96C69"/>
    <w:rsid w:val="00F97562"/>
    <w:rsid w:val="00FA09A3"/>
    <w:rsid w:val="00FA0D51"/>
    <w:rsid w:val="00FA16E8"/>
    <w:rsid w:val="00FA17D0"/>
    <w:rsid w:val="00FA1FB6"/>
    <w:rsid w:val="00FA2F00"/>
    <w:rsid w:val="00FA3525"/>
    <w:rsid w:val="00FA37B5"/>
    <w:rsid w:val="00FA4416"/>
    <w:rsid w:val="00FA4740"/>
    <w:rsid w:val="00FA4A50"/>
    <w:rsid w:val="00FA50AF"/>
    <w:rsid w:val="00FA5950"/>
    <w:rsid w:val="00FA62F6"/>
    <w:rsid w:val="00FA7348"/>
    <w:rsid w:val="00FA7A50"/>
    <w:rsid w:val="00FA7A98"/>
    <w:rsid w:val="00FA7AF9"/>
    <w:rsid w:val="00FB0449"/>
    <w:rsid w:val="00FB1417"/>
    <w:rsid w:val="00FB284B"/>
    <w:rsid w:val="00FB2F3E"/>
    <w:rsid w:val="00FB3E24"/>
    <w:rsid w:val="00FB413A"/>
    <w:rsid w:val="00FB51A5"/>
    <w:rsid w:val="00FB52A6"/>
    <w:rsid w:val="00FB5497"/>
    <w:rsid w:val="00FB5826"/>
    <w:rsid w:val="00FB5FC6"/>
    <w:rsid w:val="00FB61E5"/>
    <w:rsid w:val="00FB6E88"/>
    <w:rsid w:val="00FB7C12"/>
    <w:rsid w:val="00FB7FD6"/>
    <w:rsid w:val="00FC0ACB"/>
    <w:rsid w:val="00FC0D27"/>
    <w:rsid w:val="00FC0E80"/>
    <w:rsid w:val="00FC0F5C"/>
    <w:rsid w:val="00FC15F9"/>
    <w:rsid w:val="00FC1880"/>
    <w:rsid w:val="00FC1995"/>
    <w:rsid w:val="00FC24A3"/>
    <w:rsid w:val="00FC31E4"/>
    <w:rsid w:val="00FC35BE"/>
    <w:rsid w:val="00FC3B7D"/>
    <w:rsid w:val="00FC3EE7"/>
    <w:rsid w:val="00FC4226"/>
    <w:rsid w:val="00FC476C"/>
    <w:rsid w:val="00FC4ECB"/>
    <w:rsid w:val="00FC55FE"/>
    <w:rsid w:val="00FC6116"/>
    <w:rsid w:val="00FC70BA"/>
    <w:rsid w:val="00FC7348"/>
    <w:rsid w:val="00FD0399"/>
    <w:rsid w:val="00FD0CE5"/>
    <w:rsid w:val="00FD104C"/>
    <w:rsid w:val="00FD26E2"/>
    <w:rsid w:val="00FD2762"/>
    <w:rsid w:val="00FD2BA9"/>
    <w:rsid w:val="00FD2F23"/>
    <w:rsid w:val="00FD350B"/>
    <w:rsid w:val="00FD3977"/>
    <w:rsid w:val="00FD3C49"/>
    <w:rsid w:val="00FD3FA1"/>
    <w:rsid w:val="00FD48BC"/>
    <w:rsid w:val="00FD4B4D"/>
    <w:rsid w:val="00FD5108"/>
    <w:rsid w:val="00FD5753"/>
    <w:rsid w:val="00FD6850"/>
    <w:rsid w:val="00FD73A5"/>
    <w:rsid w:val="00FD7BC4"/>
    <w:rsid w:val="00FE106C"/>
    <w:rsid w:val="00FE12BA"/>
    <w:rsid w:val="00FE1BF4"/>
    <w:rsid w:val="00FE1E57"/>
    <w:rsid w:val="00FE2BD6"/>
    <w:rsid w:val="00FE2E65"/>
    <w:rsid w:val="00FE3BC5"/>
    <w:rsid w:val="00FE3C42"/>
    <w:rsid w:val="00FE439B"/>
    <w:rsid w:val="00FE47BC"/>
    <w:rsid w:val="00FE4ACE"/>
    <w:rsid w:val="00FE5254"/>
    <w:rsid w:val="00FE6EE2"/>
    <w:rsid w:val="00FE7504"/>
    <w:rsid w:val="00FE76BF"/>
    <w:rsid w:val="00FE7BB7"/>
    <w:rsid w:val="00FE7DC3"/>
    <w:rsid w:val="00FF0C8F"/>
    <w:rsid w:val="00FF13EF"/>
    <w:rsid w:val="00FF1D7A"/>
    <w:rsid w:val="00FF3A3E"/>
    <w:rsid w:val="00FF3C59"/>
    <w:rsid w:val="00FF3E23"/>
    <w:rsid w:val="00FF4532"/>
    <w:rsid w:val="00FF4CCE"/>
    <w:rsid w:val="00FF4D45"/>
    <w:rsid w:val="00FF4DAF"/>
    <w:rsid w:val="00FF51ED"/>
    <w:rsid w:val="00FF5913"/>
    <w:rsid w:val="00FF5CAA"/>
    <w:rsid w:val="00FF667B"/>
    <w:rsid w:val="00FF6BB8"/>
    <w:rsid w:val="00FF7420"/>
    <w:rsid w:val="00FF7ABF"/>
    <w:rsid w:val="02BF1337"/>
    <w:rsid w:val="05B10AC5"/>
    <w:rsid w:val="08CB5F43"/>
    <w:rsid w:val="09DA6E99"/>
    <w:rsid w:val="0ECBDC01"/>
    <w:rsid w:val="130D29D8"/>
    <w:rsid w:val="1583E7AD"/>
    <w:rsid w:val="18842E0A"/>
    <w:rsid w:val="1A1C7303"/>
    <w:rsid w:val="1DEACCC7"/>
    <w:rsid w:val="2AAA5282"/>
    <w:rsid w:val="2B25440C"/>
    <w:rsid w:val="2CB08720"/>
    <w:rsid w:val="3A451CB1"/>
    <w:rsid w:val="3EF24EEB"/>
    <w:rsid w:val="4744281D"/>
    <w:rsid w:val="4EA796F0"/>
    <w:rsid w:val="4F1819F5"/>
    <w:rsid w:val="556615B1"/>
    <w:rsid w:val="60039526"/>
    <w:rsid w:val="666FC025"/>
    <w:rsid w:val="71519ACD"/>
    <w:rsid w:val="768C1E27"/>
    <w:rsid w:val="76D506E4"/>
    <w:rsid w:val="7F28BD72"/>
    <w:rsid w:val="7F7BC254"/>
    <w:rsid w:val="7FFE3C8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7E18B1E"/>
  <w15:docId w15:val="{48B20F1C-18B2-4571-BF66-BF6C4BDB5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1BAC"/>
    <w:pPr>
      <w:widowControl w:val="0"/>
      <w:spacing w:after="200" w:line="276" w:lineRule="auto"/>
    </w:pPr>
  </w:style>
  <w:style w:type="paragraph" w:styleId="Heading1">
    <w:name w:val="heading 1"/>
    <w:basedOn w:val="Normal"/>
    <w:next w:val="Normal"/>
    <w:link w:val="Heading1Char"/>
    <w:uiPriority w:val="9"/>
    <w:qFormat/>
    <w:rsid w:val="005E01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141DC6"/>
    <w:pPr>
      <w:autoSpaceDE w:val="0"/>
      <w:autoSpaceDN w:val="0"/>
      <w:spacing w:after="0" w:line="240" w:lineRule="auto"/>
      <w:ind w:left="472" w:hanging="300"/>
      <w:outlineLvl w:val="1"/>
    </w:pPr>
    <w:rPr>
      <w:rFonts w:ascii="Times New Roman" w:eastAsia="Times New Roman" w:hAnsi="Times New Roman" w:cs="Times New Roman"/>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13486"/>
    <w:rPr>
      <w:sz w:val="16"/>
      <w:szCs w:val="16"/>
    </w:rPr>
  </w:style>
  <w:style w:type="paragraph" w:styleId="CommentText">
    <w:name w:val="annotation text"/>
    <w:aliases w:val="Times New Roman,t"/>
    <w:basedOn w:val="Normal"/>
    <w:link w:val="CommentTextChar"/>
    <w:uiPriority w:val="99"/>
    <w:unhideWhenUsed/>
    <w:qFormat/>
    <w:rsid w:val="00713486"/>
    <w:pPr>
      <w:spacing w:line="240" w:lineRule="auto"/>
    </w:pPr>
    <w:rPr>
      <w:sz w:val="20"/>
      <w:szCs w:val="20"/>
    </w:rPr>
  </w:style>
  <w:style w:type="character" w:customStyle="1" w:styleId="CommentTextChar">
    <w:name w:val="Comment Text Char"/>
    <w:aliases w:val="Times New Roman Char,t Char"/>
    <w:basedOn w:val="DefaultParagraphFont"/>
    <w:link w:val="CommentText"/>
    <w:uiPriority w:val="99"/>
    <w:rsid w:val="00713486"/>
    <w:rPr>
      <w:sz w:val="20"/>
      <w:szCs w:val="20"/>
    </w:rPr>
  </w:style>
  <w:style w:type="paragraph" w:styleId="CommentSubject">
    <w:name w:val="annotation subject"/>
    <w:basedOn w:val="CommentText"/>
    <w:next w:val="CommentText"/>
    <w:link w:val="CommentSubjectChar"/>
    <w:uiPriority w:val="99"/>
    <w:semiHidden/>
    <w:unhideWhenUsed/>
    <w:rsid w:val="00713486"/>
    <w:rPr>
      <w:b/>
      <w:bCs/>
    </w:rPr>
  </w:style>
  <w:style w:type="character" w:customStyle="1" w:styleId="CommentSubjectChar">
    <w:name w:val="Comment Subject Char"/>
    <w:basedOn w:val="CommentTextChar"/>
    <w:link w:val="CommentSubject"/>
    <w:uiPriority w:val="99"/>
    <w:semiHidden/>
    <w:rsid w:val="00713486"/>
    <w:rPr>
      <w:b/>
      <w:bCs/>
      <w:sz w:val="20"/>
      <w:szCs w:val="20"/>
    </w:rPr>
  </w:style>
  <w:style w:type="paragraph" w:styleId="BalloonText">
    <w:name w:val="Balloon Text"/>
    <w:basedOn w:val="Normal"/>
    <w:link w:val="BalloonTextChar"/>
    <w:uiPriority w:val="99"/>
    <w:semiHidden/>
    <w:unhideWhenUsed/>
    <w:rsid w:val="00713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486"/>
    <w:rPr>
      <w:rFonts w:ascii="Segoe UI" w:hAnsi="Segoe UI" w:cs="Segoe UI"/>
      <w:sz w:val="18"/>
      <w:szCs w:val="18"/>
    </w:rPr>
  </w:style>
  <w:style w:type="character" w:styleId="Hyperlink">
    <w:name w:val="Hyperlink"/>
    <w:basedOn w:val="DefaultParagraphFont"/>
    <w:uiPriority w:val="99"/>
    <w:unhideWhenUsed/>
    <w:rsid w:val="00713486"/>
    <w:rPr>
      <w:color w:val="0563C1"/>
      <w:u w:val="single"/>
    </w:rPr>
  </w:style>
  <w:style w:type="paragraph" w:styleId="Header">
    <w:name w:val="header"/>
    <w:basedOn w:val="Normal"/>
    <w:link w:val="HeaderChar"/>
    <w:uiPriority w:val="99"/>
    <w:unhideWhenUsed/>
    <w:rsid w:val="007134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3486"/>
  </w:style>
  <w:style w:type="paragraph" w:styleId="Footer">
    <w:name w:val="footer"/>
    <w:basedOn w:val="Normal"/>
    <w:link w:val="FooterChar"/>
    <w:uiPriority w:val="99"/>
    <w:unhideWhenUsed/>
    <w:rsid w:val="007134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3486"/>
  </w:style>
  <w:style w:type="paragraph" w:styleId="ListParagraph">
    <w:name w:val="List Paragraph"/>
    <w:basedOn w:val="Normal"/>
    <w:uiPriority w:val="34"/>
    <w:qFormat/>
    <w:rsid w:val="00713486"/>
    <w:pPr>
      <w:ind w:left="720"/>
      <w:contextualSpacing/>
    </w:pPr>
  </w:style>
  <w:style w:type="paragraph" w:styleId="FootnoteText">
    <w:name w:val="footnote text"/>
    <w:basedOn w:val="Normal"/>
    <w:link w:val="FootnoteTextChar"/>
    <w:uiPriority w:val="99"/>
    <w:semiHidden/>
    <w:unhideWhenUsed/>
    <w:rsid w:val="007134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3486"/>
    <w:rPr>
      <w:sz w:val="20"/>
      <w:szCs w:val="20"/>
    </w:rPr>
  </w:style>
  <w:style w:type="character" w:styleId="FootnoteReference">
    <w:name w:val="footnote reference"/>
    <w:basedOn w:val="DefaultParagraphFont"/>
    <w:uiPriority w:val="99"/>
    <w:semiHidden/>
    <w:unhideWhenUsed/>
    <w:rsid w:val="00713486"/>
    <w:rPr>
      <w:vertAlign w:val="superscript"/>
    </w:rPr>
  </w:style>
  <w:style w:type="character" w:styleId="FollowedHyperlink">
    <w:name w:val="FollowedHyperlink"/>
    <w:basedOn w:val="DefaultParagraphFont"/>
    <w:uiPriority w:val="99"/>
    <w:semiHidden/>
    <w:unhideWhenUsed/>
    <w:rsid w:val="00C6088F"/>
    <w:rPr>
      <w:color w:val="954F72" w:themeColor="followedHyperlink"/>
      <w:u w:val="single"/>
    </w:rPr>
  </w:style>
  <w:style w:type="paragraph" w:styleId="Revision">
    <w:name w:val="Revision"/>
    <w:hidden/>
    <w:uiPriority w:val="99"/>
    <w:semiHidden/>
    <w:rsid w:val="009B63C6"/>
    <w:pPr>
      <w:spacing w:after="0" w:line="240" w:lineRule="auto"/>
    </w:pPr>
  </w:style>
  <w:style w:type="character" w:customStyle="1" w:styleId="UnresolvedMention1">
    <w:name w:val="Unresolved Mention1"/>
    <w:basedOn w:val="DefaultParagraphFont"/>
    <w:uiPriority w:val="99"/>
    <w:semiHidden/>
    <w:unhideWhenUsed/>
    <w:rsid w:val="003902E6"/>
    <w:rPr>
      <w:color w:val="605E5C"/>
      <w:shd w:val="clear" w:color="auto" w:fill="E1DFDD"/>
    </w:rPr>
  </w:style>
  <w:style w:type="character" w:customStyle="1" w:styleId="UnresolvedMention2">
    <w:name w:val="Unresolved Mention2"/>
    <w:basedOn w:val="DefaultParagraphFont"/>
    <w:uiPriority w:val="99"/>
    <w:semiHidden/>
    <w:unhideWhenUsed/>
    <w:rsid w:val="00790F0E"/>
    <w:rPr>
      <w:color w:val="605E5C"/>
      <w:shd w:val="clear" w:color="auto" w:fill="E1DFDD"/>
    </w:rPr>
  </w:style>
  <w:style w:type="table" w:styleId="TableGrid">
    <w:name w:val="Table Grid"/>
    <w:basedOn w:val="TableNormal"/>
    <w:uiPriority w:val="39"/>
    <w:rsid w:val="00160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607ED"/>
    <w:rPr>
      <w:b/>
      <w:bCs/>
    </w:rPr>
  </w:style>
  <w:style w:type="table" w:customStyle="1" w:styleId="TableGrid1">
    <w:name w:val="Table Grid1"/>
    <w:basedOn w:val="TableNormal"/>
    <w:next w:val="TableGrid"/>
    <w:uiPriority w:val="59"/>
    <w:rsid w:val="004E12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E01E9"/>
    <w:rPr>
      <w:rFonts w:asciiTheme="majorHAnsi" w:eastAsiaTheme="majorEastAsia" w:hAnsiTheme="majorHAnsi" w:cstheme="majorBidi"/>
      <w:color w:val="2E74B5" w:themeColor="accent1" w:themeShade="BF"/>
      <w:sz w:val="32"/>
      <w:szCs w:val="32"/>
    </w:rPr>
  </w:style>
  <w:style w:type="table" w:customStyle="1" w:styleId="TableGrid11">
    <w:name w:val="Table Grid11"/>
    <w:basedOn w:val="TableNormal"/>
    <w:next w:val="TableGrid"/>
    <w:uiPriority w:val="59"/>
    <w:rsid w:val="00576F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141DC6"/>
    <w:rPr>
      <w:rFonts w:ascii="Times New Roman" w:eastAsia="Times New Roman" w:hAnsi="Times New Roman" w:cs="Times New Roman"/>
      <w:b/>
      <w:bCs/>
      <w:sz w:val="24"/>
      <w:szCs w:val="24"/>
      <w:u w:val="single" w:color="000000"/>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10263F"/>
    <w:rPr>
      <w:color w:val="605E5C"/>
      <w:shd w:val="clear" w:color="auto" w:fill="E1DFDD"/>
    </w:rPr>
  </w:style>
  <w:style w:type="paragraph" w:styleId="Caption">
    <w:name w:val="caption"/>
    <w:basedOn w:val="Normal"/>
    <w:next w:val="Normal"/>
    <w:uiPriority w:val="35"/>
    <w:unhideWhenUsed/>
    <w:qFormat/>
    <w:rsid w:val="00815FDA"/>
    <w:pPr>
      <w:spacing w:line="240" w:lineRule="auto"/>
    </w:pPr>
    <w:rPr>
      <w:i/>
      <w:iCs/>
      <w:color w:val="44546A" w:themeColor="text2"/>
      <w:sz w:val="18"/>
      <w:szCs w:val="18"/>
    </w:rPr>
  </w:style>
  <w:style w:type="character" w:customStyle="1" w:styleId="cf01">
    <w:name w:val="cf01"/>
    <w:basedOn w:val="DefaultParagraphFont"/>
    <w:rsid w:val="0040212C"/>
    <w:rPr>
      <w:rFonts w:ascii="Segoe UI" w:hAnsi="Segoe UI" w:cs="Segoe UI" w:hint="default"/>
      <w:sz w:val="18"/>
      <w:szCs w:val="18"/>
    </w:rPr>
  </w:style>
  <w:style w:type="character" w:styleId="Emphasis">
    <w:name w:val="Emphasis"/>
    <w:uiPriority w:val="20"/>
    <w:qFormat/>
    <w:rsid w:val="004021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law.cornell.edu/cfr/text/45/155.20" TargetMode="External" /><Relationship Id="rId11" Type="http://schemas.openxmlformats.org/officeDocument/2006/relationships/hyperlink" Target="https://www.law.cornell.edu/definitions/index.php?width=840&amp;height=800&amp;iframe=true&amp;def_id=3dd878bc870273f558048c72b343f318&amp;term_occur=999&amp;term_src=Title:45:Chapter:A:Subchapter:B:Part:155:Subpart:C:155.221" TargetMode="External" /><Relationship Id="rId12" Type="http://schemas.openxmlformats.org/officeDocument/2006/relationships/hyperlink" Target="https://www.law.cornell.edu/definitions/index.php?width=840&amp;height=800&amp;iframe=true&amp;def_id=a4c0f99772ca83fd45052946d8903152&amp;term_occur=999&amp;term_src=Title:45:Chapter:A:Subchapter:B:Part:155:Subpart:C:155.221" TargetMode="External" /><Relationship Id="rId13" Type="http://schemas.openxmlformats.org/officeDocument/2006/relationships/hyperlink" Target="https://www.law.cornell.edu/definitions/index.php?width=840&amp;height=800&amp;iframe=true&amp;def_id=e652440b0c6a058baf8433edad884c94&amp;term_occur=999&amp;term_src=Title:45:Chapter:A:Subchapter:B:Part:155:Subpart:C:155.221" TargetMode="External" /><Relationship Id="rId14" Type="http://schemas.openxmlformats.org/officeDocument/2006/relationships/hyperlink" Target="https://www.law.cornell.edu/cfr/text/45/155.415" TargetMode="External" /><Relationship Id="rId15" Type="http://schemas.openxmlformats.org/officeDocument/2006/relationships/hyperlink" Target="https://www.bls.gov/oes/tables.htm" TargetMode="Externa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law.cornell.edu/definitions/index.php?width=840&amp;height=800&amp;iframe=true&amp;def_id=e8ed7121e3202d37a2622a63b221c650&amp;term_occur=999&amp;term_src=Title:45:Chapter:A:Subchapter:B:Part:155:Subpart:C:155.221"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cms.gov/files/document/ffe-enrollment-manual-2023-5cr-071323.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D91926CA2592469FE301B93FCFD27F" ma:contentTypeVersion="" ma:contentTypeDescription="Create a new document." ma:contentTypeScope="" ma:versionID="c38972560e0f6466edf5ad32ab252ac1">
  <xsd:schema xmlns:xsd="http://www.w3.org/2001/XMLSchema" xmlns:xs="http://www.w3.org/2001/XMLSchema" xmlns:p="http://schemas.microsoft.com/office/2006/metadata/properties" xmlns:ns2="5811E8A5-1ADB-484F-A126-AC0BB22540E2" xmlns:ns3="3a7c4f86-6e6f-4b98-9647-d86ce65ea0e9" xmlns:ns4="5811e8a5-1adb-484f-a126-ac0bb22540e2" targetNamespace="http://schemas.microsoft.com/office/2006/metadata/properties" ma:root="true" ma:fieldsID="a9a037d87c0b5827942f501837a5c031" ns2:_="" ns3:_="" ns4:_="">
    <xsd:import namespace="5811E8A5-1ADB-484F-A126-AC0BB22540E2"/>
    <xsd:import namespace="3a7c4f86-6e6f-4b98-9647-d86ce65ea0e9"/>
    <xsd:import namespace="5811e8a5-1adb-484f-a126-ac0bb22540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11E8A5-1ADB-484F-A126-AC0BB22540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7c4f86-6e6f-4b98-9647-d86ce65ea0e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11e8a5-1adb-484f-a126-ac0bb22540e2" elementFormDefault="qualified">
    <xsd:import namespace="http://schemas.microsoft.com/office/2006/documentManagement/types"/>
    <xsd:import namespace="http://schemas.microsoft.com/office/infopath/2007/PartnerControls"/>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436D2-6B84-4BF9-A4F5-783E4A3950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BF8593-20AF-4898-BCDE-EAD62E6AF062}">
  <ds:schemaRefs>
    <ds:schemaRef ds:uri="http://schemas.microsoft.com/sharepoint/v3/contenttype/forms"/>
  </ds:schemaRefs>
</ds:datastoreItem>
</file>

<file path=customXml/itemProps3.xml><?xml version="1.0" encoding="utf-8"?>
<ds:datastoreItem xmlns:ds="http://schemas.openxmlformats.org/officeDocument/2006/customXml" ds:itemID="{461C5637-389E-4130-9334-38413BD06E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11E8A5-1ADB-484F-A126-AC0BB22540E2"/>
    <ds:schemaRef ds:uri="3a7c4f86-6e6f-4b98-9647-d86ce65ea0e9"/>
    <ds:schemaRef ds:uri="5811e8a5-1adb-484f-a126-ac0bb22540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9962FE-C654-4576-AEB6-C44B13C2C05E}">
  <ds:schemaRefs>
    <ds:schemaRef ds:uri="http://schemas.openxmlformats.org/officeDocument/2006/bibliography"/>
  </ds:schemaRefs>
</ds:datastoreItem>
</file>

<file path=docMetadata/LabelInfo.xml><?xml version="1.0" encoding="utf-8"?>
<clbl:labelList xmlns:clbl="http://schemas.microsoft.com/office/2020/mipLabelMetadata">
  <clbl:label id="{51d9dc18-15ea-424b-b24d-55ab4d4e7519}" enabled="1" method="Privileged" siteId="{d5fe813e-0caa-432a-b2ac-d555aa91bd1c}" removed="0"/>
</clbl:labelList>
</file>

<file path=docProps/app.xml><?xml version="1.0" encoding="utf-8"?>
<Properties xmlns="http://schemas.openxmlformats.org/officeDocument/2006/extended-properties" xmlns:vt="http://schemas.openxmlformats.org/officeDocument/2006/docPropsVTypes">
  <Template>Normal.dotm</Template>
  <TotalTime>13</TotalTime>
  <Pages>24</Pages>
  <Words>9471</Words>
  <Characters>54554</Characters>
  <Application>Microsoft Office Word</Application>
  <DocSecurity>0</DocSecurity>
  <Lines>1604</Lines>
  <Paragraphs>771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Nolen Morton</dc:creator>
  <cp:lastModifiedBy>Hill, Jamaa (CMS/OSORA)</cp:lastModifiedBy>
  <cp:revision>3</cp:revision>
  <dcterms:created xsi:type="dcterms:W3CDTF">2024-04-19T22:13:00Z</dcterms:created>
  <dcterms:modified xsi:type="dcterms:W3CDTF">2024-04-19T22:15:00Z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0x010100D1D91926CA2592469FE301B93FCFD27F</vt:lpwstr>
  </property>
  <property fmtid="{D5CDD505-2E9C-101B-9397-08002B2CF9AE}" pid="3" name="MediaServiceImageTags">
    <vt:lpwstr/>
  </property>
  <property fmtid="{D5CDD505-2E9C-101B-9397-08002B2CF9AE}" pid="4" name="_NewReviewCycle">
    <vt:lpwstr/>
  </property>
</Properties>
</file>