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>
      <w:pPr>
        <w:pStyle w:val="BodyText"/>
        <w:spacing w:before="41" w:line="252" w:lineRule="auto"/>
        <w:ind w:left="12199" w:right="105" w:hanging="324"/>
        <w:jc w:val="right"/>
      </w:pPr>
      <w:bookmarkStart w:id="0" w:name="Instructions"/>
      <w:bookmarkEnd w:id="0"/>
      <w:r>
        <w:rPr>
          <w:spacing w:val="-2"/>
        </w:rPr>
        <w:t>OMB</w:t>
      </w:r>
      <w:r>
        <w:rPr>
          <w:spacing w:val="-3"/>
        </w:rPr>
        <w:t xml:space="preserve"> </w:t>
      </w:r>
      <w:r>
        <w:rPr>
          <w:spacing w:val="-2"/>
        </w:rPr>
        <w:t>Control</w:t>
      </w:r>
      <w:r>
        <w:rPr>
          <w:spacing w:val="-4"/>
        </w:rPr>
        <w:t xml:space="preserve"> </w:t>
      </w:r>
      <w:r>
        <w:rPr>
          <w:spacing w:val="-2"/>
        </w:rPr>
        <w:t>Number: 0938-1394</w:t>
      </w:r>
      <w:r>
        <w:rPr>
          <w:spacing w:val="40"/>
        </w:rPr>
        <w:t xml:space="preserve"> </w:t>
      </w:r>
      <w:r>
        <w:rPr>
          <w:spacing w:val="-2"/>
        </w:rPr>
        <w:t>Expiration</w:t>
      </w:r>
      <w:r>
        <w:rPr>
          <w:spacing w:val="-4"/>
        </w:rPr>
        <w:t xml:space="preserve"> </w:t>
      </w:r>
      <w:r>
        <w:rPr>
          <w:spacing w:val="-2"/>
        </w:rPr>
        <w:t>Date: XX/XX/20XX</w:t>
      </w:r>
    </w:p>
    <w:p>
      <w:pPr>
        <w:pStyle w:val="BodyText"/>
        <w:spacing w:before="42"/>
        <w:rPr>
          <w:sz w:val="20"/>
        </w:rPr>
      </w:pPr>
    </w:p>
    <w:tbl>
      <w:tblPr>
        <w:tblStyle w:val="TableNormal"/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64"/>
      </w:tblGrid>
      <w:tr>
        <w:tblPrEx>
          <w:tblW w:w="0" w:type="auto"/>
          <w:jc w:val="left"/>
          <w:tblInd w:w="1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59"/>
          <w:jc w:val="left"/>
        </w:trPr>
        <w:tc>
          <w:tcPr>
            <w:tcW w:w="13664" w:type="dxa"/>
            <w:shd w:val="clear" w:color="auto" w:fill="1F3763"/>
          </w:tcPr>
          <w:p>
            <w:pPr>
              <w:pStyle w:val="TableParagraph"/>
              <w:spacing w:line="231" w:lineRule="exact"/>
              <w:ind w:left="24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Welcome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to the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Qualified</w:t>
            </w:r>
            <w:r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Health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Plan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(QHP)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Pharmacy</w:t>
            </w:r>
            <w:r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Benefit Manager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(PBM)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Drug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Data,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Pricing,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and</w:t>
            </w:r>
            <w:r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Rebate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Review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(DPR2)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Template.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2"/>
          <w:jc w:val="left"/>
        </w:trPr>
        <w:tc>
          <w:tcPr>
            <w:tcW w:w="13664" w:type="dxa"/>
            <w:shd w:val="clear" w:color="auto" w:fill="2F5395"/>
          </w:tcPr>
          <w:p>
            <w:pPr>
              <w:pStyle w:val="TableParagraph"/>
              <w:spacing w:before="9" w:line="163" w:lineRule="exact"/>
              <w:ind w:left="20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Please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note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the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following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prior</w:t>
            </w:r>
            <w:r>
              <w:rPr>
                <w:b/>
                <w:color w:val="FFFFFF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to</w:t>
            </w:r>
            <w:r>
              <w:rPr>
                <w:b/>
                <w:color w:val="FFFFFF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submitting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this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template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in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the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PBM Health</w:t>
            </w:r>
            <w:r>
              <w:rPr>
                <w:b/>
                <w:color w:val="FFFFFF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Insurance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Oversight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System</w:t>
            </w:r>
            <w:r>
              <w:rPr>
                <w:b/>
                <w:color w:val="FFFFFF"/>
                <w:spacing w:val="-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(HIOS)</w:t>
            </w:r>
            <w:r>
              <w:rPr>
                <w:b/>
                <w:color w:val="FFFFFF"/>
                <w:spacing w:val="1"/>
                <w:sz w:val="15"/>
              </w:rPr>
              <w:t xml:space="preserve"> </w:t>
            </w:r>
            <w:r>
              <w:rPr>
                <w:b/>
                <w:color w:val="FFFFFF"/>
                <w:spacing w:val="-2"/>
                <w:sz w:val="15"/>
              </w:rPr>
              <w:t>Module.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83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line="190" w:lineRule="atLeast"/>
              <w:ind w:left="20" w:hanging="1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1. </w:t>
            </w:r>
            <w:r>
              <w:rPr>
                <w:spacing w:val="-2"/>
                <w:sz w:val="15"/>
              </w:rPr>
              <w:t>For detailed guidance regarding how to complete this template, as well as the PBM Module webform, please refer to the “</w:t>
            </w:r>
            <w:r>
              <w:rPr>
                <w:b/>
                <w:spacing w:val="-2"/>
                <w:sz w:val="15"/>
              </w:rPr>
              <w:t>QHP PBM DPR2 Template Instructions</w:t>
            </w:r>
            <w:r>
              <w:rPr>
                <w:spacing w:val="-2"/>
                <w:sz w:val="15"/>
              </w:rPr>
              <w:t>” document and the “</w:t>
            </w:r>
            <w:r>
              <w:rPr>
                <w:b/>
                <w:spacing w:val="-2"/>
                <w:sz w:val="15"/>
              </w:rPr>
              <w:t>HIOS PBM User Manual</w:t>
            </w:r>
            <w:r>
              <w:rPr>
                <w:spacing w:val="-2"/>
                <w:sz w:val="15"/>
              </w:rPr>
              <w:t>,” both available in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the HIOS Knowledge Center.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402"/>
          <w:jc w:val="left"/>
        </w:trPr>
        <w:tc>
          <w:tcPr>
            <w:tcW w:w="13664" w:type="dxa"/>
            <w:shd w:val="clear" w:color="auto" w:fill="F1F1F1"/>
          </w:tcPr>
          <w:p>
            <w:pPr>
              <w:pStyle w:val="TableParagraph"/>
              <w:spacing w:before="2" w:line="190" w:lineRule="atLeast"/>
              <w:ind w:left="19" w:right="38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2. </w:t>
            </w:r>
            <w:r>
              <w:rPr>
                <w:spacing w:val="-2"/>
                <w:sz w:val="15"/>
              </w:rPr>
              <w:t xml:space="preserve">For questions related to this review, please reach out to the Marketplace Service Desk for assistance at </w:t>
            </w:r>
            <w:hyperlink r:id="rId4">
              <w:r>
                <w:rPr>
                  <w:b/>
                  <w:spacing w:val="-2"/>
                  <w:sz w:val="15"/>
                </w:rPr>
                <w:t>CMS_FEPS@cms.hhs.gov</w:t>
              </w:r>
            </w:hyperlink>
            <w:r>
              <w:rPr>
                <w:b/>
                <w:spacing w:val="-2"/>
                <w:sz w:val="15"/>
              </w:rPr>
              <w:t xml:space="preserve"> or at 855-CMS-1515</w:t>
            </w:r>
            <w:r>
              <w:rPr>
                <w:spacing w:val="-2"/>
                <w:sz w:val="15"/>
              </w:rPr>
              <w:t>. To ensure your ticket is routed effectively, please note the following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guidance: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2"/>
          <w:jc w:val="left"/>
        </w:trPr>
        <w:tc>
          <w:tcPr>
            <w:tcW w:w="13664" w:type="dxa"/>
            <w:shd w:val="clear" w:color="auto" w:fill="F1F1F1"/>
          </w:tcPr>
          <w:p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2a.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Please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include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term “</w:t>
            </w:r>
            <w:r>
              <w:rPr>
                <w:b/>
                <w:spacing w:val="-2"/>
                <w:sz w:val="15"/>
              </w:rPr>
              <w:t>QHP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PBM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DPR2</w:t>
            </w:r>
            <w:r>
              <w:rPr>
                <w:spacing w:val="-2"/>
                <w:sz w:val="15"/>
              </w:rPr>
              <w:t>”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subject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line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and/or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body 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your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email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request.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9"/>
          <w:jc w:val="left"/>
        </w:trPr>
        <w:tc>
          <w:tcPr>
            <w:tcW w:w="13664" w:type="dxa"/>
            <w:shd w:val="clear" w:color="auto" w:fill="F1F1F1"/>
          </w:tcPr>
          <w:p>
            <w:pPr>
              <w:pStyle w:val="TableParagraph"/>
              <w:spacing w:line="173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2b. </w:t>
            </w:r>
            <w:r>
              <w:rPr>
                <w:spacing w:val="-2"/>
                <w:sz w:val="15"/>
              </w:rPr>
              <w:t>If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have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technical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question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(e.g.,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regarding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HIOS access,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provisioning,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template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submission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errors,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 data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verification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failures),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please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specifically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request support from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the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HIOS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Technical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Group.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77"/>
          <w:jc w:val="left"/>
        </w:trPr>
        <w:tc>
          <w:tcPr>
            <w:tcW w:w="13664" w:type="dxa"/>
            <w:shd w:val="clear" w:color="auto" w:fill="F1F1F1"/>
          </w:tcPr>
          <w:p>
            <w:pPr>
              <w:pStyle w:val="TableParagraph"/>
              <w:spacing w:line="181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2c.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other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questions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(e.g.,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regarding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which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issuers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plans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covered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by this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review,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how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 calculate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rebate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values,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justifications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response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corrections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notices,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other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substantive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review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issues)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please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indicate</w:t>
            </w:r>
          </w:p>
          <w:p>
            <w:pPr>
              <w:pStyle w:val="TableParagraph"/>
              <w:spacing w:before="9" w:line="167" w:lineRule="exact"/>
              <w:ind w:left="1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that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your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request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pertains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to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policy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question.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80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before="5" w:line="240" w:lineRule="auto"/>
              <w:ind w:left="20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3.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Please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ensure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for each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row,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column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“</w:t>
            </w:r>
            <w:r>
              <w:rPr>
                <w:b/>
                <w:spacing w:val="-2"/>
                <w:sz w:val="15"/>
              </w:rPr>
              <w:t>Total_Prescriptions_Dispensed_Retail_Pharmacies</w:t>
            </w:r>
            <w:r>
              <w:rPr>
                <w:spacing w:val="-2"/>
                <w:sz w:val="15"/>
              </w:rPr>
              <w:t>,”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column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“</w:t>
            </w:r>
            <w:r>
              <w:rPr>
                <w:b/>
                <w:spacing w:val="-2"/>
                <w:sz w:val="15"/>
              </w:rPr>
              <w:t>Total_Prescriptions_Dispensed_Mail_Order_Pharmacies</w:t>
            </w:r>
            <w:r>
              <w:rPr>
                <w:spacing w:val="-2"/>
                <w:sz w:val="15"/>
              </w:rPr>
              <w:t>,”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equal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value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reported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column</w:t>
            </w:r>
          </w:p>
          <w:p>
            <w:pPr>
              <w:pStyle w:val="TableParagraph"/>
              <w:spacing w:before="9" w:line="163" w:lineRule="exact"/>
              <w:ind w:left="19"/>
              <w:rPr>
                <w:sz w:val="15"/>
              </w:rPr>
            </w:pPr>
            <w:r>
              <w:rPr>
                <w:sz w:val="15"/>
              </w:rPr>
              <w:t>C,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“</w:t>
            </w:r>
            <w:r>
              <w:rPr>
                <w:b/>
                <w:spacing w:val="-2"/>
                <w:sz w:val="15"/>
              </w:rPr>
              <w:t>Total_Prescriptions_Dispensed_All</w:t>
            </w:r>
            <w:r>
              <w:rPr>
                <w:spacing w:val="-2"/>
                <w:sz w:val="15"/>
              </w:rPr>
              <w:t>.”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384"/>
          <w:jc w:val="left"/>
        </w:trPr>
        <w:tc>
          <w:tcPr>
            <w:tcW w:w="13664" w:type="dxa"/>
            <w:shd w:val="clear" w:color="auto" w:fill="F1F1F1"/>
          </w:tcPr>
          <w:p>
            <w:pPr>
              <w:pStyle w:val="TableParagraph"/>
              <w:spacing w:line="190" w:lineRule="atLeast"/>
              <w:ind w:left="19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4. </w:t>
            </w:r>
            <w:r>
              <w:rPr>
                <w:spacing w:val="-2"/>
                <w:sz w:val="15"/>
              </w:rPr>
              <w:t>Please ensure that the values reported in column F, “</w:t>
            </w:r>
            <w:r>
              <w:rPr>
                <w:b/>
                <w:spacing w:val="-2"/>
                <w:sz w:val="15"/>
              </w:rPr>
              <w:t>Total_Rebate_Dollars</w:t>
            </w:r>
            <w:r>
              <w:rPr>
                <w:spacing w:val="-2"/>
                <w:sz w:val="15"/>
              </w:rPr>
              <w:t xml:space="preserve">,” </w:t>
            </w:r>
            <w:r>
              <w:rPr>
                <w:b/>
                <w:spacing w:val="-2"/>
                <w:sz w:val="15"/>
              </w:rPr>
              <w:t>are equal to the sum of all rebates entered on the summary webform</w:t>
            </w:r>
            <w:r>
              <w:rPr>
                <w:spacing w:val="-2"/>
                <w:sz w:val="15"/>
              </w:rPr>
              <w:t>, including PBM-retained rebates, rebates expected but not yet received, PBM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incentive payments, and all other rebates, at the NDC level.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214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before="9" w:line="240" w:lineRule="auto"/>
              <w:ind w:left="20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5.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Before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submitting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template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HIOS,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you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must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delete</w:t>
            </w:r>
            <w:r>
              <w:rPr>
                <w:b/>
                <w:color w:val="C60000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this</w:t>
            </w:r>
            <w:r>
              <w:rPr>
                <w:b/>
                <w:color w:val="C60000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“Instructions”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tab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and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convert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this</w:t>
            </w:r>
            <w:r>
              <w:rPr>
                <w:b/>
                <w:color w:val="C60000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.xlsx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file</w:t>
            </w:r>
            <w:r>
              <w:rPr>
                <w:b/>
                <w:color w:val="C60000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into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a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pipe-delimited</w:t>
            </w:r>
            <w:r>
              <w:rPr>
                <w:b/>
                <w:color w:val="C60000"/>
                <w:spacing w:val="-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.csv</w:t>
            </w:r>
            <w:r>
              <w:rPr>
                <w:b/>
                <w:color w:val="C60000"/>
                <w:spacing w:val="1"/>
                <w:sz w:val="15"/>
                <w:u w:val="single" w:color="C60000"/>
              </w:rPr>
              <w:t xml:space="preserve"> </w:t>
            </w:r>
            <w:r>
              <w:rPr>
                <w:b/>
                <w:color w:val="C60000"/>
                <w:spacing w:val="-2"/>
                <w:sz w:val="15"/>
                <w:u w:val="single" w:color="C60000"/>
              </w:rPr>
              <w:t>file</w:t>
            </w:r>
            <w:r>
              <w:rPr>
                <w:spacing w:val="-2"/>
                <w:sz w:val="15"/>
                <w:u w:val="none"/>
              </w:rPr>
              <w:t>.</w:t>
            </w:r>
            <w:r>
              <w:rPr>
                <w:spacing w:val="-3"/>
                <w:sz w:val="15"/>
                <w:u w:val="none"/>
              </w:rPr>
              <w:t xml:space="preserve"> </w:t>
            </w:r>
            <w:r>
              <w:rPr>
                <w:spacing w:val="-2"/>
                <w:sz w:val="15"/>
                <w:u w:val="none"/>
              </w:rPr>
              <w:t>You</w:t>
            </w:r>
            <w:r>
              <w:rPr>
                <w:spacing w:val="-3"/>
                <w:sz w:val="15"/>
                <w:u w:val="none"/>
              </w:rPr>
              <w:t xml:space="preserve"> </w:t>
            </w:r>
            <w:r>
              <w:rPr>
                <w:spacing w:val="-2"/>
                <w:sz w:val="15"/>
                <w:u w:val="none"/>
              </w:rPr>
              <w:t>can</w:t>
            </w:r>
            <w:r>
              <w:rPr>
                <w:spacing w:val="-3"/>
                <w:sz w:val="15"/>
                <w:u w:val="none"/>
              </w:rPr>
              <w:t xml:space="preserve"> </w:t>
            </w:r>
            <w:r>
              <w:rPr>
                <w:spacing w:val="-2"/>
                <w:sz w:val="15"/>
                <w:u w:val="none"/>
              </w:rPr>
              <w:t>complete</w:t>
            </w:r>
            <w:r>
              <w:rPr>
                <w:spacing w:val="-3"/>
                <w:sz w:val="15"/>
                <w:u w:val="none"/>
              </w:rPr>
              <w:t xml:space="preserve"> </w:t>
            </w:r>
            <w:r>
              <w:rPr>
                <w:spacing w:val="-2"/>
                <w:sz w:val="15"/>
                <w:u w:val="none"/>
              </w:rPr>
              <w:t>this</w:t>
            </w:r>
            <w:r>
              <w:rPr>
                <w:spacing w:val="-3"/>
                <w:sz w:val="15"/>
                <w:u w:val="none"/>
              </w:rPr>
              <w:t xml:space="preserve"> </w:t>
            </w:r>
            <w:r>
              <w:rPr>
                <w:spacing w:val="-2"/>
                <w:sz w:val="15"/>
                <w:u w:val="none"/>
              </w:rPr>
              <w:t>file</w:t>
            </w:r>
            <w:r>
              <w:rPr>
                <w:spacing w:val="-3"/>
                <w:sz w:val="15"/>
                <w:u w:val="none"/>
              </w:rPr>
              <w:t xml:space="preserve"> </w:t>
            </w:r>
            <w:r>
              <w:rPr>
                <w:spacing w:val="-2"/>
                <w:sz w:val="15"/>
                <w:u w:val="none"/>
              </w:rPr>
              <w:t>conversion</w:t>
            </w:r>
            <w:r>
              <w:rPr>
                <w:spacing w:val="-3"/>
                <w:sz w:val="15"/>
                <w:u w:val="none"/>
              </w:rPr>
              <w:t xml:space="preserve"> </w:t>
            </w:r>
            <w:r>
              <w:rPr>
                <w:spacing w:val="-2"/>
                <w:sz w:val="15"/>
                <w:u w:val="none"/>
              </w:rPr>
              <w:t>as</w:t>
            </w:r>
            <w:r>
              <w:rPr>
                <w:spacing w:val="-3"/>
                <w:sz w:val="15"/>
                <w:u w:val="none"/>
              </w:rPr>
              <w:t xml:space="preserve"> </w:t>
            </w:r>
            <w:r>
              <w:rPr>
                <w:spacing w:val="-2"/>
                <w:sz w:val="15"/>
                <w:u w:val="none"/>
              </w:rPr>
              <w:t>outlined</w:t>
            </w:r>
            <w:r>
              <w:rPr>
                <w:spacing w:val="-3"/>
                <w:sz w:val="15"/>
                <w:u w:val="none"/>
              </w:rPr>
              <w:t xml:space="preserve"> </w:t>
            </w:r>
            <w:r>
              <w:rPr>
                <w:spacing w:val="-2"/>
                <w:sz w:val="15"/>
                <w:u w:val="none"/>
              </w:rPr>
              <w:t>below: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6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line="176" w:lineRule="exac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5a.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Delete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“Instructions”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tab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save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the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template,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containing only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the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“Data”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tab,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as 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comma-delimited .csv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file.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1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5b.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Double-check 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“NDC”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column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ensure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that,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converting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.csv,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leading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zeros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were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lost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(i.e.,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ensure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that all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NDC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values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listed are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still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exactly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  <w:u w:val="single"/>
              </w:rPr>
              <w:t>11</w:t>
            </w:r>
            <w:r>
              <w:rPr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b/>
                <w:spacing w:val="-2"/>
                <w:sz w:val="15"/>
                <w:u w:val="single"/>
              </w:rPr>
              <w:t>digits</w:t>
            </w:r>
            <w:r>
              <w:rPr>
                <w:spacing w:val="-2"/>
                <w:sz w:val="15"/>
                <w:u w:val="none"/>
              </w:rPr>
              <w:t>).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2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5c. Close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out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new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.csv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file.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1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5d. Browse</w:t>
            </w:r>
            <w:r>
              <w:rPr>
                <w:b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your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.csv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comma-delimited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file.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2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 xml:space="preserve">5e. </w:t>
            </w:r>
            <w:r>
              <w:rPr>
                <w:spacing w:val="-2"/>
                <w:sz w:val="15"/>
              </w:rPr>
              <w:t>Right-click 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 xml:space="preserve">file, click </w:t>
            </w:r>
            <w:r>
              <w:rPr>
                <w:b/>
                <w:spacing w:val="-2"/>
                <w:sz w:val="15"/>
              </w:rPr>
              <w:t>Open with</w:t>
            </w:r>
            <w:r>
              <w:rPr>
                <w:spacing w:val="-2"/>
                <w:sz w:val="15"/>
              </w:rPr>
              <w:t>, 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click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Notepad</w:t>
            </w:r>
            <w:r>
              <w:rPr>
                <w:spacing w:val="-2"/>
                <w:sz w:val="15"/>
              </w:rPr>
              <w:t>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2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line="172" w:lineRule="exact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5f.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Press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Ctrl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+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your keyboard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Replace</w:t>
            </w:r>
            <w:r>
              <w:rPr>
                <w:b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Notepad.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also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clicking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Edit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top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window,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clicking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Replace.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95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line="173" w:lineRule="exact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5g.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Type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“,”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Find what </w:t>
            </w:r>
            <w:r>
              <w:rPr>
                <w:spacing w:val="-2"/>
                <w:sz w:val="15"/>
              </w:rPr>
              <w:t>field,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type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“|” </w:t>
            </w:r>
            <w:r>
              <w:rPr>
                <w:spacing w:val="-2"/>
                <w:sz w:val="15"/>
              </w:rPr>
              <w:t>into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Replace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with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field,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click 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Replace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 xml:space="preserve">All </w:t>
            </w:r>
            <w:r>
              <w:rPr>
                <w:spacing w:val="-2"/>
                <w:sz w:val="15"/>
              </w:rPr>
              <w:t>button.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“|”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your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keyboard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located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above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“Enter”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key,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you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having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trouble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finding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it.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81"/>
          <w:jc w:val="left"/>
        </w:trPr>
        <w:tc>
          <w:tcPr>
            <w:tcW w:w="13664" w:type="dxa"/>
            <w:shd w:val="clear" w:color="auto" w:fill="D9E0F1"/>
          </w:tcPr>
          <w:p>
            <w:pPr>
              <w:pStyle w:val="TableParagraph"/>
              <w:spacing w:line="161" w:lineRule="exact"/>
              <w:rPr>
                <w:sz w:val="15"/>
              </w:rPr>
            </w:pPr>
            <w:r>
              <w:rPr>
                <w:b/>
                <w:spacing w:val="-2"/>
                <w:sz w:val="15"/>
              </w:rPr>
              <w:t>5h. Close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the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Replace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window; then save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the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edited file.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Be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sure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append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.csv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extension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end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when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saving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it,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Notepad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may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try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to</w:t>
            </w:r>
            <w:r>
              <w:rPr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save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.txt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file.</w:t>
            </w:r>
          </w:p>
        </w:tc>
      </w:tr>
      <w:tr>
        <w:tblPrEx>
          <w:tblW w:w="0" w:type="auto"/>
          <w:jc w:val="left"/>
          <w:tblInd w:w="115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767"/>
          <w:jc w:val="left"/>
        </w:trPr>
        <w:tc>
          <w:tcPr>
            <w:tcW w:w="13664" w:type="dxa"/>
            <w:shd w:val="clear" w:color="auto" w:fill="F1F1F1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pStyle w:val="BodyText"/>
        <w:spacing w:line="232" w:lineRule="auto"/>
        <w:ind w:left="310" w:right="502"/>
      </w:pP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Paperwork</w:t>
      </w:r>
      <w:r>
        <w:rPr>
          <w:spacing w:val="-1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1995,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displays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OMB</w:t>
      </w:r>
      <w:r>
        <w:rPr>
          <w:spacing w:val="-1"/>
        </w:rPr>
        <w:t xml:space="preserve"> </w:t>
      </w:r>
      <w:r>
        <w:t>control number.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OMB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0938-1394.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QHP</w:t>
      </w:r>
      <w:r>
        <w:rPr>
          <w:spacing w:val="-3"/>
        </w:rPr>
        <w:t xml:space="preserve"> </w:t>
      </w:r>
      <w:r>
        <w:t>issuers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Pharmacy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Managers,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Pharmacy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Manager,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administer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40"/>
        </w:rPr>
        <w:t xml:space="preserve"> </w:t>
      </w:r>
      <w:r>
        <w:t>issuer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benefit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CMS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basis.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estimated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122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response, including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instructions,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gather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needed,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collection.</w:t>
      </w:r>
      <w:r>
        <w:rPr>
          <w:spacing w:val="-1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CFR</w:t>
      </w:r>
      <w:r>
        <w:rPr>
          <w:spacing w:val="-1"/>
        </w:rPr>
        <w:t xml:space="preserve"> </w:t>
      </w:r>
      <w:r>
        <w:t>156.295(a)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184.50(a),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mandatory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PBMs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benefit information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QHP</w:t>
      </w:r>
      <w:r>
        <w:rPr>
          <w:spacing w:val="-1"/>
        </w:rPr>
        <w:t xml:space="preserve"> </w:t>
      </w:r>
      <w:r>
        <w:t>issuers.</w:t>
      </w:r>
      <w:r>
        <w:rPr>
          <w:spacing w:val="-1"/>
        </w:rPr>
        <w:t xml:space="preserve"> </w:t>
      </w:r>
      <w:r>
        <w:t>HHS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 this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prescription</w:t>
      </w:r>
      <w:r>
        <w:rPr>
          <w:spacing w:val="-1"/>
        </w:rPr>
        <w:t xml:space="preserve"> </w:t>
      </w:r>
      <w:r>
        <w:t>drugs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PBMs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health</w:t>
      </w:r>
      <w:r>
        <w:rPr>
          <w:spacing w:val="-1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C.F.R.</w:t>
      </w:r>
      <w:r>
        <w:rPr>
          <w:spacing w:val="-1"/>
        </w:rPr>
        <w:t xml:space="preserve"> </w:t>
      </w:r>
      <w:r>
        <w:t>155.260,</w:t>
      </w:r>
      <w:r>
        <w:rPr>
          <w:spacing w:val="-1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Personally</w:t>
      </w:r>
      <w:r>
        <w:rPr>
          <w:spacing w:val="-1"/>
        </w:rPr>
        <w:t xml:space="preserve"> </w:t>
      </w:r>
      <w:r>
        <w:t>Identifiable</w:t>
      </w:r>
      <w:r>
        <w:rPr>
          <w:spacing w:val="-1"/>
        </w:rPr>
        <w:t xml:space="preserve"> </w:t>
      </w:r>
      <w:r>
        <w:t>Information.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estimate(s)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to:</w:t>
      </w:r>
      <w:r>
        <w:rPr>
          <w:spacing w:val="-1"/>
        </w:rPr>
        <w:t xml:space="preserve"> </w:t>
      </w:r>
      <w:r>
        <w:t>CMS,</w:t>
      </w:r>
      <w:r>
        <w:rPr>
          <w:spacing w:val="-2"/>
        </w:rPr>
        <w:t xml:space="preserve"> </w:t>
      </w:r>
      <w:r>
        <w:t>7500</w:t>
      </w:r>
      <w:r>
        <w:rPr>
          <w:spacing w:val="-1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Boulevard,</w:t>
      </w:r>
      <w:r>
        <w:rPr>
          <w:spacing w:val="-1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C4-26-05,</w:t>
      </w:r>
      <w:r>
        <w:rPr>
          <w:spacing w:val="-1"/>
        </w:rPr>
        <w:t xml:space="preserve"> </w:t>
      </w:r>
      <w:r>
        <w:t>Baltimore,</w:t>
      </w:r>
      <w:r>
        <w:rPr>
          <w:spacing w:val="-1"/>
        </w:rPr>
        <w:t xml:space="preserve"> </w:t>
      </w:r>
      <w:r>
        <w:t>Maryland</w:t>
      </w:r>
      <w:r>
        <w:rPr>
          <w:spacing w:val="-1"/>
        </w:rPr>
        <w:t xml:space="preserve"> </w:t>
      </w:r>
      <w:r>
        <w:t>21244-1850,</w:t>
      </w:r>
      <w:r>
        <w:rPr>
          <w:spacing w:val="-1"/>
        </w:rPr>
        <w:t xml:space="preserve"> </w:t>
      </w:r>
      <w:r>
        <w:t>Attention: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Collections</w:t>
      </w:r>
      <w:r>
        <w:rPr>
          <w:spacing w:val="40"/>
        </w:rPr>
        <w:t xml:space="preserve"> </w:t>
      </w:r>
      <w:r>
        <w:t xml:space="preserve">Clearance Officer or email LeAnn Brodhead at </w:t>
      </w:r>
      <w:hyperlink r:id="rId5">
        <w:r>
          <w:t>leann.brodhead@cms.hhs.gov.</w:t>
        </w:r>
      </w:hyperlink>
    </w:p>
    <w:p>
      <w:pPr>
        <w:spacing w:after="0" w:line="232" w:lineRule="auto"/>
        <w:sectPr>
          <w:type w:val="continuous"/>
          <w:pgSz w:w="15840" w:h="12240" w:orient="landscape"/>
          <w:pgMar w:top="380" w:right="900" w:bottom="0" w:left="920" w:header="720" w:footer="720"/>
          <w:cols w:space="720"/>
        </w:sectPr>
      </w:pPr>
    </w:p>
    <w:tbl>
      <w:tblPr>
        <w:tblStyle w:val="TableNormal"/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420"/>
        <w:gridCol w:w="1832"/>
        <w:gridCol w:w="2620"/>
        <w:gridCol w:w="2912"/>
        <w:gridCol w:w="1268"/>
      </w:tblGrid>
      <w:tr>
        <w:tblPrEx>
          <w:tblW w:w="0" w:type="auto"/>
          <w:jc w:val="left"/>
          <w:tblInd w:w="122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1E0"/>
        </w:tblPrEx>
        <w:trPr>
          <w:trHeight w:val="133"/>
          <w:jc w:val="left"/>
        </w:trPr>
        <w:tc>
          <w:tcPr>
            <w:tcW w:w="1140" w:type="dxa"/>
          </w:tcPr>
          <w:p>
            <w:pPr>
              <w:pStyle w:val="TableParagraph"/>
              <w:spacing w:before="1"/>
              <w:ind w:left="24"/>
              <w:rPr>
                <w:sz w:val="11"/>
              </w:rPr>
            </w:pPr>
            <w:bookmarkStart w:id="1" w:name="Data"/>
            <w:bookmarkEnd w:id="1"/>
            <w:r>
              <w:rPr>
                <w:spacing w:val="-2"/>
                <w:w w:val="105"/>
                <w:sz w:val="11"/>
              </w:rPr>
              <w:t>Issuer_HIOS_Plan_ID</w:t>
            </w:r>
          </w:p>
        </w:tc>
        <w:tc>
          <w:tcPr>
            <w:tcW w:w="420" w:type="dxa"/>
          </w:tcPr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NDC</w:t>
            </w:r>
          </w:p>
        </w:tc>
        <w:tc>
          <w:tcPr>
            <w:tcW w:w="1832" w:type="dxa"/>
          </w:tcPr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Total_Prescriptions_Dispensed_All</w:t>
            </w:r>
          </w:p>
        </w:tc>
        <w:tc>
          <w:tcPr>
            <w:tcW w:w="2620" w:type="dxa"/>
          </w:tcPr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Total_Prescriptions_Dispensed_Retail_Pharmacies</w:t>
            </w:r>
          </w:p>
        </w:tc>
        <w:tc>
          <w:tcPr>
            <w:tcW w:w="2912" w:type="dxa"/>
          </w:tcPr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Total_Prescriptions_Dispensed_Mail_Order_Pharmacies</w:t>
            </w:r>
          </w:p>
        </w:tc>
        <w:tc>
          <w:tcPr>
            <w:tcW w:w="1268" w:type="dxa"/>
          </w:tcPr>
          <w:p>
            <w:pPr>
              <w:pStyle w:val="TableParagraph"/>
              <w:spacing w:before="1"/>
              <w:ind w:left="2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Total_Rebate_Dollars</w:t>
            </w:r>
          </w:p>
        </w:tc>
      </w:tr>
    </w:tbl>
    <w:p/>
    <w:sectPr>
      <w:pgSz w:w="12240" w:h="15840"/>
      <w:pgMar w:top="1060" w:right="920" w:bottom="280" w:left="900"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0"/>
    <w:family w:val="roman"/>
    <w:pitch w:val="variable"/>
  </w:font>
  <w:font w:name="Calibri">
    <w:altName w:val="Calibri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15"/>
      <w:szCs w:val="15"/>
      <w:lang w:val="en-US" w:eastAsia="en-US" w:bidi="ar-SA"/>
    </w:rPr>
  </w:style>
  <w:style w:type="paragraph" w:styleId="ListParagraph">
    <w:name w:val="List Paragraph"/>
    <w:basedOn w:val="Normal"/>
    <w:uiPriority w:val="1"/>
    <w:qFormat/>
    <w:rPr>
      <w:lang w:val="en-US" w:eastAsia="en-US" w:bidi="ar-SA"/>
    </w:rPr>
  </w:style>
  <w:style w:type="paragraph" w:customStyle="1" w:styleId="TableParagraph">
    <w:name w:val="Table Paragraph"/>
    <w:basedOn w:val="Normal"/>
    <w:uiPriority w:val="1"/>
    <w:qFormat/>
    <w:pPr>
      <w:spacing w:line="111" w:lineRule="exact"/>
      <w:ind w:left="179"/>
    </w:pPr>
    <w:rPr>
      <w:rFonts w:ascii="Calibri" w:eastAsia="Calibri" w:hAnsi="Calibri" w:cs="Calibr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MS_FEPS@cms.hhs.gov" TargetMode="External" /><Relationship Id="rId5" Type="http://schemas.openxmlformats.org/officeDocument/2006/relationships/hyperlink" Target="mailto:leann.brodhead@cms.hhs.gov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Qualified Health Plan (QHP) Pharmacy Benefit Manager (PBM) Drug Data, Pricing, and Rebate Review (DPR2) Template</dc:title>
  <dc:subject>Qualified Health Plan (QHP) Pharmacy Benefit Manager (PBM) Drug Data, Pricing, and Rebate Review (DPR2) Template</dc:subject>
  <dc:creator>U.S. Centers for Medicare &amp; Medicaid Services</dc:creator>
  <cp:keywords>CMS; PBM Health Insurance Oversight System; HIOS; HIOS Knowledge Center; prescriptions; pharmacies</cp:keywords>
  <dc:description>This document is in the public domain.</dc:description>
  <cp:revision>0</cp:revision>
  <dcterms:created xsi:type="dcterms:W3CDTF">2024-10-29T20:23:59Z</dcterms:created>
  <dcterms:modified xsi:type="dcterms:W3CDTF">2024-10-29T20:23:59Z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0x010100965FC27B0ED77545992A3C5070BA4731</vt:lpwstr>
  </property>
  <property fmtid="{D5CDD505-2E9C-101B-9397-08002B2CF9AE}" pid="3" name="Created">
    <vt:filetime>2023-12-19T00:00:00Z</vt:filetime>
  </property>
  <property fmtid="{D5CDD505-2E9C-101B-9397-08002B2CF9AE}" pid="4" name="Creator">
    <vt:lpwstr>Acrobat PDFMaker 23 for Excel</vt:lpwstr>
  </property>
  <property fmtid="{D5CDD505-2E9C-101B-9397-08002B2CF9AE}" pid="5" name="LastSaved">
    <vt:filetime>2024-10-29T00:00:00Z</vt:filetime>
  </property>
  <property fmtid="{D5CDD505-2E9C-101B-9397-08002B2CF9AE}" pid="6" name="Producer">
    <vt:lpwstr>Adobe PDF Library 23.8.197</vt:lpwstr>
  </property>
  <property fmtid="{D5CDD505-2E9C-101B-9397-08002B2CF9AE}" pid="7" name="_dlc_DocId">
    <vt:lpwstr>QSXZK4DW25JC-1146626974-3203</vt:lpwstr>
  </property>
  <property fmtid="{D5CDD505-2E9C-101B-9397-08002B2CF9AE}" pid="8" name="_dlc_DocIdItemGuid">
    <vt:lpwstr>0dd6e1bb-e16c-4ce6-8a2f-dd26612b2292</vt:lpwstr>
  </property>
  <property fmtid="{D5CDD505-2E9C-101B-9397-08002B2CF9AE}" pid="9" name="_dlc_DocIdUrl">
    <vt:lpwstr>https://share.cms.gov/center/cciio/MPMG/_layouts/15/DocIdRedir.aspx?ID=QSXZK4DW25JC-1146626974-3203, QSXZK4DW25JC-1146626974-3203</vt:lpwstr>
  </property>
</Properties>
</file>