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F56C0" w:rsidP="00F06E3F" w14:paraId="577BAAB9" w14:textId="11A24A58">
      <w:pPr>
        <w:keepNext/>
        <w:widowControl w:val="0"/>
        <w:spacing w:after="0" w:line="240" w:lineRule="auto"/>
        <w:jc w:val="center"/>
        <w:outlineLvl w:val="0"/>
        <w:rPr>
          <w:rFonts w:ascii="Times New Roman" w:eastAsia="Times New Roman" w:hAnsi="Times New Roman"/>
          <w:b/>
          <w:bCs/>
          <w:snapToGrid w:val="0"/>
          <w:sz w:val="24"/>
          <w:szCs w:val="24"/>
        </w:rPr>
      </w:pPr>
      <w:r w:rsidRPr="00E43AEA">
        <w:rPr>
          <w:rFonts w:ascii="Times New Roman" w:eastAsia="Times New Roman" w:hAnsi="Times New Roman"/>
          <w:b/>
          <w:bCs/>
          <w:snapToGrid w:val="0"/>
          <w:sz w:val="24"/>
          <w:szCs w:val="24"/>
        </w:rPr>
        <w:t xml:space="preserve">Supporting Statement for </w:t>
      </w:r>
      <w:r w:rsidR="00126DA2">
        <w:rPr>
          <w:rFonts w:ascii="Times New Roman" w:eastAsia="Times New Roman" w:hAnsi="Times New Roman"/>
          <w:b/>
          <w:bCs/>
          <w:snapToGrid w:val="0"/>
          <w:sz w:val="24"/>
          <w:szCs w:val="24"/>
        </w:rPr>
        <w:t xml:space="preserve">Form </w:t>
      </w:r>
      <w:bookmarkStart w:id="0" w:name="_Hlk112825036"/>
      <w:r w:rsidR="00A74CA0">
        <w:rPr>
          <w:rFonts w:ascii="Times New Roman" w:eastAsia="Times New Roman" w:hAnsi="Times New Roman"/>
          <w:b/>
          <w:bCs/>
          <w:snapToGrid w:val="0"/>
          <w:sz w:val="24"/>
          <w:szCs w:val="24"/>
        </w:rPr>
        <w:t>SSA-2010</w:t>
      </w:r>
      <w:r w:rsidR="000B108C">
        <w:rPr>
          <w:rFonts w:ascii="Times New Roman" w:eastAsia="Times New Roman" w:hAnsi="Times New Roman"/>
          <w:b/>
          <w:bCs/>
          <w:snapToGrid w:val="0"/>
          <w:sz w:val="24"/>
          <w:szCs w:val="24"/>
        </w:rPr>
        <w:t>-F6</w:t>
      </w:r>
    </w:p>
    <w:p w:rsidR="00F00CBE" w:rsidP="00F06E3F" w14:paraId="3E5166A8" w14:textId="77777777">
      <w:pPr>
        <w:keepNext/>
        <w:widowControl w:val="0"/>
        <w:spacing w:after="0" w:line="240" w:lineRule="auto"/>
        <w:jc w:val="center"/>
        <w:outlineLvl w:val="0"/>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 xml:space="preserve">Statement for Determining Continuing Entitlement for </w:t>
      </w:r>
    </w:p>
    <w:p w:rsidR="00E43AEA" w:rsidP="00F06E3F" w14:paraId="53DC00A4" w14:textId="77777777">
      <w:pPr>
        <w:keepNext/>
        <w:widowControl w:val="0"/>
        <w:spacing w:after="0" w:line="240" w:lineRule="auto"/>
        <w:jc w:val="center"/>
        <w:outlineLvl w:val="0"/>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Special Veterans Benefits (SVB)</w:t>
      </w:r>
    </w:p>
    <w:p w:rsidR="00074D14" w:rsidP="00F06E3F" w14:paraId="3A11639A" w14:textId="58B1E7B1">
      <w:pPr>
        <w:keepNext/>
        <w:widowControl w:val="0"/>
        <w:spacing w:after="0" w:line="240" w:lineRule="auto"/>
        <w:jc w:val="center"/>
        <w:outlineLvl w:val="0"/>
        <w:rPr>
          <w:rFonts w:ascii="Times New Roman" w:eastAsia="Times New Roman" w:hAnsi="Times New Roman"/>
          <w:b/>
          <w:bCs/>
          <w:snapToGrid w:val="0"/>
          <w:sz w:val="24"/>
          <w:szCs w:val="24"/>
        </w:rPr>
      </w:pPr>
      <w:r w:rsidRPr="00E43AEA">
        <w:rPr>
          <w:rFonts w:ascii="Times New Roman" w:eastAsia="Times New Roman" w:hAnsi="Times New Roman"/>
          <w:b/>
          <w:bCs/>
          <w:snapToGrid w:val="0"/>
          <w:sz w:val="24"/>
          <w:szCs w:val="24"/>
        </w:rPr>
        <w:t>OMB No. 0960-</w:t>
      </w:r>
      <w:r>
        <w:rPr>
          <w:rFonts w:ascii="Times New Roman" w:eastAsia="Times New Roman" w:hAnsi="Times New Roman"/>
          <w:b/>
          <w:bCs/>
          <w:snapToGrid w:val="0"/>
          <w:sz w:val="24"/>
          <w:szCs w:val="24"/>
        </w:rPr>
        <w:t>0782</w:t>
      </w:r>
      <w:bookmarkEnd w:id="0"/>
    </w:p>
    <w:p w:rsidR="007B10C5" w:rsidRPr="007B10C5" w:rsidP="00F06E3F" w14:paraId="4826E47C" w14:textId="77777777">
      <w:pPr>
        <w:keepNext/>
        <w:widowControl w:val="0"/>
        <w:spacing w:after="0" w:line="240" w:lineRule="auto"/>
        <w:jc w:val="center"/>
        <w:outlineLvl w:val="0"/>
        <w:rPr>
          <w:rFonts w:ascii="Times New Roman" w:eastAsia="Times New Roman" w:hAnsi="Times New Roman"/>
          <w:b/>
          <w:bCs/>
          <w:snapToGrid w:val="0"/>
          <w:sz w:val="24"/>
          <w:szCs w:val="24"/>
        </w:rPr>
      </w:pPr>
    </w:p>
    <w:p w:rsidR="00806C1C" w:rsidRPr="00403A2C" w:rsidP="00F06E3F" w14:paraId="17184536" w14:textId="4034A3FE">
      <w:pPr>
        <w:pStyle w:val="ListParagraph"/>
        <w:widowControl w:val="0"/>
        <w:numPr>
          <w:ilvl w:val="0"/>
          <w:numId w:val="31"/>
        </w:numPr>
        <w:spacing w:after="0" w:line="240" w:lineRule="auto"/>
        <w:ind w:hanging="540"/>
        <w:rPr>
          <w:rFonts w:ascii="Times New Roman" w:eastAsia="Times New Roman" w:hAnsi="Times New Roman"/>
          <w:b/>
          <w:snapToGrid w:val="0"/>
          <w:sz w:val="24"/>
          <w:szCs w:val="24"/>
        </w:rPr>
      </w:pPr>
      <w:r w:rsidRPr="00806C1C">
        <w:rPr>
          <w:rFonts w:ascii="Times New Roman" w:eastAsia="Times New Roman" w:hAnsi="Times New Roman"/>
          <w:b/>
          <w:snapToGrid w:val="0"/>
          <w:sz w:val="24"/>
          <w:szCs w:val="24"/>
          <w:u w:val="single"/>
        </w:rPr>
        <w:t>Justification</w:t>
      </w:r>
    </w:p>
    <w:p w:rsidR="00403A2C" w:rsidRPr="007B10C5" w:rsidP="00F06E3F" w14:paraId="3E841AE5" w14:textId="77777777">
      <w:pPr>
        <w:pStyle w:val="ListParagraph"/>
        <w:widowControl w:val="0"/>
        <w:spacing w:after="0" w:line="240" w:lineRule="auto"/>
        <w:rPr>
          <w:rFonts w:ascii="Times New Roman" w:eastAsia="Times New Roman" w:hAnsi="Times New Roman"/>
          <w:b/>
          <w:snapToGrid w:val="0"/>
          <w:sz w:val="24"/>
          <w:szCs w:val="24"/>
        </w:rPr>
      </w:pPr>
    </w:p>
    <w:p w:rsidR="00806C1C" w:rsidRPr="00B6788C" w:rsidP="00F06E3F" w14:paraId="1923EC21"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Introduction/Authoring Laws and Regulations</w:t>
      </w:r>
    </w:p>
    <w:p w:rsidR="00806C1C" w:rsidRPr="00B6788C" w:rsidP="00F06E3F" w14:paraId="12267AB8" w14:textId="1FCB1ED6">
      <w:pPr>
        <w:pStyle w:val="ListParagraph"/>
        <w:widowControl w:val="0"/>
        <w:spacing w:after="0" w:line="240" w:lineRule="auto"/>
        <w:ind w:left="1440"/>
        <w:rPr>
          <w:rFonts w:ascii="Times New Roman" w:eastAsia="Times New Roman" w:hAnsi="Times New Roman"/>
          <w:snapToGrid w:val="0"/>
          <w:sz w:val="24"/>
          <w:szCs w:val="24"/>
        </w:rPr>
      </w:pPr>
      <w:r w:rsidRPr="00B6788C">
        <w:rPr>
          <w:rFonts w:ascii="Times New Roman" w:eastAsia="Times New Roman" w:hAnsi="Times New Roman"/>
          <w:i/>
          <w:snapToGrid w:val="0"/>
          <w:sz w:val="24"/>
          <w:szCs w:val="24"/>
        </w:rPr>
        <w:t>Title VIII</w:t>
      </w:r>
      <w:r w:rsidRPr="00B6788C">
        <w:rPr>
          <w:rFonts w:ascii="Times New Roman" w:eastAsia="Times New Roman" w:hAnsi="Times New Roman"/>
          <w:snapToGrid w:val="0"/>
          <w:sz w:val="24"/>
          <w:szCs w:val="24"/>
        </w:rPr>
        <w:t xml:space="preserve"> of the </w:t>
      </w:r>
      <w:r w:rsidRPr="00B6788C">
        <w:rPr>
          <w:rFonts w:ascii="Times New Roman" w:eastAsia="Times New Roman" w:hAnsi="Times New Roman"/>
          <w:i/>
          <w:snapToGrid w:val="0"/>
          <w:sz w:val="24"/>
          <w:szCs w:val="24"/>
        </w:rPr>
        <w:t>Social Security Act (Act)</w:t>
      </w:r>
      <w:r w:rsidRPr="00B6788C">
        <w:rPr>
          <w:rFonts w:ascii="Times New Roman" w:eastAsia="Times New Roman" w:hAnsi="Times New Roman"/>
          <w:snapToGrid w:val="0"/>
          <w:sz w:val="24"/>
          <w:szCs w:val="24"/>
        </w:rPr>
        <w:t xml:space="preserve"> provides for the payment of Special Veterans benefits (SVB) to certain World War II veterans who reside outside of the United States.  SSA has the authority under the </w:t>
      </w:r>
      <w:r w:rsidRPr="00B6788C">
        <w:rPr>
          <w:rFonts w:ascii="Times New Roman" w:eastAsia="Times New Roman" w:hAnsi="Times New Roman"/>
          <w:i/>
          <w:snapToGrid w:val="0"/>
          <w:sz w:val="24"/>
          <w:szCs w:val="24"/>
        </w:rPr>
        <w:t>Code of Federal Regulations</w:t>
      </w:r>
      <w:r w:rsidRPr="00B6788C">
        <w:rPr>
          <w:rFonts w:ascii="Times New Roman" w:eastAsia="Times New Roman" w:hAnsi="Times New Roman"/>
          <w:snapToGrid w:val="0"/>
          <w:sz w:val="24"/>
          <w:szCs w:val="24"/>
        </w:rPr>
        <w:t xml:space="preserve">, </w:t>
      </w:r>
      <w:r w:rsidRPr="00B6788C">
        <w:rPr>
          <w:rFonts w:ascii="Times New Roman" w:eastAsia="Times New Roman" w:hAnsi="Times New Roman"/>
          <w:i/>
          <w:snapToGrid w:val="0"/>
          <w:sz w:val="24"/>
          <w:szCs w:val="24"/>
        </w:rPr>
        <w:t>20 CFR 408.714</w:t>
      </w:r>
      <w:r w:rsidRPr="00B6788C">
        <w:rPr>
          <w:rFonts w:ascii="Times New Roman" w:eastAsia="Times New Roman" w:hAnsi="Times New Roman"/>
          <w:snapToGrid w:val="0"/>
          <w:sz w:val="24"/>
          <w:szCs w:val="24"/>
        </w:rPr>
        <w:t xml:space="preserve">, to request information from a beneficiary receiving Social Security benefits under the SVB program.  </w:t>
      </w:r>
      <w:r w:rsidRPr="00B6788C" w:rsidR="00AB3E42">
        <w:rPr>
          <w:rFonts w:ascii="Times New Roman" w:eastAsia="Times New Roman" w:hAnsi="Times New Roman"/>
          <w:snapToGrid w:val="0"/>
          <w:sz w:val="24"/>
          <w:szCs w:val="24"/>
        </w:rPr>
        <w:t xml:space="preserve">Additionally, </w:t>
      </w:r>
      <w:r w:rsidRPr="00B6788C" w:rsidR="0001368F">
        <w:rPr>
          <w:rFonts w:ascii="Times New Roman" w:eastAsia="Times New Roman" w:hAnsi="Times New Roman"/>
          <w:snapToGrid w:val="0"/>
          <w:sz w:val="24"/>
          <w:szCs w:val="24"/>
        </w:rPr>
        <w:t>S</w:t>
      </w:r>
      <w:r w:rsidRPr="00B6788C" w:rsidR="00AB3E42">
        <w:rPr>
          <w:rFonts w:ascii="Times New Roman" w:eastAsia="Times New Roman" w:hAnsi="Times New Roman"/>
          <w:snapToGrid w:val="0"/>
          <w:sz w:val="24"/>
          <w:szCs w:val="24"/>
        </w:rPr>
        <w:t xml:space="preserve">ections </w:t>
      </w:r>
      <w:r w:rsidRPr="00B6788C" w:rsidR="00AB3E42">
        <w:rPr>
          <w:rFonts w:ascii="Times New Roman" w:eastAsia="Times New Roman" w:hAnsi="Times New Roman"/>
          <w:i/>
          <w:iCs/>
          <w:snapToGrid w:val="0"/>
          <w:sz w:val="24"/>
          <w:szCs w:val="24"/>
        </w:rPr>
        <w:t>808</w:t>
      </w:r>
      <w:r w:rsidRPr="00B6788C" w:rsidR="00AB3E42">
        <w:rPr>
          <w:rFonts w:ascii="Times New Roman" w:eastAsia="Times New Roman" w:hAnsi="Times New Roman"/>
          <w:snapToGrid w:val="0"/>
          <w:sz w:val="24"/>
          <w:szCs w:val="24"/>
        </w:rPr>
        <w:t xml:space="preserve"> and </w:t>
      </w:r>
      <w:r w:rsidRPr="00B6788C" w:rsidR="00AB3E42">
        <w:rPr>
          <w:rFonts w:ascii="Times New Roman" w:eastAsia="Times New Roman" w:hAnsi="Times New Roman"/>
          <w:i/>
          <w:iCs/>
          <w:snapToGrid w:val="0"/>
          <w:sz w:val="24"/>
          <w:szCs w:val="24"/>
        </w:rPr>
        <w:t>810</w:t>
      </w:r>
      <w:r w:rsidRPr="00B6788C" w:rsidR="00AB3E42">
        <w:rPr>
          <w:rFonts w:ascii="Times New Roman" w:eastAsia="Times New Roman" w:hAnsi="Times New Roman"/>
          <w:snapToGrid w:val="0"/>
          <w:sz w:val="24"/>
          <w:szCs w:val="24"/>
        </w:rPr>
        <w:t xml:space="preserve"> of the </w:t>
      </w:r>
      <w:r w:rsidRPr="00B6788C" w:rsidR="00AB3E42">
        <w:rPr>
          <w:rFonts w:ascii="Times New Roman" w:eastAsia="Times New Roman" w:hAnsi="Times New Roman"/>
          <w:i/>
          <w:iCs/>
          <w:snapToGrid w:val="0"/>
          <w:sz w:val="24"/>
          <w:szCs w:val="24"/>
        </w:rPr>
        <w:t>Act</w:t>
      </w:r>
      <w:r w:rsidRPr="00B6788C" w:rsidR="00AB3E42">
        <w:rPr>
          <w:rFonts w:ascii="Times New Roman" w:eastAsia="Times New Roman" w:hAnsi="Times New Roman"/>
          <w:snapToGrid w:val="0"/>
          <w:sz w:val="24"/>
          <w:szCs w:val="24"/>
        </w:rPr>
        <w:t xml:space="preserve"> allows us to collect this information.  </w:t>
      </w:r>
      <w:r w:rsidRPr="00B6788C">
        <w:rPr>
          <w:rFonts w:ascii="Times New Roman" w:eastAsia="Times New Roman" w:hAnsi="Times New Roman"/>
          <w:snapToGrid w:val="0"/>
          <w:sz w:val="24"/>
          <w:szCs w:val="24"/>
        </w:rPr>
        <w:t xml:space="preserve">We contact the beneficiaries by mail for their benefit </w:t>
      </w:r>
      <w:r w:rsidRPr="00B6788C" w:rsidR="00433588">
        <w:rPr>
          <w:rFonts w:ascii="Times New Roman" w:eastAsia="Times New Roman" w:hAnsi="Times New Roman"/>
          <w:snapToGrid w:val="0"/>
          <w:sz w:val="24"/>
          <w:szCs w:val="24"/>
        </w:rPr>
        <w:t>review and</w:t>
      </w:r>
      <w:r w:rsidRPr="00B6788C">
        <w:rPr>
          <w:rFonts w:ascii="Times New Roman" w:eastAsia="Times New Roman" w:hAnsi="Times New Roman"/>
          <w:snapToGrid w:val="0"/>
          <w:sz w:val="24"/>
          <w:szCs w:val="24"/>
        </w:rPr>
        <w:t xml:space="preserve"> have them complete Form SSA-2010</w:t>
      </w:r>
      <w:r w:rsidR="000B108C">
        <w:rPr>
          <w:rFonts w:ascii="Times New Roman" w:eastAsia="Times New Roman" w:hAnsi="Times New Roman"/>
          <w:snapToGrid w:val="0"/>
          <w:sz w:val="24"/>
          <w:szCs w:val="24"/>
        </w:rPr>
        <w:t>-F6</w:t>
      </w:r>
      <w:r w:rsidRPr="00B6788C">
        <w:rPr>
          <w:rFonts w:ascii="Times New Roman" w:eastAsia="Times New Roman" w:hAnsi="Times New Roman"/>
          <w:snapToGrid w:val="0"/>
          <w:sz w:val="24"/>
          <w:szCs w:val="24"/>
        </w:rPr>
        <w:t xml:space="preserve">, Statement for Determining Continuing Entitlement for Special Veterans Benefits.  Completion of this form helps us to maintain the </w:t>
      </w:r>
      <w:bookmarkStart w:id="1" w:name="_Hlk112832410"/>
      <w:r w:rsidRPr="00B6788C">
        <w:rPr>
          <w:rFonts w:ascii="Times New Roman" w:eastAsia="Times New Roman" w:hAnsi="Times New Roman"/>
          <w:snapToGrid w:val="0"/>
          <w:sz w:val="24"/>
          <w:szCs w:val="24"/>
        </w:rPr>
        <w:t>integrity of the SVB program to determine continuing entitlement and the correct payment amount</w:t>
      </w:r>
      <w:bookmarkEnd w:id="1"/>
      <w:r w:rsidRPr="00B6788C">
        <w:rPr>
          <w:rFonts w:ascii="Times New Roman" w:eastAsia="Times New Roman" w:hAnsi="Times New Roman"/>
          <w:snapToGrid w:val="0"/>
          <w:sz w:val="24"/>
          <w:szCs w:val="24"/>
        </w:rPr>
        <w:t>.</w:t>
      </w:r>
    </w:p>
    <w:p w:rsidR="00806C1C" w:rsidRPr="00B6788C" w:rsidP="00F06E3F" w14:paraId="693E9851"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21665377"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Description of Collection</w:t>
      </w:r>
    </w:p>
    <w:p w:rsidR="00BF75B7" w:rsidRPr="00B6788C" w:rsidP="00F06E3F" w14:paraId="6D9CAF41" w14:textId="04315756">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snapToGrid w:val="0"/>
          <w:sz w:val="24"/>
          <w:szCs w:val="24"/>
        </w:rPr>
        <w:t xml:space="preserve">SSA regularly reviews individuals’ claims for SVB to determine their continued eligibility and the correct payment amounts.  Individuals living outside of the United States who receive SVB must report to SSA any changes that may affect their benefits.  </w:t>
      </w:r>
      <w:r w:rsidR="0092434D">
        <w:rPr>
          <w:rFonts w:ascii="Times New Roman" w:eastAsia="Times New Roman" w:hAnsi="Times New Roman"/>
          <w:snapToGrid w:val="0"/>
          <w:sz w:val="24"/>
          <w:szCs w:val="24"/>
        </w:rPr>
        <w:t>We initiate this collection request by sending yearly notice</w:t>
      </w:r>
      <w:r w:rsidR="007E5AAB">
        <w:rPr>
          <w:rFonts w:ascii="Times New Roman" w:eastAsia="Times New Roman" w:hAnsi="Times New Roman"/>
          <w:snapToGrid w:val="0"/>
          <w:sz w:val="24"/>
          <w:szCs w:val="24"/>
        </w:rPr>
        <w:t xml:space="preserve"> with instructions</w:t>
      </w:r>
      <w:r w:rsidR="0092434D">
        <w:rPr>
          <w:rFonts w:ascii="Times New Roman" w:eastAsia="Times New Roman" w:hAnsi="Times New Roman"/>
          <w:snapToGrid w:val="0"/>
          <w:sz w:val="24"/>
          <w:szCs w:val="24"/>
        </w:rPr>
        <w:t xml:space="preserve"> </w:t>
      </w:r>
      <w:r w:rsidR="007E5AAB">
        <w:rPr>
          <w:rFonts w:ascii="Times New Roman" w:eastAsia="Times New Roman" w:hAnsi="Times New Roman"/>
          <w:snapToGrid w:val="0"/>
          <w:sz w:val="24"/>
          <w:szCs w:val="24"/>
        </w:rPr>
        <w:t>(SSA</w:t>
      </w:r>
      <w:r w:rsidR="007E5AAB">
        <w:rPr>
          <w:rFonts w:ascii="Times New Roman" w:eastAsia="Times New Roman" w:hAnsi="Times New Roman"/>
          <w:snapToGrid w:val="0"/>
          <w:sz w:val="24"/>
          <w:szCs w:val="24"/>
        </w:rPr>
        <w:noBreakHyphen/>
        <w:t xml:space="preserve">2010-F6 Cover Letter), which includes an </w:t>
      </w:r>
      <w:r w:rsidR="0092434D">
        <w:rPr>
          <w:rFonts w:ascii="Times New Roman" w:eastAsia="Times New Roman" w:hAnsi="Times New Roman"/>
          <w:snapToGrid w:val="0"/>
          <w:sz w:val="24"/>
          <w:szCs w:val="24"/>
        </w:rPr>
        <w:t>SSA</w:t>
      </w:r>
      <w:r w:rsidR="007E5AAB">
        <w:rPr>
          <w:rFonts w:ascii="Times New Roman" w:eastAsia="Times New Roman" w:hAnsi="Times New Roman"/>
          <w:snapToGrid w:val="0"/>
          <w:sz w:val="24"/>
          <w:szCs w:val="24"/>
        </w:rPr>
        <w:noBreakHyphen/>
      </w:r>
      <w:r w:rsidR="0092434D">
        <w:rPr>
          <w:rFonts w:ascii="Times New Roman" w:eastAsia="Times New Roman" w:hAnsi="Times New Roman"/>
          <w:snapToGrid w:val="0"/>
          <w:sz w:val="24"/>
          <w:szCs w:val="24"/>
        </w:rPr>
        <w:t>2010</w:t>
      </w:r>
      <w:r w:rsidR="007E5AAB">
        <w:rPr>
          <w:rFonts w:ascii="Times New Roman" w:eastAsia="Times New Roman" w:hAnsi="Times New Roman"/>
          <w:snapToGrid w:val="0"/>
          <w:sz w:val="24"/>
          <w:szCs w:val="24"/>
        </w:rPr>
        <w:noBreakHyphen/>
        <w:t>F6</w:t>
      </w:r>
      <w:r w:rsidR="0092434D">
        <w:rPr>
          <w:rFonts w:ascii="Times New Roman" w:eastAsia="Times New Roman" w:hAnsi="Times New Roman"/>
          <w:snapToGrid w:val="0"/>
          <w:sz w:val="24"/>
          <w:szCs w:val="24"/>
        </w:rPr>
        <w:t>.</w:t>
      </w:r>
      <w:r w:rsidR="0092434D">
        <w:rPr>
          <w:rFonts w:ascii="Times New Roman" w:eastAsia="Times New Roman" w:hAnsi="Times New Roman"/>
          <w:snapToGrid w:val="0"/>
          <w:sz w:val="24"/>
          <w:szCs w:val="24"/>
        </w:rPr>
        <w:t xml:space="preserve">  </w:t>
      </w:r>
      <w:r w:rsidRPr="00B6788C" w:rsidR="00AB7B5C">
        <w:rPr>
          <w:rFonts w:ascii="Times New Roman" w:eastAsia="Times New Roman" w:hAnsi="Times New Roman"/>
          <w:snapToGrid w:val="0"/>
          <w:sz w:val="24"/>
          <w:szCs w:val="24"/>
        </w:rPr>
        <w:t xml:space="preserve">Since we cannot rely on self-reporting, </w:t>
      </w:r>
      <w:r w:rsidRPr="00B6788C">
        <w:rPr>
          <w:rFonts w:ascii="Times New Roman" w:eastAsia="Times New Roman" w:hAnsi="Times New Roman"/>
          <w:snapToGrid w:val="0"/>
          <w:sz w:val="24"/>
          <w:szCs w:val="24"/>
        </w:rPr>
        <w:t>SSA uses Form SSA-2010</w:t>
      </w:r>
      <w:r w:rsidR="000B108C">
        <w:rPr>
          <w:rFonts w:ascii="Times New Roman" w:eastAsia="Times New Roman" w:hAnsi="Times New Roman"/>
          <w:snapToGrid w:val="0"/>
          <w:sz w:val="24"/>
          <w:szCs w:val="24"/>
        </w:rPr>
        <w:t>-F6</w:t>
      </w:r>
      <w:r w:rsidRPr="00B6788C">
        <w:rPr>
          <w:rFonts w:ascii="Times New Roman" w:eastAsia="Times New Roman" w:hAnsi="Times New Roman"/>
          <w:snapToGrid w:val="0"/>
          <w:sz w:val="24"/>
          <w:szCs w:val="24"/>
        </w:rPr>
        <w:t xml:space="preserve"> to collect this required information from beneficiaries living outside the United States</w:t>
      </w:r>
      <w:r w:rsidRPr="00B6788C" w:rsidR="0001368F">
        <w:rPr>
          <w:rFonts w:ascii="Times New Roman" w:eastAsia="Times New Roman" w:hAnsi="Times New Roman"/>
          <w:snapToGrid w:val="0"/>
          <w:sz w:val="24"/>
          <w:szCs w:val="24"/>
        </w:rPr>
        <w:t xml:space="preserve"> (U.S.)</w:t>
      </w:r>
      <w:r w:rsidRPr="00B6788C">
        <w:rPr>
          <w:rFonts w:ascii="Times New Roman" w:eastAsia="Times New Roman" w:hAnsi="Times New Roman"/>
          <w:snapToGrid w:val="0"/>
          <w:sz w:val="24"/>
          <w:szCs w:val="24"/>
        </w:rPr>
        <w:t xml:space="preserve"> who are collecting SVB.  </w:t>
      </w:r>
      <w:r w:rsidRPr="00B6788C" w:rsidR="00AB33D6">
        <w:rPr>
          <w:rFonts w:ascii="Times New Roman" w:eastAsia="Times New Roman" w:hAnsi="Times New Roman"/>
          <w:snapToGrid w:val="0"/>
          <w:sz w:val="24"/>
          <w:szCs w:val="24"/>
        </w:rPr>
        <w:t xml:space="preserve">All </w:t>
      </w:r>
      <w:r w:rsidRPr="00B6788C" w:rsidR="00126814">
        <w:rPr>
          <w:rFonts w:ascii="Times New Roman" w:eastAsia="Times New Roman" w:hAnsi="Times New Roman"/>
          <w:snapToGrid w:val="0"/>
          <w:sz w:val="24"/>
          <w:szCs w:val="24"/>
        </w:rPr>
        <w:t xml:space="preserve">SVB </w:t>
      </w:r>
      <w:r w:rsidRPr="00B6788C" w:rsidR="00AB33D6">
        <w:rPr>
          <w:rFonts w:ascii="Times New Roman" w:eastAsia="Times New Roman" w:hAnsi="Times New Roman"/>
          <w:snapToGrid w:val="0"/>
          <w:sz w:val="24"/>
          <w:szCs w:val="24"/>
        </w:rPr>
        <w:t>b</w:t>
      </w:r>
      <w:r w:rsidRPr="00B6788C">
        <w:rPr>
          <w:rFonts w:ascii="Times New Roman" w:eastAsia="Times New Roman" w:hAnsi="Times New Roman"/>
          <w:snapToGrid w:val="0"/>
          <w:sz w:val="24"/>
          <w:szCs w:val="24"/>
        </w:rPr>
        <w:t xml:space="preserve">eneficiaries have interviews with the </w:t>
      </w:r>
      <w:r w:rsidRPr="00B6788C" w:rsidR="00AB7B5C">
        <w:rPr>
          <w:rFonts w:ascii="Times New Roman" w:eastAsia="Times New Roman" w:hAnsi="Times New Roman"/>
          <w:snapToGrid w:val="0"/>
          <w:sz w:val="24"/>
          <w:szCs w:val="24"/>
        </w:rPr>
        <w:t>Federal Benefits Unit</w:t>
      </w:r>
      <w:r w:rsidRPr="00B6788C" w:rsidR="00132213">
        <w:rPr>
          <w:rFonts w:ascii="Times New Roman" w:eastAsia="Times New Roman" w:hAnsi="Times New Roman"/>
          <w:snapToGrid w:val="0"/>
          <w:sz w:val="24"/>
          <w:szCs w:val="24"/>
        </w:rPr>
        <w:t xml:space="preserve"> (FBU)</w:t>
      </w:r>
      <w:r w:rsidRPr="00B6788C">
        <w:rPr>
          <w:rFonts w:ascii="Times New Roman" w:eastAsia="Times New Roman" w:hAnsi="Times New Roman"/>
          <w:snapToGrid w:val="0"/>
          <w:sz w:val="24"/>
          <w:szCs w:val="24"/>
        </w:rPr>
        <w:t xml:space="preserve"> every year</w:t>
      </w:r>
      <w:r w:rsidRPr="00B6788C" w:rsidR="0001368F">
        <w:rPr>
          <w:rFonts w:ascii="Times New Roman" w:eastAsia="Times New Roman" w:hAnsi="Times New Roman"/>
          <w:snapToGrid w:val="0"/>
          <w:sz w:val="24"/>
          <w:szCs w:val="24"/>
        </w:rPr>
        <w:t>,</w:t>
      </w:r>
      <w:r w:rsidRPr="00B6788C">
        <w:rPr>
          <w:rFonts w:ascii="Times New Roman" w:eastAsia="Times New Roman" w:hAnsi="Times New Roman"/>
          <w:snapToGrid w:val="0"/>
          <w:sz w:val="24"/>
          <w:szCs w:val="24"/>
        </w:rPr>
        <w:t xml:space="preserve"> who assist them in completing this form.  </w:t>
      </w:r>
      <w:r w:rsidRPr="00B6788C" w:rsidR="0001368F">
        <w:rPr>
          <w:rFonts w:ascii="Times New Roman" w:eastAsia="Times New Roman" w:hAnsi="Times New Roman"/>
          <w:snapToGrid w:val="0"/>
          <w:sz w:val="24"/>
          <w:szCs w:val="24"/>
        </w:rPr>
        <w:t>Respondents are SVB beneficiaries living outside the U.S</w:t>
      </w:r>
      <w:r w:rsidRPr="00B6788C">
        <w:rPr>
          <w:rFonts w:ascii="Times New Roman" w:eastAsia="Times New Roman" w:hAnsi="Times New Roman"/>
          <w:snapToGrid w:val="0"/>
          <w:sz w:val="24"/>
          <w:szCs w:val="24"/>
        </w:rPr>
        <w:t>.</w:t>
      </w:r>
    </w:p>
    <w:p w:rsidR="00BF75B7" w:rsidRPr="00B6788C" w:rsidP="00F06E3F" w14:paraId="2EFC4534"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1EF7A7A5"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Use of Information Technology to Collect the Information</w:t>
      </w:r>
    </w:p>
    <w:p w:rsidR="004A1C9A" w:rsidRPr="00B6788C" w:rsidP="00F06E3F" w14:paraId="1DE730EC" w14:textId="25BE0C03">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hAnsi="Times New Roman"/>
          <w:sz w:val="24"/>
          <w:szCs w:val="24"/>
        </w:rPr>
        <w:t>F</w:t>
      </w:r>
      <w:r w:rsidRPr="00B6788C" w:rsidR="00A5467A">
        <w:rPr>
          <w:rFonts w:ascii="Times New Roman" w:hAnsi="Times New Roman"/>
          <w:sz w:val="24"/>
          <w:szCs w:val="24"/>
        </w:rPr>
        <w:t xml:space="preserve">orm </w:t>
      </w:r>
      <w:r w:rsidRPr="00B6788C">
        <w:rPr>
          <w:rFonts w:ascii="Times New Roman" w:hAnsi="Times New Roman"/>
          <w:sz w:val="24"/>
          <w:szCs w:val="24"/>
        </w:rPr>
        <w:t>SSA-2010</w:t>
      </w:r>
      <w:r w:rsidR="00012F79">
        <w:rPr>
          <w:rFonts w:ascii="Times New Roman" w:hAnsi="Times New Roman"/>
          <w:sz w:val="24"/>
          <w:szCs w:val="24"/>
        </w:rPr>
        <w:t>-F6</w:t>
      </w:r>
      <w:r w:rsidRPr="00B6788C">
        <w:rPr>
          <w:rFonts w:ascii="Times New Roman" w:hAnsi="Times New Roman"/>
          <w:sz w:val="24"/>
          <w:szCs w:val="24"/>
        </w:rPr>
        <w:t xml:space="preserve"> </w:t>
      </w:r>
      <w:r w:rsidRPr="00B6788C" w:rsidR="00A5467A">
        <w:rPr>
          <w:rFonts w:ascii="Times New Roman" w:hAnsi="Times New Roman"/>
          <w:sz w:val="24"/>
          <w:szCs w:val="24"/>
        </w:rPr>
        <w:t xml:space="preserve">is </w:t>
      </w:r>
      <w:r w:rsidRPr="00B6788C">
        <w:rPr>
          <w:rFonts w:ascii="Times New Roman" w:hAnsi="Times New Roman"/>
          <w:sz w:val="24"/>
          <w:szCs w:val="24"/>
        </w:rPr>
        <w:t xml:space="preserve">available as </w:t>
      </w:r>
      <w:r w:rsidRPr="00B6788C" w:rsidR="00132213">
        <w:rPr>
          <w:rFonts w:ascii="Times New Roman" w:hAnsi="Times New Roman"/>
          <w:sz w:val="24"/>
          <w:szCs w:val="24"/>
        </w:rPr>
        <w:t>a fillable</w:t>
      </w:r>
      <w:r w:rsidRPr="00B6788C">
        <w:rPr>
          <w:rFonts w:ascii="Times New Roman" w:hAnsi="Times New Roman"/>
          <w:sz w:val="24"/>
          <w:szCs w:val="24"/>
        </w:rPr>
        <w:t xml:space="preserve"> printable </w:t>
      </w:r>
      <w:r w:rsidRPr="00B6788C" w:rsidR="00132213">
        <w:rPr>
          <w:rFonts w:ascii="Times New Roman" w:hAnsi="Times New Roman"/>
          <w:sz w:val="24"/>
          <w:szCs w:val="24"/>
        </w:rPr>
        <w:t xml:space="preserve">PDF </w:t>
      </w:r>
      <w:r w:rsidRPr="00B6788C" w:rsidR="00A5467A">
        <w:rPr>
          <w:rFonts w:ascii="Times New Roman" w:hAnsi="Times New Roman"/>
          <w:sz w:val="24"/>
          <w:szCs w:val="24"/>
        </w:rPr>
        <w:t>on SSA’s website</w:t>
      </w:r>
      <w:r w:rsidRPr="00B6788C" w:rsidR="0005734E">
        <w:rPr>
          <w:rFonts w:ascii="Times New Roman" w:hAnsi="Times New Roman"/>
          <w:sz w:val="24"/>
          <w:szCs w:val="24"/>
        </w:rPr>
        <w:t xml:space="preserve">.  The </w:t>
      </w:r>
      <w:r w:rsidRPr="00B6788C" w:rsidR="00132213">
        <w:rPr>
          <w:rFonts w:ascii="Times New Roman" w:hAnsi="Times New Roman"/>
          <w:sz w:val="24"/>
          <w:szCs w:val="24"/>
        </w:rPr>
        <w:t xml:space="preserve">FBU’s assist beneficiaries in completing the form </w:t>
      </w:r>
      <w:r w:rsidRPr="00B6788C" w:rsidR="0005734E">
        <w:rPr>
          <w:rFonts w:ascii="Times New Roman" w:hAnsi="Times New Roman"/>
          <w:sz w:val="24"/>
          <w:szCs w:val="24"/>
        </w:rPr>
        <w:t>via</w:t>
      </w:r>
      <w:r w:rsidRPr="00B6788C" w:rsidR="00132213">
        <w:rPr>
          <w:rFonts w:ascii="Times New Roman" w:hAnsi="Times New Roman"/>
          <w:sz w:val="24"/>
          <w:szCs w:val="24"/>
        </w:rPr>
        <w:t xml:space="preserve"> interviews. </w:t>
      </w:r>
      <w:r w:rsidRPr="00B6788C" w:rsidR="00A5467A">
        <w:rPr>
          <w:rFonts w:ascii="Times New Roman" w:hAnsi="Times New Roman"/>
          <w:sz w:val="24"/>
          <w:szCs w:val="24"/>
        </w:rPr>
        <w:t xml:space="preserve"> </w:t>
      </w:r>
      <w:r w:rsidRPr="00B6788C" w:rsidR="00115935">
        <w:rPr>
          <w:rFonts w:ascii="Times New Roman" w:hAnsi="Times New Roman"/>
          <w:sz w:val="24"/>
          <w:szCs w:val="24"/>
        </w:rPr>
        <w:t xml:space="preserve">The FBU’s enter the information </w:t>
      </w:r>
      <w:r w:rsidRPr="00B6788C" w:rsidR="005C53BD">
        <w:rPr>
          <w:rFonts w:ascii="Times New Roman" w:hAnsi="Times New Roman"/>
          <w:sz w:val="24"/>
          <w:szCs w:val="24"/>
        </w:rPr>
        <w:t xml:space="preserve">from the form </w:t>
      </w:r>
      <w:r w:rsidRPr="00B6788C" w:rsidR="00115935">
        <w:rPr>
          <w:rFonts w:ascii="Times New Roman" w:hAnsi="Times New Roman"/>
          <w:sz w:val="24"/>
          <w:szCs w:val="24"/>
        </w:rPr>
        <w:t xml:space="preserve">into the </w:t>
      </w:r>
      <w:r w:rsidRPr="00B6788C" w:rsidR="004E79F1">
        <w:rPr>
          <w:rFonts w:ascii="Times New Roman" w:hAnsi="Times New Roman"/>
          <w:sz w:val="24"/>
          <w:szCs w:val="24"/>
        </w:rPr>
        <w:t xml:space="preserve">Consolidated Claims Experience </w:t>
      </w:r>
      <w:r w:rsidRPr="00B6788C" w:rsidR="00115935">
        <w:rPr>
          <w:rFonts w:ascii="Times New Roman" w:hAnsi="Times New Roman"/>
          <w:sz w:val="24"/>
          <w:szCs w:val="24"/>
        </w:rPr>
        <w:t>system</w:t>
      </w:r>
      <w:r w:rsidRPr="00B6788C" w:rsidR="00933B20">
        <w:rPr>
          <w:rFonts w:ascii="Times New Roman" w:hAnsi="Times New Roman"/>
          <w:sz w:val="24"/>
          <w:szCs w:val="24"/>
        </w:rPr>
        <w:t>.</w:t>
      </w:r>
      <w:r w:rsidRPr="00B6788C" w:rsidR="00115935">
        <w:rPr>
          <w:rFonts w:ascii="Times New Roman" w:hAnsi="Times New Roman"/>
          <w:sz w:val="24"/>
          <w:szCs w:val="24"/>
        </w:rPr>
        <w:t xml:space="preserve"> </w:t>
      </w:r>
      <w:r w:rsidRPr="00B6788C" w:rsidR="00A5467A">
        <w:rPr>
          <w:rFonts w:ascii="Times New Roman" w:hAnsi="Times New Roman"/>
          <w:sz w:val="24"/>
          <w:szCs w:val="24"/>
        </w:rPr>
        <w:t xml:space="preserve"> </w:t>
      </w:r>
      <w:r w:rsidRPr="00B6788C" w:rsidR="00963AFB">
        <w:rPr>
          <w:rFonts w:ascii="Times New Roman" w:hAnsi="Times New Roman"/>
          <w:sz w:val="24"/>
          <w:szCs w:val="24"/>
        </w:rPr>
        <w:t xml:space="preserve">We do not plan on making </w:t>
      </w:r>
      <w:r w:rsidRPr="00B6788C" w:rsidR="005C53BD">
        <w:rPr>
          <w:rFonts w:ascii="Times New Roman" w:eastAsia="Times New Roman" w:hAnsi="Times New Roman"/>
          <w:snapToGrid w:val="0"/>
          <w:sz w:val="24"/>
          <w:szCs w:val="24"/>
        </w:rPr>
        <w:t>a fully electronic version of this information collection because</w:t>
      </w:r>
      <w:r w:rsidRPr="00B6788C" w:rsidR="00963AFB">
        <w:rPr>
          <w:rFonts w:ascii="Times New Roman" w:hAnsi="Times New Roman"/>
          <w:sz w:val="24"/>
          <w:szCs w:val="24"/>
        </w:rPr>
        <w:t xml:space="preserve"> the </w:t>
      </w:r>
      <w:r w:rsidRPr="00B6788C" w:rsidR="008C3170">
        <w:rPr>
          <w:rFonts w:ascii="Times New Roman" w:hAnsi="Times New Roman"/>
          <w:sz w:val="24"/>
          <w:szCs w:val="24"/>
        </w:rPr>
        <w:t xml:space="preserve">FBU’s assist with </w:t>
      </w:r>
      <w:r w:rsidRPr="00B6788C" w:rsidR="005C53BD">
        <w:rPr>
          <w:rFonts w:ascii="Times New Roman" w:hAnsi="Times New Roman"/>
          <w:sz w:val="24"/>
          <w:szCs w:val="24"/>
        </w:rPr>
        <w:t xml:space="preserve">the </w:t>
      </w:r>
      <w:r w:rsidRPr="00B6788C" w:rsidR="008C3170">
        <w:rPr>
          <w:rFonts w:ascii="Times New Roman" w:hAnsi="Times New Roman"/>
          <w:sz w:val="24"/>
          <w:szCs w:val="24"/>
        </w:rPr>
        <w:t xml:space="preserve">completion of </w:t>
      </w:r>
      <w:r w:rsidRPr="00B6788C" w:rsidR="005C53BD">
        <w:rPr>
          <w:rFonts w:ascii="Times New Roman" w:hAnsi="Times New Roman"/>
          <w:sz w:val="24"/>
          <w:szCs w:val="24"/>
        </w:rPr>
        <w:t xml:space="preserve">every </w:t>
      </w:r>
      <w:r w:rsidRPr="00B6788C" w:rsidR="008C3170">
        <w:rPr>
          <w:rFonts w:ascii="Times New Roman" w:hAnsi="Times New Roman"/>
          <w:sz w:val="24"/>
          <w:szCs w:val="24"/>
        </w:rPr>
        <w:t>form</w:t>
      </w:r>
      <w:r>
        <w:rPr>
          <w:rFonts w:ascii="Times New Roman" w:hAnsi="Times New Roman"/>
          <w:sz w:val="24"/>
          <w:szCs w:val="24"/>
        </w:rPr>
        <w:t xml:space="preserve"> due to the age of the respondents</w:t>
      </w:r>
      <w:r w:rsidRPr="00B6788C" w:rsidR="008C3170">
        <w:rPr>
          <w:rFonts w:ascii="Times New Roman" w:hAnsi="Times New Roman"/>
          <w:sz w:val="24"/>
          <w:szCs w:val="24"/>
        </w:rPr>
        <w:t xml:space="preserve">.  </w:t>
      </w:r>
      <w:r w:rsidRPr="00B6788C">
        <w:rPr>
          <w:rFonts w:ascii="Times New Roman" w:eastAsia="Times New Roman" w:hAnsi="Times New Roman"/>
          <w:snapToGrid w:val="0"/>
          <w:sz w:val="24"/>
          <w:szCs w:val="24"/>
        </w:rPr>
        <w:t xml:space="preserve">In addition, because the population who can receive SVB </w:t>
      </w:r>
      <w:r w:rsidRPr="00B6788C" w:rsidR="00AB7B5C">
        <w:rPr>
          <w:rFonts w:ascii="Times New Roman" w:eastAsia="Times New Roman" w:hAnsi="Times New Roman"/>
          <w:snapToGrid w:val="0"/>
          <w:sz w:val="24"/>
          <w:szCs w:val="24"/>
        </w:rPr>
        <w:t>are World War II veterans</w:t>
      </w:r>
      <w:r>
        <w:rPr>
          <w:rFonts w:ascii="Times New Roman" w:eastAsia="Times New Roman" w:hAnsi="Times New Roman"/>
          <w:snapToGrid w:val="0"/>
          <w:sz w:val="24"/>
          <w:szCs w:val="24"/>
        </w:rPr>
        <w:t>, the youngest of whom are now in their mid to late 90’s</w:t>
      </w:r>
      <w:r w:rsidRPr="00B6788C" w:rsidR="00AB7B5C">
        <w:rPr>
          <w:rFonts w:ascii="Times New Roman" w:eastAsia="Times New Roman" w:hAnsi="Times New Roman"/>
          <w:snapToGrid w:val="0"/>
          <w:sz w:val="24"/>
          <w:szCs w:val="24"/>
        </w:rPr>
        <w:t xml:space="preserve">, </w:t>
      </w:r>
      <w:r w:rsidRPr="00B6788C">
        <w:rPr>
          <w:rFonts w:ascii="Times New Roman" w:eastAsia="Times New Roman" w:hAnsi="Times New Roman"/>
          <w:snapToGrid w:val="0"/>
          <w:sz w:val="24"/>
          <w:szCs w:val="24"/>
        </w:rPr>
        <w:t xml:space="preserve">we expect </w:t>
      </w:r>
      <w:r w:rsidRPr="00B6788C" w:rsidR="00ED55AA">
        <w:rPr>
          <w:rFonts w:ascii="Times New Roman" w:eastAsia="Times New Roman" w:hAnsi="Times New Roman"/>
          <w:snapToGrid w:val="0"/>
          <w:sz w:val="24"/>
          <w:szCs w:val="24"/>
        </w:rPr>
        <w:t>the respondent pool to contin</w:t>
      </w:r>
      <w:r w:rsidRPr="00B6788C" w:rsidR="007B10C5">
        <w:rPr>
          <w:rFonts w:ascii="Times New Roman" w:eastAsia="Times New Roman" w:hAnsi="Times New Roman"/>
          <w:snapToGrid w:val="0"/>
          <w:sz w:val="24"/>
          <w:szCs w:val="24"/>
        </w:rPr>
        <w:t>ue to decrease over the next several</w:t>
      </w:r>
      <w:r w:rsidRPr="00B6788C" w:rsidR="00ED55AA">
        <w:rPr>
          <w:rFonts w:ascii="Times New Roman" w:eastAsia="Times New Roman" w:hAnsi="Times New Roman"/>
          <w:snapToGrid w:val="0"/>
          <w:sz w:val="24"/>
          <w:szCs w:val="24"/>
        </w:rPr>
        <w:t xml:space="preserve"> years</w:t>
      </w:r>
      <w:r>
        <w:rPr>
          <w:rFonts w:ascii="Times New Roman" w:eastAsia="Times New Roman" w:hAnsi="Times New Roman"/>
          <w:snapToGrid w:val="0"/>
          <w:sz w:val="24"/>
          <w:szCs w:val="24"/>
        </w:rPr>
        <w:t>, until there are no longer any respondents who are eligible for SVB</w:t>
      </w:r>
      <w:r w:rsidRPr="00B6788C">
        <w:rPr>
          <w:rFonts w:ascii="Times New Roman" w:eastAsia="Times New Roman" w:hAnsi="Times New Roman"/>
          <w:snapToGrid w:val="0"/>
          <w:sz w:val="24"/>
          <w:szCs w:val="24"/>
        </w:rPr>
        <w:t>.</w:t>
      </w:r>
    </w:p>
    <w:p w:rsidR="004A1C9A" w:rsidRPr="00B6788C" w:rsidP="00F06E3F" w14:paraId="494C8841"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1813FA23"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Why We Cannot Use Duplicate Information</w:t>
      </w:r>
    </w:p>
    <w:p w:rsidR="004A1C9A" w:rsidRPr="00B6788C" w:rsidP="00F06E3F" w14:paraId="516FBFFE"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snapToGrid w:val="0"/>
          <w:sz w:val="24"/>
          <w:szCs w:val="24"/>
        </w:rPr>
        <w:t>The nature of the information we collect and the manner in which we collect it precludes duplication.  SSA does not use another collection instrument to obtain similar data.</w:t>
      </w:r>
    </w:p>
    <w:p w:rsidR="004A1C9A" w:rsidP="00F06E3F" w14:paraId="472564B7" w14:textId="4BCFF488">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00959A79"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Minimizing Burden on Small Respondents</w:t>
      </w:r>
    </w:p>
    <w:p w:rsidR="00ED55AA" w:rsidRPr="00B6788C" w:rsidP="00F06E3F" w14:paraId="0653CD35" w14:textId="7BFE7AB5">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snapToGrid w:val="0"/>
          <w:sz w:val="24"/>
          <w:szCs w:val="24"/>
        </w:rPr>
        <w:t>This collection does not affect small businesses or other small entities.</w:t>
      </w:r>
    </w:p>
    <w:p w:rsidR="00ED55AA" w:rsidRPr="00B6788C" w:rsidP="00F06E3F" w14:paraId="57F4150A" w14:textId="77777777">
      <w:pPr>
        <w:widowControl w:val="0"/>
        <w:spacing w:after="0" w:line="240" w:lineRule="auto"/>
        <w:ind w:left="1440"/>
        <w:rPr>
          <w:rFonts w:ascii="Times New Roman" w:eastAsia="Times New Roman" w:hAnsi="Times New Roman"/>
          <w:b/>
          <w:snapToGrid w:val="0"/>
          <w:sz w:val="24"/>
          <w:szCs w:val="24"/>
          <w:u w:val="single"/>
        </w:rPr>
      </w:pPr>
    </w:p>
    <w:p w:rsidR="00ED55AA" w:rsidRPr="00B6788C" w:rsidP="00F06E3F" w14:paraId="49D7FB1B"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Consequence of Not Collecting Information or Collecting it Less Frequently</w:t>
      </w:r>
    </w:p>
    <w:p w:rsidR="00ED55AA" w:rsidRPr="00B6788C" w:rsidP="00F06E3F" w14:paraId="7DC9068F" w14:textId="3608E3EB">
      <w:pPr>
        <w:pStyle w:val="ListParagraph"/>
        <w:widowControl w:val="0"/>
        <w:spacing w:after="0" w:line="240" w:lineRule="auto"/>
        <w:ind w:left="1440"/>
        <w:rPr>
          <w:rFonts w:ascii="Times New Roman" w:eastAsia="Times New Roman" w:hAnsi="Times New Roman"/>
          <w:b/>
          <w:snapToGrid w:val="0"/>
          <w:sz w:val="24"/>
          <w:szCs w:val="24"/>
          <w:u w:val="single"/>
        </w:rPr>
      </w:pPr>
      <w:r w:rsidRPr="00B6788C">
        <w:rPr>
          <w:rFonts w:ascii="Times New Roman" w:eastAsia="Times New Roman" w:hAnsi="Times New Roman"/>
          <w:snapToGrid w:val="0"/>
          <w:sz w:val="24"/>
          <w:szCs w:val="24"/>
        </w:rPr>
        <w:t xml:space="preserve">If </w:t>
      </w:r>
      <w:r w:rsidRPr="00B6788C" w:rsidR="00FA5BCA">
        <w:rPr>
          <w:rFonts w:ascii="Times New Roman" w:eastAsia="Times New Roman" w:hAnsi="Times New Roman"/>
          <w:snapToGrid w:val="0"/>
          <w:sz w:val="24"/>
          <w:szCs w:val="24"/>
        </w:rPr>
        <w:t>we</w:t>
      </w:r>
      <w:r w:rsidRPr="00B6788C">
        <w:rPr>
          <w:rFonts w:ascii="Times New Roman" w:eastAsia="Times New Roman" w:hAnsi="Times New Roman"/>
          <w:snapToGrid w:val="0"/>
          <w:sz w:val="24"/>
          <w:szCs w:val="24"/>
        </w:rPr>
        <w:t xml:space="preserve"> did not use Form SSA-2010</w:t>
      </w:r>
      <w:r w:rsidR="00012F79">
        <w:rPr>
          <w:rFonts w:ascii="Times New Roman" w:eastAsia="Times New Roman" w:hAnsi="Times New Roman"/>
          <w:snapToGrid w:val="0"/>
          <w:sz w:val="24"/>
          <w:szCs w:val="24"/>
        </w:rPr>
        <w:t>-F6</w:t>
      </w:r>
      <w:r w:rsidRPr="00B6788C">
        <w:rPr>
          <w:rFonts w:ascii="Times New Roman" w:eastAsia="Times New Roman" w:hAnsi="Times New Roman"/>
          <w:snapToGrid w:val="0"/>
          <w:sz w:val="24"/>
          <w:szCs w:val="24"/>
        </w:rPr>
        <w:t xml:space="preserve">, </w:t>
      </w:r>
      <w:r w:rsidRPr="00B6788C" w:rsidR="00FA5BCA">
        <w:rPr>
          <w:rFonts w:ascii="Times New Roman" w:eastAsia="Times New Roman" w:hAnsi="Times New Roman"/>
          <w:snapToGrid w:val="0"/>
          <w:sz w:val="24"/>
          <w:szCs w:val="24"/>
        </w:rPr>
        <w:t>we would have no means to maintain the integrity of the SVB program to determine continuing entitlement and correct payment amounts</w:t>
      </w:r>
      <w:r>
        <w:rPr>
          <w:rFonts w:ascii="Times New Roman" w:eastAsia="Times New Roman" w:hAnsi="Times New Roman"/>
          <w:snapToGrid w:val="0"/>
          <w:sz w:val="24"/>
          <w:szCs w:val="24"/>
        </w:rPr>
        <w:t xml:space="preserve"> for the recipients</w:t>
      </w:r>
      <w:r w:rsidRPr="00B6788C" w:rsidR="00FA5BCA">
        <w:rPr>
          <w:rFonts w:ascii="Times New Roman" w:eastAsia="Times New Roman" w:hAnsi="Times New Roman"/>
          <w:snapToGrid w:val="0"/>
          <w:sz w:val="24"/>
          <w:szCs w:val="24"/>
        </w:rPr>
        <w:t xml:space="preserve">, which could result in </w:t>
      </w:r>
      <w:r w:rsidRPr="00B6788C">
        <w:rPr>
          <w:rFonts w:ascii="Times New Roman" w:eastAsia="Times New Roman" w:hAnsi="Times New Roman"/>
          <w:snapToGrid w:val="0"/>
          <w:sz w:val="24"/>
          <w:szCs w:val="24"/>
        </w:rPr>
        <w:t>improper payments and overpayments.  Because we only collect the information once, we cannot collect it less frequently.  There are no technical or legal obstacles to burden reduction.</w:t>
      </w:r>
    </w:p>
    <w:p w:rsidR="00ED55AA" w:rsidRPr="00B6788C" w:rsidP="00F06E3F" w14:paraId="240D8E4B"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37188DEA"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Special Circumstances</w:t>
      </w:r>
    </w:p>
    <w:p w:rsidR="00ED55AA" w:rsidRPr="00B6788C" w:rsidP="00F06E3F" w14:paraId="44092C77"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bCs/>
          <w:iCs/>
          <w:snapToGrid w:val="0"/>
          <w:sz w:val="24"/>
          <w:szCs w:val="24"/>
        </w:rPr>
        <w:t xml:space="preserve">There are no special circumstances that would cause SSA to conduct this information collection in a manner inconsistent with </w:t>
      </w:r>
      <w:r w:rsidRPr="00B6788C">
        <w:rPr>
          <w:rFonts w:ascii="Times New Roman" w:eastAsia="Times New Roman" w:hAnsi="Times New Roman"/>
          <w:bCs/>
          <w:i/>
          <w:iCs/>
          <w:snapToGrid w:val="0"/>
          <w:sz w:val="24"/>
          <w:szCs w:val="24"/>
        </w:rPr>
        <w:t>5 CFR 1320.5</w:t>
      </w:r>
      <w:r w:rsidRPr="00B6788C">
        <w:rPr>
          <w:rFonts w:ascii="Times New Roman" w:eastAsia="Times New Roman" w:hAnsi="Times New Roman"/>
          <w:bCs/>
          <w:iCs/>
          <w:snapToGrid w:val="0"/>
          <w:sz w:val="24"/>
          <w:szCs w:val="24"/>
        </w:rPr>
        <w:t>.</w:t>
      </w:r>
    </w:p>
    <w:p w:rsidR="00ED55AA" w:rsidRPr="00B6788C" w:rsidP="00F06E3F" w14:paraId="2EFB9EA2"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060178AF"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Solicitation of Public Comment and Other Consultations with the Public</w:t>
      </w:r>
    </w:p>
    <w:p w:rsidR="00ED55AA" w:rsidRPr="00CC1BF1" w:rsidP="00F06E3F" w14:paraId="017F7E29" w14:textId="430550C5">
      <w:pPr>
        <w:pStyle w:val="ListParagraph"/>
        <w:widowControl w:val="0"/>
        <w:spacing w:after="0" w:line="240" w:lineRule="auto"/>
        <w:ind w:left="1440"/>
        <w:rPr>
          <w:rFonts w:ascii="Times New Roman" w:eastAsia="Times New Roman" w:hAnsi="Times New Roman"/>
          <w:b/>
          <w:snapToGrid w:val="0"/>
          <w:sz w:val="24"/>
          <w:szCs w:val="24"/>
        </w:rPr>
      </w:pPr>
      <w:r w:rsidRPr="00CC1BF1">
        <w:rPr>
          <w:rFonts w:ascii="Times New Roman" w:eastAsia="Times New Roman" w:hAnsi="Times New Roman"/>
          <w:bCs/>
          <w:snapToGrid w:val="0"/>
          <w:sz w:val="24"/>
          <w:szCs w:val="24"/>
        </w:rPr>
        <w:t xml:space="preserve">The 60-day advance Federal Register Notice published on </w:t>
      </w:r>
      <w:r w:rsidRPr="00CC1BF1" w:rsidR="00097930">
        <w:rPr>
          <w:rFonts w:ascii="Times New Roman" w:eastAsia="Times New Roman" w:hAnsi="Times New Roman"/>
          <w:bCs/>
          <w:snapToGrid w:val="0"/>
          <w:sz w:val="24"/>
          <w:szCs w:val="24"/>
        </w:rPr>
        <w:t>June</w:t>
      </w:r>
      <w:r w:rsidRPr="00CC1BF1">
        <w:rPr>
          <w:rFonts w:ascii="Times New Roman" w:eastAsia="Times New Roman" w:hAnsi="Times New Roman"/>
          <w:bCs/>
          <w:snapToGrid w:val="0"/>
          <w:sz w:val="24"/>
          <w:szCs w:val="24"/>
        </w:rPr>
        <w:t xml:space="preserve"> 30, 2022, at 87 FR </w:t>
      </w:r>
      <w:r w:rsidRPr="00CC1BF1" w:rsidR="00097930">
        <w:rPr>
          <w:rFonts w:ascii="Times New Roman" w:eastAsia="Times New Roman" w:hAnsi="Times New Roman"/>
          <w:bCs/>
          <w:snapToGrid w:val="0"/>
          <w:sz w:val="24"/>
          <w:szCs w:val="24"/>
        </w:rPr>
        <w:t>39153</w:t>
      </w:r>
      <w:r w:rsidRPr="00CC1BF1">
        <w:rPr>
          <w:rFonts w:ascii="Times New Roman" w:eastAsia="Times New Roman" w:hAnsi="Times New Roman"/>
          <w:bCs/>
          <w:snapToGrid w:val="0"/>
          <w:sz w:val="24"/>
          <w:szCs w:val="24"/>
        </w:rPr>
        <w:t xml:space="preserve">, and we received no public comments.  </w:t>
      </w:r>
      <w:r w:rsidRPr="00CC1BF1" w:rsidR="00CC1BF1">
        <w:rPr>
          <w:rFonts w:ascii="Times New Roman" w:hAnsi="Times New Roman"/>
          <w:snapToGrid w:val="0"/>
          <w:sz w:val="24"/>
          <w:szCs w:val="24"/>
        </w:rPr>
        <w:t xml:space="preserve">The 30-day FRN published on September 20, 2022 at 87 FR </w:t>
      </w:r>
      <w:r w:rsidRPr="00CC1BF1" w:rsidR="00CC1BF1">
        <w:rPr>
          <w:rFonts w:ascii="Times New Roman" w:hAnsi="Times New Roman"/>
          <w:bCs/>
          <w:snapToGrid w:val="0"/>
          <w:sz w:val="24"/>
          <w:szCs w:val="24"/>
        </w:rPr>
        <w:t>57551</w:t>
      </w:r>
      <w:r w:rsidRPr="00CC1BF1">
        <w:rPr>
          <w:rFonts w:ascii="Times New Roman" w:eastAsia="Times New Roman" w:hAnsi="Times New Roman"/>
          <w:bCs/>
          <w:snapToGrid w:val="0"/>
          <w:sz w:val="24"/>
          <w:szCs w:val="24"/>
        </w:rPr>
        <w:t>.  If we receive any comments in response to this Notice, we will forward them to OMB</w:t>
      </w:r>
      <w:r w:rsidRPr="00CC1BF1" w:rsidR="008C3170">
        <w:rPr>
          <w:rFonts w:ascii="Times New Roman" w:hAnsi="Times New Roman"/>
          <w:sz w:val="24"/>
          <w:szCs w:val="24"/>
        </w:rPr>
        <w:t>.</w:t>
      </w:r>
    </w:p>
    <w:p w:rsidR="00ED55AA" w:rsidRPr="00B6788C" w:rsidP="00F06E3F" w14:paraId="1317A14C"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0C938F25"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Payment or Gifts to Respondents</w:t>
      </w:r>
    </w:p>
    <w:p w:rsidR="00ED55AA" w:rsidRPr="00B6788C" w:rsidP="00F06E3F" w14:paraId="13E735B4"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snapToGrid w:val="0"/>
          <w:sz w:val="24"/>
          <w:szCs w:val="24"/>
        </w:rPr>
        <w:t>SSA does not provide payments or gifts to the respondents.</w:t>
      </w:r>
    </w:p>
    <w:p w:rsidR="00ED55AA" w:rsidRPr="00B6788C" w:rsidP="00F06E3F" w14:paraId="2803FF84"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3C6E20DD"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Assurances of Confidentiality</w:t>
      </w:r>
    </w:p>
    <w:p w:rsidR="00ED55AA" w:rsidRPr="00B6788C" w:rsidP="00F06E3F" w14:paraId="67EF9F6D"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snapToGrid w:val="0"/>
          <w:sz w:val="24"/>
          <w:szCs w:val="24"/>
        </w:rPr>
        <w:t xml:space="preserve">SSA protects and holds confidential the information it collects in accordance with </w:t>
      </w:r>
      <w:r w:rsidRPr="00B6788C">
        <w:rPr>
          <w:rFonts w:ascii="Times New Roman" w:eastAsia="Times New Roman" w:hAnsi="Times New Roman"/>
          <w:i/>
          <w:snapToGrid w:val="0"/>
          <w:sz w:val="24"/>
          <w:szCs w:val="24"/>
        </w:rPr>
        <w:t xml:space="preserve">42 U.S.C. 1306, 20 CFR 401 </w:t>
      </w:r>
      <w:r w:rsidRPr="00B6788C">
        <w:rPr>
          <w:rFonts w:ascii="Times New Roman" w:eastAsia="Times New Roman" w:hAnsi="Times New Roman"/>
          <w:snapToGrid w:val="0"/>
          <w:sz w:val="24"/>
          <w:szCs w:val="24"/>
        </w:rPr>
        <w:t>and</w:t>
      </w:r>
      <w:r w:rsidRPr="00B6788C">
        <w:rPr>
          <w:rFonts w:ascii="Times New Roman" w:eastAsia="Times New Roman" w:hAnsi="Times New Roman"/>
          <w:i/>
          <w:snapToGrid w:val="0"/>
          <w:sz w:val="24"/>
          <w:szCs w:val="24"/>
        </w:rPr>
        <w:t xml:space="preserve"> 402, 5 U.S.C. 552 </w:t>
      </w:r>
      <w:r w:rsidRPr="00B6788C">
        <w:rPr>
          <w:rFonts w:ascii="Times New Roman" w:eastAsia="Times New Roman" w:hAnsi="Times New Roman"/>
          <w:snapToGrid w:val="0"/>
          <w:sz w:val="24"/>
          <w:szCs w:val="24"/>
        </w:rPr>
        <w:t xml:space="preserve">(Freedom of Information Act), </w:t>
      </w:r>
      <w:r w:rsidRPr="00B6788C">
        <w:rPr>
          <w:rFonts w:ascii="Times New Roman" w:eastAsia="Times New Roman" w:hAnsi="Times New Roman"/>
          <w:i/>
          <w:snapToGrid w:val="0"/>
          <w:sz w:val="24"/>
          <w:szCs w:val="24"/>
        </w:rPr>
        <w:t>5 U.S.C</w:t>
      </w:r>
      <w:r w:rsidRPr="00B6788C">
        <w:rPr>
          <w:rFonts w:ascii="Times New Roman" w:eastAsia="Times New Roman" w:hAnsi="Times New Roman"/>
          <w:snapToGrid w:val="0"/>
          <w:sz w:val="24"/>
          <w:szCs w:val="24"/>
        </w:rPr>
        <w:t xml:space="preserve">. </w:t>
      </w:r>
      <w:r w:rsidRPr="00B6788C">
        <w:rPr>
          <w:rFonts w:ascii="Times New Roman" w:eastAsia="Times New Roman" w:hAnsi="Times New Roman"/>
          <w:i/>
          <w:snapToGrid w:val="0"/>
          <w:sz w:val="24"/>
          <w:szCs w:val="24"/>
        </w:rPr>
        <w:t xml:space="preserve">552a </w:t>
      </w:r>
      <w:r w:rsidRPr="00B6788C">
        <w:rPr>
          <w:rFonts w:ascii="Times New Roman" w:eastAsia="Times New Roman" w:hAnsi="Times New Roman"/>
          <w:snapToGrid w:val="0"/>
          <w:sz w:val="24"/>
          <w:szCs w:val="24"/>
        </w:rPr>
        <w:t>(Privacy Act of 1974), and OMB Circular No. A-130.</w:t>
      </w:r>
    </w:p>
    <w:p w:rsidR="00ED55AA" w:rsidRPr="00B6788C" w:rsidP="00F06E3F" w14:paraId="6EC418B9"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73F56245"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Justification for Sensitive Questions</w:t>
      </w:r>
    </w:p>
    <w:p w:rsidR="00ED55AA" w:rsidRPr="00B6788C" w:rsidP="00F06E3F" w14:paraId="27C7F504"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bCs/>
          <w:iCs/>
          <w:snapToGrid w:val="0"/>
          <w:sz w:val="24"/>
          <w:szCs w:val="24"/>
        </w:rPr>
        <w:t>The information collection does not contain any questions of a sensitive nature.</w:t>
      </w:r>
    </w:p>
    <w:p w:rsidR="00ED55AA" w:rsidRPr="00B6788C" w:rsidP="00F06E3F" w14:paraId="3D0F6F59"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F06E3F" w14:paraId="142F7B75"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Estimates of Public Reporting Burden</w:t>
      </w:r>
    </w:p>
    <w:p w:rsidR="00403B95" w:rsidRPr="00B6788C" w:rsidP="00F06E3F" w14:paraId="27E92579" w14:textId="77777777">
      <w:pPr>
        <w:spacing w:after="0" w:line="240" w:lineRule="auto"/>
        <w:ind w:left="1440"/>
        <w:rPr>
          <w:rFonts w:ascii="Times New Roman" w:hAnsi="Times New Roman"/>
          <w:sz w:val="24"/>
          <w:szCs w:val="24"/>
        </w:rPr>
      </w:pPr>
      <w:r w:rsidRPr="00B6788C">
        <w:rPr>
          <w:rFonts w:ascii="Times New Roman" w:hAnsi="Times New Roman"/>
          <w:bCs/>
          <w:snapToGrid w:val="0"/>
          <w:sz w:val="24"/>
          <w:szCs w:val="24"/>
        </w:rPr>
        <w:t>Please see the burden chart below</w:t>
      </w:r>
      <w:r w:rsidRPr="00B6788C">
        <w:rPr>
          <w:rFonts w:ascii="Times New Roman" w:hAnsi="Times New Roman"/>
          <w:sz w:val="24"/>
          <w:szCs w:val="24"/>
        </w:rPr>
        <w:t>:</w:t>
      </w:r>
    </w:p>
    <w:p w:rsidR="0064072B" w:rsidRPr="00B6788C" w14:paraId="7F38BDFF" w14:textId="3225E685">
      <w:pPr>
        <w:spacing w:after="0" w:line="240" w:lineRule="auto"/>
        <w:rPr>
          <w:rFonts w:ascii="Times New Roman" w:eastAsia="Times New Roman" w:hAnsi="Times New Roman"/>
          <w:snapToGrid w:val="0"/>
          <w:sz w:val="24"/>
          <w:szCs w:val="24"/>
        </w:rPr>
      </w:pPr>
      <w:r w:rsidRPr="00B6788C">
        <w:rPr>
          <w:rFonts w:ascii="Times New Roman" w:eastAsia="Times New Roman" w:hAnsi="Times New Roman"/>
          <w:snapToGrid w:val="0"/>
          <w:sz w:val="24"/>
          <w:szCs w:val="24"/>
        </w:rPr>
        <w:br w:type="page"/>
      </w:r>
    </w:p>
    <w:tbl>
      <w:tblPr>
        <w:tblW w:w="11677"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530"/>
        <w:gridCol w:w="1350"/>
        <w:gridCol w:w="1260"/>
        <w:gridCol w:w="1260"/>
        <w:gridCol w:w="1440"/>
        <w:gridCol w:w="1530"/>
        <w:gridCol w:w="1687"/>
      </w:tblGrid>
      <w:tr w14:paraId="458D2965" w14:textId="77777777" w:rsidTr="00403B95">
        <w:tblPrEx>
          <w:tblW w:w="11677"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20" w:type="dxa"/>
          </w:tcPr>
          <w:p w:rsidR="00403B95" w:rsidRPr="00403B95" w:rsidP="00403B95" w14:paraId="1FB5D56D"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Modality of Completion</w:t>
            </w:r>
          </w:p>
        </w:tc>
        <w:tc>
          <w:tcPr>
            <w:tcW w:w="1530" w:type="dxa"/>
          </w:tcPr>
          <w:p w:rsidR="00403B95" w:rsidRPr="00403B95" w:rsidP="00403B95" w14:paraId="1DC96C06"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Number of Respondents</w:t>
            </w:r>
          </w:p>
        </w:tc>
        <w:tc>
          <w:tcPr>
            <w:tcW w:w="1350" w:type="dxa"/>
          </w:tcPr>
          <w:p w:rsidR="00403B95" w:rsidRPr="00403B95" w:rsidP="00403B95" w14:paraId="5341E936"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Frequency of Response</w:t>
            </w:r>
          </w:p>
        </w:tc>
        <w:tc>
          <w:tcPr>
            <w:tcW w:w="1260" w:type="dxa"/>
          </w:tcPr>
          <w:p w:rsidR="00403B95" w:rsidRPr="00403B95" w:rsidP="00403B95" w14:paraId="229C9DF3"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Average Burden per Response (minutes)</w:t>
            </w:r>
          </w:p>
        </w:tc>
        <w:tc>
          <w:tcPr>
            <w:tcW w:w="1260" w:type="dxa"/>
          </w:tcPr>
          <w:p w:rsidR="00403B95" w:rsidRPr="00403B95" w:rsidP="00403B95" w14:paraId="6D644B3E"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Estimated Total Annual Burden (hours)</w:t>
            </w:r>
          </w:p>
        </w:tc>
        <w:tc>
          <w:tcPr>
            <w:tcW w:w="1440" w:type="dxa"/>
          </w:tcPr>
          <w:p w:rsidR="00403B95" w:rsidRPr="00403B95" w:rsidP="00403B95" w14:paraId="3BA76CCE"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Average Theoretical Hourly Cost Amount (dollars)*</w:t>
            </w:r>
          </w:p>
        </w:tc>
        <w:tc>
          <w:tcPr>
            <w:tcW w:w="1530" w:type="dxa"/>
          </w:tcPr>
          <w:p w:rsidR="00403B95" w:rsidRPr="00403B95" w:rsidP="00403B95" w14:paraId="2105E83D" w14:textId="77777777">
            <w:pPr>
              <w:autoSpaceDE w:val="0"/>
              <w:autoSpaceDN w:val="0"/>
              <w:adjustRightInd w:val="0"/>
              <w:spacing w:after="0" w:line="240" w:lineRule="auto"/>
              <w:rPr>
                <w:rFonts w:ascii="Times New Roman" w:eastAsia="Times New Roman" w:hAnsi="Times New Roman"/>
                <w:b/>
                <w:bCs/>
                <w:sz w:val="24"/>
                <w:szCs w:val="24"/>
              </w:rPr>
            </w:pPr>
            <w:r w:rsidRPr="00403B95">
              <w:rPr>
                <w:rFonts w:ascii="Times New Roman" w:eastAsia="Times New Roman" w:hAnsi="Times New Roman"/>
                <w:b/>
                <w:bCs/>
                <w:sz w:val="24"/>
                <w:szCs w:val="24"/>
              </w:rPr>
              <w:t xml:space="preserve">Average Wait Time   for Teleservice Centers </w:t>
            </w:r>
          </w:p>
          <w:p w:rsidR="00403B95" w:rsidRPr="00403B95" w:rsidP="00403B95" w14:paraId="7AAB37FC"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bCs/>
                <w:sz w:val="24"/>
                <w:szCs w:val="24"/>
              </w:rPr>
              <w:t>(minutes)**</w:t>
            </w:r>
          </w:p>
        </w:tc>
        <w:tc>
          <w:tcPr>
            <w:tcW w:w="1687" w:type="dxa"/>
          </w:tcPr>
          <w:p w:rsidR="00403B95" w:rsidRPr="00403B95" w:rsidP="00403B95" w14:paraId="158FB7DC" w14:textId="77777777">
            <w:pPr>
              <w:widowControl w:val="0"/>
              <w:spacing w:after="0" w:line="240" w:lineRule="auto"/>
              <w:rPr>
                <w:rFonts w:ascii="Times New Roman" w:eastAsia="Times New Roman" w:hAnsi="Times New Roman"/>
                <w:b/>
                <w:snapToGrid w:val="0"/>
                <w:sz w:val="24"/>
                <w:szCs w:val="24"/>
              </w:rPr>
            </w:pPr>
            <w:r w:rsidRPr="00403B95">
              <w:rPr>
                <w:rFonts w:ascii="Times New Roman" w:eastAsia="Times New Roman" w:hAnsi="Times New Roman"/>
                <w:b/>
                <w:snapToGrid w:val="0"/>
                <w:sz w:val="24"/>
                <w:szCs w:val="24"/>
              </w:rPr>
              <w:t>Total Annual Opportunity Cost (dollars)***</w:t>
            </w:r>
          </w:p>
        </w:tc>
      </w:tr>
      <w:tr w14:paraId="3590C4EB" w14:textId="77777777" w:rsidTr="00403B95">
        <w:tblPrEx>
          <w:tblW w:w="11677" w:type="dxa"/>
          <w:tblInd w:w="-1265" w:type="dxa"/>
          <w:tblLayout w:type="fixed"/>
          <w:tblLook w:val="01E0"/>
        </w:tblPrEx>
        <w:tc>
          <w:tcPr>
            <w:tcW w:w="1620" w:type="dxa"/>
            <w:tcBorders>
              <w:top w:val="single" w:sz="4" w:space="0" w:color="auto"/>
              <w:left w:val="single" w:sz="4" w:space="0" w:color="auto"/>
              <w:bottom w:val="single" w:sz="4" w:space="0" w:color="auto"/>
              <w:right w:val="single" w:sz="4" w:space="0" w:color="auto"/>
            </w:tcBorders>
            <w:shd w:val="clear" w:color="auto" w:fill="auto"/>
          </w:tcPr>
          <w:p w:rsidR="00403B95" w:rsidRPr="00403B95" w:rsidP="00403B95" w14:paraId="061B8C97" w14:textId="48A17C10">
            <w:pPr>
              <w:widowControl w:val="0"/>
              <w:spacing w:after="0" w:line="240" w:lineRule="auto"/>
              <w:rPr>
                <w:rFonts w:ascii="Times New Roman" w:eastAsia="Times New Roman" w:hAnsi="Times New Roman"/>
                <w:snapToGrid w:val="0"/>
                <w:sz w:val="24"/>
                <w:szCs w:val="24"/>
              </w:rPr>
            </w:pPr>
            <w:r w:rsidRPr="00403B95">
              <w:rPr>
                <w:rFonts w:ascii="Times New Roman" w:eastAsia="SimSun" w:hAnsi="Times New Roman"/>
                <w:sz w:val="24"/>
                <w:szCs w:val="24"/>
                <w:lang w:eastAsia="ar-SA"/>
              </w:rPr>
              <w:t>SSA-2010-F6</w:t>
            </w:r>
          </w:p>
        </w:tc>
        <w:tc>
          <w:tcPr>
            <w:tcW w:w="1530" w:type="dxa"/>
            <w:tcBorders>
              <w:top w:val="single" w:sz="4" w:space="0" w:color="auto"/>
              <w:left w:val="single" w:sz="4" w:space="0" w:color="auto"/>
              <w:bottom w:val="single" w:sz="4" w:space="0" w:color="auto"/>
              <w:right w:val="single" w:sz="4" w:space="0" w:color="auto"/>
            </w:tcBorders>
          </w:tcPr>
          <w:p w:rsidR="00403B95" w:rsidRPr="00403B95" w:rsidP="00403B95" w14:paraId="69ED33B3" w14:textId="757741D0">
            <w:pPr>
              <w:widowControl w:val="0"/>
              <w:spacing w:after="0" w:line="240" w:lineRule="auto"/>
              <w:jc w:val="right"/>
              <w:rPr>
                <w:rFonts w:ascii="Times New Roman" w:eastAsia="Times New Roman" w:hAnsi="Times New Roman"/>
                <w:snapToGrid w:val="0"/>
                <w:sz w:val="24"/>
                <w:szCs w:val="24"/>
              </w:rPr>
            </w:pPr>
            <w:r w:rsidRPr="00403B95">
              <w:rPr>
                <w:rFonts w:ascii="Times New Roman" w:eastAsia="SimSun" w:hAnsi="Times New Roman"/>
                <w:sz w:val="24"/>
                <w:szCs w:val="24"/>
                <w:lang w:eastAsia="ar-SA"/>
              </w:rPr>
              <w:t>85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03B95" w:rsidRPr="00403B95" w:rsidP="00403B95" w14:paraId="4BE558BB" w14:textId="4B70AD62">
            <w:pPr>
              <w:widowControl w:val="0"/>
              <w:spacing w:after="0" w:line="240" w:lineRule="auto"/>
              <w:jc w:val="right"/>
              <w:rPr>
                <w:rFonts w:ascii="Times New Roman" w:eastAsia="Times New Roman" w:hAnsi="Times New Roman"/>
                <w:snapToGrid w:val="0"/>
                <w:sz w:val="24"/>
                <w:szCs w:val="24"/>
              </w:rPr>
            </w:pPr>
            <w:r w:rsidRPr="00403B95">
              <w:rPr>
                <w:rFonts w:ascii="Times New Roman" w:eastAsia="SimSun" w:hAnsi="Times New Roman"/>
                <w:sz w:val="24"/>
                <w:szCs w:val="24"/>
                <w:lang w:eastAsia="ar-SA"/>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03B95" w:rsidRPr="00403B95" w:rsidP="00403B95" w14:paraId="3889DDB1" w14:textId="097A1128">
            <w:pPr>
              <w:widowControl w:val="0"/>
              <w:spacing w:after="0" w:line="240" w:lineRule="auto"/>
              <w:jc w:val="right"/>
              <w:rPr>
                <w:rFonts w:ascii="Times New Roman" w:eastAsia="Times New Roman" w:hAnsi="Times New Roman"/>
                <w:snapToGrid w:val="0"/>
                <w:sz w:val="24"/>
                <w:szCs w:val="24"/>
              </w:rPr>
            </w:pPr>
            <w:r w:rsidRPr="00403B95">
              <w:rPr>
                <w:rFonts w:ascii="Times New Roman" w:eastAsia="SimSun" w:hAnsi="Times New Roman"/>
                <w:sz w:val="24"/>
                <w:szCs w:val="24"/>
                <w:lang w:eastAsia="ar-SA"/>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03B95" w:rsidRPr="00403B95" w:rsidP="00403B95" w14:paraId="1C0AAE63" w14:textId="75E19ECF">
            <w:pPr>
              <w:widowControl w:val="0"/>
              <w:spacing w:after="0" w:line="240" w:lineRule="auto"/>
              <w:jc w:val="right"/>
              <w:rPr>
                <w:rFonts w:ascii="Times New Roman" w:eastAsia="Times New Roman" w:hAnsi="Times New Roman"/>
                <w:snapToGrid w:val="0"/>
                <w:sz w:val="24"/>
                <w:szCs w:val="24"/>
              </w:rPr>
            </w:pPr>
            <w:r w:rsidRPr="00403B95">
              <w:rPr>
                <w:rFonts w:ascii="Times New Roman" w:eastAsia="SimSun" w:hAnsi="Times New Roman"/>
                <w:sz w:val="24"/>
                <w:szCs w:val="24"/>
                <w:lang w:eastAsia="ar-SA"/>
              </w:rPr>
              <w:t>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03B95" w:rsidRPr="00403B95" w:rsidP="00403B95" w14:paraId="60D0D2B2" w14:textId="03B76AC6">
            <w:pPr>
              <w:widowControl w:val="0"/>
              <w:spacing w:after="0" w:line="240" w:lineRule="auto"/>
              <w:jc w:val="right"/>
              <w:rPr>
                <w:rFonts w:ascii="Times New Roman" w:eastAsia="Times New Roman" w:hAnsi="Times New Roman"/>
                <w:snapToGrid w:val="0"/>
                <w:sz w:val="24"/>
                <w:szCs w:val="24"/>
              </w:rPr>
            </w:pPr>
            <w:r w:rsidRPr="00403B95">
              <w:rPr>
                <w:rFonts w:ascii="Times New Roman" w:eastAsia="SimSun" w:hAnsi="Times New Roman"/>
                <w:bCs/>
                <w:sz w:val="24"/>
                <w:szCs w:val="24"/>
                <w:lang w:eastAsia="ar-SA"/>
              </w:rPr>
              <w:t>$28.01*</w:t>
            </w:r>
          </w:p>
        </w:tc>
        <w:tc>
          <w:tcPr>
            <w:tcW w:w="1530" w:type="dxa"/>
          </w:tcPr>
          <w:p w:rsidR="00403B95" w:rsidRPr="00403B95" w:rsidP="00403B95" w14:paraId="462FE27C" w14:textId="77777777">
            <w:pPr>
              <w:widowControl w:val="0"/>
              <w:spacing w:after="0" w:line="240" w:lineRule="auto"/>
              <w:jc w:val="right"/>
              <w:rPr>
                <w:rFonts w:ascii="Times New Roman" w:eastAsia="Times New Roman" w:hAnsi="Times New Roman"/>
                <w:snapToGrid w:val="0"/>
                <w:sz w:val="24"/>
                <w:szCs w:val="24"/>
              </w:rPr>
            </w:pPr>
            <w:r w:rsidRPr="00403B95">
              <w:rPr>
                <w:rFonts w:ascii="Times New Roman" w:eastAsia="Times New Roman" w:hAnsi="Times New Roman"/>
                <w:snapToGrid w:val="0"/>
                <w:sz w:val="24"/>
                <w:szCs w:val="24"/>
              </w:rPr>
              <w:t>19**</w:t>
            </w:r>
          </w:p>
        </w:tc>
        <w:tc>
          <w:tcPr>
            <w:tcW w:w="1687" w:type="dxa"/>
          </w:tcPr>
          <w:p w:rsidR="00403B95" w:rsidRPr="00403B95" w:rsidP="00403B95" w14:paraId="3610977F" w14:textId="20C12C13">
            <w:pPr>
              <w:widowControl w:val="0"/>
              <w:spacing w:after="0" w:line="240" w:lineRule="auto"/>
              <w:jc w:val="right"/>
              <w:rPr>
                <w:rFonts w:ascii="Times New Roman" w:eastAsia="Times New Roman" w:hAnsi="Times New Roman"/>
                <w:snapToGrid w:val="0"/>
                <w:sz w:val="24"/>
                <w:szCs w:val="24"/>
              </w:rPr>
            </w:pPr>
            <w:r w:rsidRPr="00403B95">
              <w:rPr>
                <w:rFonts w:ascii="Times New Roman" w:eastAsia="Times New Roman" w:hAnsi="Times New Roman"/>
                <w:snapToGrid w:val="0"/>
                <w:sz w:val="24"/>
                <w:szCs w:val="24"/>
              </w:rPr>
              <w:t>$1,</w:t>
            </w:r>
            <w:r w:rsidRPr="00B6788C" w:rsidR="00D6327C">
              <w:rPr>
                <w:rFonts w:ascii="Times New Roman" w:eastAsia="Times New Roman" w:hAnsi="Times New Roman"/>
                <w:snapToGrid w:val="0"/>
                <w:sz w:val="24"/>
                <w:szCs w:val="24"/>
              </w:rPr>
              <w:t>541</w:t>
            </w:r>
            <w:r w:rsidRPr="00403B95">
              <w:rPr>
                <w:rFonts w:ascii="Times New Roman" w:eastAsia="Times New Roman" w:hAnsi="Times New Roman"/>
                <w:snapToGrid w:val="0"/>
                <w:sz w:val="24"/>
                <w:szCs w:val="24"/>
              </w:rPr>
              <w:t>***</w:t>
            </w:r>
          </w:p>
        </w:tc>
      </w:tr>
    </w:tbl>
    <w:p w:rsidR="00403B95" w:rsidRPr="00B6788C" w:rsidP="00403B95" w14:paraId="631889A4" w14:textId="4A77E9BA">
      <w:pPr>
        <w:keepNext/>
        <w:widowControl w:val="0"/>
        <w:tabs>
          <w:tab w:val="left" w:pos="1440"/>
        </w:tabs>
        <w:spacing w:after="0" w:line="240" w:lineRule="auto"/>
        <w:ind w:left="1440"/>
        <w:contextualSpacing/>
        <w:rPr>
          <w:rFonts w:ascii="Times New Roman" w:eastAsia="SimSun" w:hAnsi="Times New Roman"/>
          <w:snapToGrid w:val="0"/>
          <w:sz w:val="24"/>
          <w:szCs w:val="24"/>
        </w:rPr>
      </w:pPr>
      <w:bookmarkStart w:id="2" w:name="_Hlk101967577"/>
      <w:r w:rsidRPr="00403B95">
        <w:rPr>
          <w:rFonts w:ascii="Times New Roman" w:eastAsia="SimSun" w:hAnsi="Times New Roman"/>
          <w:bCs/>
          <w:snapToGrid w:val="0"/>
          <w:sz w:val="24"/>
          <w:szCs w:val="24"/>
        </w:rPr>
        <w:t>*</w:t>
      </w:r>
      <w:r w:rsidRPr="00403B95">
        <w:rPr>
          <w:rFonts w:ascii="Times New Roman" w:eastAsia="SimSun" w:hAnsi="Times New Roman"/>
          <w:b/>
          <w:snapToGrid w:val="0"/>
          <w:sz w:val="24"/>
          <w:szCs w:val="24"/>
        </w:rPr>
        <w:t xml:space="preserve"> </w:t>
      </w:r>
      <w:r w:rsidRPr="00403B95">
        <w:rPr>
          <w:rFonts w:ascii="Times New Roman" w:eastAsia="SimSun" w:hAnsi="Times New Roman"/>
          <w:snapToGrid w:val="0"/>
          <w:sz w:val="24"/>
          <w:szCs w:val="24"/>
        </w:rPr>
        <w:t>We based this figure on the average U.S. worker’s hourly wages, as reported by Bureau of Labor Statistics data (</w:t>
      </w:r>
      <w:hyperlink r:id="rId4" w:history="1">
        <w:r w:rsidRPr="00403B95">
          <w:rPr>
            <w:rFonts w:ascii="Times New Roman" w:eastAsia="SimSun" w:hAnsi="Times New Roman"/>
            <w:snapToGrid w:val="0"/>
            <w:color w:val="0000FF"/>
            <w:sz w:val="24"/>
            <w:szCs w:val="24"/>
            <w:u w:val="single"/>
          </w:rPr>
          <w:t>https://www.bls.gov/oes/current/oes_nat.htm</w:t>
        </w:r>
      </w:hyperlink>
      <w:r w:rsidRPr="00403B95">
        <w:rPr>
          <w:rFonts w:ascii="Times New Roman" w:eastAsia="SimSun" w:hAnsi="Times New Roman"/>
          <w:snapToGrid w:val="0"/>
          <w:sz w:val="24"/>
          <w:szCs w:val="24"/>
        </w:rPr>
        <w:t>).</w:t>
      </w:r>
    </w:p>
    <w:p w:rsidR="00403B95" w:rsidRPr="00B6788C" w:rsidP="00403B95" w14:paraId="754E6B98" w14:textId="5C829D0E">
      <w:pPr>
        <w:keepNext/>
        <w:widowControl w:val="0"/>
        <w:tabs>
          <w:tab w:val="left" w:pos="1440"/>
        </w:tabs>
        <w:spacing w:after="0" w:line="240" w:lineRule="auto"/>
        <w:ind w:left="1440"/>
        <w:contextualSpacing/>
        <w:rPr>
          <w:rFonts w:ascii="Times New Roman" w:eastAsia="SimSun" w:hAnsi="Times New Roman"/>
          <w:snapToGrid w:val="0"/>
          <w:sz w:val="24"/>
          <w:szCs w:val="24"/>
        </w:rPr>
      </w:pPr>
    </w:p>
    <w:p w:rsidR="00403B95" w:rsidRPr="00403B95" w:rsidP="00403B95" w14:paraId="25831827" w14:textId="77777777">
      <w:pPr>
        <w:widowControl w:val="0"/>
        <w:tabs>
          <w:tab w:val="left" w:pos="1440"/>
        </w:tabs>
        <w:spacing w:after="0" w:line="240" w:lineRule="auto"/>
        <w:ind w:left="1440"/>
        <w:rPr>
          <w:rFonts w:ascii="Times New Roman" w:eastAsia="Times New Roman" w:hAnsi="Times New Roman"/>
          <w:spacing w:val="-2"/>
          <w:sz w:val="24"/>
          <w:szCs w:val="24"/>
        </w:rPr>
      </w:pPr>
      <w:r w:rsidRPr="00403B95">
        <w:rPr>
          <w:rFonts w:ascii="Times New Roman" w:eastAsia="Times New Roman" w:hAnsi="Times New Roman"/>
          <w:snapToGrid w:val="0"/>
          <w:sz w:val="24"/>
          <w:szCs w:val="24"/>
        </w:rPr>
        <w:t xml:space="preserve">** </w:t>
      </w:r>
      <w:r w:rsidRPr="00403B95">
        <w:rPr>
          <w:rFonts w:ascii="Times New Roman" w:eastAsia="Times New Roman" w:hAnsi="Times New Roman"/>
          <w:sz w:val="24"/>
          <w:szCs w:val="24"/>
        </w:rPr>
        <w:t>We based this figure on the average FY 2022 wait times for teleservice centers, based on SSA’s current management information data.</w:t>
      </w:r>
    </w:p>
    <w:p w:rsidR="00403B95" w:rsidRPr="00403B95" w:rsidP="00403B95" w14:paraId="120CC4A9" w14:textId="77777777">
      <w:pPr>
        <w:keepNext/>
        <w:widowControl w:val="0"/>
        <w:tabs>
          <w:tab w:val="left" w:pos="1440"/>
        </w:tabs>
        <w:spacing w:after="0" w:line="240" w:lineRule="auto"/>
        <w:ind w:left="1440"/>
        <w:contextualSpacing/>
        <w:rPr>
          <w:rFonts w:ascii="Times New Roman" w:eastAsia="SimSun" w:hAnsi="Times New Roman"/>
          <w:snapToGrid w:val="0"/>
          <w:sz w:val="24"/>
          <w:szCs w:val="24"/>
        </w:rPr>
      </w:pPr>
    </w:p>
    <w:p w:rsidR="000E720A" w:rsidRPr="00B6788C" w:rsidP="00403B95" w14:paraId="70EED90B" w14:textId="0361654D">
      <w:pPr>
        <w:tabs>
          <w:tab w:val="left" w:pos="1440"/>
        </w:tabs>
        <w:spacing w:after="0" w:line="240" w:lineRule="auto"/>
        <w:ind w:left="1440"/>
        <w:rPr>
          <w:rFonts w:ascii="Times New Roman" w:hAnsi="Times New Roman"/>
          <w:b/>
          <w:bCs/>
          <w:sz w:val="24"/>
          <w:szCs w:val="24"/>
        </w:rPr>
      </w:pPr>
      <w:r w:rsidRPr="00B6788C">
        <w:rPr>
          <w:rFonts w:ascii="Times New Roman" w:eastAsia="SimSun" w:hAnsi="Times New Roman"/>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B6788C">
        <w:rPr>
          <w:rFonts w:ascii="Times New Roman" w:eastAsia="SimSun" w:hAnsi="Times New Roman"/>
          <w:b/>
          <w:sz w:val="24"/>
          <w:szCs w:val="24"/>
          <w:u w:val="single"/>
          <w:lang w:eastAsia="ar-SA"/>
        </w:rPr>
        <w:t>There is no actual charge to respondents to complete the application</w:t>
      </w:r>
      <w:r w:rsidRPr="00B6788C">
        <w:rPr>
          <w:rFonts w:ascii="Times New Roman" w:hAnsi="Times New Roman"/>
          <w:b/>
          <w:bCs/>
          <w:sz w:val="24"/>
          <w:szCs w:val="24"/>
        </w:rPr>
        <w:t>.</w:t>
      </w:r>
      <w:bookmarkEnd w:id="2"/>
    </w:p>
    <w:p w:rsidR="00403B95" w:rsidRPr="00B6788C" w:rsidP="00403B95" w14:paraId="72852435" w14:textId="77777777">
      <w:pPr>
        <w:tabs>
          <w:tab w:val="left" w:pos="1440"/>
        </w:tabs>
        <w:spacing w:after="0" w:line="240" w:lineRule="auto"/>
        <w:ind w:left="1440"/>
        <w:rPr>
          <w:rFonts w:ascii="Times New Roman" w:hAnsi="Times New Roman"/>
          <w:sz w:val="24"/>
          <w:szCs w:val="24"/>
        </w:rPr>
      </w:pPr>
    </w:p>
    <w:p w:rsidR="000E720A" w:rsidRPr="00B6788C" w:rsidP="00723E1C" w14:paraId="37B44939" w14:textId="20239DFC">
      <w:pPr>
        <w:tabs>
          <w:tab w:val="left" w:pos="1440"/>
        </w:tabs>
        <w:spacing w:after="0" w:line="240" w:lineRule="auto"/>
        <w:ind w:left="1440"/>
        <w:rPr>
          <w:rFonts w:ascii="Times New Roman" w:hAnsi="Times New Roman"/>
          <w:sz w:val="24"/>
          <w:szCs w:val="24"/>
        </w:rPr>
      </w:pPr>
      <w:r w:rsidRPr="00B6788C">
        <w:rPr>
          <w:rFonts w:ascii="Times New Roman" w:hAnsi="Times New Roman"/>
          <w:color w:val="000000"/>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sidRPr="00B6788C">
        <w:rPr>
          <w:rFonts w:ascii="Times New Roman" w:hAnsi="Times New Roman"/>
          <w:b/>
          <w:bCs/>
          <w:color w:val="000000"/>
          <w:sz w:val="24"/>
          <w:szCs w:val="24"/>
        </w:rPr>
        <w:t>20</w:t>
      </w:r>
      <w:r w:rsidRPr="00B6788C">
        <w:rPr>
          <w:rFonts w:ascii="Times New Roman" w:hAnsi="Times New Roman"/>
          <w:color w:val="000000"/>
          <w:sz w:val="24"/>
          <w:szCs w:val="24"/>
        </w:rPr>
        <w:t xml:space="preserve"> minutes accurately shows the average burden per response for reading the </w:t>
      </w:r>
      <w:r w:rsidRPr="00B6788C">
        <w:rPr>
          <w:rFonts w:ascii="Times New Roman" w:hAnsi="Times New Roman"/>
          <w:sz w:val="24"/>
          <w:szCs w:val="24"/>
        </w:rPr>
        <w:t>instructions, gathering the facts, and answering the questions</w:t>
      </w:r>
      <w:r w:rsidRPr="00B6788C">
        <w:rPr>
          <w:rFonts w:ascii="Times New Roman" w:hAnsi="Times New Roman"/>
          <w:color w:val="000000"/>
          <w:sz w:val="24"/>
          <w:szCs w:val="24"/>
        </w:rPr>
        <w:t xml:space="preserve">.  Based on our current management information data, the current burden information we provided is accurate.  </w:t>
      </w:r>
      <w:r w:rsidRPr="00B6788C">
        <w:rPr>
          <w:rFonts w:ascii="Times New Roman" w:hAnsi="Times New Roman"/>
          <w:sz w:val="24"/>
          <w:szCs w:val="24"/>
        </w:rPr>
        <w:t xml:space="preserve">The total burden for this collection instrument is </w:t>
      </w:r>
      <w:r w:rsidRPr="00B6788C">
        <w:rPr>
          <w:rFonts w:ascii="Times New Roman" w:eastAsia="Times New Roman" w:hAnsi="Times New Roman"/>
          <w:b/>
          <w:sz w:val="24"/>
          <w:szCs w:val="24"/>
        </w:rPr>
        <w:t xml:space="preserve">28 </w:t>
      </w:r>
      <w:r w:rsidRPr="00B6788C">
        <w:rPr>
          <w:rFonts w:ascii="Times New Roman" w:hAnsi="Times New Roman"/>
          <w:sz w:val="24"/>
          <w:szCs w:val="24"/>
        </w:rPr>
        <w:t xml:space="preserve">burden hours (reflecting SSA management information data), which results in an associated theoretical (not actual) opportunity cost financial burden of </w:t>
      </w:r>
      <w:r w:rsidRPr="00B6788C">
        <w:rPr>
          <w:rFonts w:ascii="Times New Roman" w:hAnsi="Times New Roman"/>
          <w:b/>
          <w:bCs/>
          <w:color w:val="000000"/>
          <w:sz w:val="24"/>
          <w:szCs w:val="24"/>
        </w:rPr>
        <w:t>$1,541</w:t>
      </w:r>
      <w:r w:rsidRPr="00B6788C">
        <w:rPr>
          <w:rFonts w:ascii="Times New Roman" w:hAnsi="Times New Roman"/>
          <w:sz w:val="24"/>
          <w:szCs w:val="24"/>
        </w:rPr>
        <w:t>.  SSA does not charge respondents to complete our applications</w:t>
      </w:r>
      <w:r w:rsidRPr="00B6788C">
        <w:rPr>
          <w:rFonts w:ascii="Times New Roman" w:hAnsi="Times New Roman"/>
          <w:noProof/>
          <w:sz w:val="24"/>
          <w:szCs w:val="24"/>
        </w:rPr>
        <w:t>.</w:t>
      </w:r>
    </w:p>
    <w:p w:rsidR="00ED55AA" w:rsidRPr="00B6788C" w:rsidP="00723E1C" w14:paraId="5BFF307D" w14:textId="77777777">
      <w:pPr>
        <w:pStyle w:val="ListParagraph"/>
        <w:widowControl w:val="0"/>
        <w:tabs>
          <w:tab w:val="left" w:pos="1440"/>
        </w:tabs>
        <w:spacing w:after="0" w:line="240" w:lineRule="auto"/>
        <w:ind w:left="1440"/>
        <w:rPr>
          <w:rFonts w:ascii="Times New Roman" w:eastAsia="Times New Roman" w:hAnsi="Times New Roman"/>
          <w:b/>
          <w:snapToGrid w:val="0"/>
          <w:sz w:val="24"/>
          <w:szCs w:val="24"/>
          <w:u w:val="single"/>
        </w:rPr>
      </w:pPr>
    </w:p>
    <w:p w:rsidR="00806C1C" w:rsidRPr="00B6788C" w:rsidP="00723E1C" w14:paraId="67F41B5A" w14:textId="77777777">
      <w:pPr>
        <w:pStyle w:val="ListParagraph"/>
        <w:widowControl w:val="0"/>
        <w:numPr>
          <w:ilvl w:val="0"/>
          <w:numId w:val="32"/>
        </w:numPr>
        <w:tabs>
          <w:tab w:val="left" w:pos="1440"/>
        </w:tabs>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Annual</w:t>
      </w:r>
      <w:r w:rsidRPr="00B6788C">
        <w:rPr>
          <w:rFonts w:ascii="Times New Roman" w:eastAsia="Times New Roman" w:hAnsi="Times New Roman"/>
          <w:snapToGrid w:val="0"/>
          <w:sz w:val="24"/>
          <w:szCs w:val="24"/>
        </w:rPr>
        <w:t xml:space="preserve"> </w:t>
      </w:r>
      <w:r w:rsidRPr="00B6788C">
        <w:rPr>
          <w:rFonts w:ascii="Times New Roman" w:eastAsia="Times New Roman" w:hAnsi="Times New Roman"/>
          <w:b/>
          <w:snapToGrid w:val="0"/>
          <w:sz w:val="24"/>
          <w:szCs w:val="24"/>
        </w:rPr>
        <w:t>Cost to the Respondents (Other)</w:t>
      </w:r>
    </w:p>
    <w:p w:rsidR="00ED55AA" w:rsidRPr="00B6788C" w:rsidP="00723E1C" w14:paraId="1ACA33C6" w14:textId="77777777">
      <w:pPr>
        <w:pStyle w:val="ListParagraph"/>
        <w:widowControl w:val="0"/>
        <w:tabs>
          <w:tab w:val="left" w:pos="1440"/>
        </w:tabs>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snapToGrid w:val="0"/>
          <w:sz w:val="24"/>
          <w:szCs w:val="24"/>
        </w:rPr>
        <w:t>This collection does not impose a known cost burden on the respondents.</w:t>
      </w:r>
    </w:p>
    <w:p w:rsidR="00ED55AA" w:rsidRPr="00B6788C" w:rsidP="00723E1C" w14:paraId="5A30F1DE" w14:textId="77777777">
      <w:pPr>
        <w:pStyle w:val="ListParagraph"/>
        <w:widowControl w:val="0"/>
        <w:tabs>
          <w:tab w:val="left" w:pos="1440"/>
        </w:tabs>
        <w:spacing w:after="0" w:line="240" w:lineRule="auto"/>
        <w:ind w:left="1440"/>
        <w:rPr>
          <w:rFonts w:ascii="Times New Roman" w:eastAsia="Times New Roman" w:hAnsi="Times New Roman"/>
          <w:b/>
          <w:snapToGrid w:val="0"/>
          <w:sz w:val="24"/>
          <w:szCs w:val="24"/>
          <w:u w:val="single"/>
        </w:rPr>
      </w:pPr>
    </w:p>
    <w:p w:rsidR="00806C1C" w:rsidRPr="00B6788C" w:rsidP="00723E1C" w14:paraId="22BBC1AB" w14:textId="77777777">
      <w:pPr>
        <w:pStyle w:val="ListParagraph"/>
        <w:widowControl w:val="0"/>
        <w:numPr>
          <w:ilvl w:val="0"/>
          <w:numId w:val="32"/>
        </w:numPr>
        <w:tabs>
          <w:tab w:val="left" w:pos="1440"/>
        </w:tabs>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Annual Cost To Federal Government</w:t>
      </w:r>
    </w:p>
    <w:p w:rsidR="0064072B" w:rsidRPr="00B6788C" w:rsidP="00B6788C" w14:paraId="5BB962C5" w14:textId="43312763">
      <w:pPr>
        <w:tabs>
          <w:tab w:val="left" w:pos="1440"/>
        </w:tabs>
        <w:spacing w:after="0" w:line="240" w:lineRule="auto"/>
        <w:ind w:left="1440"/>
        <w:rPr>
          <w:rFonts w:ascii="Times New Roman" w:hAnsi="Times New Roman"/>
          <w:color w:val="000000"/>
          <w:sz w:val="24"/>
          <w:szCs w:val="24"/>
        </w:rPr>
      </w:pPr>
      <w:r w:rsidRPr="00B6788C">
        <w:rPr>
          <w:rFonts w:ascii="Times New Roman" w:hAnsi="Times New Roman"/>
          <w:color w:val="000000"/>
          <w:sz w:val="24"/>
          <w:szCs w:val="24"/>
        </w:rPr>
        <w:t xml:space="preserve">The annual cost to the Federal Government is approximately </w:t>
      </w:r>
      <w:r w:rsidRPr="00B6788C">
        <w:rPr>
          <w:rFonts w:ascii="Times New Roman" w:hAnsi="Times New Roman"/>
          <w:b/>
          <w:bCs/>
          <w:color w:val="000000"/>
          <w:sz w:val="24"/>
          <w:szCs w:val="24"/>
        </w:rPr>
        <w:t>$</w:t>
      </w:r>
      <w:r w:rsidR="00C471F8">
        <w:rPr>
          <w:rFonts w:ascii="Times New Roman" w:hAnsi="Times New Roman"/>
          <w:b/>
          <w:bCs/>
          <w:color w:val="000000"/>
          <w:sz w:val="24"/>
          <w:szCs w:val="24"/>
        </w:rPr>
        <w:t>4,315</w:t>
      </w:r>
      <w:r w:rsidRPr="00B6788C" w:rsidR="00A01566">
        <w:rPr>
          <w:rFonts w:ascii="Times New Roman" w:hAnsi="Times New Roman"/>
          <w:color w:val="000000"/>
          <w:sz w:val="24"/>
          <w:szCs w:val="24"/>
        </w:rPr>
        <w:t>.</w:t>
      </w:r>
      <w:r w:rsidRPr="00B6788C">
        <w:rPr>
          <w:rFonts w:ascii="Times New Roman" w:hAnsi="Times New Roman"/>
          <w:color w:val="000000"/>
          <w:sz w:val="24"/>
          <w:szCs w:val="24"/>
        </w:rPr>
        <w:t xml:space="preserve">  This estimate accounts for costs from the following areas:</w:t>
      </w:r>
    </w:p>
    <w:p w:rsidR="00B6788C" w:rsidRPr="00B6788C" w:rsidP="00B6788C" w14:paraId="0AB7D938" w14:textId="53E6AE06">
      <w:pPr>
        <w:tabs>
          <w:tab w:val="left" w:pos="1440"/>
        </w:tabs>
        <w:spacing w:after="0" w:line="240" w:lineRule="auto"/>
        <w:ind w:left="1440"/>
        <w:rPr>
          <w:rFonts w:ascii="Times New Roman" w:hAnsi="Times New Roman"/>
          <w:color w:val="000000"/>
          <w:sz w:val="24"/>
          <w:szCs w:val="24"/>
        </w:rPr>
      </w:pPr>
    </w:p>
    <w:tbl>
      <w:tblPr>
        <w:tblStyle w:val="TableGrid1"/>
        <w:tblW w:w="9350" w:type="dxa"/>
        <w:tblInd w:w="607" w:type="dxa"/>
        <w:tblLook w:val="04A0"/>
      </w:tblPr>
      <w:tblGrid>
        <w:gridCol w:w="3116"/>
        <w:gridCol w:w="3117"/>
        <w:gridCol w:w="3117"/>
      </w:tblGrid>
      <w:tr w14:paraId="7727F1B7" w14:textId="77777777" w:rsidTr="00FB40CF">
        <w:tblPrEx>
          <w:tblW w:w="9350" w:type="dxa"/>
          <w:tblInd w:w="607" w:type="dxa"/>
          <w:tblLook w:val="04A0"/>
        </w:tblPrEx>
        <w:trPr>
          <w:trHeight w:val="647"/>
        </w:trPr>
        <w:tc>
          <w:tcPr>
            <w:tcW w:w="3116" w:type="dxa"/>
          </w:tcPr>
          <w:p w:rsidR="00B6788C" w:rsidRPr="00B6788C" w:rsidP="00B6788C" w14:paraId="6648956C" w14:textId="77777777">
            <w:pPr>
              <w:spacing w:after="0" w:line="240" w:lineRule="auto"/>
              <w:rPr>
                <w:rFonts w:ascii="Times New Roman" w:hAnsi="Times New Roman"/>
                <w:b/>
                <w:bCs/>
                <w:color w:val="000000"/>
                <w:sz w:val="24"/>
                <w:szCs w:val="24"/>
              </w:rPr>
            </w:pPr>
            <w:r w:rsidRPr="00B6788C">
              <w:rPr>
                <w:rFonts w:ascii="Times New Roman" w:hAnsi="Times New Roman"/>
                <w:b/>
                <w:bCs/>
                <w:color w:val="000000"/>
                <w:sz w:val="24"/>
                <w:szCs w:val="24"/>
              </w:rPr>
              <w:t>Description of Cost Factor</w:t>
            </w:r>
          </w:p>
        </w:tc>
        <w:tc>
          <w:tcPr>
            <w:tcW w:w="3117" w:type="dxa"/>
          </w:tcPr>
          <w:p w:rsidR="00B6788C" w:rsidRPr="00B6788C" w:rsidP="00B6788C" w14:paraId="0999304C" w14:textId="77777777">
            <w:pPr>
              <w:spacing w:after="0" w:line="240" w:lineRule="auto"/>
              <w:rPr>
                <w:rFonts w:ascii="Times New Roman" w:hAnsi="Times New Roman"/>
                <w:b/>
                <w:bCs/>
                <w:color w:val="000000"/>
                <w:sz w:val="24"/>
                <w:szCs w:val="24"/>
              </w:rPr>
            </w:pPr>
            <w:r w:rsidRPr="00B6788C">
              <w:rPr>
                <w:rFonts w:ascii="Times New Roman" w:hAnsi="Times New Roman"/>
                <w:b/>
                <w:bCs/>
                <w:color w:val="000000"/>
                <w:sz w:val="24"/>
                <w:szCs w:val="24"/>
              </w:rPr>
              <w:t>Methodology for Estimating Cost</w:t>
            </w:r>
          </w:p>
        </w:tc>
        <w:tc>
          <w:tcPr>
            <w:tcW w:w="3117" w:type="dxa"/>
          </w:tcPr>
          <w:p w:rsidR="00B6788C" w:rsidRPr="00B6788C" w:rsidP="00B6788C" w14:paraId="54DE81D7" w14:textId="77777777">
            <w:pPr>
              <w:spacing w:after="0" w:line="240" w:lineRule="auto"/>
              <w:rPr>
                <w:rFonts w:ascii="Times New Roman" w:hAnsi="Times New Roman"/>
                <w:b/>
                <w:bCs/>
                <w:color w:val="000000"/>
                <w:sz w:val="24"/>
                <w:szCs w:val="24"/>
              </w:rPr>
            </w:pPr>
            <w:r w:rsidRPr="00B6788C">
              <w:rPr>
                <w:rFonts w:ascii="Times New Roman" w:hAnsi="Times New Roman"/>
                <w:b/>
                <w:bCs/>
                <w:color w:val="000000"/>
                <w:sz w:val="24"/>
                <w:szCs w:val="24"/>
              </w:rPr>
              <w:t>Cost in Dollars*</w:t>
            </w:r>
          </w:p>
        </w:tc>
      </w:tr>
      <w:tr w14:paraId="63D74ACF" w14:textId="77777777" w:rsidTr="00FB40CF">
        <w:tblPrEx>
          <w:tblW w:w="9350" w:type="dxa"/>
          <w:tblInd w:w="607" w:type="dxa"/>
          <w:tblLook w:val="04A0"/>
        </w:tblPrEx>
        <w:tc>
          <w:tcPr>
            <w:tcW w:w="3116" w:type="dxa"/>
          </w:tcPr>
          <w:p w:rsidR="00B6788C" w:rsidRPr="00B6788C" w:rsidP="00B6788C" w14:paraId="5270E6CD"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Designing and Printing the Form</w:t>
            </w:r>
          </w:p>
        </w:tc>
        <w:tc>
          <w:tcPr>
            <w:tcW w:w="3117" w:type="dxa"/>
          </w:tcPr>
          <w:p w:rsidR="00B6788C" w:rsidRPr="00B6788C" w:rsidP="00B6788C" w14:paraId="505320E9"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Design Cost + Printing Cost</w:t>
            </w:r>
          </w:p>
        </w:tc>
        <w:tc>
          <w:tcPr>
            <w:tcW w:w="3117" w:type="dxa"/>
          </w:tcPr>
          <w:p w:rsidR="00B6788C" w:rsidRPr="00B6788C" w:rsidP="00B6788C" w14:paraId="20226DB4" w14:textId="09FB8226">
            <w:pPr>
              <w:spacing w:after="0" w:line="240" w:lineRule="auto"/>
              <w:jc w:val="right"/>
              <w:rPr>
                <w:rFonts w:ascii="Times New Roman" w:hAnsi="Times New Roman"/>
                <w:color w:val="000000"/>
                <w:sz w:val="24"/>
                <w:szCs w:val="24"/>
              </w:rPr>
            </w:pPr>
            <w:r w:rsidRPr="00B6788C">
              <w:rPr>
                <w:rFonts w:ascii="Times New Roman" w:hAnsi="Times New Roman"/>
                <w:color w:val="000000"/>
                <w:sz w:val="24"/>
                <w:szCs w:val="24"/>
              </w:rPr>
              <w:t>$55</w:t>
            </w:r>
          </w:p>
        </w:tc>
      </w:tr>
      <w:tr w14:paraId="7068314B" w14:textId="77777777" w:rsidTr="00FB40CF">
        <w:tblPrEx>
          <w:tblW w:w="9350" w:type="dxa"/>
          <w:tblInd w:w="607" w:type="dxa"/>
          <w:tblLook w:val="04A0"/>
        </w:tblPrEx>
        <w:tc>
          <w:tcPr>
            <w:tcW w:w="3116" w:type="dxa"/>
          </w:tcPr>
          <w:p w:rsidR="00B6788C" w:rsidRPr="00B6788C" w:rsidP="00B6788C" w14:paraId="555DDEC9"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Distributing, Shipping, and Material Costs for the Form</w:t>
            </w:r>
          </w:p>
        </w:tc>
        <w:tc>
          <w:tcPr>
            <w:tcW w:w="3117" w:type="dxa"/>
          </w:tcPr>
          <w:p w:rsidR="00B6788C" w:rsidRPr="00B6788C" w:rsidP="00B6788C" w14:paraId="0D389AF7"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Distribution + Shipping + Material Cost</w:t>
            </w:r>
          </w:p>
        </w:tc>
        <w:tc>
          <w:tcPr>
            <w:tcW w:w="3117" w:type="dxa"/>
          </w:tcPr>
          <w:p w:rsidR="00B6788C" w:rsidRPr="00B6788C" w:rsidP="00B6788C" w14:paraId="4F9DB651" w14:textId="77777777">
            <w:pPr>
              <w:spacing w:after="0" w:line="240" w:lineRule="auto"/>
              <w:jc w:val="right"/>
              <w:rPr>
                <w:rFonts w:ascii="Times New Roman" w:hAnsi="Times New Roman"/>
                <w:color w:val="000000"/>
                <w:sz w:val="24"/>
                <w:szCs w:val="24"/>
              </w:rPr>
            </w:pPr>
            <w:r w:rsidRPr="00B6788C">
              <w:rPr>
                <w:rFonts w:ascii="Times New Roman" w:hAnsi="Times New Roman"/>
                <w:color w:val="000000"/>
                <w:sz w:val="24"/>
                <w:szCs w:val="24"/>
              </w:rPr>
              <w:t>$0*</w:t>
            </w:r>
          </w:p>
        </w:tc>
      </w:tr>
      <w:tr w14:paraId="4F8243B3" w14:textId="77777777" w:rsidTr="00FB40CF">
        <w:tblPrEx>
          <w:tblW w:w="9350" w:type="dxa"/>
          <w:tblInd w:w="607" w:type="dxa"/>
          <w:tblLook w:val="04A0"/>
        </w:tblPrEx>
        <w:tc>
          <w:tcPr>
            <w:tcW w:w="3116" w:type="dxa"/>
          </w:tcPr>
          <w:p w:rsidR="00B6788C" w:rsidRPr="00B6788C" w:rsidP="00B6788C" w14:paraId="6837EB5A"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 xml:space="preserve">SSA Employee (e.g., field office, 800 number, DDS </w:t>
            </w:r>
            <w:r w:rsidRPr="00B6788C">
              <w:rPr>
                <w:rFonts w:ascii="Times New Roman" w:hAnsi="Times New Roman"/>
                <w:color w:val="000000"/>
                <w:sz w:val="24"/>
                <w:szCs w:val="24"/>
              </w:rPr>
              <w:t>staff) Information Collection and Processing Time</w:t>
            </w:r>
          </w:p>
        </w:tc>
        <w:tc>
          <w:tcPr>
            <w:tcW w:w="3117" w:type="dxa"/>
          </w:tcPr>
          <w:p w:rsidR="00B6788C" w:rsidRPr="00B6788C" w:rsidP="00B6788C" w14:paraId="444CC51F"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GS-9 employee x # of responses x processing time</w:t>
            </w:r>
          </w:p>
        </w:tc>
        <w:tc>
          <w:tcPr>
            <w:tcW w:w="3117" w:type="dxa"/>
          </w:tcPr>
          <w:p w:rsidR="00B6788C" w:rsidRPr="00B6788C" w:rsidP="00B6788C" w14:paraId="5032FF8A" w14:textId="5811A710">
            <w:pPr>
              <w:spacing w:after="0" w:line="240" w:lineRule="auto"/>
              <w:jc w:val="right"/>
              <w:rPr>
                <w:rFonts w:ascii="Times New Roman" w:hAnsi="Times New Roman"/>
                <w:color w:val="000000"/>
                <w:sz w:val="24"/>
                <w:szCs w:val="24"/>
              </w:rPr>
            </w:pPr>
            <w:r w:rsidRPr="00B6788C">
              <w:rPr>
                <w:rFonts w:ascii="Times New Roman" w:hAnsi="Times New Roman"/>
                <w:color w:val="000000"/>
                <w:sz w:val="24"/>
                <w:szCs w:val="24"/>
              </w:rPr>
              <w:t>$</w:t>
            </w:r>
            <w:r w:rsidR="00C471F8">
              <w:rPr>
                <w:rFonts w:ascii="Times New Roman" w:hAnsi="Times New Roman"/>
                <w:color w:val="000000"/>
                <w:sz w:val="24"/>
                <w:szCs w:val="24"/>
              </w:rPr>
              <w:t>840</w:t>
            </w:r>
          </w:p>
        </w:tc>
      </w:tr>
      <w:tr w14:paraId="27D932E7" w14:textId="77777777" w:rsidTr="00FB40CF">
        <w:tblPrEx>
          <w:tblW w:w="9350" w:type="dxa"/>
          <w:tblInd w:w="607" w:type="dxa"/>
          <w:tblLook w:val="04A0"/>
        </w:tblPrEx>
        <w:tc>
          <w:tcPr>
            <w:tcW w:w="3116" w:type="dxa"/>
          </w:tcPr>
          <w:p w:rsidR="00B6788C" w:rsidRPr="00B6788C" w:rsidP="00B6788C" w14:paraId="536BF973"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Full-Time Equivalent Costs</w:t>
            </w:r>
          </w:p>
        </w:tc>
        <w:tc>
          <w:tcPr>
            <w:tcW w:w="3117" w:type="dxa"/>
          </w:tcPr>
          <w:p w:rsidR="00B6788C" w:rsidRPr="00B6788C" w:rsidP="00B6788C" w14:paraId="704D9F4B"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Out of pocket costs + Other expenses for providing this service</w:t>
            </w:r>
          </w:p>
        </w:tc>
        <w:tc>
          <w:tcPr>
            <w:tcW w:w="3117" w:type="dxa"/>
          </w:tcPr>
          <w:p w:rsidR="00B6788C" w:rsidRPr="00B6788C" w:rsidP="00B6788C" w14:paraId="6CE4FD60" w14:textId="77777777">
            <w:pPr>
              <w:spacing w:after="0" w:line="240" w:lineRule="auto"/>
              <w:jc w:val="right"/>
              <w:rPr>
                <w:rFonts w:ascii="Times New Roman" w:hAnsi="Times New Roman"/>
                <w:color w:val="000000"/>
                <w:sz w:val="24"/>
                <w:szCs w:val="24"/>
              </w:rPr>
            </w:pPr>
            <w:r w:rsidRPr="00B6788C">
              <w:rPr>
                <w:rFonts w:ascii="Times New Roman" w:hAnsi="Times New Roman"/>
                <w:color w:val="000000"/>
                <w:sz w:val="24"/>
                <w:szCs w:val="24"/>
              </w:rPr>
              <w:t>$0*</w:t>
            </w:r>
          </w:p>
        </w:tc>
      </w:tr>
      <w:tr w14:paraId="53091B52" w14:textId="77777777" w:rsidTr="00FB40CF">
        <w:tblPrEx>
          <w:tblW w:w="9350" w:type="dxa"/>
          <w:tblInd w:w="607" w:type="dxa"/>
          <w:tblLook w:val="04A0"/>
        </w:tblPrEx>
        <w:tc>
          <w:tcPr>
            <w:tcW w:w="3116" w:type="dxa"/>
          </w:tcPr>
          <w:p w:rsidR="00B6788C" w:rsidRPr="00B6788C" w:rsidP="00B6788C" w14:paraId="52829877"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Systems Development, Updating, and Maintenance</w:t>
            </w:r>
          </w:p>
        </w:tc>
        <w:tc>
          <w:tcPr>
            <w:tcW w:w="3117" w:type="dxa"/>
          </w:tcPr>
          <w:p w:rsidR="00B6788C" w:rsidRPr="00B6788C" w:rsidP="00B6788C" w14:paraId="771FF12F"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GS-9 employee x man hours for development, updating, maintenance</w:t>
            </w:r>
          </w:p>
        </w:tc>
        <w:tc>
          <w:tcPr>
            <w:tcW w:w="3117" w:type="dxa"/>
          </w:tcPr>
          <w:p w:rsidR="00B6788C" w:rsidRPr="00B6788C" w:rsidP="00B6788C" w14:paraId="1F747DC1" w14:textId="3F907AF8">
            <w:pPr>
              <w:spacing w:after="0" w:line="240" w:lineRule="auto"/>
              <w:jc w:val="right"/>
              <w:rPr>
                <w:rFonts w:ascii="Times New Roman" w:hAnsi="Times New Roman"/>
                <w:color w:val="000000"/>
                <w:sz w:val="24"/>
                <w:szCs w:val="24"/>
              </w:rPr>
            </w:pPr>
            <w:r w:rsidRPr="00B6788C">
              <w:rPr>
                <w:rFonts w:ascii="Times New Roman" w:hAnsi="Times New Roman"/>
                <w:color w:val="000000"/>
                <w:sz w:val="24"/>
                <w:szCs w:val="24"/>
              </w:rPr>
              <w:t>$3,420</w:t>
            </w:r>
          </w:p>
        </w:tc>
      </w:tr>
      <w:tr w14:paraId="0C9B653A" w14:textId="77777777" w:rsidTr="00FB40CF">
        <w:tblPrEx>
          <w:tblW w:w="9350" w:type="dxa"/>
          <w:tblInd w:w="607" w:type="dxa"/>
          <w:tblLook w:val="04A0"/>
        </w:tblPrEx>
        <w:tc>
          <w:tcPr>
            <w:tcW w:w="3116" w:type="dxa"/>
          </w:tcPr>
          <w:p w:rsidR="00B6788C" w:rsidRPr="00B6788C" w:rsidP="00B6788C" w14:paraId="1F69FA33"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Quantifiable IT Costs</w:t>
            </w:r>
          </w:p>
        </w:tc>
        <w:tc>
          <w:tcPr>
            <w:tcW w:w="3117" w:type="dxa"/>
          </w:tcPr>
          <w:p w:rsidR="00B6788C" w:rsidRPr="00B6788C" w:rsidP="00B6788C" w14:paraId="3FB02F19" w14:textId="77777777">
            <w:pPr>
              <w:spacing w:after="0" w:line="240" w:lineRule="auto"/>
              <w:rPr>
                <w:rFonts w:ascii="Times New Roman" w:hAnsi="Times New Roman"/>
                <w:color w:val="000000"/>
                <w:sz w:val="24"/>
                <w:szCs w:val="24"/>
              </w:rPr>
            </w:pPr>
            <w:r w:rsidRPr="00B6788C">
              <w:rPr>
                <w:rFonts w:ascii="Times New Roman" w:hAnsi="Times New Roman"/>
                <w:color w:val="000000"/>
                <w:sz w:val="24"/>
                <w:szCs w:val="24"/>
              </w:rPr>
              <w:t>Any additional IT costs</w:t>
            </w:r>
          </w:p>
        </w:tc>
        <w:tc>
          <w:tcPr>
            <w:tcW w:w="3117" w:type="dxa"/>
          </w:tcPr>
          <w:p w:rsidR="00B6788C" w:rsidRPr="00B6788C" w:rsidP="00B6788C" w14:paraId="650BB13D" w14:textId="77777777">
            <w:pPr>
              <w:spacing w:after="0" w:line="240" w:lineRule="auto"/>
              <w:jc w:val="right"/>
              <w:rPr>
                <w:rFonts w:ascii="Times New Roman" w:hAnsi="Times New Roman"/>
                <w:color w:val="000000"/>
                <w:sz w:val="24"/>
                <w:szCs w:val="24"/>
              </w:rPr>
            </w:pPr>
            <w:r w:rsidRPr="00B6788C">
              <w:rPr>
                <w:rFonts w:ascii="Times New Roman" w:hAnsi="Times New Roman"/>
                <w:color w:val="000000"/>
                <w:sz w:val="24"/>
                <w:szCs w:val="24"/>
              </w:rPr>
              <w:t>$0*</w:t>
            </w:r>
          </w:p>
        </w:tc>
      </w:tr>
      <w:tr w14:paraId="562FFCD8" w14:textId="77777777" w:rsidTr="00FB40CF">
        <w:tblPrEx>
          <w:tblW w:w="9350" w:type="dxa"/>
          <w:tblInd w:w="607" w:type="dxa"/>
          <w:tblLook w:val="04A0"/>
        </w:tblPrEx>
        <w:tc>
          <w:tcPr>
            <w:tcW w:w="3116" w:type="dxa"/>
          </w:tcPr>
          <w:p w:rsidR="00B6788C" w:rsidRPr="00B6788C" w:rsidP="00B6788C" w14:paraId="40872368" w14:textId="77777777">
            <w:pPr>
              <w:spacing w:after="0" w:line="240" w:lineRule="auto"/>
              <w:rPr>
                <w:rFonts w:ascii="Times New Roman" w:hAnsi="Times New Roman"/>
                <w:b/>
                <w:bCs/>
                <w:color w:val="000000"/>
                <w:sz w:val="24"/>
                <w:szCs w:val="24"/>
              </w:rPr>
            </w:pPr>
            <w:r w:rsidRPr="00B6788C">
              <w:rPr>
                <w:rFonts w:ascii="Times New Roman" w:hAnsi="Times New Roman"/>
                <w:b/>
                <w:bCs/>
                <w:color w:val="000000"/>
                <w:sz w:val="24"/>
                <w:szCs w:val="24"/>
              </w:rPr>
              <w:t>Total</w:t>
            </w:r>
          </w:p>
        </w:tc>
        <w:tc>
          <w:tcPr>
            <w:tcW w:w="3117" w:type="dxa"/>
          </w:tcPr>
          <w:p w:rsidR="00B6788C" w:rsidRPr="00B6788C" w:rsidP="00B6788C" w14:paraId="1B66359C" w14:textId="77777777">
            <w:pPr>
              <w:spacing w:after="0" w:line="240" w:lineRule="auto"/>
              <w:rPr>
                <w:rFonts w:ascii="Times New Roman" w:hAnsi="Times New Roman"/>
                <w:b/>
                <w:bCs/>
                <w:color w:val="000000"/>
                <w:sz w:val="24"/>
                <w:szCs w:val="24"/>
              </w:rPr>
            </w:pPr>
          </w:p>
        </w:tc>
        <w:tc>
          <w:tcPr>
            <w:tcW w:w="3117" w:type="dxa"/>
          </w:tcPr>
          <w:p w:rsidR="00B6788C" w:rsidRPr="00B6788C" w:rsidP="00B6788C" w14:paraId="3B235992" w14:textId="46ECFE15">
            <w:pPr>
              <w:spacing w:after="0" w:line="240" w:lineRule="auto"/>
              <w:jc w:val="right"/>
              <w:rPr>
                <w:rFonts w:ascii="Times New Roman" w:hAnsi="Times New Roman"/>
                <w:b/>
                <w:bCs/>
                <w:color w:val="000000"/>
                <w:sz w:val="24"/>
                <w:szCs w:val="24"/>
              </w:rPr>
            </w:pPr>
            <w:r w:rsidRPr="00B6788C">
              <w:rPr>
                <w:rFonts w:ascii="Times New Roman" w:hAnsi="Times New Roman"/>
                <w:b/>
                <w:bCs/>
                <w:color w:val="000000"/>
                <w:sz w:val="24"/>
                <w:szCs w:val="24"/>
              </w:rPr>
              <w:t>$</w:t>
            </w:r>
            <w:r w:rsidR="00C471F8">
              <w:rPr>
                <w:rFonts w:ascii="Times New Roman" w:hAnsi="Times New Roman"/>
                <w:b/>
                <w:bCs/>
                <w:color w:val="000000"/>
                <w:sz w:val="24"/>
                <w:szCs w:val="24"/>
              </w:rPr>
              <w:t>4,315</w:t>
            </w:r>
          </w:p>
        </w:tc>
      </w:tr>
    </w:tbl>
    <w:p w:rsidR="0064072B" w:rsidRPr="00B6788C" w:rsidP="003C5CB1" w14:paraId="5650764B" w14:textId="77777777">
      <w:pPr>
        <w:ind w:left="1440"/>
        <w:rPr>
          <w:rFonts w:ascii="Times New Roman" w:hAnsi="Times New Roman"/>
          <w:color w:val="000000"/>
          <w:sz w:val="24"/>
          <w:szCs w:val="24"/>
        </w:rPr>
      </w:pPr>
      <w:r w:rsidRPr="00B6788C">
        <w:rPr>
          <w:rFonts w:ascii="Times New Roman" w:hAnsi="Times New Roman"/>
          <w:color w:val="000000"/>
          <w:sz w:val="24"/>
          <w:szCs w:val="24"/>
        </w:rPr>
        <w:t>* We have inserted a $0 amount for cost factors that do not apply to this collection.</w:t>
      </w:r>
    </w:p>
    <w:p w:rsidR="0064072B" w:rsidRPr="00B6788C" w:rsidP="003C5CB1" w14:paraId="3EEF22DC" w14:textId="4EBFD797">
      <w:pPr>
        <w:spacing w:after="0" w:line="240" w:lineRule="auto"/>
        <w:ind w:left="1440"/>
        <w:rPr>
          <w:rFonts w:ascii="Times New Roman" w:hAnsi="Times New Roman"/>
          <w:color w:val="000000"/>
          <w:sz w:val="24"/>
          <w:szCs w:val="24"/>
        </w:rPr>
      </w:pPr>
      <w:r w:rsidRPr="00C471F8">
        <w:rPr>
          <w:rFonts w:ascii="Times New Roman" w:eastAsia="Times New Roman" w:hAnsi="Times New Roman"/>
          <w:snapToGrid w:val="0"/>
          <w:color w:val="000000"/>
          <w:sz w:val="24"/>
          <w:szCs w:val="24"/>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Pr="00B6788C">
        <w:rPr>
          <w:rFonts w:ascii="Times New Roman" w:hAnsi="Times New Roman"/>
          <w:color w:val="000000"/>
          <w:sz w:val="24"/>
          <w:szCs w:val="24"/>
        </w:rPr>
        <w:t>.</w:t>
      </w:r>
    </w:p>
    <w:p w:rsidR="0064072B" w:rsidRPr="00B6788C" w:rsidP="003C5CB1" w14:paraId="7E61AE92" w14:textId="77777777">
      <w:pPr>
        <w:pStyle w:val="ListParagraph"/>
        <w:widowControl w:val="0"/>
        <w:spacing w:after="0" w:line="240" w:lineRule="auto"/>
        <w:ind w:left="1440"/>
        <w:rPr>
          <w:rFonts w:ascii="Times New Roman" w:eastAsia="Times New Roman" w:hAnsi="Times New Roman"/>
          <w:b/>
          <w:snapToGrid w:val="0"/>
          <w:sz w:val="24"/>
          <w:szCs w:val="24"/>
        </w:rPr>
      </w:pPr>
    </w:p>
    <w:p w:rsidR="00806C1C" w:rsidRPr="00B6788C" w:rsidP="003C5CB1" w14:paraId="0D76EAA8"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Program Changes or Adjustments to the Information Collection Request</w:t>
      </w:r>
    </w:p>
    <w:p w:rsidR="007B10C5" w:rsidP="003C5CB1" w14:paraId="2614F910" w14:textId="75B0433A">
      <w:pPr>
        <w:pStyle w:val="ListParagraph"/>
        <w:widowControl w:val="0"/>
        <w:spacing w:after="0" w:line="240" w:lineRule="auto"/>
        <w:ind w:left="1440"/>
        <w:rPr>
          <w:rFonts w:ascii="Times New Roman" w:eastAsia="Times New Roman" w:hAnsi="Times New Roman"/>
          <w:sz w:val="24"/>
          <w:szCs w:val="24"/>
          <w:lang w:bidi="en-US"/>
        </w:rPr>
      </w:pPr>
      <w:r w:rsidRPr="00B6788C">
        <w:rPr>
          <w:rFonts w:ascii="Times New Roman" w:eastAsia="Times New Roman" w:hAnsi="Times New Roman"/>
          <w:sz w:val="24"/>
          <w:szCs w:val="24"/>
          <w:lang w:bidi="en-US"/>
        </w:rPr>
        <w:t xml:space="preserve">When we last cleared this IC in </w:t>
      </w:r>
      <w:r w:rsidRPr="00B6788C" w:rsidR="00580527">
        <w:rPr>
          <w:rFonts w:ascii="Times New Roman" w:eastAsia="Times New Roman" w:hAnsi="Times New Roman"/>
          <w:sz w:val="24"/>
          <w:szCs w:val="24"/>
          <w:lang w:bidi="en-US"/>
        </w:rPr>
        <w:t>2019</w:t>
      </w:r>
      <w:r w:rsidRPr="00B6788C">
        <w:rPr>
          <w:rFonts w:ascii="Times New Roman" w:eastAsia="Times New Roman" w:hAnsi="Times New Roman"/>
          <w:sz w:val="24"/>
          <w:szCs w:val="24"/>
          <w:lang w:bidi="en-US"/>
        </w:rPr>
        <w:t xml:space="preserve">, the burden was </w:t>
      </w:r>
      <w:r w:rsidRPr="00B6788C" w:rsidR="00580527">
        <w:rPr>
          <w:rFonts w:ascii="Times New Roman" w:eastAsia="Times New Roman" w:hAnsi="Times New Roman"/>
          <w:sz w:val="24"/>
          <w:szCs w:val="24"/>
          <w:lang w:bidi="en-US"/>
        </w:rPr>
        <w:t xml:space="preserve">127 </w:t>
      </w:r>
      <w:r w:rsidRPr="00B6788C">
        <w:rPr>
          <w:rFonts w:ascii="Times New Roman" w:eastAsia="Times New Roman" w:hAnsi="Times New Roman"/>
          <w:sz w:val="24"/>
          <w:szCs w:val="24"/>
          <w:lang w:bidi="en-US"/>
        </w:rPr>
        <w:t xml:space="preserve">hours.  However, we are currently reporting a burden of </w:t>
      </w:r>
      <w:r w:rsidRPr="00B6788C" w:rsidR="00580527">
        <w:rPr>
          <w:rFonts w:ascii="Times New Roman" w:eastAsia="Times New Roman" w:hAnsi="Times New Roman"/>
          <w:sz w:val="24"/>
          <w:szCs w:val="24"/>
          <w:lang w:bidi="en-US"/>
        </w:rPr>
        <w:t xml:space="preserve">28 </w:t>
      </w:r>
      <w:r w:rsidRPr="00B6788C">
        <w:rPr>
          <w:rFonts w:ascii="Times New Roman" w:eastAsia="Times New Roman" w:hAnsi="Times New Roman"/>
          <w:sz w:val="24"/>
          <w:szCs w:val="24"/>
          <w:lang w:bidi="en-US"/>
        </w:rPr>
        <w:t>hours.  This change stems from a decrease in the number of responses from</w:t>
      </w:r>
      <w:r w:rsidRPr="00B6788C" w:rsidR="002A63A0">
        <w:rPr>
          <w:rFonts w:ascii="Times New Roman" w:eastAsia="Times New Roman" w:hAnsi="Times New Roman"/>
          <w:sz w:val="24"/>
          <w:szCs w:val="24"/>
          <w:lang w:bidi="en-US"/>
        </w:rPr>
        <w:t xml:space="preserve"> </w:t>
      </w:r>
      <w:r w:rsidRPr="00B6788C" w:rsidR="00580527">
        <w:rPr>
          <w:rFonts w:ascii="Times New Roman" w:eastAsia="Times New Roman" w:hAnsi="Times New Roman"/>
          <w:sz w:val="24"/>
          <w:szCs w:val="24"/>
          <w:lang w:bidi="en-US"/>
        </w:rPr>
        <w:t>382</w:t>
      </w:r>
      <w:r w:rsidRPr="00B6788C">
        <w:rPr>
          <w:rFonts w:ascii="Times New Roman" w:eastAsia="Times New Roman" w:hAnsi="Times New Roman"/>
          <w:sz w:val="24"/>
          <w:szCs w:val="24"/>
          <w:lang w:bidi="en-US"/>
        </w:rPr>
        <w:t xml:space="preserve"> to </w:t>
      </w:r>
      <w:r w:rsidRPr="00B6788C" w:rsidR="00580527">
        <w:rPr>
          <w:rFonts w:ascii="Times New Roman" w:eastAsia="Times New Roman" w:hAnsi="Times New Roman"/>
          <w:sz w:val="24"/>
          <w:szCs w:val="24"/>
          <w:lang w:bidi="en-US"/>
        </w:rPr>
        <w:t>85</w:t>
      </w:r>
      <w:r w:rsidRPr="00B6788C">
        <w:rPr>
          <w:rFonts w:ascii="Times New Roman" w:eastAsia="Times New Roman" w:hAnsi="Times New Roman"/>
          <w:sz w:val="24"/>
          <w:szCs w:val="24"/>
          <w:lang w:bidi="en-US"/>
        </w:rPr>
        <w:t xml:space="preserve">.  As we mentioned in #3 above, </w:t>
      </w:r>
      <w:r w:rsidRPr="00B6788C" w:rsidR="00580527">
        <w:rPr>
          <w:rFonts w:ascii="Times New Roman" w:eastAsia="Times New Roman" w:hAnsi="Times New Roman"/>
          <w:sz w:val="24"/>
          <w:szCs w:val="24"/>
          <w:lang w:bidi="en-US"/>
        </w:rPr>
        <w:t>the respondents are World War II veterans</w:t>
      </w:r>
      <w:r w:rsidRPr="00B6788C">
        <w:rPr>
          <w:rFonts w:ascii="Times New Roman" w:eastAsia="Times New Roman" w:hAnsi="Times New Roman"/>
          <w:sz w:val="24"/>
          <w:szCs w:val="24"/>
          <w:lang w:bidi="en-US"/>
        </w:rPr>
        <w:t xml:space="preserve">, </w:t>
      </w:r>
      <w:r w:rsidRPr="00B6788C" w:rsidR="00580527">
        <w:rPr>
          <w:rFonts w:ascii="Times New Roman" w:eastAsia="Times New Roman" w:hAnsi="Times New Roman"/>
          <w:sz w:val="24"/>
          <w:szCs w:val="24"/>
          <w:lang w:bidi="en-US"/>
        </w:rPr>
        <w:t xml:space="preserve">so </w:t>
      </w:r>
      <w:r w:rsidRPr="00B6788C">
        <w:rPr>
          <w:rFonts w:ascii="Times New Roman" w:eastAsia="Times New Roman" w:hAnsi="Times New Roman"/>
          <w:sz w:val="24"/>
          <w:szCs w:val="24"/>
          <w:lang w:bidi="en-US"/>
        </w:rPr>
        <w:t xml:space="preserve">we expect </w:t>
      </w:r>
      <w:r w:rsidRPr="00B6788C">
        <w:rPr>
          <w:rFonts w:ascii="Times New Roman" w:eastAsia="Times New Roman" w:hAnsi="Times New Roman"/>
          <w:snapToGrid w:val="0"/>
          <w:sz w:val="24"/>
          <w:szCs w:val="24"/>
        </w:rPr>
        <w:t xml:space="preserve">the respondent pool to continue to decrease over the next several years.  </w:t>
      </w:r>
      <w:r w:rsidRPr="00B6788C">
        <w:rPr>
          <w:rFonts w:ascii="Times New Roman" w:eastAsia="Times New Roman" w:hAnsi="Times New Roman"/>
          <w:sz w:val="24"/>
          <w:szCs w:val="24"/>
          <w:lang w:bidi="en-US"/>
        </w:rPr>
        <w:t>There is no change to the burden time per response.  Although the number of responses changed, SSA did not take any actions to cause this change.</w:t>
      </w:r>
      <w:r w:rsidRPr="00B6788C" w:rsidR="00580527">
        <w:rPr>
          <w:rFonts w:ascii="Times New Roman" w:eastAsia="Times New Roman" w:hAnsi="Times New Roman"/>
          <w:sz w:val="24"/>
          <w:szCs w:val="24"/>
          <w:lang w:bidi="en-US"/>
        </w:rPr>
        <w:t xml:space="preserve">  These figures represent current Management Information data</w:t>
      </w:r>
      <w:r w:rsidR="007257C5">
        <w:rPr>
          <w:rFonts w:ascii="Times New Roman" w:eastAsia="Times New Roman" w:hAnsi="Times New Roman"/>
          <w:sz w:val="24"/>
          <w:szCs w:val="24"/>
          <w:lang w:bidi="en-US"/>
        </w:rPr>
        <w:t>.</w:t>
      </w:r>
    </w:p>
    <w:p w:rsidR="007257C5" w:rsidP="003C5CB1" w14:paraId="060FEE47" w14:textId="2C34C3FB">
      <w:pPr>
        <w:pStyle w:val="ListParagraph"/>
        <w:widowControl w:val="0"/>
        <w:spacing w:after="0" w:line="240" w:lineRule="auto"/>
        <w:ind w:left="1440"/>
        <w:rPr>
          <w:rFonts w:ascii="Times New Roman" w:eastAsia="Times New Roman" w:hAnsi="Times New Roman"/>
          <w:sz w:val="24"/>
          <w:szCs w:val="24"/>
          <w:lang w:bidi="en-US"/>
        </w:rPr>
      </w:pPr>
    </w:p>
    <w:p w:rsidR="007B10C5" w:rsidP="003C5CB1" w14:paraId="0DA39FFA" w14:textId="7DCB129A">
      <w:pPr>
        <w:pStyle w:val="ListParagraph"/>
        <w:widowControl w:val="0"/>
        <w:spacing w:after="0" w:line="240" w:lineRule="auto"/>
        <w:ind w:left="1440"/>
        <w:rPr>
          <w:rFonts w:ascii="Times New Roman" w:eastAsia="Times New Roman" w:hAnsi="Times New Roman"/>
          <w:bCs/>
          <w:snapToGrid w:val="0"/>
          <w:sz w:val="24"/>
          <w:szCs w:val="24"/>
        </w:rPr>
      </w:pPr>
      <w:r w:rsidRPr="007257C5">
        <w:rPr>
          <w:rFonts w:ascii="Times New Roman" w:eastAsia="Times New Roman" w:hAnsi="Times New Roman"/>
          <w:bCs/>
          <w:snapToGrid w:val="0"/>
          <w:sz w:val="24"/>
          <w:szCs w:val="24"/>
        </w:rPr>
        <w:t xml:space="preserve">Note: </w:t>
      </w:r>
      <w:r>
        <w:rPr>
          <w:rFonts w:ascii="Times New Roman" w:eastAsia="Times New Roman" w:hAnsi="Times New Roman"/>
          <w:bCs/>
          <w:snapToGrid w:val="0"/>
          <w:sz w:val="24"/>
          <w:szCs w:val="24"/>
        </w:rPr>
        <w:t xml:space="preserve"> </w:t>
      </w:r>
      <w:r w:rsidRPr="007257C5">
        <w:rPr>
          <w:rFonts w:ascii="Times New Roman" w:eastAsia="Times New Roman" w:hAnsi="Times New Roman"/>
          <w:bCs/>
          <w:snapToGrid w:val="0"/>
          <w:sz w:val="24"/>
          <w:szCs w:val="24"/>
        </w:rPr>
        <w:t xml:space="preserve">The total burden reflected in ROCIS is </w:t>
      </w:r>
      <w:r>
        <w:rPr>
          <w:rFonts w:ascii="Times New Roman" w:eastAsia="Times New Roman" w:hAnsi="Times New Roman"/>
          <w:b/>
          <w:snapToGrid w:val="0"/>
          <w:sz w:val="24"/>
          <w:szCs w:val="24"/>
        </w:rPr>
        <w:t>55</w:t>
      </w:r>
      <w:r w:rsidRPr="007257C5">
        <w:rPr>
          <w:rFonts w:ascii="Times New Roman" w:eastAsia="Times New Roman" w:hAnsi="Times New Roman"/>
          <w:bCs/>
          <w:snapToGrid w:val="0"/>
          <w:sz w:val="24"/>
          <w:szCs w:val="24"/>
        </w:rPr>
        <w:t xml:space="preserve">, while the burden cited in #12 of the Supporting Statement is </w:t>
      </w:r>
      <w:r>
        <w:rPr>
          <w:rFonts w:ascii="Times New Roman" w:eastAsia="Times New Roman" w:hAnsi="Times New Roman"/>
          <w:b/>
          <w:snapToGrid w:val="0"/>
          <w:sz w:val="24"/>
          <w:szCs w:val="24"/>
        </w:rPr>
        <w:t>28</w:t>
      </w:r>
      <w:r w:rsidRPr="007257C5">
        <w:rPr>
          <w:rFonts w:ascii="Times New Roman" w:eastAsia="Times New Roman" w:hAnsi="Times New Roman"/>
          <w:bCs/>
          <w:snapToGrid w:val="0"/>
          <w:sz w:val="24"/>
          <w:szCs w:val="24"/>
        </w:rPr>
        <w:t xml:space="preserve">.  This discrepancy is because the ROCIS burden reflects the following components:  </w:t>
      </w:r>
      <w:r>
        <w:rPr>
          <w:rFonts w:ascii="Times New Roman" w:eastAsia="Times New Roman" w:hAnsi="Times New Roman"/>
          <w:bCs/>
          <w:snapToGrid w:val="0"/>
          <w:sz w:val="24"/>
          <w:szCs w:val="24"/>
        </w:rPr>
        <w:t>teleservice center</w:t>
      </w:r>
      <w:r w:rsidRPr="007257C5">
        <w:rPr>
          <w:rFonts w:ascii="Times New Roman" w:eastAsia="Times New Roman" w:hAnsi="Times New Roman"/>
          <w:bCs/>
          <w:snapToGrid w:val="0"/>
          <w:sz w:val="24"/>
          <w:szCs w:val="24"/>
        </w:rPr>
        <w:t xml:space="preserve"> wait</w:t>
      </w:r>
      <w:r w:rsidR="00FD17BB">
        <w:rPr>
          <w:rFonts w:ascii="Times New Roman" w:eastAsia="Times New Roman" w:hAnsi="Times New Roman"/>
          <w:bCs/>
          <w:snapToGrid w:val="0"/>
          <w:sz w:val="24"/>
          <w:szCs w:val="24"/>
        </w:rPr>
        <w:t>ing</w:t>
      </w:r>
      <w:r w:rsidRPr="007257C5">
        <w:rPr>
          <w:rFonts w:ascii="Times New Roman" w:eastAsia="Times New Roman" w:hAnsi="Times New Roman"/>
          <w:bCs/>
          <w:snapToGrid w:val="0"/>
          <w:sz w:val="24"/>
          <w:szCs w:val="24"/>
        </w:rPr>
        <w:t xml:space="preserve"> time.  In contrast, the chart in #12 of the Supporting Statement reflects actual burden</w:t>
      </w:r>
      <w:r>
        <w:rPr>
          <w:rFonts w:ascii="Times New Roman" w:eastAsia="Times New Roman" w:hAnsi="Times New Roman"/>
          <w:bCs/>
          <w:snapToGrid w:val="0"/>
          <w:sz w:val="24"/>
          <w:szCs w:val="24"/>
        </w:rPr>
        <w:t>.</w:t>
      </w:r>
    </w:p>
    <w:p w:rsidR="007257C5" w:rsidRPr="00B6788C" w:rsidP="003C5CB1" w14:paraId="070671A6"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3C5CB1" w14:paraId="593CE008"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Plans for Publication Information Collection Results</w:t>
      </w:r>
    </w:p>
    <w:p w:rsidR="007B10C5" w:rsidRPr="00B6788C" w:rsidP="003C5CB1" w14:paraId="0F6B852D"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bCs/>
          <w:iCs/>
          <w:sz w:val="24"/>
          <w:szCs w:val="24"/>
          <w:lang w:bidi="en-US"/>
        </w:rPr>
        <w:t>SSA will not publish the results of the information collection.</w:t>
      </w:r>
    </w:p>
    <w:p w:rsidR="007B10C5" w:rsidRPr="00B6788C" w:rsidP="003C5CB1" w14:paraId="2AE0C2E6"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6A4D06" w14:paraId="0BA1CA33"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Displaying the OMB Approval Expiration Date</w:t>
      </w:r>
    </w:p>
    <w:p w:rsidR="007B10C5" w:rsidRPr="00B6788C" w:rsidP="003C5CB1" w14:paraId="58D6B56E" w14:textId="7777777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bCs/>
          <w:iCs/>
          <w:sz w:val="24"/>
          <w:szCs w:val="24"/>
          <w:lang w:bidi="en-U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w:t>
      </w:r>
      <w:r w:rsidRPr="00B6788C">
        <w:rPr>
          <w:rFonts w:ascii="Times New Roman" w:eastAsia="Times New Roman" w:hAnsi="Times New Roman"/>
          <w:bCs/>
          <w:iCs/>
          <w:sz w:val="24"/>
          <w:szCs w:val="24"/>
          <w:lang w:bidi="en-US"/>
        </w:rPr>
        <w:t>OMB granted this exemption so SSA would not have to destroy stocks of otherwise useable forms with expired OMB approval dates, avoiding Government waste.</w:t>
      </w:r>
    </w:p>
    <w:p w:rsidR="007B10C5" w:rsidRPr="00B6788C" w:rsidP="003C5CB1" w14:paraId="3FFB31ED" w14:textId="77777777">
      <w:pPr>
        <w:pStyle w:val="ListParagraph"/>
        <w:widowControl w:val="0"/>
        <w:spacing w:after="0" w:line="240" w:lineRule="auto"/>
        <w:ind w:left="1440"/>
        <w:rPr>
          <w:rFonts w:ascii="Times New Roman" w:eastAsia="Times New Roman" w:hAnsi="Times New Roman"/>
          <w:b/>
          <w:snapToGrid w:val="0"/>
          <w:sz w:val="24"/>
          <w:szCs w:val="24"/>
          <w:u w:val="single"/>
        </w:rPr>
      </w:pPr>
    </w:p>
    <w:p w:rsidR="00806C1C" w:rsidRPr="00B6788C" w:rsidP="006A4D06" w14:paraId="22B71955" w14:textId="77777777">
      <w:pPr>
        <w:pStyle w:val="ListParagraph"/>
        <w:widowControl w:val="0"/>
        <w:numPr>
          <w:ilvl w:val="0"/>
          <w:numId w:val="32"/>
        </w:numPr>
        <w:spacing w:after="0" w:line="240" w:lineRule="auto"/>
        <w:ind w:left="1440" w:hanging="720"/>
        <w:rPr>
          <w:rFonts w:ascii="Times New Roman" w:eastAsia="Times New Roman" w:hAnsi="Times New Roman"/>
          <w:b/>
          <w:snapToGrid w:val="0"/>
          <w:sz w:val="24"/>
          <w:szCs w:val="24"/>
          <w:u w:val="single"/>
        </w:rPr>
      </w:pPr>
      <w:r w:rsidRPr="00B6788C">
        <w:rPr>
          <w:rFonts w:ascii="Times New Roman" w:eastAsia="Times New Roman" w:hAnsi="Times New Roman"/>
          <w:b/>
          <w:snapToGrid w:val="0"/>
          <w:sz w:val="24"/>
          <w:szCs w:val="24"/>
        </w:rPr>
        <w:t>Exceptions to Certification Statement</w:t>
      </w:r>
    </w:p>
    <w:p w:rsidR="007B10C5" w:rsidRPr="00B6788C" w:rsidP="003C5CB1" w14:paraId="65538940" w14:textId="729F38E7">
      <w:pPr>
        <w:pStyle w:val="ListParagraph"/>
        <w:widowControl w:val="0"/>
        <w:spacing w:after="0" w:line="240" w:lineRule="auto"/>
        <w:ind w:left="1440"/>
        <w:rPr>
          <w:rFonts w:ascii="Times New Roman" w:eastAsia="Times New Roman" w:hAnsi="Times New Roman"/>
          <w:b/>
          <w:snapToGrid w:val="0"/>
          <w:sz w:val="24"/>
          <w:szCs w:val="24"/>
        </w:rPr>
      </w:pPr>
      <w:r w:rsidRPr="00B6788C">
        <w:rPr>
          <w:rFonts w:ascii="Times New Roman" w:eastAsia="Times New Roman" w:hAnsi="Times New Roman"/>
          <w:bCs/>
          <w:iCs/>
          <w:snapToGrid w:val="0"/>
          <w:sz w:val="24"/>
          <w:szCs w:val="24"/>
        </w:rPr>
        <w:t>SSA is not requesting an exception to the certification requirements at</w:t>
      </w:r>
      <w:r w:rsidRPr="00B6788C">
        <w:rPr>
          <w:rFonts w:ascii="Times New Roman" w:eastAsia="Times New Roman" w:hAnsi="Times New Roman"/>
          <w:bCs/>
          <w:i/>
          <w:iCs/>
          <w:snapToGrid w:val="0"/>
          <w:sz w:val="24"/>
          <w:szCs w:val="24"/>
        </w:rPr>
        <w:t xml:space="preserve"> 5</w:t>
      </w:r>
      <w:r w:rsidR="00FD17BB">
        <w:rPr>
          <w:rFonts w:ascii="Times New Roman" w:eastAsia="Times New Roman" w:hAnsi="Times New Roman"/>
          <w:bCs/>
          <w:i/>
          <w:iCs/>
          <w:snapToGrid w:val="0"/>
          <w:sz w:val="24"/>
          <w:szCs w:val="24"/>
        </w:rPr>
        <w:t> </w:t>
      </w:r>
      <w:r w:rsidRPr="00B6788C">
        <w:rPr>
          <w:rFonts w:ascii="Times New Roman" w:eastAsia="Times New Roman" w:hAnsi="Times New Roman"/>
          <w:bCs/>
          <w:i/>
          <w:iCs/>
          <w:snapToGrid w:val="0"/>
          <w:sz w:val="24"/>
          <w:szCs w:val="24"/>
        </w:rPr>
        <w:t>CFR</w:t>
      </w:r>
      <w:r w:rsidR="00FD17BB">
        <w:rPr>
          <w:rFonts w:ascii="Times New Roman" w:eastAsia="Times New Roman" w:hAnsi="Times New Roman"/>
          <w:bCs/>
          <w:i/>
          <w:iCs/>
          <w:snapToGrid w:val="0"/>
          <w:sz w:val="24"/>
          <w:szCs w:val="24"/>
        </w:rPr>
        <w:t> </w:t>
      </w:r>
      <w:r w:rsidRPr="00B6788C">
        <w:rPr>
          <w:rFonts w:ascii="Times New Roman" w:eastAsia="Times New Roman" w:hAnsi="Times New Roman"/>
          <w:bCs/>
          <w:i/>
          <w:iCs/>
          <w:snapToGrid w:val="0"/>
          <w:sz w:val="24"/>
          <w:szCs w:val="24"/>
        </w:rPr>
        <w:t>1320.9</w:t>
      </w:r>
      <w:r w:rsidRPr="00B6788C">
        <w:rPr>
          <w:rFonts w:ascii="Times New Roman" w:eastAsia="Times New Roman" w:hAnsi="Times New Roman"/>
          <w:bCs/>
          <w:iCs/>
          <w:snapToGrid w:val="0"/>
          <w:sz w:val="24"/>
          <w:szCs w:val="24"/>
        </w:rPr>
        <w:t xml:space="preserve"> and related provisions at </w:t>
      </w:r>
      <w:r w:rsidRPr="00B6788C">
        <w:rPr>
          <w:rFonts w:ascii="Times New Roman" w:eastAsia="Times New Roman" w:hAnsi="Times New Roman"/>
          <w:bCs/>
          <w:i/>
          <w:iCs/>
          <w:snapToGrid w:val="0"/>
          <w:sz w:val="24"/>
          <w:szCs w:val="24"/>
        </w:rPr>
        <w:t>5 CFR 1320.8(b)(3</w:t>
      </w:r>
      <w:r w:rsidRPr="00B6788C">
        <w:rPr>
          <w:rFonts w:ascii="Times New Roman" w:eastAsia="Times New Roman" w:hAnsi="Times New Roman"/>
          <w:bCs/>
          <w:iCs/>
          <w:snapToGrid w:val="0"/>
          <w:sz w:val="24"/>
          <w:szCs w:val="24"/>
        </w:rPr>
        <w:t>).</w:t>
      </w:r>
    </w:p>
    <w:p w:rsidR="00806C1C" w:rsidRPr="00B6788C" w:rsidP="007B10C5" w14:paraId="50C53F01" w14:textId="77777777">
      <w:pPr>
        <w:widowControl w:val="0"/>
        <w:spacing w:after="0" w:line="240" w:lineRule="auto"/>
        <w:rPr>
          <w:rFonts w:ascii="Times New Roman" w:eastAsia="Times New Roman" w:hAnsi="Times New Roman"/>
          <w:b/>
          <w:snapToGrid w:val="0"/>
          <w:sz w:val="24"/>
          <w:szCs w:val="24"/>
        </w:rPr>
      </w:pPr>
    </w:p>
    <w:p w:rsidR="00E43AEA" w:rsidRPr="00B6788C" w:rsidP="003C5CB1" w14:paraId="3A0EF2A3" w14:textId="77777777">
      <w:pPr>
        <w:pStyle w:val="ListParagraph"/>
        <w:widowControl w:val="0"/>
        <w:numPr>
          <w:ilvl w:val="0"/>
          <w:numId w:val="31"/>
        </w:numPr>
        <w:spacing w:after="0" w:line="240" w:lineRule="auto"/>
        <w:ind w:hanging="540"/>
        <w:rPr>
          <w:rFonts w:ascii="Times New Roman" w:eastAsia="Times New Roman" w:hAnsi="Times New Roman"/>
          <w:b/>
          <w:snapToGrid w:val="0"/>
          <w:sz w:val="24"/>
          <w:szCs w:val="24"/>
        </w:rPr>
      </w:pPr>
      <w:r w:rsidRPr="00B6788C">
        <w:rPr>
          <w:rFonts w:ascii="Times New Roman" w:eastAsia="Times New Roman" w:hAnsi="Times New Roman"/>
          <w:b/>
          <w:snapToGrid w:val="0"/>
          <w:sz w:val="24"/>
          <w:szCs w:val="24"/>
          <w:u w:val="single"/>
        </w:rPr>
        <w:t>Collections of Informatio</w:t>
      </w:r>
      <w:r w:rsidRPr="00B6788C" w:rsidR="00DB1D43">
        <w:rPr>
          <w:rFonts w:ascii="Times New Roman" w:eastAsia="Times New Roman" w:hAnsi="Times New Roman"/>
          <w:b/>
          <w:snapToGrid w:val="0"/>
          <w:sz w:val="24"/>
          <w:szCs w:val="24"/>
          <w:u w:val="single"/>
        </w:rPr>
        <w:t>n Employing Statistical Methods</w:t>
      </w:r>
    </w:p>
    <w:p w:rsidR="007B10C5" w:rsidRPr="00B6788C" w:rsidP="00DB1D43" w14:paraId="6A7F38EB" w14:textId="77777777">
      <w:pPr>
        <w:widowControl w:val="0"/>
        <w:spacing w:after="0" w:line="240" w:lineRule="auto"/>
        <w:rPr>
          <w:rFonts w:ascii="Times New Roman" w:eastAsia="Times New Roman" w:hAnsi="Times New Roman"/>
          <w:bCs/>
          <w:iCs/>
          <w:snapToGrid w:val="0"/>
          <w:sz w:val="24"/>
          <w:szCs w:val="24"/>
        </w:rPr>
      </w:pPr>
      <w:r w:rsidRPr="00B6788C">
        <w:rPr>
          <w:rFonts w:ascii="Times New Roman" w:eastAsia="Times New Roman" w:hAnsi="Times New Roman"/>
          <w:bCs/>
          <w:iCs/>
          <w:snapToGrid w:val="0"/>
          <w:sz w:val="24"/>
          <w:szCs w:val="24"/>
        </w:rPr>
        <w:t xml:space="preserve">   </w:t>
      </w:r>
      <w:r w:rsidRPr="00B6788C" w:rsidR="001C582E">
        <w:rPr>
          <w:rFonts w:ascii="Times New Roman" w:eastAsia="Times New Roman" w:hAnsi="Times New Roman"/>
          <w:bCs/>
          <w:iCs/>
          <w:snapToGrid w:val="0"/>
          <w:sz w:val="24"/>
          <w:szCs w:val="24"/>
        </w:rPr>
        <w:tab/>
      </w:r>
      <w:r w:rsidRPr="00B6788C" w:rsidR="001C582E">
        <w:rPr>
          <w:rFonts w:ascii="Times New Roman" w:eastAsia="Times New Roman" w:hAnsi="Times New Roman"/>
          <w:bCs/>
          <w:iCs/>
          <w:snapToGrid w:val="0"/>
          <w:sz w:val="24"/>
          <w:szCs w:val="24"/>
        </w:rPr>
        <w:tab/>
      </w:r>
      <w:r w:rsidRPr="00B6788C">
        <w:rPr>
          <w:rFonts w:ascii="Times New Roman" w:eastAsia="Times New Roman" w:hAnsi="Times New Roman"/>
          <w:bCs/>
          <w:iCs/>
          <w:snapToGrid w:val="0"/>
          <w:sz w:val="24"/>
          <w:szCs w:val="24"/>
        </w:rPr>
        <w:t xml:space="preserve"> </w:t>
      </w:r>
    </w:p>
    <w:p w:rsidR="00CC1C07" w:rsidRPr="00433588" w:rsidP="00433588" w14:paraId="39D3062A" w14:textId="4E6AA7FF">
      <w:pPr>
        <w:widowControl w:val="0"/>
        <w:spacing w:after="0" w:line="240" w:lineRule="auto"/>
        <w:ind w:left="1440"/>
        <w:rPr>
          <w:rFonts w:ascii="Times New Roman" w:eastAsia="Times New Roman" w:hAnsi="Times New Roman"/>
          <w:bCs/>
          <w:iCs/>
          <w:snapToGrid w:val="0"/>
          <w:sz w:val="24"/>
          <w:szCs w:val="24"/>
        </w:rPr>
      </w:pPr>
      <w:r w:rsidRPr="00B6788C">
        <w:rPr>
          <w:rFonts w:ascii="Times New Roman" w:eastAsia="Times New Roman" w:hAnsi="Times New Roman"/>
          <w:bCs/>
          <w:iCs/>
          <w:snapToGrid w:val="0"/>
          <w:sz w:val="24"/>
          <w:szCs w:val="24"/>
        </w:rPr>
        <w:t>SSA does not use statistical methods for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631A7"/>
    <w:multiLevelType w:val="hybridMultilevel"/>
    <w:tmpl w:val="4D32C924"/>
    <w:lvl w:ilvl="0">
      <w:start w:val="18"/>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6">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7C6A38"/>
    <w:multiLevelType w:val="hybridMultilevel"/>
    <w:tmpl w:val="0804DD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A605A35"/>
    <w:multiLevelType w:val="singleLevel"/>
    <w:tmpl w:val="2A8CA004"/>
    <w:lvl w:ilvl="0">
      <w:start w:val="5"/>
      <w:numFmt w:val="decimal"/>
      <w:lvlText w:val="%1."/>
      <w:lvlJc w:val="left"/>
      <w:pPr>
        <w:tabs>
          <w:tab w:val="num" w:pos="360"/>
        </w:tabs>
        <w:ind w:left="360" w:hanging="360"/>
      </w:pPr>
      <w:rPr>
        <w:rFonts w:hint="default"/>
        <w:b w:val="0"/>
        <w:bCs/>
      </w:rPr>
    </w:lvl>
  </w:abstractNum>
  <w:abstractNum w:abstractNumId="21">
    <w:nsid w:val="616F329C"/>
    <w:multiLevelType w:val="hybridMultilevel"/>
    <w:tmpl w:val="07B29A6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3">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645C67F8"/>
    <w:multiLevelType w:val="hybridMultilevel"/>
    <w:tmpl w:val="A312618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CC03B5"/>
    <w:multiLevelType w:val="singleLevel"/>
    <w:tmpl w:val="323C6E44"/>
    <w:lvl w:ilvl="0">
      <w:start w:val="14"/>
      <w:numFmt w:val="decimal"/>
      <w:lvlText w:val="%1."/>
      <w:lvlJc w:val="left"/>
      <w:pPr>
        <w:tabs>
          <w:tab w:val="num" w:pos="360"/>
        </w:tabs>
        <w:ind w:left="360" w:hanging="360"/>
      </w:pPr>
      <w:rPr>
        <w:rFonts w:hint="default"/>
        <w:b w:val="0"/>
        <w:bCs/>
      </w:rPr>
    </w:lvl>
  </w:abstractNum>
  <w:abstractNum w:abstractNumId="27">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866410B"/>
    <w:multiLevelType w:val="singleLevel"/>
    <w:tmpl w:val="FDE01D66"/>
    <w:lvl w:ilvl="0">
      <w:start w:val="2"/>
      <w:numFmt w:val="decimal"/>
      <w:lvlText w:val="%1."/>
      <w:lvlJc w:val="left"/>
      <w:pPr>
        <w:tabs>
          <w:tab w:val="num" w:pos="720"/>
        </w:tabs>
        <w:ind w:left="720" w:hanging="720"/>
      </w:pPr>
      <w:rPr>
        <w:rFonts w:hint="default"/>
        <w:b w:val="0"/>
      </w:rPr>
    </w:lvl>
  </w:abstractNum>
  <w:abstractNum w:abstractNumId="30">
    <w:nsid w:val="7A9B5E7D"/>
    <w:multiLevelType w:val="singleLevel"/>
    <w:tmpl w:val="F7D69134"/>
    <w:lvl w:ilvl="0">
      <w:start w:val="8"/>
      <w:numFmt w:val="decimal"/>
      <w:lvlText w:val="%1."/>
      <w:lvlJc w:val="left"/>
      <w:pPr>
        <w:tabs>
          <w:tab w:val="num" w:pos="720"/>
        </w:tabs>
        <w:ind w:left="720" w:hanging="720"/>
      </w:pPr>
      <w:rPr>
        <w:rFonts w:hint="default"/>
        <w:b w:val="0"/>
      </w:rPr>
    </w:lvl>
  </w:abstractNum>
  <w:abstractNum w:abstractNumId="31">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7"/>
  </w:num>
  <w:num w:numId="3">
    <w:abstractNumId w:val="2"/>
  </w:num>
  <w:num w:numId="4">
    <w:abstractNumId w:val="14"/>
  </w:num>
  <w:num w:numId="5">
    <w:abstractNumId w:val="6"/>
  </w:num>
  <w:num w:numId="6">
    <w:abstractNumId w:val="18"/>
  </w:num>
  <w:num w:numId="7">
    <w:abstractNumId w:val="22"/>
  </w:num>
  <w:num w:numId="8">
    <w:abstractNumId w:val="25"/>
  </w:num>
  <w:num w:numId="9">
    <w:abstractNumId w:val="3"/>
  </w:num>
  <w:num w:numId="10">
    <w:abstractNumId w:val="1"/>
  </w:num>
  <w:num w:numId="11">
    <w:abstractNumId w:val="11"/>
  </w:num>
  <w:num w:numId="12">
    <w:abstractNumId w:val="15"/>
  </w:num>
  <w:num w:numId="13">
    <w:abstractNumId w:val="30"/>
  </w:num>
  <w:num w:numId="14">
    <w:abstractNumId w:val="5"/>
  </w:num>
  <w:num w:numId="15">
    <w:abstractNumId w:val="4"/>
  </w:num>
  <w:num w:numId="16">
    <w:abstractNumId w:val="29"/>
  </w:num>
  <w:num w:numId="17">
    <w:abstractNumId w:val="26"/>
  </w:num>
  <w:num w:numId="18">
    <w:abstractNumId w:val="20"/>
  </w:num>
  <w:num w:numId="19">
    <w:abstractNumId w:val="21"/>
  </w:num>
  <w:num w:numId="20">
    <w:abstractNumId w:val="31"/>
  </w:num>
  <w:num w:numId="21">
    <w:abstractNumId w:val="27"/>
  </w:num>
  <w:num w:numId="22">
    <w:abstractNumId w:val="13"/>
  </w:num>
  <w:num w:numId="23">
    <w:abstractNumId w:val="23"/>
  </w:num>
  <w:num w:numId="24">
    <w:abstractNumId w:val="19"/>
  </w:num>
  <w:num w:numId="25">
    <w:abstractNumId w:val="7"/>
  </w:num>
  <w:num w:numId="26">
    <w:abstractNumId w:val="0"/>
  </w:num>
  <w:num w:numId="27">
    <w:abstractNumId w:val="8"/>
  </w:num>
  <w:num w:numId="28">
    <w:abstractNumId w:val="28"/>
  </w:num>
  <w:num w:numId="29">
    <w:abstractNumId w:val="16"/>
  </w:num>
  <w:num w:numId="30">
    <w:abstractNumId w:val="12"/>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EA"/>
    <w:rsid w:val="00012F79"/>
    <w:rsid w:val="0001368F"/>
    <w:rsid w:val="000337CB"/>
    <w:rsid w:val="000459B0"/>
    <w:rsid w:val="00046D31"/>
    <w:rsid w:val="0005734E"/>
    <w:rsid w:val="00074D14"/>
    <w:rsid w:val="00097930"/>
    <w:rsid w:val="000A2D8B"/>
    <w:rsid w:val="000B108C"/>
    <w:rsid w:val="000E720A"/>
    <w:rsid w:val="000F5F74"/>
    <w:rsid w:val="000F7040"/>
    <w:rsid w:val="00115935"/>
    <w:rsid w:val="00126814"/>
    <w:rsid w:val="00126DA2"/>
    <w:rsid w:val="00132213"/>
    <w:rsid w:val="00165E9C"/>
    <w:rsid w:val="0019098A"/>
    <w:rsid w:val="001C2679"/>
    <w:rsid w:val="001C582E"/>
    <w:rsid w:val="001D6C59"/>
    <w:rsid w:val="001E3D4B"/>
    <w:rsid w:val="001E63E5"/>
    <w:rsid w:val="00201C0D"/>
    <w:rsid w:val="00222312"/>
    <w:rsid w:val="00227D79"/>
    <w:rsid w:val="0023266B"/>
    <w:rsid w:val="00275E0F"/>
    <w:rsid w:val="002907BB"/>
    <w:rsid w:val="002971D0"/>
    <w:rsid w:val="002A63A0"/>
    <w:rsid w:val="002F16B3"/>
    <w:rsid w:val="003024F1"/>
    <w:rsid w:val="003070A9"/>
    <w:rsid w:val="003342FC"/>
    <w:rsid w:val="00342F4D"/>
    <w:rsid w:val="003558C0"/>
    <w:rsid w:val="00365C80"/>
    <w:rsid w:val="0037685E"/>
    <w:rsid w:val="00393A2C"/>
    <w:rsid w:val="003C33C1"/>
    <w:rsid w:val="003C5CB1"/>
    <w:rsid w:val="003E7883"/>
    <w:rsid w:val="003F61CE"/>
    <w:rsid w:val="00403A2C"/>
    <w:rsid w:val="00403B95"/>
    <w:rsid w:val="00433588"/>
    <w:rsid w:val="00436EA7"/>
    <w:rsid w:val="004428B7"/>
    <w:rsid w:val="004979B9"/>
    <w:rsid w:val="004A1C9A"/>
    <w:rsid w:val="004B0E3E"/>
    <w:rsid w:val="004B501F"/>
    <w:rsid w:val="004C3986"/>
    <w:rsid w:val="004E79F1"/>
    <w:rsid w:val="004F56C0"/>
    <w:rsid w:val="00500406"/>
    <w:rsid w:val="0050305F"/>
    <w:rsid w:val="0050457E"/>
    <w:rsid w:val="005236B7"/>
    <w:rsid w:val="00525098"/>
    <w:rsid w:val="00580527"/>
    <w:rsid w:val="005C53BD"/>
    <w:rsid w:val="00614289"/>
    <w:rsid w:val="0064072B"/>
    <w:rsid w:val="00662537"/>
    <w:rsid w:val="006A4D06"/>
    <w:rsid w:val="006C4C71"/>
    <w:rsid w:val="006D6A69"/>
    <w:rsid w:val="006D7669"/>
    <w:rsid w:val="006F4515"/>
    <w:rsid w:val="00723E1C"/>
    <w:rsid w:val="007257C5"/>
    <w:rsid w:val="00740A83"/>
    <w:rsid w:val="00744708"/>
    <w:rsid w:val="00752AB9"/>
    <w:rsid w:val="00764A56"/>
    <w:rsid w:val="00795270"/>
    <w:rsid w:val="007A4583"/>
    <w:rsid w:val="007B10C5"/>
    <w:rsid w:val="007E5AAB"/>
    <w:rsid w:val="00806C1C"/>
    <w:rsid w:val="008262CE"/>
    <w:rsid w:val="008437BD"/>
    <w:rsid w:val="008721BC"/>
    <w:rsid w:val="008A44CD"/>
    <w:rsid w:val="008A7987"/>
    <w:rsid w:val="008B54E2"/>
    <w:rsid w:val="008B6822"/>
    <w:rsid w:val="008C3170"/>
    <w:rsid w:val="008D6CA4"/>
    <w:rsid w:val="008F0793"/>
    <w:rsid w:val="0091137B"/>
    <w:rsid w:val="0092434D"/>
    <w:rsid w:val="0093044F"/>
    <w:rsid w:val="00933B20"/>
    <w:rsid w:val="009567DC"/>
    <w:rsid w:val="00963AFB"/>
    <w:rsid w:val="009643D5"/>
    <w:rsid w:val="009855EF"/>
    <w:rsid w:val="009C584C"/>
    <w:rsid w:val="009D6E31"/>
    <w:rsid w:val="00A00C0A"/>
    <w:rsid w:val="00A01566"/>
    <w:rsid w:val="00A312F7"/>
    <w:rsid w:val="00A40C45"/>
    <w:rsid w:val="00A466C5"/>
    <w:rsid w:val="00A52458"/>
    <w:rsid w:val="00A5467A"/>
    <w:rsid w:val="00A66D12"/>
    <w:rsid w:val="00A70D20"/>
    <w:rsid w:val="00A74CA0"/>
    <w:rsid w:val="00AB33D6"/>
    <w:rsid w:val="00AB3E42"/>
    <w:rsid w:val="00AB3EB1"/>
    <w:rsid w:val="00AB7B5C"/>
    <w:rsid w:val="00AE3CFF"/>
    <w:rsid w:val="00B360E2"/>
    <w:rsid w:val="00B4766E"/>
    <w:rsid w:val="00B50907"/>
    <w:rsid w:val="00B63CF6"/>
    <w:rsid w:val="00B6788C"/>
    <w:rsid w:val="00B74ACD"/>
    <w:rsid w:val="00B94C10"/>
    <w:rsid w:val="00BF75B7"/>
    <w:rsid w:val="00C04B3C"/>
    <w:rsid w:val="00C25C0A"/>
    <w:rsid w:val="00C35BFC"/>
    <w:rsid w:val="00C471F8"/>
    <w:rsid w:val="00C477D9"/>
    <w:rsid w:val="00C602D3"/>
    <w:rsid w:val="00C74BD8"/>
    <w:rsid w:val="00C77DF4"/>
    <w:rsid w:val="00C82857"/>
    <w:rsid w:val="00C94D00"/>
    <w:rsid w:val="00CA56D7"/>
    <w:rsid w:val="00CC1BF1"/>
    <w:rsid w:val="00CC1C07"/>
    <w:rsid w:val="00D036CD"/>
    <w:rsid w:val="00D26ED4"/>
    <w:rsid w:val="00D32EEA"/>
    <w:rsid w:val="00D6327C"/>
    <w:rsid w:val="00D63A4D"/>
    <w:rsid w:val="00D735E4"/>
    <w:rsid w:val="00DB1D43"/>
    <w:rsid w:val="00DB585D"/>
    <w:rsid w:val="00DD1D1B"/>
    <w:rsid w:val="00DF2B59"/>
    <w:rsid w:val="00E038E6"/>
    <w:rsid w:val="00E43AEA"/>
    <w:rsid w:val="00E51CEB"/>
    <w:rsid w:val="00E6206E"/>
    <w:rsid w:val="00E865D8"/>
    <w:rsid w:val="00E90976"/>
    <w:rsid w:val="00E9326B"/>
    <w:rsid w:val="00E9335A"/>
    <w:rsid w:val="00E97ED5"/>
    <w:rsid w:val="00EA6EF3"/>
    <w:rsid w:val="00ED2524"/>
    <w:rsid w:val="00ED55AA"/>
    <w:rsid w:val="00ED5B57"/>
    <w:rsid w:val="00EE569D"/>
    <w:rsid w:val="00F00CBE"/>
    <w:rsid w:val="00F06E3F"/>
    <w:rsid w:val="00F249FE"/>
    <w:rsid w:val="00F46058"/>
    <w:rsid w:val="00F77C7D"/>
    <w:rsid w:val="00F859F8"/>
    <w:rsid w:val="00F9613F"/>
    <w:rsid w:val="00FA5BCA"/>
    <w:rsid w:val="00FC2B2C"/>
    <w:rsid w:val="00FD17BB"/>
    <w:rsid w:val="00FE3CE3"/>
    <w:rsid w:val="00FF67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9AF802"/>
  <w15:chartTrackingRefBased/>
  <w15:docId w15:val="{5346FD4C-4185-4F59-BC68-0D7FBB48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0907"/>
    <w:rPr>
      <w:color w:val="0000FF"/>
      <w:u w:val="single"/>
    </w:rPr>
  </w:style>
  <w:style w:type="character" w:styleId="FollowedHyperlink">
    <w:name w:val="FollowedHyperlink"/>
    <w:uiPriority w:val="99"/>
    <w:semiHidden/>
    <w:unhideWhenUsed/>
    <w:rsid w:val="004B0E3E"/>
    <w:rPr>
      <w:color w:val="800080"/>
      <w:u w:val="single"/>
    </w:rPr>
  </w:style>
  <w:style w:type="paragraph" w:styleId="NormalWeb">
    <w:name w:val="Normal (Web)"/>
    <w:basedOn w:val="Normal"/>
    <w:uiPriority w:val="99"/>
    <w:semiHidden/>
    <w:unhideWhenUsed/>
    <w:rsid w:val="00C04B3C"/>
    <w:rPr>
      <w:rFonts w:ascii="Times New Roman" w:hAnsi="Times New Roman"/>
      <w:sz w:val="24"/>
      <w:szCs w:val="24"/>
    </w:rPr>
  </w:style>
  <w:style w:type="paragraph" w:styleId="HTMLPreformatted">
    <w:name w:val="HTML Preformatted"/>
    <w:basedOn w:val="Normal"/>
    <w:link w:val="HTMLPreformattedChar"/>
    <w:rsid w:val="006C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PreformattedChar">
    <w:name w:val="HTML Preformatted Char"/>
    <w:link w:val="HTMLPreformatted"/>
    <w:rsid w:val="006C4C71"/>
    <w:rPr>
      <w:rFonts w:ascii="Courier New" w:eastAsia="SimSun" w:hAnsi="Courier New"/>
      <w:lang w:val="x-none" w:eastAsia="zh-CN"/>
    </w:rPr>
  </w:style>
  <w:style w:type="paragraph" w:styleId="BalloonText">
    <w:name w:val="Balloon Text"/>
    <w:basedOn w:val="Normal"/>
    <w:link w:val="BalloonTextChar"/>
    <w:uiPriority w:val="99"/>
    <w:semiHidden/>
    <w:unhideWhenUsed/>
    <w:rsid w:val="008437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37BD"/>
    <w:rPr>
      <w:rFonts w:ascii="Tahoma" w:hAnsi="Tahoma" w:cs="Tahoma"/>
      <w:sz w:val="16"/>
      <w:szCs w:val="16"/>
    </w:rPr>
  </w:style>
  <w:style w:type="character" w:styleId="CommentReference">
    <w:name w:val="annotation reference"/>
    <w:uiPriority w:val="99"/>
    <w:semiHidden/>
    <w:unhideWhenUsed/>
    <w:rsid w:val="00393A2C"/>
    <w:rPr>
      <w:sz w:val="16"/>
      <w:szCs w:val="16"/>
    </w:rPr>
  </w:style>
  <w:style w:type="paragraph" w:styleId="CommentText">
    <w:name w:val="annotation text"/>
    <w:basedOn w:val="Normal"/>
    <w:link w:val="CommentTextChar"/>
    <w:uiPriority w:val="99"/>
    <w:semiHidden/>
    <w:unhideWhenUsed/>
    <w:rsid w:val="00393A2C"/>
    <w:rPr>
      <w:sz w:val="20"/>
      <w:szCs w:val="20"/>
    </w:rPr>
  </w:style>
  <w:style w:type="character" w:customStyle="1" w:styleId="CommentTextChar">
    <w:name w:val="Comment Text Char"/>
    <w:basedOn w:val="DefaultParagraphFont"/>
    <w:link w:val="CommentText"/>
    <w:uiPriority w:val="99"/>
    <w:semiHidden/>
    <w:rsid w:val="00393A2C"/>
  </w:style>
  <w:style w:type="paragraph" w:styleId="CommentSubject">
    <w:name w:val="annotation subject"/>
    <w:basedOn w:val="CommentText"/>
    <w:next w:val="CommentText"/>
    <w:link w:val="CommentSubjectChar"/>
    <w:uiPriority w:val="99"/>
    <w:semiHidden/>
    <w:unhideWhenUsed/>
    <w:rsid w:val="00393A2C"/>
    <w:rPr>
      <w:b/>
      <w:bCs/>
    </w:rPr>
  </w:style>
  <w:style w:type="character" w:customStyle="1" w:styleId="CommentSubjectChar">
    <w:name w:val="Comment Subject Char"/>
    <w:link w:val="CommentSubject"/>
    <w:uiPriority w:val="99"/>
    <w:semiHidden/>
    <w:rsid w:val="00393A2C"/>
    <w:rPr>
      <w:b/>
      <w:bCs/>
    </w:rPr>
  </w:style>
  <w:style w:type="paragraph" w:styleId="ListParagraph">
    <w:name w:val="List Paragraph"/>
    <w:basedOn w:val="Normal"/>
    <w:uiPriority w:val="34"/>
    <w:qFormat/>
    <w:rsid w:val="00806C1C"/>
    <w:pPr>
      <w:ind w:left="720"/>
      <w:contextualSpacing/>
    </w:pPr>
  </w:style>
  <w:style w:type="table" w:styleId="TableGrid">
    <w:name w:val="Table Grid"/>
    <w:basedOn w:val="TableNormal"/>
    <w:uiPriority w:val="59"/>
    <w:rsid w:val="00ED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678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1542</Words>
  <Characters>8250</Characters>
  <Application>Microsoft Office Word</Application>
  <DocSecurity>0</DocSecurity>
  <Lines>168</Lines>
  <Paragraphs>33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IWS/LAN</dc:creator>
  <cp:lastModifiedBy>SSA Response</cp:lastModifiedBy>
  <cp:revision>8</cp:revision>
  <cp:lastPrinted>2016-06-22T17:40:00Z</cp:lastPrinted>
  <dcterms:created xsi:type="dcterms:W3CDTF">2022-10-04T13:15:00Z</dcterms:created>
  <dcterms:modified xsi:type="dcterms:W3CDTF">2022-10-04T14:13:00Z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1679595523</vt:i4>
  </property>
  <property fmtid="{D5CDD505-2E9C-101B-9397-08002B2CF9AE}" pid="3" name="_AuthorEmail">
    <vt:lpwstr>Phyllis.Mathers@ssa.gov</vt:lpwstr>
  </property>
  <property fmtid="{D5CDD505-2E9C-101B-9397-08002B2CF9AE}" pid="4" name="_AuthorEmailDisplayName">
    <vt:lpwstr>Mathers, Phyllis</vt:lpwstr>
  </property>
  <property fmtid="{D5CDD505-2E9C-101B-9397-08002B2CF9AE}" pid="5" name="_EmailSubject">
    <vt:lpwstr>PA Concurrence/Revision requested by 7/8/22  0960-0782 (SSA-2010) (OPD 17994)</vt:lpwstr>
  </property>
  <property fmtid="{D5CDD505-2E9C-101B-9397-08002B2CF9AE}" pid="6" name="_NewReviewCycle">
    <vt:lpwstr/>
  </property>
  <property fmtid="{D5CDD505-2E9C-101B-9397-08002B2CF9AE}" pid="7" name="_PreviousAdHocReviewCycleID">
    <vt:i4>-471139536</vt:i4>
  </property>
  <property fmtid="{D5CDD505-2E9C-101B-9397-08002B2CF9AE}" pid="8" name="_ReviewingToolsShownOnce">
    <vt:lpwstr/>
  </property>
</Properties>
</file>