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18B1" w:rsidP="000D20D6" w:rsidRDefault="009C4A45" w14:paraId="490AE5DA" w14:textId="77777777">
      <w:pPr>
        <w:jc w:val="center"/>
        <w:rPr>
          <w:b/>
        </w:rPr>
      </w:pPr>
      <w:r>
        <w:rPr>
          <w:b/>
        </w:rPr>
        <w:t>Supporting Statement for Form SSA-765</w:t>
      </w:r>
    </w:p>
    <w:p w:rsidR="000D20D6" w:rsidP="000D20D6" w:rsidRDefault="009C4A45" w14:paraId="4220AD6B" w14:textId="77777777">
      <w:pPr>
        <w:jc w:val="center"/>
        <w:rPr>
          <w:b/>
        </w:rPr>
      </w:pPr>
      <w:r>
        <w:rPr>
          <w:b/>
        </w:rPr>
        <w:t>Response to Notice of Revised Determination</w:t>
      </w:r>
    </w:p>
    <w:p w:rsidR="000D20D6" w:rsidP="00345E1A" w:rsidRDefault="000D20D6" w14:paraId="7AA9B7D0" w14:textId="77777777">
      <w:pPr>
        <w:jc w:val="center"/>
        <w:rPr>
          <w:b/>
        </w:rPr>
      </w:pPr>
      <w:r>
        <w:rPr>
          <w:b/>
        </w:rPr>
        <w:t>20 CFR 404.913-</w:t>
      </w:r>
      <w:r w:rsidR="00EC62EB">
        <w:rPr>
          <w:b/>
        </w:rPr>
        <w:t>404</w:t>
      </w:r>
      <w:r>
        <w:rPr>
          <w:b/>
        </w:rPr>
        <w:t>.914, 404.992(b), 416.1413-</w:t>
      </w:r>
      <w:r w:rsidR="00EC62EB">
        <w:rPr>
          <w:b/>
        </w:rPr>
        <w:t>416</w:t>
      </w:r>
      <w:r>
        <w:rPr>
          <w:b/>
        </w:rPr>
        <w:t>.1414, and 416.1492(d)</w:t>
      </w:r>
    </w:p>
    <w:p w:rsidRPr="000D20D6" w:rsidR="000D20D6" w:rsidP="000D20D6" w:rsidRDefault="000D20D6" w14:paraId="5BFD8D83" w14:textId="77777777">
      <w:pPr>
        <w:jc w:val="center"/>
        <w:rPr>
          <w:b/>
        </w:rPr>
      </w:pPr>
      <w:r>
        <w:rPr>
          <w:b/>
        </w:rPr>
        <w:t>OMB No. 0960-0347</w:t>
      </w:r>
    </w:p>
    <w:p w:rsidR="000D20D6" w:rsidRDefault="000D20D6" w14:paraId="69AB8B5A" w14:textId="43EA8AF5"/>
    <w:p w:rsidRPr="000D20D6" w:rsidR="004255DF" w:rsidP="000D20D6" w:rsidRDefault="004255DF" w14:paraId="750DDCE0" w14:textId="77777777">
      <w:pPr>
        <w:numPr>
          <w:ilvl w:val="0"/>
          <w:numId w:val="1"/>
        </w:numPr>
        <w:rPr>
          <w:b/>
          <w:u w:val="single"/>
        </w:rPr>
      </w:pPr>
      <w:r w:rsidRPr="000D20D6">
        <w:rPr>
          <w:b/>
          <w:u w:val="single"/>
        </w:rPr>
        <w:t>Justification</w:t>
      </w:r>
    </w:p>
    <w:p w:rsidR="004255DF" w:rsidP="004255DF" w:rsidRDefault="004255DF" w14:paraId="2FDF6DC5" w14:textId="77777777">
      <w:pPr>
        <w:rPr>
          <w:b/>
        </w:rPr>
      </w:pPr>
    </w:p>
    <w:p w:rsidRPr="00911DBD" w:rsidR="00911DBD" w:rsidP="00637744" w:rsidRDefault="009B2249" w14:paraId="2982E3BA" w14:textId="417D9B21">
      <w:pPr>
        <w:numPr>
          <w:ilvl w:val="1"/>
          <w:numId w:val="1"/>
        </w:numPr>
        <w:tabs>
          <w:tab w:val="left" w:pos="1530"/>
          <w:tab w:val="left" w:pos="1980"/>
        </w:tabs>
      </w:pPr>
      <w:r>
        <w:rPr>
          <w:b/>
        </w:rPr>
        <w:t xml:space="preserve"> </w:t>
      </w:r>
      <w:r w:rsidR="00644BDB">
        <w:rPr>
          <w:b/>
        </w:rPr>
        <w:t xml:space="preserve"> </w:t>
      </w:r>
      <w:r w:rsidR="00B96635">
        <w:rPr>
          <w:b/>
        </w:rPr>
        <w:t>I</w:t>
      </w:r>
      <w:r w:rsidRPr="00874551" w:rsidR="00C8479E">
        <w:rPr>
          <w:b/>
        </w:rPr>
        <w:t>ntroduction/Authoring Laws and Regulations</w:t>
      </w:r>
    </w:p>
    <w:p w:rsidRPr="00B96635" w:rsidR="00911DBD" w:rsidP="00637744" w:rsidRDefault="00911DBD" w14:paraId="1D672326" w14:textId="2C07F31C">
      <w:pPr>
        <w:ind w:left="1530"/>
        <w:rPr>
          <w:i/>
        </w:rPr>
      </w:pPr>
      <w:r>
        <w:t xml:space="preserve">When the Social Security Administration (SSA) </w:t>
      </w:r>
      <w:r w:rsidR="004E669F">
        <w:t>revises a reconsidered determination that a claimant is disabled, based on medical factors, SSA notifies the disability recipi</w:t>
      </w:r>
      <w:r w:rsidR="00847C98">
        <w:t>ents of this proposed revision.</w:t>
      </w:r>
      <w:r>
        <w:t xml:space="preserve">  In respo</w:t>
      </w:r>
      <w:r w:rsidR="00626A71">
        <w:t>nse to this notice,</w:t>
      </w:r>
      <w:r>
        <w:t xml:space="preserve"> </w:t>
      </w:r>
      <w:r w:rsidRPr="00FF3B84" w:rsidR="00626A71">
        <w:t>the</w:t>
      </w:r>
      <w:r w:rsidR="00626A71">
        <w:t xml:space="preserve"> </w:t>
      </w:r>
      <w:r w:rsidRPr="00FF3B84" w:rsidR="00626A71">
        <w:t>disability</w:t>
      </w:r>
      <w:r w:rsidR="00626A71">
        <w:t xml:space="preserve"> </w:t>
      </w:r>
      <w:r w:rsidRPr="00FF3B84" w:rsidR="00626A71">
        <w:t>recipients have the following recourse</w:t>
      </w:r>
      <w:r>
        <w:t>: (1) they may request a disability hearing to contest SSA’s de</w:t>
      </w:r>
      <w:r w:rsidR="00C56F68">
        <w:t>termination</w:t>
      </w:r>
      <w:r>
        <w:t>, and (2) they may submit additional information or evidence for SSA to consider</w:t>
      </w:r>
      <w:r w:rsidR="004E669F">
        <w:t xml:space="preserve"> prior to the issuance of the revised reconsidered determination</w:t>
      </w:r>
      <w:r>
        <w:t xml:space="preserve">.  The legal authority governing these actions is the </w:t>
      </w:r>
      <w:r w:rsidRPr="005F4773">
        <w:rPr>
          <w:i/>
        </w:rPr>
        <w:t>Social Security Act</w:t>
      </w:r>
      <w:r>
        <w:t xml:space="preserve">, sections </w:t>
      </w:r>
      <w:r w:rsidR="00AC7430">
        <w:rPr>
          <w:i/>
        </w:rPr>
        <w:t>205</w:t>
      </w:r>
      <w:r w:rsidR="004A2A00">
        <w:rPr>
          <w:i/>
        </w:rPr>
        <w:t>(a</w:t>
      </w:r>
      <w:r w:rsidRPr="004255DF">
        <w:rPr>
          <w:i/>
        </w:rPr>
        <w:t>)</w:t>
      </w:r>
      <w:r w:rsidR="004A2A00">
        <w:rPr>
          <w:i/>
        </w:rPr>
        <w:t xml:space="preserve"> </w:t>
      </w:r>
      <w:r w:rsidRPr="004A2A00" w:rsidR="004A2A00">
        <w:t>and</w:t>
      </w:r>
      <w:r w:rsidR="004A2A00">
        <w:rPr>
          <w:i/>
        </w:rPr>
        <w:t xml:space="preserve"> 1631(e)(1)(A)</w:t>
      </w:r>
      <w:r>
        <w:rPr>
          <w:i/>
        </w:rPr>
        <w:t xml:space="preserve">; </w:t>
      </w:r>
      <w:r>
        <w:t xml:space="preserve">and the </w:t>
      </w:r>
      <w:r w:rsidRPr="00874551">
        <w:rPr>
          <w:i/>
        </w:rPr>
        <w:t>Code of Federal Regulations</w:t>
      </w:r>
      <w:r>
        <w:t xml:space="preserve">, </w:t>
      </w:r>
      <w:r w:rsidR="00B96635">
        <w:t>S</w:t>
      </w:r>
      <w:r w:rsidRPr="001E5BD6">
        <w:t>ections</w:t>
      </w:r>
      <w:r>
        <w:rPr>
          <w:i/>
        </w:rPr>
        <w:t xml:space="preserve"> </w:t>
      </w:r>
      <w:r w:rsidRPr="004255DF">
        <w:rPr>
          <w:i/>
        </w:rPr>
        <w:t>20 CFR 404.913</w:t>
      </w:r>
      <w:r w:rsidR="004A2A00">
        <w:rPr>
          <w:i/>
        </w:rPr>
        <w:noBreakHyphen/>
      </w:r>
      <w:r w:rsidR="009944FD">
        <w:rPr>
          <w:i/>
        </w:rPr>
        <w:t>4</w:t>
      </w:r>
      <w:r w:rsidR="00A46C78">
        <w:rPr>
          <w:i/>
        </w:rPr>
        <w:t>04</w:t>
      </w:r>
      <w:r w:rsidRPr="004255DF">
        <w:rPr>
          <w:i/>
        </w:rPr>
        <w:t>.914</w:t>
      </w:r>
      <w:r w:rsidR="004A2A00">
        <w:rPr>
          <w:i/>
        </w:rPr>
        <w:t>;</w:t>
      </w:r>
      <w:r>
        <w:rPr>
          <w:i/>
        </w:rPr>
        <w:t xml:space="preserve"> </w:t>
      </w:r>
      <w:r w:rsidRPr="004255DF">
        <w:rPr>
          <w:i/>
        </w:rPr>
        <w:t>416.1413-</w:t>
      </w:r>
      <w:r w:rsidR="009944FD">
        <w:rPr>
          <w:i/>
        </w:rPr>
        <w:t>416</w:t>
      </w:r>
      <w:r w:rsidRPr="004255DF">
        <w:rPr>
          <w:i/>
        </w:rPr>
        <w:t>.1414</w:t>
      </w:r>
      <w:r w:rsidR="004A2A00">
        <w:rPr>
          <w:i/>
        </w:rPr>
        <w:t>;</w:t>
      </w:r>
      <w:r>
        <w:rPr>
          <w:i/>
        </w:rPr>
        <w:t xml:space="preserve"> </w:t>
      </w:r>
      <w:r w:rsidRPr="001E5BD6">
        <w:rPr>
          <w:i/>
        </w:rPr>
        <w:t>404.992(b)</w:t>
      </w:r>
      <w:r w:rsidR="004A2A00">
        <w:t>;</w:t>
      </w:r>
      <w:r>
        <w:t xml:space="preserve"> and </w:t>
      </w:r>
      <w:r w:rsidRPr="001E5BD6">
        <w:rPr>
          <w:i/>
        </w:rPr>
        <w:t>416.1492(d)</w:t>
      </w:r>
      <w:r w:rsidR="00CD5360">
        <w:t>.  Disability</w:t>
      </w:r>
      <w:r w:rsidR="00C70E63">
        <w:t xml:space="preserve"> </w:t>
      </w:r>
      <w:r w:rsidR="00847C98">
        <w:t>recipients</w:t>
      </w:r>
      <w:r>
        <w:t xml:space="preserve"> and the</w:t>
      </w:r>
      <w:r w:rsidR="00CD5360">
        <w:t>ir representatives use Form SSA</w:t>
      </w:r>
      <w:r w:rsidR="00CD5360">
        <w:noBreakHyphen/>
      </w:r>
      <w:r>
        <w:t>765, the Response to Notice of Revised Determination, to accomplish these two actions.</w:t>
      </w:r>
      <w:r w:rsidR="00AF37DE">
        <w:t xml:space="preserve"> </w:t>
      </w:r>
      <w:r w:rsidR="00B96635">
        <w:t xml:space="preserve"> </w:t>
      </w:r>
    </w:p>
    <w:p w:rsidRPr="00911DBD" w:rsidR="00911DBD" w:rsidP="00B96635" w:rsidRDefault="00911DBD" w14:paraId="18BC34B6" w14:textId="77777777">
      <w:pPr>
        <w:ind w:left="1620"/>
      </w:pPr>
    </w:p>
    <w:p w:rsidR="00911DBD" w:rsidP="00637744" w:rsidRDefault="00C8479E" w14:paraId="073EDDAC" w14:textId="77777777">
      <w:pPr>
        <w:numPr>
          <w:ilvl w:val="1"/>
          <w:numId w:val="1"/>
        </w:numPr>
        <w:tabs>
          <w:tab w:val="clear" w:pos="1440"/>
          <w:tab w:val="num" w:pos="1530"/>
        </w:tabs>
        <w:ind w:left="1620" w:hanging="540"/>
      </w:pPr>
      <w:r w:rsidRPr="00911DBD">
        <w:rPr>
          <w:b/>
        </w:rPr>
        <w:t>Description of Collection</w:t>
      </w:r>
    </w:p>
    <w:p w:rsidRPr="002A4FAE" w:rsidR="00611F42" w:rsidP="00637744" w:rsidRDefault="00644BDB" w14:paraId="050D0383" w14:textId="2132EBE6">
      <w:pPr>
        <w:pStyle w:val="ListParagraph"/>
        <w:tabs>
          <w:tab w:val="num" w:pos="1080"/>
          <w:tab w:val="left" w:pos="1440"/>
          <w:tab w:val="left" w:pos="1530"/>
        </w:tabs>
        <w:ind w:left="1530" w:hanging="90"/>
      </w:pPr>
      <w:r>
        <w:tab/>
      </w:r>
      <w:r w:rsidRPr="002A4FAE" w:rsidR="00611F42">
        <w:t>When</w:t>
      </w:r>
      <w:r w:rsidR="00611F42">
        <w:t xml:space="preserve"> </w:t>
      </w:r>
      <w:r w:rsidRPr="002A4FAE" w:rsidR="00611F42">
        <w:t>SSA determines:</w:t>
      </w:r>
      <w:r w:rsidR="00726DC4">
        <w:t xml:space="preserve"> </w:t>
      </w:r>
      <w:r w:rsidR="00611F42">
        <w:t xml:space="preserve"> (1) c</w:t>
      </w:r>
      <w:r w:rsidRPr="002A4FAE" w:rsidR="00611F42">
        <w:t>laimants for initial</w:t>
      </w:r>
      <w:r w:rsidR="00611F42">
        <w:t xml:space="preserve"> </w:t>
      </w:r>
      <w:r w:rsidRPr="002A4FAE" w:rsidR="00611F42">
        <w:t>disability benefits do not actually have</w:t>
      </w:r>
      <w:r w:rsidR="00611F42">
        <w:t xml:space="preserve"> </w:t>
      </w:r>
      <w:r w:rsidRPr="002A4FAE" w:rsidR="00611F42">
        <w:t>a disability; or (2) current disability</w:t>
      </w:r>
      <w:r w:rsidR="00611F42">
        <w:t xml:space="preserve"> </w:t>
      </w:r>
      <w:r w:rsidRPr="002A4FAE" w:rsidR="00611F42">
        <w:t>recipients’ records show their disability</w:t>
      </w:r>
      <w:r w:rsidR="00611F42">
        <w:t xml:space="preserve"> </w:t>
      </w:r>
      <w:r w:rsidRPr="002A4FAE" w:rsidR="00611F42">
        <w:t>ceased, SSA notifies the disability</w:t>
      </w:r>
      <w:r w:rsidR="00611F42">
        <w:t xml:space="preserve"> </w:t>
      </w:r>
      <w:r w:rsidRPr="002A4FAE" w:rsidR="00611F42">
        <w:t>claimants, or recipients of this decision.</w:t>
      </w:r>
      <w:r w:rsidR="00611F42">
        <w:t xml:space="preserve">  </w:t>
      </w:r>
      <w:r w:rsidRPr="002A4FAE" w:rsidR="00611F42">
        <w:t>In response to this notice, the affected</w:t>
      </w:r>
      <w:r w:rsidR="00611F42">
        <w:t xml:space="preserve"> </w:t>
      </w:r>
      <w:r w:rsidRPr="002A4FAE" w:rsidR="00611F42">
        <w:t>claimants and disability recipients have</w:t>
      </w:r>
      <w:r w:rsidR="00611F42">
        <w:t xml:space="preserve"> </w:t>
      </w:r>
      <w:r w:rsidRPr="002A4FAE" w:rsidR="00611F42">
        <w:t>the following recourse:</w:t>
      </w:r>
      <w:r w:rsidR="00611F42">
        <w:t xml:space="preserve"> </w:t>
      </w:r>
      <w:r w:rsidR="00726DC4">
        <w:t xml:space="preserve"> </w:t>
      </w:r>
      <w:r w:rsidR="00611F42">
        <w:t>(1) t</w:t>
      </w:r>
      <w:r w:rsidRPr="002A4FAE" w:rsidR="00611F42">
        <w:t>hey may</w:t>
      </w:r>
      <w:r w:rsidR="00611F42">
        <w:t xml:space="preserve"> </w:t>
      </w:r>
      <w:r w:rsidRPr="002A4FAE" w:rsidR="00611F42">
        <w:t>request a disability hearing to contest</w:t>
      </w:r>
      <w:r w:rsidR="00611F42">
        <w:t xml:space="preserve"> </w:t>
      </w:r>
      <w:r w:rsidRPr="002A4FAE" w:rsidR="00611F42">
        <w:t>SSA’s decision; and (2) they may submit</w:t>
      </w:r>
      <w:r w:rsidR="00611F42">
        <w:t xml:space="preserve"> </w:t>
      </w:r>
      <w:r w:rsidRPr="002A4FAE" w:rsidR="00611F42">
        <w:t>additional information or evidence for</w:t>
      </w:r>
      <w:r w:rsidR="00611F42">
        <w:t xml:space="preserve"> SSA to consider.  </w:t>
      </w:r>
      <w:r w:rsidRPr="002A4FAE" w:rsidR="00611F42">
        <w:t>Disability claimants,</w:t>
      </w:r>
      <w:r w:rsidR="00611F42">
        <w:t xml:space="preserve"> </w:t>
      </w:r>
      <w:r w:rsidRPr="002A4FAE" w:rsidR="00611F42">
        <w:t>recipients, and their representatives use</w:t>
      </w:r>
      <w:r w:rsidR="00611F42">
        <w:t xml:space="preserve"> Form SSA-</w:t>
      </w:r>
      <w:r w:rsidRPr="002A4FAE" w:rsidR="00611F42">
        <w:t>765 to accomplish these two</w:t>
      </w:r>
      <w:r w:rsidR="00611F42">
        <w:t xml:space="preserve"> </w:t>
      </w:r>
      <w:r w:rsidRPr="002A4FAE" w:rsidR="00611F42">
        <w:t xml:space="preserve">actions. </w:t>
      </w:r>
      <w:r w:rsidR="00611F42">
        <w:t xml:space="preserve"> </w:t>
      </w:r>
      <w:r w:rsidRPr="002A4FAE" w:rsidR="00611F42">
        <w:t>If respondents request the first</w:t>
      </w:r>
      <w:r w:rsidR="00611F42">
        <w:t xml:space="preserve"> </w:t>
      </w:r>
      <w:r w:rsidRPr="002A4FAE" w:rsidR="00611F42">
        <w:t>option, SSA’s Disability Hearings Unit</w:t>
      </w:r>
      <w:r w:rsidR="00611F42">
        <w:t xml:space="preserve"> </w:t>
      </w:r>
      <w:r w:rsidRPr="002A4FAE" w:rsidR="00611F42">
        <w:t>uses the form to schedule a hearing;</w:t>
      </w:r>
      <w:r w:rsidR="00611F42">
        <w:t xml:space="preserve"> </w:t>
      </w:r>
      <w:r w:rsidRPr="002A4FAE" w:rsidR="00611F42">
        <w:t>ensure an interpreter is present, if</w:t>
      </w:r>
      <w:r w:rsidR="00611F42">
        <w:t xml:space="preserve"> </w:t>
      </w:r>
      <w:r w:rsidRPr="002A4FAE" w:rsidR="00611F42">
        <w:t>required; and ensure the disability</w:t>
      </w:r>
      <w:r w:rsidR="00611F42">
        <w:t xml:space="preserve"> </w:t>
      </w:r>
      <w:r w:rsidRPr="002A4FAE" w:rsidR="00611F42">
        <w:t>recipients or claimants, and their</w:t>
      </w:r>
      <w:r w:rsidR="00611F42">
        <w:t xml:space="preserve"> </w:t>
      </w:r>
      <w:r w:rsidRPr="002A4FAE" w:rsidR="00611F42">
        <w:t>representatives, receive a notice about</w:t>
      </w:r>
      <w:r w:rsidR="00611F42">
        <w:t xml:space="preserve"> </w:t>
      </w:r>
      <w:r w:rsidRPr="002A4FAE" w:rsidR="00611F42">
        <w:t xml:space="preserve">the place and time of the hearing. </w:t>
      </w:r>
      <w:r w:rsidR="00611F42">
        <w:t xml:space="preserve"> </w:t>
      </w:r>
      <w:r w:rsidRPr="002A4FAE" w:rsidR="00611F42">
        <w:t>If</w:t>
      </w:r>
      <w:r w:rsidR="00611F42">
        <w:t xml:space="preserve"> </w:t>
      </w:r>
      <w:r w:rsidRPr="002A4FAE" w:rsidR="00611F42">
        <w:t>respondents choose the second option,</w:t>
      </w:r>
      <w:r w:rsidR="00611F42">
        <w:t xml:space="preserve"> </w:t>
      </w:r>
      <w:r w:rsidRPr="002A4FAE" w:rsidR="00611F42">
        <w:t>SSA uses the form and other evidence</w:t>
      </w:r>
      <w:r w:rsidR="00611F42">
        <w:t xml:space="preserve"> </w:t>
      </w:r>
      <w:r w:rsidRPr="002A4FAE" w:rsidR="00611F42">
        <w:t>to reevaluate the claimant’s or</w:t>
      </w:r>
      <w:r w:rsidR="00611F42">
        <w:t xml:space="preserve"> </w:t>
      </w:r>
      <w:r w:rsidRPr="002A4FAE" w:rsidR="00611F42">
        <w:t xml:space="preserve">recipients’ </w:t>
      </w:r>
      <w:r w:rsidRPr="002A4FAE" w:rsidR="00726DC4">
        <w:t>case and</w:t>
      </w:r>
      <w:r w:rsidRPr="002A4FAE" w:rsidR="00611F42">
        <w:t xml:space="preserve"> determine if the</w:t>
      </w:r>
      <w:r w:rsidR="00611F42">
        <w:t xml:space="preserve"> </w:t>
      </w:r>
      <w:r w:rsidRPr="002A4FAE" w:rsidR="00611F42">
        <w:t>new information or evidence will</w:t>
      </w:r>
      <w:r w:rsidR="00611F42">
        <w:t xml:space="preserve"> </w:t>
      </w:r>
      <w:r w:rsidRPr="002A4FAE" w:rsidR="00611F42">
        <w:t xml:space="preserve">change SSA’s decision. </w:t>
      </w:r>
      <w:r w:rsidR="00611F42">
        <w:t xml:space="preserve"> </w:t>
      </w:r>
      <w:r w:rsidRPr="002A4FAE" w:rsidR="00611F42">
        <w:t>The respondents</w:t>
      </w:r>
      <w:r w:rsidR="00611F42">
        <w:t xml:space="preserve"> </w:t>
      </w:r>
      <w:r w:rsidRPr="002A4FAE" w:rsidR="00611F42">
        <w:t>are disability claimants, current</w:t>
      </w:r>
      <w:r w:rsidR="00611F42">
        <w:t xml:space="preserve"> </w:t>
      </w:r>
      <w:r w:rsidRPr="002A4FAE" w:rsidR="00611F42">
        <w:t>disability recipients, or their</w:t>
      </w:r>
      <w:r w:rsidR="00611F42">
        <w:t xml:space="preserve"> </w:t>
      </w:r>
      <w:r w:rsidRPr="002A4FAE" w:rsidR="00611F42">
        <w:t>representatives</w:t>
      </w:r>
      <w:r w:rsidR="00611F42">
        <w:t>.</w:t>
      </w:r>
    </w:p>
    <w:p w:rsidR="00AF37DE" w:rsidP="00637744" w:rsidRDefault="00644BDB" w14:paraId="0DFF7C24" w14:textId="225999CD">
      <w:pPr>
        <w:ind w:left="1530"/>
      </w:pPr>
      <w:r>
        <w:t xml:space="preserve"> </w:t>
      </w:r>
    </w:p>
    <w:p w:rsidRPr="001F36F9" w:rsidR="00911DBD" w:rsidP="005A1CA6" w:rsidRDefault="00B96635" w14:paraId="1B70372A" w14:textId="10AA2224">
      <w:pPr>
        <w:numPr>
          <w:ilvl w:val="1"/>
          <w:numId w:val="1"/>
        </w:numPr>
        <w:tabs>
          <w:tab w:val="left" w:pos="1530"/>
          <w:tab w:val="left" w:pos="1800"/>
        </w:tabs>
      </w:pPr>
      <w:r>
        <w:rPr>
          <w:b/>
        </w:rPr>
        <w:t xml:space="preserve"> </w:t>
      </w:r>
      <w:r w:rsidRPr="00911DBD" w:rsidR="00C8479E">
        <w:rPr>
          <w:b/>
        </w:rPr>
        <w:t>Use of Information Technology to Collect the Information</w:t>
      </w:r>
    </w:p>
    <w:p w:rsidR="00644BDB" w:rsidP="00644BDB" w:rsidRDefault="00644BDB" w14:paraId="30371EA4" w14:textId="0DD1AD73">
      <w:pPr>
        <w:pStyle w:val="ListParagraph"/>
        <w:ind w:left="1530"/>
      </w:pPr>
      <w:r>
        <w:t>Disability</w:t>
      </w:r>
      <w:r w:rsidRPr="00AF37DE">
        <w:t xml:space="preserve"> recipients, or their representatives, c</w:t>
      </w:r>
      <w:r>
        <w:t>an complete the paper SSA-765</w:t>
      </w:r>
      <w:r w:rsidRPr="00AF37DE">
        <w:t>, or they can download and complete the fillable PDF version of the form from our website.  In either case, the respondents using the paper or fillable PDF version needs to complete the form, and submit it to SSA either via USPS mail, or by bringing the complete</w:t>
      </w:r>
      <w:r>
        <w:t xml:space="preserve">d form to an SSA field office.  </w:t>
      </w:r>
      <w:r w:rsidRPr="00AF37DE">
        <w:t>Once S</w:t>
      </w:r>
      <w:r>
        <w:t xml:space="preserve">SA receives the </w:t>
      </w:r>
      <w:r>
        <w:lastRenderedPageBreak/>
        <w:t>paper SSA-765</w:t>
      </w:r>
      <w:r w:rsidRPr="00AF37DE">
        <w:t>, and any supplemental information if necessary, we process the information and store it in EDCS.</w:t>
      </w:r>
      <w:r>
        <w:t xml:space="preserve">  </w:t>
      </w:r>
    </w:p>
    <w:p w:rsidR="00611F42" w:rsidP="001D3354" w:rsidRDefault="00611F42" w14:paraId="57AD847B" w14:textId="78EC5275">
      <w:pPr>
        <w:pStyle w:val="ListParagraph"/>
        <w:ind w:left="1530"/>
        <w:rPr>
          <w:color w:val="000000"/>
        </w:rPr>
      </w:pPr>
      <w:r w:rsidRPr="008041B4">
        <w:rPr>
          <w:color w:val="000000"/>
        </w:rPr>
        <w:t xml:space="preserve">This collection does not currently have a fully public-facing Internet version, as we prioritized other information collections for full electronic conversions.  Given that IT Mod programming is an ongoing, dynamic project, we cannot provide specific timelines for when we will be able to make any </w:t>
      </w:r>
      <w:proofErr w:type="gramStart"/>
      <w:r w:rsidRPr="008041B4">
        <w:rPr>
          <w:color w:val="000000"/>
        </w:rPr>
        <w:t>particular ICR</w:t>
      </w:r>
      <w:proofErr w:type="gramEnd"/>
      <w:r w:rsidRPr="008041B4">
        <w:rPr>
          <w:color w:val="000000"/>
        </w:rPr>
        <w:t xml:space="preserve"> available via Internet web-based application.  We will ultimately convert most existing ICRs to full electronic versions depending on how they fall within our overall IT Mod schema, but this may be unconnected to the PRA approval lifecycle.  In the interim, we evaluated this collection for conversion to a submittable PDF</w:t>
      </w:r>
      <w:r w:rsidR="00FA33CC">
        <w:rPr>
          <w:color w:val="000000"/>
        </w:rPr>
        <w:t xml:space="preserve"> </w:t>
      </w:r>
      <w:r w:rsidRPr="008041B4">
        <w:rPr>
          <w:color w:val="000000"/>
        </w:rPr>
        <w:t>and intend to make this conversion within the next 3-6 years.  Once we have the submittable PDF ready for implementation, we will submit a Change Request to OMB for prior approval.</w:t>
      </w:r>
    </w:p>
    <w:p w:rsidR="004A2A00" w:rsidP="00FA33CC" w:rsidRDefault="004A2A00" w14:paraId="5E2B3A37" w14:textId="77777777">
      <w:pPr>
        <w:ind w:left="1530"/>
      </w:pPr>
    </w:p>
    <w:p w:rsidRPr="00401648" w:rsidR="00911DBD" w:rsidP="00FA33CC" w:rsidRDefault="00B96635" w14:paraId="300EEC3F" w14:textId="044A6C71">
      <w:pPr>
        <w:numPr>
          <w:ilvl w:val="1"/>
          <w:numId w:val="1"/>
        </w:numPr>
        <w:tabs>
          <w:tab w:val="clear" w:pos="1440"/>
          <w:tab w:val="left" w:pos="1530"/>
          <w:tab w:val="left" w:pos="1620"/>
        </w:tabs>
        <w:ind w:left="1260"/>
      </w:pPr>
      <w:r>
        <w:rPr>
          <w:b/>
        </w:rPr>
        <w:t xml:space="preserve">    </w:t>
      </w:r>
      <w:r w:rsidRPr="00911DBD" w:rsidR="00C8479E">
        <w:rPr>
          <w:b/>
        </w:rPr>
        <w:t>Why We Cannot Use Duplicate Information</w:t>
      </w:r>
    </w:p>
    <w:p w:rsidR="00911DBD" w:rsidP="00FA33CC" w:rsidRDefault="001808FC" w14:paraId="11C146D2" w14:textId="77777777">
      <w:pPr>
        <w:ind w:left="1530"/>
      </w:pPr>
      <w:r>
        <w:t>The n</w:t>
      </w:r>
      <w:r w:rsidR="00911DBD">
        <w:t>ature of the information we collect</w:t>
      </w:r>
      <w:r>
        <w:t xml:space="preserve"> and the </w:t>
      </w:r>
      <w:proofErr w:type="gramStart"/>
      <w:r>
        <w:t>m</w:t>
      </w:r>
      <w:r w:rsidR="00911DBD">
        <w:t>anner in which</w:t>
      </w:r>
      <w:proofErr w:type="gramEnd"/>
      <w:r w:rsidR="00911DBD">
        <w:t xml:space="preserve"> we collect</w:t>
      </w:r>
      <w:r>
        <w:t xml:space="preserve"> it preclude duplication.  SSA does not use another collection instrument to obtain similar data.  </w:t>
      </w:r>
    </w:p>
    <w:p w:rsidRPr="00911DBD" w:rsidR="00911DBD" w:rsidP="009B2249" w:rsidRDefault="00911DBD" w14:paraId="3EC6945F" w14:textId="77777777">
      <w:pPr>
        <w:ind w:left="1800"/>
      </w:pPr>
    </w:p>
    <w:p w:rsidR="00911DBD" w:rsidP="005A1CA6" w:rsidRDefault="00B96635" w14:paraId="6336CF2F" w14:textId="76ECA454">
      <w:pPr>
        <w:numPr>
          <w:ilvl w:val="1"/>
          <w:numId w:val="1"/>
        </w:numPr>
        <w:tabs>
          <w:tab w:val="clear" w:pos="1440"/>
          <w:tab w:val="left" w:pos="1530"/>
        </w:tabs>
        <w:ind w:left="1260"/>
      </w:pPr>
      <w:r>
        <w:rPr>
          <w:b/>
        </w:rPr>
        <w:t xml:space="preserve">    </w:t>
      </w:r>
      <w:r w:rsidRPr="00911DBD" w:rsidR="00C8479E">
        <w:rPr>
          <w:b/>
        </w:rPr>
        <w:t>Minimizing Burden on Small Respondents</w:t>
      </w:r>
    </w:p>
    <w:p w:rsidR="00911DBD" w:rsidP="005A1CA6" w:rsidRDefault="004A2A00" w14:paraId="3744CDD4" w14:textId="394779E1">
      <w:pPr>
        <w:ind w:left="1530"/>
      </w:pPr>
      <w:r>
        <w:t xml:space="preserve">This collection does not </w:t>
      </w:r>
      <w:r w:rsidR="001808FC">
        <w:t>affect small businesses or other small entities.</w:t>
      </w:r>
    </w:p>
    <w:p w:rsidR="00D01BEE" w:rsidP="004A2A00" w:rsidRDefault="00D01BEE" w14:paraId="061B7DE4" w14:textId="77777777">
      <w:pPr>
        <w:ind w:left="1260"/>
      </w:pPr>
    </w:p>
    <w:p w:rsidR="00911DBD" w:rsidP="00FA33CC" w:rsidRDefault="00B96635" w14:paraId="65992125" w14:textId="4F9F3199">
      <w:pPr>
        <w:numPr>
          <w:ilvl w:val="1"/>
          <w:numId w:val="1"/>
        </w:numPr>
        <w:tabs>
          <w:tab w:val="left" w:pos="1440"/>
          <w:tab w:val="num" w:pos="1530"/>
          <w:tab w:val="left" w:pos="1620"/>
        </w:tabs>
        <w:ind w:left="1260"/>
      </w:pPr>
      <w:r>
        <w:rPr>
          <w:b/>
        </w:rPr>
        <w:t xml:space="preserve">    </w:t>
      </w:r>
      <w:r w:rsidRPr="00911DBD" w:rsidR="00C8479E">
        <w:rPr>
          <w:b/>
        </w:rPr>
        <w:t>Consequence of Not Collecting Information or Collecting it Less Frequently</w:t>
      </w:r>
      <w:r w:rsidR="00911DBD">
        <w:t xml:space="preserve"> </w:t>
      </w:r>
    </w:p>
    <w:p w:rsidR="00FA33CC" w:rsidP="00FA33CC" w:rsidRDefault="001808FC" w14:paraId="45C5A044" w14:textId="625A507C">
      <w:pPr>
        <w:tabs>
          <w:tab w:val="left" w:pos="1530"/>
        </w:tabs>
        <w:ind w:left="1620" w:hanging="90"/>
      </w:pPr>
      <w:r>
        <w:t>If SSA did not conduct this information collection, current disability recipients</w:t>
      </w:r>
    </w:p>
    <w:p w:rsidR="00911DBD" w:rsidP="00FA33CC" w:rsidRDefault="00FA33CC" w14:paraId="3E996E32" w14:textId="790C2693">
      <w:pPr>
        <w:tabs>
          <w:tab w:val="left" w:pos="1530"/>
        </w:tabs>
        <w:ind w:left="1530" w:hanging="90"/>
      </w:pPr>
      <w:r>
        <w:tab/>
      </w:r>
      <w:r w:rsidR="001808FC">
        <w:t>wh</w:t>
      </w:r>
      <w:r w:rsidR="005F4773">
        <w:t xml:space="preserve">ose </w:t>
      </w:r>
      <w:r w:rsidR="00C94616">
        <w:t>determinations are</w:t>
      </w:r>
      <w:r w:rsidR="00C62DF8">
        <w:t xml:space="preserve"> revised</w:t>
      </w:r>
      <w:r w:rsidR="005F4773">
        <w:t xml:space="preserve"> </w:t>
      </w:r>
      <w:r w:rsidR="001808FC">
        <w:t>would have no means of requesting a</w:t>
      </w:r>
      <w:r w:rsidR="00B65CA4">
        <w:t xml:space="preserve"> </w:t>
      </w:r>
      <w:r w:rsidR="001808FC">
        <w:t>hearing or submitting additional information, which would be a violation of th</w:t>
      </w:r>
      <w:r w:rsidR="00911DBD">
        <w:t>e</w:t>
      </w:r>
      <w:r w:rsidR="00726DC4">
        <w:t xml:space="preserve"> </w:t>
      </w:r>
      <w:r w:rsidR="00911DBD">
        <w:t xml:space="preserve">regulations cited in </w:t>
      </w:r>
      <w:r w:rsidR="001808FC">
        <w:t>#1</w:t>
      </w:r>
      <w:r w:rsidR="00911DBD">
        <w:t xml:space="preserve"> above</w:t>
      </w:r>
      <w:r w:rsidR="001808FC">
        <w:t xml:space="preserve">.  Because SSA only collects this information </w:t>
      </w:r>
      <w:r w:rsidR="0037197C">
        <w:t>u</w:t>
      </w:r>
      <w:r w:rsidR="001808FC">
        <w:t>n</w:t>
      </w:r>
      <w:r w:rsidR="0037197C">
        <w:t xml:space="preserve">der the </w:t>
      </w:r>
      <w:r w:rsidR="001808FC">
        <w:t xml:space="preserve">circumstances </w:t>
      </w:r>
      <w:r w:rsidR="0037197C">
        <w:t>mentioned above</w:t>
      </w:r>
      <w:r w:rsidR="001808FC">
        <w:t xml:space="preserve">, we cannot collect it less frequently.  There are no technical or legal obstacles to burden reduction.  </w:t>
      </w:r>
    </w:p>
    <w:p w:rsidRPr="00911DBD" w:rsidR="00911DBD" w:rsidP="00911DBD" w:rsidRDefault="00911DBD" w14:paraId="1F254145" w14:textId="77777777">
      <w:pPr>
        <w:ind w:left="1260"/>
      </w:pPr>
    </w:p>
    <w:p w:rsidR="00911DBD" w:rsidP="0056523F" w:rsidRDefault="0056523F" w14:paraId="7345A405" w14:textId="1176D63C">
      <w:pPr>
        <w:numPr>
          <w:ilvl w:val="1"/>
          <w:numId w:val="1"/>
        </w:numPr>
        <w:tabs>
          <w:tab w:val="clear" w:pos="1440"/>
          <w:tab w:val="num" w:pos="1530"/>
          <w:tab w:val="left" w:pos="1710"/>
        </w:tabs>
        <w:ind w:left="1260"/>
      </w:pPr>
      <w:r>
        <w:rPr>
          <w:b/>
        </w:rPr>
        <w:t xml:space="preserve">     </w:t>
      </w:r>
      <w:r w:rsidRPr="00911DBD" w:rsidR="00C8479E">
        <w:rPr>
          <w:b/>
        </w:rPr>
        <w:t>Special Circumstances</w:t>
      </w:r>
    </w:p>
    <w:p w:rsidR="00911DBD" w:rsidP="00ED281E" w:rsidRDefault="001808FC" w14:paraId="51B2373F" w14:textId="1433CFEA">
      <w:pPr>
        <w:ind w:left="1530"/>
      </w:pPr>
      <w:r>
        <w:t xml:space="preserve">There are no special circumstances that would cause </w:t>
      </w:r>
      <w:r w:rsidR="00866A1C">
        <w:t xml:space="preserve">SSA to conduct this information collection in a manner </w:t>
      </w:r>
      <w:r>
        <w:t xml:space="preserve">inconsistent with </w:t>
      </w:r>
      <w:r w:rsidRPr="00911DBD">
        <w:rPr>
          <w:i/>
        </w:rPr>
        <w:t>5 CFR 1320.5</w:t>
      </w:r>
      <w:r>
        <w:t>.</w:t>
      </w:r>
    </w:p>
    <w:p w:rsidRPr="00911DBD" w:rsidR="00911DBD" w:rsidP="00911DBD" w:rsidRDefault="00911DBD" w14:paraId="3CFE473A" w14:textId="77777777">
      <w:pPr>
        <w:ind w:left="1260"/>
      </w:pPr>
    </w:p>
    <w:p w:rsidR="00911DBD" w:rsidP="0056523F" w:rsidRDefault="0056523F" w14:paraId="01FF3FA9" w14:textId="63F7C386">
      <w:pPr>
        <w:numPr>
          <w:ilvl w:val="1"/>
          <w:numId w:val="1"/>
        </w:numPr>
        <w:tabs>
          <w:tab w:val="clear" w:pos="1440"/>
          <w:tab w:val="num" w:pos="1620"/>
        </w:tabs>
        <w:ind w:left="1260"/>
      </w:pPr>
      <w:r>
        <w:rPr>
          <w:b/>
        </w:rPr>
        <w:t xml:space="preserve">   </w:t>
      </w:r>
      <w:r w:rsidR="00ED281E">
        <w:rPr>
          <w:b/>
        </w:rPr>
        <w:t xml:space="preserve"> </w:t>
      </w:r>
      <w:r>
        <w:rPr>
          <w:b/>
        </w:rPr>
        <w:t xml:space="preserve"> </w:t>
      </w:r>
      <w:r w:rsidRPr="00911DBD" w:rsidR="00C8479E">
        <w:rPr>
          <w:b/>
        </w:rPr>
        <w:t>Solicitation of Public Comment and Other Consultations with the Public</w:t>
      </w:r>
    </w:p>
    <w:p w:rsidR="005A1CA6" w:rsidP="005A1CA6" w:rsidRDefault="009957E0" w14:paraId="259E6765" w14:textId="33BFA89D">
      <w:pPr>
        <w:ind w:left="1530"/>
      </w:pPr>
      <w:r>
        <w:t xml:space="preserve">The 60-day advance Federal Register Notice published on </w:t>
      </w:r>
      <w:r w:rsidR="00144D8B">
        <w:t>November 30, 2021</w:t>
      </w:r>
      <w:r>
        <w:t xml:space="preserve">, at 86 FR </w:t>
      </w:r>
      <w:r w:rsidR="00144D8B">
        <w:t>68034</w:t>
      </w:r>
      <w:r>
        <w:t>, and we received no public comments.  The 30-day FRN published on</w:t>
      </w:r>
      <w:r w:rsidR="003E7633">
        <w:t xml:space="preserve"> February 7, 2022 </w:t>
      </w:r>
      <w:r>
        <w:t>at 8</w:t>
      </w:r>
      <w:r w:rsidR="003E7633">
        <w:t>7</w:t>
      </w:r>
      <w:r>
        <w:t xml:space="preserve"> FR</w:t>
      </w:r>
      <w:r w:rsidR="003E7633">
        <w:t xml:space="preserve"> 6929</w:t>
      </w:r>
      <w:r w:rsidR="00263CBF">
        <w:t>.</w:t>
      </w:r>
      <w:r>
        <w:t xml:space="preserve">  If we receive any comments in response to this Notice, we will forward them to OMB.</w:t>
      </w:r>
      <w:r w:rsidR="00DE3FAA">
        <w:t xml:space="preserve"> </w:t>
      </w:r>
      <w:r w:rsidR="005A1CA6">
        <w:t xml:space="preserve"> We did not consult with the public in the revision this form.   </w:t>
      </w:r>
    </w:p>
    <w:p w:rsidR="00911DBD" w:rsidP="005A1CA6" w:rsidRDefault="00911DBD" w14:paraId="1FE22C4B" w14:textId="465CA42C">
      <w:pPr>
        <w:ind w:left="1530"/>
      </w:pPr>
    </w:p>
    <w:p w:rsidRPr="00911DBD" w:rsidR="00911DBD" w:rsidP="00ED281E" w:rsidRDefault="00ED281E" w14:paraId="42C9FBEF" w14:textId="73CE750A">
      <w:pPr>
        <w:numPr>
          <w:ilvl w:val="1"/>
          <w:numId w:val="1"/>
        </w:numPr>
        <w:tabs>
          <w:tab w:val="clear" w:pos="1440"/>
          <w:tab w:val="num" w:pos="1530"/>
        </w:tabs>
        <w:ind w:left="1260"/>
      </w:pPr>
      <w:r>
        <w:rPr>
          <w:b/>
        </w:rPr>
        <w:t xml:space="preserve">    </w:t>
      </w:r>
      <w:r w:rsidRPr="00911DBD" w:rsidR="00C8479E">
        <w:rPr>
          <w:b/>
        </w:rPr>
        <w:t>Payment or Gifts to Respondents</w:t>
      </w:r>
    </w:p>
    <w:p w:rsidR="00911DBD" w:rsidP="00ED281E" w:rsidRDefault="00F159F9" w14:paraId="59D2CCA0" w14:textId="1FE83737">
      <w:pPr>
        <w:ind w:left="1530"/>
      </w:pPr>
      <w:r>
        <w:t xml:space="preserve">SSA </w:t>
      </w:r>
      <w:r w:rsidR="004A2A00">
        <w:t>does not provide</w:t>
      </w:r>
      <w:r>
        <w:t xml:space="preserve"> payments or gifts to the respondents</w:t>
      </w:r>
      <w:r w:rsidR="001D50C6">
        <w:t>.</w:t>
      </w:r>
    </w:p>
    <w:p w:rsidR="00911DBD" w:rsidP="00911DBD" w:rsidRDefault="00911DBD" w14:paraId="0700F6F0" w14:textId="6230D527">
      <w:pPr>
        <w:ind w:left="1260"/>
      </w:pPr>
    </w:p>
    <w:p w:rsidR="00726DC4" w:rsidP="00911DBD" w:rsidRDefault="00726DC4" w14:paraId="066E2DD6" w14:textId="4BE11719">
      <w:pPr>
        <w:ind w:left="1260"/>
      </w:pPr>
    </w:p>
    <w:p w:rsidRPr="00911DBD" w:rsidR="00726DC4" w:rsidP="00911DBD" w:rsidRDefault="00726DC4" w14:paraId="1540084E" w14:textId="77777777">
      <w:pPr>
        <w:ind w:left="1260"/>
      </w:pPr>
    </w:p>
    <w:p w:rsidR="00066A64" w:rsidP="00ED281E" w:rsidRDefault="00ED281E" w14:paraId="4B0DFC60" w14:textId="6DDCDFEB">
      <w:pPr>
        <w:numPr>
          <w:ilvl w:val="1"/>
          <w:numId w:val="1"/>
        </w:numPr>
        <w:tabs>
          <w:tab w:val="clear" w:pos="1440"/>
          <w:tab w:val="left" w:pos="1530"/>
        </w:tabs>
        <w:ind w:left="1260"/>
      </w:pPr>
      <w:r>
        <w:rPr>
          <w:b/>
        </w:rPr>
        <w:lastRenderedPageBreak/>
        <w:t xml:space="preserve">    </w:t>
      </w:r>
      <w:r w:rsidRPr="00911DBD" w:rsidR="00C8479E">
        <w:rPr>
          <w:b/>
        </w:rPr>
        <w:t>Assurance of Confidentiality</w:t>
      </w:r>
    </w:p>
    <w:p w:rsidR="00911DBD" w:rsidP="00ED281E" w:rsidRDefault="00F159F9" w14:paraId="7297C8A3" w14:textId="3ACF2335">
      <w:pPr>
        <w:ind w:left="1530"/>
      </w:pPr>
      <w:r>
        <w:t xml:space="preserve">SSA protects and holds confidential the information it </w:t>
      </w:r>
      <w:r w:rsidR="00906D2A">
        <w:t xml:space="preserve">collects </w:t>
      </w:r>
      <w:r>
        <w:t xml:space="preserve">in accordance with </w:t>
      </w:r>
      <w:r w:rsidRPr="00066A64">
        <w:rPr>
          <w:i/>
        </w:rPr>
        <w:t>42 U.S.C. 1306, 20 CFR 401</w:t>
      </w:r>
      <w:r>
        <w:t xml:space="preserve"> and </w:t>
      </w:r>
      <w:r w:rsidRPr="00066A64">
        <w:rPr>
          <w:i/>
        </w:rPr>
        <w:t>402, 5 U.S.C. 552</w:t>
      </w:r>
      <w:r>
        <w:t xml:space="preserve"> (Freedom of Information Act), </w:t>
      </w:r>
      <w:r w:rsidRPr="00066A64">
        <w:rPr>
          <w:i/>
        </w:rPr>
        <w:t>5 U.S.C. 552a</w:t>
      </w:r>
      <w:r>
        <w:t xml:space="preserve"> (Privacy Act of 1974), and OMB Circular No. A-130.</w:t>
      </w:r>
    </w:p>
    <w:p w:rsidR="00E57C46" w:rsidP="00ED281E" w:rsidRDefault="00E57C46" w14:paraId="37866925" w14:textId="77777777">
      <w:pPr>
        <w:ind w:left="1530"/>
      </w:pPr>
    </w:p>
    <w:p w:rsidR="00066A64" w:rsidP="00ED281E" w:rsidRDefault="00ED281E" w14:paraId="4372D5BE" w14:textId="0C655464">
      <w:pPr>
        <w:numPr>
          <w:ilvl w:val="1"/>
          <w:numId w:val="1"/>
        </w:numPr>
        <w:tabs>
          <w:tab w:val="clear" w:pos="1440"/>
          <w:tab w:val="num" w:pos="1530"/>
        </w:tabs>
        <w:ind w:left="1260"/>
      </w:pPr>
      <w:r>
        <w:rPr>
          <w:b/>
        </w:rPr>
        <w:t xml:space="preserve">    </w:t>
      </w:r>
      <w:r w:rsidRPr="00911DBD" w:rsidR="00C8479E">
        <w:rPr>
          <w:b/>
        </w:rPr>
        <w:t>Justification for Sensitive Questions</w:t>
      </w:r>
    </w:p>
    <w:p w:rsidR="00066A64" w:rsidP="00ED281E" w:rsidRDefault="00F159F9" w14:paraId="277EAED8" w14:textId="2F958F8A">
      <w:pPr>
        <w:ind w:left="1260" w:firstLine="270"/>
      </w:pPr>
      <w:r>
        <w:t xml:space="preserve">The information collection does not contain </w:t>
      </w:r>
      <w:r w:rsidR="004D7F0F">
        <w:t xml:space="preserve">any questions of a </w:t>
      </w:r>
      <w:r>
        <w:t xml:space="preserve">sensitive </w:t>
      </w:r>
      <w:r w:rsidR="004D7F0F">
        <w:t>nature.</w:t>
      </w:r>
    </w:p>
    <w:p w:rsidRPr="00066A64" w:rsidR="00066A64" w:rsidP="00066A64" w:rsidRDefault="00066A64" w14:paraId="42065F9F" w14:textId="77777777">
      <w:pPr>
        <w:ind w:left="1260"/>
      </w:pPr>
    </w:p>
    <w:p w:rsidR="004A2A00" w:rsidP="00706ABC" w:rsidRDefault="00ED281E" w14:paraId="3CB8E707" w14:textId="25EBB855">
      <w:pPr>
        <w:numPr>
          <w:ilvl w:val="1"/>
          <w:numId w:val="1"/>
        </w:numPr>
        <w:tabs>
          <w:tab w:val="clear" w:pos="1440"/>
          <w:tab w:val="left" w:pos="1530"/>
        </w:tabs>
        <w:ind w:left="1260"/>
      </w:pPr>
      <w:r w:rsidRPr="00706ABC">
        <w:rPr>
          <w:b/>
        </w:rPr>
        <w:t xml:space="preserve">    </w:t>
      </w:r>
      <w:r w:rsidRPr="00706ABC" w:rsidR="00C8479E">
        <w:rPr>
          <w:b/>
        </w:rPr>
        <w:t>Estimates of Public Reporting Burden</w:t>
      </w:r>
    </w:p>
    <w:tbl>
      <w:tblPr>
        <w:tblStyle w:val="TableGrid"/>
        <w:tblW w:w="11250" w:type="dxa"/>
        <w:tblInd w:w="-953" w:type="dxa"/>
        <w:tblLayout w:type="fixed"/>
        <w:tblLook w:val="04A0" w:firstRow="1" w:lastRow="0" w:firstColumn="1" w:lastColumn="0" w:noHBand="0" w:noVBand="1"/>
      </w:tblPr>
      <w:tblGrid>
        <w:gridCol w:w="1440"/>
        <w:gridCol w:w="1619"/>
        <w:gridCol w:w="1310"/>
        <w:gridCol w:w="1190"/>
        <w:gridCol w:w="1256"/>
        <w:gridCol w:w="1465"/>
        <w:gridCol w:w="1260"/>
        <w:gridCol w:w="1710"/>
      </w:tblGrid>
      <w:tr w:rsidRPr="003B2223" w:rsidR="00586560" w:rsidTr="00513F8B" w14:paraId="79261CE3" w14:textId="7726F7C2">
        <w:tc>
          <w:tcPr>
            <w:tcW w:w="1440" w:type="dxa"/>
          </w:tcPr>
          <w:p w:rsidRPr="00205A11" w:rsidR="00586560" w:rsidP="004A2A00" w:rsidRDefault="00586560" w14:paraId="58C63E62" w14:textId="283D05B6">
            <w:r w:rsidRPr="003B2223">
              <w:rPr>
                <w:b/>
                <w:bCs/>
              </w:rPr>
              <w:t>Modality of Completion</w:t>
            </w:r>
          </w:p>
        </w:tc>
        <w:tc>
          <w:tcPr>
            <w:tcW w:w="1619" w:type="dxa"/>
          </w:tcPr>
          <w:p w:rsidRPr="003B2223" w:rsidR="00586560" w:rsidP="004A2A00" w:rsidRDefault="00586560" w14:paraId="485422EC" w14:textId="1C1357A7">
            <w:r w:rsidRPr="00D74521">
              <w:rPr>
                <w:b/>
                <w:bCs/>
              </w:rPr>
              <w:t>Number of Respondents</w:t>
            </w:r>
          </w:p>
        </w:tc>
        <w:tc>
          <w:tcPr>
            <w:tcW w:w="1310" w:type="dxa"/>
          </w:tcPr>
          <w:p w:rsidRPr="003B2223" w:rsidR="00586560" w:rsidP="004A2A00" w:rsidRDefault="00586560" w14:paraId="5ECC9219" w14:textId="48302FC5">
            <w:r w:rsidRPr="003B2223">
              <w:rPr>
                <w:b/>
                <w:bCs/>
              </w:rPr>
              <w:t>Frequency of Response</w:t>
            </w:r>
          </w:p>
        </w:tc>
        <w:tc>
          <w:tcPr>
            <w:tcW w:w="1190" w:type="dxa"/>
          </w:tcPr>
          <w:p w:rsidRPr="003B2223" w:rsidR="00586560" w:rsidP="004A2A00" w:rsidRDefault="00586560" w14:paraId="690DA52B" w14:textId="7BA568D0">
            <w:r w:rsidRPr="003B2223">
              <w:rPr>
                <w:b/>
                <w:bCs/>
              </w:rPr>
              <w:t>Average Burden Per Response (minutes)</w:t>
            </w:r>
          </w:p>
        </w:tc>
        <w:tc>
          <w:tcPr>
            <w:tcW w:w="1256" w:type="dxa"/>
          </w:tcPr>
          <w:p w:rsidRPr="00454611" w:rsidR="00586560" w:rsidP="003B2223" w:rsidRDefault="00586560" w14:paraId="4B864587" w14:textId="44837E11">
            <w:r w:rsidRPr="00454611">
              <w:rPr>
                <w:b/>
                <w:bCs/>
              </w:rPr>
              <w:t>Estimated Total Annual Burden (hours)</w:t>
            </w:r>
          </w:p>
        </w:tc>
        <w:tc>
          <w:tcPr>
            <w:tcW w:w="1465" w:type="dxa"/>
          </w:tcPr>
          <w:p w:rsidRPr="003B2223" w:rsidR="00586560" w:rsidP="004A2A00" w:rsidRDefault="00586560" w14:paraId="629215CB" w14:textId="65EAF9F3">
            <w:pPr>
              <w:rPr>
                <w:b/>
                <w:bCs/>
              </w:rPr>
            </w:pPr>
            <w:r w:rsidRPr="00454611">
              <w:rPr>
                <w:b/>
                <w:bCs/>
              </w:rPr>
              <w:t>Average Theoretical Hourly Cos</w:t>
            </w:r>
            <w:r w:rsidRPr="00B23AA1">
              <w:rPr>
                <w:b/>
                <w:bCs/>
              </w:rPr>
              <w:t>t Amount (dollars)</w:t>
            </w:r>
            <w:r w:rsidR="000E24DB">
              <w:rPr>
                <w:b/>
                <w:bCs/>
              </w:rPr>
              <w:t>*</w:t>
            </w:r>
          </w:p>
        </w:tc>
        <w:tc>
          <w:tcPr>
            <w:tcW w:w="1260" w:type="dxa"/>
          </w:tcPr>
          <w:p w:rsidRPr="00096DEA" w:rsidR="00454611" w:rsidP="00454611" w:rsidRDefault="00454611" w14:paraId="2BC50374" w14:textId="77777777">
            <w:pPr>
              <w:rPr>
                <w:b/>
                <w:bCs/>
              </w:rPr>
            </w:pPr>
            <w:r w:rsidRPr="00096DEA">
              <w:rPr>
                <w:b/>
                <w:bCs/>
              </w:rPr>
              <w:t xml:space="preserve">Average Wait Time in Field Office </w:t>
            </w:r>
          </w:p>
          <w:p w:rsidRPr="00096DEA" w:rsidR="00454611" w:rsidP="00454611" w:rsidRDefault="00454611" w14:paraId="40224B1D" w14:textId="0283DD16">
            <w:pPr>
              <w:rPr>
                <w:b/>
                <w:bCs/>
              </w:rPr>
            </w:pPr>
            <w:r w:rsidRPr="00096DEA">
              <w:rPr>
                <w:b/>
                <w:bCs/>
              </w:rPr>
              <w:t>(minutes)</w:t>
            </w:r>
            <w:r>
              <w:rPr>
                <w:b/>
                <w:bCs/>
              </w:rPr>
              <w:t>**</w:t>
            </w:r>
          </w:p>
          <w:p w:rsidRPr="00454611" w:rsidR="00586560" w:rsidP="00847C98" w:rsidRDefault="00586560" w14:paraId="2F24F577" w14:textId="4BD38BDF">
            <w:pPr>
              <w:rPr>
                <w:b/>
                <w:bCs/>
              </w:rPr>
            </w:pPr>
          </w:p>
        </w:tc>
        <w:tc>
          <w:tcPr>
            <w:tcW w:w="1710" w:type="dxa"/>
          </w:tcPr>
          <w:p w:rsidRPr="00D74521" w:rsidR="00847C98" w:rsidP="00847C98" w:rsidRDefault="00847C98" w14:paraId="710482DE" w14:textId="77777777">
            <w:pPr>
              <w:autoSpaceDE w:val="0"/>
              <w:autoSpaceDN w:val="0"/>
              <w:adjustRightInd w:val="0"/>
              <w:rPr>
                <w:b/>
              </w:rPr>
            </w:pPr>
            <w:r w:rsidRPr="00D74521">
              <w:rPr>
                <w:b/>
              </w:rPr>
              <w:t>Total Annual Opportunity Cost</w:t>
            </w:r>
          </w:p>
          <w:p w:rsidRPr="003B2223" w:rsidR="00586560" w:rsidP="00847C98" w:rsidRDefault="00847C98" w14:paraId="2CFBC823" w14:textId="17C5477F">
            <w:pPr>
              <w:rPr>
                <w:b/>
                <w:bCs/>
              </w:rPr>
            </w:pPr>
            <w:r w:rsidRPr="003B2223">
              <w:rPr>
                <w:b/>
              </w:rPr>
              <w:t>(dollars) *</w:t>
            </w:r>
            <w:r w:rsidRPr="003B2223" w:rsidR="003B2223">
              <w:rPr>
                <w:b/>
              </w:rPr>
              <w:t>*</w:t>
            </w:r>
            <w:r w:rsidRPr="003B2223">
              <w:rPr>
                <w:b/>
              </w:rPr>
              <w:t>*</w:t>
            </w:r>
          </w:p>
        </w:tc>
      </w:tr>
      <w:tr w:rsidRPr="003B2223" w:rsidR="00586560" w:rsidTr="00513F8B" w14:paraId="2145F786" w14:textId="5239A787">
        <w:tc>
          <w:tcPr>
            <w:tcW w:w="1440" w:type="dxa"/>
          </w:tcPr>
          <w:p w:rsidRPr="003B2223" w:rsidR="00586560" w:rsidP="00066A64" w:rsidRDefault="00586560" w14:paraId="462F304B" w14:textId="4CB63F26">
            <w:r w:rsidRPr="003B2223">
              <w:t>SSA-765</w:t>
            </w:r>
            <w:r w:rsidRPr="003B2223" w:rsidR="006122D6">
              <w:t xml:space="preserve"> </w:t>
            </w:r>
          </w:p>
        </w:tc>
        <w:tc>
          <w:tcPr>
            <w:tcW w:w="1619" w:type="dxa"/>
          </w:tcPr>
          <w:p w:rsidRPr="003B2223" w:rsidR="00586560" w:rsidP="004A2A00" w:rsidRDefault="00FA398E" w14:paraId="1B5C8298" w14:textId="332E72DE">
            <w:pPr>
              <w:jc w:val="right"/>
            </w:pPr>
            <w:r w:rsidRPr="003B2223">
              <w:t>51</w:t>
            </w:r>
          </w:p>
        </w:tc>
        <w:tc>
          <w:tcPr>
            <w:tcW w:w="1310" w:type="dxa"/>
          </w:tcPr>
          <w:p w:rsidRPr="00D74521" w:rsidR="00586560" w:rsidP="004A2A00" w:rsidRDefault="00586560" w14:paraId="470AB06C" w14:textId="6409D0E6">
            <w:pPr>
              <w:jc w:val="right"/>
            </w:pPr>
            <w:r w:rsidRPr="00D74521">
              <w:t>1</w:t>
            </w:r>
          </w:p>
        </w:tc>
        <w:tc>
          <w:tcPr>
            <w:tcW w:w="1190" w:type="dxa"/>
          </w:tcPr>
          <w:p w:rsidRPr="003B2223" w:rsidR="00586560" w:rsidP="004A2A00" w:rsidRDefault="00586560" w14:paraId="001F09B6" w14:textId="2D8B9D05">
            <w:pPr>
              <w:jc w:val="right"/>
            </w:pPr>
            <w:r w:rsidRPr="003B2223">
              <w:t>30</w:t>
            </w:r>
          </w:p>
        </w:tc>
        <w:tc>
          <w:tcPr>
            <w:tcW w:w="1256" w:type="dxa"/>
          </w:tcPr>
          <w:p w:rsidRPr="003B2223" w:rsidR="00586560" w:rsidP="004A2A00" w:rsidRDefault="00CE032F" w14:paraId="41C442DD" w14:textId="158A2C3E">
            <w:pPr>
              <w:jc w:val="right"/>
            </w:pPr>
            <w:r>
              <w:t>26</w:t>
            </w:r>
          </w:p>
        </w:tc>
        <w:tc>
          <w:tcPr>
            <w:tcW w:w="1465" w:type="dxa"/>
          </w:tcPr>
          <w:p w:rsidRPr="003B2223" w:rsidR="00586560" w:rsidP="004A2A00" w:rsidRDefault="00CE032F" w14:paraId="53E76524" w14:textId="6A213EA0">
            <w:pPr>
              <w:jc w:val="right"/>
            </w:pPr>
            <w:r>
              <w:t>$19.01</w:t>
            </w:r>
            <w:r w:rsidR="00644BDB">
              <w:t>*</w:t>
            </w:r>
          </w:p>
        </w:tc>
        <w:tc>
          <w:tcPr>
            <w:tcW w:w="1260" w:type="dxa"/>
          </w:tcPr>
          <w:p w:rsidRPr="00454611" w:rsidR="00586560" w:rsidP="004A2A00" w:rsidRDefault="00454611" w14:paraId="1B36F2A9" w14:textId="2EE0336A">
            <w:pPr>
              <w:jc w:val="right"/>
            </w:pPr>
            <w:r>
              <w:t>24</w:t>
            </w:r>
            <w:r w:rsidR="00644BDB">
              <w:t>**</w:t>
            </w:r>
          </w:p>
        </w:tc>
        <w:tc>
          <w:tcPr>
            <w:tcW w:w="1710" w:type="dxa"/>
          </w:tcPr>
          <w:p w:rsidRPr="00D74521" w:rsidR="00586560" w:rsidP="004A2A00" w:rsidRDefault="00CE032F" w14:paraId="08DCC475" w14:textId="44045790">
            <w:pPr>
              <w:jc w:val="right"/>
            </w:pPr>
            <w:r>
              <w:t>$874</w:t>
            </w:r>
            <w:r w:rsidR="00644BDB">
              <w:t>***</w:t>
            </w:r>
          </w:p>
        </w:tc>
      </w:tr>
    </w:tbl>
    <w:p w:rsidR="00CE032F" w:rsidP="00706ABC" w:rsidRDefault="00CE032F" w14:paraId="491FCF18" w14:textId="581CC431">
      <w:pPr>
        <w:pStyle w:val="ListParagraph"/>
        <w:tabs>
          <w:tab w:val="left" w:pos="1530"/>
        </w:tabs>
        <w:autoSpaceDE w:val="0"/>
        <w:autoSpaceDN w:val="0"/>
        <w:adjustRightInd w:val="0"/>
        <w:ind w:left="1530"/>
        <w:rPr>
          <w:rFonts w:eastAsia="SimSun"/>
          <w:lang w:eastAsia="ar-SA"/>
        </w:rPr>
      </w:pPr>
      <w:r w:rsidRPr="00A148A8">
        <w:rPr>
          <w:rFonts w:eastAsia="SimSun"/>
          <w:lang w:eastAsia="zh-CN"/>
        </w:rPr>
        <w:t>* We based th</w:t>
      </w:r>
      <w:r>
        <w:rPr>
          <w:rFonts w:eastAsia="SimSun"/>
          <w:lang w:eastAsia="zh-CN"/>
        </w:rPr>
        <w:t xml:space="preserve">is </w:t>
      </w:r>
      <w:r w:rsidRPr="00A148A8">
        <w:rPr>
          <w:rFonts w:eastAsia="SimSun"/>
          <w:lang w:eastAsia="zh-CN"/>
        </w:rPr>
        <w:t>figure by averaging both the average DI payments based on SSA's current FY 2021 data (</w:t>
      </w:r>
      <w:hyperlink w:history="1" r:id="rId8">
        <w:r w:rsidRPr="00A148A8">
          <w:rPr>
            <w:rFonts w:eastAsia="SimSun"/>
            <w:color w:val="0070C0"/>
            <w:u w:val="single"/>
            <w:lang w:eastAsia="zh-CN"/>
          </w:rPr>
          <w:t>https://www.ssa.gov/legislation/2021FactSheet.pdf</w:t>
        </w:r>
      </w:hyperlink>
      <w:r w:rsidRPr="00A148A8">
        <w:rPr>
          <w:rFonts w:eastAsia="SimSun"/>
          <w:lang w:eastAsia="zh-CN"/>
        </w:rPr>
        <w:t>), and the average U.S. worker’s hourly wages, as reported by Bureau of Labor Statistics data (</w:t>
      </w:r>
      <w:hyperlink w:history="1" r:id="rId9">
        <w:r w:rsidRPr="00A148A8">
          <w:rPr>
            <w:rFonts w:eastAsia="SimSun"/>
            <w:color w:val="0070C0"/>
            <w:u w:val="single"/>
            <w:lang w:eastAsia="zh-CN"/>
          </w:rPr>
          <w:t>https://www.bls.gov/oes/current/oes_nat.htm</w:t>
        </w:r>
      </w:hyperlink>
      <w:r w:rsidRPr="00A148A8">
        <w:rPr>
          <w:rFonts w:eastAsia="SimSun"/>
          <w:lang w:eastAsia="zh-CN"/>
        </w:rPr>
        <w:t>)</w:t>
      </w:r>
      <w:r w:rsidRPr="00A148A8">
        <w:rPr>
          <w:rFonts w:eastAsia="SimSun"/>
          <w:lang w:eastAsia="ar-SA"/>
        </w:rPr>
        <w:t>.</w:t>
      </w:r>
    </w:p>
    <w:p w:rsidR="001F5BD2" w:rsidP="00706ABC" w:rsidRDefault="001F5BD2" w14:paraId="629F7154" w14:textId="77777777">
      <w:pPr>
        <w:pStyle w:val="ListParagraph"/>
        <w:tabs>
          <w:tab w:val="left" w:pos="1530"/>
        </w:tabs>
        <w:autoSpaceDE w:val="0"/>
        <w:autoSpaceDN w:val="0"/>
        <w:adjustRightInd w:val="0"/>
        <w:ind w:left="1530"/>
        <w:rPr>
          <w:rFonts w:eastAsia="SimSun"/>
          <w:lang w:eastAsia="ar-SA"/>
        </w:rPr>
      </w:pPr>
    </w:p>
    <w:p w:rsidR="00CE032F" w:rsidP="00ED281E" w:rsidRDefault="00CE032F" w14:paraId="6458A1E2" w14:textId="19CB8214">
      <w:pPr>
        <w:tabs>
          <w:tab w:val="left" w:pos="1530"/>
        </w:tabs>
        <w:autoSpaceDE w:val="0"/>
        <w:autoSpaceDN w:val="0"/>
        <w:adjustRightInd w:val="0"/>
        <w:ind w:left="1530"/>
      </w:pPr>
      <w:r w:rsidRPr="00A148A8">
        <w:t>** We based this figure on averaging both the average FY 2021 wait times for field offices and teleservice centers, based on SSA’s current management information data.</w:t>
      </w:r>
    </w:p>
    <w:p w:rsidRPr="00A148A8" w:rsidR="001F5BD2" w:rsidP="00ED281E" w:rsidRDefault="001F5BD2" w14:paraId="2F49F596" w14:textId="77777777">
      <w:pPr>
        <w:tabs>
          <w:tab w:val="left" w:pos="1530"/>
        </w:tabs>
        <w:autoSpaceDE w:val="0"/>
        <w:autoSpaceDN w:val="0"/>
        <w:adjustRightInd w:val="0"/>
        <w:ind w:left="1530"/>
      </w:pPr>
    </w:p>
    <w:p w:rsidR="006007AF" w:rsidP="00ED281E" w:rsidRDefault="00CE032F" w14:paraId="569F1D97" w14:textId="37261083">
      <w:pPr>
        <w:pStyle w:val="ListParagraph"/>
        <w:tabs>
          <w:tab w:val="left" w:pos="1530"/>
        </w:tabs>
        <w:autoSpaceDE w:val="0"/>
        <w:autoSpaceDN w:val="0"/>
        <w:adjustRightInd w:val="0"/>
        <w:ind w:left="1530"/>
      </w:pPr>
      <w:r w:rsidRPr="00A148A8">
        <w:rPr>
          <w:lang w:eastAsia="zh-C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A148A8">
        <w:rPr>
          <w:b/>
          <w:bCs/>
          <w:u w:val="single"/>
          <w:lang w:eastAsia="zh-CN"/>
        </w:rPr>
        <w:t>There is no actual charge to respondents to complete the application</w:t>
      </w:r>
      <w:r w:rsidRPr="00A148A8">
        <w:rPr>
          <w:b/>
        </w:rPr>
        <w:t>.</w:t>
      </w:r>
      <w:r>
        <w:br/>
      </w:r>
    </w:p>
    <w:p w:rsidR="006007AF" w:rsidP="00ED281E" w:rsidRDefault="006007AF" w14:paraId="4D36C430" w14:textId="548B533B">
      <w:pPr>
        <w:ind w:left="1530"/>
      </w:pPr>
      <w:r w:rsidRPr="006C2A8B">
        <w:t>In addition, OMB’s Office of Information and Regulatory Affairs</w:t>
      </w:r>
      <w:r>
        <w:t xml:space="preserve"> (OIRA)</w:t>
      </w:r>
      <w:r w:rsidRPr="006C2A8B">
        <w:t xml:space="preserve">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w:t>
      </w:r>
      <w:proofErr w:type="gramStart"/>
      <w:r w:rsidRPr="006C2A8B">
        <w:t>13.97</w:t>
      </w:r>
      <w:r>
        <w:t xml:space="preserve"> </w:t>
      </w:r>
      <w:r w:rsidRPr="006C2A8B">
        <w:t>mile</w:t>
      </w:r>
      <w:proofErr w:type="gramEnd"/>
      <w:r w:rsidRPr="006C2A8B">
        <w:t xml:space="preserve"> driving distance for one-way travel.  We depict this on the chart below:</w:t>
      </w:r>
    </w:p>
    <w:p w:rsidR="00726DC4" w:rsidP="00ED281E" w:rsidRDefault="00726DC4" w14:paraId="0004CF6F" w14:textId="5396965C">
      <w:pPr>
        <w:ind w:left="1530"/>
      </w:pPr>
    </w:p>
    <w:p w:rsidR="00726DC4" w:rsidP="00ED281E" w:rsidRDefault="00726DC4" w14:paraId="66F86A5E" w14:textId="6315737C">
      <w:pPr>
        <w:ind w:left="1530"/>
      </w:pPr>
    </w:p>
    <w:p w:rsidR="00726DC4" w:rsidP="00ED281E" w:rsidRDefault="00726DC4" w14:paraId="48FC45FF" w14:textId="77777777">
      <w:pPr>
        <w:ind w:left="1530"/>
      </w:pPr>
    </w:p>
    <w:tbl>
      <w:tblPr>
        <w:tblStyle w:val="TableGrid"/>
        <w:tblW w:w="8456" w:type="dxa"/>
        <w:tblInd w:w="1525" w:type="dxa"/>
        <w:tblLook w:val="04A0" w:firstRow="1" w:lastRow="0" w:firstColumn="1" w:lastColumn="0" w:noHBand="0" w:noVBand="1"/>
      </w:tblPr>
      <w:tblGrid>
        <w:gridCol w:w="1443"/>
        <w:gridCol w:w="1752"/>
        <w:gridCol w:w="1736"/>
        <w:gridCol w:w="1743"/>
        <w:gridCol w:w="1782"/>
      </w:tblGrid>
      <w:tr w:rsidR="00586560" w:rsidTr="00A90B31" w14:paraId="6AF8C036" w14:textId="77777777">
        <w:tc>
          <w:tcPr>
            <w:tcW w:w="976" w:type="dxa"/>
          </w:tcPr>
          <w:p w:rsidR="00586560" w:rsidP="00E26F75" w:rsidRDefault="00586560" w14:paraId="12182BF8" w14:textId="77777777">
            <w:r>
              <w:lastRenderedPageBreak/>
              <w:t>Total Number of Respondents Who Visit a Field Office</w:t>
            </w:r>
          </w:p>
        </w:tc>
        <w:tc>
          <w:tcPr>
            <w:tcW w:w="1870" w:type="dxa"/>
          </w:tcPr>
          <w:p w:rsidR="00586560" w:rsidP="00E26F75" w:rsidRDefault="00586560" w14:paraId="445B814A" w14:textId="77777777">
            <w:r>
              <w:t>Frequency of Response</w:t>
            </w:r>
          </w:p>
        </w:tc>
        <w:tc>
          <w:tcPr>
            <w:tcW w:w="1870" w:type="dxa"/>
          </w:tcPr>
          <w:p w:rsidR="00586560" w:rsidP="00E26F75" w:rsidRDefault="00586560" w14:paraId="057BD691" w14:textId="77777777">
            <w:r>
              <w:t>Average One-Way Travel Time to a Field Office (minutes)</w:t>
            </w:r>
          </w:p>
        </w:tc>
        <w:tc>
          <w:tcPr>
            <w:tcW w:w="1870" w:type="dxa"/>
          </w:tcPr>
          <w:p w:rsidR="00586560" w:rsidP="00E26F75" w:rsidRDefault="00586560" w14:paraId="7AE3349D" w14:textId="77777777">
            <w:r>
              <w:t>Estimated Total Travel Time to a Field Office (hours)</w:t>
            </w:r>
          </w:p>
        </w:tc>
        <w:tc>
          <w:tcPr>
            <w:tcW w:w="1870" w:type="dxa"/>
          </w:tcPr>
          <w:p w:rsidR="00586560" w:rsidP="00E26F75" w:rsidRDefault="00586560" w14:paraId="79667739" w14:textId="67F08EE6">
            <w:r>
              <w:t>Total Annual Opportunity C</w:t>
            </w:r>
            <w:r w:rsidR="003B2223">
              <w:t>ost for Travel Time (dollars)</w:t>
            </w:r>
            <w:r>
              <w:t>*</w:t>
            </w:r>
          </w:p>
        </w:tc>
      </w:tr>
      <w:tr w:rsidR="00586560" w:rsidTr="00A90B31" w14:paraId="5E638E51" w14:textId="77777777">
        <w:tc>
          <w:tcPr>
            <w:tcW w:w="976" w:type="dxa"/>
          </w:tcPr>
          <w:p w:rsidR="00586560" w:rsidP="00A90B31" w:rsidRDefault="003813F9" w14:paraId="63F2D738" w14:textId="61909FAB">
            <w:r>
              <w:t>51</w:t>
            </w:r>
          </w:p>
        </w:tc>
        <w:tc>
          <w:tcPr>
            <w:tcW w:w="1870" w:type="dxa"/>
          </w:tcPr>
          <w:p w:rsidR="00586560" w:rsidP="00E26F75" w:rsidRDefault="00586560" w14:paraId="76376611" w14:textId="77777777">
            <w:pPr>
              <w:jc w:val="right"/>
            </w:pPr>
            <w:r>
              <w:t>1</w:t>
            </w:r>
          </w:p>
        </w:tc>
        <w:tc>
          <w:tcPr>
            <w:tcW w:w="1870" w:type="dxa"/>
          </w:tcPr>
          <w:p w:rsidR="00586560" w:rsidP="00E26F75" w:rsidRDefault="00586560" w14:paraId="46539B81" w14:textId="77777777">
            <w:pPr>
              <w:jc w:val="right"/>
            </w:pPr>
            <w:r>
              <w:t>30</w:t>
            </w:r>
          </w:p>
        </w:tc>
        <w:tc>
          <w:tcPr>
            <w:tcW w:w="1870" w:type="dxa"/>
          </w:tcPr>
          <w:p w:rsidR="00586560" w:rsidP="00E26F75" w:rsidRDefault="00CE032F" w14:paraId="10816B20" w14:textId="3B0C25E5">
            <w:pPr>
              <w:jc w:val="right"/>
            </w:pPr>
            <w:r>
              <w:t>26</w:t>
            </w:r>
          </w:p>
        </w:tc>
        <w:tc>
          <w:tcPr>
            <w:tcW w:w="1870" w:type="dxa"/>
          </w:tcPr>
          <w:p w:rsidR="00586560" w:rsidP="003813F9" w:rsidRDefault="00586560" w14:paraId="4FF75422" w14:textId="3E7806F7">
            <w:pPr>
              <w:jc w:val="right"/>
            </w:pPr>
            <w:r>
              <w:t>$</w:t>
            </w:r>
            <w:r w:rsidR="00CE032F">
              <w:t>285</w:t>
            </w:r>
          </w:p>
        </w:tc>
      </w:tr>
    </w:tbl>
    <w:p w:rsidR="00586560" w:rsidP="00ED281E" w:rsidRDefault="00586560" w14:paraId="494A666F" w14:textId="50B109DF">
      <w:pPr>
        <w:ind w:left="1530"/>
      </w:pPr>
      <w:r>
        <w:t xml:space="preserve">*We based this dollar amount on the Average Theoretical Hourly Cost Amount in dollars shown on the burden chart above.  </w:t>
      </w:r>
    </w:p>
    <w:p w:rsidR="00066A64" w:rsidP="00ED281E" w:rsidRDefault="00066A64" w14:paraId="3F2AB367" w14:textId="5E6A9E8A">
      <w:pPr>
        <w:ind w:left="1530"/>
      </w:pPr>
    </w:p>
    <w:p w:rsidR="001F5BD2" w:rsidP="00ED281E" w:rsidRDefault="006007AF" w14:paraId="7CAC1906" w14:textId="77777777">
      <w:pPr>
        <w:ind w:left="1530"/>
      </w:pPr>
      <w:r>
        <w:t xml:space="preserve">Per OIRA, we include this travel time burden estimate under the </w:t>
      </w:r>
    </w:p>
    <w:p w:rsidR="006007AF" w:rsidP="00ED281E" w:rsidRDefault="006007AF" w14:paraId="3B510892" w14:textId="74EE7FDC">
      <w:pPr>
        <w:ind w:left="1530"/>
      </w:pPr>
      <w:r>
        <w:t>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w:t>
      </w:r>
      <w:r w:rsidR="00CA618C">
        <w:t>,</w:t>
      </w:r>
      <w:r>
        <w:t xml:space="preserve"> which shows that the average respondent drives to a field office, rather than using any other mode of transport.  </w:t>
      </w:r>
    </w:p>
    <w:p w:rsidR="006007AF" w:rsidP="00ED281E" w:rsidRDefault="006007AF" w14:paraId="7F42B4D5" w14:textId="0B801332">
      <w:pPr>
        <w:ind w:left="1530"/>
      </w:pPr>
    </w:p>
    <w:p w:rsidR="006007AF" w:rsidP="00ED281E" w:rsidRDefault="006007AF" w14:paraId="4B6D1258" w14:textId="11EEC755">
      <w:pPr>
        <w:ind w:left="1530"/>
      </w:pPr>
      <w:r>
        <w:t>SSA also acknowledges that respondents’ mode of travel and, therefore, travel times vary widely dependent on region, mode of travel, and actual proximity to a field office.</w:t>
      </w:r>
    </w:p>
    <w:p w:rsidR="006007AF" w:rsidP="00ED281E" w:rsidRDefault="006007AF" w14:paraId="1061B6B6" w14:textId="50A726F1">
      <w:pPr>
        <w:ind w:left="1530"/>
      </w:pPr>
    </w:p>
    <w:p w:rsidRPr="007317B6" w:rsidR="006007AF" w:rsidP="00ED281E" w:rsidRDefault="006007AF" w14:paraId="3B92CA51" w14:textId="7DB365A2">
      <w:pPr>
        <w:pStyle w:val="ListParagraph"/>
        <w:ind w:left="1530"/>
      </w:pPr>
      <w:r w:rsidRPr="00535E84">
        <w:rPr>
          <w:rFonts w:eastAsia="Calibri"/>
          <w:color w:val="000000"/>
        </w:rPr>
        <w:t xml:space="preserve">We base our burden estimates on current management information data, which includes data from actual interviews, as well as from years of conducting this information collection.  Per our management information data, we believe that </w:t>
      </w:r>
      <w:r w:rsidRPr="00C37F19" w:rsidR="00644BDB">
        <w:rPr>
          <w:rFonts w:eastAsia="Calibri"/>
          <w:b/>
          <w:bCs/>
          <w:color w:val="000000"/>
        </w:rPr>
        <w:t>30</w:t>
      </w:r>
      <w:r w:rsidRPr="00535E84">
        <w:rPr>
          <w:rFonts w:eastAsia="Calibri"/>
          <w:color w:val="000000"/>
        </w:rPr>
        <w:t xml:space="preserve"> minutes accurately shows the average burden per response for reading the </w:t>
      </w:r>
      <w:r w:rsidRPr="00535E84">
        <w:rPr>
          <w:rFonts w:eastAsia="Calibri"/>
        </w:rPr>
        <w:t>instructions, gathering the facts, and answering the questions</w:t>
      </w:r>
      <w:r w:rsidRPr="00535E84">
        <w:rPr>
          <w:rFonts w:eastAsia="Calibri"/>
          <w:color w:val="000000"/>
        </w:rPr>
        <w:t xml:space="preserve">.  Based on our current management information data, the current burden information we provided is accurate.  </w:t>
      </w:r>
      <w:r w:rsidRPr="00535E84">
        <w:rPr>
          <w:rFonts w:eastAsia="Calibri"/>
        </w:rPr>
        <w:t xml:space="preserve">The total burden for this collection instrument is </w:t>
      </w:r>
      <w:r w:rsidRPr="00A90B31" w:rsidR="00302DC8">
        <w:rPr>
          <w:rFonts w:eastAsia="Calibri"/>
          <w:b/>
          <w:bCs/>
          <w:color w:val="000000"/>
        </w:rPr>
        <w:t>71</w:t>
      </w:r>
      <w:r w:rsidRPr="00144D8B">
        <w:rPr>
          <w:rFonts w:eastAsia="Calibri"/>
          <w:b/>
          <w:bCs/>
        </w:rPr>
        <w:t xml:space="preserve"> </w:t>
      </w:r>
      <w:r w:rsidRPr="00535E84">
        <w:rPr>
          <w:rFonts w:eastAsia="Calibri"/>
        </w:rPr>
        <w:t xml:space="preserve">burden hours (reflecting SSA management information data), which results in an associated theoretical (not actual) opportunity cost financial burden of </w:t>
      </w:r>
      <w:r w:rsidRPr="00535E84">
        <w:rPr>
          <w:rFonts w:eastAsia="Calibri"/>
          <w:b/>
          <w:bCs/>
        </w:rPr>
        <w:t>$</w:t>
      </w:r>
      <w:r w:rsidR="00CE032F">
        <w:rPr>
          <w:rFonts w:eastAsia="Calibri"/>
          <w:b/>
          <w:bCs/>
        </w:rPr>
        <w:t>1,159</w:t>
      </w:r>
      <w:r w:rsidRPr="00535E84">
        <w:rPr>
          <w:rFonts w:eastAsia="Calibri"/>
        </w:rPr>
        <w:t>.  SSA does not charge respondents to complete our applications</w:t>
      </w:r>
      <w:r>
        <w:rPr>
          <w:rFonts w:eastAsia="Calibri"/>
        </w:rPr>
        <w:t>.</w:t>
      </w:r>
    </w:p>
    <w:p w:rsidRPr="00066A64" w:rsidR="006007AF" w:rsidP="00ED281E" w:rsidRDefault="006007AF" w14:paraId="378DDA72" w14:textId="77777777">
      <w:pPr>
        <w:ind w:left="1530"/>
      </w:pPr>
    </w:p>
    <w:p w:rsidR="00066A64" w:rsidP="00706ABC" w:rsidRDefault="00A90B31" w14:paraId="643141DE" w14:textId="181DDCBE">
      <w:pPr>
        <w:numPr>
          <w:ilvl w:val="1"/>
          <w:numId w:val="1"/>
        </w:numPr>
        <w:tabs>
          <w:tab w:val="left" w:pos="1440"/>
          <w:tab w:val="num" w:pos="1530"/>
        </w:tabs>
        <w:ind w:left="1260"/>
      </w:pPr>
      <w:r>
        <w:rPr>
          <w:b/>
        </w:rPr>
        <w:t xml:space="preserve">    </w:t>
      </w:r>
      <w:r w:rsidRPr="00066A64" w:rsidR="00C8479E">
        <w:rPr>
          <w:b/>
        </w:rPr>
        <w:t>Annual Cost to the Respondent</w:t>
      </w:r>
    </w:p>
    <w:p w:rsidR="00066A64" w:rsidP="00A90B31" w:rsidRDefault="002364B0" w14:paraId="50B8DE7A" w14:textId="77DCEA57">
      <w:pPr>
        <w:ind w:left="720" w:firstLine="810"/>
      </w:pPr>
      <w:r>
        <w:t>This collection does not impose a known</w:t>
      </w:r>
      <w:r w:rsidR="00F159F9">
        <w:t xml:space="preserve"> cost burden </w:t>
      </w:r>
      <w:r w:rsidR="008E3BAF">
        <w:t>on</w:t>
      </w:r>
      <w:r w:rsidR="00F159F9">
        <w:t xml:space="preserve"> the respondents.</w:t>
      </w:r>
    </w:p>
    <w:p w:rsidRPr="00066A64" w:rsidR="00C3187C" w:rsidP="00DA23F8" w:rsidRDefault="00C3187C" w14:paraId="16EA3B45" w14:textId="4757A90D"/>
    <w:p w:rsidR="00066A64" w:rsidP="00A90B31" w:rsidRDefault="00A90B31" w14:paraId="170135F6" w14:textId="33D0702E">
      <w:pPr>
        <w:numPr>
          <w:ilvl w:val="1"/>
          <w:numId w:val="1"/>
        </w:numPr>
        <w:tabs>
          <w:tab w:val="clear" w:pos="1440"/>
          <w:tab w:val="num" w:pos="1530"/>
        </w:tabs>
        <w:ind w:left="1260"/>
      </w:pPr>
      <w:r>
        <w:rPr>
          <w:b/>
        </w:rPr>
        <w:t xml:space="preserve">    </w:t>
      </w:r>
      <w:r w:rsidRPr="00066A64" w:rsidR="00AF4E27">
        <w:rPr>
          <w:b/>
        </w:rPr>
        <w:t>Annual Cost to the Federal Government</w:t>
      </w:r>
    </w:p>
    <w:p w:rsidR="00066A64" w:rsidP="00706ABC" w:rsidRDefault="00F159F9" w14:paraId="247FDBBC" w14:textId="44A4A8F5">
      <w:pPr>
        <w:tabs>
          <w:tab w:val="left" w:pos="1530"/>
        </w:tabs>
        <w:ind w:left="1530"/>
      </w:pPr>
      <w:r>
        <w:t>The annual cost to the Federal Governmen</w:t>
      </w:r>
      <w:r w:rsidR="005F4773">
        <w:t xml:space="preserve">t </w:t>
      </w:r>
      <w:r w:rsidR="00066A64">
        <w:t xml:space="preserve">is </w:t>
      </w:r>
      <w:r w:rsidR="002364B0">
        <w:t xml:space="preserve">approximately </w:t>
      </w:r>
      <w:r w:rsidRPr="00A90B31" w:rsidR="00066A64">
        <w:rPr>
          <w:b/>
          <w:bCs/>
        </w:rPr>
        <w:t>$</w:t>
      </w:r>
      <w:r w:rsidRPr="00A90B31" w:rsidR="00AA3DB2">
        <w:rPr>
          <w:b/>
          <w:bCs/>
        </w:rPr>
        <w:t>4</w:t>
      </w:r>
      <w:r w:rsidR="00A90B31">
        <w:rPr>
          <w:b/>
          <w:bCs/>
        </w:rPr>
        <w:t>,</w:t>
      </w:r>
      <w:r w:rsidRPr="00A90B31" w:rsidR="00AA3DB2">
        <w:rPr>
          <w:b/>
          <w:bCs/>
        </w:rPr>
        <w:t>313</w:t>
      </w:r>
      <w:r w:rsidR="00066A64">
        <w:t xml:space="preserve">.  </w:t>
      </w:r>
      <w:r>
        <w:t xml:space="preserve">This </w:t>
      </w:r>
      <w:r w:rsidR="002364B0">
        <w:t>estimate accounts for c</w:t>
      </w:r>
      <w:r w:rsidR="00C3187C">
        <w:t xml:space="preserve">osts from the following areas:  </w:t>
      </w:r>
    </w:p>
    <w:tbl>
      <w:tblPr>
        <w:tblStyle w:val="TableGrid"/>
        <w:tblW w:w="7938" w:type="dxa"/>
        <w:tblInd w:w="1525" w:type="dxa"/>
        <w:tblLook w:val="04A0" w:firstRow="1" w:lastRow="0" w:firstColumn="1" w:lastColumn="0" w:noHBand="0" w:noVBand="1"/>
      </w:tblPr>
      <w:tblGrid>
        <w:gridCol w:w="3097"/>
        <w:gridCol w:w="2514"/>
        <w:gridCol w:w="2327"/>
      </w:tblGrid>
      <w:tr w:rsidR="00332CC2" w:rsidTr="00A90B31" w14:paraId="64081606" w14:textId="151CAAC9">
        <w:tc>
          <w:tcPr>
            <w:tcW w:w="3097" w:type="dxa"/>
          </w:tcPr>
          <w:p w:rsidR="00332CC2" w:rsidP="00E26F75" w:rsidRDefault="00332CC2" w14:paraId="2EE91B1F" w14:textId="77777777">
            <w:pPr>
              <w:pStyle w:val="ListParagraph"/>
              <w:ind w:left="0"/>
              <w:rPr>
                <w:b/>
                <w:bCs/>
                <w:color w:val="000000"/>
              </w:rPr>
            </w:pPr>
            <w:r>
              <w:rPr>
                <w:b/>
                <w:bCs/>
                <w:color w:val="000000"/>
              </w:rPr>
              <w:t>Description of Cost Factor</w:t>
            </w:r>
          </w:p>
        </w:tc>
        <w:tc>
          <w:tcPr>
            <w:tcW w:w="2514" w:type="dxa"/>
          </w:tcPr>
          <w:p w:rsidR="00332CC2" w:rsidP="00E26F75" w:rsidRDefault="00332CC2" w14:paraId="3FC234ED" w14:textId="77777777">
            <w:pPr>
              <w:pStyle w:val="ListParagraph"/>
              <w:ind w:left="0"/>
              <w:rPr>
                <w:b/>
                <w:bCs/>
                <w:color w:val="000000"/>
              </w:rPr>
            </w:pPr>
            <w:r>
              <w:rPr>
                <w:b/>
                <w:bCs/>
                <w:color w:val="000000"/>
              </w:rPr>
              <w:t>Methodology for Estimating Cost</w:t>
            </w:r>
          </w:p>
        </w:tc>
        <w:tc>
          <w:tcPr>
            <w:tcW w:w="2327" w:type="dxa"/>
          </w:tcPr>
          <w:p w:rsidR="00332CC2" w:rsidP="00E26F75" w:rsidRDefault="00332CC2" w14:paraId="18753893" w14:textId="77777777">
            <w:pPr>
              <w:pStyle w:val="ListParagraph"/>
              <w:ind w:left="0"/>
              <w:rPr>
                <w:b/>
                <w:bCs/>
                <w:color w:val="000000"/>
              </w:rPr>
            </w:pPr>
            <w:r>
              <w:rPr>
                <w:b/>
                <w:bCs/>
                <w:color w:val="000000"/>
              </w:rPr>
              <w:t>Cost in Dollars*</w:t>
            </w:r>
          </w:p>
        </w:tc>
      </w:tr>
      <w:tr w:rsidR="00332CC2" w:rsidTr="00A90B31" w14:paraId="058794E4" w14:textId="676AA2FB">
        <w:tc>
          <w:tcPr>
            <w:tcW w:w="3097" w:type="dxa"/>
          </w:tcPr>
          <w:p w:rsidR="00332CC2" w:rsidP="00E26F75" w:rsidRDefault="00332CC2" w14:paraId="2541CDFB" w14:textId="77777777">
            <w:pPr>
              <w:pStyle w:val="ListParagraph"/>
              <w:ind w:left="0"/>
              <w:rPr>
                <w:color w:val="000000"/>
              </w:rPr>
            </w:pPr>
            <w:r>
              <w:rPr>
                <w:color w:val="000000"/>
              </w:rPr>
              <w:t>Designing and Printing the Form</w:t>
            </w:r>
          </w:p>
        </w:tc>
        <w:tc>
          <w:tcPr>
            <w:tcW w:w="2514" w:type="dxa"/>
          </w:tcPr>
          <w:p w:rsidR="00332CC2" w:rsidP="00E26F75" w:rsidRDefault="00332CC2" w14:paraId="6887DBF1" w14:textId="77777777">
            <w:pPr>
              <w:pStyle w:val="ListParagraph"/>
              <w:ind w:left="0"/>
              <w:rPr>
                <w:color w:val="000000"/>
              </w:rPr>
            </w:pPr>
            <w:r>
              <w:rPr>
                <w:color w:val="000000"/>
              </w:rPr>
              <w:t>Design Cost + Printing Cost</w:t>
            </w:r>
          </w:p>
        </w:tc>
        <w:tc>
          <w:tcPr>
            <w:tcW w:w="2327" w:type="dxa"/>
          </w:tcPr>
          <w:p w:rsidR="00332CC2" w:rsidP="00144D8B" w:rsidRDefault="008C7F84" w14:paraId="3F0D8A83" w14:textId="1B258428">
            <w:pPr>
              <w:pStyle w:val="ListParagraph"/>
              <w:ind w:left="0"/>
              <w:jc w:val="right"/>
              <w:rPr>
                <w:color w:val="000000"/>
              </w:rPr>
            </w:pPr>
            <w:r>
              <w:rPr>
                <w:color w:val="000000"/>
              </w:rPr>
              <w:t xml:space="preserve">$380 </w:t>
            </w:r>
          </w:p>
        </w:tc>
      </w:tr>
      <w:tr w:rsidR="00332CC2" w:rsidTr="00A90B31" w14:paraId="75832F6F" w14:textId="4603D1F8">
        <w:tc>
          <w:tcPr>
            <w:tcW w:w="3097" w:type="dxa"/>
          </w:tcPr>
          <w:p w:rsidR="00332CC2" w:rsidP="00E26F75" w:rsidRDefault="00332CC2" w14:paraId="3D67A560" w14:textId="77777777">
            <w:pPr>
              <w:pStyle w:val="ListParagraph"/>
              <w:ind w:left="0"/>
              <w:rPr>
                <w:color w:val="000000"/>
              </w:rPr>
            </w:pPr>
            <w:r>
              <w:rPr>
                <w:color w:val="000000"/>
              </w:rPr>
              <w:t>Distributing, Shipping, and Material Costs for the Form</w:t>
            </w:r>
          </w:p>
        </w:tc>
        <w:tc>
          <w:tcPr>
            <w:tcW w:w="2514" w:type="dxa"/>
          </w:tcPr>
          <w:p w:rsidR="00332CC2" w:rsidP="00E26F75" w:rsidRDefault="00332CC2" w14:paraId="4C4036B4" w14:textId="77777777">
            <w:pPr>
              <w:pStyle w:val="ListParagraph"/>
              <w:ind w:left="0"/>
              <w:rPr>
                <w:color w:val="000000"/>
              </w:rPr>
            </w:pPr>
            <w:r>
              <w:rPr>
                <w:color w:val="000000"/>
              </w:rPr>
              <w:t>Distribution + Shipping + Material Cost</w:t>
            </w:r>
          </w:p>
        </w:tc>
        <w:tc>
          <w:tcPr>
            <w:tcW w:w="2327" w:type="dxa"/>
          </w:tcPr>
          <w:p w:rsidR="00332CC2" w:rsidP="00144D8B" w:rsidRDefault="00AA074B" w14:paraId="567F87A2" w14:textId="7B079909">
            <w:pPr>
              <w:pStyle w:val="ListParagraph"/>
              <w:ind w:left="0"/>
              <w:jc w:val="right"/>
              <w:rPr>
                <w:color w:val="000000"/>
              </w:rPr>
            </w:pPr>
            <w:r>
              <w:rPr>
                <w:color w:val="000000"/>
              </w:rPr>
              <w:t>$0</w:t>
            </w:r>
            <w:r w:rsidR="00B568FE">
              <w:rPr>
                <w:color w:val="000000"/>
              </w:rPr>
              <w:t>*</w:t>
            </w:r>
          </w:p>
        </w:tc>
      </w:tr>
      <w:tr w:rsidR="00332CC2" w:rsidTr="00A90B31" w14:paraId="090941A8" w14:textId="23DA49CA">
        <w:tc>
          <w:tcPr>
            <w:tcW w:w="3097" w:type="dxa"/>
          </w:tcPr>
          <w:p w:rsidR="00332CC2" w:rsidP="00E26F75" w:rsidRDefault="00332CC2" w14:paraId="44BFB082" w14:textId="77777777">
            <w:pPr>
              <w:pStyle w:val="ListParagraph"/>
              <w:ind w:left="0"/>
              <w:rPr>
                <w:color w:val="000000"/>
              </w:rPr>
            </w:pPr>
            <w:r>
              <w:rPr>
                <w:color w:val="000000"/>
              </w:rPr>
              <w:lastRenderedPageBreak/>
              <w:t>SSA Employee (e.g., field office, 800 number, DDS staff) Information Collection and Processing Time</w:t>
            </w:r>
          </w:p>
        </w:tc>
        <w:tc>
          <w:tcPr>
            <w:tcW w:w="2514" w:type="dxa"/>
          </w:tcPr>
          <w:p w:rsidR="00332CC2" w:rsidP="00E26F75" w:rsidRDefault="00AA074B" w14:paraId="08E33662" w14:textId="07A63CA3">
            <w:pPr>
              <w:pStyle w:val="ListParagraph"/>
              <w:ind w:left="0"/>
              <w:rPr>
                <w:color w:val="000000"/>
              </w:rPr>
            </w:pPr>
            <w:r>
              <w:rPr>
                <w:color w:val="000000"/>
              </w:rPr>
              <w:t>GS-</w:t>
            </w:r>
            <w:r w:rsidR="009B3F2E">
              <w:rPr>
                <w:color w:val="000000"/>
              </w:rPr>
              <w:t>9</w:t>
            </w:r>
            <w:r w:rsidR="00332CC2">
              <w:rPr>
                <w:color w:val="000000"/>
              </w:rPr>
              <w:t xml:space="preserve"> employee x # of responses x processing time</w:t>
            </w:r>
          </w:p>
        </w:tc>
        <w:tc>
          <w:tcPr>
            <w:tcW w:w="2327" w:type="dxa"/>
          </w:tcPr>
          <w:p w:rsidR="00332CC2" w:rsidP="00144D8B" w:rsidRDefault="00B568FE" w14:paraId="0FAA0833" w14:textId="574DF1BD">
            <w:pPr>
              <w:pStyle w:val="ListParagraph"/>
              <w:ind w:left="0"/>
              <w:jc w:val="right"/>
              <w:rPr>
                <w:color w:val="000000"/>
              </w:rPr>
            </w:pPr>
            <w:r>
              <w:rPr>
                <w:color w:val="000000"/>
              </w:rPr>
              <w:t>$513</w:t>
            </w:r>
          </w:p>
        </w:tc>
      </w:tr>
      <w:tr w:rsidR="00332CC2" w:rsidTr="00A90B31" w14:paraId="641478A2" w14:textId="2001D12C">
        <w:tc>
          <w:tcPr>
            <w:tcW w:w="3097" w:type="dxa"/>
          </w:tcPr>
          <w:p w:rsidR="00332CC2" w:rsidP="00E26F75" w:rsidRDefault="00332CC2" w14:paraId="43287531" w14:textId="77777777">
            <w:pPr>
              <w:pStyle w:val="ListParagraph"/>
              <w:ind w:left="0"/>
              <w:rPr>
                <w:color w:val="000000"/>
              </w:rPr>
            </w:pPr>
            <w:r>
              <w:rPr>
                <w:color w:val="000000"/>
              </w:rPr>
              <w:t>Full-Time Equivalent Costs</w:t>
            </w:r>
          </w:p>
        </w:tc>
        <w:tc>
          <w:tcPr>
            <w:tcW w:w="2514" w:type="dxa"/>
          </w:tcPr>
          <w:p w:rsidR="00332CC2" w:rsidP="00E26F75" w:rsidRDefault="00332CC2" w14:paraId="0224A442" w14:textId="77777777">
            <w:pPr>
              <w:pStyle w:val="ListParagraph"/>
              <w:ind w:left="0"/>
              <w:rPr>
                <w:color w:val="000000"/>
              </w:rPr>
            </w:pPr>
            <w:r>
              <w:rPr>
                <w:color w:val="000000"/>
              </w:rPr>
              <w:t>Out of pocket costs + Other expenses for providing this service</w:t>
            </w:r>
          </w:p>
        </w:tc>
        <w:tc>
          <w:tcPr>
            <w:tcW w:w="2327" w:type="dxa"/>
          </w:tcPr>
          <w:p w:rsidR="00332CC2" w:rsidP="00144D8B" w:rsidRDefault="00332CC2" w14:paraId="52BE2814" w14:textId="72AEF5A3">
            <w:pPr>
              <w:pStyle w:val="ListParagraph"/>
              <w:ind w:left="0"/>
              <w:jc w:val="right"/>
              <w:rPr>
                <w:color w:val="000000"/>
              </w:rPr>
            </w:pPr>
            <w:r>
              <w:rPr>
                <w:color w:val="000000"/>
              </w:rPr>
              <w:t>$0</w:t>
            </w:r>
            <w:r w:rsidR="00B568FE">
              <w:rPr>
                <w:color w:val="000000"/>
              </w:rPr>
              <w:t>*</w:t>
            </w:r>
          </w:p>
        </w:tc>
      </w:tr>
      <w:tr w:rsidR="00332CC2" w:rsidTr="00A90B31" w14:paraId="56B5D93D" w14:textId="3AA00321">
        <w:tc>
          <w:tcPr>
            <w:tcW w:w="3097" w:type="dxa"/>
          </w:tcPr>
          <w:p w:rsidR="00332CC2" w:rsidP="00E26F75" w:rsidRDefault="00332CC2" w14:paraId="0064C8E1" w14:textId="77777777">
            <w:pPr>
              <w:pStyle w:val="ListParagraph"/>
              <w:ind w:left="0"/>
              <w:rPr>
                <w:color w:val="000000"/>
              </w:rPr>
            </w:pPr>
            <w:r>
              <w:rPr>
                <w:color w:val="000000"/>
              </w:rPr>
              <w:t>Systems Development, Updating, and Maintenance</w:t>
            </w:r>
          </w:p>
        </w:tc>
        <w:tc>
          <w:tcPr>
            <w:tcW w:w="2514" w:type="dxa"/>
          </w:tcPr>
          <w:p w:rsidR="00332CC2" w:rsidP="00E26F75" w:rsidRDefault="00332CC2" w14:paraId="357B140A" w14:textId="77777777">
            <w:pPr>
              <w:pStyle w:val="ListParagraph"/>
              <w:ind w:left="0"/>
              <w:rPr>
                <w:color w:val="000000"/>
              </w:rPr>
            </w:pPr>
            <w:r>
              <w:rPr>
                <w:color w:val="000000"/>
              </w:rPr>
              <w:t>GS-9 employee x man hours for development, updating, maintenance</w:t>
            </w:r>
          </w:p>
        </w:tc>
        <w:tc>
          <w:tcPr>
            <w:tcW w:w="2327" w:type="dxa"/>
          </w:tcPr>
          <w:p w:rsidR="00332CC2" w:rsidP="00144D8B" w:rsidRDefault="00332CC2" w14:paraId="4DBC953B" w14:textId="0F3B04BF">
            <w:pPr>
              <w:pStyle w:val="ListParagraph"/>
              <w:ind w:left="0"/>
              <w:jc w:val="right"/>
              <w:rPr>
                <w:color w:val="000000"/>
              </w:rPr>
            </w:pPr>
            <w:r>
              <w:rPr>
                <w:color w:val="000000"/>
              </w:rPr>
              <w:t>$3,420</w:t>
            </w:r>
          </w:p>
        </w:tc>
      </w:tr>
      <w:tr w:rsidR="00332CC2" w:rsidTr="00A90B31" w14:paraId="768D613C" w14:textId="7973F51C">
        <w:tc>
          <w:tcPr>
            <w:tcW w:w="3097" w:type="dxa"/>
          </w:tcPr>
          <w:p w:rsidR="00332CC2" w:rsidP="00E26F75" w:rsidRDefault="00332CC2" w14:paraId="195BED14" w14:textId="77777777">
            <w:pPr>
              <w:pStyle w:val="ListParagraph"/>
              <w:ind w:left="0"/>
              <w:rPr>
                <w:color w:val="000000"/>
              </w:rPr>
            </w:pPr>
            <w:r>
              <w:rPr>
                <w:color w:val="000000"/>
              </w:rPr>
              <w:t>Quantifiable IT Costs</w:t>
            </w:r>
          </w:p>
        </w:tc>
        <w:tc>
          <w:tcPr>
            <w:tcW w:w="2514" w:type="dxa"/>
          </w:tcPr>
          <w:p w:rsidR="00332CC2" w:rsidP="00E26F75" w:rsidRDefault="00332CC2" w14:paraId="76A2CBAA" w14:textId="77777777">
            <w:pPr>
              <w:pStyle w:val="ListParagraph"/>
              <w:ind w:left="0"/>
              <w:rPr>
                <w:color w:val="000000"/>
              </w:rPr>
            </w:pPr>
            <w:r>
              <w:rPr>
                <w:color w:val="000000"/>
              </w:rPr>
              <w:t>Any additional IT costs</w:t>
            </w:r>
          </w:p>
        </w:tc>
        <w:tc>
          <w:tcPr>
            <w:tcW w:w="2327" w:type="dxa"/>
          </w:tcPr>
          <w:p w:rsidR="00332CC2" w:rsidP="00144D8B" w:rsidRDefault="00332CC2" w14:paraId="5E6C29D3" w14:textId="28C54964">
            <w:pPr>
              <w:pStyle w:val="ListParagraph"/>
              <w:ind w:left="0"/>
              <w:jc w:val="right"/>
              <w:rPr>
                <w:color w:val="000000"/>
              </w:rPr>
            </w:pPr>
            <w:r>
              <w:rPr>
                <w:color w:val="000000"/>
              </w:rPr>
              <w:t>$0</w:t>
            </w:r>
            <w:r w:rsidR="00B568FE">
              <w:rPr>
                <w:color w:val="000000"/>
              </w:rPr>
              <w:t>*</w:t>
            </w:r>
          </w:p>
        </w:tc>
      </w:tr>
      <w:tr w:rsidR="00332CC2" w:rsidTr="00A90B31" w14:paraId="48C7C28F" w14:textId="76FF338B">
        <w:tc>
          <w:tcPr>
            <w:tcW w:w="3097" w:type="dxa"/>
          </w:tcPr>
          <w:p w:rsidR="00332CC2" w:rsidP="00E26F75" w:rsidRDefault="00332CC2" w14:paraId="1C811BFA" w14:textId="77777777">
            <w:pPr>
              <w:pStyle w:val="ListParagraph"/>
              <w:ind w:left="0"/>
              <w:rPr>
                <w:b/>
                <w:bCs/>
                <w:color w:val="000000"/>
              </w:rPr>
            </w:pPr>
            <w:r>
              <w:rPr>
                <w:b/>
                <w:bCs/>
                <w:color w:val="000000"/>
              </w:rPr>
              <w:t>Total</w:t>
            </w:r>
          </w:p>
        </w:tc>
        <w:tc>
          <w:tcPr>
            <w:tcW w:w="2514" w:type="dxa"/>
          </w:tcPr>
          <w:p w:rsidR="00332CC2" w:rsidP="00E26F75" w:rsidRDefault="00332CC2" w14:paraId="201B1146" w14:textId="77777777">
            <w:pPr>
              <w:pStyle w:val="ListParagraph"/>
              <w:ind w:left="0"/>
              <w:rPr>
                <w:b/>
                <w:bCs/>
                <w:color w:val="000000"/>
              </w:rPr>
            </w:pPr>
          </w:p>
        </w:tc>
        <w:tc>
          <w:tcPr>
            <w:tcW w:w="2327" w:type="dxa"/>
          </w:tcPr>
          <w:p w:rsidR="00332CC2" w:rsidP="00144D8B" w:rsidRDefault="00B568FE" w14:paraId="497280E6" w14:textId="4C36E8FD">
            <w:pPr>
              <w:pStyle w:val="ListParagraph"/>
              <w:ind w:left="0"/>
              <w:jc w:val="right"/>
              <w:rPr>
                <w:b/>
                <w:bCs/>
                <w:color w:val="000000"/>
              </w:rPr>
            </w:pPr>
            <w:r>
              <w:rPr>
                <w:b/>
                <w:bCs/>
                <w:color w:val="000000"/>
              </w:rPr>
              <w:t>$4,313</w:t>
            </w:r>
          </w:p>
        </w:tc>
      </w:tr>
    </w:tbl>
    <w:p w:rsidR="00066A64" w:rsidP="00A90B31" w:rsidRDefault="00586560" w14:paraId="581D8C12" w14:textId="64C54250">
      <w:pPr>
        <w:ind w:left="1530"/>
      </w:pPr>
      <w:r w:rsidRPr="00586560">
        <w:t>* We have inserted a $0 amount for cost factors that do not apply to this collection.</w:t>
      </w:r>
    </w:p>
    <w:p w:rsidR="00FE2F3A" w:rsidP="00A90B31" w:rsidRDefault="00FE2F3A" w14:paraId="7E8DE355" w14:textId="767D8341">
      <w:pPr>
        <w:ind w:left="1530"/>
      </w:pPr>
    </w:p>
    <w:p w:rsidR="00FE2F3A" w:rsidP="00A90B31" w:rsidRDefault="00FE2F3A" w14:paraId="482151D1" w14:textId="175BC971">
      <w:pPr>
        <w:ind w:left="1530"/>
        <w:rPr>
          <w:color w:val="000000"/>
        </w:rPr>
      </w:pPr>
      <w:r>
        <w:rPr>
          <w:color w:val="000000"/>
        </w:rPr>
        <w:t>SSA is unable to break down the costs to the Federal government further than we already have. First, since we work with almost every US citizen, we often do bulk mailings, and cannot track the cost for a single mailing.  In addition, it is difficult for us to break down the cost for processing a single form, as field office staff often help respondents fill out several forms at once, and the time it takes to do so can vary greatly per respondent.  As well, because so many employees have a hand in each aspect of our forms, we use an estimated average hourly wage, based on the wage of our average claims representative (GS-11) for these calculations.  However, we have calculated these costs as accurately as possible based on the information we collect for creating, updating, and maintaining these information collections.</w:t>
      </w:r>
    </w:p>
    <w:p w:rsidRPr="00066A64" w:rsidR="00AE4CD1" w:rsidP="00066A64" w:rsidRDefault="00AE4CD1" w14:paraId="374BBC35" w14:textId="77777777">
      <w:pPr>
        <w:ind w:left="1260"/>
      </w:pPr>
    </w:p>
    <w:p w:rsidR="00066A64" w:rsidP="00706ABC" w:rsidRDefault="00A90B31" w14:paraId="0093610A" w14:textId="7B08DCA9">
      <w:pPr>
        <w:numPr>
          <w:ilvl w:val="1"/>
          <w:numId w:val="1"/>
        </w:numPr>
        <w:tabs>
          <w:tab w:val="clear" w:pos="1440"/>
          <w:tab w:val="num" w:pos="1530"/>
        </w:tabs>
        <w:ind w:left="1260"/>
      </w:pPr>
      <w:r>
        <w:rPr>
          <w:b/>
        </w:rPr>
        <w:t xml:space="preserve">   </w:t>
      </w:r>
      <w:r w:rsidR="00706ABC">
        <w:rPr>
          <w:b/>
        </w:rPr>
        <w:t xml:space="preserve">  </w:t>
      </w:r>
      <w:r w:rsidRPr="00066A64" w:rsidR="00AF4E27">
        <w:rPr>
          <w:b/>
        </w:rPr>
        <w:t>Program Changes o</w:t>
      </w:r>
      <w:r w:rsidR="00C3187C">
        <w:rPr>
          <w:b/>
        </w:rPr>
        <w:t>r</w:t>
      </w:r>
      <w:r w:rsidRPr="00066A64" w:rsidR="00AF4E27">
        <w:rPr>
          <w:b/>
        </w:rPr>
        <w:t xml:space="preserve"> Adjustments to the Information Collection Request</w:t>
      </w:r>
    </w:p>
    <w:p w:rsidR="00982E26" w:rsidP="00706ABC" w:rsidRDefault="00982E26" w14:paraId="7F0206E3" w14:textId="476C48F3">
      <w:pPr>
        <w:ind w:left="1530"/>
        <w:rPr>
          <w:iCs/>
        </w:rPr>
      </w:pPr>
      <w:r w:rsidRPr="00982E26">
        <w:rPr>
          <w:iCs/>
        </w:rPr>
        <w:t>When we last cleared this IC in 201</w:t>
      </w:r>
      <w:r>
        <w:rPr>
          <w:iCs/>
        </w:rPr>
        <w:t>9</w:t>
      </w:r>
      <w:r w:rsidRPr="00982E26">
        <w:rPr>
          <w:iCs/>
        </w:rPr>
        <w:t xml:space="preserve">, the burden was </w:t>
      </w:r>
      <w:r>
        <w:rPr>
          <w:iCs/>
        </w:rPr>
        <w:t>963</w:t>
      </w:r>
      <w:r w:rsidRPr="00982E26">
        <w:rPr>
          <w:iCs/>
        </w:rPr>
        <w:t xml:space="preserve"> hours.  However, we are currently reporting a burden of </w:t>
      </w:r>
      <w:r>
        <w:rPr>
          <w:iCs/>
        </w:rPr>
        <w:t>26</w:t>
      </w:r>
      <w:r w:rsidRPr="00982E26">
        <w:rPr>
          <w:iCs/>
        </w:rPr>
        <w:t xml:space="preserve"> hours.  This change stems a decrease</w:t>
      </w:r>
      <w:r w:rsidR="00C37F19">
        <w:rPr>
          <w:iCs/>
        </w:rPr>
        <w:t xml:space="preserve"> </w:t>
      </w:r>
      <w:r w:rsidRPr="00982E26">
        <w:rPr>
          <w:iCs/>
        </w:rPr>
        <w:t xml:space="preserve">increase in the number of responses from </w:t>
      </w:r>
      <w:r w:rsidR="00C37F19">
        <w:rPr>
          <w:iCs/>
        </w:rPr>
        <w:t xml:space="preserve">1,925 </w:t>
      </w:r>
      <w:r w:rsidRPr="00982E26">
        <w:rPr>
          <w:iCs/>
        </w:rPr>
        <w:t xml:space="preserve">to </w:t>
      </w:r>
      <w:r w:rsidR="00C37F19">
        <w:rPr>
          <w:iCs/>
        </w:rPr>
        <w:t xml:space="preserve">963.  This decrease stems from fewer respondents completing Form SSA-765.  </w:t>
      </w:r>
      <w:r w:rsidRPr="00982E26">
        <w:rPr>
          <w:iCs/>
        </w:rPr>
        <w:t>There is no change to the burden time per response.  Although the number of responses changed, SSA did not take any actions to cause this change.  These figures represent current Management Information data.</w:t>
      </w:r>
    </w:p>
    <w:p w:rsidR="007C681B" w:rsidP="00706ABC" w:rsidRDefault="007C681B" w14:paraId="20377BC7" w14:textId="77777777">
      <w:pPr>
        <w:ind w:left="1530"/>
        <w:rPr>
          <w:iCs/>
        </w:rPr>
      </w:pPr>
    </w:p>
    <w:p w:rsidR="00081BA5" w:rsidP="00081BA5" w:rsidRDefault="00081BA5" w14:paraId="5CEE366D" w14:textId="35FA6E2E">
      <w:pPr>
        <w:ind w:left="1530"/>
        <w:rPr>
          <w:snapToGrid w:val="0"/>
          <w:color w:val="000000"/>
        </w:rPr>
      </w:pPr>
      <w:r>
        <w:rPr>
          <w:snapToGrid w:val="0"/>
          <w:color w:val="000000"/>
        </w:rPr>
        <w:t xml:space="preserve">* </w:t>
      </w:r>
      <w:r>
        <w:rPr>
          <w:b/>
          <w:bCs/>
          <w:snapToGrid w:val="0"/>
          <w:color w:val="000000"/>
        </w:rPr>
        <w:t>Note:</w:t>
      </w:r>
      <w:r>
        <w:rPr>
          <w:snapToGrid w:val="0"/>
          <w:color w:val="000000"/>
        </w:rPr>
        <w:t xml:space="preserve">  The total burden reflected in </w:t>
      </w:r>
      <w:r>
        <w:rPr>
          <w:snapToGrid w:val="0"/>
        </w:rPr>
        <w:t xml:space="preserve">ROCIS is </w:t>
      </w:r>
      <w:r w:rsidR="00A40296">
        <w:rPr>
          <w:snapToGrid w:val="0"/>
        </w:rPr>
        <w:t>2,695</w:t>
      </w:r>
      <w:r>
        <w:rPr>
          <w:snapToGrid w:val="0"/>
        </w:rPr>
        <w:t>, while the burden cited in #12 above is 26.</w:t>
      </w:r>
      <w:r w:rsidR="0024416D">
        <w:rPr>
          <w:snapToGrid w:val="0"/>
        </w:rPr>
        <w:t xml:space="preserve">  </w:t>
      </w:r>
      <w:r>
        <w:rPr>
          <w:snapToGrid w:val="0"/>
        </w:rPr>
        <w:t>This discrepancy is because the ROCIS burden reflects the following components:</w:t>
      </w:r>
      <w:r w:rsidR="0024416D">
        <w:rPr>
          <w:snapToGrid w:val="0"/>
          <w:color w:val="FF0000"/>
        </w:rPr>
        <w:t xml:space="preserve">  </w:t>
      </w:r>
      <w:r>
        <w:rPr>
          <w:snapToGrid w:val="0"/>
        </w:rPr>
        <w:t>field office waiting time</w:t>
      </w:r>
      <w:r w:rsidR="0024416D">
        <w:rPr>
          <w:snapToGrid w:val="0"/>
        </w:rPr>
        <w:t xml:space="preserve"> + </w:t>
      </w:r>
      <w:r>
        <w:rPr>
          <w:snapToGrid w:val="0"/>
        </w:rPr>
        <w:t xml:space="preserve">a </w:t>
      </w:r>
      <w:r>
        <w:rPr>
          <w:snapToGrid w:val="0"/>
          <w:color w:val="000000"/>
        </w:rPr>
        <w:t xml:space="preserve">rough estimate of a </w:t>
      </w:r>
    </w:p>
    <w:p w:rsidR="00081BA5" w:rsidP="00081BA5" w:rsidRDefault="00081BA5" w14:paraId="0CEEE5D8" w14:textId="1125AD73">
      <w:pPr>
        <w:ind w:left="1530"/>
        <w:rPr>
          <w:color w:val="FF0000"/>
        </w:rPr>
      </w:pPr>
      <w:r>
        <w:rPr>
          <w:snapToGrid w:val="0"/>
          <w:color w:val="000000"/>
        </w:rPr>
        <w:t xml:space="preserve">30-minute, one-way, drive burden.  </w:t>
      </w:r>
      <w:r>
        <w:rPr>
          <w:snapToGrid w:val="0"/>
        </w:rPr>
        <w:t xml:space="preserve">In contrast, the </w:t>
      </w:r>
      <w:r>
        <w:rPr>
          <w:snapToGrid w:val="0"/>
          <w:color w:val="000000"/>
        </w:rPr>
        <w:t xml:space="preserve">chart in #12 </w:t>
      </w:r>
      <w:r>
        <w:rPr>
          <w:snapToGrid w:val="0"/>
        </w:rPr>
        <w:t>above reflects actual burden.</w:t>
      </w:r>
    </w:p>
    <w:p w:rsidR="00066A64" w:rsidP="00066A64" w:rsidRDefault="00066A64" w14:paraId="2C0B94C0" w14:textId="77777777">
      <w:pPr>
        <w:ind w:left="1260"/>
      </w:pPr>
    </w:p>
    <w:p w:rsidRPr="00066A64" w:rsidR="00066A64" w:rsidP="00066A64" w:rsidRDefault="00A90B31" w14:paraId="53566520" w14:textId="7C8DD52B">
      <w:pPr>
        <w:numPr>
          <w:ilvl w:val="1"/>
          <w:numId w:val="1"/>
        </w:numPr>
        <w:tabs>
          <w:tab w:val="clear" w:pos="1440"/>
          <w:tab w:val="num" w:pos="1530"/>
        </w:tabs>
        <w:ind w:left="1260"/>
      </w:pPr>
      <w:r>
        <w:rPr>
          <w:b/>
        </w:rPr>
        <w:t xml:space="preserve">    </w:t>
      </w:r>
      <w:r w:rsidRPr="00066A64" w:rsidR="00AF4E27">
        <w:rPr>
          <w:b/>
        </w:rPr>
        <w:t>Plans for Publication Information Collection Results</w:t>
      </w:r>
    </w:p>
    <w:p w:rsidR="00066A64" w:rsidP="00A90B31" w:rsidRDefault="00F159F9" w14:paraId="347256E1" w14:textId="77777777">
      <w:pPr>
        <w:ind w:left="1530"/>
      </w:pPr>
      <w:r>
        <w:t>SSA will not publish the results of this information collection.</w:t>
      </w:r>
    </w:p>
    <w:p w:rsidRPr="00066A64" w:rsidR="00066A64" w:rsidP="00066A64" w:rsidRDefault="00066A64" w14:paraId="217BB43B" w14:textId="77777777">
      <w:pPr>
        <w:ind w:left="1260"/>
      </w:pPr>
    </w:p>
    <w:p w:rsidR="00066A64" w:rsidP="00A90B31" w:rsidRDefault="00A90B31" w14:paraId="21BE01A5" w14:textId="348F661F">
      <w:pPr>
        <w:numPr>
          <w:ilvl w:val="1"/>
          <w:numId w:val="1"/>
        </w:numPr>
        <w:tabs>
          <w:tab w:val="clear" w:pos="1440"/>
          <w:tab w:val="left" w:pos="1530"/>
        </w:tabs>
        <w:ind w:left="1260"/>
      </w:pPr>
      <w:r>
        <w:rPr>
          <w:b/>
        </w:rPr>
        <w:t xml:space="preserve">    </w:t>
      </w:r>
      <w:r w:rsidRPr="00066A64" w:rsidR="00AF4E27">
        <w:rPr>
          <w:b/>
        </w:rPr>
        <w:t>Displaying the OMB Approval Expiration Date</w:t>
      </w:r>
    </w:p>
    <w:p w:rsidR="00066A64" w:rsidP="007C681B" w:rsidRDefault="0002727B" w14:paraId="1151D1FD" w14:textId="6D922EFE">
      <w:pPr>
        <w:tabs>
          <w:tab w:val="left" w:pos="1530"/>
        </w:tabs>
        <w:ind w:left="1530"/>
      </w:pPr>
      <w:r>
        <w:lastRenderedPageBreak/>
        <w:t>For the paper F</w:t>
      </w:r>
      <w:r w:rsidR="00EE47A0">
        <w:t xml:space="preserve">orm SSA-765, we will not publish the OMB approval expiration date.  </w:t>
      </w:r>
      <w:r w:rsidRPr="00DA7E29" w:rsidR="00C3187C">
        <w:rPr>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00F159F9">
        <w:t>.</w:t>
      </w:r>
    </w:p>
    <w:p w:rsidRPr="00066A64" w:rsidR="00066A64" w:rsidP="00A90B31" w:rsidRDefault="00066A64" w14:paraId="0AF18F7C" w14:textId="77777777">
      <w:pPr>
        <w:ind w:left="1530"/>
      </w:pPr>
    </w:p>
    <w:p w:rsidR="00066A64" w:rsidP="00A90B31" w:rsidRDefault="00A90B31" w14:paraId="701A40D7" w14:textId="786B16A8">
      <w:pPr>
        <w:numPr>
          <w:ilvl w:val="1"/>
          <w:numId w:val="1"/>
        </w:numPr>
        <w:tabs>
          <w:tab w:val="clear" w:pos="1440"/>
          <w:tab w:val="num" w:pos="1530"/>
        </w:tabs>
        <w:ind w:left="1260"/>
      </w:pPr>
      <w:r>
        <w:rPr>
          <w:b/>
        </w:rPr>
        <w:t xml:space="preserve">     </w:t>
      </w:r>
      <w:r w:rsidRPr="00066A64" w:rsidR="00AF4E27">
        <w:rPr>
          <w:b/>
        </w:rPr>
        <w:t>Exception to Certification Statement</w:t>
      </w:r>
    </w:p>
    <w:p w:rsidR="001F5BD2" w:rsidP="00A90B31" w:rsidRDefault="00C3187C" w14:paraId="162BC402" w14:textId="77777777">
      <w:pPr>
        <w:ind w:left="1530"/>
      </w:pPr>
      <w:r w:rsidRPr="00DA7E29">
        <w:t xml:space="preserve">SSA is not requesting an exception to the certification requirements at </w:t>
      </w:r>
    </w:p>
    <w:p w:rsidR="00904E70" w:rsidP="00A90B31" w:rsidRDefault="00C3187C" w14:paraId="3A366C2C" w14:textId="7148EFFD">
      <w:pPr>
        <w:ind w:left="1530"/>
      </w:pPr>
      <w:r w:rsidRPr="00C3187C">
        <w:rPr>
          <w:i/>
        </w:rPr>
        <w:t>5 CFR 1320.9</w:t>
      </w:r>
      <w:r w:rsidRPr="00DA7E29">
        <w:t xml:space="preserve"> and related provisions at </w:t>
      </w:r>
      <w:r w:rsidRPr="00C3187C">
        <w:rPr>
          <w:i/>
        </w:rPr>
        <w:t>5 CFR 1320.8(b)(3)</w:t>
      </w:r>
      <w:r w:rsidR="00F159F9">
        <w:t>.</w:t>
      </w:r>
    </w:p>
    <w:p w:rsidR="00904E70" w:rsidP="00904E70" w:rsidRDefault="00904E70" w14:paraId="54E09565" w14:textId="77777777"/>
    <w:p w:rsidR="00EC047A" w:rsidP="00EC047A" w:rsidRDefault="00EC047A" w14:paraId="3C53F630" w14:textId="15D7ECAC">
      <w:pPr>
        <w:numPr>
          <w:ilvl w:val="0"/>
          <w:numId w:val="1"/>
        </w:numPr>
      </w:pPr>
      <w:r w:rsidRPr="007B57CA">
        <w:rPr>
          <w:rFonts w:ascii="Times New (W1)" w:hAnsi="Times New (W1)"/>
          <w:b/>
          <w:u w:val="single"/>
        </w:rPr>
        <w:t>Collections of Information Employing Statistical Methods</w:t>
      </w:r>
      <w:r w:rsidRPr="007B57CA" w:rsidR="009C4729">
        <w:rPr>
          <w:rFonts w:ascii="Times New (W1)" w:hAnsi="Times New (W1)"/>
          <w:b/>
          <w:u w:val="single"/>
        </w:rPr>
        <w:t xml:space="preserve"> </w:t>
      </w:r>
    </w:p>
    <w:p w:rsidR="007B57CA" w:rsidP="00A90B31" w:rsidRDefault="007B57CA" w14:paraId="03A44F94" w14:textId="77777777">
      <w:pPr>
        <w:ind w:firstLine="1530"/>
      </w:pPr>
    </w:p>
    <w:p w:rsidR="009C4729" w:rsidP="00A90B31" w:rsidRDefault="00F159F9" w14:paraId="7C18569E" w14:textId="5CB4155C">
      <w:pPr>
        <w:ind w:firstLine="1530"/>
      </w:pPr>
      <w:r>
        <w:t xml:space="preserve">SSA does not use statistical methods for this information collection.  </w:t>
      </w:r>
      <w:r w:rsidR="009C4729">
        <w:t xml:space="preserve">   </w:t>
      </w:r>
    </w:p>
    <w:p w:rsidR="00904E70" w:rsidP="00904E70" w:rsidRDefault="00904E70" w14:paraId="4CBFDAAB" w14:textId="77777777"/>
    <w:sectPr w:rsidR="00904E70" w:rsidSect="000D20D6">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3E12B" w14:textId="77777777" w:rsidR="00D05C3D" w:rsidRDefault="00D05C3D">
      <w:r>
        <w:separator/>
      </w:r>
    </w:p>
  </w:endnote>
  <w:endnote w:type="continuationSeparator" w:id="0">
    <w:p w14:paraId="7E5A7C14" w14:textId="77777777" w:rsidR="00D05C3D" w:rsidRDefault="00D0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332FE" w14:textId="77777777" w:rsidR="00C8479E" w:rsidRDefault="00C8479E" w:rsidP="00976CCC">
    <w:pPr>
      <w:pStyle w:val="Footer"/>
      <w:jc w:val="right"/>
      <w:rPr>
        <w:sz w:val="20"/>
        <w:szCs w:val="20"/>
      </w:rPr>
    </w:pPr>
  </w:p>
  <w:p w14:paraId="2218189C" w14:textId="2D1CC529" w:rsidR="00C8479E" w:rsidRPr="00976CCC" w:rsidRDefault="00C8479E" w:rsidP="00976CCC">
    <w:pPr>
      <w:pStyle w:val="Footer"/>
      <w:jc w:val="center"/>
      <w:rPr>
        <w:sz w:val="20"/>
        <w:szCs w:val="20"/>
      </w:rPr>
    </w:pPr>
    <w:r w:rsidRPr="00976CCC">
      <w:rPr>
        <w:rStyle w:val="PageNumber"/>
        <w:sz w:val="20"/>
        <w:szCs w:val="20"/>
      </w:rPr>
      <w:fldChar w:fldCharType="begin"/>
    </w:r>
    <w:r w:rsidRPr="00976CCC">
      <w:rPr>
        <w:rStyle w:val="PageNumber"/>
        <w:sz w:val="20"/>
        <w:szCs w:val="20"/>
      </w:rPr>
      <w:instrText xml:space="preserve"> PAGE </w:instrText>
    </w:r>
    <w:r w:rsidRPr="00976CCC">
      <w:rPr>
        <w:rStyle w:val="PageNumber"/>
        <w:sz w:val="20"/>
        <w:szCs w:val="20"/>
      </w:rPr>
      <w:fldChar w:fldCharType="separate"/>
    </w:r>
    <w:r w:rsidR="00371517">
      <w:rPr>
        <w:rStyle w:val="PageNumber"/>
        <w:noProof/>
        <w:sz w:val="20"/>
        <w:szCs w:val="20"/>
      </w:rPr>
      <w:t>2</w:t>
    </w:r>
    <w:r w:rsidRPr="00976CCC">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1845E" w14:textId="77777777" w:rsidR="00D05C3D" w:rsidRDefault="00D05C3D">
      <w:r>
        <w:separator/>
      </w:r>
    </w:p>
  </w:footnote>
  <w:footnote w:type="continuationSeparator" w:id="0">
    <w:p w14:paraId="58F1A9AC" w14:textId="77777777" w:rsidR="00D05C3D" w:rsidRDefault="00D05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864E4"/>
    <w:multiLevelType w:val="hybridMultilevel"/>
    <w:tmpl w:val="C37625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547C8"/>
    <w:multiLevelType w:val="multilevel"/>
    <w:tmpl w:val="5C081D3C"/>
    <w:lvl w:ilvl="0">
      <w:start w:val="1"/>
      <w:numFmt w:val="upperLetter"/>
      <w:lvlText w:val="%1."/>
      <w:lvlJc w:val="left"/>
      <w:pPr>
        <w:tabs>
          <w:tab w:val="num" w:pos="885"/>
        </w:tabs>
        <w:ind w:left="885" w:hanging="525"/>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E2101F3"/>
    <w:multiLevelType w:val="hybridMultilevel"/>
    <w:tmpl w:val="6FC0A3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04FEB"/>
    <w:multiLevelType w:val="hybridMultilevel"/>
    <w:tmpl w:val="514C6B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F41DC"/>
    <w:multiLevelType w:val="hybridMultilevel"/>
    <w:tmpl w:val="F8CA19C8"/>
    <w:lvl w:ilvl="0" w:tplc="2F6CB5A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6E35FE"/>
    <w:multiLevelType w:val="hybridMultilevel"/>
    <w:tmpl w:val="9E7EE984"/>
    <w:lvl w:ilvl="0" w:tplc="38F8D876">
      <w:start w:val="9"/>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D3A08D0"/>
    <w:multiLevelType w:val="hybridMultilevel"/>
    <w:tmpl w:val="0568B758"/>
    <w:lvl w:ilvl="0" w:tplc="C1789BFE">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B0F90"/>
    <w:multiLevelType w:val="hybridMultilevel"/>
    <w:tmpl w:val="4462C460"/>
    <w:lvl w:ilvl="0" w:tplc="ACD28FAA">
      <w:start w:val="1"/>
      <w:numFmt w:val="upperLetter"/>
      <w:lvlText w:val="%1."/>
      <w:lvlJc w:val="left"/>
      <w:pPr>
        <w:tabs>
          <w:tab w:val="num" w:pos="885"/>
        </w:tabs>
        <w:ind w:left="885" w:hanging="525"/>
      </w:pPr>
      <w:rPr>
        <w:rFonts w:hint="default"/>
        <w:b/>
      </w:rPr>
    </w:lvl>
    <w:lvl w:ilvl="1" w:tplc="0BAAC71E">
      <w:start w:val="1"/>
      <w:numFmt w:val="decimal"/>
      <w:lvlText w:val="%2."/>
      <w:lvlJc w:val="left"/>
      <w:pPr>
        <w:tabs>
          <w:tab w:val="num" w:pos="1440"/>
        </w:tabs>
        <w:ind w:left="1440" w:hanging="360"/>
      </w:pPr>
      <w:rPr>
        <w:rFonts w:hint="default"/>
        <w:b w:val="0"/>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EB0734"/>
    <w:multiLevelType w:val="hybridMultilevel"/>
    <w:tmpl w:val="8B48B94E"/>
    <w:lvl w:ilvl="0" w:tplc="82EE662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7F4874"/>
    <w:multiLevelType w:val="hybridMultilevel"/>
    <w:tmpl w:val="80108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4F03F4"/>
    <w:multiLevelType w:val="hybridMultilevel"/>
    <w:tmpl w:val="3F307540"/>
    <w:lvl w:ilvl="0" w:tplc="26B0A37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3"/>
  </w:num>
  <w:num w:numId="6">
    <w:abstractNumId w:val="10"/>
  </w:num>
  <w:num w:numId="7">
    <w:abstractNumId w:val="2"/>
  </w:num>
  <w:num w:numId="8">
    <w:abstractNumId w:val="6"/>
  </w:num>
  <w:num w:numId="9">
    <w:abstractNumId w:val="4"/>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DF"/>
    <w:rsid w:val="00023E13"/>
    <w:rsid w:val="0002727B"/>
    <w:rsid w:val="000428C3"/>
    <w:rsid w:val="00066A64"/>
    <w:rsid w:val="00081BA5"/>
    <w:rsid w:val="000A18B1"/>
    <w:rsid w:val="000C4692"/>
    <w:rsid w:val="000D20D6"/>
    <w:rsid w:val="000D4271"/>
    <w:rsid w:val="000E24DB"/>
    <w:rsid w:val="00144D8B"/>
    <w:rsid w:val="00156FFB"/>
    <w:rsid w:val="00165AB3"/>
    <w:rsid w:val="001808FC"/>
    <w:rsid w:val="00190493"/>
    <w:rsid w:val="001D3354"/>
    <w:rsid w:val="001D395D"/>
    <w:rsid w:val="001D50C6"/>
    <w:rsid w:val="001E3BF3"/>
    <w:rsid w:val="001E5BD6"/>
    <w:rsid w:val="001F285A"/>
    <w:rsid w:val="001F36F9"/>
    <w:rsid w:val="001F5BD2"/>
    <w:rsid w:val="0020233F"/>
    <w:rsid w:val="00205A11"/>
    <w:rsid w:val="002106B0"/>
    <w:rsid w:val="00222D0D"/>
    <w:rsid w:val="002364B0"/>
    <w:rsid w:val="0024416D"/>
    <w:rsid w:val="002509D2"/>
    <w:rsid w:val="00263CBF"/>
    <w:rsid w:val="00282F87"/>
    <w:rsid w:val="002A74D6"/>
    <w:rsid w:val="002E6DFB"/>
    <w:rsid w:val="00302DC8"/>
    <w:rsid w:val="00320AD0"/>
    <w:rsid w:val="00332CC2"/>
    <w:rsid w:val="00345E1A"/>
    <w:rsid w:val="00357B57"/>
    <w:rsid w:val="00371517"/>
    <w:rsid w:val="0037197C"/>
    <w:rsid w:val="003813F9"/>
    <w:rsid w:val="003B111F"/>
    <w:rsid w:val="003B2223"/>
    <w:rsid w:val="003D4173"/>
    <w:rsid w:val="003E7633"/>
    <w:rsid w:val="003F4188"/>
    <w:rsid w:val="00401648"/>
    <w:rsid w:val="004255DF"/>
    <w:rsid w:val="0043530C"/>
    <w:rsid w:val="00454611"/>
    <w:rsid w:val="0045561B"/>
    <w:rsid w:val="00460298"/>
    <w:rsid w:val="00462063"/>
    <w:rsid w:val="00474A46"/>
    <w:rsid w:val="004A2A00"/>
    <w:rsid w:val="004D0001"/>
    <w:rsid w:val="004D7F0F"/>
    <w:rsid w:val="004E4BA2"/>
    <w:rsid w:val="004E669F"/>
    <w:rsid w:val="00513F8B"/>
    <w:rsid w:val="00533CAD"/>
    <w:rsid w:val="00543BC3"/>
    <w:rsid w:val="00553D35"/>
    <w:rsid w:val="005540D2"/>
    <w:rsid w:val="0056523F"/>
    <w:rsid w:val="00586560"/>
    <w:rsid w:val="00587DB7"/>
    <w:rsid w:val="005A1CA6"/>
    <w:rsid w:val="005B073C"/>
    <w:rsid w:val="005C2EEC"/>
    <w:rsid w:val="005C651D"/>
    <w:rsid w:val="005E1088"/>
    <w:rsid w:val="005F36DA"/>
    <w:rsid w:val="005F4773"/>
    <w:rsid w:val="006007AF"/>
    <w:rsid w:val="00611F42"/>
    <w:rsid w:val="006122D6"/>
    <w:rsid w:val="00626A71"/>
    <w:rsid w:val="0063495E"/>
    <w:rsid w:val="00637744"/>
    <w:rsid w:val="006413D5"/>
    <w:rsid w:val="00644BDB"/>
    <w:rsid w:val="00652B09"/>
    <w:rsid w:val="006A03C7"/>
    <w:rsid w:val="006A4DF1"/>
    <w:rsid w:val="006B34B2"/>
    <w:rsid w:val="006B5D9A"/>
    <w:rsid w:val="006D2362"/>
    <w:rsid w:val="00706ABC"/>
    <w:rsid w:val="00716AF1"/>
    <w:rsid w:val="00726DC4"/>
    <w:rsid w:val="00727E99"/>
    <w:rsid w:val="0074161D"/>
    <w:rsid w:val="00757931"/>
    <w:rsid w:val="007B57CA"/>
    <w:rsid w:val="007C36BD"/>
    <w:rsid w:val="007C681B"/>
    <w:rsid w:val="007E17C4"/>
    <w:rsid w:val="00812971"/>
    <w:rsid w:val="00823FC0"/>
    <w:rsid w:val="00847C98"/>
    <w:rsid w:val="00866A1C"/>
    <w:rsid w:val="0087338B"/>
    <w:rsid w:val="00874551"/>
    <w:rsid w:val="008C7F84"/>
    <w:rsid w:val="008D70CD"/>
    <w:rsid w:val="008E1B88"/>
    <w:rsid w:val="008E3BAF"/>
    <w:rsid w:val="008E3F61"/>
    <w:rsid w:val="00904E70"/>
    <w:rsid w:val="00906D2A"/>
    <w:rsid w:val="00911DBD"/>
    <w:rsid w:val="00976CCC"/>
    <w:rsid w:val="00982E26"/>
    <w:rsid w:val="009937A0"/>
    <w:rsid w:val="009944FD"/>
    <w:rsid w:val="009957E0"/>
    <w:rsid w:val="009A3376"/>
    <w:rsid w:val="009B2249"/>
    <w:rsid w:val="009B3F2E"/>
    <w:rsid w:val="009C4729"/>
    <w:rsid w:val="009C4A45"/>
    <w:rsid w:val="009D1EE7"/>
    <w:rsid w:val="009D77C4"/>
    <w:rsid w:val="009F2AA4"/>
    <w:rsid w:val="009F456E"/>
    <w:rsid w:val="009F5C12"/>
    <w:rsid w:val="00A16616"/>
    <w:rsid w:val="00A40296"/>
    <w:rsid w:val="00A46C78"/>
    <w:rsid w:val="00A46DB0"/>
    <w:rsid w:val="00A7633D"/>
    <w:rsid w:val="00A80927"/>
    <w:rsid w:val="00A90B31"/>
    <w:rsid w:val="00AA074B"/>
    <w:rsid w:val="00AA3DB2"/>
    <w:rsid w:val="00AB6EC4"/>
    <w:rsid w:val="00AC7430"/>
    <w:rsid w:val="00AE16A1"/>
    <w:rsid w:val="00AE4CD1"/>
    <w:rsid w:val="00AF37DE"/>
    <w:rsid w:val="00AF4E27"/>
    <w:rsid w:val="00B23AA1"/>
    <w:rsid w:val="00B55028"/>
    <w:rsid w:val="00B568FE"/>
    <w:rsid w:val="00B65CA4"/>
    <w:rsid w:val="00B81650"/>
    <w:rsid w:val="00B843A5"/>
    <w:rsid w:val="00B915AD"/>
    <w:rsid w:val="00B96635"/>
    <w:rsid w:val="00C3187C"/>
    <w:rsid w:val="00C37F19"/>
    <w:rsid w:val="00C439D9"/>
    <w:rsid w:val="00C56F68"/>
    <w:rsid w:val="00C62DF8"/>
    <w:rsid w:val="00C70E63"/>
    <w:rsid w:val="00C777D3"/>
    <w:rsid w:val="00C7787E"/>
    <w:rsid w:val="00C8479E"/>
    <w:rsid w:val="00C94616"/>
    <w:rsid w:val="00CA618C"/>
    <w:rsid w:val="00CD5360"/>
    <w:rsid w:val="00CE032F"/>
    <w:rsid w:val="00CE468D"/>
    <w:rsid w:val="00D01BEE"/>
    <w:rsid w:val="00D05C3D"/>
    <w:rsid w:val="00D22E68"/>
    <w:rsid w:val="00D43044"/>
    <w:rsid w:val="00D61F73"/>
    <w:rsid w:val="00D7032E"/>
    <w:rsid w:val="00D73591"/>
    <w:rsid w:val="00D74521"/>
    <w:rsid w:val="00D97530"/>
    <w:rsid w:val="00DA22E6"/>
    <w:rsid w:val="00DA23F8"/>
    <w:rsid w:val="00DB45B6"/>
    <w:rsid w:val="00DB58A8"/>
    <w:rsid w:val="00DE3FAA"/>
    <w:rsid w:val="00E04A0B"/>
    <w:rsid w:val="00E155F6"/>
    <w:rsid w:val="00E168F7"/>
    <w:rsid w:val="00E46501"/>
    <w:rsid w:val="00E570A7"/>
    <w:rsid w:val="00E57C46"/>
    <w:rsid w:val="00E721B8"/>
    <w:rsid w:val="00E9714F"/>
    <w:rsid w:val="00EA45FE"/>
    <w:rsid w:val="00EB2C89"/>
    <w:rsid w:val="00EB6E53"/>
    <w:rsid w:val="00EC047A"/>
    <w:rsid w:val="00EC62EB"/>
    <w:rsid w:val="00ED281E"/>
    <w:rsid w:val="00EE47A0"/>
    <w:rsid w:val="00F159F9"/>
    <w:rsid w:val="00F40343"/>
    <w:rsid w:val="00F80673"/>
    <w:rsid w:val="00F866C9"/>
    <w:rsid w:val="00FA1161"/>
    <w:rsid w:val="00FA33CC"/>
    <w:rsid w:val="00FA398E"/>
    <w:rsid w:val="00FC3989"/>
    <w:rsid w:val="00FE023C"/>
    <w:rsid w:val="00FE2F3A"/>
    <w:rsid w:val="00FE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2987E"/>
  <w15:docId w15:val="{CD2CBB57-ADBD-4667-83AB-3DF3DF42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7">
    <w:name w:val="heading 7"/>
    <w:basedOn w:val="Normal"/>
    <w:next w:val="Normal"/>
    <w:link w:val="Heading7Char"/>
    <w:qFormat/>
    <w:rsid w:val="005C651D"/>
    <w:pPr>
      <w:keepNext/>
      <w:widowControl w:val="0"/>
      <w:snapToGrid w:val="0"/>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59F9"/>
    <w:pPr>
      <w:tabs>
        <w:tab w:val="center" w:pos="4320"/>
        <w:tab w:val="right" w:pos="8640"/>
      </w:tabs>
    </w:pPr>
  </w:style>
  <w:style w:type="paragraph" w:styleId="Footer">
    <w:name w:val="footer"/>
    <w:basedOn w:val="Normal"/>
    <w:rsid w:val="00F159F9"/>
    <w:pPr>
      <w:tabs>
        <w:tab w:val="center" w:pos="4320"/>
        <w:tab w:val="right" w:pos="8640"/>
      </w:tabs>
    </w:pPr>
  </w:style>
  <w:style w:type="character" w:styleId="PageNumber">
    <w:name w:val="page number"/>
    <w:basedOn w:val="DefaultParagraphFont"/>
    <w:rsid w:val="00976CCC"/>
  </w:style>
  <w:style w:type="paragraph" w:styleId="BalloonText">
    <w:name w:val="Balloon Text"/>
    <w:basedOn w:val="Normal"/>
    <w:link w:val="BalloonTextChar"/>
    <w:rsid w:val="00B65CA4"/>
    <w:rPr>
      <w:rFonts w:ascii="Tahoma" w:hAnsi="Tahoma" w:cs="Tahoma"/>
      <w:sz w:val="16"/>
      <w:szCs w:val="16"/>
    </w:rPr>
  </w:style>
  <w:style w:type="character" w:customStyle="1" w:styleId="BalloonTextChar">
    <w:name w:val="Balloon Text Char"/>
    <w:link w:val="BalloonText"/>
    <w:rsid w:val="00B65CA4"/>
    <w:rPr>
      <w:rFonts w:ascii="Tahoma" w:hAnsi="Tahoma" w:cs="Tahoma"/>
      <w:sz w:val="16"/>
      <w:szCs w:val="16"/>
    </w:rPr>
  </w:style>
  <w:style w:type="paragraph" w:styleId="ListParagraph">
    <w:name w:val="List Paragraph"/>
    <w:basedOn w:val="Normal"/>
    <w:uiPriority w:val="34"/>
    <w:qFormat/>
    <w:rsid w:val="009C4A45"/>
    <w:pPr>
      <w:ind w:left="720"/>
    </w:pPr>
  </w:style>
  <w:style w:type="character" w:styleId="CommentReference">
    <w:name w:val="annotation reference"/>
    <w:basedOn w:val="DefaultParagraphFont"/>
    <w:semiHidden/>
    <w:unhideWhenUsed/>
    <w:rsid w:val="00C70E63"/>
    <w:rPr>
      <w:sz w:val="16"/>
      <w:szCs w:val="16"/>
    </w:rPr>
  </w:style>
  <w:style w:type="paragraph" w:styleId="CommentText">
    <w:name w:val="annotation text"/>
    <w:basedOn w:val="Normal"/>
    <w:link w:val="CommentTextChar"/>
    <w:semiHidden/>
    <w:unhideWhenUsed/>
    <w:rsid w:val="00C70E63"/>
    <w:rPr>
      <w:sz w:val="20"/>
      <w:szCs w:val="20"/>
    </w:rPr>
  </w:style>
  <w:style w:type="character" w:customStyle="1" w:styleId="CommentTextChar">
    <w:name w:val="Comment Text Char"/>
    <w:basedOn w:val="DefaultParagraphFont"/>
    <w:link w:val="CommentText"/>
    <w:semiHidden/>
    <w:rsid w:val="00C70E63"/>
  </w:style>
  <w:style w:type="paragraph" w:styleId="CommentSubject">
    <w:name w:val="annotation subject"/>
    <w:basedOn w:val="CommentText"/>
    <w:next w:val="CommentText"/>
    <w:link w:val="CommentSubjectChar"/>
    <w:semiHidden/>
    <w:unhideWhenUsed/>
    <w:rsid w:val="00C70E63"/>
    <w:rPr>
      <w:b/>
      <w:bCs/>
    </w:rPr>
  </w:style>
  <w:style w:type="character" w:customStyle="1" w:styleId="CommentSubjectChar">
    <w:name w:val="Comment Subject Char"/>
    <w:basedOn w:val="CommentTextChar"/>
    <w:link w:val="CommentSubject"/>
    <w:semiHidden/>
    <w:rsid w:val="00C70E63"/>
    <w:rPr>
      <w:b/>
      <w:bCs/>
    </w:rPr>
  </w:style>
  <w:style w:type="table" w:styleId="TableGrid">
    <w:name w:val="Table Grid"/>
    <w:basedOn w:val="TableNormal"/>
    <w:uiPriority w:val="39"/>
    <w:rsid w:val="004A2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5C651D"/>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839316">
      <w:bodyDiv w:val="1"/>
      <w:marLeft w:val="0"/>
      <w:marRight w:val="0"/>
      <w:marTop w:val="0"/>
      <w:marBottom w:val="0"/>
      <w:divBdr>
        <w:top w:val="none" w:sz="0" w:space="0" w:color="auto"/>
        <w:left w:val="none" w:sz="0" w:space="0" w:color="auto"/>
        <w:bottom w:val="none" w:sz="0" w:space="0" w:color="auto"/>
        <w:right w:val="none" w:sz="0" w:space="0" w:color="auto"/>
      </w:divBdr>
    </w:div>
    <w:div w:id="121111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sa.gov/legislation/2021FactShee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7D1E1-91BF-4771-B0DC-DFD657F1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1991</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Supporting Statement for Form SSA-765</vt:lpstr>
    </vt:vector>
  </TitlesOfParts>
  <Company>Social Security Administration</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SSA-765</dc:title>
  <dc:creator>030060</dc:creator>
  <cp:lastModifiedBy>OLCA/ORRC Comment</cp:lastModifiedBy>
  <cp:revision>2</cp:revision>
  <cp:lastPrinted>2012-12-28T11:12:00Z</cp:lastPrinted>
  <dcterms:created xsi:type="dcterms:W3CDTF">2022-02-25T17:03:00Z</dcterms:created>
  <dcterms:modified xsi:type="dcterms:W3CDTF">2022-02-25T17:03:00Z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-484407456</vt:i4>
  </property>
  <property fmtid="{D5CDD505-2E9C-101B-9397-08002B2CF9AE}" pid="4" name="_EmailSubject">
    <vt:lpwstr>OMB Expiration Notice: 0960-0347 (SSA-765)</vt:lpwstr>
  </property>
  <property fmtid="{D5CDD505-2E9C-101B-9397-08002B2CF9AE}" pid="5" name="_AuthorEmail">
    <vt:lpwstr>Kevin.Parmer@ssa.gov</vt:lpwstr>
  </property>
  <property fmtid="{D5CDD505-2E9C-101B-9397-08002B2CF9AE}" pid="6" name="_AuthorEmailDisplayName">
    <vt:lpwstr>Parmer, Kevin</vt:lpwstr>
  </property>
  <property fmtid="{D5CDD505-2E9C-101B-9397-08002B2CF9AE}" pid="7" name="_PreviousAdHocReviewCycleID">
    <vt:i4>-674559522</vt:i4>
  </property>
  <property fmtid="{D5CDD505-2E9C-101B-9397-08002B2CF9AE}" pid="8" name="_ReviewingToolsShownOnce">
    <vt:lpwstr/>
  </property>
</Properties>
</file>