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D6DDE" w:rsidP="00BD6DDE" w14:paraId="5D709358" w14:textId="52194C08">
      <w:pPr>
        <w:pStyle w:val="Heading1"/>
      </w:pPr>
      <w:r>
        <w:t xml:space="preserve">Appendix </w:t>
      </w:r>
      <w:r w:rsidR="000403AF">
        <w:t>B</w:t>
      </w:r>
      <w:r>
        <w:t xml:space="preserve"> </w:t>
      </w:r>
      <w:r>
        <w:t>References</w:t>
      </w:r>
    </w:p>
    <w:p w:rsidR="009F0E73" w:rsidP="009F0E73" w14:paraId="1382EBB4" w14:textId="77777777"/>
    <w:p w:rsidR="003071BB" w:rsidRPr="00873644" w:rsidP="00873644" w14:paraId="47C8987F" w14:textId="40CDBCAB">
      <w:pPr>
        <w:pStyle w:val="Heading1"/>
        <w:shd w:val="clear" w:color="auto" w:fill="FFFFFF"/>
        <w:spacing w:before="0"/>
        <w:ind w:left="720" w:hanging="720"/>
        <w:rPr>
          <w:rStyle w:val="normaltextrun"/>
          <w:rFonts w:cstheme="minorHAnsi"/>
          <w:color w:val="333333"/>
        </w:rPr>
      </w:pPr>
      <w:bookmarkStart w:id="0" w:name="OLE_LINK4"/>
      <w:r w:rsidRPr="009F1032">
        <w:rPr>
          <w:rStyle w:val="normaltextrun"/>
          <w:rFonts w:asciiTheme="minorHAnsi" w:eastAsiaTheme="minorHAnsi" w:hAnsiTheme="minorHAnsi" w:cstheme="minorBidi"/>
          <w:color w:val="auto"/>
          <w:sz w:val="22"/>
          <w:szCs w:val="22"/>
        </w:rPr>
        <w:t>Dillman</w:t>
      </w:r>
      <w:bookmarkEnd w:id="0"/>
      <w:r w:rsidRPr="009F1032">
        <w:rPr>
          <w:rStyle w:val="normaltextrun"/>
          <w:rFonts w:asciiTheme="minorHAnsi" w:eastAsiaTheme="minorHAnsi" w:hAnsiTheme="minorHAnsi" w:cstheme="minorBidi"/>
          <w:color w:val="auto"/>
          <w:sz w:val="22"/>
          <w:szCs w:val="22"/>
        </w:rPr>
        <w:t xml:space="preserve">, D. A., Smyth, J. D., &amp; Christian, L. M. (2014). </w:t>
      </w:r>
      <w:r w:rsidRPr="009F1032" w:rsidR="009F1032">
        <w:rPr>
          <w:rFonts w:asciiTheme="minorHAnsi" w:hAnsiTheme="minorHAnsi" w:cstheme="minorHAnsi"/>
          <w:i/>
          <w:iCs/>
          <w:color w:val="333333"/>
          <w:sz w:val="22"/>
          <w:szCs w:val="22"/>
        </w:rPr>
        <w:t>In</w:t>
      </w:r>
      <w:r w:rsidRPr="009F1032">
        <w:rPr>
          <w:rFonts w:asciiTheme="minorHAnsi" w:hAnsiTheme="minorHAnsi" w:cstheme="minorHAnsi"/>
          <w:i/>
          <w:iCs/>
          <w:color w:val="333333"/>
          <w:sz w:val="22"/>
          <w:szCs w:val="22"/>
        </w:rPr>
        <w:t>ternet</w:t>
      </w:r>
      <w:r w:rsidRPr="00873644">
        <w:rPr>
          <w:rFonts w:asciiTheme="minorHAnsi" w:hAnsiTheme="minorHAnsi" w:cstheme="minorHAnsi"/>
          <w:i/>
          <w:iCs/>
          <w:color w:val="333333"/>
          <w:sz w:val="22"/>
          <w:szCs w:val="22"/>
        </w:rPr>
        <w:t>, Phone, Mail, and Mixed-Mode Surveys: The Tailored Design Method</w:t>
      </w:r>
      <w:r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. </w:t>
      </w:r>
      <w:r w:rsidRPr="00873644">
        <w:rPr>
          <w:rFonts w:asciiTheme="minorHAnsi" w:hAnsiTheme="minorHAnsi" w:cstheme="minorHAnsi"/>
          <w:color w:val="333333"/>
          <w:sz w:val="22"/>
          <w:szCs w:val="22"/>
        </w:rPr>
        <w:t>New York: Wiley.</w:t>
      </w:r>
    </w:p>
    <w:p w:rsidR="00EC5281" w:rsidRPr="00EC5281" w:rsidP="000403AF" w14:paraId="037C2A85" w14:textId="341C73B8">
      <w:pPr>
        <w:pStyle w:val="BodyText3"/>
        <w:spacing w:before="96" w:after="96"/>
        <w:ind w:left="720" w:hanging="720"/>
        <w:rPr>
          <w:rStyle w:val="normaltextrun"/>
          <w:rFonts w:asciiTheme="minorHAnsi" w:eastAsiaTheme="minorHAnsi" w:hAnsiTheme="minorHAnsi" w:cstheme="minorHAnsi"/>
          <w:color w:val="auto"/>
          <w:sz w:val="22"/>
          <w:szCs w:val="22"/>
        </w:rPr>
      </w:pPr>
      <w:bookmarkStart w:id="1" w:name="OLE_LINK6"/>
      <w:r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>Groves</w:t>
      </w:r>
      <w:bookmarkEnd w:id="1"/>
      <w:r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 xml:space="preserve">, R. M., Singer, E., Corning, A. (2000). </w:t>
      </w:r>
      <w:r w:rsidRPr="00873644"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>Leverage-Saliency Theory of Survey Participation: Description and an Illustration</w:t>
      </w:r>
      <w:r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>,</w:t>
      </w:r>
      <w:r w:rsidRPr="00EC5281">
        <w:rPr>
          <w:rStyle w:val="Heading1Char"/>
          <w:rFonts w:ascii="Source Sans Pro" w:hAnsi="Source Sans Pro"/>
          <w:color w:val="2A2A2A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873644">
        <w:rPr>
          <w:rStyle w:val="Emphasis"/>
          <w:rFonts w:asciiTheme="minorHAnsi" w:hAnsiTheme="minorHAnsi" w:cstheme="minorHAnsi"/>
          <w:color w:val="2A2A2A"/>
          <w:sz w:val="22"/>
          <w:szCs w:val="22"/>
          <w:bdr w:val="none" w:sz="0" w:space="0" w:color="auto" w:frame="1"/>
          <w:shd w:val="clear" w:color="auto" w:fill="FFFFFF"/>
        </w:rPr>
        <w:t>Public Opinion Quarterly</w:t>
      </w:r>
      <w:r w:rsidRPr="00873644"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>, Volume 64, Issue 3,</w:t>
      </w:r>
      <w:r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 xml:space="preserve"> November 2000, pages 299-308. Availab</w:t>
      </w:r>
      <w:r w:rsidRPr="000F4441">
        <w:rPr>
          <w:rFonts w:asciiTheme="minorHAnsi" w:hAnsiTheme="minorHAnsi" w:cstheme="minorHAnsi"/>
          <w:color w:val="2A2A2A"/>
          <w:sz w:val="22"/>
          <w:szCs w:val="22"/>
          <w:shd w:val="clear" w:color="auto" w:fill="FFFFFF"/>
        </w:rPr>
        <w:t xml:space="preserve">le at: </w:t>
      </w:r>
      <w:hyperlink r:id="rId7" w:history="1">
        <w:r w:rsidRPr="00873644" w:rsidR="000F4441">
          <w:rPr>
            <w:rStyle w:val="Hyperlink"/>
            <w:rFonts w:asciiTheme="minorHAnsi" w:hAnsiTheme="minorHAnsi" w:cstheme="minorHAnsi"/>
            <w:color w:val="006FB7"/>
            <w:sz w:val="22"/>
            <w:szCs w:val="22"/>
            <w:bdr w:val="none" w:sz="0" w:space="0" w:color="auto" w:frame="1"/>
            <w:shd w:val="clear" w:color="auto" w:fill="FFFFFF"/>
          </w:rPr>
          <w:t>https://doi.org/10.1086/317990</w:t>
        </w:r>
      </w:hyperlink>
    </w:p>
    <w:p w:rsidR="000403AF" w:rsidRPr="000C34D8" w:rsidP="000C34D8" w14:paraId="0D4395EA" w14:textId="063E0F8D">
      <w:pPr>
        <w:spacing w:line="240" w:lineRule="auto"/>
        <w:ind w:left="720" w:hanging="720"/>
        <w:rPr>
          <w:rFonts w:cstheme="minorHAnsi"/>
          <w:shd w:val="clear" w:color="auto" w:fill="FFFFFF"/>
        </w:rPr>
      </w:pPr>
      <w:bookmarkStart w:id="2" w:name="OLE_LINK8"/>
      <w:r>
        <w:t>Medway</w:t>
      </w:r>
      <w:bookmarkEnd w:id="2"/>
      <w:r>
        <w:t xml:space="preserve">, R., </w:t>
      </w:r>
      <w:r>
        <w:t>Megra</w:t>
      </w:r>
      <w:r>
        <w:t>, M., Jackson, M., Padgett, Z. and Battle, D. (2022). National Household Education Surveys Program of 2019: Methodological Experiments Report (NCES 2022-001). U.S. Department of Education. Washington, DC: National Center for Education Statistics. Retrieved [date] from https://nces.ed.gov/pubsearch/pubsinfo.asp?pubid=2022001.</w:t>
      </w:r>
      <w:r>
        <w:rPr>
          <w:rFonts w:cstheme="minorHAnsi"/>
          <w:shd w:val="clear" w:color="auto" w:fill="FFFFFF"/>
        </w:rPr>
        <w:t xml:space="preserve"> </w:t>
      </w:r>
    </w:p>
    <w:p w:rsidR="00EC5281" w:rsidRPr="00873644" w:rsidP="00873644" w14:paraId="4414D729" w14:textId="5686D26D">
      <w:pPr>
        <w:pStyle w:val="BodyText"/>
        <w:ind w:left="720" w:hanging="720"/>
        <w:rPr>
          <w:rStyle w:val="normaltextrun"/>
          <w:lang w:val="en"/>
        </w:rPr>
      </w:pPr>
      <w:bookmarkStart w:id="3" w:name="OLE_LINK9"/>
      <w:r w:rsidRPr="00873644">
        <w:t>M</w:t>
      </w:r>
      <w:r w:rsidRPr="00873644">
        <w:rPr>
          <w:rFonts w:cstheme="minorHAnsi"/>
        </w:rPr>
        <w:t>ercer</w:t>
      </w:r>
      <w:bookmarkEnd w:id="3"/>
      <w:r w:rsidRPr="00873644">
        <w:rPr>
          <w:rFonts w:cstheme="minorHAnsi"/>
        </w:rPr>
        <w:t xml:space="preserve">, A., Caporaso, A., Cantor, D., &amp; Townsend, R. (2015). </w:t>
      </w:r>
      <w:r w:rsidRPr="00C268D5">
        <w:rPr>
          <w:rFonts w:cstheme="minorHAnsi"/>
          <w:lang w:val="en"/>
        </w:rPr>
        <w:t xml:space="preserve">How much gets you how much? Monetary incentives and response rates in household surveys, </w:t>
      </w:r>
      <w:r w:rsidRPr="00873644">
        <w:rPr>
          <w:rStyle w:val="Emphasis"/>
          <w:rFonts w:cstheme="minorHAnsi"/>
          <w:color w:val="2A2A2A"/>
          <w:lang w:val="en"/>
        </w:rPr>
        <w:t>Public Opinion Quarterly</w:t>
      </w:r>
      <w:r w:rsidRPr="00C268D5">
        <w:rPr>
          <w:rFonts w:cstheme="minorHAnsi"/>
          <w:lang w:val="en"/>
        </w:rPr>
        <w:t xml:space="preserve">, Volume 79, Issue 1, 1 January 2015, Pages 105–129. Available at: </w:t>
      </w:r>
      <w:hyperlink r:id="rId8" w:history="1">
        <w:r w:rsidRPr="00873644">
          <w:rPr>
            <w:rStyle w:val="Hyperlink"/>
            <w:rFonts w:cstheme="minorHAnsi"/>
            <w:lang w:val="en"/>
          </w:rPr>
          <w:t>https://doi.org/10.1093/poq/nfu059</w:t>
        </w:r>
      </w:hyperlink>
    </w:p>
    <w:p w:rsidR="00EC5281" w:rsidP="00EC5281" w14:paraId="40188156" w14:textId="77777777">
      <w:pPr>
        <w:pStyle w:val="ListParagraph"/>
        <w:ind w:hanging="720"/>
      </w:pPr>
      <w:bookmarkStart w:id="4" w:name="OLE_LINK13"/>
      <w:r>
        <w:t>Singer</w:t>
      </w:r>
      <w:bookmarkEnd w:id="4"/>
      <w:r>
        <w:t>, E. &amp; Ye, C. (2013). The use and effects of incentives in surveys. The ANNALS of the American Academy of Political and Social Science, 645(1), 112–141. </w:t>
      </w:r>
    </w:p>
    <w:p w:rsidR="00C96B89" w:rsidRPr="000403AF" w:rsidP="00C96B89" w14:paraId="0F22C0B4" w14:textId="77777777">
      <w:pPr>
        <w:pStyle w:val="FootnoteText"/>
        <w:rPr>
          <w:rFonts w:cstheme="minorHAnsi"/>
          <w:sz w:val="22"/>
          <w:szCs w:val="22"/>
        </w:rPr>
      </w:pPr>
    </w:p>
    <w:p w:rsidR="00C96B89" w:rsidRPr="00BD6DDE" w:rsidP="00BD6DDE" w14:paraId="2B02D9B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7A376B"/>
    <w:multiLevelType w:val="hybridMultilevel"/>
    <w:tmpl w:val="6E542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71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DE"/>
    <w:rsid w:val="000403AF"/>
    <w:rsid w:val="000A70F7"/>
    <w:rsid w:val="000C34D8"/>
    <w:rsid w:val="000E3AB5"/>
    <w:rsid w:val="000F4441"/>
    <w:rsid w:val="00127FF9"/>
    <w:rsid w:val="00181704"/>
    <w:rsid w:val="003071BB"/>
    <w:rsid w:val="00473AF7"/>
    <w:rsid w:val="004A3B9A"/>
    <w:rsid w:val="00515B5F"/>
    <w:rsid w:val="00533770"/>
    <w:rsid w:val="0053576A"/>
    <w:rsid w:val="00536585"/>
    <w:rsid w:val="005427C7"/>
    <w:rsid w:val="00573F4C"/>
    <w:rsid w:val="00575DC8"/>
    <w:rsid w:val="00646406"/>
    <w:rsid w:val="006D0B57"/>
    <w:rsid w:val="008200A6"/>
    <w:rsid w:val="00851549"/>
    <w:rsid w:val="00873644"/>
    <w:rsid w:val="0092397F"/>
    <w:rsid w:val="009D4287"/>
    <w:rsid w:val="009F0E73"/>
    <w:rsid w:val="009F1032"/>
    <w:rsid w:val="00BD6DDE"/>
    <w:rsid w:val="00C268D5"/>
    <w:rsid w:val="00C41751"/>
    <w:rsid w:val="00C96B89"/>
    <w:rsid w:val="00D464BA"/>
    <w:rsid w:val="00DB325E"/>
    <w:rsid w:val="00DC3694"/>
    <w:rsid w:val="00EA0350"/>
    <w:rsid w:val="00EC5281"/>
    <w:rsid w:val="00F164C8"/>
    <w:rsid w:val="00F2346C"/>
    <w:rsid w:val="00F67D91"/>
    <w:rsid w:val="00FD18BD"/>
    <w:rsid w:val="147F83BC"/>
    <w:rsid w:val="43E16A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B5BAC5"/>
  <w15:chartTrackingRefBased/>
  <w15:docId w15:val="{41B0A972-64E4-4833-98B0-CBF63128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0E3AB5"/>
  </w:style>
  <w:style w:type="character" w:customStyle="1" w:styleId="eop">
    <w:name w:val="eop"/>
    <w:basedOn w:val="DefaultParagraphFont"/>
    <w:rsid w:val="000E3AB5"/>
  </w:style>
  <w:style w:type="paragraph" w:styleId="BodyText3">
    <w:name w:val="Body Text 3"/>
    <w:basedOn w:val="Normal"/>
    <w:link w:val="BodyText3Char"/>
    <w:uiPriority w:val="99"/>
    <w:unhideWhenUsed/>
    <w:rsid w:val="000E3AB5"/>
    <w:pPr>
      <w:spacing w:beforeLines="40" w:after="0" w:afterLines="40" w:line="240" w:lineRule="auto"/>
      <w:ind w:left="450" w:hanging="480"/>
    </w:pPr>
    <w:rPr>
      <w:rFonts w:ascii="Arial" w:eastAsia="Arial" w:hAnsi="Arial" w:cs="Arial"/>
      <w:color w:val="000000" w:themeColor="text1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E3AB5"/>
    <w:rPr>
      <w:rFonts w:ascii="Arial" w:eastAsia="Arial" w:hAnsi="Arial" w:cs="Arial"/>
      <w:color w:val="000000" w:themeColor="text1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15B5F"/>
  </w:style>
  <w:style w:type="paragraph" w:styleId="ListParagraph">
    <w:name w:val="List Paragraph"/>
    <w:basedOn w:val="Normal"/>
    <w:link w:val="ListParagraphChar"/>
    <w:uiPriority w:val="34"/>
    <w:qFormat/>
    <w:rsid w:val="00515B5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69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8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3A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7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D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1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C528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C52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5281"/>
  </w:style>
  <w:style w:type="character" w:styleId="Emphasis">
    <w:name w:val="Emphasis"/>
    <w:basedOn w:val="DefaultParagraphFont"/>
    <w:uiPriority w:val="20"/>
    <w:qFormat/>
    <w:rsid w:val="00EC5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doi.org/10.1086/317990" TargetMode="External" /><Relationship Id="rId8" Type="http://schemas.openxmlformats.org/officeDocument/2006/relationships/hyperlink" Target="https://doi.org/10.1093/poq/nfu059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C90D505FE9E4BAF9A873D06E893E7" ma:contentTypeVersion="4" ma:contentTypeDescription="Create a new document." ma:contentTypeScope="" ma:versionID="8f1c0b30c1efc3d4284390c0f11eee14">
  <xsd:schema xmlns:xsd="http://www.w3.org/2001/XMLSchema" xmlns:xs="http://www.w3.org/2001/XMLSchema" xmlns:p="http://schemas.microsoft.com/office/2006/metadata/properties" xmlns:ns2="39046619-8514-473a-861b-7b7d30a9060e" xmlns:ns3="732faa48-ebe1-46ae-b2cd-4b29d06a8e36" targetNamespace="http://schemas.microsoft.com/office/2006/metadata/properties" ma:root="true" ma:fieldsID="f70fa28b27db70e7192ed551831ce1fa" ns2:_="" ns3:_="">
    <xsd:import namespace="39046619-8514-473a-861b-7b7d30a9060e"/>
    <xsd:import namespace="732faa48-ebe1-46ae-b2cd-4b29d06a8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6619-8514-473a-861b-7b7d30a90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aa48-ebe1-46ae-b2cd-4b29d06a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27B9A-B644-4C9C-88AB-60023F5D7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155BD-8D7A-4A13-81B6-7E4578613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46619-8514-473a-861b-7b7d30a9060e"/>
    <ds:schemaRef ds:uri="732faa48-ebe1-46ae-b2cd-4b29d06a8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0E0F3-372C-49FA-9E42-5D6F96E78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Mendez</dc:creator>
  <cp:lastModifiedBy>Molly Gordon</cp:lastModifiedBy>
  <cp:revision>3</cp:revision>
  <dcterms:created xsi:type="dcterms:W3CDTF">2023-12-19T22:50:00Z</dcterms:created>
  <dcterms:modified xsi:type="dcterms:W3CDTF">2023-12-19T22:50:00Z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0x01010076CC90D505FE9E4BAF9A873D06E893E7</vt:lpwstr>
  </property>
</Properties>
</file>