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id w:val="-1478213819"/>
        <w:docPartObj>
          <w:docPartGallery w:val="Cover Pages"/>
          <w:docPartUnique/>
        </w:docPartObj>
      </w:sdtPr>
      <w:sdtEndPr>
        <w:rPr>
          <w:b/>
        </w:rPr>
      </w:sdtEndPr>
      <w:sdtContent>
        <w:p w:rsidR="008D74C2" w14:paraId="7AD4B941" w14:textId="0BB25850"/>
        <w:p w:rsidR="007B7283" w14:paraId="1612E5D6" w14:textId="77777777"/>
        <w:p w:rsidR="007B7283" w:rsidRPr="001526CB" w:rsidP="001526CB" w14:paraId="4ECF15EF" w14:textId="77777777">
          <w:pPr>
            <w:jc w:val="center"/>
            <w:rPr>
              <w:b/>
              <w:bCs/>
              <w:sz w:val="28"/>
              <w:szCs w:val="28"/>
            </w:rPr>
          </w:pPr>
          <w:r w:rsidRPr="001526CB">
            <w:rPr>
              <w:b/>
              <w:bCs/>
              <w:sz w:val="28"/>
              <w:szCs w:val="28"/>
            </w:rPr>
            <w:t>U.S. Department of Health and Human Services (HHS)</w:t>
          </w:r>
        </w:p>
        <w:p w:rsidR="007B7283" w:rsidRPr="001526CB" w:rsidP="001526CB" w14:paraId="798949C9" w14:textId="77777777">
          <w:pPr>
            <w:jc w:val="center"/>
            <w:rPr>
              <w:b/>
              <w:bCs/>
              <w:sz w:val="28"/>
              <w:szCs w:val="28"/>
            </w:rPr>
          </w:pPr>
        </w:p>
        <w:p w:rsidR="007B7283" w:rsidRPr="001526CB" w:rsidP="001526CB" w14:paraId="22E0ADAA" w14:textId="77777777">
          <w:pPr>
            <w:jc w:val="center"/>
            <w:rPr>
              <w:b/>
              <w:bCs/>
              <w:sz w:val="28"/>
              <w:szCs w:val="28"/>
            </w:rPr>
          </w:pPr>
          <w:r w:rsidRPr="001526CB">
            <w:rPr>
              <w:b/>
              <w:bCs/>
              <w:sz w:val="28"/>
              <w:szCs w:val="28"/>
            </w:rPr>
            <w:t>Office for Human Research Protections (OHRP)</w:t>
          </w:r>
        </w:p>
        <w:p w:rsidR="007B7283" w:rsidRPr="001526CB" w:rsidP="001526CB" w14:paraId="20732029" w14:textId="77777777">
          <w:pPr>
            <w:jc w:val="center"/>
            <w:rPr>
              <w:b/>
              <w:bCs/>
              <w:sz w:val="28"/>
              <w:szCs w:val="28"/>
            </w:rPr>
          </w:pPr>
          <w:r w:rsidRPr="001526CB">
            <w:rPr>
              <w:b/>
              <w:bCs/>
              <w:sz w:val="28"/>
              <w:szCs w:val="28"/>
            </w:rPr>
            <w:t>Incident Report Form, OMB Control No. 0990-0477</w:t>
          </w:r>
        </w:p>
        <w:p w:rsidR="007B7283" w:rsidRPr="001526CB" w:rsidP="001526CB" w14:paraId="7BA590B8" w14:textId="77777777">
          <w:pPr>
            <w:jc w:val="center"/>
            <w:rPr>
              <w:b/>
              <w:bCs/>
              <w:sz w:val="28"/>
              <w:szCs w:val="28"/>
            </w:rPr>
          </w:pPr>
        </w:p>
        <w:p w:rsidR="007B7283" w:rsidRPr="001526CB" w:rsidP="001526CB" w14:paraId="19ADDC28" w14:textId="77777777">
          <w:pPr>
            <w:jc w:val="center"/>
            <w:rPr>
              <w:b/>
              <w:bCs/>
              <w:sz w:val="28"/>
              <w:szCs w:val="28"/>
            </w:rPr>
          </w:pPr>
          <w:r w:rsidRPr="001526CB">
            <w:rPr>
              <w:b/>
              <w:bCs/>
              <w:sz w:val="28"/>
              <w:szCs w:val="28"/>
            </w:rPr>
            <w:t>Supporting Statement</w:t>
          </w:r>
        </w:p>
        <w:p w:rsidR="007B7283" w:rsidP="007B7283" w14:paraId="3DE3A101" w14:textId="77777777"/>
        <w:p w:rsidR="007B7283" w:rsidP="007B7283" w14:paraId="60A47F39" w14:textId="77777777"/>
        <w:tbl>
          <w:tblPr>
            <w:tblpPr w:leftFromText="187" w:rightFromText="187" w:vertAnchor="page" w:horzAnchor="margin" w:tblpY="9901"/>
            <w:tblW w:w="3857" w:type="pct"/>
            <w:tblLook w:val="04A0"/>
          </w:tblPr>
          <w:tblGrid>
            <w:gridCol w:w="7220"/>
          </w:tblGrid>
          <w:tr w14:paraId="2C1EEFA1" w14:textId="77777777" w:rsidTr="001526CB">
            <w:tblPrEx>
              <w:tblW w:w="3857" w:type="pct"/>
              <w:tblLook w:val="04A0"/>
            </w:tblPrEx>
            <w:tc>
              <w:tcPr>
                <w:tcW w:w="7220" w:type="dxa"/>
                <w:tcMar>
                  <w:top w:w="216" w:type="dxa"/>
                  <w:left w:w="115" w:type="dxa"/>
                  <w:bottom w:w="216" w:type="dxa"/>
                  <w:right w:w="115" w:type="dxa"/>
                </w:tcMar>
              </w:tcPr>
              <w:p w:rsidR="001526CB" w:rsidP="001526CB" w14:paraId="6F6BF1C5" w14:textId="77777777">
                <w:pPr>
                  <w:rPr>
                    <w:bCs/>
                    <w:sz w:val="28"/>
                    <w:szCs w:val="28"/>
                  </w:rPr>
                </w:pPr>
                <w:r>
                  <w:rPr>
                    <w:bCs/>
                    <w:sz w:val="28"/>
                    <w:szCs w:val="28"/>
                  </w:rPr>
                  <w:t>Program Office Point of Contact</w:t>
                </w:r>
              </w:p>
              <w:p w:rsidR="001526CB" w:rsidP="001526CB" w14:paraId="1B26FB05" w14:textId="77777777">
                <w:pPr>
                  <w:rPr>
                    <w:bCs/>
                    <w:sz w:val="28"/>
                    <w:szCs w:val="28"/>
                  </w:rPr>
                </w:pPr>
                <w:r>
                  <w:rPr>
                    <w:bCs/>
                    <w:sz w:val="28"/>
                    <w:szCs w:val="28"/>
                  </w:rPr>
                  <w:t>Lisa Buchanan</w:t>
                </w:r>
              </w:p>
              <w:p w:rsidR="001526CB" w:rsidP="001526CB" w14:paraId="4178AA62" w14:textId="77777777">
                <w:pPr>
                  <w:rPr>
                    <w:bCs/>
                    <w:sz w:val="28"/>
                    <w:szCs w:val="28"/>
                  </w:rPr>
                </w:pPr>
                <w:r>
                  <w:rPr>
                    <w:bCs/>
                    <w:sz w:val="28"/>
                    <w:szCs w:val="28"/>
                  </w:rPr>
                  <w:t>Director, Division of Compliance Oversight</w:t>
                </w:r>
              </w:p>
              <w:p w:rsidR="001526CB" w:rsidP="001526CB" w14:paraId="4D2D5AF3" w14:textId="77777777">
                <w:pPr>
                  <w:rPr>
                    <w:bCs/>
                    <w:sz w:val="28"/>
                    <w:szCs w:val="28"/>
                  </w:rPr>
                </w:pPr>
                <w:r>
                  <w:rPr>
                    <w:bCs/>
                    <w:sz w:val="28"/>
                    <w:szCs w:val="28"/>
                  </w:rPr>
                  <w:t>Office for Human Research Protections</w:t>
                </w:r>
              </w:p>
              <w:p w:rsidR="001526CB" w:rsidP="001526CB" w14:paraId="600704F3" w14:textId="77777777">
                <w:pPr>
                  <w:rPr>
                    <w:bCs/>
                    <w:sz w:val="28"/>
                    <w:szCs w:val="28"/>
                  </w:rPr>
                </w:pPr>
                <w:r>
                  <w:rPr>
                    <w:bCs/>
                    <w:sz w:val="28"/>
                    <w:szCs w:val="28"/>
                  </w:rPr>
                  <w:t>Office of the Assistant Secretary for Health, HHS</w:t>
                </w:r>
              </w:p>
              <w:p w:rsidR="001526CB" w:rsidP="001526CB" w14:paraId="0855D4F8" w14:textId="77777777">
                <w:pPr>
                  <w:rPr>
                    <w:bCs/>
                    <w:sz w:val="28"/>
                    <w:szCs w:val="28"/>
                  </w:rPr>
                </w:pPr>
                <w:r>
                  <w:rPr>
                    <w:bCs/>
                    <w:sz w:val="28"/>
                    <w:szCs w:val="28"/>
                  </w:rPr>
                  <w:t>1101 Wootton PKWY, Suite 200</w:t>
                </w:r>
              </w:p>
              <w:p w:rsidR="001526CB" w:rsidP="001526CB" w14:paraId="5FD7D6C7" w14:textId="77777777">
                <w:pPr>
                  <w:rPr>
                    <w:bCs/>
                    <w:sz w:val="28"/>
                    <w:szCs w:val="28"/>
                  </w:rPr>
                </w:pPr>
                <w:r>
                  <w:rPr>
                    <w:bCs/>
                    <w:sz w:val="28"/>
                    <w:szCs w:val="28"/>
                  </w:rPr>
                  <w:t>Rockville, MD 20852</w:t>
                </w:r>
              </w:p>
              <w:p w:rsidR="001526CB" w:rsidP="001526CB" w14:paraId="76578255" w14:textId="77777777">
                <w:pPr>
                  <w:rPr>
                    <w:bCs/>
                    <w:sz w:val="28"/>
                    <w:szCs w:val="28"/>
                  </w:rPr>
                </w:pPr>
                <w:r>
                  <w:rPr>
                    <w:bCs/>
                    <w:sz w:val="28"/>
                    <w:szCs w:val="28"/>
                  </w:rPr>
                  <w:t xml:space="preserve">Email: </w:t>
                </w:r>
                <w:hyperlink r:id="rId9" w:history="1">
                  <w:r w:rsidRPr="00400523">
                    <w:rPr>
                      <w:rStyle w:val="Hyperlink"/>
                      <w:bCs/>
                      <w:sz w:val="28"/>
                      <w:szCs w:val="28"/>
                    </w:rPr>
                    <w:t>Lisa.Buchanan@hhs.gov</w:t>
                  </w:r>
                </w:hyperlink>
              </w:p>
              <w:p w:rsidR="001526CB" w:rsidRPr="008D74C2" w:rsidP="001526CB" w14:paraId="162FE241" w14:textId="77777777">
                <w:pPr>
                  <w:rPr>
                    <w:bCs/>
                    <w:sz w:val="28"/>
                    <w:szCs w:val="28"/>
                  </w:rPr>
                </w:pPr>
                <w:r>
                  <w:rPr>
                    <w:bCs/>
                    <w:sz w:val="28"/>
                    <w:szCs w:val="28"/>
                  </w:rPr>
                  <w:t>Phone: (240) 453-8298</w:t>
                </w:r>
              </w:p>
              <w:p w:rsidR="001526CB" w:rsidP="001526CB" w14:paraId="46079654" w14:textId="77777777">
                <w:pPr>
                  <w:pStyle w:val="NoSpacing"/>
                  <w:rPr>
                    <w:color w:val="4472C4" w:themeColor="accent1"/>
                  </w:rPr>
                </w:pPr>
              </w:p>
            </w:tc>
          </w:tr>
        </w:tbl>
        <w:p w:rsidR="007B7283" w14:paraId="43694969" w14:textId="77777777"/>
        <w:p w:rsidR="008D74C2" w14:paraId="48A985BB" w14:textId="49F30923">
          <w:pPr>
            <w:widowControl/>
            <w:autoSpaceDE/>
            <w:autoSpaceDN/>
            <w:adjustRightInd/>
            <w:spacing w:after="160" w:line="259" w:lineRule="auto"/>
            <w:rPr>
              <w:b/>
            </w:rPr>
          </w:pPr>
          <w:r>
            <w:rPr>
              <w:b/>
            </w:rPr>
            <w:br w:type="page"/>
          </w:r>
        </w:p>
      </w:sdtContent>
    </w:sdt>
    <w:p w:rsidR="00027E12" w:rsidRPr="00027E12" w:rsidP="008D74C2" w14:paraId="4E6A9000" w14:textId="77777777">
      <w:pPr>
        <w:jc w:val="center"/>
        <w:rPr>
          <w:b/>
          <w:szCs w:val="24"/>
        </w:rPr>
      </w:pPr>
      <w:r w:rsidRPr="00027E12">
        <w:rPr>
          <w:b/>
          <w:szCs w:val="24"/>
        </w:rPr>
        <w:t>Office for Human Research Protections</w:t>
      </w:r>
    </w:p>
    <w:p w:rsidR="008D74C2" w:rsidRPr="00027E12" w:rsidP="008D74C2" w14:paraId="06AF2AD8" w14:textId="519BCF69">
      <w:pPr>
        <w:jc w:val="center"/>
        <w:rPr>
          <w:b/>
          <w:szCs w:val="24"/>
        </w:rPr>
      </w:pPr>
      <w:r w:rsidRPr="00027E12">
        <w:rPr>
          <w:b/>
          <w:color w:val="000000" w:themeColor="text1"/>
          <w:szCs w:val="24"/>
        </w:rPr>
        <w:t xml:space="preserve">OMB Control No. 0990-0477, </w:t>
      </w:r>
      <w:r w:rsidRPr="00027E12" w:rsidR="00E7598A">
        <w:rPr>
          <w:b/>
          <w:szCs w:val="24"/>
        </w:rPr>
        <w:t>Incident Report Form</w:t>
      </w:r>
    </w:p>
    <w:p w:rsidR="008C4F06" w:rsidP="008D74C2" w14:paraId="211957E0" w14:textId="0D6187A2">
      <w:pPr>
        <w:jc w:val="center"/>
        <w:rPr>
          <w:b/>
          <w:szCs w:val="24"/>
        </w:rPr>
      </w:pPr>
      <w:r w:rsidRPr="00027E12">
        <w:rPr>
          <w:b/>
          <w:szCs w:val="24"/>
        </w:rPr>
        <w:t>Supporting Statement</w:t>
      </w:r>
    </w:p>
    <w:p w:rsidR="006C5026" w:rsidRPr="00027E12" w:rsidP="008D74C2" w14:paraId="4B51449B" w14:textId="77777777">
      <w:pPr>
        <w:jc w:val="center"/>
        <w:rPr>
          <w:b/>
          <w:szCs w:val="24"/>
        </w:rPr>
      </w:pPr>
    </w:p>
    <w:p w:rsidR="008D74C2" w:rsidRPr="00320376" w:rsidP="008D74C2" w14:paraId="090B4257" w14:textId="77777777">
      <w:pPr>
        <w:rPr>
          <w:b/>
        </w:rPr>
      </w:pPr>
    </w:p>
    <w:p w:rsidR="008D74C2" w:rsidRPr="008964C7" w:rsidP="008964C7" w14:paraId="6D9DEB93" w14:textId="32F82A30">
      <w:pPr>
        <w:rPr>
          <w:b/>
          <w:bCs/>
        </w:rPr>
      </w:pPr>
      <w:r w:rsidRPr="008964C7">
        <w:rPr>
          <w:b/>
          <w:bCs/>
        </w:rPr>
        <w:t>I</w:t>
      </w:r>
      <w:r w:rsidRPr="008964C7" w:rsidR="008964C7">
        <w:rPr>
          <w:b/>
          <w:bCs/>
        </w:rPr>
        <w:t>ntroduction</w:t>
      </w:r>
    </w:p>
    <w:p w:rsidR="008D74C2" w:rsidRPr="008964C7" w:rsidP="008964C7" w14:paraId="5E634FAD" w14:textId="77777777"/>
    <w:p w:rsidR="00A51D04" w:rsidP="008D74C2" w14:paraId="43E27536" w14:textId="0842C3C0">
      <w:r>
        <w:t xml:space="preserve">The </w:t>
      </w:r>
      <w:r w:rsidRPr="00DB5AF5" w:rsidR="00DB5AF5">
        <w:t>U.S. Department of Health and Human Services (HHS)</w:t>
      </w:r>
      <w:r w:rsidR="00DB5AF5">
        <w:t>’</w:t>
      </w:r>
      <w:r w:rsidRPr="00DB5AF5" w:rsidR="00DB5AF5">
        <w:t xml:space="preserve"> </w:t>
      </w:r>
      <w:r>
        <w:t>Office for Human Research Protections (</w:t>
      </w:r>
      <w:r w:rsidR="008D74C2">
        <w:t>OHRP</w:t>
      </w:r>
      <w:r>
        <w:t>)</w:t>
      </w:r>
      <w:r w:rsidR="008D74C2">
        <w:t xml:space="preserve"> is requesting </w:t>
      </w:r>
      <w:r w:rsidR="0006789F">
        <w:t xml:space="preserve">reinstatement of </w:t>
      </w:r>
      <w:r w:rsidR="001118CA">
        <w:t xml:space="preserve">OMB No. 0990-0477, </w:t>
      </w:r>
      <w:r w:rsidR="001F7E78">
        <w:t xml:space="preserve">the OHRP </w:t>
      </w:r>
      <w:r w:rsidR="001118CA">
        <w:t>Incident Report Form</w:t>
      </w:r>
      <w:r w:rsidR="0006789F">
        <w:t>, with changes, for a three-year period</w:t>
      </w:r>
      <w:r w:rsidR="001118CA">
        <w:t xml:space="preserve">.  </w:t>
      </w:r>
      <w:r w:rsidR="0006789F">
        <w:rPr>
          <w:color w:val="000000" w:themeColor="text1"/>
        </w:rPr>
        <w:t xml:space="preserve">Reinstatement </w:t>
      </w:r>
      <w:r w:rsidR="007708FE">
        <w:rPr>
          <w:color w:val="000000" w:themeColor="text1"/>
        </w:rPr>
        <w:t>is</w:t>
      </w:r>
      <w:r w:rsidR="0006789F">
        <w:rPr>
          <w:color w:val="000000" w:themeColor="text1"/>
        </w:rPr>
        <w:t xml:space="preserve"> necessary because </w:t>
      </w:r>
      <w:r w:rsidR="00F069EC">
        <w:rPr>
          <w:color w:val="000000" w:themeColor="text1"/>
        </w:rPr>
        <w:t>prior OMB approval of the information collection on the Incident Report Form expired on May 31, 2024</w:t>
      </w:r>
      <w:r w:rsidR="0006789F">
        <w:t xml:space="preserve">.  </w:t>
      </w:r>
      <w:r w:rsidR="0062716D">
        <w:t xml:space="preserve">This </w:t>
      </w:r>
      <w:r w:rsidR="0006789F">
        <w:t xml:space="preserve">reinstatement </w:t>
      </w:r>
      <w:r w:rsidR="0062716D">
        <w:t>request includes two new information elements</w:t>
      </w:r>
      <w:r>
        <w:t xml:space="preserve"> on the Incident Report </w:t>
      </w:r>
      <w:r w:rsidR="00F069EC">
        <w:t>f</w:t>
      </w:r>
      <w:r>
        <w:t>orm</w:t>
      </w:r>
      <w:r w:rsidR="0062716D">
        <w:t xml:space="preserve">: </w:t>
      </w:r>
      <w:r w:rsidR="0062716D">
        <w:rPr>
          <w:i/>
          <w:iCs/>
        </w:rPr>
        <w:t>IORG # for Reviewing IRB</w:t>
      </w:r>
      <w:r w:rsidR="0062716D">
        <w:t xml:space="preserve">; and, </w:t>
      </w:r>
      <w:r w:rsidR="00101AB1">
        <w:rPr>
          <w:i/>
          <w:iCs/>
        </w:rPr>
        <w:t>Revising</w:t>
      </w:r>
      <w:r w:rsidR="00101AB1">
        <w:rPr>
          <w:i/>
          <w:iCs/>
        </w:rPr>
        <w:t xml:space="preserve"> research policies and procedures</w:t>
      </w:r>
      <w:r w:rsidR="00101AB1">
        <w:t xml:space="preserve"> as a corrective action plan category, if it applies.</w:t>
      </w:r>
      <w:r w:rsidR="00027E12">
        <w:t xml:space="preserve"> </w:t>
      </w:r>
      <w:r w:rsidR="00F069EC">
        <w:t>I</w:t>
      </w:r>
      <w:r w:rsidR="00005C73">
        <w:t xml:space="preserve">nclusion of these data elements </w:t>
      </w:r>
      <w:r w:rsidR="00E07361">
        <w:t>did not affect the burden estimate.</w:t>
      </w:r>
    </w:p>
    <w:p w:rsidR="00A51D04" w:rsidP="008D74C2" w14:paraId="554FE871" w14:textId="77777777"/>
    <w:p w:rsidR="008D74C2" w:rsidP="008D74C2" w14:paraId="22F481A2" w14:textId="2F706338">
      <w:r>
        <w:t xml:space="preserve">The </w:t>
      </w:r>
      <w:r w:rsidR="00027E12">
        <w:t xml:space="preserve">purpose of the </w:t>
      </w:r>
      <w:r w:rsidR="00A51D04">
        <w:t xml:space="preserve">Incident Report </w:t>
      </w:r>
      <w:r>
        <w:t xml:space="preserve">form </w:t>
      </w:r>
      <w:r w:rsidR="00027E12">
        <w:t xml:space="preserve">is to </w:t>
      </w:r>
      <w:r>
        <w:t>f</w:t>
      </w:r>
      <w:r>
        <w:t xml:space="preserve">acilitate </w:t>
      </w:r>
      <w:r w:rsidR="00A51D04">
        <w:t>organizations</w:t>
      </w:r>
      <w:r w:rsidR="009D6BF3">
        <w:t>’</w:t>
      </w:r>
      <w:r w:rsidR="00A51D04">
        <w:t xml:space="preserve"> or institutions</w:t>
      </w:r>
      <w:r w:rsidR="00790B16">
        <w:t>’</w:t>
      </w:r>
      <w:r w:rsidR="00A51D04">
        <w:t xml:space="preserve"> </w:t>
      </w:r>
      <w:r>
        <w:t xml:space="preserve">prompt reporting of specific human subject protection incidents to OHRP </w:t>
      </w:r>
      <w:r w:rsidR="00027E12">
        <w:t xml:space="preserve">in </w:t>
      </w:r>
      <w:r w:rsidRPr="00320376">
        <w:t>a simplified standardized</w:t>
      </w:r>
      <w:r w:rsidR="00880306">
        <w:t xml:space="preserve"> format</w:t>
      </w:r>
      <w:r w:rsidRPr="00320376">
        <w:t>.</w:t>
      </w:r>
      <w:r w:rsidR="00EA71B2">
        <w:t xml:space="preserve"> </w:t>
      </w:r>
      <w:r w:rsidR="00942897">
        <w:t>Respondents for this information collection are organizations and institutions conducting or reviewing HHS</w:t>
      </w:r>
      <w:r w:rsidR="007465C0">
        <w:t xml:space="preserve"> </w:t>
      </w:r>
      <w:r w:rsidR="00942897">
        <w:t>conducted or supported human subjects research</w:t>
      </w:r>
      <w:r w:rsidR="004273BF">
        <w:t xml:space="preserve"> in compliance with the </w:t>
      </w:r>
      <w:r w:rsidR="004273BF">
        <w:t xml:space="preserve">HHS </w:t>
      </w:r>
      <w:r w:rsidR="00DB5AF5">
        <w:t xml:space="preserve"> </w:t>
      </w:r>
      <w:r w:rsidRPr="00DB5AF5" w:rsidR="00DB5AF5">
        <w:t>Federal</w:t>
      </w:r>
      <w:r w:rsidRPr="00DB5AF5" w:rsidR="00DB5AF5">
        <w:t xml:space="preserve"> Policy for the Protection of Human Subjects (the Common Rule), which is codified for HHS</w:t>
      </w:r>
      <w:r w:rsidR="004273BF">
        <w:t xml:space="preserve"> at 45 CFR part 46</w:t>
      </w:r>
      <w:r w:rsidR="00F51548">
        <w:t>, subpart A</w:t>
      </w:r>
      <w:r w:rsidR="00942897">
        <w:t>.</w:t>
      </w:r>
      <w:r>
        <w:rPr>
          <w:vertAlign w:val="superscript"/>
        </w:rPr>
        <w:footnoteReference w:id="2"/>
      </w:r>
      <w:r w:rsidR="00942897">
        <w:t xml:space="preserve"> </w:t>
      </w:r>
    </w:p>
    <w:p w:rsidR="008D74C2" w:rsidRPr="00AF2658" w:rsidP="008D74C2" w14:paraId="191DD8E7" w14:textId="77777777"/>
    <w:p w:rsidR="008D74C2" w:rsidRPr="008964C7" w:rsidP="008964C7" w14:paraId="2916E079" w14:textId="107FDC36">
      <w:pPr>
        <w:rPr>
          <w:b/>
          <w:bCs/>
        </w:rPr>
      </w:pPr>
      <w:r w:rsidRPr="008964C7">
        <w:rPr>
          <w:b/>
          <w:bCs/>
        </w:rPr>
        <w:t>PART A.  J</w:t>
      </w:r>
      <w:r w:rsidR="00E7598A">
        <w:rPr>
          <w:b/>
          <w:bCs/>
        </w:rPr>
        <w:t>ustification</w:t>
      </w:r>
    </w:p>
    <w:p w:rsidR="008D74C2" w:rsidRPr="008964C7" w:rsidP="008964C7" w14:paraId="6DAE5187" w14:textId="77777777"/>
    <w:p w:rsidR="008D74C2" w:rsidRPr="008964C7" w:rsidP="008D74C2" w14:paraId="537AA47F" w14:textId="7A7202A3">
      <w:pPr>
        <w:pStyle w:val="Heading2"/>
        <w:rPr>
          <w:b w:val="0"/>
          <w:bCs/>
          <w:u w:val="none"/>
        </w:rPr>
      </w:pPr>
      <w:r w:rsidRPr="008964C7">
        <w:rPr>
          <w:b w:val="0"/>
          <w:bCs/>
          <w:u w:val="none"/>
        </w:rPr>
        <w:t xml:space="preserve">1. </w:t>
      </w:r>
      <w:r w:rsidR="004B6CB8">
        <w:rPr>
          <w:b w:val="0"/>
          <w:bCs/>
          <w:u w:val="none"/>
        </w:rPr>
        <w:t xml:space="preserve">Need and Legal Basis </w:t>
      </w:r>
    </w:p>
    <w:p w:rsidR="001B1D37" w:rsidP="008D74C2" w14:paraId="55ECC8BE" w14:textId="77777777">
      <w:pPr>
        <w:rPr>
          <w:u w:val="single"/>
        </w:rPr>
      </w:pPr>
    </w:p>
    <w:p w:rsidR="001D0BEF" w:rsidP="008D74C2" w14:paraId="1E47CB21" w14:textId="1EE4C575">
      <w:pPr>
        <w:rPr>
          <w:color w:val="000000"/>
        </w:rPr>
      </w:pPr>
      <w:r w:rsidRPr="00601255">
        <w:rPr>
          <w:color w:val="000000"/>
        </w:rPr>
        <w:t xml:space="preserve">Section 491(a) of Pub. L. 99-158 </w:t>
      </w:r>
      <w:r w:rsidR="00DA66F3">
        <w:rPr>
          <w:color w:val="000000"/>
        </w:rPr>
        <w:t>provides</w:t>
      </w:r>
      <w:r w:rsidRPr="00601255">
        <w:rPr>
          <w:color w:val="000000"/>
        </w:rPr>
        <w:t xml:space="preserve"> that the Secretary of HHS shall by regulation require that each entity applying for HHS support (e.g., a grant, contract, or cooperative agreement) to conduct research involving human subjects submit to HHS </w:t>
      </w:r>
      <w:r>
        <w:rPr>
          <w:color w:val="000000"/>
        </w:rPr>
        <w:t xml:space="preserve">an </w:t>
      </w:r>
      <w:r w:rsidRPr="00601255">
        <w:rPr>
          <w:color w:val="000000"/>
        </w:rPr>
        <w:t xml:space="preserve">assurance satisfactory to the Secretary that it has established an IRB to review the research in order to protect the rights of the human subjects of such research. IRBs are boards, committees, or groups formally designated by an entity to review, approve, and </w:t>
      </w:r>
      <w:r>
        <w:rPr>
          <w:color w:val="000000"/>
        </w:rPr>
        <w:t>conduct</w:t>
      </w:r>
      <w:r w:rsidRPr="00601255">
        <w:rPr>
          <w:color w:val="000000"/>
        </w:rPr>
        <w:t xml:space="preserve"> continuing oversight of research involving human subjects.</w:t>
      </w:r>
    </w:p>
    <w:p w:rsidR="001D0BEF" w:rsidP="008D74C2" w14:paraId="43C54F21" w14:textId="77777777">
      <w:pPr>
        <w:rPr>
          <w:u w:val="single"/>
        </w:rPr>
      </w:pPr>
    </w:p>
    <w:p w:rsidR="001B1D37" w:rsidP="008D74C2" w14:paraId="19819029" w14:textId="2A60F88C">
      <w:pPr>
        <w:rPr>
          <w:u w:val="single"/>
        </w:rPr>
      </w:pPr>
      <w:r w:rsidRPr="00C212B2">
        <w:t>Section 491(</w:t>
      </w:r>
      <w:r w:rsidRPr="00C212B2" w:rsidR="00A92FCD">
        <w:t>b</w:t>
      </w:r>
      <w:r w:rsidRPr="00C212B2">
        <w:t>) of Pub. L. 99-158 states that</w:t>
      </w:r>
      <w:r w:rsidRPr="00C212B2" w:rsidR="00A92FCD">
        <w:t>:</w:t>
      </w:r>
      <w:r w:rsidRPr="00C212B2">
        <w:t xml:space="preserve"> </w:t>
      </w:r>
      <w:r w:rsidRPr="00C212B2" w:rsidR="00A92FCD">
        <w:t>“T</w:t>
      </w:r>
      <w:r w:rsidRPr="00C212B2">
        <w:t xml:space="preserve">he Secretary of HHS </w:t>
      </w:r>
      <w:r w:rsidRPr="005D5EE9" w:rsidR="00123151">
        <w:t>shall establish a process for the prompt and appropriate response to information provided to the Director of NIH respecting incidences of violations of the rights of human subjects of research for which funds have been made available under this chapter. The process shall include procedures for the receiving of reports of such information from recipients of funds under this chapter and taking appropriate action with respect to such violations</w:t>
      </w:r>
      <w:r w:rsidRPr="003344EE">
        <w:t>.</w:t>
      </w:r>
      <w:r w:rsidRPr="003344EE" w:rsidR="00A92FCD">
        <w:t>”</w:t>
      </w:r>
    </w:p>
    <w:p w:rsidR="00433280" w:rsidP="008D74C2" w14:paraId="68324178" w14:textId="77777777">
      <w:pPr>
        <w:rPr>
          <w:u w:val="single"/>
        </w:rPr>
      </w:pPr>
    </w:p>
    <w:p w:rsidR="005E65DF" w:rsidRPr="003344EE" w:rsidP="008D74C2" w14:paraId="14CFA301" w14:textId="7CC1A932">
      <w:r w:rsidRPr="003344EE">
        <w:t xml:space="preserve">OHRP notes that </w:t>
      </w:r>
      <w:r w:rsidRPr="003344EE" w:rsidR="00433280">
        <w:t xml:space="preserve">the </w:t>
      </w:r>
      <w:r w:rsidRPr="003344EE" w:rsidR="009C142C">
        <w:t xml:space="preserve">above </w:t>
      </w:r>
      <w:r w:rsidRPr="003344EE" w:rsidR="00433280">
        <w:t>statutory references to the Director of NIH are outdated because when OHRP was moved from within NIH to the now-OASH in 2000, the authority to receive such reports under the statute’s implementing regulations was delegated from the Secretary to OASH and OHRP.</w:t>
      </w:r>
    </w:p>
    <w:p w:rsidR="008D74C2" w:rsidP="008D74C2" w14:paraId="2305911A" w14:textId="76A3D90A">
      <w:r w:rsidRPr="00320376">
        <w:rPr>
          <w:u w:val="single"/>
        </w:rPr>
        <w:br/>
      </w:r>
      <w:r w:rsidR="001B1D37">
        <w:rPr>
          <w:color w:val="000000"/>
        </w:rPr>
        <w:t xml:space="preserve">Pursuant to </w:t>
      </w:r>
      <w:r w:rsidRPr="00601255" w:rsidR="006F29C6">
        <w:rPr>
          <w:color w:val="000000"/>
        </w:rPr>
        <w:t>Section 491(a)</w:t>
      </w:r>
      <w:r w:rsidR="006F29C6">
        <w:rPr>
          <w:color w:val="000000"/>
        </w:rPr>
        <w:t>(above)</w:t>
      </w:r>
      <w:r w:rsidR="001B1D37">
        <w:rPr>
          <w:color w:val="000000"/>
        </w:rPr>
        <w:t xml:space="preserve">, HHS has promulgated regulations under 45 CFR part 46. </w:t>
      </w:r>
      <w:r w:rsidRPr="00320376">
        <w:t>The</w:t>
      </w:r>
      <w:r w:rsidR="001B1D37">
        <w:t>se</w:t>
      </w:r>
      <w:r w:rsidR="006F29C6">
        <w:t xml:space="preserve"> </w:t>
      </w:r>
      <w:r w:rsidRPr="00320376">
        <w:t xml:space="preserve">regulations require that </w:t>
      </w:r>
      <w:r>
        <w:t>organizations</w:t>
      </w:r>
      <w:r w:rsidRPr="00944329">
        <w:t xml:space="preserve"> </w:t>
      </w:r>
      <w:r w:rsidR="00A51D04">
        <w:t xml:space="preserve">and </w:t>
      </w:r>
      <w:r w:rsidR="00C07E54">
        <w:t xml:space="preserve">institutions </w:t>
      </w:r>
      <w:r>
        <w:t xml:space="preserve">engaged in or reviewing </w:t>
      </w:r>
      <w:r w:rsidR="00DA66F3">
        <w:t xml:space="preserve">nonexempt </w:t>
      </w:r>
      <w:r>
        <w:t>HHS-supported or conducted</w:t>
      </w:r>
      <w:r w:rsidRPr="00320376">
        <w:t xml:space="preserve"> human subjects research establish and follow written procedures for ensuring prompt reporting to OHRP of the following: </w:t>
      </w:r>
    </w:p>
    <w:p w:rsidR="008D74C2" w:rsidP="008D74C2" w14:paraId="279C5AAE" w14:textId="77777777">
      <w:pPr>
        <w:rPr>
          <w:u w:val="single"/>
        </w:rPr>
      </w:pPr>
    </w:p>
    <w:p w:rsidR="008D74C2" w:rsidP="008D74C2" w14:paraId="344F7C96" w14:textId="77777777">
      <w:pPr>
        <w:pStyle w:val="ListParagraph"/>
        <w:numPr>
          <w:ilvl w:val="0"/>
          <w:numId w:val="1"/>
        </w:numPr>
      </w:pPr>
      <w:r w:rsidRPr="00320376">
        <w:t xml:space="preserve">any unanticipated problems involving risks to subjects or </w:t>
      </w:r>
      <w:r w:rsidRPr="00320376">
        <w:t>others</w:t>
      </w:r>
      <w:r>
        <w:t>;</w:t>
      </w:r>
      <w:r>
        <w:t xml:space="preserve"> </w:t>
      </w:r>
    </w:p>
    <w:p w:rsidR="008D74C2" w:rsidP="008D74C2" w14:paraId="686B42E2" w14:textId="77777777">
      <w:pPr>
        <w:pStyle w:val="ListParagraph"/>
        <w:numPr>
          <w:ilvl w:val="0"/>
          <w:numId w:val="1"/>
        </w:numPr>
      </w:pPr>
      <w:r w:rsidRPr="00320376">
        <w:t xml:space="preserve">any serious or continuing noncompliance with </w:t>
      </w:r>
      <w:r>
        <w:t>45 CFR part 46</w:t>
      </w:r>
      <w:r w:rsidRPr="00320376">
        <w:t xml:space="preserve"> or the requirements or determinations of the </w:t>
      </w:r>
      <w:r>
        <w:t>institutional review board (IRB);</w:t>
      </w:r>
      <w:r w:rsidRPr="00320376">
        <w:t xml:space="preserve"> and </w:t>
      </w:r>
    </w:p>
    <w:p w:rsidR="008D74C2" w:rsidP="008D74C2" w14:paraId="75F1C15F" w14:textId="77777777">
      <w:pPr>
        <w:pStyle w:val="ListParagraph"/>
        <w:numPr>
          <w:ilvl w:val="0"/>
          <w:numId w:val="1"/>
        </w:numPr>
      </w:pPr>
      <w:r w:rsidRPr="00320376">
        <w:t xml:space="preserve">any suspension or termination of </w:t>
      </w:r>
      <w:r>
        <w:t>IRB</w:t>
      </w:r>
      <w:r w:rsidRPr="00320376">
        <w:t xml:space="preserve"> approval</w:t>
      </w:r>
      <w:r>
        <w:t>.</w:t>
      </w:r>
      <w:r>
        <w:rPr>
          <w:rStyle w:val="FootnoteReference"/>
        </w:rPr>
        <w:footnoteReference w:id="3"/>
      </w:r>
    </w:p>
    <w:p w:rsidR="008D74C2" w:rsidP="008D74C2" w14:paraId="56946195" w14:textId="77777777"/>
    <w:p w:rsidR="00DA66F3" w:rsidP="003E1D02" w14:paraId="09599594" w14:textId="77777777">
      <w:r w:rsidRPr="00320376">
        <w:t>When these events occur</w:t>
      </w:r>
      <w:r>
        <w:t xml:space="preserve"> in HHS</w:t>
      </w:r>
      <w:r w:rsidR="004273BF">
        <w:t xml:space="preserve"> </w:t>
      </w:r>
      <w:r>
        <w:t xml:space="preserve">nonexempt </w:t>
      </w:r>
      <w:r>
        <w:t>conducted or supported research</w:t>
      </w:r>
      <w:r w:rsidRPr="00944329">
        <w:t xml:space="preserve">, </w:t>
      </w:r>
      <w:r>
        <w:t>organizations</w:t>
      </w:r>
      <w:r w:rsidRPr="00320376">
        <w:t xml:space="preserve"> must </w:t>
      </w:r>
      <w:r>
        <w:t>promptly report information about the incident to OHRP.</w:t>
      </w:r>
      <w:r w:rsidR="00EA71B2">
        <w:t xml:space="preserve"> </w:t>
      </w:r>
      <w:r>
        <w:t>Historically,</w:t>
      </w:r>
      <w:r w:rsidRPr="00320376">
        <w:t xml:space="preserve"> OHRP </w:t>
      </w:r>
      <w:r>
        <w:t xml:space="preserve">called these reports “IRPTs” (Incident Reports) and suggested that affected organizations include the following information when communicating </w:t>
      </w:r>
      <w:r w:rsidRPr="00320376">
        <w:t xml:space="preserve">with </w:t>
      </w:r>
      <w:r>
        <w:t>OHRP</w:t>
      </w:r>
      <w:r w:rsidRPr="00320376">
        <w:t>:</w:t>
      </w:r>
    </w:p>
    <w:p w:rsidR="008D74C2" w:rsidRPr="00320376" w:rsidP="003E1D02" w14:paraId="13F58714" w14:textId="2B5224C6">
      <w:r w:rsidRPr="00320376">
        <w:br/>
        <w:t>Information about the research study (funding source, principal investigator, title, IRB or study number)</w:t>
      </w:r>
    </w:p>
    <w:p w:rsidR="008D74C2" w:rsidRPr="00320376" w:rsidP="008D74C2" w14:paraId="4D4BD977" w14:textId="77777777">
      <w:pPr>
        <w:pStyle w:val="ListParagraph"/>
        <w:numPr>
          <w:ilvl w:val="0"/>
          <w:numId w:val="2"/>
        </w:numPr>
      </w:pPr>
      <w:r w:rsidRPr="00320376">
        <w:t xml:space="preserve">Information about all </w:t>
      </w:r>
      <w:r>
        <w:t>organizations</w:t>
      </w:r>
      <w:r w:rsidRPr="00320376">
        <w:t xml:space="preserve"> affected by the incident</w:t>
      </w:r>
    </w:p>
    <w:p w:rsidR="008D74C2" w:rsidRPr="00320376" w:rsidP="008D74C2" w14:paraId="71E283D8" w14:textId="77777777">
      <w:pPr>
        <w:pStyle w:val="ListParagraph"/>
        <w:numPr>
          <w:ilvl w:val="0"/>
          <w:numId w:val="2"/>
        </w:numPr>
      </w:pPr>
      <w:r w:rsidRPr="00320376">
        <w:t>Detailed information about the incident</w:t>
      </w:r>
    </w:p>
    <w:p w:rsidR="008D74C2" w:rsidRPr="00320376" w:rsidP="008D74C2" w14:paraId="19E8D89A" w14:textId="77777777">
      <w:pPr>
        <w:pStyle w:val="ListParagraph"/>
        <w:numPr>
          <w:ilvl w:val="0"/>
          <w:numId w:val="2"/>
        </w:numPr>
      </w:pPr>
      <w:r w:rsidRPr="00320376">
        <w:t xml:space="preserve">Details about a corrective action plan implemented </w:t>
      </w:r>
      <w:r>
        <w:t xml:space="preserve">to address the incident and </w:t>
      </w:r>
      <w:r w:rsidRPr="00320376">
        <w:t>to prevent similar incidents from occurring</w:t>
      </w:r>
    </w:p>
    <w:p w:rsidR="008D74C2" w:rsidP="008D74C2" w14:paraId="14CA4B6A" w14:textId="77777777"/>
    <w:p w:rsidR="008D74C2" w:rsidRPr="00EA71B2" w:rsidP="008D74C2" w14:paraId="2562F927" w14:textId="7F63610D">
      <w:r>
        <w:t xml:space="preserve">OHRP standardized the </w:t>
      </w:r>
      <w:r w:rsidR="00880306">
        <w:t>information</w:t>
      </w:r>
      <w:r>
        <w:t xml:space="preserve"> </w:t>
      </w:r>
      <w:r w:rsidR="00880306">
        <w:t>organizations include</w:t>
      </w:r>
      <w:r>
        <w:t xml:space="preserve"> with an IRPT </w:t>
      </w:r>
      <w:r w:rsidR="00482FB3">
        <w:t>in OMB No. 0990-0477</w:t>
      </w:r>
      <w:r w:rsidR="0069239E">
        <w:t>, the OHRP Incident Report form</w:t>
      </w:r>
      <w:r w:rsidR="005B3E95">
        <w:t>,</w:t>
      </w:r>
      <w:r w:rsidR="00482FB3">
        <w:t xml:space="preserve"> </w:t>
      </w:r>
      <w:r w:rsidR="001E78B2">
        <w:t xml:space="preserve">that was </w:t>
      </w:r>
      <w:r w:rsidR="004273BF">
        <w:t>approved by OMB</w:t>
      </w:r>
      <w:r w:rsidR="00482FB3">
        <w:t xml:space="preserve"> </w:t>
      </w:r>
      <w:r w:rsidR="0069239E">
        <w:t>on</w:t>
      </w:r>
      <w:r w:rsidR="00482FB3">
        <w:t xml:space="preserve"> May </w:t>
      </w:r>
      <w:r w:rsidR="0069239E">
        <w:t xml:space="preserve">4, </w:t>
      </w:r>
      <w:r w:rsidR="00482FB3">
        <w:t>202</w:t>
      </w:r>
      <w:r w:rsidR="0069239E">
        <w:t xml:space="preserve">1. </w:t>
      </w:r>
      <w:r>
        <w:t xml:space="preserve">Initially, </w:t>
      </w:r>
      <w:r>
        <w:t>organizations</w:t>
      </w:r>
      <w:r w:rsidR="001E78B2">
        <w:t xml:space="preserve"> completed a fillable electronic version of the Incident Report form which was </w:t>
      </w:r>
      <w:r w:rsidR="00DD3002">
        <w:t xml:space="preserve">then </w:t>
      </w:r>
      <w:r w:rsidR="001E78B2">
        <w:t xml:space="preserve">submitted to OHRP </w:t>
      </w:r>
      <w:r w:rsidR="00613569">
        <w:t xml:space="preserve">by </w:t>
      </w:r>
      <w:r w:rsidR="001E78B2">
        <w:t>email or mail.</w:t>
      </w:r>
      <w:r w:rsidR="00EA71B2">
        <w:t xml:space="preserve"> </w:t>
      </w:r>
      <w:r w:rsidR="0069239E">
        <w:t xml:space="preserve">However, since January 2, 2022, </w:t>
      </w:r>
      <w:r w:rsidR="00613569">
        <w:t>organizations</w:t>
      </w:r>
      <w:r w:rsidR="0069239E">
        <w:t xml:space="preserve"> must </w:t>
      </w:r>
      <w:r w:rsidR="00613569">
        <w:t xml:space="preserve">complete and </w:t>
      </w:r>
      <w:r w:rsidR="005B3E95">
        <w:t xml:space="preserve">submit all incident reports </w:t>
      </w:r>
      <w:r w:rsidR="00613569">
        <w:t xml:space="preserve">to </w:t>
      </w:r>
      <w:r w:rsidR="005B3E95">
        <w:t xml:space="preserve">OHRP using the </w:t>
      </w:r>
      <w:hyperlink r:id="rId10" w:history="1">
        <w:r w:rsidRPr="00613569" w:rsidR="005B3E95">
          <w:rPr>
            <w:rStyle w:val="Hyperlink"/>
          </w:rPr>
          <w:t xml:space="preserve">online </w:t>
        </w:r>
        <w:r w:rsidR="00613569">
          <w:rPr>
            <w:rStyle w:val="Hyperlink"/>
          </w:rPr>
          <w:t xml:space="preserve">version of the </w:t>
        </w:r>
        <w:r w:rsidRPr="00613569" w:rsidR="005B3E95">
          <w:rPr>
            <w:rStyle w:val="Hyperlink"/>
          </w:rPr>
          <w:t>Incident Report form</w:t>
        </w:r>
      </w:hyperlink>
      <w:r w:rsidR="005B3E95">
        <w:t xml:space="preserve">, unless the institution lacks the ability to do so.  In 2023, all of the incident reports that were submitted to OHRP were completed and submitted electronically. </w:t>
      </w:r>
    </w:p>
    <w:p w:rsidR="008D74C2" w:rsidP="008D74C2" w14:paraId="60FD24E8" w14:textId="77777777"/>
    <w:p w:rsidR="008D74C2" w:rsidRPr="00BB57CA" w:rsidP="008D74C2" w14:paraId="6A7DCD04" w14:textId="2C0177DA">
      <w:pPr>
        <w:pStyle w:val="Heading2"/>
        <w:rPr>
          <w:b w:val="0"/>
          <w:bCs/>
          <w:u w:val="none"/>
        </w:rPr>
      </w:pPr>
      <w:r w:rsidRPr="00BB57CA">
        <w:rPr>
          <w:b w:val="0"/>
          <w:bCs/>
          <w:u w:val="none"/>
        </w:rPr>
        <w:t xml:space="preserve">2. </w:t>
      </w:r>
      <w:r w:rsidRPr="00BB57CA">
        <w:rPr>
          <w:b w:val="0"/>
          <w:bCs/>
        </w:rPr>
        <w:t>Purpose and Use of the Information</w:t>
      </w:r>
      <w:r w:rsidRPr="00BB57CA" w:rsidR="00BB57CA">
        <w:rPr>
          <w:b w:val="0"/>
          <w:bCs/>
        </w:rPr>
        <w:t xml:space="preserve"> Collection</w:t>
      </w:r>
    </w:p>
    <w:p w:rsidR="008D74C2" w:rsidRPr="004D4DD3" w:rsidP="008D74C2" w14:paraId="772F1281" w14:textId="77777777"/>
    <w:p w:rsidR="008D74C2" w:rsidRPr="00320376" w:rsidP="008D74C2" w14:paraId="2A8B387A" w14:textId="18AD72A7">
      <w:r w:rsidRPr="00320376">
        <w:t xml:space="preserve">Generally, OHRP uses the information collected to ensure the safety of human research </w:t>
      </w:r>
      <w:r>
        <w:t>subjects</w:t>
      </w:r>
      <w:r w:rsidRPr="00320376">
        <w:t xml:space="preserve"> and that research is conducted in accordance </w:t>
      </w:r>
      <w:r>
        <w:t>with</w:t>
      </w:r>
      <w:r w:rsidRPr="00320376">
        <w:t xml:space="preserve"> 45 CFR </w:t>
      </w:r>
      <w:r>
        <w:t>p</w:t>
      </w:r>
      <w:r w:rsidRPr="00944329">
        <w:t>art</w:t>
      </w:r>
      <w:r w:rsidRPr="00320376">
        <w:t xml:space="preserve"> 46. Specifically, OHRP uses the information to:</w:t>
      </w:r>
    </w:p>
    <w:p w:rsidR="008D74C2" w:rsidRPr="000F6E68" w:rsidP="008D74C2" w14:paraId="3A02731E" w14:textId="77777777"/>
    <w:p w:rsidR="008D74C2" w:rsidRPr="00320376" w:rsidP="008D74C2" w14:paraId="0B07203A" w14:textId="77777777">
      <w:pPr>
        <w:pStyle w:val="ListParagraph"/>
        <w:numPr>
          <w:ilvl w:val="0"/>
          <w:numId w:val="3"/>
        </w:numPr>
      </w:pPr>
      <w:r w:rsidRPr="00320376">
        <w:t xml:space="preserve">Determine if </w:t>
      </w:r>
      <w:r>
        <w:t>a</w:t>
      </w:r>
      <w:r w:rsidRPr="00320376">
        <w:t xml:space="preserve"> corrective action plan is sufficient </w:t>
      </w:r>
      <w:r>
        <w:t xml:space="preserve">for the organization or institution to address the incident and </w:t>
      </w:r>
      <w:r w:rsidRPr="00320376">
        <w:t>to prevent further incidents from occurring</w:t>
      </w:r>
    </w:p>
    <w:p w:rsidR="008D74C2" w:rsidRPr="00320376" w:rsidP="008D74C2" w14:paraId="2B6C1675" w14:textId="77777777">
      <w:pPr>
        <w:pStyle w:val="ListParagraph"/>
        <w:numPr>
          <w:ilvl w:val="0"/>
          <w:numId w:val="3"/>
        </w:numPr>
      </w:pPr>
      <w:r w:rsidRPr="00004AFF">
        <w:t>Determine if</w:t>
      </w:r>
      <w:r w:rsidRPr="00320376">
        <w:t xml:space="preserve"> the seriousness of </w:t>
      </w:r>
      <w:r>
        <w:t>an</w:t>
      </w:r>
      <w:r w:rsidRPr="00320376">
        <w:t xml:space="preserve"> incident may warrant a compliance action from OHRP</w:t>
      </w:r>
      <w:r>
        <w:t xml:space="preserve"> against the organization or institution</w:t>
      </w:r>
    </w:p>
    <w:p w:rsidR="008D74C2" w:rsidP="008D74C2" w14:paraId="6CA6419F" w14:textId="77777777">
      <w:pPr>
        <w:pStyle w:val="ListParagraph"/>
        <w:numPr>
          <w:ilvl w:val="0"/>
          <w:numId w:val="3"/>
        </w:numPr>
      </w:pPr>
      <w:r w:rsidRPr="00320376">
        <w:t>Identify common compliance issues which may require the development of guidance from OHRP</w:t>
      </w:r>
      <w:r>
        <w:t xml:space="preserve">, for investigators and organizations and institutions </w:t>
      </w:r>
    </w:p>
    <w:p w:rsidR="008D74C2" w:rsidP="008D74C2" w14:paraId="413056AA" w14:textId="77777777">
      <w:pPr>
        <w:pStyle w:val="ListParagraph"/>
      </w:pPr>
    </w:p>
    <w:p w:rsidR="008D74C2" w:rsidP="008D74C2" w14:paraId="767992CB" w14:textId="6576DFE9">
      <w:r>
        <w:t>Rare but p</w:t>
      </w:r>
      <w:r w:rsidRPr="003F2F52" w:rsidR="003F2F52">
        <w:t>ossible uses of information collected are potential OHRP compliance actions</w:t>
      </w:r>
      <w:r>
        <w:t xml:space="preserve"> including:</w:t>
      </w:r>
    </w:p>
    <w:p w:rsidR="008D74C2" w:rsidRPr="00684F82" w:rsidP="008D74C2" w14:paraId="31016A30" w14:textId="77777777">
      <w:pPr>
        <w:ind w:left="360"/>
      </w:pPr>
    </w:p>
    <w:p w:rsidR="008D74C2" w:rsidP="008D74C2" w14:paraId="1E537168" w14:textId="77777777">
      <w:pPr>
        <w:pStyle w:val="ListParagraph"/>
        <w:numPr>
          <w:ilvl w:val="0"/>
          <w:numId w:val="3"/>
        </w:numPr>
      </w:pPr>
      <w:r>
        <w:t>R</w:t>
      </w:r>
      <w:r w:rsidRPr="00684F82">
        <w:t>ecommend to appropriate HHS officials: (a) that an institution or an investigator be temporarily suspended or permanently removed from participation in specific projects, or (b) that HHS scientific peer review groups be notified of an institution's or an investigator's past noncompliance prior to review of new projects.</w:t>
      </w:r>
    </w:p>
    <w:p w:rsidR="008D74C2" w:rsidP="008D74C2" w14:paraId="02325E94" w14:textId="77777777">
      <w:pPr>
        <w:pStyle w:val="ListParagraph"/>
      </w:pPr>
    </w:p>
    <w:p w:rsidR="008D74C2" w:rsidRPr="00320376" w:rsidP="008D74C2" w14:paraId="6163054B" w14:textId="77777777">
      <w:pPr>
        <w:pStyle w:val="ListParagraph"/>
        <w:numPr>
          <w:ilvl w:val="0"/>
          <w:numId w:val="3"/>
        </w:numPr>
      </w:pPr>
      <w:r>
        <w:t>R</w:t>
      </w:r>
      <w:r w:rsidRPr="00684F82">
        <w:t>ecommend to appropriate HHS officials that institutions or investigators be debarred in accordance with the procedures specified at 45 CFR part 76. Debarment is a government-wide sanction.</w:t>
      </w:r>
    </w:p>
    <w:p w:rsidR="008D74C2" w:rsidP="008D74C2" w14:paraId="62F24727" w14:textId="59461B59">
      <w:r>
        <w:t xml:space="preserve">The </w:t>
      </w:r>
      <w:r w:rsidR="00D9691A">
        <w:t>information collected</w:t>
      </w:r>
      <w:r>
        <w:t xml:space="preserve"> on th</w:t>
      </w:r>
      <w:r w:rsidR="004273BF">
        <w:t>e</w:t>
      </w:r>
      <w:r>
        <w:t xml:space="preserve"> </w:t>
      </w:r>
      <w:r w:rsidR="00D9691A">
        <w:t xml:space="preserve">incident report </w:t>
      </w:r>
      <w:r>
        <w:t xml:space="preserve">form </w:t>
      </w:r>
      <w:r w:rsidR="00D9691A">
        <w:t>is</w:t>
      </w:r>
      <w:r>
        <w:t xml:space="preserve"> the minimum necessary for OHRP to establish:</w:t>
      </w:r>
    </w:p>
    <w:p w:rsidR="008D74C2" w:rsidP="008D74C2" w14:paraId="03A09417" w14:textId="77777777"/>
    <w:p w:rsidR="008D74C2" w:rsidP="008D74C2" w14:paraId="425DDF91" w14:textId="77777777">
      <w:pPr>
        <w:pStyle w:val="ListParagraph"/>
        <w:numPr>
          <w:ilvl w:val="0"/>
          <w:numId w:val="4"/>
        </w:numPr>
      </w:pPr>
      <w:r>
        <w:t>The names of all relevant parties</w:t>
      </w:r>
    </w:p>
    <w:p w:rsidR="008D74C2" w:rsidP="008D74C2" w14:paraId="265693C5" w14:textId="77777777">
      <w:pPr>
        <w:pStyle w:val="ListParagraph"/>
        <w:numPr>
          <w:ilvl w:val="0"/>
          <w:numId w:val="4"/>
        </w:numPr>
      </w:pPr>
      <w:r>
        <w:t>The dates when incidents occurred</w:t>
      </w:r>
    </w:p>
    <w:p w:rsidR="008D74C2" w:rsidP="008D74C2" w14:paraId="626FBB17" w14:textId="77777777">
      <w:pPr>
        <w:pStyle w:val="ListParagraph"/>
        <w:numPr>
          <w:ilvl w:val="0"/>
          <w:numId w:val="4"/>
        </w:numPr>
      </w:pPr>
      <w:r>
        <w:t>Basic information about the incident</w:t>
      </w:r>
    </w:p>
    <w:p w:rsidR="000054EB" w:rsidP="000054EB" w14:paraId="52A8E0B2" w14:textId="77777777">
      <w:pPr>
        <w:pStyle w:val="ListParagraph"/>
        <w:numPr>
          <w:ilvl w:val="0"/>
          <w:numId w:val="4"/>
        </w:numPr>
      </w:pPr>
      <w:r>
        <w:t>Information about the affected organizations’ response to the incident</w:t>
      </w:r>
    </w:p>
    <w:p w:rsidR="000054EB" w:rsidP="000054EB" w14:paraId="3057843C" w14:textId="77777777">
      <w:pPr>
        <w:pStyle w:val="ListParagraph"/>
      </w:pPr>
    </w:p>
    <w:p w:rsidR="00A40F18" w:rsidP="006C423F" w14:paraId="085FB4B1" w14:textId="77777777">
      <w:pPr>
        <w:pStyle w:val="ListParagraph"/>
        <w:ind w:left="0"/>
      </w:pPr>
      <w:r>
        <w:t xml:space="preserve">This information collection request includes two new information elements on the Incident </w:t>
      </w:r>
      <w:r>
        <w:t xml:space="preserve">Report form: </w:t>
      </w:r>
    </w:p>
    <w:p w:rsidR="006C423F" w:rsidP="006C423F" w14:paraId="53ACD98C" w14:textId="77777777">
      <w:pPr>
        <w:pStyle w:val="ListParagraph"/>
        <w:ind w:left="0"/>
      </w:pPr>
    </w:p>
    <w:p w:rsidR="007D51E9" w:rsidP="00E67A98" w14:paraId="0E4DFBBD" w14:textId="6A85EC4F">
      <w:pPr>
        <w:pStyle w:val="ListParagraph"/>
        <w:numPr>
          <w:ilvl w:val="0"/>
          <w:numId w:val="8"/>
        </w:numPr>
        <w:ind w:left="720"/>
      </w:pPr>
      <w:r>
        <w:t xml:space="preserve">The IRB Organization Number </w:t>
      </w:r>
      <w:r w:rsidR="004F731A">
        <w:t xml:space="preserve">(IORG #) </w:t>
      </w:r>
      <w:r>
        <w:t xml:space="preserve">of </w:t>
      </w:r>
      <w:r w:rsidRPr="007D51E9" w:rsidR="00B43FBD">
        <w:t xml:space="preserve">the IRB responsible for reviewing the research study </w:t>
      </w:r>
      <w:r w:rsidR="00315F95">
        <w:t>under 45 CFR part 46</w:t>
      </w:r>
      <w:r w:rsidRPr="007D51E9" w:rsidR="001F72FD">
        <w:t>.</w:t>
      </w:r>
      <w:r w:rsidR="004F731A">
        <w:t xml:space="preserve"> While the current OMB-approved OHRP Incident Report form includes the “FWA or IORG number of reporting institution,”</w:t>
      </w:r>
      <w:r w:rsidRPr="007D51E9" w:rsidR="001F72FD">
        <w:t xml:space="preserve"> </w:t>
      </w:r>
      <w:r w:rsidR="00AE33FF">
        <w:t xml:space="preserve">it does not include the IORG number of the IRB responsible for reviewing the research study. </w:t>
      </w:r>
      <w:r w:rsidR="007D09F8">
        <w:t xml:space="preserve">The addition of this element will offer institutions an option to accurately identify the IRB responsible for reviewing the research study. </w:t>
      </w:r>
    </w:p>
    <w:p w:rsidR="00E67A98" w:rsidP="00E67A98" w14:paraId="72FE4411" w14:textId="77777777">
      <w:pPr>
        <w:pStyle w:val="ListParagraph"/>
      </w:pPr>
    </w:p>
    <w:p w:rsidR="008F17C8" w:rsidP="00E67A98" w14:paraId="2994031E" w14:textId="3F53DDA6">
      <w:pPr>
        <w:pStyle w:val="ListParagraph"/>
        <w:numPr>
          <w:ilvl w:val="0"/>
          <w:numId w:val="8"/>
        </w:numPr>
        <w:ind w:left="720"/>
      </w:pPr>
      <w:r>
        <w:t>A new corrective action plan category</w:t>
      </w:r>
      <w:r w:rsidR="007869AC">
        <w:t xml:space="preserve"> entitled, </w:t>
      </w:r>
      <w:r w:rsidR="00CF08D1">
        <w:t>“</w:t>
      </w:r>
      <w:r w:rsidRPr="008F17C8" w:rsidR="000054EB">
        <w:t>Revising research policies and procedures</w:t>
      </w:r>
      <w:r w:rsidR="003652A6">
        <w:t>.</w:t>
      </w:r>
      <w:r w:rsidR="00CF08D1">
        <w:t xml:space="preserve">” </w:t>
      </w:r>
      <w:r w:rsidR="003652A6">
        <w:t>The addition of this category will</w:t>
      </w:r>
      <w:r w:rsidR="00CF08D1">
        <w:t xml:space="preserve"> </w:t>
      </w:r>
      <w:r w:rsidR="007869AC">
        <w:t xml:space="preserve">offer </w:t>
      </w:r>
      <w:r>
        <w:t>institutions</w:t>
      </w:r>
      <w:r w:rsidR="007869AC">
        <w:t xml:space="preserve"> a more accurate option </w:t>
      </w:r>
      <w:r w:rsidR="003652A6">
        <w:t>to report</w:t>
      </w:r>
      <w:r>
        <w:t xml:space="preserve"> corrective actions that involve revisions to their research policies and procedures.</w:t>
      </w:r>
    </w:p>
    <w:p w:rsidR="00DA66F3" w:rsidP="003344EE" w14:paraId="48D5819D" w14:textId="77777777"/>
    <w:p w:rsidR="008D74C2" w:rsidRPr="00BB57CA" w:rsidP="008D74C2" w14:paraId="0B120D2B" w14:textId="35CF9FC7">
      <w:pPr>
        <w:pStyle w:val="Heading2"/>
        <w:rPr>
          <w:b w:val="0"/>
          <w:bCs/>
          <w:u w:val="none"/>
        </w:rPr>
      </w:pPr>
      <w:r w:rsidRPr="00BB57CA">
        <w:rPr>
          <w:b w:val="0"/>
          <w:bCs/>
          <w:u w:val="none"/>
        </w:rPr>
        <w:t xml:space="preserve">3. </w:t>
      </w:r>
      <w:r w:rsidRPr="00BB57CA">
        <w:rPr>
          <w:b w:val="0"/>
          <w:bCs/>
        </w:rPr>
        <w:t>Use of Improved Information Technology</w:t>
      </w:r>
      <w:r w:rsidR="00711062">
        <w:rPr>
          <w:b w:val="0"/>
          <w:bCs/>
        </w:rPr>
        <w:t xml:space="preserve"> and Burden Reduction</w:t>
      </w:r>
    </w:p>
    <w:p w:rsidR="008D74C2" w:rsidP="008D74C2" w14:paraId="4E8FD8A0" w14:textId="77777777"/>
    <w:p w:rsidR="008D74C2" w:rsidRPr="00320376" w:rsidP="008D74C2" w14:paraId="0E583B4A" w14:textId="7EAD0004">
      <w:r>
        <w:t xml:space="preserve">OHRP’s utilization of information technology to allow for electronic completion and submission of the incident report </w:t>
      </w:r>
      <w:r w:rsidR="00C1633B">
        <w:t xml:space="preserve">form </w:t>
      </w:r>
      <w:r>
        <w:t>information to OHRP eliminated the need for institutions</w:t>
      </w:r>
      <w:r w:rsidR="009C4794">
        <w:t xml:space="preserve"> to manually complete a fillable electronic version of</w:t>
      </w:r>
      <w:r>
        <w:t xml:space="preserve"> the incident report form and submit it </w:t>
      </w:r>
      <w:r w:rsidR="00C1633B">
        <w:t xml:space="preserve">to </w:t>
      </w:r>
      <w:r>
        <w:t>OHRP via email or mail. In addition</w:t>
      </w:r>
      <w:r w:rsidR="00C1633B">
        <w:t xml:space="preserve">, </w:t>
      </w:r>
      <w:r>
        <w:t xml:space="preserve">OHRP staff no longer had to manually enter the collected information into a database. </w:t>
      </w:r>
    </w:p>
    <w:p w:rsidR="008D74C2" w:rsidRPr="00320376" w:rsidP="008D74C2" w14:paraId="69E7463E" w14:textId="77777777"/>
    <w:p w:rsidR="008D74C2" w:rsidRPr="00BB57CA" w:rsidP="008D74C2" w14:paraId="687EB9D9" w14:textId="222649F0">
      <w:pPr>
        <w:pStyle w:val="Heading2"/>
        <w:rPr>
          <w:b w:val="0"/>
          <w:bCs/>
          <w:u w:val="none"/>
        </w:rPr>
      </w:pPr>
      <w:r w:rsidRPr="00BB57CA">
        <w:rPr>
          <w:b w:val="0"/>
          <w:bCs/>
          <w:u w:val="none"/>
        </w:rPr>
        <w:t xml:space="preserve">4. </w:t>
      </w:r>
      <w:r w:rsidRPr="00711062">
        <w:rPr>
          <w:b w:val="0"/>
          <w:bCs/>
        </w:rPr>
        <w:t>Efforts to Identify Duplication</w:t>
      </w:r>
      <w:r w:rsidRPr="00711062" w:rsidR="00711062">
        <w:rPr>
          <w:b w:val="0"/>
          <w:bCs/>
        </w:rPr>
        <w:t xml:space="preserve"> and Use of Similar Information</w:t>
      </w:r>
    </w:p>
    <w:p w:rsidR="008D74C2" w:rsidRPr="00320376" w:rsidP="008D74C2" w14:paraId="60ACA74D" w14:textId="62E6EEE1">
      <w:pPr>
        <w:rPr>
          <w:u w:val="single"/>
        </w:rPr>
      </w:pPr>
      <w:r w:rsidRPr="00944329">
        <w:br/>
      </w:r>
      <w:r w:rsidR="00C1633B">
        <w:t>The incident report form information does not duplicate an</w:t>
      </w:r>
      <w:r w:rsidR="00A35ED0">
        <w:t>y other information collected by OHRP.</w:t>
      </w:r>
      <w:r>
        <w:t xml:space="preserve"> </w:t>
      </w:r>
    </w:p>
    <w:p w:rsidR="008D74C2" w:rsidRPr="00320376" w:rsidP="008D74C2" w14:paraId="5A9B1D46" w14:textId="77777777"/>
    <w:p w:rsidR="008D74C2" w:rsidRPr="00711062" w:rsidP="008D74C2" w14:paraId="0BBEDA47" w14:textId="413DB7E8">
      <w:pPr>
        <w:pStyle w:val="Heading2"/>
        <w:rPr>
          <w:b w:val="0"/>
          <w:bCs/>
        </w:rPr>
      </w:pPr>
      <w:r w:rsidRPr="00711062">
        <w:rPr>
          <w:b w:val="0"/>
          <w:bCs/>
          <w:u w:val="none"/>
        </w:rPr>
        <w:t xml:space="preserve">5. </w:t>
      </w:r>
      <w:r w:rsidRPr="00711062">
        <w:rPr>
          <w:b w:val="0"/>
          <w:bCs/>
        </w:rPr>
        <w:t>I</w:t>
      </w:r>
      <w:r w:rsidRPr="00711062" w:rsidR="00711062">
        <w:rPr>
          <w:b w:val="0"/>
          <w:bCs/>
        </w:rPr>
        <w:t>mpact on</w:t>
      </w:r>
      <w:r w:rsidRPr="00711062">
        <w:rPr>
          <w:b w:val="0"/>
          <w:bCs/>
        </w:rPr>
        <w:t xml:space="preserve"> Small </w:t>
      </w:r>
      <w:r w:rsidRPr="00711062" w:rsidR="00711062">
        <w:rPr>
          <w:b w:val="0"/>
          <w:bCs/>
        </w:rPr>
        <w:t xml:space="preserve">Businesses or Small </w:t>
      </w:r>
      <w:r w:rsidRPr="00711062">
        <w:rPr>
          <w:b w:val="0"/>
          <w:bCs/>
        </w:rPr>
        <w:t>Entities</w:t>
      </w:r>
    </w:p>
    <w:p w:rsidR="008D74C2" w:rsidP="008D74C2" w14:paraId="33C89316" w14:textId="77777777"/>
    <w:p w:rsidR="008D74C2" w:rsidRPr="00320376" w:rsidP="008D74C2" w14:paraId="30BF7CCC" w14:textId="68B74C50">
      <w:pPr>
        <w:rPr>
          <w:u w:val="single"/>
        </w:rPr>
      </w:pPr>
      <w:r>
        <w:t>The s</w:t>
      </w:r>
      <w:r w:rsidRPr="00320376">
        <w:t xml:space="preserve">mall businesses that are most likely to be affected are for-profit, </w:t>
      </w:r>
      <w:r>
        <w:t>independent</w:t>
      </w:r>
      <w:r w:rsidRPr="00320376">
        <w:t xml:space="preserve"> IRB companies and small companies that conduct HHS-supported research involving human subjects.</w:t>
      </w:r>
      <w:r w:rsidR="00EA71B2">
        <w:t xml:space="preserve"> T</w:t>
      </w:r>
      <w:r w:rsidRPr="00320376">
        <w:t xml:space="preserve">he </w:t>
      </w:r>
      <w:r w:rsidR="00A35ED0">
        <w:t>incident report form information</w:t>
      </w:r>
      <w:r w:rsidRPr="00320376">
        <w:t xml:space="preserve"> minimizes burden for small businesses by providing a simplified standardized </w:t>
      </w:r>
      <w:r w:rsidR="00A35ED0">
        <w:t>electronic process</w:t>
      </w:r>
      <w:r w:rsidRPr="00320376">
        <w:t xml:space="preserve"> for reporting incidents. The information collection will not have a significant economic impact on small entities.  </w:t>
      </w:r>
    </w:p>
    <w:p w:rsidR="008D74C2" w:rsidRPr="00320376" w:rsidP="008D74C2" w14:paraId="3D2374BA" w14:textId="77777777">
      <w:pPr>
        <w:rPr>
          <w:u w:val="single"/>
        </w:rPr>
      </w:pPr>
    </w:p>
    <w:p w:rsidR="008D74C2" w:rsidRPr="00711062" w:rsidP="008D74C2" w14:paraId="1441DC83" w14:textId="203595CB">
      <w:pPr>
        <w:pStyle w:val="Heading2"/>
        <w:rPr>
          <w:b w:val="0"/>
          <w:bCs/>
          <w:u w:val="none"/>
        </w:rPr>
      </w:pPr>
      <w:r w:rsidRPr="00711062">
        <w:rPr>
          <w:b w:val="0"/>
          <w:bCs/>
          <w:u w:val="none"/>
        </w:rPr>
        <w:t xml:space="preserve">6. </w:t>
      </w:r>
      <w:r w:rsidRPr="00711062">
        <w:rPr>
          <w:b w:val="0"/>
          <w:bCs/>
        </w:rPr>
        <w:t xml:space="preserve">Consequences </w:t>
      </w:r>
      <w:r w:rsidRPr="00711062" w:rsidR="00711062">
        <w:rPr>
          <w:b w:val="0"/>
          <w:bCs/>
        </w:rPr>
        <w:t>or Collecting the Information</w:t>
      </w:r>
      <w:r w:rsidRPr="00711062">
        <w:rPr>
          <w:b w:val="0"/>
          <w:bCs/>
        </w:rPr>
        <w:t xml:space="preserve"> Less Frequently</w:t>
      </w:r>
      <w:r w:rsidRPr="00711062">
        <w:rPr>
          <w:b w:val="0"/>
          <w:bCs/>
          <w:u w:val="none"/>
        </w:rPr>
        <w:br/>
      </w:r>
    </w:p>
    <w:p w:rsidR="008D74C2" w:rsidP="008D74C2" w14:paraId="3DB5585E" w14:textId="27B71640">
      <w:r>
        <w:t>The HHS Protection of Human Subjects regulations,</w:t>
      </w:r>
      <w:r>
        <w:t xml:space="preserve"> </w:t>
      </w:r>
      <w:r w:rsidRPr="00AB1D7B">
        <w:t>45 CFR part</w:t>
      </w:r>
      <w:r w:rsidRPr="00320376">
        <w:t xml:space="preserve"> 46</w:t>
      </w:r>
      <w:r>
        <w:t xml:space="preserve">, </w:t>
      </w:r>
      <w:r w:rsidRPr="00320376">
        <w:t xml:space="preserve">mandates that </w:t>
      </w:r>
      <w:r>
        <w:t>organizations</w:t>
      </w:r>
      <w:r w:rsidRPr="00320376">
        <w:t xml:space="preserve"> engaged in </w:t>
      </w:r>
      <w:r>
        <w:t>or reviewing nonexempt HHS supported or conducted</w:t>
      </w:r>
      <w:r w:rsidRPr="00320376">
        <w:t xml:space="preserve"> human subjects </w:t>
      </w:r>
      <w:r w:rsidRPr="00AB1D7B">
        <w:t xml:space="preserve">research </w:t>
      </w:r>
      <w:r w:rsidRPr="00320376">
        <w:t xml:space="preserve">must </w:t>
      </w:r>
      <w:r w:rsidRPr="009E108D">
        <w:rPr>
          <w:i/>
        </w:rPr>
        <w:t>promptly</w:t>
      </w:r>
      <w:r>
        <w:t xml:space="preserve"> </w:t>
      </w:r>
      <w:r w:rsidRPr="00320376">
        <w:t xml:space="preserve">report information </w:t>
      </w:r>
      <w:r w:rsidRPr="00AB1D7B">
        <w:t>about certain activities (outlined</w:t>
      </w:r>
      <w:r w:rsidRPr="00320376">
        <w:t xml:space="preserve"> in </w:t>
      </w:r>
      <w:r w:rsidRPr="00AB1D7B">
        <w:t xml:space="preserve">number 1 above) </w:t>
      </w:r>
      <w:r w:rsidRPr="00AB1D7B">
        <w:t>to OHRP.</w:t>
      </w:r>
      <w:r w:rsidRPr="00320376">
        <w:t xml:space="preserve"> </w:t>
      </w:r>
    </w:p>
    <w:p w:rsidR="008D74C2" w:rsidP="008D74C2" w14:paraId="710BF2A0" w14:textId="77777777"/>
    <w:p w:rsidR="008D74C2" w:rsidRPr="00320376" w:rsidP="008D74C2" w14:paraId="7267D437" w14:textId="66044C9E">
      <w:r>
        <w:t xml:space="preserve">We intend for respondents to use </w:t>
      </w:r>
      <w:r w:rsidR="001C2516">
        <w:t xml:space="preserve">the incident report </w:t>
      </w:r>
      <w:r>
        <w:t>form on an incident-by-incident</w:t>
      </w:r>
      <w:r w:rsidRPr="00320376">
        <w:t xml:space="preserve"> reporting </w:t>
      </w:r>
      <w:r>
        <w:t xml:space="preserve">basis to OHRP. A system whereby organizations report </w:t>
      </w:r>
      <w:r w:rsidRPr="00320376">
        <w:t xml:space="preserve">incidents </w:t>
      </w:r>
      <w:r>
        <w:t>on a periodic basis (such as quarterly or annually)</w:t>
      </w:r>
      <w:r w:rsidRPr="00320376">
        <w:t xml:space="preserve"> would not </w:t>
      </w:r>
      <w:r>
        <w:t xml:space="preserve">satisfy the requirement that entities conducting human subjects research report certain incidents promptly to OHRP and thus would cause those entities to be out of </w:t>
      </w:r>
      <w:r w:rsidRPr="00320376">
        <w:t xml:space="preserve">compliance with </w:t>
      </w:r>
      <w:r>
        <w:t>45 CFR part 46.</w:t>
      </w:r>
      <w:r w:rsidRPr="00AB1D7B">
        <w:br/>
      </w:r>
    </w:p>
    <w:p w:rsidR="008D74C2" w:rsidRPr="00711062" w:rsidP="008D74C2" w14:paraId="144537FF" w14:textId="10849E3C">
      <w:pPr>
        <w:pStyle w:val="Heading2"/>
        <w:rPr>
          <w:b w:val="0"/>
          <w:bCs/>
        </w:rPr>
      </w:pPr>
      <w:r w:rsidRPr="00711062">
        <w:rPr>
          <w:b w:val="0"/>
          <w:bCs/>
          <w:u w:val="none"/>
        </w:rPr>
        <w:t xml:space="preserve">7. </w:t>
      </w:r>
      <w:r w:rsidRPr="00711062">
        <w:rPr>
          <w:b w:val="0"/>
          <w:bCs/>
        </w:rPr>
        <w:t>Special Circumstances</w:t>
      </w:r>
      <w:r w:rsidRPr="00711062" w:rsidR="00711062">
        <w:rPr>
          <w:b w:val="0"/>
          <w:bCs/>
        </w:rPr>
        <w:t xml:space="preserve"> Relating o the Guidelines of 5 CFR 1320.5</w:t>
      </w:r>
    </w:p>
    <w:p w:rsidR="008D74C2" w:rsidRPr="00320376" w:rsidP="008D74C2" w14:paraId="3E81E869" w14:textId="77777777">
      <w:pPr>
        <w:rPr>
          <w:u w:val="single"/>
        </w:rPr>
      </w:pPr>
    </w:p>
    <w:p w:rsidR="008D74C2" w:rsidRPr="001400C8" w:rsidP="008D74C2" w14:paraId="18BDD585" w14:textId="3E813C40">
      <w:r>
        <w:t xml:space="preserve">The information collection request fully complies with regulation </w:t>
      </w:r>
      <w:r w:rsidRPr="00607B0E">
        <w:t>5 CFR 1320.5</w:t>
      </w:r>
      <w:r w:rsidRPr="00607B0E">
        <w:t>.</w:t>
      </w:r>
      <w:r w:rsidRPr="001400C8">
        <w:t xml:space="preserve"> </w:t>
      </w:r>
    </w:p>
    <w:p w:rsidR="008D74C2" w:rsidRPr="003E1366" w:rsidP="008D74C2" w14:paraId="45B50CD5" w14:textId="77777777">
      <w:pPr>
        <w:rPr>
          <w:u w:val="single"/>
        </w:rPr>
      </w:pPr>
    </w:p>
    <w:p w:rsidR="008D74C2" w:rsidRPr="00711062" w:rsidP="008D74C2" w14:paraId="4DBA2616" w14:textId="61265EFF">
      <w:pPr>
        <w:pStyle w:val="Heading2"/>
        <w:rPr>
          <w:b w:val="0"/>
          <w:bCs/>
          <w:u w:val="none"/>
        </w:rPr>
      </w:pPr>
      <w:r w:rsidRPr="00711062">
        <w:rPr>
          <w:b w:val="0"/>
          <w:bCs/>
          <w:u w:val="none"/>
        </w:rPr>
        <w:t xml:space="preserve">8. </w:t>
      </w:r>
      <w:r w:rsidR="007A321A">
        <w:rPr>
          <w:b w:val="0"/>
          <w:bCs/>
          <w:i/>
          <w:iCs/>
          <w:u w:val="none"/>
        </w:rPr>
        <w:t xml:space="preserve">Federal Register </w:t>
      </w:r>
      <w:r w:rsidR="007A321A">
        <w:rPr>
          <w:b w:val="0"/>
          <w:bCs/>
          <w:u w:val="none"/>
        </w:rPr>
        <w:t>Notice</w:t>
      </w:r>
      <w:r w:rsidR="00711062">
        <w:rPr>
          <w:b w:val="0"/>
          <w:bCs/>
          <w:u w:val="none"/>
        </w:rPr>
        <w:t xml:space="preserve"> /Outside </w:t>
      </w:r>
      <w:r w:rsidRPr="00711062">
        <w:rPr>
          <w:b w:val="0"/>
          <w:bCs/>
          <w:u w:val="none"/>
        </w:rPr>
        <w:t xml:space="preserve">Consultation </w:t>
      </w:r>
    </w:p>
    <w:p w:rsidR="008D74C2" w:rsidP="008D74C2" w14:paraId="79540A9B" w14:textId="77777777"/>
    <w:p w:rsidR="007708FE" w:rsidP="007708FE" w14:paraId="57DFE672" w14:textId="69FE6FD0">
      <w:pPr>
        <w:pStyle w:val="BodyTextIndent2"/>
        <w:spacing w:line="240" w:lineRule="auto"/>
        <w:ind w:left="0"/>
      </w:pPr>
      <w:r>
        <w:t xml:space="preserve">Public comments were solicited for a 60-day period in the </w:t>
      </w:r>
      <w:r>
        <w:rPr>
          <w:i/>
          <w:iCs/>
        </w:rPr>
        <w:t>Federal Register</w:t>
      </w:r>
      <w:r>
        <w:t xml:space="preserve"> published on April 25, 2024 (89 FR 31759).  No comments were submitted.</w:t>
      </w:r>
    </w:p>
    <w:p w:rsidR="007708FE" w:rsidRPr="00A6629C" w:rsidP="007708FE" w14:paraId="61147D44" w14:textId="77777777">
      <w:pPr>
        <w:pStyle w:val="BodyTextIndent2"/>
        <w:spacing w:line="240" w:lineRule="auto"/>
        <w:ind w:left="0"/>
      </w:pPr>
    </w:p>
    <w:p w:rsidR="008D74C2" w:rsidRPr="007A321A" w:rsidP="008D74C2" w14:paraId="2A836425" w14:textId="0C878392">
      <w:pPr>
        <w:pStyle w:val="Heading2"/>
        <w:rPr>
          <w:b w:val="0"/>
          <w:bCs/>
          <w:u w:val="none"/>
        </w:rPr>
      </w:pPr>
      <w:r w:rsidRPr="007A321A">
        <w:rPr>
          <w:b w:val="0"/>
          <w:bCs/>
          <w:u w:val="none"/>
        </w:rPr>
        <w:t xml:space="preserve">9. </w:t>
      </w:r>
      <w:r w:rsidRPr="007A321A" w:rsidR="007A321A">
        <w:rPr>
          <w:b w:val="0"/>
          <w:bCs/>
        </w:rPr>
        <w:t xml:space="preserve">Explanation of Any </w:t>
      </w:r>
      <w:r w:rsidRPr="007A321A">
        <w:rPr>
          <w:b w:val="0"/>
          <w:bCs/>
        </w:rPr>
        <w:t>Payment</w:t>
      </w:r>
      <w:r w:rsidRPr="007A321A" w:rsidR="007A321A">
        <w:rPr>
          <w:b w:val="0"/>
          <w:bCs/>
        </w:rPr>
        <w:t>/</w:t>
      </w:r>
      <w:r w:rsidRPr="007A321A">
        <w:rPr>
          <w:b w:val="0"/>
          <w:bCs/>
        </w:rPr>
        <w:t>Gifts</w:t>
      </w:r>
      <w:r w:rsidRPr="007A321A" w:rsidR="007A321A">
        <w:rPr>
          <w:b w:val="0"/>
          <w:bCs/>
        </w:rPr>
        <w:t xml:space="preserve"> to Respondents</w:t>
      </w:r>
    </w:p>
    <w:p w:rsidR="008D74C2" w:rsidP="008D74C2" w14:paraId="0DA5A68D" w14:textId="77777777"/>
    <w:p w:rsidR="008D74C2" w:rsidRPr="00320376" w:rsidP="008D74C2" w14:paraId="26F33129" w14:textId="3269085A">
      <w:r>
        <w:t>No p</w:t>
      </w:r>
      <w:r w:rsidRPr="00320376">
        <w:t xml:space="preserve">ayments or gifts </w:t>
      </w:r>
      <w:r w:rsidR="001C2516">
        <w:t>will be</w:t>
      </w:r>
      <w:r w:rsidRPr="00320376">
        <w:t xml:space="preserve"> provided</w:t>
      </w:r>
      <w:r>
        <w:t xml:space="preserve"> to the respondents</w:t>
      </w:r>
      <w:r w:rsidRPr="00320376">
        <w:t>.</w:t>
      </w:r>
      <w:r w:rsidRPr="00320376">
        <w:rPr>
          <w:u w:val="single"/>
        </w:rPr>
        <w:br/>
      </w:r>
    </w:p>
    <w:p w:rsidR="008D74C2" w:rsidRPr="007A321A" w:rsidP="008D74C2" w14:paraId="5AB1C5BD" w14:textId="6FB0B63F">
      <w:pPr>
        <w:pStyle w:val="Heading2"/>
        <w:rPr>
          <w:b w:val="0"/>
          <w:bCs/>
          <w:u w:val="none"/>
        </w:rPr>
      </w:pPr>
      <w:r w:rsidRPr="007A321A">
        <w:rPr>
          <w:b w:val="0"/>
          <w:bCs/>
          <w:u w:val="none"/>
        </w:rPr>
        <w:t xml:space="preserve">10. </w:t>
      </w:r>
      <w:r w:rsidRPr="007A321A">
        <w:rPr>
          <w:b w:val="0"/>
          <w:bCs/>
        </w:rPr>
        <w:t>Assurance of Confidentiality</w:t>
      </w:r>
      <w:r w:rsidRPr="007A321A" w:rsidR="007A321A">
        <w:rPr>
          <w:b w:val="0"/>
          <w:bCs/>
        </w:rPr>
        <w:t xml:space="preserve"> Provided to Respondents</w:t>
      </w:r>
      <w:r w:rsidRPr="007A321A">
        <w:rPr>
          <w:b w:val="0"/>
          <w:bCs/>
          <w:u w:val="none"/>
        </w:rPr>
        <w:t xml:space="preserve"> </w:t>
      </w:r>
    </w:p>
    <w:p w:rsidR="008D74C2" w:rsidP="008D74C2" w14:paraId="70FBC750" w14:textId="77777777">
      <w:pPr>
        <w:widowControl/>
        <w:autoSpaceDE/>
        <w:autoSpaceDN/>
        <w:adjustRightInd/>
      </w:pPr>
    </w:p>
    <w:p w:rsidR="008D74C2" w:rsidP="008D74C2" w14:paraId="061A383C" w14:textId="2B167F9E">
      <w:pPr>
        <w:widowControl/>
        <w:autoSpaceDE/>
        <w:autoSpaceDN/>
        <w:adjustRightInd/>
      </w:pPr>
      <w:r w:rsidRPr="004F248B">
        <w:t>The information</w:t>
      </w:r>
      <w:r>
        <w:t xml:space="preserve"> on the </w:t>
      </w:r>
      <w:r w:rsidR="001C2516">
        <w:t xml:space="preserve">incident report </w:t>
      </w:r>
      <w:r>
        <w:t>form will</w:t>
      </w:r>
      <w:r w:rsidRPr="004F248B">
        <w:t xml:space="preserve"> not </w:t>
      </w:r>
      <w:r>
        <w:t xml:space="preserve">be affirmatively made </w:t>
      </w:r>
      <w:r w:rsidRPr="004F248B">
        <w:t>public</w:t>
      </w:r>
      <w:r>
        <w:t xml:space="preserve"> due to policy considerations; it</w:t>
      </w:r>
      <w:r w:rsidRPr="004F248B">
        <w:t xml:space="preserve"> </w:t>
      </w:r>
      <w:r>
        <w:t xml:space="preserve">will only be made public to the extent required by the Freedom of Information Act (FOIA) in response to a FOIA request. </w:t>
      </w:r>
    </w:p>
    <w:p w:rsidR="008D74C2" w:rsidP="008D74C2" w14:paraId="36EC0620" w14:textId="77777777">
      <w:pPr>
        <w:widowControl/>
        <w:autoSpaceDE/>
        <w:autoSpaceDN/>
        <w:adjustRightInd/>
        <w:ind w:left="1080"/>
      </w:pPr>
    </w:p>
    <w:p w:rsidR="008D74C2" w:rsidP="008D74C2" w14:paraId="17B3D989" w14:textId="653BB458">
      <w:r>
        <w:t xml:space="preserve">The Incident Report </w:t>
      </w:r>
      <w:r w:rsidR="001C2516">
        <w:t>f</w:t>
      </w:r>
      <w:r>
        <w:t xml:space="preserve">orm will not collect information that will be subject to the Privacy Act; all information collected is intended to be about organizations or institutions and to be used by OHRP to ensure that those entities address the incidents appropriately. </w:t>
      </w:r>
      <w:r w:rsidR="001C2516">
        <w:t>A</w:t>
      </w:r>
      <w:r>
        <w:t xml:space="preserve">ll OHRP actions in response to </w:t>
      </w:r>
      <w:r w:rsidR="001C2516">
        <w:t xml:space="preserve">incident </w:t>
      </w:r>
      <w:r>
        <w:t xml:space="preserve">reports have, to date, been directed at the affected organization or institution. Certain actions against an organization’s or institution’s investigator are also authorized, but OHRP has taken no such actions to date. Although the “names of relevant parties” will identify the particular individuals involved in each incident reported, the forms (as intended to be used by OHRP) will be about organizations and institutions, not individuals. A form would be about an individual and would be subject to the Privacy Act only in the unlikely event that OHRP, in the future, takes an action directed at an investigator and retrieves the form by the investigator’s name or other personal identifier. To date, OHRP has not retrieved the forms by personal identifier for the purpose of conducting the Human Research Protections </w:t>
      </w:r>
      <w:r>
        <w:t xml:space="preserve">program. OHRP has, on occasion, searched by the name of an individual to try to locate records for purposes of responding to a request from a Freedom of Information Act (FOIA) requester or to answer a question from a reporter or other requester, when the requester provided the name of an individual without the name of the associated organization or institution. </w:t>
      </w:r>
    </w:p>
    <w:p w:rsidR="008D74C2" w:rsidP="008D74C2" w14:paraId="69AD236D" w14:textId="77777777"/>
    <w:p w:rsidR="008D74C2" w:rsidRPr="007A321A" w:rsidP="008D74C2" w14:paraId="3234F174" w14:textId="62F66E87">
      <w:pPr>
        <w:rPr>
          <w:bCs/>
        </w:rPr>
      </w:pPr>
      <w:r w:rsidRPr="007A321A">
        <w:rPr>
          <w:bCs/>
        </w:rPr>
        <w:t xml:space="preserve">11. </w:t>
      </w:r>
      <w:r w:rsidRPr="007A321A" w:rsidR="007A321A">
        <w:rPr>
          <w:bCs/>
          <w:u w:val="single"/>
        </w:rPr>
        <w:t xml:space="preserve">Justification for Sensitive </w:t>
      </w:r>
      <w:r w:rsidRPr="007A321A">
        <w:rPr>
          <w:bCs/>
          <w:u w:val="single"/>
        </w:rPr>
        <w:t>Questions</w:t>
      </w:r>
    </w:p>
    <w:p w:rsidR="008D74C2" w:rsidRPr="00944329" w:rsidP="008D74C2" w14:paraId="341FB559" w14:textId="0BEEBFD3">
      <w:r w:rsidRPr="00320376">
        <w:br/>
        <w:t xml:space="preserve">The </w:t>
      </w:r>
      <w:r w:rsidR="001B48A1">
        <w:t xml:space="preserve">incident report </w:t>
      </w:r>
      <w:r w:rsidRPr="00320376">
        <w:t>form does not contain questions of a sensitive nature.</w:t>
      </w:r>
      <w:r w:rsidRPr="00320376">
        <w:br/>
      </w:r>
    </w:p>
    <w:p w:rsidR="008D74C2" w:rsidRPr="00972CBA" w:rsidP="008D74C2" w14:paraId="3F7CF8BD" w14:textId="32B6E57E">
      <w:pPr>
        <w:pStyle w:val="Heading2"/>
        <w:rPr>
          <w:b w:val="0"/>
          <w:bCs/>
          <w:u w:val="none"/>
        </w:rPr>
      </w:pPr>
      <w:r w:rsidRPr="00972CBA">
        <w:rPr>
          <w:b w:val="0"/>
          <w:bCs/>
          <w:u w:val="none"/>
        </w:rPr>
        <w:t xml:space="preserve">12. </w:t>
      </w:r>
      <w:r w:rsidRPr="00E92759">
        <w:rPr>
          <w:b w:val="0"/>
          <w:bCs/>
        </w:rPr>
        <w:t xml:space="preserve">Estimates of Annualized Hour </w:t>
      </w:r>
      <w:r w:rsidRPr="00E92759" w:rsidR="00E92759">
        <w:rPr>
          <w:b w:val="0"/>
          <w:bCs/>
        </w:rPr>
        <w:t xml:space="preserve">and Cost </w:t>
      </w:r>
      <w:r w:rsidRPr="00E92759">
        <w:rPr>
          <w:b w:val="0"/>
          <w:bCs/>
        </w:rPr>
        <w:t>Burden</w:t>
      </w:r>
    </w:p>
    <w:p w:rsidR="00EA71B2" w:rsidP="008D74C2" w14:paraId="60E6588F" w14:textId="77777777">
      <w:pPr>
        <w:widowControl/>
        <w:autoSpaceDE/>
        <w:autoSpaceDN/>
        <w:adjustRightInd/>
        <w:spacing w:after="160" w:line="259" w:lineRule="auto"/>
      </w:pPr>
      <w:r>
        <w:t xml:space="preserve"> </w:t>
      </w:r>
    </w:p>
    <w:p w:rsidR="008D74C2" w:rsidP="008D74C2" w14:paraId="3A972B61" w14:textId="2D062C83">
      <w:pPr>
        <w:widowControl/>
        <w:autoSpaceDE/>
        <w:autoSpaceDN/>
        <w:adjustRightInd/>
        <w:spacing w:after="160" w:line="259" w:lineRule="auto"/>
      </w:pPr>
      <w:r>
        <w:t xml:space="preserve">As of </w:t>
      </w:r>
      <w:r w:rsidR="00C2392B">
        <w:t xml:space="preserve">January 20, </w:t>
      </w:r>
      <w:r>
        <w:t>202</w:t>
      </w:r>
      <w:r w:rsidR="00C2392B">
        <w:t>4</w:t>
      </w:r>
      <w:r>
        <w:t xml:space="preserve">, there are </w:t>
      </w:r>
      <w:r w:rsidR="00314578">
        <w:t>4,958</w:t>
      </w:r>
      <w:r>
        <w:t xml:space="preserve"> active IRB organizations with </w:t>
      </w:r>
      <w:r w:rsidR="00314578">
        <w:t>5,812 active</w:t>
      </w:r>
      <w:r>
        <w:t xml:space="preserve"> IRBs registered with OHRP.  In 20</w:t>
      </w:r>
      <w:r w:rsidR="00314578">
        <w:t>23</w:t>
      </w:r>
      <w:r>
        <w:t xml:space="preserve">, </w:t>
      </w:r>
      <w:r w:rsidR="00407FC3">
        <w:t>two hundred thirty</w:t>
      </w:r>
      <w:r w:rsidR="001E1896">
        <w:t>-</w:t>
      </w:r>
      <w:r w:rsidR="00407FC3">
        <w:t xml:space="preserve">three </w:t>
      </w:r>
      <w:r>
        <w:t>IRBs or IRB organizations sent 1,</w:t>
      </w:r>
      <w:r w:rsidR="00E45F3B">
        <w:t>0</w:t>
      </w:r>
      <w:r w:rsidR="000F32B6">
        <w:t>33</w:t>
      </w:r>
      <w:r w:rsidR="00E45F3B">
        <w:t xml:space="preserve"> </w:t>
      </w:r>
      <w:r>
        <w:t xml:space="preserve">incident reports to OHRP.  </w:t>
      </w:r>
    </w:p>
    <w:p w:rsidR="001351E3" w:rsidP="001351E3" w14:paraId="3B6BC56B" w14:textId="2DBE59D6">
      <w:pPr>
        <w:widowControl/>
        <w:autoSpaceDE/>
        <w:autoSpaceDN/>
        <w:adjustRightInd/>
        <w:spacing w:after="160" w:line="259" w:lineRule="auto"/>
      </w:pPr>
      <w:r>
        <w:t xml:space="preserve">The estimated annualized burden for the incident report form is presented in Table 1. We estimate that </w:t>
      </w:r>
      <w:r w:rsidR="00BE0FF2">
        <w:t>250</w:t>
      </w:r>
      <w:r w:rsidR="000F32B6">
        <w:t xml:space="preserve"> </w:t>
      </w:r>
      <w:r w:rsidR="00DA6907">
        <w:t>IRB</w:t>
      </w:r>
      <w:r w:rsidR="00407FC3">
        <w:t xml:space="preserve">s or IRB </w:t>
      </w:r>
      <w:r>
        <w:t xml:space="preserve">organizations will submit </w:t>
      </w:r>
      <w:r w:rsidR="00DA6907">
        <w:t xml:space="preserve">an estimated 1,100 </w:t>
      </w:r>
      <w:r>
        <w:t>incident reports to OHRP annually.  Of t</w:t>
      </w:r>
      <w:r w:rsidR="00A175FC">
        <w:t>hose</w:t>
      </w:r>
      <w:r>
        <w:t xml:space="preserve"> </w:t>
      </w:r>
      <w:r w:rsidR="00BE0FF2">
        <w:t xml:space="preserve">250 </w:t>
      </w:r>
      <w:r>
        <w:t xml:space="preserve">organizations, </w:t>
      </w:r>
      <w:r w:rsidR="00A175FC">
        <w:t xml:space="preserve">25 will submit </w:t>
      </w:r>
      <w:r w:rsidR="00D54748">
        <w:t>one report, 25 will submit three reports and 200 will submit five reports</w:t>
      </w:r>
      <w:r>
        <w:t xml:space="preserve">. We estimate </w:t>
      </w:r>
      <w:r>
        <w:rPr>
          <w:color w:val="000000"/>
        </w:rPr>
        <w:t>t</w:t>
      </w:r>
      <w:r w:rsidRPr="00B12853">
        <w:rPr>
          <w:color w:val="000000"/>
        </w:rPr>
        <w:t xml:space="preserve">he total annualized burden hours to be </w:t>
      </w:r>
      <w:r w:rsidR="00FD215D">
        <w:rPr>
          <w:color w:val="000000"/>
        </w:rPr>
        <w:t>5</w:t>
      </w:r>
      <w:r w:rsidR="001B48A1">
        <w:rPr>
          <w:color w:val="000000"/>
        </w:rPr>
        <w:t>5</w:t>
      </w:r>
      <w:r>
        <w:rPr>
          <w:color w:val="000000"/>
        </w:rPr>
        <w:t xml:space="preserve">0 </w:t>
      </w:r>
      <w:r w:rsidRPr="00B12853">
        <w:rPr>
          <w:color w:val="000000"/>
        </w:rPr>
        <w:t>hours.</w:t>
      </w:r>
      <w:r>
        <w:t xml:space="preserve"> </w:t>
      </w:r>
    </w:p>
    <w:p w:rsidR="00DE48EC" w:rsidP="001351E3" w14:paraId="7A8923E1" w14:textId="7A327754">
      <w:pPr>
        <w:widowControl/>
        <w:autoSpaceDE/>
        <w:autoSpaceDN/>
        <w:adjustRightInd/>
        <w:spacing w:after="160" w:line="259" w:lineRule="auto"/>
      </w:pPr>
    </w:p>
    <w:p w:rsidR="00DE48EC" w:rsidRPr="00DE48EC" w:rsidP="00DE48EC" w14:paraId="7D18D6CF" w14:textId="787D9BDF">
      <w:pPr>
        <w:widowControl/>
        <w:autoSpaceDE/>
        <w:autoSpaceDN/>
        <w:adjustRightInd/>
        <w:spacing w:after="160" w:line="259" w:lineRule="auto"/>
        <w:jc w:val="center"/>
        <w:rPr>
          <w:b/>
          <w:bCs/>
        </w:rPr>
      </w:pPr>
      <w:r w:rsidRPr="00DE48EC">
        <w:rPr>
          <w:b/>
          <w:bCs/>
        </w:rPr>
        <w:t>Table A.1 Estimates of Annualized Hour and Cost Burden</w:t>
      </w:r>
    </w:p>
    <w:tbl>
      <w:tblPr>
        <w:tblStyle w:val="TableGrid"/>
        <w:tblpPr w:leftFromText="180" w:rightFromText="180" w:vertAnchor="text" w:horzAnchor="margin" w:tblpXSpec="center" w:tblpY="3234"/>
        <w:tblW w:w="10934" w:type="dxa"/>
        <w:tblLook w:val="04A0"/>
      </w:tblPr>
      <w:tblGrid>
        <w:gridCol w:w="1563"/>
        <w:gridCol w:w="1003"/>
        <w:gridCol w:w="1523"/>
        <w:gridCol w:w="1430"/>
        <w:gridCol w:w="1270"/>
        <w:gridCol w:w="1177"/>
        <w:gridCol w:w="990"/>
        <w:gridCol w:w="950"/>
        <w:gridCol w:w="1430"/>
      </w:tblGrid>
      <w:tr w14:paraId="6DBFF084" w14:textId="77777777" w:rsidTr="00FD784D">
        <w:tblPrEx>
          <w:tblW w:w="10934" w:type="dxa"/>
          <w:tblLook w:val="04A0"/>
        </w:tblPrEx>
        <w:tc>
          <w:tcPr>
            <w:tcW w:w="1505" w:type="dxa"/>
          </w:tcPr>
          <w:p w:rsidR="00FD784D" w:rsidRPr="00374E6D" w:rsidP="00FD784D" w14:paraId="18BFDD80" w14:textId="77777777">
            <w:pPr>
              <w:rPr>
                <w:b/>
              </w:rPr>
            </w:pPr>
            <w:r>
              <w:rPr>
                <w:b/>
              </w:rPr>
              <w:t>Type of Respondent</w:t>
            </w:r>
          </w:p>
        </w:tc>
        <w:tc>
          <w:tcPr>
            <w:tcW w:w="969" w:type="dxa"/>
          </w:tcPr>
          <w:p w:rsidR="00FD784D" w:rsidRPr="005A0DA6" w:rsidP="00FD784D" w14:paraId="13A147E7" w14:textId="77777777">
            <w:r>
              <w:rPr>
                <w:b/>
              </w:rPr>
              <w:t>Form Name</w:t>
            </w:r>
          </w:p>
        </w:tc>
        <w:tc>
          <w:tcPr>
            <w:tcW w:w="1467" w:type="dxa"/>
          </w:tcPr>
          <w:p w:rsidR="00FD784D" w:rsidRPr="00E809F7" w:rsidP="00FD784D" w14:paraId="2D502F94" w14:textId="77777777">
            <w:pPr>
              <w:rPr>
                <w:b/>
              </w:rPr>
            </w:pPr>
            <w:r>
              <w:rPr>
                <w:b/>
              </w:rPr>
              <w:t xml:space="preserve">Number of Respondents </w:t>
            </w:r>
          </w:p>
        </w:tc>
        <w:tc>
          <w:tcPr>
            <w:tcW w:w="1378" w:type="dxa"/>
          </w:tcPr>
          <w:p w:rsidR="00FD784D" w:rsidP="00FD784D" w14:paraId="783DFF41" w14:textId="77777777">
            <w:pPr>
              <w:rPr>
                <w:b/>
              </w:rPr>
            </w:pPr>
            <w:r>
              <w:rPr>
                <w:b/>
              </w:rPr>
              <w:t>Number of Responses per Respondent</w:t>
            </w:r>
          </w:p>
        </w:tc>
        <w:tc>
          <w:tcPr>
            <w:tcW w:w="1225" w:type="dxa"/>
          </w:tcPr>
          <w:p w:rsidR="00FD784D" w:rsidRPr="005A0DA6" w:rsidP="00FD784D" w14:paraId="7D764D2E" w14:textId="77777777">
            <w:pPr>
              <w:rPr>
                <w:b/>
              </w:rPr>
            </w:pPr>
            <w:r w:rsidRPr="005A0DA6">
              <w:rPr>
                <w:b/>
              </w:rPr>
              <w:t xml:space="preserve">Total Number of </w:t>
            </w:r>
          </w:p>
          <w:p w:rsidR="00FD784D" w:rsidRPr="005A0DA6" w:rsidP="00FD784D" w14:paraId="3E7BE58E" w14:textId="77777777">
            <w:r w:rsidRPr="005A0DA6">
              <w:rPr>
                <w:b/>
              </w:rPr>
              <w:t>R</w:t>
            </w:r>
            <w:r>
              <w:rPr>
                <w:b/>
              </w:rPr>
              <w:t>e</w:t>
            </w:r>
            <w:r w:rsidRPr="005A0DA6">
              <w:rPr>
                <w:b/>
              </w:rPr>
              <w:t>sponses</w:t>
            </w:r>
          </w:p>
        </w:tc>
        <w:tc>
          <w:tcPr>
            <w:tcW w:w="1136" w:type="dxa"/>
          </w:tcPr>
          <w:p w:rsidR="00FD784D" w:rsidRPr="00E809F7" w:rsidP="00FD784D" w14:paraId="32225E91" w14:textId="77777777">
            <w:pPr>
              <w:rPr>
                <w:b/>
              </w:rPr>
            </w:pPr>
            <w:r>
              <w:rPr>
                <w:b/>
              </w:rPr>
              <w:t xml:space="preserve">Average </w:t>
            </w:r>
            <w:r w:rsidRPr="005A0DA6">
              <w:rPr>
                <w:b/>
              </w:rPr>
              <w:t>Burden Hours per Response</w:t>
            </w:r>
          </w:p>
        </w:tc>
        <w:tc>
          <w:tcPr>
            <w:tcW w:w="957" w:type="dxa"/>
          </w:tcPr>
          <w:p w:rsidR="00FD784D" w:rsidP="00FD784D" w14:paraId="6B929C51" w14:textId="77777777">
            <w:pPr>
              <w:jc w:val="center"/>
              <w:rPr>
                <w:b/>
              </w:rPr>
            </w:pPr>
            <w:r>
              <w:rPr>
                <w:b/>
              </w:rPr>
              <w:t>Total Burden Hours</w:t>
            </w:r>
          </w:p>
        </w:tc>
        <w:tc>
          <w:tcPr>
            <w:tcW w:w="919" w:type="dxa"/>
          </w:tcPr>
          <w:p w:rsidR="00FD784D" w:rsidP="00FD784D" w14:paraId="7283BFBE" w14:textId="77777777">
            <w:pPr>
              <w:rPr>
                <w:b/>
              </w:rPr>
            </w:pPr>
            <w:r>
              <w:rPr>
                <w:b/>
              </w:rPr>
              <w:t>Hourly Wage</w:t>
            </w:r>
          </w:p>
          <w:p w:rsidR="00FD784D" w:rsidP="00FD784D" w14:paraId="435FC0A7" w14:textId="77777777">
            <w:pPr>
              <w:rPr>
                <w:b/>
              </w:rPr>
            </w:pPr>
            <w:r>
              <w:rPr>
                <w:b/>
              </w:rPr>
              <w:t>Rate</w:t>
            </w:r>
          </w:p>
        </w:tc>
        <w:tc>
          <w:tcPr>
            <w:tcW w:w="1378" w:type="dxa"/>
          </w:tcPr>
          <w:p w:rsidR="00FD784D" w:rsidP="00FD784D" w14:paraId="4B6E9E69" w14:textId="77777777">
            <w:pPr>
              <w:rPr>
                <w:b/>
              </w:rPr>
            </w:pPr>
            <w:r>
              <w:rPr>
                <w:b/>
              </w:rPr>
              <w:t>Total Respondent Costs</w:t>
            </w:r>
          </w:p>
        </w:tc>
      </w:tr>
      <w:tr w14:paraId="53EE39FA" w14:textId="77777777" w:rsidTr="00FD784D">
        <w:tblPrEx>
          <w:tblW w:w="10934" w:type="dxa"/>
          <w:tblLook w:val="04A0"/>
        </w:tblPrEx>
        <w:tc>
          <w:tcPr>
            <w:tcW w:w="1505" w:type="dxa"/>
          </w:tcPr>
          <w:p w:rsidR="00FD784D" w:rsidRPr="00F93B3E" w:rsidP="00FD784D" w14:paraId="777AF801" w14:textId="77777777">
            <w:r>
              <w:t xml:space="preserve">IRBs/IRB </w:t>
            </w:r>
            <w:r>
              <w:t>Organizations</w:t>
            </w:r>
          </w:p>
        </w:tc>
        <w:tc>
          <w:tcPr>
            <w:tcW w:w="969" w:type="dxa"/>
          </w:tcPr>
          <w:p w:rsidR="00FD784D" w:rsidP="00FD784D" w14:paraId="43892889" w14:textId="77777777">
            <w:pPr>
              <w:rPr>
                <w:b/>
              </w:rPr>
            </w:pPr>
            <w:r w:rsidRPr="00F93B3E">
              <w:t xml:space="preserve">Incident </w:t>
            </w:r>
            <w:r w:rsidRPr="00F93B3E">
              <w:t>Report</w:t>
            </w:r>
          </w:p>
        </w:tc>
        <w:tc>
          <w:tcPr>
            <w:tcW w:w="1467" w:type="dxa"/>
          </w:tcPr>
          <w:p w:rsidR="00FD784D" w:rsidRPr="00D54748" w:rsidP="00FD784D" w14:paraId="7FE4F871" w14:textId="77777777">
            <w:pPr>
              <w:jc w:val="center"/>
              <w:rPr>
                <w:bCs/>
              </w:rPr>
            </w:pPr>
            <w:r w:rsidRPr="00D54748">
              <w:rPr>
                <w:bCs/>
              </w:rPr>
              <w:t>25</w:t>
            </w:r>
          </w:p>
        </w:tc>
        <w:tc>
          <w:tcPr>
            <w:tcW w:w="1378" w:type="dxa"/>
          </w:tcPr>
          <w:p w:rsidR="00FD784D" w:rsidRPr="00D54748" w:rsidP="00FD784D" w14:paraId="0E1BFDBE" w14:textId="77777777">
            <w:pPr>
              <w:jc w:val="center"/>
              <w:rPr>
                <w:bCs/>
              </w:rPr>
            </w:pPr>
            <w:r w:rsidRPr="00D54748">
              <w:rPr>
                <w:bCs/>
              </w:rPr>
              <w:t>1</w:t>
            </w:r>
          </w:p>
        </w:tc>
        <w:tc>
          <w:tcPr>
            <w:tcW w:w="1225" w:type="dxa"/>
          </w:tcPr>
          <w:p w:rsidR="00FD784D" w:rsidRPr="00D54748" w:rsidP="00FD784D" w14:paraId="62E20AB5" w14:textId="77777777">
            <w:pPr>
              <w:jc w:val="center"/>
              <w:rPr>
                <w:bCs/>
              </w:rPr>
            </w:pPr>
            <w:r>
              <w:rPr>
                <w:bCs/>
              </w:rPr>
              <w:t>25</w:t>
            </w:r>
          </w:p>
        </w:tc>
        <w:tc>
          <w:tcPr>
            <w:tcW w:w="1136" w:type="dxa"/>
          </w:tcPr>
          <w:p w:rsidR="00FD784D" w:rsidRPr="00D54748" w:rsidP="00FD784D" w14:paraId="14C1B3CC" w14:textId="77777777">
            <w:pPr>
              <w:jc w:val="center"/>
              <w:rPr>
                <w:bCs/>
              </w:rPr>
            </w:pPr>
            <w:r w:rsidRPr="00D54748">
              <w:rPr>
                <w:bCs/>
              </w:rPr>
              <w:t>0.5</w:t>
            </w:r>
          </w:p>
        </w:tc>
        <w:tc>
          <w:tcPr>
            <w:tcW w:w="957" w:type="dxa"/>
          </w:tcPr>
          <w:p w:rsidR="00FD784D" w:rsidRPr="00D54748" w:rsidP="00FD784D" w14:paraId="661B5E1E" w14:textId="77777777">
            <w:pPr>
              <w:jc w:val="center"/>
              <w:rPr>
                <w:bCs/>
              </w:rPr>
            </w:pPr>
            <w:r>
              <w:rPr>
                <w:bCs/>
              </w:rPr>
              <w:t>12.5</w:t>
            </w:r>
          </w:p>
        </w:tc>
        <w:tc>
          <w:tcPr>
            <w:tcW w:w="919" w:type="dxa"/>
          </w:tcPr>
          <w:p w:rsidR="00FD784D" w:rsidRPr="00D54748" w:rsidP="00FD784D" w14:paraId="42F689E7" w14:textId="77777777">
            <w:pPr>
              <w:jc w:val="center"/>
              <w:rPr>
                <w:bCs/>
              </w:rPr>
            </w:pPr>
            <w:r w:rsidRPr="00D54748">
              <w:rPr>
                <w:bCs/>
              </w:rPr>
              <w:t>$82.00</w:t>
            </w:r>
          </w:p>
        </w:tc>
        <w:tc>
          <w:tcPr>
            <w:tcW w:w="1378" w:type="dxa"/>
          </w:tcPr>
          <w:p w:rsidR="00FD784D" w:rsidRPr="00D54748" w:rsidP="00FD784D" w14:paraId="07153711" w14:textId="77777777">
            <w:pPr>
              <w:jc w:val="center"/>
              <w:rPr>
                <w:bCs/>
              </w:rPr>
            </w:pPr>
            <w:r w:rsidRPr="00D54748">
              <w:rPr>
                <w:bCs/>
              </w:rPr>
              <w:t>$</w:t>
            </w:r>
            <w:r>
              <w:rPr>
                <w:bCs/>
              </w:rPr>
              <w:t>1,025</w:t>
            </w:r>
            <w:r w:rsidRPr="00D54748">
              <w:rPr>
                <w:bCs/>
              </w:rPr>
              <w:t>.00</w:t>
            </w:r>
          </w:p>
        </w:tc>
      </w:tr>
      <w:tr w14:paraId="3E5FBD5A" w14:textId="77777777" w:rsidTr="00FD784D">
        <w:tblPrEx>
          <w:tblW w:w="10934" w:type="dxa"/>
          <w:tblLook w:val="04A0"/>
        </w:tblPrEx>
        <w:tc>
          <w:tcPr>
            <w:tcW w:w="1505" w:type="dxa"/>
          </w:tcPr>
          <w:p w:rsidR="00FD784D" w:rsidRPr="00F93B3E" w:rsidP="00FD784D" w14:paraId="75330B80" w14:textId="77777777">
            <w:r>
              <w:t>IRBs/IRB Organizations</w:t>
            </w:r>
          </w:p>
        </w:tc>
        <w:tc>
          <w:tcPr>
            <w:tcW w:w="969" w:type="dxa"/>
          </w:tcPr>
          <w:p w:rsidR="00FD784D" w:rsidP="00FD784D" w14:paraId="424D2BFB" w14:textId="77777777">
            <w:pPr>
              <w:rPr>
                <w:b/>
              </w:rPr>
            </w:pPr>
            <w:r w:rsidRPr="00F93B3E">
              <w:t>Incident Report</w:t>
            </w:r>
          </w:p>
        </w:tc>
        <w:tc>
          <w:tcPr>
            <w:tcW w:w="1467" w:type="dxa"/>
          </w:tcPr>
          <w:p w:rsidR="00FD784D" w:rsidRPr="00D54748" w:rsidP="00FD784D" w14:paraId="259D070A" w14:textId="77777777">
            <w:pPr>
              <w:jc w:val="center"/>
              <w:rPr>
                <w:bCs/>
              </w:rPr>
            </w:pPr>
            <w:r>
              <w:rPr>
                <w:bCs/>
              </w:rPr>
              <w:t>25</w:t>
            </w:r>
          </w:p>
        </w:tc>
        <w:tc>
          <w:tcPr>
            <w:tcW w:w="1378" w:type="dxa"/>
          </w:tcPr>
          <w:p w:rsidR="00FD784D" w:rsidRPr="00D54748" w:rsidP="00FD784D" w14:paraId="1423CFB8" w14:textId="77777777">
            <w:pPr>
              <w:jc w:val="center"/>
              <w:rPr>
                <w:bCs/>
              </w:rPr>
            </w:pPr>
            <w:r>
              <w:rPr>
                <w:bCs/>
              </w:rPr>
              <w:t>3</w:t>
            </w:r>
          </w:p>
        </w:tc>
        <w:tc>
          <w:tcPr>
            <w:tcW w:w="1225" w:type="dxa"/>
          </w:tcPr>
          <w:p w:rsidR="00FD784D" w:rsidRPr="00D54748" w:rsidP="00FD784D" w14:paraId="3CE48B74" w14:textId="77777777">
            <w:pPr>
              <w:jc w:val="center"/>
              <w:rPr>
                <w:bCs/>
              </w:rPr>
            </w:pPr>
            <w:r>
              <w:rPr>
                <w:bCs/>
              </w:rPr>
              <w:t>75</w:t>
            </w:r>
          </w:p>
        </w:tc>
        <w:tc>
          <w:tcPr>
            <w:tcW w:w="1136" w:type="dxa"/>
          </w:tcPr>
          <w:p w:rsidR="00FD784D" w:rsidRPr="00D54748" w:rsidP="00FD784D" w14:paraId="26C6B12A" w14:textId="77777777">
            <w:pPr>
              <w:jc w:val="center"/>
              <w:rPr>
                <w:bCs/>
              </w:rPr>
            </w:pPr>
            <w:r w:rsidRPr="00D54748">
              <w:rPr>
                <w:bCs/>
              </w:rPr>
              <w:t>0.5</w:t>
            </w:r>
          </w:p>
        </w:tc>
        <w:tc>
          <w:tcPr>
            <w:tcW w:w="957" w:type="dxa"/>
          </w:tcPr>
          <w:p w:rsidR="00FD784D" w:rsidRPr="00D54748" w:rsidP="00FD784D" w14:paraId="2F8771CC" w14:textId="77777777">
            <w:pPr>
              <w:jc w:val="center"/>
              <w:rPr>
                <w:bCs/>
              </w:rPr>
            </w:pPr>
            <w:r>
              <w:rPr>
                <w:bCs/>
              </w:rPr>
              <w:t>37.5</w:t>
            </w:r>
          </w:p>
        </w:tc>
        <w:tc>
          <w:tcPr>
            <w:tcW w:w="919" w:type="dxa"/>
          </w:tcPr>
          <w:p w:rsidR="00FD784D" w:rsidRPr="00D54748" w:rsidP="00FD784D" w14:paraId="7A257B45" w14:textId="77777777">
            <w:pPr>
              <w:jc w:val="center"/>
              <w:rPr>
                <w:bCs/>
              </w:rPr>
            </w:pPr>
            <w:r w:rsidRPr="00D54748">
              <w:rPr>
                <w:bCs/>
              </w:rPr>
              <w:t>$82.00</w:t>
            </w:r>
          </w:p>
        </w:tc>
        <w:tc>
          <w:tcPr>
            <w:tcW w:w="1378" w:type="dxa"/>
          </w:tcPr>
          <w:p w:rsidR="00FD784D" w:rsidRPr="00D54748" w:rsidP="00FD784D" w14:paraId="0AF6EFF2" w14:textId="77777777">
            <w:pPr>
              <w:jc w:val="center"/>
              <w:rPr>
                <w:bCs/>
              </w:rPr>
            </w:pPr>
            <w:r w:rsidRPr="00D54748">
              <w:rPr>
                <w:bCs/>
              </w:rPr>
              <w:t>$</w:t>
            </w:r>
            <w:r>
              <w:rPr>
                <w:bCs/>
              </w:rPr>
              <w:t>3,075</w:t>
            </w:r>
            <w:r w:rsidRPr="00D54748">
              <w:rPr>
                <w:bCs/>
              </w:rPr>
              <w:t>.00</w:t>
            </w:r>
          </w:p>
        </w:tc>
      </w:tr>
      <w:tr w14:paraId="33343F14" w14:textId="77777777" w:rsidTr="00FD784D">
        <w:tblPrEx>
          <w:tblW w:w="10934" w:type="dxa"/>
          <w:tblLook w:val="04A0"/>
        </w:tblPrEx>
        <w:tc>
          <w:tcPr>
            <w:tcW w:w="1505" w:type="dxa"/>
          </w:tcPr>
          <w:p w:rsidR="00FD784D" w:rsidRPr="00F93B3E" w:rsidP="00FD784D" w14:paraId="79F00680" w14:textId="77777777">
            <w:r>
              <w:t>IRBs/IRB Organizations</w:t>
            </w:r>
          </w:p>
        </w:tc>
        <w:tc>
          <w:tcPr>
            <w:tcW w:w="969" w:type="dxa"/>
          </w:tcPr>
          <w:p w:rsidR="00FD784D" w:rsidP="00FD784D" w14:paraId="0836506B" w14:textId="77777777">
            <w:pPr>
              <w:rPr>
                <w:b/>
              </w:rPr>
            </w:pPr>
            <w:r w:rsidRPr="00F93B3E">
              <w:t>Incident Report</w:t>
            </w:r>
          </w:p>
        </w:tc>
        <w:tc>
          <w:tcPr>
            <w:tcW w:w="1467" w:type="dxa"/>
          </w:tcPr>
          <w:p w:rsidR="00FD784D" w:rsidRPr="00D54748" w:rsidP="00FD784D" w14:paraId="26B7CC59" w14:textId="77777777">
            <w:pPr>
              <w:jc w:val="center"/>
              <w:rPr>
                <w:bCs/>
              </w:rPr>
            </w:pPr>
            <w:r>
              <w:rPr>
                <w:bCs/>
              </w:rPr>
              <w:t>20</w:t>
            </w:r>
            <w:r w:rsidRPr="00D54748">
              <w:rPr>
                <w:bCs/>
              </w:rPr>
              <w:t>0</w:t>
            </w:r>
          </w:p>
        </w:tc>
        <w:tc>
          <w:tcPr>
            <w:tcW w:w="1378" w:type="dxa"/>
          </w:tcPr>
          <w:p w:rsidR="00FD784D" w:rsidRPr="00D54748" w:rsidP="00FD784D" w14:paraId="74274400" w14:textId="77777777">
            <w:pPr>
              <w:jc w:val="center"/>
              <w:rPr>
                <w:bCs/>
              </w:rPr>
            </w:pPr>
            <w:r>
              <w:rPr>
                <w:bCs/>
              </w:rPr>
              <w:t>5</w:t>
            </w:r>
          </w:p>
        </w:tc>
        <w:tc>
          <w:tcPr>
            <w:tcW w:w="1225" w:type="dxa"/>
          </w:tcPr>
          <w:p w:rsidR="00FD784D" w:rsidRPr="00D54748" w:rsidP="00FD784D" w14:paraId="2168B3C1" w14:textId="77777777">
            <w:pPr>
              <w:jc w:val="center"/>
              <w:rPr>
                <w:bCs/>
              </w:rPr>
            </w:pPr>
            <w:r>
              <w:rPr>
                <w:bCs/>
              </w:rPr>
              <w:t>1,000</w:t>
            </w:r>
          </w:p>
        </w:tc>
        <w:tc>
          <w:tcPr>
            <w:tcW w:w="1136" w:type="dxa"/>
          </w:tcPr>
          <w:p w:rsidR="00FD784D" w:rsidRPr="00D54748" w:rsidP="00FD784D" w14:paraId="48C4C16A" w14:textId="77777777">
            <w:pPr>
              <w:jc w:val="center"/>
              <w:rPr>
                <w:bCs/>
              </w:rPr>
            </w:pPr>
            <w:r w:rsidRPr="00D54748">
              <w:rPr>
                <w:bCs/>
              </w:rPr>
              <w:t>0.5</w:t>
            </w:r>
          </w:p>
        </w:tc>
        <w:tc>
          <w:tcPr>
            <w:tcW w:w="957" w:type="dxa"/>
          </w:tcPr>
          <w:p w:rsidR="00FD784D" w:rsidRPr="00D54748" w:rsidP="00FD784D" w14:paraId="3F3CD23B" w14:textId="77777777">
            <w:pPr>
              <w:jc w:val="center"/>
              <w:rPr>
                <w:bCs/>
              </w:rPr>
            </w:pPr>
            <w:r>
              <w:rPr>
                <w:bCs/>
              </w:rPr>
              <w:t>500</w:t>
            </w:r>
          </w:p>
        </w:tc>
        <w:tc>
          <w:tcPr>
            <w:tcW w:w="919" w:type="dxa"/>
          </w:tcPr>
          <w:p w:rsidR="00FD784D" w:rsidRPr="00D54748" w:rsidP="00FD784D" w14:paraId="1B59E94B" w14:textId="77777777">
            <w:pPr>
              <w:jc w:val="center"/>
              <w:rPr>
                <w:bCs/>
              </w:rPr>
            </w:pPr>
            <w:r w:rsidRPr="00D54748">
              <w:rPr>
                <w:bCs/>
              </w:rPr>
              <w:t>$82.00</w:t>
            </w:r>
          </w:p>
        </w:tc>
        <w:tc>
          <w:tcPr>
            <w:tcW w:w="1378" w:type="dxa"/>
          </w:tcPr>
          <w:p w:rsidR="00FD784D" w:rsidRPr="00D54748" w:rsidP="00FD784D" w14:paraId="63579D23" w14:textId="77777777">
            <w:pPr>
              <w:jc w:val="center"/>
              <w:rPr>
                <w:bCs/>
              </w:rPr>
            </w:pPr>
            <w:r w:rsidRPr="00D54748">
              <w:rPr>
                <w:bCs/>
              </w:rPr>
              <w:t>$</w:t>
            </w:r>
            <w:r>
              <w:rPr>
                <w:bCs/>
              </w:rPr>
              <w:t>41,000</w:t>
            </w:r>
            <w:r w:rsidRPr="00D54748">
              <w:rPr>
                <w:bCs/>
              </w:rPr>
              <w:t>.00</w:t>
            </w:r>
          </w:p>
        </w:tc>
      </w:tr>
      <w:tr w14:paraId="7812073B" w14:textId="77777777" w:rsidTr="00FD784D">
        <w:tblPrEx>
          <w:tblW w:w="10934" w:type="dxa"/>
          <w:tblLook w:val="04A0"/>
        </w:tblPrEx>
        <w:tc>
          <w:tcPr>
            <w:tcW w:w="1505" w:type="dxa"/>
          </w:tcPr>
          <w:p w:rsidR="00FD784D" w:rsidP="00FD784D" w14:paraId="7664A34D" w14:textId="77777777">
            <w:pPr>
              <w:rPr>
                <w:b/>
              </w:rPr>
            </w:pPr>
          </w:p>
        </w:tc>
        <w:tc>
          <w:tcPr>
            <w:tcW w:w="969" w:type="dxa"/>
          </w:tcPr>
          <w:p w:rsidR="00FD784D" w:rsidP="00FD784D" w14:paraId="0DD9B44A" w14:textId="77777777">
            <w:pPr>
              <w:rPr>
                <w:b/>
              </w:rPr>
            </w:pPr>
            <w:r>
              <w:rPr>
                <w:b/>
              </w:rPr>
              <w:t>Total</w:t>
            </w:r>
          </w:p>
        </w:tc>
        <w:tc>
          <w:tcPr>
            <w:tcW w:w="1467" w:type="dxa"/>
          </w:tcPr>
          <w:p w:rsidR="00FD784D" w:rsidP="00FD784D" w14:paraId="73E64356" w14:textId="77777777">
            <w:pPr>
              <w:rPr>
                <w:b/>
              </w:rPr>
            </w:pPr>
          </w:p>
        </w:tc>
        <w:tc>
          <w:tcPr>
            <w:tcW w:w="1378" w:type="dxa"/>
          </w:tcPr>
          <w:p w:rsidR="00FD784D" w:rsidP="00FD784D" w14:paraId="63B22CE1" w14:textId="77777777">
            <w:pPr>
              <w:rPr>
                <w:b/>
              </w:rPr>
            </w:pPr>
          </w:p>
        </w:tc>
        <w:tc>
          <w:tcPr>
            <w:tcW w:w="1225" w:type="dxa"/>
          </w:tcPr>
          <w:p w:rsidR="00FD784D" w:rsidP="00FD784D" w14:paraId="4570B0A5" w14:textId="77777777">
            <w:pPr>
              <w:jc w:val="center"/>
              <w:rPr>
                <w:b/>
              </w:rPr>
            </w:pPr>
            <w:r>
              <w:rPr>
                <w:b/>
              </w:rPr>
              <w:t>1,100</w:t>
            </w:r>
          </w:p>
        </w:tc>
        <w:tc>
          <w:tcPr>
            <w:tcW w:w="1136" w:type="dxa"/>
          </w:tcPr>
          <w:p w:rsidR="00FD784D" w:rsidP="00FD784D" w14:paraId="0F357BEB" w14:textId="77777777">
            <w:pPr>
              <w:rPr>
                <w:b/>
              </w:rPr>
            </w:pPr>
          </w:p>
        </w:tc>
        <w:tc>
          <w:tcPr>
            <w:tcW w:w="957" w:type="dxa"/>
          </w:tcPr>
          <w:p w:rsidR="00FD784D" w:rsidP="00FD784D" w14:paraId="11DF8EE9" w14:textId="77777777">
            <w:pPr>
              <w:jc w:val="center"/>
              <w:rPr>
                <w:b/>
              </w:rPr>
            </w:pPr>
            <w:r>
              <w:rPr>
                <w:b/>
              </w:rPr>
              <w:t>550</w:t>
            </w:r>
          </w:p>
        </w:tc>
        <w:tc>
          <w:tcPr>
            <w:tcW w:w="919" w:type="dxa"/>
          </w:tcPr>
          <w:p w:rsidR="00FD784D" w:rsidP="00FD784D" w14:paraId="487A3E63" w14:textId="77777777">
            <w:pPr>
              <w:rPr>
                <w:b/>
              </w:rPr>
            </w:pPr>
          </w:p>
        </w:tc>
        <w:tc>
          <w:tcPr>
            <w:tcW w:w="1378" w:type="dxa"/>
          </w:tcPr>
          <w:p w:rsidR="00FD784D" w:rsidP="00FD784D" w14:paraId="14B82938" w14:textId="77777777">
            <w:pPr>
              <w:jc w:val="center"/>
              <w:rPr>
                <w:b/>
              </w:rPr>
            </w:pPr>
            <w:r>
              <w:rPr>
                <w:b/>
              </w:rPr>
              <w:t>$45,100.00</w:t>
            </w:r>
          </w:p>
        </w:tc>
      </w:tr>
    </w:tbl>
    <w:p w:rsidR="00DE48EC" w:rsidP="00FD784D" w14:paraId="2899C243" w14:textId="77777777">
      <w:pPr>
        <w:widowControl/>
        <w:autoSpaceDE/>
        <w:autoSpaceDN/>
        <w:adjustRightInd/>
        <w:spacing w:after="160" w:line="259" w:lineRule="auto"/>
      </w:pPr>
    </w:p>
    <w:p w:rsidR="00FD784D" w:rsidP="00FD784D" w14:paraId="2C373ACC" w14:textId="68C6AAF7">
      <w:pPr>
        <w:widowControl/>
        <w:autoSpaceDE/>
        <w:autoSpaceDN/>
        <w:adjustRightInd/>
        <w:spacing w:after="160" w:line="259" w:lineRule="auto"/>
        <w:rPr>
          <w:color w:val="000000" w:themeColor="text1"/>
        </w:rPr>
      </w:pPr>
      <w:r>
        <w:t xml:space="preserve">We estimate that each respondent will take an average of 30 minutes to complete the form and that </w:t>
      </w:r>
      <w:r w:rsidRPr="00B12853">
        <w:rPr>
          <w:color w:val="000000"/>
        </w:rPr>
        <w:t>respondents will be administrative staff persons (to include IRB Administrators) within organizations.</w:t>
      </w:r>
      <w:r w:rsidR="001351E3">
        <w:rPr>
          <w:color w:val="000000" w:themeColor="text1"/>
        </w:rPr>
        <w:t xml:space="preserve"> </w:t>
      </w:r>
      <w:r w:rsidRPr="0043401C" w:rsidR="001351E3">
        <w:rPr>
          <w:color w:val="000000" w:themeColor="text1"/>
        </w:rPr>
        <w:t xml:space="preserve">Using 2022 wage data from the Bureau of Labor Statistics (U.S. Department of Labor, Bureau of Labor Statistics, May 2022 National Occupational Employment and Wage Estimates, United States, </w:t>
      </w:r>
      <w:hyperlink r:id="rId11" w:history="1">
        <w:r w:rsidRPr="0043401C" w:rsidR="001351E3">
          <w:rPr>
            <w:rStyle w:val="Hyperlink"/>
            <w:rFonts w:eastAsiaTheme="minorEastAsia"/>
            <w:color w:val="000000" w:themeColor="text1"/>
          </w:rPr>
          <w:t>https://www.bls.gov/oes/current/oes_nat.htm</w:t>
        </w:r>
      </w:hyperlink>
      <w:r w:rsidRPr="0043401C" w:rsidR="001351E3">
        <w:rPr>
          <w:color w:val="000000" w:themeColor="text1"/>
        </w:rPr>
        <w:t xml:space="preserve">), we estimate $82 per hour (mean salary of mid-level IRB staff, plus overhead and personnel benefits) for preparing and submitting the </w:t>
      </w:r>
      <w:r w:rsidR="001351E3">
        <w:rPr>
          <w:color w:val="000000" w:themeColor="text1"/>
        </w:rPr>
        <w:t xml:space="preserve">incident report </w:t>
      </w:r>
      <w:r w:rsidRPr="0043401C" w:rsidR="001351E3">
        <w:rPr>
          <w:color w:val="000000" w:themeColor="text1"/>
        </w:rPr>
        <w:t>information. We estimate the information collection costs respondents an average of $</w:t>
      </w:r>
      <w:r w:rsidR="00FD215D">
        <w:rPr>
          <w:color w:val="000000" w:themeColor="text1"/>
        </w:rPr>
        <w:t>45</w:t>
      </w:r>
      <w:r w:rsidRPr="0043401C" w:rsidR="001351E3">
        <w:rPr>
          <w:color w:val="000000" w:themeColor="text1"/>
        </w:rPr>
        <w:t>,</w:t>
      </w:r>
      <w:r w:rsidR="00FD215D">
        <w:rPr>
          <w:color w:val="000000" w:themeColor="text1"/>
        </w:rPr>
        <w:t>1</w:t>
      </w:r>
      <w:r w:rsidRPr="0043401C" w:rsidR="001351E3">
        <w:rPr>
          <w:color w:val="000000" w:themeColor="text1"/>
        </w:rPr>
        <w:t>00 annually.</w:t>
      </w:r>
    </w:p>
    <w:p w:rsidR="008D74C2" w:rsidRPr="00E92759" w:rsidP="008D74C2" w14:paraId="295D0A21" w14:textId="6064C9F2">
      <w:pPr>
        <w:pStyle w:val="Heading2"/>
        <w:rPr>
          <w:b w:val="0"/>
          <w:bCs/>
          <w:u w:val="none"/>
        </w:rPr>
      </w:pPr>
      <w:r w:rsidRPr="00E92759">
        <w:rPr>
          <w:b w:val="0"/>
          <w:bCs/>
          <w:u w:val="none"/>
        </w:rPr>
        <w:t xml:space="preserve">13. </w:t>
      </w:r>
      <w:r w:rsidRPr="00E92759">
        <w:rPr>
          <w:b w:val="0"/>
          <w:bCs/>
        </w:rPr>
        <w:t xml:space="preserve">Estimates of </w:t>
      </w:r>
      <w:r w:rsidRPr="00E92759" w:rsidR="00E92759">
        <w:rPr>
          <w:b w:val="0"/>
          <w:bCs/>
        </w:rPr>
        <w:t xml:space="preserve">Other Total Annual </w:t>
      </w:r>
      <w:r w:rsidRPr="00E92759">
        <w:rPr>
          <w:b w:val="0"/>
          <w:bCs/>
        </w:rPr>
        <w:t>Cost Burden to Respondents</w:t>
      </w:r>
      <w:r w:rsidRPr="00E92759" w:rsidR="00E92759">
        <w:rPr>
          <w:b w:val="0"/>
          <w:bCs/>
        </w:rPr>
        <w:t xml:space="preserve"> or Recordkeepers/Capital Costs</w:t>
      </w:r>
    </w:p>
    <w:p w:rsidR="00073FA1" w:rsidRPr="00073FA1" w:rsidP="00073FA1" w14:paraId="593A0DB7" w14:textId="77777777">
      <w:pPr>
        <w:pStyle w:val="BodyText"/>
      </w:pPr>
      <w:r w:rsidRPr="00944329">
        <w:rPr>
          <w:u w:val="single"/>
        </w:rPr>
        <w:br/>
      </w:r>
      <w:r w:rsidRPr="00073FA1">
        <w:t>There are no capital costs, or operating and maintenance costs, associated with the information collection.</w:t>
      </w:r>
    </w:p>
    <w:p w:rsidR="008D74C2" w:rsidRPr="00FD215D" w:rsidP="00073FA1" w14:paraId="3A788DB7" w14:textId="074AB406">
      <w:r w:rsidRPr="00FD215D">
        <w:br/>
        <w:t xml:space="preserve">14. </w:t>
      </w:r>
      <w:r w:rsidRPr="00FD215D">
        <w:rPr>
          <w:u w:val="single"/>
        </w:rPr>
        <w:t xml:space="preserve">Annualized Cost to the </w:t>
      </w:r>
      <w:r w:rsidRPr="00FD215D" w:rsidR="00E92759">
        <w:rPr>
          <w:u w:val="single"/>
        </w:rPr>
        <w:t xml:space="preserve">Federal </w:t>
      </w:r>
      <w:r w:rsidRPr="00FD215D">
        <w:rPr>
          <w:u w:val="single"/>
        </w:rPr>
        <w:t>Government</w:t>
      </w:r>
      <w:r w:rsidRPr="00FD215D" w:rsidR="005633F0">
        <w:t xml:space="preserve"> </w:t>
      </w:r>
    </w:p>
    <w:p w:rsidR="008D74C2" w:rsidRPr="007710CA" w:rsidP="008D74C2" w14:paraId="3DE182D7" w14:textId="13AA6911">
      <w:r w:rsidRPr="00045A4C">
        <w:br/>
      </w:r>
      <w:r w:rsidRPr="007710CA">
        <w:t xml:space="preserve">OHRP </w:t>
      </w:r>
      <w:r w:rsidR="00073FA1">
        <w:t xml:space="preserve">will </w:t>
      </w:r>
      <w:r w:rsidRPr="007710CA">
        <w:t>receive approximately 1,</w:t>
      </w:r>
      <w:r w:rsidR="00073FA1">
        <w:t>1</w:t>
      </w:r>
      <w:r w:rsidRPr="007710CA">
        <w:t>00 incident reports per year</w:t>
      </w:r>
      <w:r w:rsidR="00A51D04">
        <w:t xml:space="preserve"> </w:t>
      </w:r>
      <w:r w:rsidRPr="007710CA">
        <w:t xml:space="preserve">  </w:t>
      </w:r>
    </w:p>
    <w:p w:rsidR="008D74C2" w:rsidP="00D23E04" w14:paraId="1AA581BC" w14:textId="1980AD76">
      <w:pPr>
        <w:pStyle w:val="ListParagraph"/>
        <w:numPr>
          <w:ilvl w:val="0"/>
          <w:numId w:val="5"/>
        </w:numPr>
      </w:pPr>
      <w:r w:rsidRPr="007710CA">
        <w:t xml:space="preserve">OHRP personnel </w:t>
      </w:r>
      <w:r w:rsidR="00D23E04">
        <w:t xml:space="preserve">will spend approximately 30 minutes per report to ensure that </w:t>
      </w:r>
      <w:r w:rsidR="00CB3DE5">
        <w:t xml:space="preserve">the incident report </w:t>
      </w:r>
      <w:r w:rsidR="00D23E04">
        <w:t xml:space="preserve">information is appropriately entered into </w:t>
      </w:r>
      <w:r w:rsidR="00CB3DE5">
        <w:t xml:space="preserve">the </w:t>
      </w:r>
      <w:r w:rsidR="00D23E04">
        <w:t>federal database</w:t>
      </w:r>
      <w:r w:rsidR="008F6FAE">
        <w:t xml:space="preserve"> (1100 reports times 0.5 hours equals</w:t>
      </w:r>
      <w:r w:rsidR="009102EA">
        <w:t xml:space="preserve"> 550 hours)</w:t>
      </w:r>
      <w:r>
        <w:t xml:space="preserve">.  </w:t>
      </w:r>
    </w:p>
    <w:p w:rsidR="008D74C2" w:rsidP="008D74C2" w14:paraId="67215485" w14:textId="04A272AD">
      <w:pPr>
        <w:pStyle w:val="ListParagraph"/>
        <w:numPr>
          <w:ilvl w:val="0"/>
          <w:numId w:val="5"/>
        </w:numPr>
      </w:pPr>
      <w:r>
        <w:t xml:space="preserve">For approximately 50 </w:t>
      </w:r>
      <w:r w:rsidR="00CB3DE5">
        <w:t>of the incident reports</w:t>
      </w:r>
      <w:r>
        <w:t xml:space="preserve">, OHRP </w:t>
      </w:r>
      <w:r w:rsidR="00CB3DE5">
        <w:t xml:space="preserve">will </w:t>
      </w:r>
      <w:r>
        <w:t>determine that additional investigation is needed.  OHRP personnel spend on average 10 hours conducting additional investigation on</w:t>
      </w:r>
      <w:r w:rsidRPr="00320376">
        <w:t xml:space="preserve"> each </w:t>
      </w:r>
      <w:r>
        <w:t>of these cases</w:t>
      </w:r>
      <w:r w:rsidR="008F6FAE">
        <w:t xml:space="preserve"> (50 reports times 10 hours equals 500 hours)</w:t>
      </w:r>
      <w:r>
        <w:t>.</w:t>
      </w:r>
    </w:p>
    <w:p w:rsidR="008F6FAE" w:rsidP="008F6FAE" w14:paraId="12C92026" w14:textId="36D4EC98">
      <w:pPr>
        <w:pStyle w:val="ListParagraph"/>
        <w:numPr>
          <w:ilvl w:val="0"/>
          <w:numId w:val="5"/>
        </w:numPr>
      </w:pPr>
      <w:r>
        <w:t xml:space="preserve">The average OHRP hourly rate of </w:t>
      </w:r>
      <w:r w:rsidRPr="00320376">
        <w:t xml:space="preserve">personnel </w:t>
      </w:r>
      <w:r>
        <w:t>processing incident reports is $53.87</w:t>
      </w:r>
      <w:r w:rsidR="009102EA">
        <w:t xml:space="preserve"> ($53.87 times 1050 total staff hours equals $56,563.50)</w:t>
      </w:r>
      <w:r w:rsidRPr="00D23E04">
        <w:t>.</w:t>
      </w:r>
    </w:p>
    <w:p w:rsidR="009102EA" w:rsidP="009102EA" w14:paraId="21855677" w14:textId="1352E581">
      <w:pPr>
        <w:pStyle w:val="ListParagraph"/>
      </w:pPr>
    </w:p>
    <w:p w:rsidR="009102EA" w:rsidP="009102EA" w14:paraId="6E3B4A45" w14:textId="75C71989">
      <w:pPr>
        <w:pStyle w:val="ListParagraph"/>
        <w:ind w:left="360"/>
      </w:pPr>
      <w:r>
        <w:t>The annual for operating, managing and hosting the incident reports database is $200,000.</w:t>
      </w:r>
    </w:p>
    <w:p w:rsidR="009102EA" w:rsidP="009102EA" w14:paraId="24720E54" w14:textId="77777777">
      <w:pPr>
        <w:pStyle w:val="ListParagraph"/>
        <w:ind w:left="360"/>
      </w:pPr>
    </w:p>
    <w:p w:rsidR="009102EA" w:rsidP="009102EA" w14:paraId="4FC738D7" w14:textId="463637BB">
      <w:pPr>
        <w:pStyle w:val="ListParagraph"/>
        <w:ind w:left="360"/>
      </w:pPr>
      <w:r>
        <w:t>T</w:t>
      </w:r>
      <w:r>
        <w:t xml:space="preserve">he total annualized Federal Government cost </w:t>
      </w:r>
      <w:r>
        <w:t>is $256,563.50.</w:t>
      </w:r>
    </w:p>
    <w:p w:rsidR="008D74C2" w:rsidP="008D74C2" w14:paraId="03ED2BA4" w14:textId="77777777"/>
    <w:p w:rsidR="008D74C2" w:rsidRPr="00972CBA" w:rsidP="008D74C2" w14:paraId="3CAFE335" w14:textId="77777777">
      <w:pPr>
        <w:pStyle w:val="Heading2"/>
        <w:rPr>
          <w:b w:val="0"/>
          <w:bCs/>
          <w:u w:val="none"/>
        </w:rPr>
      </w:pPr>
      <w:r w:rsidRPr="00972CBA">
        <w:rPr>
          <w:b w:val="0"/>
          <w:bCs/>
          <w:u w:val="none"/>
        </w:rPr>
        <w:t xml:space="preserve">15. </w:t>
      </w:r>
      <w:r w:rsidRPr="00972CBA">
        <w:rPr>
          <w:b w:val="0"/>
          <w:bCs/>
        </w:rPr>
        <w:t>Explanation for Program Changes or Adjustments</w:t>
      </w:r>
    </w:p>
    <w:p w:rsidR="00EB0A13" w:rsidRPr="0050091E" w:rsidP="00EB0A13" w14:paraId="3D0F85A3" w14:textId="1250F03E">
      <w:pPr>
        <w:rPr>
          <w:sz w:val="22"/>
          <w:szCs w:val="22"/>
        </w:rPr>
      </w:pPr>
      <w:r w:rsidRPr="00320376">
        <w:br/>
      </w:r>
      <w:r w:rsidRPr="0050091E">
        <w:rPr>
          <w:sz w:val="22"/>
          <w:szCs w:val="22"/>
        </w:rPr>
        <w:t>The annual burden estimates changed compared to the current burden estimate</w:t>
      </w:r>
      <w:r>
        <w:rPr>
          <w:sz w:val="22"/>
          <w:szCs w:val="22"/>
        </w:rPr>
        <w:t>s</w:t>
      </w:r>
      <w:r w:rsidRPr="0050091E">
        <w:rPr>
          <w:sz w:val="22"/>
          <w:szCs w:val="22"/>
        </w:rPr>
        <w:t>. The changes are due to agency adjustments. The total annual burden in the current OMB-approved information collection</w:t>
      </w:r>
      <w:r w:rsidR="00EA71B2">
        <w:rPr>
          <w:sz w:val="22"/>
          <w:szCs w:val="22"/>
        </w:rPr>
        <w:t xml:space="preserve">, </w:t>
      </w:r>
      <w:r w:rsidR="00902ECE">
        <w:rPr>
          <w:sz w:val="22"/>
          <w:szCs w:val="22"/>
        </w:rPr>
        <w:t>600</w:t>
      </w:r>
      <w:r w:rsidRPr="0050091E">
        <w:rPr>
          <w:sz w:val="22"/>
          <w:szCs w:val="22"/>
        </w:rPr>
        <w:t xml:space="preserve"> hours and $</w:t>
      </w:r>
      <w:r w:rsidR="00902ECE">
        <w:rPr>
          <w:sz w:val="22"/>
          <w:szCs w:val="22"/>
        </w:rPr>
        <w:t>24,750.00</w:t>
      </w:r>
      <w:r w:rsidRPr="0050091E">
        <w:rPr>
          <w:sz w:val="22"/>
          <w:szCs w:val="22"/>
        </w:rPr>
        <w:t>, respectively</w:t>
      </w:r>
      <w:r w:rsidR="0065193B">
        <w:rPr>
          <w:sz w:val="22"/>
          <w:szCs w:val="22"/>
        </w:rPr>
        <w:t>,</w:t>
      </w:r>
      <w:r w:rsidRPr="0050091E">
        <w:rPr>
          <w:sz w:val="22"/>
          <w:szCs w:val="22"/>
        </w:rPr>
        <w:t xml:space="preserve"> is projected to be </w:t>
      </w:r>
      <w:r w:rsidR="00EA71B2">
        <w:rPr>
          <w:sz w:val="22"/>
          <w:szCs w:val="22"/>
        </w:rPr>
        <w:t>5</w:t>
      </w:r>
      <w:r w:rsidR="00902ECE">
        <w:rPr>
          <w:sz w:val="22"/>
          <w:szCs w:val="22"/>
        </w:rPr>
        <w:t>50</w:t>
      </w:r>
      <w:r w:rsidRPr="0050091E">
        <w:rPr>
          <w:sz w:val="22"/>
          <w:szCs w:val="22"/>
        </w:rPr>
        <w:t xml:space="preserve"> hours and $</w:t>
      </w:r>
      <w:r w:rsidR="00EA71B2">
        <w:rPr>
          <w:sz w:val="22"/>
          <w:szCs w:val="22"/>
        </w:rPr>
        <w:t>45,100</w:t>
      </w:r>
      <w:r w:rsidR="00902ECE">
        <w:rPr>
          <w:sz w:val="22"/>
          <w:szCs w:val="22"/>
        </w:rPr>
        <w:t>.00</w:t>
      </w:r>
      <w:r w:rsidRPr="0050091E">
        <w:rPr>
          <w:sz w:val="22"/>
          <w:szCs w:val="22"/>
        </w:rPr>
        <w:t>, respectively, in this information collection request.</w:t>
      </w:r>
    </w:p>
    <w:p w:rsidR="008D74C2" w:rsidRPr="00320376" w:rsidP="008D74C2" w14:paraId="42AC3DAC" w14:textId="2069D717">
      <w:pPr>
        <w:rPr>
          <w:u w:val="single"/>
        </w:rPr>
      </w:pPr>
      <w:r w:rsidRPr="00320376">
        <w:t>.</w:t>
      </w:r>
    </w:p>
    <w:p w:rsidR="008D74C2" w:rsidRPr="00972CBA" w:rsidP="008D74C2" w14:paraId="64C6CC05" w14:textId="5C9E6AB8">
      <w:pPr>
        <w:pStyle w:val="Heading2"/>
        <w:rPr>
          <w:b w:val="0"/>
          <w:bCs/>
          <w:u w:val="none"/>
        </w:rPr>
      </w:pPr>
      <w:r w:rsidRPr="00972CBA">
        <w:rPr>
          <w:b w:val="0"/>
          <w:bCs/>
          <w:u w:val="none"/>
        </w:rPr>
        <w:t xml:space="preserve">16. </w:t>
      </w:r>
      <w:r w:rsidRPr="00972CBA">
        <w:rPr>
          <w:b w:val="0"/>
          <w:bCs/>
        </w:rPr>
        <w:t xml:space="preserve">Plans for </w:t>
      </w:r>
      <w:r w:rsidRPr="00972CBA" w:rsidR="00972CBA">
        <w:rPr>
          <w:b w:val="0"/>
          <w:bCs/>
        </w:rPr>
        <w:t xml:space="preserve">Tabulation and </w:t>
      </w:r>
      <w:r w:rsidRPr="00972CBA">
        <w:rPr>
          <w:b w:val="0"/>
          <w:bCs/>
        </w:rPr>
        <w:t xml:space="preserve">Publication </w:t>
      </w:r>
      <w:r w:rsidRPr="00972CBA" w:rsidR="00972CBA">
        <w:rPr>
          <w:b w:val="0"/>
          <w:bCs/>
        </w:rPr>
        <w:t>and Project Time Schedule</w:t>
      </w:r>
      <w:r w:rsidRPr="00972CBA">
        <w:rPr>
          <w:b w:val="0"/>
          <w:bCs/>
          <w:u w:val="none"/>
        </w:rPr>
        <w:t xml:space="preserve"> </w:t>
      </w:r>
    </w:p>
    <w:p w:rsidR="008D74C2" w:rsidRPr="00320376" w:rsidP="008D74C2" w14:paraId="398DC22B" w14:textId="28734CD5">
      <w:pPr>
        <w:rPr>
          <w:u w:val="single"/>
        </w:rPr>
      </w:pPr>
      <w:r w:rsidRPr="00320376">
        <w:br/>
        <w:t xml:space="preserve">A </w:t>
      </w:r>
      <w:r w:rsidR="0065193B">
        <w:t>three</w:t>
      </w:r>
      <w:r w:rsidRPr="00320376">
        <w:t xml:space="preserve">-year clearance is being requested for this recurring data collection as required by 45 CFR </w:t>
      </w:r>
      <w:r>
        <w:t xml:space="preserve">part </w:t>
      </w:r>
      <w:r w:rsidRPr="00320376">
        <w:t>46.  No complex analytical techniques will be used to analyze the information. OHRP may publish</w:t>
      </w:r>
      <w:r w:rsidR="002C2311">
        <w:t xml:space="preserve"> on its website, </w:t>
      </w:r>
      <w:r w:rsidRPr="00320376" w:rsidR="002C2311">
        <w:t>on a quarterly basis</w:t>
      </w:r>
      <w:r w:rsidR="002C2311">
        <w:t>,</w:t>
      </w:r>
      <w:r w:rsidRPr="00320376">
        <w:t xml:space="preserve"> the number of </w:t>
      </w:r>
      <w:r w:rsidR="002C2311">
        <w:t>incident reports it</w:t>
      </w:r>
      <w:r w:rsidRPr="00320376">
        <w:t xml:space="preserve"> received.</w:t>
      </w:r>
      <w:r w:rsidRPr="00320376">
        <w:br/>
      </w:r>
    </w:p>
    <w:p w:rsidR="008D74C2" w:rsidP="008D74C2" w14:paraId="0E5ECA1C" w14:textId="4AEB08FD">
      <w:pPr>
        <w:pStyle w:val="Heading2"/>
        <w:rPr>
          <w:b w:val="0"/>
          <w:bCs/>
          <w:u w:val="none"/>
        </w:rPr>
      </w:pPr>
      <w:r w:rsidRPr="00972CBA">
        <w:rPr>
          <w:b w:val="0"/>
          <w:bCs/>
          <w:u w:val="none"/>
        </w:rPr>
        <w:t xml:space="preserve">17. </w:t>
      </w:r>
      <w:r w:rsidRPr="00972CBA" w:rsidR="00972CBA">
        <w:rPr>
          <w:b w:val="0"/>
          <w:bCs/>
        </w:rPr>
        <w:t xml:space="preserve">Reason(s) </w:t>
      </w:r>
      <w:r w:rsidRPr="00972CBA">
        <w:rPr>
          <w:b w:val="0"/>
          <w:bCs/>
        </w:rPr>
        <w:t>Display</w:t>
      </w:r>
      <w:r w:rsidRPr="00972CBA" w:rsidR="00972CBA">
        <w:rPr>
          <w:b w:val="0"/>
          <w:bCs/>
        </w:rPr>
        <w:t xml:space="preserve"> of OMB Expiration Date is Inappropriate</w:t>
      </w:r>
    </w:p>
    <w:p w:rsidR="00972CBA" w:rsidRPr="00972CBA" w:rsidP="00972CBA" w14:paraId="35C4AE5F" w14:textId="77777777"/>
    <w:p w:rsidR="008D74C2" w:rsidRPr="00320376" w:rsidP="008D74C2" w14:paraId="657C4985" w14:textId="51AF1D3D">
      <w:r>
        <w:t xml:space="preserve"> </w:t>
      </w:r>
      <w:r w:rsidR="002C2311">
        <w:t>OHRP will display the OMB control number and expiration date, as required</w:t>
      </w:r>
      <w:r>
        <w:t>.</w:t>
      </w:r>
      <w:r w:rsidRPr="00320376">
        <w:br/>
      </w:r>
    </w:p>
    <w:p w:rsidR="008D74C2" w:rsidRPr="00972CBA" w:rsidP="008D74C2" w14:paraId="6C1D59BE" w14:textId="57A03B95">
      <w:pPr>
        <w:pStyle w:val="Heading2"/>
        <w:rPr>
          <w:b w:val="0"/>
          <w:bCs/>
          <w:i/>
          <w:u w:val="none"/>
        </w:rPr>
      </w:pPr>
      <w:r w:rsidRPr="00972CBA">
        <w:rPr>
          <w:b w:val="0"/>
          <w:bCs/>
          <w:u w:val="none"/>
        </w:rPr>
        <w:t xml:space="preserve">18. </w:t>
      </w:r>
      <w:r w:rsidRPr="00972CBA">
        <w:rPr>
          <w:b w:val="0"/>
          <w:bCs/>
        </w:rPr>
        <w:t xml:space="preserve">Exception to Certification </w:t>
      </w:r>
      <w:r w:rsidRPr="00972CBA" w:rsidR="00972CBA">
        <w:rPr>
          <w:b w:val="0"/>
          <w:bCs/>
        </w:rPr>
        <w:t>for Paperwork Reduction Act Submission</w:t>
      </w:r>
    </w:p>
    <w:p w:rsidR="008D74C2" w:rsidRPr="00E92BEE" w:rsidP="008D74C2" w14:paraId="3D08B37A" w14:textId="77777777"/>
    <w:p w:rsidR="008D74C2" w:rsidRPr="00320376" w:rsidP="008D74C2" w14:paraId="11DA2711" w14:textId="4691C08F">
      <w:r>
        <w:t>There are no exceptions to the certification</w:t>
      </w:r>
      <w:r>
        <w:t>.</w:t>
      </w:r>
    </w:p>
    <w:p w:rsidR="003F3294" w14:paraId="7D4BF964" w14:textId="77777777"/>
    <w:sectPr w:rsidSect="004A5361">
      <w:headerReference w:type="default" r:id="rId12"/>
      <w:footerReference w:type="default" r:id="rId13"/>
      <w:headerReference w:type="first" r:id="rId14"/>
      <w:pgSz w:w="12240" w:h="15840"/>
      <w:pgMar w:top="1440" w:right="1440" w:bottom="1440" w:left="1440" w:header="864"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26F" w:rsidRPr="00320376" w14:paraId="520AB9B5" w14:textId="77777777">
    <w:pPr>
      <w:framePr w:wrap="notBeside" w:hAnchor="text" w:xAlign="center"/>
    </w:pPr>
    <w:r w:rsidRPr="00320376">
      <w:rPr>
        <w:sz w:val="2"/>
      </w:rPr>
      <w:fldChar w:fldCharType="begin"/>
    </w:r>
    <w:r>
      <w:rPr>
        <w:sz w:val="2"/>
        <w:szCs w:val="2"/>
      </w:rPr>
      <w:instrText xml:space="preserve"> PAGE  </w:instrText>
    </w:r>
    <w:r w:rsidRPr="00320376">
      <w:rPr>
        <w:sz w:val="2"/>
      </w:rPr>
      <w:fldChar w:fldCharType="separate"/>
    </w:r>
    <w:r>
      <w:rPr>
        <w:noProof/>
        <w:sz w:val="2"/>
        <w:szCs w:val="2"/>
      </w:rPr>
      <w:t>8</w:t>
    </w:r>
    <w:r w:rsidRPr="00320376">
      <w:rPr>
        <w:sz w:val="2"/>
      </w:rPr>
      <w:fldChar w:fldCharType="end"/>
    </w:r>
  </w:p>
  <w:p w:rsidR="0058126F" w:rsidRPr="00320376" w:rsidP="00FD7E21" w14:paraId="0083447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130A" w:rsidP="008D74C2" w14:paraId="1D5E7724" w14:textId="77777777">
      <w:pPr>
        <w:spacing w:line="240" w:lineRule="auto"/>
      </w:pPr>
      <w:r>
        <w:separator/>
      </w:r>
    </w:p>
  </w:footnote>
  <w:footnote w:type="continuationSeparator" w:id="1">
    <w:p w:rsidR="00E3130A" w:rsidP="008D74C2" w14:paraId="3A4D7217" w14:textId="77777777">
      <w:pPr>
        <w:spacing w:line="240" w:lineRule="auto"/>
      </w:pPr>
      <w:r>
        <w:continuationSeparator/>
      </w:r>
    </w:p>
  </w:footnote>
  <w:footnote w:id="2">
    <w:p w:rsidR="00F51548" w:rsidP="00F51548" w14:paraId="2BBC6753" w14:textId="7324B1AC">
      <w:pPr>
        <w:pStyle w:val="FootnoteText"/>
      </w:pPr>
      <w:r>
        <w:rPr>
          <w:rStyle w:val="FootnoteReference"/>
        </w:rPr>
        <w:footnoteRef/>
      </w:r>
      <w:r>
        <w:t xml:space="preserve"> </w:t>
      </w:r>
      <w:r w:rsidRPr="001C41D5">
        <w:rPr>
          <w:lang w:val="en"/>
        </w:rPr>
        <w:t xml:space="preserve">The </w:t>
      </w:r>
      <w:r w:rsidRPr="001C41D5">
        <w:t>pre-2018 Common Rule (or “pre-2018 Requirements”) was originally promulgated in 1991 and amended on June 23, 2005 (70 FR 36325). The 2018 Common Rule (or “2018 Requirements”) was originally published on January 19, 2017 (82 FR 7149) and amended on January 22, 2018 (83 FR 2885) and June 19, 2018 (83 FR 28497).</w:t>
      </w:r>
    </w:p>
    <w:p w:rsidR="0045418F" w:rsidP="00F51548" w14:paraId="61C11AE1" w14:textId="77777777">
      <w:pPr>
        <w:pStyle w:val="FootnoteText"/>
      </w:pPr>
    </w:p>
  </w:footnote>
  <w:footnote w:id="3">
    <w:p w:rsidR="008D74C2" w:rsidP="008D74C2" w14:paraId="79195F2F" w14:textId="7A37C233">
      <w:pPr>
        <w:pStyle w:val="FootnoteText"/>
      </w:pPr>
      <w:r>
        <w:rPr>
          <w:rStyle w:val="FootnoteReference"/>
        </w:rPr>
        <w:footnoteRef/>
      </w:r>
      <w:r>
        <w:t xml:space="preserve"> </w:t>
      </w:r>
      <w:r w:rsidRPr="00E95927">
        <w:t xml:space="preserve">Pre-2018 Requirements at 45 CFR 46.103(b) (5) and </w:t>
      </w:r>
      <w:r w:rsidR="006E34A7">
        <w:t xml:space="preserve">45 CFR 46.113, and </w:t>
      </w:r>
      <w:r w:rsidRPr="00E95927">
        <w:t>the 2018 Requirements at 45 CFR 46.108(a) (4)</w:t>
      </w:r>
      <w:r w:rsidRPr="006E34A7" w:rsidR="006E34A7">
        <w:t xml:space="preserve"> </w:t>
      </w:r>
      <w:r w:rsidRPr="00E95927" w:rsidR="006E34A7">
        <w:t xml:space="preserve">and </w:t>
      </w:r>
      <w:r w:rsidR="006E34A7">
        <w:t>45 CFR 46.113</w:t>
      </w:r>
      <w:r w:rsidRPr="00E9592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461" w14:paraId="121C097B" w14:textId="1F889FC2">
    <w:pPr>
      <w:pStyle w:val="Header"/>
      <w:jc w:val="right"/>
    </w:pPr>
    <w:r>
      <w:t xml:space="preserve">Page </w:t>
    </w:r>
    <w:sdt>
      <w:sdtPr>
        <w:id w:val="29101933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58126F" w:rsidRPr="00320376" w:rsidP="00320376" w14:paraId="5D658E20" w14:textId="66457811">
    <w:pPr>
      <w:pStyle w:val="Header"/>
      <w:tabs>
        <w:tab w:val="clear" w:pos="9360"/>
        <w:tab w:val="right" w:pos="131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FE2" w:rsidP="00320376" w14:paraId="6AE86B8A" w14:textId="7D822ADE">
    <w:pPr>
      <w:pStyle w:val="Header"/>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E34DA"/>
    <w:multiLevelType w:val="hybridMultilevel"/>
    <w:tmpl w:val="86060A2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95117DC"/>
    <w:multiLevelType w:val="hybridMultilevel"/>
    <w:tmpl w:val="136A0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8C4B0A"/>
    <w:multiLevelType w:val="hybridMultilevel"/>
    <w:tmpl w:val="EF02D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1371FE"/>
    <w:multiLevelType w:val="hybridMultilevel"/>
    <w:tmpl w:val="5BC86F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FB461C1"/>
    <w:multiLevelType w:val="hybridMultilevel"/>
    <w:tmpl w:val="6D4C654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58307BF2"/>
    <w:multiLevelType w:val="hybridMultilevel"/>
    <w:tmpl w:val="4F9A2B8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B89534F"/>
    <w:multiLevelType w:val="hybridMultilevel"/>
    <w:tmpl w:val="8E70F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B486985"/>
    <w:multiLevelType w:val="hybridMultilevel"/>
    <w:tmpl w:val="A9B05E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9934094">
    <w:abstractNumId w:val="6"/>
  </w:num>
  <w:num w:numId="2" w16cid:durableId="2143033365">
    <w:abstractNumId w:val="7"/>
  </w:num>
  <w:num w:numId="3" w16cid:durableId="432828169">
    <w:abstractNumId w:val="1"/>
  </w:num>
  <w:num w:numId="4" w16cid:durableId="1907957369">
    <w:abstractNumId w:val="2"/>
  </w:num>
  <w:num w:numId="5" w16cid:durableId="863977275">
    <w:abstractNumId w:val="3"/>
  </w:num>
  <w:num w:numId="6" w16cid:durableId="1129056932">
    <w:abstractNumId w:val="5"/>
  </w:num>
  <w:num w:numId="7" w16cid:durableId="315425575">
    <w:abstractNumId w:val="4"/>
  </w:num>
  <w:num w:numId="8" w16cid:durableId="1049454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C2"/>
    <w:rsid w:val="00004AFF"/>
    <w:rsid w:val="000054EB"/>
    <w:rsid w:val="00005C73"/>
    <w:rsid w:val="00027E12"/>
    <w:rsid w:val="00033774"/>
    <w:rsid w:val="00045A4C"/>
    <w:rsid w:val="00052289"/>
    <w:rsid w:val="0006106F"/>
    <w:rsid w:val="00064897"/>
    <w:rsid w:val="00067888"/>
    <w:rsid w:val="0006789F"/>
    <w:rsid w:val="00073FA1"/>
    <w:rsid w:val="00082D37"/>
    <w:rsid w:val="000D2A2B"/>
    <w:rsid w:val="000E2B77"/>
    <w:rsid w:val="000F32B6"/>
    <w:rsid w:val="000F6E68"/>
    <w:rsid w:val="00100961"/>
    <w:rsid w:val="00101AB1"/>
    <w:rsid w:val="00104EFD"/>
    <w:rsid w:val="001118CA"/>
    <w:rsid w:val="00123151"/>
    <w:rsid w:val="001276C5"/>
    <w:rsid w:val="00134ADC"/>
    <w:rsid w:val="001351E3"/>
    <w:rsid w:val="001400C8"/>
    <w:rsid w:val="001420B3"/>
    <w:rsid w:val="001526CB"/>
    <w:rsid w:val="001568AE"/>
    <w:rsid w:val="001B1D37"/>
    <w:rsid w:val="001B48A1"/>
    <w:rsid w:val="001C2516"/>
    <w:rsid w:val="001C41D5"/>
    <w:rsid w:val="001C5990"/>
    <w:rsid w:val="001D0BEF"/>
    <w:rsid w:val="001E1896"/>
    <w:rsid w:val="001E78B2"/>
    <w:rsid w:val="001F72FD"/>
    <w:rsid w:val="001F7E78"/>
    <w:rsid w:val="0020049A"/>
    <w:rsid w:val="00201EA9"/>
    <w:rsid w:val="002112FA"/>
    <w:rsid w:val="00222FE5"/>
    <w:rsid w:val="00225229"/>
    <w:rsid w:val="00247238"/>
    <w:rsid w:val="00270068"/>
    <w:rsid w:val="00281681"/>
    <w:rsid w:val="002825D4"/>
    <w:rsid w:val="00291A32"/>
    <w:rsid w:val="002B42B4"/>
    <w:rsid w:val="002C2311"/>
    <w:rsid w:val="002E353C"/>
    <w:rsid w:val="002F2D39"/>
    <w:rsid w:val="00314578"/>
    <w:rsid w:val="00315F95"/>
    <w:rsid w:val="00317C5E"/>
    <w:rsid w:val="00320376"/>
    <w:rsid w:val="00331637"/>
    <w:rsid w:val="003344EE"/>
    <w:rsid w:val="003471B8"/>
    <w:rsid w:val="003652A6"/>
    <w:rsid w:val="00374E6D"/>
    <w:rsid w:val="00376381"/>
    <w:rsid w:val="00376E37"/>
    <w:rsid w:val="0039332B"/>
    <w:rsid w:val="003D2A27"/>
    <w:rsid w:val="003E1366"/>
    <w:rsid w:val="003E1D02"/>
    <w:rsid w:val="003F2F52"/>
    <w:rsid w:val="003F3294"/>
    <w:rsid w:val="00400523"/>
    <w:rsid w:val="00407FC3"/>
    <w:rsid w:val="00414245"/>
    <w:rsid w:val="004273BF"/>
    <w:rsid w:val="00433280"/>
    <w:rsid w:val="0043401C"/>
    <w:rsid w:val="0045418F"/>
    <w:rsid w:val="00482FB3"/>
    <w:rsid w:val="004932B1"/>
    <w:rsid w:val="0049651E"/>
    <w:rsid w:val="004A5361"/>
    <w:rsid w:val="004B0D9C"/>
    <w:rsid w:val="004B6CB8"/>
    <w:rsid w:val="004B74CF"/>
    <w:rsid w:val="004B77B3"/>
    <w:rsid w:val="004D41A5"/>
    <w:rsid w:val="004D4DD3"/>
    <w:rsid w:val="004E0306"/>
    <w:rsid w:val="004E23FA"/>
    <w:rsid w:val="004F0B7A"/>
    <w:rsid w:val="004F248B"/>
    <w:rsid w:val="004F731A"/>
    <w:rsid w:val="0050091E"/>
    <w:rsid w:val="00513C59"/>
    <w:rsid w:val="005273D9"/>
    <w:rsid w:val="00537177"/>
    <w:rsid w:val="00540704"/>
    <w:rsid w:val="00555BFA"/>
    <w:rsid w:val="005633F0"/>
    <w:rsid w:val="0058126F"/>
    <w:rsid w:val="00584D1B"/>
    <w:rsid w:val="005A0DA6"/>
    <w:rsid w:val="005B3E95"/>
    <w:rsid w:val="005C3BF6"/>
    <w:rsid w:val="005D3DFE"/>
    <w:rsid w:val="005D5B37"/>
    <w:rsid w:val="005D5EE9"/>
    <w:rsid w:val="005E65DF"/>
    <w:rsid w:val="005F6556"/>
    <w:rsid w:val="00601255"/>
    <w:rsid w:val="00607B0E"/>
    <w:rsid w:val="00613569"/>
    <w:rsid w:val="00617F2B"/>
    <w:rsid w:val="0062716D"/>
    <w:rsid w:val="00643C15"/>
    <w:rsid w:val="006453B4"/>
    <w:rsid w:val="0065193B"/>
    <w:rsid w:val="00657879"/>
    <w:rsid w:val="00684F82"/>
    <w:rsid w:val="0069239E"/>
    <w:rsid w:val="006B3736"/>
    <w:rsid w:val="006C423F"/>
    <w:rsid w:val="006C5026"/>
    <w:rsid w:val="006E1946"/>
    <w:rsid w:val="006E34A7"/>
    <w:rsid w:val="006F29C6"/>
    <w:rsid w:val="00711062"/>
    <w:rsid w:val="00712FE2"/>
    <w:rsid w:val="00727CD4"/>
    <w:rsid w:val="007465C0"/>
    <w:rsid w:val="007708FE"/>
    <w:rsid w:val="007710CA"/>
    <w:rsid w:val="00772CDE"/>
    <w:rsid w:val="007869AC"/>
    <w:rsid w:val="00790B16"/>
    <w:rsid w:val="007A321A"/>
    <w:rsid w:val="007B7283"/>
    <w:rsid w:val="007C1100"/>
    <w:rsid w:val="007D09F8"/>
    <w:rsid w:val="007D51E9"/>
    <w:rsid w:val="007E7C4E"/>
    <w:rsid w:val="00864E9C"/>
    <w:rsid w:val="00880306"/>
    <w:rsid w:val="0089057D"/>
    <w:rsid w:val="008964C7"/>
    <w:rsid w:val="008A0181"/>
    <w:rsid w:val="008C4F06"/>
    <w:rsid w:val="008C7882"/>
    <w:rsid w:val="008D74C2"/>
    <w:rsid w:val="008F09C6"/>
    <w:rsid w:val="008F17C8"/>
    <w:rsid w:val="008F1F74"/>
    <w:rsid w:val="008F6FAE"/>
    <w:rsid w:val="00902ECE"/>
    <w:rsid w:val="009053AA"/>
    <w:rsid w:val="00905662"/>
    <w:rsid w:val="009102EA"/>
    <w:rsid w:val="009241F3"/>
    <w:rsid w:val="00940A45"/>
    <w:rsid w:val="00942897"/>
    <w:rsid w:val="00944329"/>
    <w:rsid w:val="00972CBA"/>
    <w:rsid w:val="00986903"/>
    <w:rsid w:val="00986B04"/>
    <w:rsid w:val="00995FC9"/>
    <w:rsid w:val="009C142C"/>
    <w:rsid w:val="009C42EC"/>
    <w:rsid w:val="009C4794"/>
    <w:rsid w:val="009D1951"/>
    <w:rsid w:val="009D6BF3"/>
    <w:rsid w:val="009E108D"/>
    <w:rsid w:val="009E14E3"/>
    <w:rsid w:val="00A175FC"/>
    <w:rsid w:val="00A35ED0"/>
    <w:rsid w:val="00A40F18"/>
    <w:rsid w:val="00A51D04"/>
    <w:rsid w:val="00A6629C"/>
    <w:rsid w:val="00A92FCD"/>
    <w:rsid w:val="00AB1D7B"/>
    <w:rsid w:val="00AC3BE7"/>
    <w:rsid w:val="00AE3034"/>
    <w:rsid w:val="00AE33FF"/>
    <w:rsid w:val="00AF205F"/>
    <w:rsid w:val="00AF2658"/>
    <w:rsid w:val="00B12853"/>
    <w:rsid w:val="00B43FBD"/>
    <w:rsid w:val="00B732B0"/>
    <w:rsid w:val="00B75257"/>
    <w:rsid w:val="00BB57CA"/>
    <w:rsid w:val="00BE0FF2"/>
    <w:rsid w:val="00BF7D56"/>
    <w:rsid w:val="00C01C15"/>
    <w:rsid w:val="00C07E54"/>
    <w:rsid w:val="00C1633B"/>
    <w:rsid w:val="00C212B2"/>
    <w:rsid w:val="00C2392B"/>
    <w:rsid w:val="00C32C79"/>
    <w:rsid w:val="00C50326"/>
    <w:rsid w:val="00CA268B"/>
    <w:rsid w:val="00CA3275"/>
    <w:rsid w:val="00CA66C7"/>
    <w:rsid w:val="00CB3DE5"/>
    <w:rsid w:val="00CD14F5"/>
    <w:rsid w:val="00CD25A8"/>
    <w:rsid w:val="00CE3070"/>
    <w:rsid w:val="00CF08D1"/>
    <w:rsid w:val="00CF4560"/>
    <w:rsid w:val="00D0466E"/>
    <w:rsid w:val="00D1556B"/>
    <w:rsid w:val="00D23E04"/>
    <w:rsid w:val="00D303E0"/>
    <w:rsid w:val="00D50269"/>
    <w:rsid w:val="00D54748"/>
    <w:rsid w:val="00D6669B"/>
    <w:rsid w:val="00D75FB6"/>
    <w:rsid w:val="00D7695B"/>
    <w:rsid w:val="00D9691A"/>
    <w:rsid w:val="00DA66F3"/>
    <w:rsid w:val="00DA6907"/>
    <w:rsid w:val="00DB5AF5"/>
    <w:rsid w:val="00DC146E"/>
    <w:rsid w:val="00DD3002"/>
    <w:rsid w:val="00DE48EC"/>
    <w:rsid w:val="00E07361"/>
    <w:rsid w:val="00E14F59"/>
    <w:rsid w:val="00E25566"/>
    <w:rsid w:val="00E3130A"/>
    <w:rsid w:val="00E45F3B"/>
    <w:rsid w:val="00E67A98"/>
    <w:rsid w:val="00E7598A"/>
    <w:rsid w:val="00E809F7"/>
    <w:rsid w:val="00E92759"/>
    <w:rsid w:val="00E92BEE"/>
    <w:rsid w:val="00E95927"/>
    <w:rsid w:val="00EA1876"/>
    <w:rsid w:val="00EA71B2"/>
    <w:rsid w:val="00EB0A13"/>
    <w:rsid w:val="00EC130A"/>
    <w:rsid w:val="00ED3F36"/>
    <w:rsid w:val="00EE667C"/>
    <w:rsid w:val="00EF15B8"/>
    <w:rsid w:val="00F03C19"/>
    <w:rsid w:val="00F069EC"/>
    <w:rsid w:val="00F22808"/>
    <w:rsid w:val="00F51548"/>
    <w:rsid w:val="00F7433D"/>
    <w:rsid w:val="00F93B3E"/>
    <w:rsid w:val="00FB22A9"/>
    <w:rsid w:val="00FC6F1A"/>
    <w:rsid w:val="00FD215D"/>
    <w:rsid w:val="00FD462B"/>
    <w:rsid w:val="00FD784D"/>
    <w:rsid w:val="00FD7E21"/>
    <w:rsid w:val="00FE1461"/>
    <w:rsid w:val="00FE7843"/>
    <w:rsid w:val="00FF13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C25C16"/>
  <w15:chartTrackingRefBased/>
  <w15:docId w15:val="{2144DDEC-3A28-4373-9A7D-12739BBE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4C2"/>
    <w:pPr>
      <w:widowControl w:val="0"/>
      <w:autoSpaceDE w:val="0"/>
      <w:autoSpaceDN w:val="0"/>
      <w:adjustRightInd w:val="0"/>
      <w:spacing w:after="0" w:line="276"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D74C2"/>
    <w:pPr>
      <w:keepNext/>
      <w:keepLines/>
      <w:outlineLvl w:val="0"/>
    </w:pPr>
    <w:rPr>
      <w:rFonts w:ascii="Times New Roman Bold" w:hAnsi="Times New Roman Bold" w:eastAsiaTheme="majorEastAsia" w:cstheme="majorBidi"/>
      <w:b/>
      <w:caps/>
      <w:sz w:val="32"/>
      <w:szCs w:val="32"/>
    </w:rPr>
  </w:style>
  <w:style w:type="paragraph" w:styleId="Heading2">
    <w:name w:val="heading 2"/>
    <w:basedOn w:val="Normal"/>
    <w:next w:val="Normal"/>
    <w:link w:val="Heading2Char"/>
    <w:uiPriority w:val="9"/>
    <w:unhideWhenUsed/>
    <w:qFormat/>
    <w:rsid w:val="008D74C2"/>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4C2"/>
    <w:rPr>
      <w:rFonts w:ascii="Times New Roman Bold" w:hAnsi="Times New Roman Bold" w:eastAsiaTheme="majorEastAsia" w:cstheme="majorBidi"/>
      <w:b/>
      <w:caps/>
      <w:sz w:val="32"/>
      <w:szCs w:val="32"/>
    </w:rPr>
  </w:style>
  <w:style w:type="character" w:customStyle="1" w:styleId="Heading2Char">
    <w:name w:val="Heading 2 Char"/>
    <w:basedOn w:val="DefaultParagraphFont"/>
    <w:link w:val="Heading2"/>
    <w:uiPriority w:val="9"/>
    <w:rsid w:val="008D74C2"/>
    <w:rPr>
      <w:rFonts w:ascii="Times New Roman" w:hAnsi="Times New Roman" w:eastAsiaTheme="majorEastAsia" w:cstheme="majorBidi"/>
      <w:b/>
      <w:sz w:val="24"/>
      <w:szCs w:val="26"/>
      <w:u w:val="single"/>
    </w:rPr>
  </w:style>
  <w:style w:type="paragraph" w:styleId="Header">
    <w:name w:val="header"/>
    <w:basedOn w:val="Normal"/>
    <w:link w:val="HeaderChar"/>
    <w:uiPriority w:val="99"/>
    <w:unhideWhenUsed/>
    <w:rsid w:val="008D74C2"/>
    <w:pPr>
      <w:tabs>
        <w:tab w:val="center" w:pos="4680"/>
        <w:tab w:val="right" w:pos="9360"/>
      </w:tabs>
    </w:pPr>
  </w:style>
  <w:style w:type="character" w:customStyle="1" w:styleId="HeaderChar">
    <w:name w:val="Header Char"/>
    <w:basedOn w:val="DefaultParagraphFont"/>
    <w:link w:val="Header"/>
    <w:uiPriority w:val="99"/>
    <w:rsid w:val="008D74C2"/>
    <w:rPr>
      <w:rFonts w:ascii="Times New Roman" w:eastAsia="Times New Roman" w:hAnsi="Times New Roman" w:cs="Times New Roman"/>
      <w:sz w:val="24"/>
      <w:szCs w:val="20"/>
    </w:rPr>
  </w:style>
  <w:style w:type="paragraph" w:styleId="ListParagraph">
    <w:name w:val="List Paragraph"/>
    <w:basedOn w:val="Normal"/>
    <w:uiPriority w:val="34"/>
    <w:qFormat/>
    <w:rsid w:val="008D74C2"/>
    <w:pPr>
      <w:ind w:left="720"/>
      <w:contextualSpacing/>
    </w:pPr>
  </w:style>
  <w:style w:type="paragraph" w:styleId="FootnoteText">
    <w:name w:val="footnote text"/>
    <w:basedOn w:val="Normal"/>
    <w:link w:val="FootnoteTextChar"/>
    <w:uiPriority w:val="99"/>
    <w:semiHidden/>
    <w:unhideWhenUsed/>
    <w:rsid w:val="008D74C2"/>
    <w:rPr>
      <w:sz w:val="20"/>
    </w:rPr>
  </w:style>
  <w:style w:type="character" w:customStyle="1" w:styleId="FootnoteTextChar">
    <w:name w:val="Footnote Text Char"/>
    <w:basedOn w:val="DefaultParagraphFont"/>
    <w:link w:val="FootnoteText"/>
    <w:uiPriority w:val="99"/>
    <w:semiHidden/>
    <w:rsid w:val="008D74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D74C2"/>
    <w:rPr>
      <w:vertAlign w:val="superscript"/>
    </w:rPr>
  </w:style>
  <w:style w:type="table" w:styleId="TableGrid">
    <w:name w:val="Table Grid"/>
    <w:basedOn w:val="TableNormal"/>
    <w:uiPriority w:val="39"/>
    <w:rsid w:val="008D7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D74C2"/>
    <w:pPr>
      <w:spacing w:after="0" w:line="240" w:lineRule="auto"/>
    </w:pPr>
    <w:rPr>
      <w:rFonts w:eastAsiaTheme="minorEastAsia"/>
    </w:rPr>
  </w:style>
  <w:style w:type="character" w:customStyle="1" w:styleId="NoSpacingChar">
    <w:name w:val="No Spacing Char"/>
    <w:basedOn w:val="DefaultParagraphFont"/>
    <w:link w:val="NoSpacing"/>
    <w:uiPriority w:val="1"/>
    <w:rsid w:val="008D74C2"/>
    <w:rPr>
      <w:rFonts w:eastAsiaTheme="minorEastAsia"/>
    </w:rPr>
  </w:style>
  <w:style w:type="character" w:styleId="Hyperlink">
    <w:name w:val="Hyperlink"/>
    <w:rsid w:val="001351E3"/>
    <w:rPr>
      <w:rFonts w:cs="Times New Roman"/>
      <w:color w:val="0000FF"/>
      <w:u w:val="single"/>
    </w:rPr>
  </w:style>
  <w:style w:type="character" w:styleId="FollowedHyperlink">
    <w:name w:val="FollowedHyperlink"/>
    <w:basedOn w:val="DefaultParagraphFont"/>
    <w:uiPriority w:val="99"/>
    <w:semiHidden/>
    <w:unhideWhenUsed/>
    <w:rsid w:val="001351E3"/>
    <w:rPr>
      <w:color w:val="954F72" w:themeColor="followedHyperlink"/>
      <w:u w:val="single"/>
    </w:rPr>
  </w:style>
  <w:style w:type="paragraph" w:styleId="BodyText">
    <w:name w:val="Body Text"/>
    <w:basedOn w:val="Normal"/>
    <w:link w:val="BodyTextChar"/>
    <w:uiPriority w:val="1"/>
    <w:qFormat/>
    <w:rsid w:val="00073FA1"/>
    <w:pPr>
      <w:adjustRightInd/>
      <w:spacing w:line="240" w:lineRule="auto"/>
    </w:pPr>
    <w:rPr>
      <w:szCs w:val="24"/>
    </w:rPr>
  </w:style>
  <w:style w:type="character" w:customStyle="1" w:styleId="BodyTextChar">
    <w:name w:val="Body Text Char"/>
    <w:basedOn w:val="DefaultParagraphFont"/>
    <w:link w:val="BodyText"/>
    <w:uiPriority w:val="1"/>
    <w:rsid w:val="00073FA1"/>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C2311"/>
    <w:rPr>
      <w:color w:val="605E5C"/>
      <w:shd w:val="clear" w:color="auto" w:fill="E1DFDD"/>
    </w:rPr>
  </w:style>
  <w:style w:type="paragraph" w:styleId="Revision">
    <w:name w:val="Revision"/>
    <w:hidden/>
    <w:uiPriority w:val="99"/>
    <w:semiHidden/>
    <w:rsid w:val="00104EFD"/>
    <w:pPr>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17F2B"/>
    <w:pPr>
      <w:tabs>
        <w:tab w:val="center" w:pos="4680"/>
        <w:tab w:val="right" w:pos="9360"/>
      </w:tabs>
      <w:spacing w:line="240" w:lineRule="auto"/>
    </w:pPr>
  </w:style>
  <w:style w:type="character" w:customStyle="1" w:styleId="FooterChar">
    <w:name w:val="Footer Char"/>
    <w:basedOn w:val="DefaultParagraphFont"/>
    <w:link w:val="Footer"/>
    <w:uiPriority w:val="99"/>
    <w:rsid w:val="00617F2B"/>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5418F"/>
    <w:rPr>
      <w:sz w:val="16"/>
      <w:szCs w:val="16"/>
    </w:rPr>
  </w:style>
  <w:style w:type="paragraph" w:styleId="CommentText">
    <w:name w:val="annotation text"/>
    <w:basedOn w:val="Normal"/>
    <w:link w:val="CommentTextChar"/>
    <w:uiPriority w:val="99"/>
    <w:semiHidden/>
    <w:unhideWhenUsed/>
    <w:rsid w:val="0045418F"/>
    <w:pPr>
      <w:spacing w:line="240" w:lineRule="auto"/>
    </w:pPr>
    <w:rPr>
      <w:sz w:val="20"/>
    </w:rPr>
  </w:style>
  <w:style w:type="character" w:customStyle="1" w:styleId="CommentTextChar">
    <w:name w:val="Comment Text Char"/>
    <w:basedOn w:val="DefaultParagraphFont"/>
    <w:link w:val="CommentText"/>
    <w:uiPriority w:val="99"/>
    <w:semiHidden/>
    <w:rsid w:val="004541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418F"/>
    <w:rPr>
      <w:b/>
      <w:bCs/>
    </w:rPr>
  </w:style>
  <w:style w:type="character" w:customStyle="1" w:styleId="CommentSubjectChar">
    <w:name w:val="Comment Subject Char"/>
    <w:basedOn w:val="CommentTextChar"/>
    <w:link w:val="CommentSubject"/>
    <w:uiPriority w:val="99"/>
    <w:semiHidden/>
    <w:rsid w:val="0045418F"/>
    <w:rPr>
      <w:rFonts w:ascii="Times New Roman" w:eastAsia="Times New Roman" w:hAnsi="Times New Roman" w:cs="Times New Roman"/>
      <w:b/>
      <w:bCs/>
      <w:sz w:val="20"/>
      <w:szCs w:val="20"/>
    </w:rPr>
  </w:style>
  <w:style w:type="paragraph" w:customStyle="1" w:styleId="indent-1">
    <w:name w:val="indent-1"/>
    <w:basedOn w:val="Normal"/>
    <w:rsid w:val="007D51E9"/>
    <w:pPr>
      <w:widowControl/>
      <w:autoSpaceDE/>
      <w:autoSpaceDN/>
      <w:adjustRightInd/>
      <w:spacing w:before="100" w:beforeAutospacing="1" w:after="100" w:afterAutospacing="1" w:line="240" w:lineRule="auto"/>
    </w:pPr>
    <w:rPr>
      <w:szCs w:val="24"/>
    </w:rPr>
  </w:style>
  <w:style w:type="character" w:customStyle="1" w:styleId="paragraph-hierarchy">
    <w:name w:val="paragraph-hierarchy"/>
    <w:basedOn w:val="DefaultParagraphFont"/>
    <w:rsid w:val="007D51E9"/>
  </w:style>
  <w:style w:type="character" w:customStyle="1" w:styleId="paren">
    <w:name w:val="paren"/>
    <w:basedOn w:val="DefaultParagraphFont"/>
    <w:rsid w:val="007D51E9"/>
  </w:style>
  <w:style w:type="paragraph" w:customStyle="1" w:styleId="indent-2">
    <w:name w:val="indent-2"/>
    <w:basedOn w:val="Normal"/>
    <w:rsid w:val="007D51E9"/>
    <w:pPr>
      <w:widowControl/>
      <w:autoSpaceDE/>
      <w:autoSpaceDN/>
      <w:adjustRightInd/>
      <w:spacing w:before="100" w:beforeAutospacing="1" w:after="100" w:afterAutospacing="1" w:line="240" w:lineRule="auto"/>
    </w:pPr>
    <w:rPr>
      <w:szCs w:val="24"/>
    </w:rPr>
  </w:style>
  <w:style w:type="paragraph" w:styleId="BodyTextIndent2">
    <w:name w:val="Body Text Indent 2"/>
    <w:basedOn w:val="Normal"/>
    <w:link w:val="BodyTextIndent2Char"/>
    <w:uiPriority w:val="99"/>
    <w:unhideWhenUsed/>
    <w:rsid w:val="007708FE"/>
    <w:pPr>
      <w:spacing w:after="120" w:line="480" w:lineRule="auto"/>
      <w:ind w:left="360"/>
    </w:pPr>
  </w:style>
  <w:style w:type="character" w:customStyle="1" w:styleId="BodyTextIndent2Char">
    <w:name w:val="Body Text Indent 2 Char"/>
    <w:basedOn w:val="DefaultParagraphFont"/>
    <w:link w:val="BodyTextIndent2"/>
    <w:uiPriority w:val="99"/>
    <w:rsid w:val="007708F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oashsps.my.site.com/ohrpwebforms/s/incident-web-form" TargetMode="External" /><Relationship Id="rId11" Type="http://schemas.openxmlformats.org/officeDocument/2006/relationships/hyperlink" Target="https://www.bls.gov/oes/current/oes_nat.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Lisa.Buchanan@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4ff4d0-098a-467e-a6e4-07af1c46bfd8">
      <Terms xmlns="http://schemas.microsoft.com/office/infopath/2007/PartnerControls"/>
    </lcf76f155ced4ddcb4097134ff3c332f>
    <TaxCatchAll xmlns="454f18bd-3f0a-4afd-bd84-6150e72915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744EB95DC9E94CB0718560C16963E0" ma:contentTypeVersion="16" ma:contentTypeDescription="Create a new document." ma:contentTypeScope="" ma:versionID="80df30d7498ec13a346f800597900a91">
  <xsd:schema xmlns:xsd="http://www.w3.org/2001/XMLSchema" xmlns:xs="http://www.w3.org/2001/XMLSchema" xmlns:p="http://schemas.microsoft.com/office/2006/metadata/properties" xmlns:ns2="934ff4d0-098a-467e-a6e4-07af1c46bfd8" xmlns:ns3="454f18bd-3f0a-4afd-bd84-6150e729151d" targetNamespace="http://schemas.microsoft.com/office/2006/metadata/properties" ma:root="true" ma:fieldsID="a033b34ccdf84f1031d3588a5b0a6dc6" ns2:_="" ns3:_="">
    <xsd:import namespace="934ff4d0-098a-467e-a6e4-07af1c46bfd8"/>
    <xsd:import namespace="454f18bd-3f0a-4afd-bd84-6150e7291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ff4d0-098a-467e-a6e4-07af1c46b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4f18bd-3f0a-4afd-bd84-6150e7291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4fbc53d-6f21-43b4-8548-b4eb82bcfb17}" ma:internalName="TaxCatchAll" ma:showField="CatchAllData" ma:web="454f18bd-3f0a-4afd-bd84-6150e7291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DA133-E0A8-4A58-BC88-48E786D824EA}">
  <ds:schemaRefs>
    <ds:schemaRef ds:uri="http://schemas.openxmlformats.org/officeDocument/2006/bibliography"/>
  </ds:schemaRefs>
</ds:datastoreItem>
</file>

<file path=customXml/itemProps2.xml><?xml version="1.0" encoding="utf-8"?>
<ds:datastoreItem xmlns:ds="http://schemas.openxmlformats.org/officeDocument/2006/customXml" ds:itemID="{38CF21C8-F7D1-42C3-9705-8BCC58F879EA}">
  <ds:schemaRefs>
    <ds:schemaRef ds:uri="http://schemas.microsoft.com/office/2006/metadata/properties"/>
    <ds:schemaRef ds:uri="http://schemas.microsoft.com/office/infopath/2007/PartnerControls"/>
    <ds:schemaRef ds:uri="934ff4d0-098a-467e-a6e4-07af1c46bfd8"/>
    <ds:schemaRef ds:uri="454f18bd-3f0a-4afd-bd84-6150e729151d"/>
  </ds:schemaRefs>
</ds:datastoreItem>
</file>

<file path=customXml/itemProps3.xml><?xml version="1.0" encoding="utf-8"?>
<ds:datastoreItem xmlns:ds="http://schemas.openxmlformats.org/officeDocument/2006/customXml" ds:itemID="{3A1822DC-BD29-47DF-A41B-44BD8E1F8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ff4d0-098a-467e-a6e4-07af1c46bfd8"/>
    <ds:schemaRef ds:uri="454f18bd-3f0a-4afd-bd84-6150e7291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B2024-A7F0-44D4-A7B7-7E02914DE4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2359</Words>
  <Characters>13451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Stith-Coleman</dc:creator>
  <cp:lastModifiedBy>Irene Stith-Coleman</cp:lastModifiedBy>
  <cp:revision>2</cp:revision>
  <dcterms:created xsi:type="dcterms:W3CDTF">2024-07-11T19:26:00Z</dcterms:created>
  <dcterms:modified xsi:type="dcterms:W3CDTF">2024-07-11T19:26:00Z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0x01010076744EB95DC9E94CB0718560C16963E0</vt:lpwstr>
  </property>
  <property fmtid="{D5CDD505-2E9C-101B-9397-08002B2CF9AE}" pid="3" name="MediaServiceImageTags">
    <vt:lpwstr/>
  </property>
</Properties>
</file>