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1E17542F">
      <w:pPr>
        <w:widowControl/>
        <w:jc w:val="center"/>
        <w:rPr>
          <w:rFonts w:ascii="Times New Roman" w:hAnsi="Times New Roman"/>
          <w:b/>
          <w:bCs/>
        </w:rPr>
      </w:pPr>
      <w:r>
        <w:rPr>
          <w:rFonts w:ascii="Times New Roman" w:hAnsi="Times New Roman"/>
          <w:b/>
          <w:bCs/>
        </w:rPr>
        <w:t>RECORDS AND SUPPORTING DATA:  IMPORTATION, RECEIPT, STORAGE, AND DISPOSITION BY EXPLOSIVES IMPORTERS, MANUFACTURERS, DEALERS, AND USERS LICENSED UNDER TITLE 18 U.S.C. CHAPTER 40 EXPLOSIVES</w:t>
      </w:r>
    </w:p>
    <w:p w:rsidR="000B6FB6" w:rsidRPr="00A47DA7" w:rsidP="00690F56" w14:paraId="1CF8A88F" w14:textId="77777777">
      <w:pPr>
        <w:widowControl/>
        <w:rPr>
          <w:rFonts w:ascii="Times New Roman" w:hAnsi="Times New Roman"/>
          <w:b/>
          <w:bCs/>
        </w:rPr>
      </w:pPr>
    </w:p>
    <w:p w:rsidR="00690F56" w:rsidRPr="00BD32C8" w:rsidP="00BD32C8" w14:paraId="0A674873" w14:textId="77777777">
      <w:pPr>
        <w:pStyle w:val="Heading1"/>
      </w:pPr>
      <w:r w:rsidRPr="00BD32C8">
        <w:t>JUSTIFICATION</w:t>
      </w:r>
    </w:p>
    <w:p w:rsidR="00690F56" w:rsidRPr="00F4518C" w:rsidP="00690F56" w14:paraId="375316BB" w14:textId="77777777">
      <w:pPr>
        <w:widowControl/>
        <w:rPr>
          <w:rFonts w:ascii="Times New Roman" w:hAnsi="Times New Roman"/>
          <w:b/>
          <w:bCs/>
        </w:rPr>
      </w:pPr>
    </w:p>
    <w:p w:rsidR="00690F56" w:rsidP="00BD32C8" w14:paraId="38CEE6AD" w14:textId="6D3624AE">
      <w:pPr>
        <w:pStyle w:val="Heading2"/>
      </w:pPr>
      <w:r w:rsidRPr="00D53DEB">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P="00D802D6" w14:paraId="386CE7D5" w14:textId="5293665D">
      <w:pPr>
        <w:pStyle w:val="paragraph"/>
        <w:textAlignment w:val="baseline"/>
        <w:rPr>
          <w:color w:val="000000"/>
        </w:rPr>
      </w:pPr>
      <w:r>
        <w:rPr>
          <w:color w:val="000000"/>
        </w:rPr>
        <w:t>Chapter 40 of Title 18, United States Code (U.S.C.), Importation, Manufacture, Distribution and Storage of Explosive Materials, was added to Title XI of the Organized Crime Control Act of 1970, in reaction to the highest level of domestically perpetrated criminal acts involving explosives.  Today, the greatest concerns are the possibility of both domestic and foreign terrorism.  These record keeping requirements are required under 18 U.S.C. §§ 842 (f), (g), (j), (k), 843(f) and 847, and are established in the manner set forth in 27 CFR §§ 555.121-129.</w:t>
      </w:r>
    </w:p>
    <w:p w:rsidR="001F2291" w:rsidP="00D802D6" w14:paraId="32BB8466" w14:textId="0F5957EA">
      <w:pPr>
        <w:pStyle w:val="paragraph"/>
        <w:textAlignment w:val="baseline"/>
        <w:rPr>
          <w:color w:val="000000"/>
        </w:rPr>
      </w:pPr>
      <w:r>
        <w:rPr>
          <w:color w:val="000000"/>
        </w:rPr>
        <w:t>Section 842(f) states that it will be unlawful for any licensee or permittee willfully to manufacture, import, purchase, distribute, or receive explosive materials without making such records as the Secretary may by regulation require, including, but not limited to, a statement of intended use, the name, date, place of birth, Social Security Number or taxpayer identification number, and place of residence of any natural person to whom explosive materials are distributed.  If explosive materials are distributed to a corporation or other business entity, such records shall include the identity, principal and local places of business, and the name, date, place of birth, and place of residence of the person acting as the agent of the corporation or other business entity arranging the distribution.</w:t>
      </w:r>
    </w:p>
    <w:p w:rsidR="00F27F7F" w:rsidRPr="00D802D6" w:rsidP="00D802D6" w14:paraId="7CDB1643" w14:textId="5B30108F">
      <w:pPr>
        <w:pStyle w:val="paragraph"/>
        <w:textAlignment w:val="baseline"/>
        <w:rPr>
          <w:color w:val="000000"/>
        </w:rPr>
      </w:pPr>
      <w:r>
        <w:rPr>
          <w:color w:val="000000"/>
        </w:rPr>
        <w:t>Each licensee and permittee shall maintain all records of importation, production, shipment, receipt, sale, or other disposition, whether temporary or permanent, of explosive materials.</w:t>
      </w:r>
    </w:p>
    <w:p w:rsidR="00690F56" w:rsidP="00BD32C8" w14:paraId="2BBF8E2F" w14:textId="12DDB880">
      <w:pPr>
        <w:pStyle w:val="Heading2"/>
      </w:pPr>
      <w:r w:rsidRPr="00D53DEB">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61BF706D">
      <w:pPr>
        <w:widowControl/>
        <w:rPr>
          <w:rFonts w:ascii="Times New Roman" w:hAnsi="Times New Roman"/>
        </w:rPr>
      </w:pPr>
      <w:r>
        <w:rPr>
          <w:rFonts w:ascii="Times New Roman" w:hAnsi="Times New Roman"/>
        </w:rPr>
        <w:t xml:space="preserve">These records show daily activities in the importation, manufacture, receipt, storage, and disposition of all explosive materials covered </w:t>
      </w:r>
      <w:r w:rsidR="006E4E44">
        <w:rPr>
          <w:rFonts w:ascii="Times New Roman" w:hAnsi="Times New Roman"/>
        </w:rPr>
        <w:t xml:space="preserve">under 18 U.S.C. Chapter 40.  The records are used to show where and to whom explosive materials are sent, thereby ensuring that any diversion will be readily apparent and, if lost or stolen, ATF will be immediately notified on discovery of the loss or theft.  ATF requires these records to ensure compliance with the explosives law and </w:t>
      </w:r>
      <w:r w:rsidR="006E4E44">
        <w:rPr>
          <w:rFonts w:ascii="Times New Roman" w:hAnsi="Times New Roman"/>
        </w:rPr>
        <w:t xml:space="preserve">regulations, and to assist in tracing lost or stolen explosives, as part of ATF’s mission to keep explosives out of criminal commerce.  Licensees and permittees shall keep records on the business premises for five years from the date a transaction occurs, or until discontinuance of business or operations by the licensee or permittee.  ATF officers may enter the premises of any licensee or </w:t>
      </w:r>
      <w:r w:rsidR="00AA1A1E">
        <w:rPr>
          <w:rFonts w:ascii="Times New Roman" w:hAnsi="Times New Roman"/>
        </w:rPr>
        <w:t>holder of a user permit for the purpose of examining or inspecting any record or document.</w:t>
      </w:r>
    </w:p>
    <w:p w:rsidR="00802A30" w:rsidRPr="00A47DA7" w:rsidP="00802A30" w14:paraId="34E41BA0" w14:textId="77777777">
      <w:pPr>
        <w:widowControl/>
        <w:rPr>
          <w:rFonts w:ascii="Times New Roman" w:hAnsi="Times New Roman"/>
          <w:u w:val="single"/>
        </w:rPr>
      </w:pPr>
    </w:p>
    <w:p w:rsidR="00690F56" w:rsidRPr="00D53DEB" w:rsidP="00BD32C8" w14:paraId="1908DC84" w14:textId="77777777">
      <w:pPr>
        <w:pStyle w:val="Heading2"/>
      </w:pPr>
      <w:r w:rsidRPr="00D53DEB">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t>,</w:t>
      </w:r>
      <w:r w:rsidRPr="00D53DEB">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322C08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collection does not involve any use of automated, electronic, mechanical, or other technological collection techniques to collect responses.  Licensees and permittees shall keep records pertaining to explosive materials in permanent form using commercial invoices and record books.  Each licensed importer, manufacturer, dealer, and user shall take true and accurate physical inventories, which will include all explosive materials on hand.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529483DE" w14:textId="77777777">
      <w:pPr>
        <w:pStyle w:val="Heading2"/>
      </w:pPr>
      <w:r w:rsidRPr="006A4637">
        <w:t xml:space="preserve"> </w:t>
      </w:r>
      <w:r w:rsidRPr="00D53DEB">
        <w:t xml:space="preserve">4.  Describe efforts to identify duplication.  Show specifically why any similar information already available cannot be used or modified for use for the purposes described in Item </w:t>
      </w:r>
      <w:r w:rsidRPr="00D53DEB" w:rsidR="00237691">
        <w:t>A.</w:t>
      </w:r>
      <w:r w:rsidRPr="00D53DEB">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B4D" w:rsidRPr="00A47DA7" w:rsidP="00690F56" w14:paraId="5653C404" w14:textId="5EFD76E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collection does not involve any duplication.  ATF uses a uniform subject classification system to prevent duplication.  No similar information is available for any other sources.</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686EF219" w14:textId="77777777">
      <w:pPr>
        <w:pStyle w:val="Heading2"/>
      </w:pPr>
      <w:r w:rsidRPr="00A973AA">
        <w:t xml:space="preserve"> </w:t>
      </w:r>
      <w:r w:rsidRPr="00D53DEB">
        <w:t>5.  If the collection of information impacts small businesses or other small entities</w:t>
      </w:r>
      <w:r w:rsidRPr="00D53DEB" w:rsidR="00237691">
        <w:t>,</w:t>
      </w:r>
      <w:r w:rsidRPr="00D53DEB">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D32C8" w14:paraId="5F528885" w14:textId="2D188CC5">
      <w:pPr>
        <w:pStyle w:val="Heading2"/>
      </w:pPr>
      <w:r w:rsidRPr="00D53DEB">
        <w:t xml:space="preserve"> 6</w:t>
      </w:r>
      <w:r w:rsidRPr="00D53DEB" w:rsidR="00237691">
        <w:t>.  Describe the consequence to f</w:t>
      </w:r>
      <w:r w:rsidRPr="00D53DEB">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4BC344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Less frequent or non-collection of this information would pose a threat to public safety and negatively affect the accountability of explosive materials.</w:t>
      </w:r>
    </w:p>
    <w:p w:rsidR="008220BB" w:rsidRPr="00A47DA7" w:rsidP="00690F56" w14:paraId="7E2FBC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11C38180" w14:textId="77777777">
      <w:pPr>
        <w:pStyle w:val="Heading2"/>
      </w:pPr>
      <w:r w:rsidRPr="00D53DEB">
        <w:t xml:space="preserve">7.  Explain any special circumstances that would cause an information collection to be </w:t>
      </w:r>
      <w:r w:rsidRPr="00D53DEB">
        <w:t>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1E3B8C08" w14:textId="77777777">
      <w:pPr>
        <w:pStyle w:val="Heading2"/>
      </w:pPr>
      <w:r w:rsidRPr="00D53DEB">
        <w:t xml:space="preserve"> 8.  If applicable, provide a copy and identify the date and page number of publication in the </w:t>
      </w:r>
      <w:r w:rsidRPr="00BD32C8">
        <w:rPr>
          <w:rFonts w:cs="Times New Roman"/>
          <w:szCs w:val="24"/>
        </w:rPr>
        <w:t>Federal Register</w:t>
      </w:r>
      <w:r w:rsidRPr="00D53DEB">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t xml:space="preserve"> </w:t>
      </w:r>
      <w:r w:rsidRPr="00D53DEB">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58ECFAD">
      <w:pPr>
        <w:widowControl/>
        <w:autoSpaceDE/>
        <w:autoSpaceDN/>
        <w:adjustRightInd/>
        <w:rPr>
          <w:rFonts w:ascii="Times New Roman" w:hAnsi="Times New Roman"/>
        </w:rPr>
      </w:pPr>
      <w:r>
        <w:rPr>
          <w:rFonts w:ascii="Times New Roman" w:hAnsi="Times New Roman"/>
        </w:rPr>
        <w:t>Both a 60-day and a 30-day notice will be published in the Federal Register to solicit public comments.</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BD32C8" w14:paraId="608739E9" w14:textId="77777777">
      <w:pPr>
        <w:pStyle w:val="Heading2"/>
      </w:pPr>
      <w:r w:rsidRPr="00D53DEB">
        <w:t>9.  Explain any decision to provide any payments or gift</w:t>
      </w:r>
      <w:r w:rsidR="009441E2">
        <w:t>s</w:t>
      </w:r>
      <w:r w:rsidRPr="00D53DEB">
        <w:t xml:space="preserve"> to respondents, other than </w:t>
      </w:r>
      <w:r w:rsidRPr="00D53DEB" w:rsidR="006E1A08">
        <w:t>remuneration</w:t>
      </w:r>
      <w:r w:rsidRPr="00D53DEB">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0BFB46C5" w14:textId="77777777">
      <w:pPr>
        <w:pStyle w:val="Heading2"/>
      </w:pPr>
      <w:r w:rsidRPr="00D53DEB">
        <w:t xml:space="preserve">10.  </w:t>
      </w:r>
      <w:r w:rsidRPr="00D53DEB">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D32C8" w14:paraId="3F71900A" w14:textId="20B32529">
      <w:pPr>
        <w:pStyle w:val="Heading2"/>
      </w:pPr>
      <w:r w:rsidRPr="00D53DEB">
        <w:t xml:space="preserve">11. </w:t>
      </w:r>
      <w:r w:rsidRPr="00D53DEB">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t>a</w:t>
      </w:r>
      <w:r w:rsidRPr="00D53DEB">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2A90C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questions of a sensitive nature are asked. </w:t>
      </w:r>
    </w:p>
    <w:p w:rsidR="00281C46" w:rsidRPr="00871CA6" w:rsidP="00690F56" w14:paraId="50B57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39124B7D" w14:textId="77777777">
      <w:pPr>
        <w:pStyle w:val="Heading2"/>
      </w:pPr>
      <w:r w:rsidRPr="00D53DEB">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5D16A0A4">
            <w:pPr>
              <w:jc w:val="right"/>
              <w:rPr>
                <w:rFonts w:ascii="Times New Roman" w:hAnsi="Times New Roman"/>
                <w:sz w:val="22"/>
                <w:szCs w:val="22"/>
              </w:rPr>
            </w:pPr>
            <w:r>
              <w:rPr>
                <w:rFonts w:ascii="Times New Roman" w:hAnsi="Times New Roman"/>
                <w:sz w:val="22"/>
                <w:szCs w:val="22"/>
              </w:rPr>
              <w:t>OMB 1140-0030</w:t>
            </w:r>
          </w:p>
        </w:tc>
        <w:tc>
          <w:tcPr>
            <w:tcW w:w="1415" w:type="dxa"/>
            <w:vAlign w:val="bottom"/>
          </w:tcPr>
          <w:p w:rsidR="003908B9" w:rsidRPr="008F47CB" w:rsidP="008C6A87" w14:paraId="23BB2474" w14:textId="1A7D4BBE">
            <w:pPr>
              <w:jc w:val="right"/>
              <w:rPr>
                <w:rFonts w:ascii="Times New Roman" w:hAnsi="Times New Roman"/>
                <w:sz w:val="22"/>
                <w:szCs w:val="22"/>
              </w:rPr>
            </w:pPr>
            <w:r>
              <w:rPr>
                <w:rFonts w:ascii="Times New Roman" w:hAnsi="Times New Roman"/>
                <w:sz w:val="22"/>
                <w:szCs w:val="22"/>
              </w:rPr>
              <w:t>9,096</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7D848787">
            <w:pPr>
              <w:jc w:val="right"/>
              <w:rPr>
                <w:rFonts w:ascii="Times New Roman" w:hAnsi="Times New Roman"/>
                <w:sz w:val="22"/>
                <w:szCs w:val="22"/>
              </w:rPr>
            </w:pPr>
            <w:r>
              <w:rPr>
                <w:rFonts w:ascii="Times New Roman" w:hAnsi="Times New Roman"/>
                <w:sz w:val="22"/>
                <w:szCs w:val="22"/>
              </w:rPr>
              <w:t>45,480</w:t>
            </w:r>
          </w:p>
        </w:tc>
        <w:tc>
          <w:tcPr>
            <w:tcW w:w="1097" w:type="dxa"/>
            <w:vAlign w:val="bottom"/>
          </w:tcPr>
          <w:p w:rsidR="003908B9" w:rsidRPr="008F47CB" w:rsidP="008C6A87" w14:paraId="3704ADCE" w14:textId="68C588BD">
            <w:pPr>
              <w:jc w:val="right"/>
              <w:rPr>
                <w:rFonts w:ascii="Times New Roman" w:hAnsi="Times New Roman"/>
                <w:sz w:val="22"/>
                <w:szCs w:val="22"/>
              </w:rPr>
            </w:pPr>
            <w:r>
              <w:rPr>
                <w:rFonts w:ascii="Times New Roman" w:hAnsi="Times New Roman"/>
                <w:sz w:val="22"/>
                <w:szCs w:val="22"/>
              </w:rPr>
              <w:t xml:space="preserve">12.6 </w:t>
            </w:r>
            <w:r>
              <w:rPr>
                <w:rFonts w:ascii="Times New Roman" w:hAnsi="Times New Roman"/>
                <w:sz w:val="22"/>
                <w:szCs w:val="22"/>
              </w:rPr>
              <w:t>hrs</w:t>
            </w:r>
          </w:p>
        </w:tc>
        <w:tc>
          <w:tcPr>
            <w:tcW w:w="950" w:type="dxa"/>
            <w:vAlign w:val="bottom"/>
          </w:tcPr>
          <w:p w:rsidR="003908B9" w:rsidRPr="008F47CB" w:rsidP="008C6A87" w14:paraId="498C761A" w14:textId="5FD47C28">
            <w:pPr>
              <w:jc w:val="right"/>
              <w:rPr>
                <w:rFonts w:ascii="Times New Roman" w:hAnsi="Times New Roman"/>
                <w:sz w:val="22"/>
                <w:szCs w:val="22"/>
              </w:rPr>
            </w:pPr>
            <w:r>
              <w:rPr>
                <w:rFonts w:ascii="Times New Roman" w:hAnsi="Times New Roman"/>
                <w:sz w:val="22"/>
                <w:szCs w:val="22"/>
              </w:rPr>
              <w:t>573,048</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8F47CB" w:rsidP="008C6A87" w14:paraId="689A6EF1" w14:textId="2BD442B8">
            <w:pPr>
              <w:jc w:val="right"/>
              <w:rPr>
                <w:rFonts w:ascii="Times New Roman" w:hAnsi="Times New Roman"/>
                <w:sz w:val="22"/>
                <w:szCs w:val="22"/>
              </w:rPr>
            </w:pP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BD32C8" w14:paraId="4F65FC61" w14:textId="77777777">
      <w:pPr>
        <w:pStyle w:val="Heading2"/>
      </w:pPr>
      <w:r w:rsidRPr="00D53DEB">
        <w:t xml:space="preserve">13.  Provide an estimate of </w:t>
      </w:r>
      <w:r w:rsidRPr="00D53DEB" w:rsidR="00C667F3">
        <w:t>the tot</w:t>
      </w:r>
      <w:r w:rsidRPr="00D53DEB">
        <w:t xml:space="preserve">al annual cost burden to respondents or recordkeepers resulting from the collection of information.  (Do not include the cost of any hour </w:t>
      </w:r>
      <w:r w:rsidRPr="00D53DEB" w:rsidR="00C667F3">
        <w:t>burden shown in Items 12 and 14</w:t>
      </w:r>
      <w:r w:rsidRPr="00D53DEB">
        <w:t>)</w:t>
      </w:r>
      <w:r w:rsidRPr="00D53DEB" w:rsidR="00C667F3">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6A5317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w:t>
      </w:r>
      <w:r w:rsidR="0080095E">
        <w:rPr>
          <w:rFonts w:ascii="Times New Roman" w:hAnsi="Times New Roman"/>
        </w:rPr>
        <w:t>start-up</w:t>
      </w:r>
      <w:r>
        <w:rPr>
          <w:rFonts w:ascii="Times New Roman" w:hAnsi="Times New Roman"/>
        </w:rPr>
        <w:t xml:space="preserve"> costs associated with this collection. </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697B43F9" w14:textId="77777777">
      <w:pPr>
        <w:pStyle w:val="Heading2"/>
      </w:pPr>
      <w:r w:rsidRPr="00D53DEB">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6292CC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Federal Government cost associated with this information collection.</w:t>
      </w:r>
    </w:p>
    <w:p w:rsidR="0080095E" w:rsidRPr="00871CA6" w:rsidP="00690F56" w14:paraId="5FDB1E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BD32C8" w14:paraId="0BCEB47E" w14:textId="77777777">
      <w:pPr>
        <w:pStyle w:val="Heading2"/>
      </w:pPr>
      <w:r w:rsidRPr="00D53DEB">
        <w:t>15.</w:t>
      </w:r>
      <w:r w:rsidRPr="00D53DEB">
        <w:tab/>
        <w:t>Explain the reasons for any</w:t>
      </w:r>
      <w:r w:rsidRPr="00D53DEB" w:rsidR="00882AB5">
        <w:t xml:space="preserve"> program changes or adjustments</w:t>
      </w:r>
      <w:r w:rsidRPr="00A47DA7" w:rsidR="00882AB5">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6D6F18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number of respondents, responses, and total burden hours have been adjusted by 315, 1,575, and 19,845 respectively, to reflect a decrease in the number of Federal explosives licensees and permittees affected by this information collection.  In addition, the formula used to determine response time was adjusted/rounded to a single decimal point, to better reflect the time taken to prepare a response to this information collection.</w:t>
      </w:r>
    </w:p>
    <w:p w:rsidR="0095520F" w:rsidRPr="00F4518C" w:rsidP="00690F56" w14:paraId="45D1C5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4E4F3DC5" w14:textId="77777777">
      <w:pPr>
        <w:pStyle w:val="Heading2"/>
      </w:pPr>
      <w:r w:rsidRPr="00D53DEB">
        <w:t>1</w:t>
      </w:r>
      <w:r w:rsidRPr="00D53DEB" w:rsidR="00882AB5">
        <w:t xml:space="preserve">6. </w:t>
      </w:r>
      <w:r w:rsidRPr="00D53DE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090288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results of this information collection will not be published.</w:t>
      </w:r>
    </w:p>
    <w:p w:rsidR="0095520F" w:rsidRPr="00871CA6" w:rsidP="00690F56" w14:paraId="1474D6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D32C8" w14:paraId="6F473DAE" w14:textId="77777777">
      <w:pPr>
        <w:pStyle w:val="Heading2"/>
      </w:pPr>
      <w:r w:rsidRPr="00D53DEB">
        <w:t xml:space="preserve">17.  If seeking approval to not display the expiration date for OMB approval of the </w:t>
      </w:r>
      <w:r w:rsidRPr="00D53DEB">
        <w:t>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BD32C8" w14:paraId="41EAB492" w14:textId="77777777">
      <w:pPr>
        <w:pStyle w:val="Heading2"/>
      </w:pPr>
      <w:r w:rsidRPr="00D53DEB">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5A1549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w:t>
      </w:r>
      <w:r w:rsidR="009846E6">
        <w:rPr>
          <w:rFonts w:ascii="Times New Roman" w:hAnsi="Times New Roman"/>
        </w:rPr>
        <w:t>tion</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BD32C8" w14:paraId="077F6D32" w14:textId="77777777">
      <w:pPr>
        <w:pStyle w:val="Heading1"/>
      </w:pPr>
      <w:r w:rsidRPr="00A973AA">
        <w:t>B. COLLECTIONS OF INFORMATON EMPLOYING STATISTICAL METHODS.</w:t>
      </w:r>
    </w:p>
    <w:p w:rsidR="00332F98" w:rsidRPr="00D53DEB" w14:paraId="3E8CBCDA" w14:textId="5D752CD3">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20324D48">
    <w:pPr>
      <w:pStyle w:val="Header"/>
      <w:rPr>
        <w:rFonts w:ascii="Times New Roman" w:hAnsi="Times New Roman"/>
        <w:bCs/>
        <w:sz w:val="20"/>
        <w:szCs w:val="20"/>
      </w:rPr>
    </w:pPr>
    <w:r>
      <w:rPr>
        <w:rFonts w:ascii="Times New Roman" w:hAnsi="Times New Roman"/>
        <w:bCs/>
        <w:sz w:val="20"/>
        <w:szCs w:val="20"/>
      </w:rPr>
      <w:t>Records and Supporting Data:  Importation, Receipt, Storage, and Disposition by Explosives Importers, Manufacturers, Dealers, and Users Licensed Under Title 18 U.S.C. Chapter 40 Explosives</w:t>
    </w:r>
  </w:p>
  <w:p w:rsidR="00EC0B43" w14:paraId="52F50703" w14:textId="7E38D4A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21BE6">
      <w:rPr>
        <w:rFonts w:ascii="Times New Roman" w:hAnsi="Times New Roman"/>
        <w:sz w:val="20"/>
        <w:szCs w:val="20"/>
      </w:rPr>
      <w:t>1140-0030</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557C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291"/>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1C46"/>
    <w:rsid w:val="002866AD"/>
    <w:rsid w:val="00286BE3"/>
    <w:rsid w:val="00287ACB"/>
    <w:rsid w:val="00287B7D"/>
    <w:rsid w:val="0029135D"/>
    <w:rsid w:val="00292951"/>
    <w:rsid w:val="00293CD1"/>
    <w:rsid w:val="002A3962"/>
    <w:rsid w:val="002A5972"/>
    <w:rsid w:val="002A6FB5"/>
    <w:rsid w:val="002C1A4C"/>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B6871"/>
    <w:rsid w:val="005C6147"/>
    <w:rsid w:val="005D5F8C"/>
    <w:rsid w:val="005E5148"/>
    <w:rsid w:val="0060114B"/>
    <w:rsid w:val="00601597"/>
    <w:rsid w:val="00603D4A"/>
    <w:rsid w:val="00611DE2"/>
    <w:rsid w:val="00614A1C"/>
    <w:rsid w:val="006227B3"/>
    <w:rsid w:val="00627B1F"/>
    <w:rsid w:val="00642220"/>
    <w:rsid w:val="0065148D"/>
    <w:rsid w:val="00652ED1"/>
    <w:rsid w:val="006626FF"/>
    <w:rsid w:val="006650A8"/>
    <w:rsid w:val="0067772C"/>
    <w:rsid w:val="00683A96"/>
    <w:rsid w:val="00683DFE"/>
    <w:rsid w:val="00685435"/>
    <w:rsid w:val="00687746"/>
    <w:rsid w:val="00690F56"/>
    <w:rsid w:val="006A4637"/>
    <w:rsid w:val="006C39F8"/>
    <w:rsid w:val="006E1A08"/>
    <w:rsid w:val="006E31B9"/>
    <w:rsid w:val="006E4433"/>
    <w:rsid w:val="006E4E44"/>
    <w:rsid w:val="006E5320"/>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095E"/>
    <w:rsid w:val="00802605"/>
    <w:rsid w:val="00802A30"/>
    <w:rsid w:val="008043E5"/>
    <w:rsid w:val="00804A1A"/>
    <w:rsid w:val="0081073D"/>
    <w:rsid w:val="00813CC0"/>
    <w:rsid w:val="00814788"/>
    <w:rsid w:val="00821BE6"/>
    <w:rsid w:val="008220BB"/>
    <w:rsid w:val="0082418B"/>
    <w:rsid w:val="008323ED"/>
    <w:rsid w:val="00835955"/>
    <w:rsid w:val="00846701"/>
    <w:rsid w:val="008624D5"/>
    <w:rsid w:val="00871CA6"/>
    <w:rsid w:val="00882AB5"/>
    <w:rsid w:val="00882B1D"/>
    <w:rsid w:val="0088672C"/>
    <w:rsid w:val="00893B78"/>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5520F"/>
    <w:rsid w:val="00963680"/>
    <w:rsid w:val="00964D3F"/>
    <w:rsid w:val="009700D9"/>
    <w:rsid w:val="00983CA7"/>
    <w:rsid w:val="009846E6"/>
    <w:rsid w:val="00985369"/>
    <w:rsid w:val="00985C15"/>
    <w:rsid w:val="00996A5D"/>
    <w:rsid w:val="009A6DCA"/>
    <w:rsid w:val="009B00FD"/>
    <w:rsid w:val="009B38D1"/>
    <w:rsid w:val="009B4116"/>
    <w:rsid w:val="009B689F"/>
    <w:rsid w:val="009B6955"/>
    <w:rsid w:val="009C2A10"/>
    <w:rsid w:val="009D0BBA"/>
    <w:rsid w:val="009D1737"/>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1A1E"/>
    <w:rsid w:val="00AA418C"/>
    <w:rsid w:val="00AB4DC3"/>
    <w:rsid w:val="00AC775D"/>
    <w:rsid w:val="00AD022F"/>
    <w:rsid w:val="00AD113F"/>
    <w:rsid w:val="00AD75AC"/>
    <w:rsid w:val="00AE0D00"/>
    <w:rsid w:val="00AF2C11"/>
    <w:rsid w:val="00AF3788"/>
    <w:rsid w:val="00AF5262"/>
    <w:rsid w:val="00AF7928"/>
    <w:rsid w:val="00B13844"/>
    <w:rsid w:val="00B26E3E"/>
    <w:rsid w:val="00B32B4D"/>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2C8"/>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1F7"/>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B757D"/>
    <w:rsid w:val="00EC0B43"/>
    <w:rsid w:val="00EC4383"/>
    <w:rsid w:val="00EC5D7E"/>
    <w:rsid w:val="00ED3178"/>
    <w:rsid w:val="00ED49C1"/>
    <w:rsid w:val="00EE2223"/>
    <w:rsid w:val="00EF70DB"/>
    <w:rsid w:val="00F11AA8"/>
    <w:rsid w:val="00F12F81"/>
    <w:rsid w:val="00F24787"/>
    <w:rsid w:val="00F27223"/>
    <w:rsid w:val="00F27F7F"/>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BD32C8"/>
    <w:pPr>
      <w:keepNext/>
      <w:keepLines/>
      <w:spacing w:before="240" w:line="480" w:lineRule="auto"/>
      <w:outlineLvl w:val="0"/>
    </w:pPr>
    <w:rPr>
      <w:rFonts w:ascii="Times New Roman" w:hAnsi="Times New Roman" w:eastAsiaTheme="majorEastAsia" w:cstheme="majorBidi"/>
      <w:b/>
      <w:szCs w:val="32"/>
    </w:rPr>
  </w:style>
  <w:style w:type="paragraph" w:styleId="Heading2">
    <w:name w:val="heading 2"/>
    <w:basedOn w:val="Normal"/>
    <w:next w:val="Normal"/>
    <w:link w:val="Heading2Char"/>
    <w:qFormat/>
    <w:rsid w:val="00BD32C8"/>
    <w:pPr>
      <w:keepNext/>
      <w:spacing w:before="240" w:after="60"/>
      <w:outlineLvl w:val="1"/>
    </w:pPr>
    <w:rPr>
      <w:rFonts w:ascii="Times New Roman" w:hAnsi="Times New Roman"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BD32C8"/>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Heading1Char">
    <w:name w:val="Heading 1 Char"/>
    <w:basedOn w:val="DefaultParagraphFont"/>
    <w:link w:val="Heading1"/>
    <w:rsid w:val="00BD32C8"/>
    <w:rPr>
      <w:rFonts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2114</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3</cp:revision>
  <cp:lastPrinted>2020-02-19T15:46:00Z</cp:lastPrinted>
  <dcterms:created xsi:type="dcterms:W3CDTF">2024-01-17T16:41:00Z</dcterms:created>
  <dcterms:modified xsi:type="dcterms:W3CDTF">2024-01-22T20:10:00Z</dcterms:modified>
</cp:coreProperties>
</file>