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50EA" w:rsidRPr="0009753D" w:rsidP="0003285A" w14:paraId="0C3573DE" w14:textId="75A036C4">
      <w:pPr>
        <w:pStyle w:val="Header"/>
        <w:tabs>
          <w:tab w:val="clear" w:pos="4320"/>
          <w:tab w:val="clear" w:pos="8640"/>
        </w:tabs>
        <w:contextualSpacing/>
        <w:jc w:val="center"/>
        <w:rPr>
          <w:b/>
        </w:rPr>
      </w:pPr>
      <w:r w:rsidRPr="0009753D">
        <w:rPr>
          <w:b/>
        </w:rPr>
        <w:t xml:space="preserve">SUPPORTING STATEMENT FOR PAPERWORK REDUCTION ACT </w:t>
      </w:r>
      <w:r w:rsidRPr="0009753D" w:rsidR="0009753D">
        <w:rPr>
          <w:b/>
        </w:rPr>
        <w:t xml:space="preserve">OF </w:t>
      </w:r>
      <w:r w:rsidRPr="0009753D">
        <w:rPr>
          <w:b/>
        </w:rPr>
        <w:t>1995</w:t>
      </w:r>
      <w:r w:rsidR="003D145D">
        <w:rPr>
          <w:b/>
        </w:rPr>
        <w:t xml:space="preserve">: </w:t>
      </w:r>
      <w:r w:rsidRPr="00DC0B35" w:rsidR="00631244">
        <w:rPr>
          <w:b/>
        </w:rPr>
        <w:t>IMPROVING INVESTMENT ADVICE FOR WORKERS &amp; RETIREES PROHIBITED TRANSACTION EXEMPTION</w:t>
      </w:r>
      <w:r w:rsidR="00631244">
        <w:rPr>
          <w:b/>
        </w:rPr>
        <w:t xml:space="preserve"> </w:t>
      </w:r>
    </w:p>
    <w:p w:rsidR="00FF2ECF" w:rsidP="0003285A" w14:paraId="3966998C" w14:textId="4B52E3AA">
      <w:pPr>
        <w:pStyle w:val="Header"/>
        <w:tabs>
          <w:tab w:val="clear" w:pos="4320"/>
          <w:tab w:val="clear" w:pos="8640"/>
        </w:tabs>
        <w:contextualSpacing/>
      </w:pPr>
    </w:p>
    <w:p w:rsidR="00BF6BDA" w:rsidRPr="00BF6BDA" w:rsidP="00BF6BDA" w14:paraId="1F171359" w14:textId="77777777">
      <w:pPr>
        <w:contextualSpacing/>
        <w:rPr>
          <w:b/>
          <w:bCs/>
        </w:rPr>
      </w:pPr>
      <w:r w:rsidRPr="00BF6BDA">
        <w:rPr>
          <w:b/>
          <w:bCs/>
        </w:rPr>
        <w:t>This information collection request (ICR) seeks approval for a revision of an existing control number.</w:t>
      </w:r>
    </w:p>
    <w:p w:rsidR="00C21769" w:rsidRPr="008823D6" w:rsidP="0003285A" w14:paraId="60117746" w14:textId="77777777">
      <w:pPr>
        <w:contextualSpacing/>
      </w:pPr>
    </w:p>
    <w:p w:rsidR="00AB50EA" w:rsidRPr="00695877" w:rsidP="00E80222" w14:paraId="28980799" w14:textId="365DF299">
      <w:pPr>
        <w:pStyle w:val="Heading1"/>
        <w:ind w:left="720" w:hanging="720"/>
      </w:pPr>
      <w:r w:rsidRPr="00695877">
        <w:t>JUSTIFICATION</w:t>
      </w:r>
    </w:p>
    <w:p w:rsidR="00AB50EA" w:rsidRPr="00CE5F94" w:rsidP="0003285A" w14:paraId="6B683E30" w14:textId="77777777">
      <w:pPr>
        <w:contextualSpacing/>
      </w:pPr>
    </w:p>
    <w:p w:rsidR="00AB50EA" w:rsidRPr="00BE6B06" w:rsidP="008F7870" w14:paraId="1926ADD4" w14:textId="5D10F090">
      <w:pPr>
        <w:pStyle w:val="Heading2"/>
      </w:pPr>
      <w:r w:rsidRPr="00BE6B06">
        <w:t>Explain the circumstances that make the collection of information necessary.</w:t>
      </w:r>
      <w:r w:rsidR="009C7814">
        <w:t xml:space="preserve"> </w:t>
      </w:r>
      <w:r w:rsidRPr="00BE6B06">
        <w:t>Identify any legal or administrative requirements that necessitate the collection.</w:t>
      </w:r>
      <w:r w:rsidR="009C7814">
        <w:t xml:space="preserve"> </w:t>
      </w:r>
      <w:r w:rsidRPr="00BE6B06">
        <w:t>Attach a copy of the appropriate section of each statute and regulation mandating or authorizing the collection of information.</w:t>
      </w:r>
      <w:r w:rsidRPr="00BE6B06" w:rsidR="00916D38">
        <w:t xml:space="preserve"> </w:t>
      </w:r>
    </w:p>
    <w:p w:rsidR="00AB50EA" w:rsidRPr="008823D6" w:rsidP="0003285A" w14:paraId="7BE75130" w14:textId="77777777">
      <w:pPr>
        <w:ind w:left="360"/>
        <w:contextualSpacing/>
        <w:rPr>
          <w:i/>
          <w:iCs/>
        </w:rPr>
      </w:pPr>
    </w:p>
    <w:p w:rsidR="00683AF7" w:rsidP="0E2C5C4E" w14:paraId="461226CC" w14:textId="2DB42023">
      <w:pPr>
        <w:ind w:left="720"/>
        <w:contextualSpacing/>
        <w:rPr>
          <w:rFonts w:eastAsiaTheme="majorEastAsia"/>
        </w:rPr>
      </w:pPr>
      <w:r w:rsidRPr="0E2C5C4E">
        <w:rPr>
          <w:rFonts w:eastAsiaTheme="majorEastAsia"/>
        </w:rPr>
        <w:t xml:space="preserve">The Secretary of Labor may grant and amend administrative exemptions from the prohibited transaction provisions of </w:t>
      </w:r>
      <w:r w:rsidRPr="0E2C5C4E" w:rsidR="006B4A2D">
        <w:rPr>
          <w:rFonts w:eastAsiaTheme="majorEastAsia"/>
        </w:rPr>
        <w:t xml:space="preserve">the </w:t>
      </w:r>
      <w:r w:rsidRPr="0E2C5C4E">
        <w:rPr>
          <w:rFonts w:eastAsiaTheme="majorEastAsia"/>
        </w:rPr>
        <w:t>E</w:t>
      </w:r>
      <w:r w:rsidRPr="0E2C5C4E" w:rsidR="006B4A2D">
        <w:rPr>
          <w:rFonts w:eastAsiaTheme="majorEastAsia"/>
        </w:rPr>
        <w:t xml:space="preserve">mployee </w:t>
      </w:r>
      <w:r w:rsidRPr="0E2C5C4E">
        <w:rPr>
          <w:rFonts w:eastAsiaTheme="majorEastAsia"/>
        </w:rPr>
        <w:t>R</w:t>
      </w:r>
      <w:r w:rsidRPr="0E2C5C4E" w:rsidR="006B4A2D">
        <w:rPr>
          <w:rFonts w:eastAsiaTheme="majorEastAsia"/>
        </w:rPr>
        <w:t xml:space="preserve">etirement </w:t>
      </w:r>
      <w:r w:rsidRPr="0E2C5C4E">
        <w:rPr>
          <w:rFonts w:eastAsiaTheme="majorEastAsia"/>
        </w:rPr>
        <w:t>I</w:t>
      </w:r>
      <w:r w:rsidRPr="0E2C5C4E" w:rsidR="006B4A2D">
        <w:rPr>
          <w:rFonts w:eastAsiaTheme="majorEastAsia"/>
        </w:rPr>
        <w:t xml:space="preserve">ncome </w:t>
      </w:r>
      <w:r w:rsidRPr="0E2C5C4E">
        <w:rPr>
          <w:rFonts w:eastAsiaTheme="majorEastAsia"/>
        </w:rPr>
        <w:t>S</w:t>
      </w:r>
      <w:r w:rsidRPr="0E2C5C4E" w:rsidR="00B649D8">
        <w:rPr>
          <w:rFonts w:eastAsiaTheme="majorEastAsia"/>
        </w:rPr>
        <w:t xml:space="preserve">ecurity </w:t>
      </w:r>
      <w:r w:rsidRPr="0E2C5C4E">
        <w:rPr>
          <w:rFonts w:eastAsiaTheme="majorEastAsia"/>
        </w:rPr>
        <w:t>A</w:t>
      </w:r>
      <w:r w:rsidRPr="0E2C5C4E" w:rsidR="00B649D8">
        <w:rPr>
          <w:rFonts w:eastAsiaTheme="majorEastAsia"/>
        </w:rPr>
        <w:t>ct of 1974, as amended (ERISA)</w:t>
      </w:r>
      <w:r w:rsidRPr="0E2C5C4E">
        <w:rPr>
          <w:rFonts w:eastAsiaTheme="majorEastAsia"/>
        </w:rPr>
        <w:t xml:space="preserve"> and the </w:t>
      </w:r>
      <w:r w:rsidRPr="0E2C5C4E" w:rsidR="00BD0FD2">
        <w:rPr>
          <w:rFonts w:eastAsiaTheme="majorEastAsia"/>
        </w:rPr>
        <w:t xml:space="preserve">Internal Revenue </w:t>
      </w:r>
      <w:r w:rsidRPr="0E2C5C4E">
        <w:rPr>
          <w:rFonts w:eastAsiaTheme="majorEastAsia"/>
        </w:rPr>
        <w:t>Code</w:t>
      </w:r>
      <w:r w:rsidRPr="0E2C5C4E" w:rsidR="00BD0FD2">
        <w:rPr>
          <w:rFonts w:eastAsiaTheme="majorEastAsia"/>
        </w:rPr>
        <w:t xml:space="preserve"> of 1986, as amended (the Code)</w:t>
      </w:r>
      <w:r w:rsidRPr="0E2C5C4E">
        <w:rPr>
          <w:rFonts w:eastAsiaTheme="majorEastAsia"/>
        </w:rPr>
        <w:t>.</w:t>
      </w:r>
      <w:r>
        <w:rPr>
          <w:rFonts w:eastAsiaTheme="majorEastAsia"/>
          <w:vertAlign w:val="superscript"/>
        </w:rPr>
        <w:footnoteReference w:id="3"/>
      </w:r>
      <w:r w:rsidRPr="0E2C5C4E">
        <w:rPr>
          <w:rFonts w:eastAsiaTheme="majorEastAsia"/>
        </w:rPr>
        <w:t xml:space="preserve"> Before granting an </w:t>
      </w:r>
      <w:r w:rsidRPr="6088FD47">
        <w:rPr>
          <w:rFonts w:eastAsiaTheme="majorEastAsia"/>
        </w:rPr>
        <w:t>exemption</w:t>
      </w:r>
      <w:r w:rsidRPr="0E2C5C4E">
        <w:rPr>
          <w:rFonts w:eastAsiaTheme="majorEastAsia"/>
        </w:rPr>
        <w:t>, the Department must find that the exemption is administratively feasible</w:t>
      </w:r>
      <w:r w:rsidRPr="0E2C5C4E" w:rsidR="562CC51E">
        <w:rPr>
          <w:rFonts w:eastAsiaTheme="majorEastAsia"/>
        </w:rPr>
        <w:t xml:space="preserve"> for the Department</w:t>
      </w:r>
      <w:r w:rsidRPr="0E2C5C4E">
        <w:rPr>
          <w:rFonts w:eastAsiaTheme="majorEastAsia"/>
        </w:rPr>
        <w:t xml:space="preserve">, in the interests of </w:t>
      </w:r>
      <w:r w:rsidRPr="0E2C5C4E" w:rsidR="34755088">
        <w:rPr>
          <w:rFonts w:eastAsiaTheme="majorEastAsia"/>
        </w:rPr>
        <w:t xml:space="preserve">affected </w:t>
      </w:r>
      <w:r w:rsidRPr="0E2C5C4E" w:rsidR="004420DF">
        <w:rPr>
          <w:rFonts w:eastAsiaTheme="majorEastAsia"/>
        </w:rPr>
        <w:t>employee benefit plans (P</w:t>
      </w:r>
      <w:r w:rsidRPr="0E2C5C4E">
        <w:rPr>
          <w:rFonts w:eastAsiaTheme="majorEastAsia"/>
        </w:rPr>
        <w:t>lans</w:t>
      </w:r>
      <w:r w:rsidRPr="0E2C5C4E" w:rsidR="004420DF">
        <w:rPr>
          <w:rFonts w:eastAsiaTheme="majorEastAsia"/>
        </w:rPr>
        <w:t>)</w:t>
      </w:r>
      <w:r w:rsidRPr="0E2C5C4E">
        <w:rPr>
          <w:rFonts w:eastAsiaTheme="majorEastAsia"/>
        </w:rPr>
        <w:t>, their participants and beneficiaries</w:t>
      </w:r>
      <w:r w:rsidRPr="0E2C5C4E" w:rsidR="30F25FE3">
        <w:rPr>
          <w:rFonts w:eastAsiaTheme="majorEastAsia"/>
        </w:rPr>
        <w:t>,</w:t>
      </w:r>
      <w:r w:rsidRPr="0E2C5C4E">
        <w:rPr>
          <w:rFonts w:eastAsiaTheme="majorEastAsia"/>
        </w:rPr>
        <w:t xml:space="preserve"> and </w:t>
      </w:r>
      <w:r w:rsidRPr="0E2C5C4E" w:rsidR="00B3075E">
        <w:rPr>
          <w:rFonts w:eastAsiaTheme="majorEastAsia"/>
        </w:rPr>
        <w:t xml:space="preserve">individual retirement account </w:t>
      </w:r>
      <w:r w:rsidRPr="0E2C5C4E" w:rsidR="004F4575">
        <w:rPr>
          <w:rFonts w:eastAsiaTheme="majorEastAsia"/>
        </w:rPr>
        <w:t xml:space="preserve">and annuity owners </w:t>
      </w:r>
      <w:r w:rsidRPr="0E2C5C4E" w:rsidR="001813D8">
        <w:rPr>
          <w:rFonts w:eastAsiaTheme="majorEastAsia"/>
        </w:rPr>
        <w:t>(IRAs)</w:t>
      </w:r>
      <w:r w:rsidRPr="0E2C5C4E">
        <w:rPr>
          <w:rFonts w:eastAsiaTheme="majorEastAsia"/>
        </w:rPr>
        <w:t xml:space="preserve">, and protective of the rights of participants and beneficiaries of such </w:t>
      </w:r>
      <w:r w:rsidRPr="0E2C5C4E" w:rsidR="001813D8">
        <w:rPr>
          <w:rFonts w:eastAsiaTheme="majorEastAsia"/>
        </w:rPr>
        <w:t>P</w:t>
      </w:r>
      <w:r w:rsidRPr="0E2C5C4E">
        <w:rPr>
          <w:rFonts w:eastAsiaTheme="majorEastAsia"/>
        </w:rPr>
        <w:t>lans and IRA owners.</w:t>
      </w:r>
      <w:r>
        <w:rPr>
          <w:rFonts w:eastAsiaTheme="majorEastAsia"/>
          <w:vertAlign w:val="superscript"/>
        </w:rPr>
        <w:footnoteReference w:id="4"/>
      </w:r>
    </w:p>
    <w:p w:rsidR="00887486" w:rsidRPr="00683AF7" w:rsidP="0003285A" w14:paraId="301E8F07" w14:textId="77777777">
      <w:pPr>
        <w:ind w:left="720"/>
        <w:contextualSpacing/>
        <w:rPr>
          <w:rFonts w:eastAsiaTheme="majorEastAsia"/>
        </w:rPr>
      </w:pPr>
    </w:p>
    <w:p w:rsidR="00261800" w:rsidP="0E2C5C4E" w14:paraId="254BBF00" w14:textId="0353E9CD">
      <w:pPr>
        <w:ind w:left="720"/>
        <w:contextualSpacing/>
        <w:rPr>
          <w:rFonts w:eastAsiaTheme="majorEastAsia"/>
        </w:rPr>
      </w:pPr>
      <w:r w:rsidRPr="0E2C5C4E">
        <w:t>Current PTE 2020-02</w:t>
      </w:r>
      <w:r w:rsidRPr="0E2C5C4E">
        <w:rPr>
          <w:rFonts w:eastAsiaTheme="majorEastAsia"/>
        </w:rPr>
        <w:t xml:space="preserve"> </w:t>
      </w:r>
      <w:r w:rsidRPr="0E2C5C4E" w:rsidR="5EADE318">
        <w:rPr>
          <w:rFonts w:eastAsiaTheme="majorEastAsia"/>
        </w:rPr>
        <w:t>allows investment advice fiduciaries</w:t>
      </w:r>
      <w:r w:rsidRPr="0E2C5C4E" w:rsidR="43FEF08A">
        <w:rPr>
          <w:rFonts w:eastAsiaTheme="majorEastAsia"/>
        </w:rPr>
        <w:t xml:space="preserve"> to </w:t>
      </w:r>
      <w:r w:rsidRPr="0E2C5C4E" w:rsidR="43FEF08A">
        <w:rPr>
          <w:rFonts w:eastAsiaTheme="majorEastAsia"/>
        </w:rPr>
        <w:t>Plans</w:t>
      </w:r>
      <w:r w:rsidRPr="0E2C5C4E" w:rsidR="43FEF08A">
        <w:rPr>
          <w:rFonts w:eastAsiaTheme="majorEastAsia"/>
        </w:rPr>
        <w:t xml:space="preserve"> </w:t>
      </w:r>
      <w:r w:rsidRPr="0E2C5C4E" w:rsidR="43FEF08A">
        <w:t xml:space="preserve">and IRAs </w:t>
      </w:r>
      <w:r w:rsidRPr="0E2C5C4E" w:rsidR="42284379">
        <w:t xml:space="preserve">(Retirement Investors) </w:t>
      </w:r>
      <w:r w:rsidRPr="0E2C5C4E" w:rsidR="43FEF08A">
        <w:t>who</w:t>
      </w:r>
      <w:r w:rsidRPr="0E2C5C4E" w:rsidR="5EADE318">
        <w:rPr>
          <w:rFonts w:eastAsiaTheme="majorEastAsia"/>
        </w:rPr>
        <w:t xml:space="preserve"> receive compensation</w:t>
      </w:r>
      <w:r w:rsidRPr="0E2C5C4E" w:rsidR="2FB9C2A7">
        <w:t xml:space="preserve"> from providing such advice</w:t>
      </w:r>
      <w:r w:rsidRPr="0E2C5C4E" w:rsidR="5EADE318">
        <w:rPr>
          <w:rFonts w:eastAsiaTheme="majorEastAsia"/>
        </w:rPr>
        <w:t xml:space="preserve">, including advice to roll over assets from a Plan to an IRA, and to engage in </w:t>
      </w:r>
      <w:r w:rsidR="00477414">
        <w:rPr>
          <w:rFonts w:eastAsiaTheme="majorEastAsia"/>
        </w:rPr>
        <w:t xml:space="preserve">certain </w:t>
      </w:r>
      <w:r w:rsidRPr="0E2C5C4E" w:rsidR="5EADE318">
        <w:rPr>
          <w:rFonts w:eastAsiaTheme="majorEastAsia"/>
        </w:rPr>
        <w:t>principal transactions, that would otherwise violate the prohibited transaction provisions of Title I and the Code.</w:t>
      </w:r>
      <w:r w:rsidRPr="0E2C5C4E" w:rsidR="3EAF4D9B">
        <w:rPr>
          <w:rFonts w:eastAsiaTheme="majorEastAsia"/>
        </w:rPr>
        <w:t xml:space="preserve"> </w:t>
      </w:r>
    </w:p>
    <w:p w:rsidR="00261800" w:rsidP="0E2C5C4E" w14:paraId="0FADE3E8" w14:textId="719EDF52">
      <w:pPr>
        <w:ind w:left="720"/>
        <w:contextualSpacing/>
      </w:pPr>
    </w:p>
    <w:p w:rsidR="00261800" w:rsidP="0E2C5C4E" w14:paraId="315B287E" w14:textId="32A0C6D7">
      <w:pPr>
        <w:ind w:left="720"/>
        <w:contextualSpacing/>
        <w:rPr>
          <w:rFonts w:eastAsiaTheme="majorEastAsia"/>
        </w:rPr>
      </w:pPr>
      <w:r w:rsidRPr="0E2C5C4E">
        <w:rPr>
          <w:rFonts w:eastAsiaTheme="majorEastAsia"/>
        </w:rPr>
        <w:t>The</w:t>
      </w:r>
      <w:r w:rsidRPr="0E2C5C4E" w:rsidR="7D1DAFAE">
        <w:rPr>
          <w:rFonts w:eastAsiaTheme="majorEastAsia"/>
        </w:rPr>
        <w:t xml:space="preserve"> </w:t>
      </w:r>
      <w:r w:rsidR="00BA1FC8">
        <w:rPr>
          <w:rFonts w:eastAsiaTheme="majorEastAsia"/>
        </w:rPr>
        <w:t>current PTE 2020-02</w:t>
      </w:r>
      <w:r w:rsidRPr="0E2C5C4E" w:rsidR="00BA1FC8">
        <w:rPr>
          <w:rFonts w:eastAsiaTheme="majorEastAsia"/>
        </w:rPr>
        <w:t xml:space="preserve"> </w:t>
      </w:r>
      <w:r w:rsidRPr="0E2C5C4E">
        <w:rPr>
          <w:rFonts w:eastAsiaTheme="majorEastAsia"/>
        </w:rPr>
        <w:t xml:space="preserve">applies to </w:t>
      </w:r>
      <w:r w:rsidR="00767AC7">
        <w:rPr>
          <w:rFonts w:eastAsiaTheme="majorEastAsia"/>
        </w:rPr>
        <w:t xml:space="preserve">both </w:t>
      </w:r>
      <w:r w:rsidR="001E31B3">
        <w:rPr>
          <w:rFonts w:eastAsiaTheme="majorEastAsia"/>
        </w:rPr>
        <w:t>Financial Institutions (</w:t>
      </w:r>
      <w:r w:rsidR="00FE26A5">
        <w:rPr>
          <w:rFonts w:eastAsiaTheme="majorEastAsia"/>
        </w:rPr>
        <w:t xml:space="preserve">such as </w:t>
      </w:r>
      <w:r w:rsidRPr="0E2C5C4E">
        <w:rPr>
          <w:rFonts w:eastAsiaTheme="majorEastAsia"/>
        </w:rPr>
        <w:t xml:space="preserve">registered investment advisers, broker-dealers, banks, </w:t>
      </w:r>
      <w:r w:rsidR="00086CBB">
        <w:rPr>
          <w:rFonts w:eastAsiaTheme="majorEastAsia"/>
        </w:rPr>
        <w:t xml:space="preserve">and </w:t>
      </w:r>
      <w:r w:rsidRPr="0E2C5C4E">
        <w:rPr>
          <w:rFonts w:eastAsiaTheme="majorEastAsia"/>
        </w:rPr>
        <w:t>insurance companies</w:t>
      </w:r>
      <w:r w:rsidR="00086CBB">
        <w:rPr>
          <w:rFonts w:eastAsiaTheme="majorEastAsia"/>
        </w:rPr>
        <w:t>) and the Investment Professionals that work for them</w:t>
      </w:r>
      <w:r w:rsidR="00767AC7">
        <w:rPr>
          <w:rFonts w:eastAsiaTheme="majorEastAsia"/>
        </w:rPr>
        <w:t>, when the Financial Institution and Investment Professional</w:t>
      </w:r>
      <w:r w:rsidRPr="0E2C5C4E" w:rsidR="00EA2A06">
        <w:rPr>
          <w:rFonts w:eastAsiaTheme="majorEastAsia"/>
        </w:rPr>
        <w:t xml:space="preserve"> </w:t>
      </w:r>
      <w:r w:rsidR="008527D6">
        <w:rPr>
          <w:rFonts w:eastAsiaTheme="majorEastAsia"/>
        </w:rPr>
        <w:t>provide fiduciary</w:t>
      </w:r>
      <w:r w:rsidRPr="0E2C5C4E" w:rsidR="008527D6">
        <w:rPr>
          <w:rFonts w:eastAsiaTheme="majorEastAsia"/>
        </w:rPr>
        <w:t xml:space="preserve"> </w:t>
      </w:r>
      <w:r w:rsidRPr="0E2C5C4E" w:rsidR="00EA2A06">
        <w:rPr>
          <w:rFonts w:eastAsiaTheme="majorEastAsia"/>
        </w:rPr>
        <w:t xml:space="preserve">investment advice </w:t>
      </w:r>
      <w:r w:rsidRPr="0E2C5C4E" w:rsidR="1AC9FBDB">
        <w:rPr>
          <w:rFonts w:eastAsiaTheme="majorEastAsia"/>
        </w:rPr>
        <w:t>under ERISA section 3(21)(A)(ii) or Code section 4975(e)(3)(B)</w:t>
      </w:r>
      <w:r w:rsidR="00767AC7">
        <w:rPr>
          <w:rFonts w:eastAsiaTheme="majorEastAsia"/>
        </w:rPr>
        <w:t xml:space="preserve">. The exemption </w:t>
      </w:r>
      <w:r w:rsidRPr="0E2C5C4E">
        <w:rPr>
          <w:rFonts w:eastAsiaTheme="majorEastAsia"/>
        </w:rPr>
        <w:t>includes protective conditions designed to safeguard the interests of Plans, participants and beneficiaries</w:t>
      </w:r>
      <w:r w:rsidRPr="0E2C5C4E" w:rsidR="3B92BE12">
        <w:rPr>
          <w:rFonts w:eastAsiaTheme="majorEastAsia"/>
        </w:rPr>
        <w:t xml:space="preserve"> of Plans</w:t>
      </w:r>
      <w:r w:rsidRPr="0E2C5C4E">
        <w:rPr>
          <w:rFonts w:eastAsiaTheme="majorEastAsia"/>
        </w:rPr>
        <w:t xml:space="preserve">, and IRA owners. </w:t>
      </w:r>
    </w:p>
    <w:p w:rsidR="00887486" w:rsidP="0003285A" w14:paraId="21FBECC0" w14:textId="77777777">
      <w:pPr>
        <w:ind w:left="720"/>
        <w:contextualSpacing/>
        <w:rPr>
          <w:rFonts w:eastAsiaTheme="minorHAnsi"/>
        </w:rPr>
      </w:pPr>
    </w:p>
    <w:p w:rsidR="00265255" w14:paraId="59A6C3D3" w14:textId="178762DF">
      <w:pPr>
        <w:ind w:left="720"/>
        <w:contextualSpacing/>
        <w:rPr>
          <w:rFonts w:eastAsiaTheme="minorEastAsia"/>
        </w:rPr>
      </w:pPr>
      <w:r w:rsidRPr="0E2C5C4E">
        <w:rPr>
          <w:rFonts w:eastAsiaTheme="minorEastAsia"/>
        </w:rPr>
        <w:t>Investment Professional</w:t>
      </w:r>
      <w:r w:rsidRPr="0E2C5C4E" w:rsidR="00EA2A06">
        <w:rPr>
          <w:rFonts w:eastAsiaTheme="minorEastAsia"/>
        </w:rPr>
        <w:t>s</w:t>
      </w:r>
      <w:r w:rsidRPr="0E2C5C4E" w:rsidR="006523EB">
        <w:rPr>
          <w:rFonts w:eastAsiaTheme="minorEastAsia"/>
        </w:rPr>
        <w:t xml:space="preserve"> receive compensation for </w:t>
      </w:r>
      <w:r w:rsidR="00521A2C">
        <w:rPr>
          <w:rFonts w:eastAsiaTheme="minorEastAsia"/>
        </w:rPr>
        <w:t xml:space="preserve">advice </w:t>
      </w:r>
      <w:r w:rsidRPr="0E2C5C4E" w:rsidR="006523EB">
        <w:rPr>
          <w:rFonts w:eastAsiaTheme="minorEastAsia"/>
        </w:rPr>
        <w:t xml:space="preserve">services to </w:t>
      </w:r>
      <w:r w:rsidRPr="0E2C5C4E">
        <w:rPr>
          <w:rFonts w:eastAsiaTheme="minorEastAsia"/>
        </w:rPr>
        <w:t>Retirement Investor</w:t>
      </w:r>
      <w:r w:rsidRPr="0E2C5C4E" w:rsidR="00EA2A06">
        <w:rPr>
          <w:rFonts w:eastAsiaTheme="minorEastAsia"/>
        </w:rPr>
        <w:t>s</w:t>
      </w:r>
      <w:r w:rsidRPr="0E2C5C4E" w:rsidR="006523EB">
        <w:rPr>
          <w:rFonts w:eastAsiaTheme="minorEastAsia"/>
        </w:rPr>
        <w:t xml:space="preserve"> in the retail market through a variety of </w:t>
      </w:r>
      <w:r w:rsidRPr="0E2C5C4E" w:rsidR="45AB0D1B">
        <w:rPr>
          <w:rFonts w:eastAsiaTheme="minorEastAsia"/>
        </w:rPr>
        <w:t xml:space="preserve">advice and compensation </w:t>
      </w:r>
      <w:r w:rsidRPr="0E2C5C4E" w:rsidR="006523EB">
        <w:rPr>
          <w:rFonts w:eastAsiaTheme="minorEastAsia"/>
        </w:rPr>
        <w:t>arrangements. T</w:t>
      </w:r>
      <w:r w:rsidRPr="0E2C5C4E" w:rsidR="04986158">
        <w:rPr>
          <w:rFonts w:eastAsiaTheme="minorEastAsia"/>
        </w:rPr>
        <w:t xml:space="preserve">ypical compensation arrangements </w:t>
      </w:r>
      <w:r w:rsidRPr="0E2C5C4E" w:rsidR="006523EB">
        <w:rPr>
          <w:rFonts w:eastAsiaTheme="minorEastAsia"/>
        </w:rPr>
        <w:t xml:space="preserve">include commissions paid by </w:t>
      </w:r>
      <w:r w:rsidRPr="0E2C5C4E" w:rsidR="464C92E7">
        <w:rPr>
          <w:rFonts w:eastAsiaTheme="minorEastAsia"/>
        </w:rPr>
        <w:t>a</w:t>
      </w:r>
      <w:r w:rsidRPr="0E2C5C4E" w:rsidR="006523EB">
        <w:rPr>
          <w:rFonts w:eastAsiaTheme="minorEastAsia"/>
        </w:rPr>
        <w:t xml:space="preserve"> </w:t>
      </w:r>
      <w:r w:rsidRPr="0E2C5C4E" w:rsidR="1964364E">
        <w:rPr>
          <w:rFonts w:eastAsiaTheme="minorEastAsia"/>
        </w:rPr>
        <w:t>P</w:t>
      </w:r>
      <w:r w:rsidRPr="0E2C5C4E" w:rsidR="006523EB">
        <w:rPr>
          <w:rFonts w:eastAsiaTheme="minorEastAsia"/>
        </w:rPr>
        <w:t xml:space="preserve">lan, participant or beneficiary, or IRA, or commissions, sales loads, 12b-1 fees, revenue sharing and other </w:t>
      </w:r>
      <w:r w:rsidRPr="0E2C5C4E" w:rsidR="006523EB">
        <w:rPr>
          <w:rFonts w:eastAsiaTheme="minorEastAsia"/>
        </w:rPr>
        <w:t xml:space="preserve">payments </w:t>
      </w:r>
      <w:r w:rsidRPr="0E2C5C4E" w:rsidR="6ADC6995">
        <w:rPr>
          <w:rFonts w:eastAsiaTheme="minorEastAsia"/>
        </w:rPr>
        <w:t xml:space="preserve">paid to </w:t>
      </w:r>
      <w:r w:rsidRPr="0E2C5C4E" w:rsidR="07C16F5C">
        <w:rPr>
          <w:rFonts w:eastAsiaTheme="minorEastAsia"/>
        </w:rPr>
        <w:t>an investment</w:t>
      </w:r>
      <w:r w:rsidRPr="0E2C5C4E" w:rsidR="6ADC6995">
        <w:rPr>
          <w:rFonts w:eastAsiaTheme="minorEastAsia"/>
        </w:rPr>
        <w:t xml:space="preserve"> advice provider </w:t>
      </w:r>
      <w:r w:rsidRPr="0E2C5C4E" w:rsidR="006523EB">
        <w:rPr>
          <w:rFonts w:eastAsiaTheme="minorEastAsia"/>
        </w:rPr>
        <w:t xml:space="preserve">from </w:t>
      </w:r>
      <w:r w:rsidRPr="0E2C5C4E" w:rsidR="7123F132">
        <w:rPr>
          <w:rFonts w:eastAsiaTheme="minorEastAsia"/>
        </w:rPr>
        <w:t xml:space="preserve">the </w:t>
      </w:r>
      <w:r w:rsidRPr="0E2C5C4E" w:rsidR="006523EB">
        <w:rPr>
          <w:rFonts w:eastAsiaTheme="minorEastAsia"/>
        </w:rPr>
        <w:t>third parties that provide</w:t>
      </w:r>
      <w:r w:rsidRPr="0E2C5C4E" w:rsidR="028809B5">
        <w:rPr>
          <w:rFonts w:eastAsiaTheme="minorEastAsia"/>
        </w:rPr>
        <w:t xml:space="preserve"> the underlying</w:t>
      </w:r>
      <w:r w:rsidRPr="0E2C5C4E" w:rsidR="006523EB">
        <w:rPr>
          <w:rFonts w:eastAsiaTheme="minorEastAsia"/>
        </w:rPr>
        <w:t xml:space="preserve"> investment products. A fiduciary’s receipt of such payments generally violate</w:t>
      </w:r>
      <w:r w:rsidRPr="0E2C5C4E" w:rsidR="00D97178">
        <w:rPr>
          <w:rFonts w:eastAsiaTheme="minorEastAsia"/>
        </w:rPr>
        <w:t>s</w:t>
      </w:r>
      <w:r w:rsidRPr="0E2C5C4E" w:rsidR="006523EB">
        <w:rPr>
          <w:rFonts w:eastAsiaTheme="minorEastAsia"/>
        </w:rPr>
        <w:t xml:space="preserve"> the prohibited transaction provisions of ERISA section </w:t>
      </w:r>
      <w:r w:rsidR="003E2F55">
        <w:t xml:space="preserve">406(a)(1)(A), (D), </w:t>
      </w:r>
      <w:r w:rsidR="3AC35832">
        <w:t xml:space="preserve">and </w:t>
      </w:r>
      <w:r w:rsidRPr="0E2C5C4E" w:rsidR="006523EB">
        <w:rPr>
          <w:rFonts w:eastAsiaTheme="minorEastAsia"/>
        </w:rPr>
        <w:t>406(b)</w:t>
      </w:r>
      <w:r w:rsidRPr="0E2C5C4E" w:rsidR="31123DB8">
        <w:rPr>
          <w:rFonts w:eastAsiaTheme="minorEastAsia"/>
        </w:rPr>
        <w:t>,</w:t>
      </w:r>
      <w:r w:rsidRPr="0E2C5C4E" w:rsidR="006523EB">
        <w:rPr>
          <w:rFonts w:eastAsiaTheme="minorEastAsia"/>
        </w:rPr>
        <w:t xml:space="preserve"> and Code section 4975(c)(1)</w:t>
      </w:r>
      <w:r w:rsidRPr="0E2C5C4E" w:rsidR="003E2F55">
        <w:rPr>
          <w:rFonts w:eastAsiaTheme="minorEastAsia"/>
        </w:rPr>
        <w:t xml:space="preserve">(A), and (D), </w:t>
      </w:r>
      <w:r w:rsidRPr="0E2C5C4E" w:rsidR="006523EB">
        <w:rPr>
          <w:rFonts w:eastAsiaTheme="minorEastAsia"/>
        </w:rPr>
        <w:t>(E) and (F)</w:t>
      </w:r>
      <w:r w:rsidRPr="0E2C5C4E" w:rsidR="6940702E">
        <w:rPr>
          <w:rFonts w:eastAsiaTheme="minorEastAsia"/>
        </w:rPr>
        <w:t>,</w:t>
      </w:r>
      <w:r w:rsidRPr="0E2C5C4E" w:rsidR="006523EB">
        <w:rPr>
          <w:rFonts w:eastAsiaTheme="minorEastAsia"/>
        </w:rPr>
        <w:t xml:space="preserve"> because the amount of the fiduciary’s compensation is affected by </w:t>
      </w:r>
      <w:r w:rsidRPr="0E2C5C4E" w:rsidR="5516F4D4">
        <w:rPr>
          <w:rFonts w:eastAsiaTheme="minorEastAsia"/>
        </w:rPr>
        <w:t xml:space="preserve">the fiduciary's </w:t>
      </w:r>
      <w:r w:rsidRPr="0E2C5C4E" w:rsidR="006523EB">
        <w:rPr>
          <w:rFonts w:eastAsiaTheme="minorEastAsia"/>
        </w:rPr>
        <w:t>use of its authority in providing investment advice, unless such payments meet the requirements of an exemption.</w:t>
      </w:r>
    </w:p>
    <w:p w:rsidR="00887486" w:rsidP="0003285A" w14:paraId="6832135A" w14:textId="77777777">
      <w:pPr>
        <w:ind w:left="720"/>
        <w:contextualSpacing/>
      </w:pPr>
    </w:p>
    <w:p w:rsidR="007B47CB" w:rsidP="0E2C5C4E" w14:paraId="16EB7C86" w14:textId="0B27B628">
      <w:pPr>
        <w:ind w:left="720"/>
      </w:pPr>
      <w:r>
        <w:t>The current</w:t>
      </w:r>
      <w:r w:rsidR="44AE7AA6">
        <w:t xml:space="preserve"> </w:t>
      </w:r>
      <w:r>
        <w:t>exemption conditions emphasize conflict of interest</w:t>
      </w:r>
      <w:r w:rsidR="19F2B9ED">
        <w:t xml:space="preserve"> mitigation</w:t>
      </w:r>
      <w:r>
        <w:t xml:space="preserve"> and </w:t>
      </w:r>
      <w:r w:rsidR="2F0B8B64">
        <w:t xml:space="preserve">the provision of prudent and loyal </w:t>
      </w:r>
      <w:r w:rsidR="7E9D72FC">
        <w:t xml:space="preserve">investment advice to </w:t>
      </w:r>
      <w:r w:rsidR="00AF4AF3">
        <w:t>Retirement Investor</w:t>
      </w:r>
      <w:r w:rsidR="00EA2A06">
        <w:t>s</w:t>
      </w:r>
      <w:r>
        <w:t xml:space="preserve">. An important objective of the exemption is to require fiduciary investment advice providers to adhere to stringent standards that ensure their investment recommendations </w:t>
      </w:r>
      <w:r w:rsidR="6C03CF78">
        <w:t>are made in</w:t>
      </w:r>
      <w:r w:rsidR="4841B638">
        <w:t xml:space="preserve"> </w:t>
      </w:r>
      <w:r>
        <w:t xml:space="preserve">the best interest of </w:t>
      </w:r>
      <w:r w:rsidR="4C53C3A2">
        <w:t>P</w:t>
      </w:r>
      <w:r>
        <w:t>lan and IRA investors. Accordingly, under the current framework of PTE 2020-02, Financial Institutions and Investment Professionals relying on the existing exemption must:</w:t>
      </w:r>
    </w:p>
    <w:p w:rsidR="0023675D" w:rsidP="0E2C5C4E" w14:paraId="779D71F3" w14:textId="77777777">
      <w:pPr>
        <w:ind w:left="720"/>
      </w:pPr>
    </w:p>
    <w:p w:rsidR="007B47CB" w:rsidP="001671E2" w14:paraId="0B0DA297" w14:textId="0517A454">
      <w:pPr>
        <w:pStyle w:val="ListParagraph"/>
        <w:numPr>
          <w:ilvl w:val="0"/>
          <w:numId w:val="22"/>
        </w:numPr>
      </w:pPr>
      <w:r>
        <w:t>acknowledge their fiduciary status in writing</w:t>
      </w:r>
      <w:r w:rsidR="564D9598">
        <w:t xml:space="preserve"> to the Retirement </w:t>
      </w:r>
      <w:r w:rsidR="564D9598">
        <w:t>Investor</w:t>
      </w:r>
      <w:r>
        <w:t>;</w:t>
      </w:r>
      <w:r w:rsidR="7F3D5056">
        <w:t xml:space="preserve"> </w:t>
      </w:r>
      <w:r>
        <w:t xml:space="preserve"> </w:t>
      </w:r>
    </w:p>
    <w:p w:rsidR="007B47CB" w:rsidP="001671E2" w14:paraId="37A89E36" w14:textId="5301B113">
      <w:pPr>
        <w:pStyle w:val="ListParagraph"/>
        <w:numPr>
          <w:ilvl w:val="0"/>
          <w:numId w:val="22"/>
        </w:numPr>
      </w:pPr>
      <w:r>
        <w:t>disclose their services and material conflicts of interest</w:t>
      </w:r>
      <w:r w:rsidR="0AC27B4F">
        <w:t xml:space="preserve"> to the Retirement </w:t>
      </w:r>
      <w:r w:rsidR="0AC27B4F">
        <w:t>Investor</w:t>
      </w:r>
      <w:r>
        <w:t>;</w:t>
      </w:r>
    </w:p>
    <w:p w:rsidR="007B47CB" w:rsidP="001671E2" w14:paraId="175CA1DD" w14:textId="77777777">
      <w:pPr>
        <w:pStyle w:val="ListParagraph"/>
        <w:numPr>
          <w:ilvl w:val="0"/>
          <w:numId w:val="22"/>
        </w:numPr>
      </w:pPr>
      <w:r w:rsidRPr="006E1262">
        <w:t>adhere to Impartial Conduct Standards requiring th</w:t>
      </w:r>
      <w:r>
        <w:t>em to</w:t>
      </w:r>
      <w:r w:rsidRPr="006E1262">
        <w:t>:</w:t>
      </w:r>
    </w:p>
    <w:p w:rsidR="007B47CB" w:rsidP="001671E2" w14:paraId="57AB738B" w14:textId="77777777">
      <w:pPr>
        <w:pStyle w:val="ListParagraph"/>
        <w:numPr>
          <w:ilvl w:val="1"/>
          <w:numId w:val="22"/>
        </w:numPr>
      </w:pPr>
      <w:r w:rsidRPr="006E1262">
        <w:t>investigate and evaluate investments, provide advice, and exercise sound judgment in the same way that knowledgeable and impartial professionals would (i.e., their recommendations must be “prudent”</w:t>
      </w:r>
      <w:r w:rsidRPr="006E1262">
        <w:t>)</w:t>
      </w:r>
      <w:r>
        <w:t>;</w:t>
      </w:r>
    </w:p>
    <w:p w:rsidR="007B47CB" w:rsidP="001671E2" w14:paraId="0C60FF05" w14:textId="7A3A1AEA">
      <w:pPr>
        <w:pStyle w:val="ListParagraph"/>
        <w:numPr>
          <w:ilvl w:val="1"/>
          <w:numId w:val="22"/>
        </w:numPr>
      </w:pPr>
      <w:r w:rsidRPr="006E1262">
        <w:t xml:space="preserve">act with undivided loyalty to </w:t>
      </w:r>
      <w:r w:rsidR="00AF4AF3">
        <w:t>Retirement Investor</w:t>
      </w:r>
      <w:r w:rsidRPr="006E1262" w:rsidR="00EA2A06">
        <w:t>s</w:t>
      </w:r>
      <w:r w:rsidRPr="006E1262">
        <w:t xml:space="preserve"> when making recommendations (in other words, they must never place their own interests ahead of the </w:t>
      </w:r>
      <w:r w:rsidR="00AF4AF3">
        <w:t>Retirement Investor</w:t>
      </w:r>
      <w:r w:rsidR="00EA2A06">
        <w:t>’s</w:t>
      </w:r>
      <w:r>
        <w:t xml:space="preserve"> interest</w:t>
      </w:r>
      <w:r w:rsidRPr="006E1262">
        <w:t xml:space="preserve">, or subordinate the </w:t>
      </w:r>
      <w:r w:rsidR="00AF4AF3">
        <w:t>Retirement Investor</w:t>
      </w:r>
      <w:r w:rsidRPr="006E1262" w:rsidR="00EA2A06">
        <w:t>’s</w:t>
      </w:r>
      <w:r w:rsidRPr="006E1262">
        <w:t xml:space="preserve"> interests to their own</w:t>
      </w:r>
      <w:r w:rsidRPr="006E1262">
        <w:t>)</w:t>
      </w:r>
      <w:r>
        <w:t>;</w:t>
      </w:r>
      <w:r w:rsidRPr="006E1262">
        <w:t xml:space="preserve"> </w:t>
      </w:r>
    </w:p>
    <w:p w:rsidR="007B47CB" w:rsidP="001671E2" w14:paraId="4839CDB1" w14:textId="22276AEF">
      <w:pPr>
        <w:pStyle w:val="ListParagraph"/>
        <w:numPr>
          <w:ilvl w:val="1"/>
          <w:numId w:val="22"/>
        </w:numPr>
      </w:pPr>
      <w:r>
        <w:t xml:space="preserve">charge no more than reasonable compensation and comply with </w:t>
      </w:r>
      <w:r w:rsidR="32D06705">
        <w:t>F</w:t>
      </w:r>
      <w:r>
        <w:t xml:space="preserve">ederal securities laws regarding “best execution”; and </w:t>
      </w:r>
    </w:p>
    <w:p w:rsidR="007B47CB" w:rsidP="001671E2" w14:paraId="0AB4B748" w14:textId="77777777">
      <w:pPr>
        <w:pStyle w:val="ListParagraph"/>
        <w:numPr>
          <w:ilvl w:val="1"/>
          <w:numId w:val="22"/>
        </w:numPr>
      </w:pPr>
      <w:r w:rsidRPr="006E1262">
        <w:t xml:space="preserve">avoid making misleading statements about investment transactions and other relevant </w:t>
      </w:r>
      <w:r w:rsidRPr="006E1262">
        <w:t>matters</w:t>
      </w:r>
      <w:r>
        <w:t>;</w:t>
      </w:r>
    </w:p>
    <w:p w:rsidR="007B47CB" w:rsidP="001671E2" w14:paraId="01148471" w14:textId="77777777">
      <w:pPr>
        <w:pStyle w:val="ListParagraph"/>
        <w:numPr>
          <w:ilvl w:val="0"/>
          <w:numId w:val="22"/>
        </w:numPr>
      </w:pPr>
      <w:r w:rsidRPr="006E1262">
        <w:t xml:space="preserve">adopt policies and procedures prudently designed to ensure compliance with the Impartial Conduct Standards and mitigate conflicts of interest that could otherwise cause violations of those </w:t>
      </w:r>
      <w:r w:rsidRPr="006E1262">
        <w:t>standards;</w:t>
      </w:r>
      <w:r w:rsidRPr="006E1262">
        <w:t xml:space="preserve"> </w:t>
      </w:r>
    </w:p>
    <w:p w:rsidR="007B47CB" w:rsidP="001671E2" w14:paraId="0E243114" w14:textId="34E84B92">
      <w:pPr>
        <w:pStyle w:val="ListParagraph"/>
        <w:numPr>
          <w:ilvl w:val="0"/>
          <w:numId w:val="22"/>
        </w:numPr>
      </w:pPr>
      <w:r w:rsidRPr="006E1262">
        <w:t xml:space="preserve">document and disclose the specific reasons that any rollover recommendations are in the </w:t>
      </w:r>
      <w:r w:rsidR="00AF4AF3">
        <w:t>Retirement Investor</w:t>
      </w:r>
      <w:r w:rsidRPr="006E1262" w:rsidR="00EA2A06">
        <w:t>’s</w:t>
      </w:r>
      <w:r w:rsidRPr="006E1262">
        <w:t xml:space="preserve"> best interest; and </w:t>
      </w:r>
    </w:p>
    <w:p w:rsidR="007B47CB" w:rsidP="001671E2" w14:paraId="6E2B24A5" w14:textId="2EB919EC">
      <w:pPr>
        <w:pStyle w:val="ListParagraph"/>
        <w:numPr>
          <w:ilvl w:val="0"/>
          <w:numId w:val="22"/>
        </w:numPr>
      </w:pPr>
      <w:r w:rsidRPr="006E1262">
        <w:t>conduct an annual retrospective compliance review</w:t>
      </w:r>
      <w:r>
        <w:t>.</w:t>
      </w:r>
    </w:p>
    <w:p w:rsidR="007B47CB" w:rsidRPr="007B47CB" w:rsidP="007B47CB" w14:paraId="2698656C" w14:textId="77777777">
      <w:pPr>
        <w:pStyle w:val="ListParagraph"/>
        <w:ind w:left="1800"/>
      </w:pPr>
    </w:p>
    <w:p w:rsidR="00B06447" w:rsidRPr="00AC4FA4" w:rsidP="007B47CB" w14:paraId="75D1CA42" w14:textId="19DCE46F">
      <w:pPr>
        <w:widowControl w:val="0"/>
        <w:ind w:left="720"/>
        <w:contextualSpacing/>
        <w:rPr>
          <w:u w:val="single"/>
        </w:rPr>
      </w:pPr>
      <w:r w:rsidRPr="0E2C5C4E">
        <w:rPr>
          <w:u w:val="single"/>
        </w:rPr>
        <w:t>2024 Final</w:t>
      </w:r>
      <w:r w:rsidRPr="0E2C5C4E" w:rsidR="006523EB">
        <w:rPr>
          <w:u w:val="single"/>
        </w:rPr>
        <w:t xml:space="preserve"> Amendment</w:t>
      </w:r>
    </w:p>
    <w:p w:rsidR="00B06447" w:rsidP="007B47CB" w14:paraId="3ABB0A47" w14:textId="77777777">
      <w:pPr>
        <w:widowControl w:val="0"/>
        <w:ind w:left="720"/>
        <w:contextualSpacing/>
      </w:pPr>
    </w:p>
    <w:p w:rsidR="00597D93" w:rsidP="0E2C5C4E" w14:paraId="1988D9EC" w14:textId="3FE8B08C">
      <w:pPr>
        <w:pStyle w:val="citation-hover-present"/>
        <w:spacing w:before="0" w:beforeAutospacing="0" w:after="0" w:afterAutospacing="0"/>
        <w:ind w:left="720"/>
      </w:pPr>
      <w:r>
        <w:t>Th</w:t>
      </w:r>
      <w:r>
        <w:t>e</w:t>
      </w:r>
      <w:r w:rsidR="006523EB">
        <w:t xml:space="preserve"> </w:t>
      </w:r>
      <w:r w:rsidR="00BC199C">
        <w:t xml:space="preserve">final </w:t>
      </w:r>
      <w:r w:rsidR="006523EB">
        <w:t xml:space="preserve">amendment </w:t>
      </w:r>
      <w:r>
        <w:t>build</w:t>
      </w:r>
      <w:r w:rsidR="00602C99">
        <w:t>s</w:t>
      </w:r>
      <w:r w:rsidR="006523EB">
        <w:t xml:space="preserve"> on these existing conditions to provide more certainty for Retirement Investors receiving advice and Financial Institutions and Investment Professionals. </w:t>
      </w:r>
      <w:r>
        <w:t>The final amendment</w:t>
      </w:r>
      <w:r w:rsidR="006325B7">
        <w:t xml:space="preserve"> will</w:t>
      </w:r>
      <w:r>
        <w:t>:</w:t>
      </w:r>
    </w:p>
    <w:p w:rsidR="00597D93" w:rsidP="001671E2" w14:paraId="00281A84" w14:textId="77777777">
      <w:pPr>
        <w:pStyle w:val="citation-hover-present"/>
        <w:spacing w:before="0" w:beforeAutospacing="0" w:after="0" w:afterAutospacing="0"/>
        <w:ind w:left="720"/>
      </w:pPr>
    </w:p>
    <w:p w:rsidR="00597D93" w:rsidP="001671E2" w14:paraId="36354C96" w14:textId="170E259B">
      <w:pPr>
        <w:pStyle w:val="citation-hover-present"/>
        <w:numPr>
          <w:ilvl w:val="0"/>
          <w:numId w:val="21"/>
        </w:numPr>
        <w:spacing w:before="0" w:beforeAutospacing="0" w:after="0" w:afterAutospacing="0"/>
      </w:pPr>
      <w:r>
        <w:t xml:space="preserve">expand the exemption’s scope to include recommendations of any investment product, regardless of whether the product is sold on a principal or agency </w:t>
      </w:r>
      <w:r>
        <w:t>basis;</w:t>
      </w:r>
      <w:r>
        <w:t xml:space="preserve"> </w:t>
      </w:r>
    </w:p>
    <w:p w:rsidR="00D26A57" w:rsidRPr="00C90A74" w:rsidP="001671E2" w14:paraId="10516D37" w14:textId="628378F4">
      <w:pPr>
        <w:pStyle w:val="citation-hover-present"/>
        <w:numPr>
          <w:ilvl w:val="0"/>
          <w:numId w:val="21"/>
        </w:numPr>
        <w:spacing w:before="0" w:beforeAutospacing="0" w:after="0" w:afterAutospacing="0"/>
      </w:pPr>
      <w:r>
        <w:t>expand the exemption’s scope to include recommendations from robo-advice providers</w:t>
      </w:r>
    </w:p>
    <w:p w:rsidR="00597D93" w:rsidRPr="00C90A74" w:rsidP="001671E2" w14:paraId="35C7D9A1" w14:textId="12A35314">
      <w:pPr>
        <w:pStyle w:val="citation-hover-present"/>
        <w:numPr>
          <w:ilvl w:val="0"/>
          <w:numId w:val="21"/>
        </w:numPr>
        <w:spacing w:before="0" w:beforeAutospacing="0" w:after="0" w:afterAutospacing="0"/>
      </w:pPr>
      <w:r>
        <w:t xml:space="preserve">add non-bank Health Savings Account (HSA) trustees to the definition of Financial Institution with respect to </w:t>
      </w:r>
      <w:r>
        <w:t>HSAs;</w:t>
      </w:r>
      <w:r>
        <w:t xml:space="preserve"> </w:t>
      </w:r>
    </w:p>
    <w:p w:rsidR="00597D93" w:rsidP="0E2C5C4E" w14:paraId="4EF4C5BC" w14:textId="2DD87D3B">
      <w:pPr>
        <w:pStyle w:val="citation-hover-present"/>
        <w:numPr>
          <w:ilvl w:val="0"/>
          <w:numId w:val="21"/>
        </w:numPr>
        <w:spacing w:before="0" w:beforeAutospacing="0" w:after="0" w:afterAutospacing="0"/>
      </w:pPr>
      <w:r>
        <w:t>revise the disclosure requirements</w:t>
      </w:r>
      <w:r w:rsidR="09A1F704">
        <w:t xml:space="preserve"> </w:t>
      </w:r>
      <w:r w:rsidR="00CF5F9E">
        <w:t xml:space="preserve">to </w:t>
      </w:r>
      <w:r>
        <w:t xml:space="preserve">more closely track other regulators’ disclosure requirements with respect to the provision of investment </w:t>
      </w:r>
      <w:r>
        <w:t>advice;</w:t>
      </w:r>
    </w:p>
    <w:p w:rsidR="00CA132F" w:rsidP="0E2C5C4E" w14:paraId="2F33EBBF" w14:textId="5CC9B2CA">
      <w:pPr>
        <w:pStyle w:val="citation-hover-present"/>
        <w:numPr>
          <w:ilvl w:val="0"/>
          <w:numId w:val="21"/>
        </w:numPr>
        <w:spacing w:before="0" w:beforeAutospacing="0" w:after="0" w:afterAutospacing="0"/>
      </w:pPr>
      <w:r>
        <w:t xml:space="preserve">narrow the scope of the rollover disclosure </w:t>
      </w:r>
      <w:r w:rsidR="00D5321A">
        <w:t xml:space="preserve">so that it only applies to rollovers </w:t>
      </w:r>
      <w:r w:rsidR="00725A62">
        <w:t xml:space="preserve">from Title I </w:t>
      </w:r>
      <w:r w:rsidR="00991924">
        <w:t>P</w:t>
      </w:r>
      <w:r w:rsidR="00725A62">
        <w:t xml:space="preserve">lans to </w:t>
      </w:r>
      <w:r w:rsidR="00B049BF">
        <w:t>IRAs</w:t>
      </w:r>
      <w:r w:rsidR="009B0FAE">
        <w:t xml:space="preserve"> </w:t>
      </w:r>
      <w:r w:rsidRPr="00C90A74" w:rsidR="009B0FAE">
        <w:t>or recommendation</w:t>
      </w:r>
      <w:r w:rsidR="009B0FAE">
        <w:t>s</w:t>
      </w:r>
      <w:r w:rsidRPr="00C90A74" w:rsidR="009B0FAE">
        <w:t xml:space="preserve"> to a Plan participant or beneficiary as to the post-rollover investment of assets currently held in a Plan that is covered by Title </w:t>
      </w:r>
      <w:r w:rsidRPr="00C90A74" w:rsidR="009B0FAE">
        <w:t>I</w:t>
      </w:r>
      <w:r w:rsidR="00B049BF">
        <w:t>;</w:t>
      </w:r>
    </w:p>
    <w:p w:rsidR="00597D93" w:rsidRPr="00C90A74" w:rsidP="0E2C5C4E" w14:paraId="1F52ABBE" w14:textId="627F1BC4">
      <w:pPr>
        <w:pStyle w:val="citation-hover-present"/>
        <w:numPr>
          <w:ilvl w:val="0"/>
          <w:numId w:val="21"/>
        </w:numPr>
        <w:spacing w:before="0" w:beforeAutospacing="0" w:after="0" w:afterAutospacing="0"/>
      </w:pPr>
      <w:r>
        <w:t xml:space="preserve">revise the exemption’s </w:t>
      </w:r>
      <w:r w:rsidR="19C8B4CC">
        <w:t>e</w:t>
      </w:r>
      <w:r>
        <w:t xml:space="preserve">ligibility provisions so that firms and investment professionals only face disqualification for serious misconduct that has been determined in a court </w:t>
      </w:r>
      <w:r>
        <w:t>proceeding;</w:t>
      </w:r>
      <w:r>
        <w:t xml:space="preserve"> </w:t>
      </w:r>
    </w:p>
    <w:p w:rsidR="00597D93" w:rsidRPr="00C90A74" w:rsidP="0E2C5C4E" w14:paraId="419367D3" w14:textId="41592351">
      <w:pPr>
        <w:pStyle w:val="citation-hover-present"/>
        <w:numPr>
          <w:ilvl w:val="0"/>
          <w:numId w:val="21"/>
        </w:numPr>
        <w:spacing w:before="0" w:beforeAutospacing="0" w:after="0" w:afterAutospacing="0"/>
      </w:pPr>
      <w:r>
        <w:t xml:space="preserve">provide new streamlined exemption provisions for Financial Institutions that give fiduciary advice in connection with a Request for Proposal (RFP) to provide investment management services as an ERISA section 3(38) investment </w:t>
      </w:r>
      <w:r>
        <w:t>manager;</w:t>
      </w:r>
    </w:p>
    <w:p w:rsidR="00E96FEC" w:rsidP="001671E2" w14:paraId="5B25C52C" w14:textId="7348488C">
      <w:pPr>
        <w:pStyle w:val="ListParagraph"/>
        <w:widowControl w:val="0"/>
        <w:numPr>
          <w:ilvl w:val="0"/>
          <w:numId w:val="21"/>
        </w:numPr>
      </w:pPr>
      <w:r>
        <w:t>make minor revisions and clarif</w:t>
      </w:r>
      <w:r w:rsidR="00F17D8A">
        <w:t>y</w:t>
      </w:r>
      <w:r>
        <w:t xml:space="preserve"> existing provisions of the exemption</w:t>
      </w:r>
      <w:r w:rsidR="0061C40E">
        <w:t>; and</w:t>
      </w:r>
    </w:p>
    <w:p w:rsidR="00E96FEC" w:rsidP="001671E2" w14:paraId="6E54E9D4" w14:textId="13ACB099">
      <w:pPr>
        <w:pStyle w:val="ListParagraph"/>
        <w:widowControl w:val="0"/>
        <w:numPr>
          <w:ilvl w:val="0"/>
          <w:numId w:val="21"/>
        </w:numPr>
      </w:pPr>
      <w:r>
        <w:t>expand the scope of the exemption to include robo-advice.</w:t>
      </w:r>
    </w:p>
    <w:p w:rsidR="00117A9B" w:rsidP="00597D93" w14:paraId="3E8BCEA1" w14:textId="29299D5D">
      <w:pPr>
        <w:widowControl w:val="0"/>
        <w:ind w:left="720"/>
        <w:contextualSpacing/>
      </w:pPr>
    </w:p>
    <w:p w:rsidR="00117A9B" w:rsidP="00597D93" w14:paraId="24417348" w14:textId="6BFB008F">
      <w:pPr>
        <w:widowControl w:val="0"/>
        <w:ind w:left="720"/>
        <w:contextualSpacing/>
      </w:pPr>
      <w:r w:rsidRPr="00117A9B">
        <w:t xml:space="preserve">In addition, although the Department proposed to expand the recordkeeping requirement in the exemption, the Final Amendment maintains the recordkeeping provisions already in PTE 2020-02 without change.  </w:t>
      </w:r>
    </w:p>
    <w:p w:rsidR="00887486" w:rsidRPr="00E470FD" w:rsidP="0003285A" w14:paraId="375C6407" w14:textId="77777777">
      <w:pPr>
        <w:ind w:left="720"/>
        <w:contextualSpacing/>
        <w:rPr>
          <w:rFonts w:eastAsiaTheme="minorHAnsi"/>
        </w:rPr>
      </w:pPr>
    </w:p>
    <w:p w:rsidR="00B56B3F" w:rsidRPr="00722AA7" w:rsidP="008F7870" w14:paraId="2E3CBB1F" w14:textId="14995BC0">
      <w:pPr>
        <w:pStyle w:val="Heading2"/>
      </w:pPr>
      <w:r w:rsidRPr="008C054B">
        <w:t>Indicate how, by whom, and fo</w:t>
      </w:r>
      <w:r w:rsidRPr="00722AA7">
        <w:t>r what purpose the information is to be used.</w:t>
      </w:r>
      <w:r w:rsidR="009C7814">
        <w:t xml:space="preserve"> </w:t>
      </w:r>
      <w:r w:rsidRPr="00722AA7">
        <w:t>Except for a new collection, indicate the actual use the agency has made of the information received from the collection.</w:t>
      </w:r>
    </w:p>
    <w:p w:rsidR="005F7BF9" w:rsidRPr="000E7745" w:rsidP="0003285A" w14:paraId="60102763" w14:textId="77777777">
      <w:pPr>
        <w:contextualSpacing/>
        <w:rPr>
          <w:rFonts w:eastAsiaTheme="majorEastAsia"/>
        </w:rPr>
      </w:pPr>
    </w:p>
    <w:p w:rsidR="005F7BF9" w:rsidRPr="000E7745" w:rsidP="0E2C5C4E" w14:paraId="7BD3EC94" w14:textId="45D3DC98">
      <w:pPr>
        <w:ind w:left="720"/>
        <w:contextualSpacing/>
        <w:rPr>
          <w:rFonts w:eastAsiaTheme="majorEastAsia"/>
        </w:rPr>
      </w:pPr>
      <w:r w:rsidRPr="0E2C5C4E">
        <w:rPr>
          <w:rFonts w:eastAsiaTheme="majorEastAsia"/>
        </w:rPr>
        <w:t>The information</w:t>
      </w:r>
      <w:r w:rsidRPr="0E2C5C4E" w:rsidR="00934F5E">
        <w:rPr>
          <w:rFonts w:eastAsiaTheme="majorEastAsia"/>
        </w:rPr>
        <w:t xml:space="preserve"> that </w:t>
      </w:r>
      <w:r w:rsidRPr="0E2C5C4E" w:rsidR="00EC6C37">
        <w:rPr>
          <w:rFonts w:eastAsiaTheme="majorEastAsia"/>
        </w:rPr>
        <w:t xml:space="preserve">investment </w:t>
      </w:r>
      <w:r w:rsidRPr="0E2C5C4E" w:rsidR="00934F5E">
        <w:rPr>
          <w:rFonts w:eastAsiaTheme="majorEastAsia"/>
        </w:rPr>
        <w:t xml:space="preserve">advice fiduciaries </w:t>
      </w:r>
      <w:r w:rsidRPr="0E2C5C4E" w:rsidR="00D97460">
        <w:rPr>
          <w:rFonts w:eastAsiaTheme="majorEastAsia"/>
        </w:rPr>
        <w:t>are</w:t>
      </w:r>
      <w:r w:rsidRPr="0E2C5C4E" w:rsidR="00934F5E">
        <w:rPr>
          <w:rFonts w:eastAsiaTheme="majorEastAsia"/>
        </w:rPr>
        <w:t xml:space="preserve"> required to</w:t>
      </w:r>
      <w:r w:rsidRPr="0E2C5C4E">
        <w:rPr>
          <w:rFonts w:eastAsiaTheme="majorEastAsia"/>
        </w:rPr>
        <w:t xml:space="preserve"> produce under the</w:t>
      </w:r>
      <w:r w:rsidRPr="0E2C5C4E" w:rsidR="007D05F0">
        <w:rPr>
          <w:rFonts w:eastAsiaTheme="majorEastAsia"/>
        </w:rPr>
        <w:t xml:space="preserve"> </w:t>
      </w:r>
      <w:r w:rsidRPr="0E2C5C4E" w:rsidR="72DDF144">
        <w:rPr>
          <w:rFonts w:eastAsiaTheme="majorEastAsia"/>
        </w:rPr>
        <w:t xml:space="preserve">protective conditions of the </w:t>
      </w:r>
      <w:r w:rsidRPr="0E2C5C4E">
        <w:rPr>
          <w:rFonts w:eastAsiaTheme="majorEastAsia"/>
        </w:rPr>
        <w:t>exemption</w:t>
      </w:r>
      <w:r w:rsidRPr="0E2C5C4E" w:rsidR="18D1B7E9">
        <w:rPr>
          <w:rFonts w:eastAsiaTheme="majorEastAsia"/>
        </w:rPr>
        <w:t xml:space="preserve"> are</w:t>
      </w:r>
      <w:r w:rsidRPr="0E2C5C4E" w:rsidR="00934F5E">
        <w:rPr>
          <w:rFonts w:eastAsiaTheme="majorEastAsia"/>
        </w:rPr>
        <w:t xml:space="preserve"> designed to safeguard the interest of Plans, participants</w:t>
      </w:r>
      <w:r w:rsidRPr="0E2C5C4E" w:rsidR="00F65903">
        <w:rPr>
          <w:rFonts w:eastAsiaTheme="majorEastAsia"/>
        </w:rPr>
        <w:t>, beneficiaries, and IRA owners.</w:t>
      </w:r>
      <w:r w:rsidRPr="0E2C5C4E">
        <w:rPr>
          <w:rFonts w:eastAsiaTheme="majorEastAsia"/>
        </w:rPr>
        <w:t xml:space="preserve"> </w:t>
      </w:r>
      <w:r>
        <w:t xml:space="preserve">These requirements provide </w:t>
      </w:r>
      <w:r w:rsidR="617209DC">
        <w:t>P</w:t>
      </w:r>
      <w:r>
        <w:t>lan participants</w:t>
      </w:r>
      <w:r w:rsidR="0169C513">
        <w:t>,</w:t>
      </w:r>
      <w:r w:rsidR="0FD1227F">
        <w:t xml:space="preserve"> </w:t>
      </w:r>
      <w:r w:rsidR="0169C513">
        <w:t>beneficiaries and IRA owners</w:t>
      </w:r>
      <w:r>
        <w:t xml:space="preserve"> with information </w:t>
      </w:r>
      <w:r w:rsidR="24F1FE79">
        <w:t xml:space="preserve">that is needed </w:t>
      </w:r>
      <w:r>
        <w:t xml:space="preserve">to help them understand </w:t>
      </w:r>
      <w:r w:rsidR="54F25DA3">
        <w:t xml:space="preserve">the advice </w:t>
      </w:r>
      <w:r>
        <w:t xml:space="preserve">services </w:t>
      </w:r>
      <w:r w:rsidR="2E986437">
        <w:t xml:space="preserve">being </w:t>
      </w:r>
      <w:r>
        <w:t xml:space="preserve">offered and the related conflicts of interests associated with those </w:t>
      </w:r>
      <w:r w:rsidR="71919746">
        <w:t>services</w:t>
      </w:r>
      <w:r>
        <w:t>.</w:t>
      </w:r>
    </w:p>
    <w:p w:rsidR="00020A6D" w:rsidRPr="000E7745" w:rsidP="0003285A" w14:paraId="01272CA7" w14:textId="77777777">
      <w:pPr>
        <w:ind w:left="720"/>
        <w:contextualSpacing/>
      </w:pPr>
    </w:p>
    <w:p w:rsidR="005F2453" w:rsidP="0003285A" w14:paraId="15EC1F38" w14:textId="7B7D8179">
      <w:pPr>
        <w:ind w:left="720"/>
        <w:contextualSpacing/>
        <w:rPr>
          <w:rFonts w:eastAsiaTheme="majorEastAsia"/>
        </w:rPr>
      </w:pPr>
      <w:r w:rsidRPr="0E2C5C4E">
        <w:rPr>
          <w:rFonts w:eastAsiaTheme="majorEastAsia"/>
        </w:rPr>
        <w:t xml:space="preserve">To qualify for the exemption </w:t>
      </w:r>
      <w:r w:rsidRPr="0E2C5C4E" w:rsidR="003E12D9">
        <w:rPr>
          <w:rFonts w:eastAsiaTheme="majorEastAsia"/>
        </w:rPr>
        <w:t>under th</w:t>
      </w:r>
      <w:r w:rsidRPr="0E2C5C4E" w:rsidR="00116E6A">
        <w:rPr>
          <w:rFonts w:eastAsiaTheme="majorEastAsia"/>
        </w:rPr>
        <w:t>e</w:t>
      </w:r>
      <w:r w:rsidRPr="0E2C5C4E" w:rsidR="003E12D9">
        <w:rPr>
          <w:rFonts w:eastAsiaTheme="majorEastAsia"/>
        </w:rPr>
        <w:t xml:space="preserve"> </w:t>
      </w:r>
      <w:r w:rsidRPr="0E2C5C4E" w:rsidR="5775E3C4">
        <w:rPr>
          <w:rFonts w:eastAsiaTheme="majorEastAsia"/>
        </w:rPr>
        <w:t>terms of the final amendment</w:t>
      </w:r>
      <w:r w:rsidRPr="0E2C5C4E">
        <w:rPr>
          <w:rFonts w:eastAsiaTheme="majorEastAsia"/>
        </w:rPr>
        <w:t xml:space="preserve">, investment advice fiduciaries </w:t>
      </w:r>
      <w:r w:rsidRPr="0E2C5C4E" w:rsidR="002053A1">
        <w:rPr>
          <w:rFonts w:eastAsiaTheme="majorEastAsia"/>
        </w:rPr>
        <w:t>are</w:t>
      </w:r>
      <w:r w:rsidRPr="0E2C5C4E" w:rsidR="002137F1">
        <w:rPr>
          <w:rFonts w:eastAsiaTheme="majorEastAsia"/>
        </w:rPr>
        <w:t xml:space="preserve"> required </w:t>
      </w:r>
      <w:r w:rsidRPr="0E2C5C4E" w:rsidR="00884739">
        <w:rPr>
          <w:rFonts w:eastAsiaTheme="majorEastAsia"/>
        </w:rPr>
        <w:t>to</w:t>
      </w:r>
      <w:r w:rsidRPr="0E2C5C4E" w:rsidR="003A77EE">
        <w:rPr>
          <w:rFonts w:eastAsiaTheme="majorEastAsia"/>
        </w:rPr>
        <w:t>:</w:t>
      </w:r>
      <w:r w:rsidRPr="0E2C5C4E" w:rsidR="00884739">
        <w:rPr>
          <w:rFonts w:eastAsiaTheme="majorEastAsia"/>
        </w:rPr>
        <w:t xml:space="preserve"> </w:t>
      </w:r>
    </w:p>
    <w:p w:rsidR="00F17D8A" w:rsidRPr="000E7745" w:rsidP="0003285A" w14:paraId="5E5CF389" w14:textId="77777777">
      <w:pPr>
        <w:ind w:left="720"/>
        <w:contextualSpacing/>
        <w:rPr>
          <w:color w:val="000000" w:themeColor="text1"/>
        </w:rPr>
      </w:pPr>
    </w:p>
    <w:p w:rsidR="005F2453" w:rsidRPr="000E7745" w:rsidP="0E2C5C4E" w14:paraId="72E8EDDF" w14:textId="3E42B6CA">
      <w:pPr>
        <w:pStyle w:val="ListParagraph"/>
        <w:numPr>
          <w:ilvl w:val="0"/>
          <w:numId w:val="23"/>
        </w:numPr>
        <w:rPr>
          <w:rFonts w:eastAsiaTheme="majorEastAsia"/>
        </w:rPr>
      </w:pPr>
      <w:r w:rsidRPr="0E2C5C4E">
        <w:rPr>
          <w:color w:val="000000" w:themeColor="text1"/>
        </w:rPr>
        <w:t xml:space="preserve">make disclosures to </w:t>
      </w:r>
      <w:r w:rsidRPr="0E2C5C4E" w:rsidR="00156F47">
        <w:rPr>
          <w:color w:val="000000" w:themeColor="text1"/>
        </w:rPr>
        <w:t>inform</w:t>
      </w:r>
      <w:r w:rsidRPr="0E2C5C4E">
        <w:rPr>
          <w:color w:val="000000" w:themeColor="text1"/>
        </w:rPr>
        <w:t xml:space="preserve"> </w:t>
      </w:r>
      <w:r w:rsidRPr="0E2C5C4E" w:rsidR="00AF4AF3">
        <w:rPr>
          <w:color w:val="000000" w:themeColor="text1"/>
        </w:rPr>
        <w:t>Retirement Investor</w:t>
      </w:r>
      <w:r w:rsidRPr="0E2C5C4E" w:rsidR="00EA2A06">
        <w:rPr>
          <w:color w:val="000000" w:themeColor="text1"/>
        </w:rPr>
        <w:t>s</w:t>
      </w:r>
      <w:r w:rsidRPr="0E2C5C4E">
        <w:rPr>
          <w:color w:val="000000" w:themeColor="text1"/>
        </w:rPr>
        <w:t xml:space="preserve"> </w:t>
      </w:r>
      <w:r w:rsidRPr="0E2C5C4E" w:rsidR="005E7BD1">
        <w:rPr>
          <w:color w:val="000000" w:themeColor="text1"/>
        </w:rPr>
        <w:t>of</w:t>
      </w:r>
      <w:r w:rsidRPr="0E2C5C4E">
        <w:rPr>
          <w:color w:val="000000" w:themeColor="text1"/>
        </w:rPr>
        <w:t xml:space="preserve"> </w:t>
      </w:r>
      <w:r w:rsidRPr="0E2C5C4E" w:rsidR="4D57100D">
        <w:rPr>
          <w:color w:val="000000" w:themeColor="text1"/>
        </w:rPr>
        <w:t xml:space="preserve">the advice </w:t>
      </w:r>
      <w:r w:rsidRPr="0E2C5C4E" w:rsidR="4D57100D">
        <w:rPr>
          <w:color w:val="000000" w:themeColor="text1"/>
        </w:rPr>
        <w:t xml:space="preserve">provider's </w:t>
      </w:r>
      <w:r w:rsidRPr="0E2C5C4E">
        <w:rPr>
          <w:color w:val="000000" w:themeColor="text1"/>
        </w:rPr>
        <w:t xml:space="preserve"> fiduciary</w:t>
      </w:r>
      <w:r w:rsidRPr="0E2C5C4E">
        <w:rPr>
          <w:color w:val="000000" w:themeColor="text1"/>
        </w:rPr>
        <w:t xml:space="preserve"> status, services offered, and material conflicts of interest; </w:t>
      </w:r>
    </w:p>
    <w:p w:rsidR="005F2453" w:rsidRPr="000E7745" w:rsidP="0E2C5C4E" w14:paraId="4C023C1E" w14:textId="48D9B850">
      <w:pPr>
        <w:pStyle w:val="ListParagraph"/>
        <w:numPr>
          <w:ilvl w:val="0"/>
          <w:numId w:val="23"/>
        </w:numPr>
        <w:rPr>
          <w:rFonts w:eastAsiaTheme="majorEastAsia"/>
        </w:rPr>
      </w:pPr>
      <w:r w:rsidRPr="0E2C5C4E">
        <w:rPr>
          <w:color w:val="000000" w:themeColor="text1"/>
        </w:rPr>
        <w:t>establish, maintain, and enforce written policies and procedures designed to ensure that the</w:t>
      </w:r>
      <w:r w:rsidRPr="0E2C5C4E" w:rsidR="704AA4E3">
        <w:rPr>
          <w:color w:val="000000" w:themeColor="text1"/>
        </w:rPr>
        <w:t xml:space="preserve"> advice provider</w:t>
      </w:r>
      <w:r w:rsidRPr="0E2C5C4E">
        <w:rPr>
          <w:color w:val="000000" w:themeColor="text1"/>
        </w:rPr>
        <w:t xml:space="preserve"> and their </w:t>
      </w:r>
      <w:r w:rsidRPr="0E2C5C4E" w:rsidR="00AF4AF3">
        <w:rPr>
          <w:color w:val="000000" w:themeColor="text1"/>
        </w:rPr>
        <w:t>Investment Professional</w:t>
      </w:r>
      <w:r w:rsidRPr="0E2C5C4E" w:rsidR="00EA2A06">
        <w:rPr>
          <w:color w:val="000000" w:themeColor="text1"/>
        </w:rPr>
        <w:t>s</w:t>
      </w:r>
      <w:r w:rsidRPr="0E2C5C4E">
        <w:rPr>
          <w:color w:val="000000" w:themeColor="text1"/>
        </w:rPr>
        <w:t xml:space="preserve"> comply with the </w:t>
      </w:r>
      <w:r w:rsidRPr="0E2C5C4E" w:rsidR="08148CCE">
        <w:rPr>
          <w:color w:val="000000" w:themeColor="text1"/>
        </w:rPr>
        <w:t xml:space="preserve">exemption's </w:t>
      </w:r>
      <w:r w:rsidRPr="0E2C5C4E">
        <w:rPr>
          <w:color w:val="000000" w:themeColor="text1"/>
        </w:rPr>
        <w:t xml:space="preserve">Impartial Conduct </w:t>
      </w:r>
      <w:r w:rsidRPr="0E2C5C4E">
        <w:rPr>
          <w:color w:val="000000" w:themeColor="text1"/>
        </w:rPr>
        <w:t>Standards;</w:t>
      </w:r>
    </w:p>
    <w:p w:rsidR="0026314F" w:rsidRPr="000E7745" w:rsidP="0E2C5C4E" w14:paraId="372C1089" w14:textId="3C86BB66">
      <w:pPr>
        <w:pStyle w:val="ListParagraph"/>
        <w:numPr>
          <w:ilvl w:val="0"/>
          <w:numId w:val="23"/>
        </w:numPr>
        <w:rPr>
          <w:rFonts w:eastAsiaTheme="majorEastAsia"/>
        </w:rPr>
      </w:pPr>
      <w:r w:rsidRPr="0E2C5C4E">
        <w:rPr>
          <w:color w:val="000000" w:themeColor="text1"/>
        </w:rPr>
        <w:t xml:space="preserve">document the </w:t>
      </w:r>
      <w:r w:rsidRPr="0E2C5C4E" w:rsidR="0385352F">
        <w:rPr>
          <w:color w:val="000000" w:themeColor="text1"/>
        </w:rPr>
        <w:t xml:space="preserve">basis for their conclusion to recommend a </w:t>
      </w:r>
      <w:r w:rsidRPr="0E2C5C4E">
        <w:rPr>
          <w:color w:val="000000" w:themeColor="text1"/>
        </w:rPr>
        <w:t>rollover</w:t>
      </w:r>
      <w:r w:rsidRPr="0E2C5C4E" w:rsidR="6AE3238B">
        <w:rPr>
          <w:color w:val="000000" w:themeColor="text1"/>
        </w:rPr>
        <w:t>,</w:t>
      </w:r>
      <w:r w:rsidRPr="0E2C5C4E">
        <w:rPr>
          <w:color w:val="000000" w:themeColor="text1"/>
        </w:rPr>
        <w:t xml:space="preserve"> show that the rollover is in the best interest of the </w:t>
      </w:r>
      <w:r w:rsidRPr="0E2C5C4E" w:rsidR="00AF4AF3">
        <w:rPr>
          <w:color w:val="000000" w:themeColor="text1"/>
        </w:rPr>
        <w:t>Retirement Investor</w:t>
      </w:r>
      <w:r w:rsidRPr="0E2C5C4E" w:rsidR="44892A1F">
        <w:rPr>
          <w:color w:val="000000" w:themeColor="text1"/>
        </w:rPr>
        <w:t xml:space="preserve">, </w:t>
      </w:r>
      <w:r w:rsidRPr="0E2C5C4E" w:rsidR="00CC373A">
        <w:rPr>
          <w:color w:val="000000" w:themeColor="text1"/>
        </w:rPr>
        <w:t xml:space="preserve">and provide the documentation to the </w:t>
      </w:r>
      <w:r w:rsidRPr="0E2C5C4E" w:rsidR="00AF4AF3">
        <w:rPr>
          <w:color w:val="000000" w:themeColor="text1"/>
        </w:rPr>
        <w:t xml:space="preserve">Retirement </w:t>
      </w:r>
      <w:r w:rsidRPr="0E2C5C4E" w:rsidR="00AF4AF3">
        <w:rPr>
          <w:color w:val="000000" w:themeColor="text1"/>
        </w:rPr>
        <w:t>Investor</w:t>
      </w:r>
      <w:r w:rsidRPr="0E2C5C4E">
        <w:rPr>
          <w:color w:val="000000" w:themeColor="text1"/>
        </w:rPr>
        <w:t>;</w:t>
      </w:r>
    </w:p>
    <w:p w:rsidR="000A3876" w:rsidRPr="000E7745" w:rsidP="0E2C5C4E" w14:paraId="1C339DF1" w14:textId="49502DA7">
      <w:pPr>
        <w:pStyle w:val="ListParagraph"/>
        <w:numPr>
          <w:ilvl w:val="0"/>
          <w:numId w:val="23"/>
        </w:numPr>
        <w:rPr>
          <w:rFonts w:eastAsiaTheme="majorEastAsia"/>
        </w:rPr>
      </w:pPr>
      <w:r w:rsidRPr="0E2C5C4E">
        <w:rPr>
          <w:color w:val="000000" w:themeColor="text1"/>
        </w:rPr>
        <w:t xml:space="preserve">conduct an annual retrospective review that is reasonably designed to prevent violations of the </w:t>
      </w:r>
      <w:r w:rsidRPr="0E2C5C4E" w:rsidR="7F504C2E">
        <w:rPr>
          <w:color w:val="000000" w:themeColor="text1"/>
        </w:rPr>
        <w:t xml:space="preserve">exemptions </w:t>
      </w:r>
      <w:r w:rsidRPr="0E2C5C4E">
        <w:rPr>
          <w:color w:val="000000" w:themeColor="text1"/>
        </w:rPr>
        <w:t xml:space="preserve">Impartial Conduct Standards and the </w:t>
      </w:r>
      <w:r w:rsidRPr="0E2C5C4E" w:rsidR="2B953FBF">
        <w:rPr>
          <w:color w:val="000000" w:themeColor="text1"/>
        </w:rPr>
        <w:t>Financial I</w:t>
      </w:r>
      <w:r w:rsidRPr="0E2C5C4E">
        <w:rPr>
          <w:color w:val="000000" w:themeColor="text1"/>
        </w:rPr>
        <w:t>nstitution’s own policies and procedures; and</w:t>
      </w:r>
    </w:p>
    <w:p w:rsidR="004034C5" w:rsidRPr="000E7745" w:rsidP="001671E2" w14:paraId="2F53778D" w14:textId="6F24E45E">
      <w:pPr>
        <w:pStyle w:val="ListParagraph"/>
        <w:numPr>
          <w:ilvl w:val="0"/>
          <w:numId w:val="23"/>
        </w:numPr>
        <w:rPr>
          <w:rFonts w:eastAsiaTheme="majorEastAsia"/>
        </w:rPr>
      </w:pPr>
      <w:r w:rsidRPr="000E7745">
        <w:rPr>
          <w:color w:val="000000" w:themeColor="text1"/>
        </w:rPr>
        <w:t xml:space="preserve">maintain records </w:t>
      </w:r>
      <w:r w:rsidRPr="000E7745" w:rsidR="005F7BF9">
        <w:t>so that parties relying on an exemption can demonstrate, and the Department can verify, compliance with the conditions of the exemption</w:t>
      </w:r>
      <w:r w:rsidRPr="000E7745">
        <w:rPr>
          <w:color w:val="000000" w:themeColor="text1"/>
        </w:rPr>
        <w:t>.</w:t>
      </w:r>
      <w:r w:rsidR="009C7814">
        <w:rPr>
          <w:color w:val="000000" w:themeColor="text1"/>
        </w:rPr>
        <w:t xml:space="preserve"> </w:t>
      </w:r>
    </w:p>
    <w:p w:rsidR="003E12D9" w:rsidP="0003285A" w14:paraId="680284F4" w14:textId="22C67791">
      <w:pPr>
        <w:ind w:left="720"/>
        <w:rPr>
          <w:rFonts w:eastAsiaTheme="majorEastAsia"/>
        </w:rPr>
      </w:pPr>
    </w:p>
    <w:p w:rsidR="00CE02CF" w:rsidP="42B90B66" w14:paraId="37B0D845" w14:textId="17CFFDE4">
      <w:pPr>
        <w:ind w:left="720"/>
        <w:rPr>
          <w:rFonts w:eastAsiaTheme="majorEastAsia"/>
        </w:rPr>
      </w:pPr>
      <w:r w:rsidRPr="42B90B66">
        <w:rPr>
          <w:rFonts w:eastAsiaTheme="majorEastAsia"/>
        </w:rPr>
        <w:t xml:space="preserve">The Department notes that more parties may rely on amended PTE 2020-02, </w:t>
      </w:r>
      <w:r w:rsidRPr="42B90B66" w:rsidR="00A27D3F">
        <w:rPr>
          <w:rFonts w:eastAsiaTheme="majorEastAsia"/>
        </w:rPr>
        <w:t>due</w:t>
      </w:r>
      <w:r w:rsidRPr="42B90B66">
        <w:rPr>
          <w:rFonts w:eastAsiaTheme="majorEastAsia"/>
        </w:rPr>
        <w:t xml:space="preserve"> to the</w:t>
      </w:r>
      <w:r w:rsidRPr="42B90B66" w:rsidR="7A477729">
        <w:rPr>
          <w:rFonts w:eastAsiaTheme="majorEastAsia"/>
        </w:rPr>
        <w:t xml:space="preserve"> </w:t>
      </w:r>
      <w:r w:rsidR="7A477729">
        <w:t>Retirement Security Rule: Definition of an Investment Advice Fiduciary</w:t>
      </w:r>
      <w:r w:rsidR="4703468E">
        <w:t xml:space="preserve"> (the Rule)</w:t>
      </w:r>
      <w:r w:rsidR="7A477729">
        <w:t>, which amends the</w:t>
      </w:r>
      <w:r w:rsidR="00B17976">
        <w:rPr>
          <w:rFonts w:eastAsiaTheme="majorEastAsia"/>
        </w:rPr>
        <w:t xml:space="preserve"> </w:t>
      </w:r>
      <w:r w:rsidRPr="42B90B66">
        <w:rPr>
          <w:rFonts w:eastAsiaTheme="majorEastAsia"/>
        </w:rPr>
        <w:t xml:space="preserve">definition of “fiduciary investment advice.” </w:t>
      </w:r>
      <w:r w:rsidRPr="42B90B66" w:rsidR="1D305744">
        <w:rPr>
          <w:rFonts w:eastAsiaTheme="majorEastAsia"/>
        </w:rPr>
        <w:t xml:space="preserve">In this regard, </w:t>
      </w:r>
      <w:r w:rsidRPr="42B90B66" w:rsidR="51A20EB3">
        <w:rPr>
          <w:rFonts w:eastAsiaTheme="majorEastAsia"/>
        </w:rPr>
        <w:t>p</w:t>
      </w:r>
      <w:r w:rsidRPr="42B90B66">
        <w:rPr>
          <w:rFonts w:eastAsiaTheme="majorEastAsia"/>
        </w:rPr>
        <w:t>arties that</w:t>
      </w:r>
      <w:r w:rsidRPr="42B90B66" w:rsidR="00EA2A06">
        <w:rPr>
          <w:rFonts w:eastAsiaTheme="majorEastAsia"/>
        </w:rPr>
        <w:t xml:space="preserve"> </w:t>
      </w:r>
      <w:r w:rsidRPr="42B90B66" w:rsidR="00FD539F">
        <w:rPr>
          <w:rFonts w:eastAsiaTheme="majorEastAsia"/>
        </w:rPr>
        <w:t>may</w:t>
      </w:r>
      <w:r w:rsidRPr="42B90B66">
        <w:rPr>
          <w:rFonts w:eastAsiaTheme="majorEastAsia"/>
        </w:rPr>
        <w:t xml:space="preserve"> have not been fiduciaries under </w:t>
      </w:r>
      <w:r w:rsidRPr="42B90B66" w:rsidR="6D332660">
        <w:rPr>
          <w:rFonts w:eastAsiaTheme="majorEastAsia"/>
        </w:rPr>
        <w:t>the predecesso</w:t>
      </w:r>
      <w:r w:rsidRPr="42B90B66" w:rsidR="72A5B28B">
        <w:rPr>
          <w:rFonts w:eastAsiaTheme="majorEastAsia"/>
        </w:rPr>
        <w:t>r</w:t>
      </w:r>
      <w:r w:rsidR="00B17976">
        <w:rPr>
          <w:rFonts w:eastAsiaTheme="majorEastAsia"/>
        </w:rPr>
        <w:t xml:space="preserve"> </w:t>
      </w:r>
      <w:r w:rsidRPr="42B90B66">
        <w:rPr>
          <w:rFonts w:eastAsiaTheme="majorEastAsia"/>
        </w:rPr>
        <w:t xml:space="preserve">five-part test may </w:t>
      </w:r>
      <w:r w:rsidRPr="42B90B66" w:rsidR="4FF3DA1B">
        <w:rPr>
          <w:rFonts w:eastAsiaTheme="majorEastAsia"/>
        </w:rPr>
        <w:t xml:space="preserve">now </w:t>
      </w:r>
      <w:r w:rsidRPr="42B90B66">
        <w:rPr>
          <w:rFonts w:eastAsiaTheme="majorEastAsia"/>
        </w:rPr>
        <w:t xml:space="preserve">become fiduciaries </w:t>
      </w:r>
      <w:r w:rsidRPr="42B90B66" w:rsidR="0B29C4D5">
        <w:rPr>
          <w:rFonts w:eastAsiaTheme="majorEastAsia"/>
        </w:rPr>
        <w:t>to the extent they provide investment advice</w:t>
      </w:r>
      <w:r w:rsidRPr="42B90B66" w:rsidR="1F34F864">
        <w:rPr>
          <w:rFonts w:eastAsiaTheme="majorEastAsia"/>
        </w:rPr>
        <w:t xml:space="preserve"> </w:t>
      </w:r>
      <w:r w:rsidRPr="42B90B66" w:rsidR="5991A9F7">
        <w:rPr>
          <w:rFonts w:eastAsiaTheme="majorEastAsia"/>
        </w:rPr>
        <w:t>under the Rule</w:t>
      </w:r>
      <w:r w:rsidRPr="42B90B66">
        <w:rPr>
          <w:rFonts w:eastAsiaTheme="majorEastAsia"/>
        </w:rPr>
        <w:t>. In addition</w:t>
      </w:r>
      <w:r w:rsidRPr="42B90B66" w:rsidR="41BD0D51">
        <w:rPr>
          <w:rFonts w:eastAsiaTheme="majorEastAsia"/>
        </w:rPr>
        <w:t xml:space="preserve"> to the Rule and </w:t>
      </w:r>
      <w:r w:rsidRPr="42B90B66" w:rsidR="56F963F5">
        <w:rPr>
          <w:rFonts w:eastAsiaTheme="majorEastAsia"/>
        </w:rPr>
        <w:t xml:space="preserve">final </w:t>
      </w:r>
      <w:r w:rsidRPr="42B90B66" w:rsidR="41BD0D51">
        <w:rPr>
          <w:rFonts w:eastAsiaTheme="majorEastAsia"/>
        </w:rPr>
        <w:t>amend</w:t>
      </w:r>
      <w:r w:rsidRPr="42B90B66" w:rsidR="21EF6576">
        <w:rPr>
          <w:rFonts w:eastAsiaTheme="majorEastAsia"/>
        </w:rPr>
        <w:t>ment</w:t>
      </w:r>
      <w:r w:rsidRPr="42B90B66" w:rsidR="41BD0D51">
        <w:rPr>
          <w:rFonts w:eastAsiaTheme="majorEastAsia"/>
        </w:rPr>
        <w:t xml:space="preserve"> </w:t>
      </w:r>
      <w:r w:rsidRPr="42B90B66" w:rsidR="180552A9">
        <w:rPr>
          <w:rFonts w:eastAsiaTheme="majorEastAsia"/>
        </w:rPr>
        <w:t xml:space="preserve">to </w:t>
      </w:r>
      <w:r w:rsidRPr="42B90B66" w:rsidR="41BD0D51">
        <w:rPr>
          <w:rFonts w:eastAsiaTheme="majorEastAsia"/>
        </w:rPr>
        <w:t>PTE 2020-02</w:t>
      </w:r>
      <w:r w:rsidRPr="42B90B66">
        <w:rPr>
          <w:rFonts w:eastAsiaTheme="majorEastAsia"/>
        </w:rPr>
        <w:t>, the Department is amend</w:t>
      </w:r>
      <w:r w:rsidRPr="42B90B66" w:rsidR="003C5984">
        <w:rPr>
          <w:rFonts w:eastAsiaTheme="majorEastAsia"/>
        </w:rPr>
        <w:t>ing</w:t>
      </w:r>
      <w:r w:rsidRPr="42B90B66">
        <w:rPr>
          <w:rFonts w:eastAsiaTheme="majorEastAsia"/>
        </w:rPr>
        <w:t xml:space="preserve"> other class prohibited transaction exemptions </w:t>
      </w:r>
      <w:r w:rsidR="00CA6188">
        <w:rPr>
          <w:rFonts w:eastAsiaTheme="majorEastAsia"/>
        </w:rPr>
        <w:t>to e</w:t>
      </w:r>
      <w:r w:rsidRPr="00CA6188" w:rsidR="00CA6188">
        <w:rPr>
          <w:rFonts w:eastAsiaTheme="majorEastAsia"/>
        </w:rPr>
        <w:t>xclude the receipt of compensation as a result of the provision of investment advice</w:t>
      </w:r>
      <w:r w:rsidRPr="42B90B66">
        <w:rPr>
          <w:rFonts w:eastAsiaTheme="majorEastAsia"/>
        </w:rPr>
        <w:t>.</w:t>
      </w:r>
      <w:r w:rsidRPr="42B90B66" w:rsidR="009C7814">
        <w:rPr>
          <w:rFonts w:eastAsiaTheme="majorEastAsia"/>
        </w:rPr>
        <w:t xml:space="preserve"> </w:t>
      </w:r>
      <w:r w:rsidRPr="42B90B66">
        <w:rPr>
          <w:rFonts w:eastAsiaTheme="majorEastAsia"/>
        </w:rPr>
        <w:t xml:space="preserve">Parties that have been relying on those exemptions may </w:t>
      </w:r>
      <w:r w:rsidRPr="42B90B66" w:rsidR="004C10AB">
        <w:rPr>
          <w:rFonts w:eastAsiaTheme="majorEastAsia"/>
        </w:rPr>
        <w:t xml:space="preserve">need </w:t>
      </w:r>
      <w:r w:rsidRPr="42B90B66">
        <w:rPr>
          <w:rFonts w:eastAsiaTheme="majorEastAsia"/>
        </w:rPr>
        <w:t xml:space="preserve">to </w:t>
      </w:r>
      <w:r w:rsidRPr="42B90B66" w:rsidR="5DE3D8FB">
        <w:rPr>
          <w:rFonts w:eastAsiaTheme="majorEastAsia"/>
        </w:rPr>
        <w:t xml:space="preserve">now </w:t>
      </w:r>
      <w:r w:rsidRPr="42B90B66">
        <w:rPr>
          <w:rFonts w:eastAsiaTheme="majorEastAsia"/>
        </w:rPr>
        <w:t>comply with amended PTE 2020-02 instead.</w:t>
      </w:r>
    </w:p>
    <w:p w:rsidR="00CE02CF" w:rsidRPr="000E7745" w:rsidP="008F7870" w14:paraId="719E3AF8" w14:textId="77777777">
      <w:pPr>
        <w:ind w:left="720"/>
        <w:rPr>
          <w:rFonts w:eastAsiaTheme="majorEastAsia"/>
        </w:rPr>
      </w:pPr>
    </w:p>
    <w:p w:rsidR="006E3A4D" w:rsidP="0003285A" w14:paraId="4D849AF1" w14:textId="48D14028">
      <w:pPr>
        <w:ind w:left="720"/>
      </w:pPr>
      <w:r w:rsidRPr="0E2C5C4E">
        <w:rPr>
          <w:rFonts w:eastAsiaTheme="majorEastAsia"/>
        </w:rPr>
        <w:t xml:space="preserve">The </w:t>
      </w:r>
      <w:r w:rsidRPr="0E2C5C4E" w:rsidR="1311D9A4">
        <w:rPr>
          <w:rFonts w:eastAsiaTheme="majorEastAsia"/>
        </w:rPr>
        <w:t xml:space="preserve">final </w:t>
      </w:r>
      <w:r w:rsidRPr="0E2C5C4E">
        <w:rPr>
          <w:rFonts w:eastAsiaTheme="majorEastAsia"/>
        </w:rPr>
        <w:t>amendment</w:t>
      </w:r>
      <w:r w:rsidRPr="0E2C5C4E" w:rsidR="17887F0A">
        <w:rPr>
          <w:rFonts w:eastAsiaTheme="majorEastAsia"/>
        </w:rPr>
        <w:t xml:space="preserve"> to P</w:t>
      </w:r>
      <w:r w:rsidRPr="0E2C5C4E" w:rsidR="13F61D9D">
        <w:rPr>
          <w:rFonts w:eastAsiaTheme="majorEastAsia"/>
        </w:rPr>
        <w:t>T</w:t>
      </w:r>
      <w:r w:rsidRPr="0E2C5C4E" w:rsidR="17887F0A">
        <w:rPr>
          <w:rFonts w:eastAsiaTheme="majorEastAsia"/>
        </w:rPr>
        <w:t>E 2020-02</w:t>
      </w:r>
      <w:r w:rsidRPr="0E2C5C4E">
        <w:rPr>
          <w:rFonts w:eastAsiaTheme="majorEastAsia"/>
        </w:rPr>
        <w:t xml:space="preserve"> </w:t>
      </w:r>
      <w:r w:rsidR="00D02846">
        <w:rPr>
          <w:rFonts w:eastAsiaTheme="majorEastAsia"/>
        </w:rPr>
        <w:t>includes</w:t>
      </w:r>
      <w:r w:rsidR="00B2075F">
        <w:rPr>
          <w:rFonts w:eastAsiaTheme="majorEastAsia"/>
        </w:rPr>
        <w:t xml:space="preserve"> new</w:t>
      </w:r>
      <w:r w:rsidRPr="0E2C5C4E">
        <w:rPr>
          <w:rFonts w:eastAsiaTheme="majorEastAsia"/>
        </w:rPr>
        <w:t xml:space="preserve"> disclosure </w:t>
      </w:r>
      <w:r w:rsidRPr="0E2C5C4E" w:rsidR="3E176146">
        <w:rPr>
          <w:rFonts w:eastAsiaTheme="majorEastAsia"/>
        </w:rPr>
        <w:t>condition</w:t>
      </w:r>
      <w:r w:rsidR="002874C3">
        <w:rPr>
          <w:rFonts w:eastAsiaTheme="majorEastAsia"/>
        </w:rPr>
        <w:t>s</w:t>
      </w:r>
      <w:r w:rsidRPr="0E2C5C4E">
        <w:rPr>
          <w:rFonts w:eastAsiaTheme="majorEastAsia"/>
        </w:rPr>
        <w:t xml:space="preserve"> that </w:t>
      </w:r>
      <w:r w:rsidRPr="0E2C5C4E" w:rsidR="003C5C92">
        <w:rPr>
          <w:rFonts w:eastAsiaTheme="majorEastAsia"/>
        </w:rPr>
        <w:t xml:space="preserve">will require </w:t>
      </w:r>
      <w:r>
        <w:t>Financial Institution</w:t>
      </w:r>
      <w:r w:rsidR="138DCBFB">
        <w:t>s</w:t>
      </w:r>
      <w:r>
        <w:t xml:space="preserve"> to provide a written statement of the Care Obligation and Loyalty Obligation owed by the Investment Professional and Financial Institution to the Retirement Investor. </w:t>
      </w:r>
    </w:p>
    <w:p w:rsidR="00752450" w:rsidP="0003285A" w14:paraId="00605EA5" w14:textId="77777777">
      <w:pPr>
        <w:ind w:left="720"/>
      </w:pPr>
    </w:p>
    <w:p w:rsidR="00C87E97" w:rsidP="002874C3" w14:paraId="68C82BB4" w14:textId="34110B74">
      <w:pPr>
        <w:ind w:left="720"/>
      </w:pPr>
      <w:r>
        <w:t xml:space="preserve">The </w:t>
      </w:r>
      <w:r w:rsidR="58F0C385">
        <w:t xml:space="preserve">final </w:t>
      </w:r>
      <w:r>
        <w:t xml:space="preserve">amendment </w:t>
      </w:r>
      <w:r w:rsidR="004F5835">
        <w:t xml:space="preserve">also </w:t>
      </w:r>
      <w:r w:rsidR="005A4EAC">
        <w:t>make</w:t>
      </w:r>
      <w:r w:rsidR="12923B4D">
        <w:t>s</w:t>
      </w:r>
      <w:r w:rsidR="005A4EAC">
        <w:t xml:space="preserve"> </w:t>
      </w:r>
      <w:r w:rsidR="71D272B4">
        <w:t xml:space="preserve">certain </w:t>
      </w:r>
      <w:r w:rsidR="005A4EAC">
        <w:t>changes to</w:t>
      </w:r>
      <w:r w:rsidR="0047485C">
        <w:t xml:space="preserve"> the </w:t>
      </w:r>
      <w:r w:rsidR="58F9AF7E">
        <w:t xml:space="preserve">Financial Institution's </w:t>
      </w:r>
      <w:r w:rsidR="003E1E3B">
        <w:t>require</w:t>
      </w:r>
      <w:r w:rsidR="7C9D734D">
        <w:t>d</w:t>
      </w:r>
      <w:r w:rsidR="003E1E3B">
        <w:t xml:space="preserve"> written description of </w:t>
      </w:r>
      <w:r w:rsidR="73BC42C1">
        <w:t>its</w:t>
      </w:r>
      <w:r w:rsidR="003E1E3B">
        <w:t xml:space="preserve"> services</w:t>
      </w:r>
      <w:r w:rsidR="005A4EAC">
        <w:t xml:space="preserve"> under the exemption. </w:t>
      </w:r>
      <w:r w:rsidR="00E77979">
        <w:t xml:space="preserve">As amended, </w:t>
      </w:r>
      <w:r w:rsidR="00692CFE">
        <w:t>the Financial Institution must disclose in writing all material facts relating to the scope and terms of the relationship with the Retirement Investor</w:t>
      </w:r>
      <w:r w:rsidR="001013C0">
        <w:t>. This disclosure is based on the SEC’s Regulation Best Interest disclosures</w:t>
      </w:r>
      <w:r w:rsidR="00073446">
        <w:t xml:space="preserve"> and </w:t>
      </w:r>
      <w:r w:rsidR="001013C0">
        <w:t>ensure</w:t>
      </w:r>
      <w:r w:rsidR="00073446">
        <w:t>s</w:t>
      </w:r>
      <w:r w:rsidR="001013C0">
        <w:t xml:space="preserve"> that Retirement Investors receive critical information that they need to make informed investment decisions.</w:t>
      </w:r>
    </w:p>
    <w:p w:rsidR="00E511BE" w:rsidP="0003285A" w14:paraId="64BECF54" w14:textId="28197800">
      <w:pPr>
        <w:contextualSpacing/>
      </w:pPr>
    </w:p>
    <w:p w:rsidR="00E511BE" w:rsidRPr="00156E88" w:rsidP="008F7870" w14:paraId="741D7296" w14:textId="462A73B7">
      <w:pPr>
        <w:pStyle w:val="Heading2"/>
      </w:pPr>
      <w:r w:rsidRPr="00156E88">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9C7814">
        <w:t xml:space="preserve"> </w:t>
      </w:r>
      <w:r w:rsidRPr="00156E88">
        <w:t>Also describe any consideration for using information technology to reduce burden.</w:t>
      </w:r>
    </w:p>
    <w:p w:rsidR="00F27260" w:rsidRPr="00156E88" w:rsidP="0003285A" w14:paraId="17D7B7E8" w14:textId="77777777">
      <w:pPr>
        <w:pStyle w:val="ListParagraph"/>
        <w:ind w:left="1080"/>
      </w:pPr>
    </w:p>
    <w:p w:rsidR="00EA5341" w:rsidRPr="008D15AA" w:rsidP="00EA5341" w14:paraId="38F36852" w14:textId="77777777">
      <w:pPr>
        <w:ind w:left="720"/>
        <w:contextualSpacing/>
      </w:pPr>
      <w:r w:rsidRPr="008D15AA">
        <w:t>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w:t>
      </w:r>
      <w:r>
        <w:t xml:space="preserve"> </w:t>
      </w:r>
      <w:r w:rsidRPr="008D15AA">
        <w:t>Section 2520.104b-1(c) establishes the manner in which disclosures under Title I of ERISA made through electronic media will be deemed to satisfy the requirement of § 2520.104b-1(b).</w:t>
      </w:r>
      <w:r>
        <w:t xml:space="preserve"> </w:t>
      </w:r>
      <w:r w:rsidRPr="008D15AA">
        <w:t>Section 2520-107-1 establishes standards concerning the use of electronic media for maintenance and retention of records.</w:t>
      </w:r>
      <w:r>
        <w:t xml:space="preserve"> </w:t>
      </w:r>
      <w:r w:rsidRPr="008D15AA">
        <w:t>Under these rules, all pension and welfare plans covered under Title I of ERISA may use electronic media to satisfy disclosure and recordkeeping obligations, subject to specific safeguards.</w:t>
      </w:r>
    </w:p>
    <w:p w:rsidR="00EA5341" w:rsidRPr="008D15AA" w:rsidP="00EA5341" w14:paraId="6CF5E5EE" w14:textId="77777777">
      <w:pPr>
        <w:ind w:left="720" w:hanging="720"/>
        <w:contextualSpacing/>
      </w:pPr>
    </w:p>
    <w:p w:rsidR="00704F34" w:rsidP="00271326" w14:paraId="367ADF3C" w14:textId="6DAEF5CF">
      <w:pPr>
        <w:ind w:left="720"/>
      </w:pPr>
      <w:r>
        <w:t>T</w:t>
      </w:r>
      <w:r w:rsidRPr="00AB314C">
        <w:t xml:space="preserve">he disclosures under the </w:t>
      </w:r>
      <w:r w:rsidR="00A13754">
        <w:t>final</w:t>
      </w:r>
      <w:r w:rsidRPr="00AB314C" w:rsidR="00A13754">
        <w:t xml:space="preserve"> </w:t>
      </w:r>
      <w:r w:rsidRPr="00AB314C">
        <w:t xml:space="preserve">amendment are coming from investment advice fiduciaries. The Department does not have information on how many </w:t>
      </w:r>
      <w:r w:rsidR="00AF4AF3">
        <w:t xml:space="preserve">Retirement </w:t>
      </w:r>
      <w:r w:rsidR="00AF4AF3">
        <w:t>Investor</w:t>
      </w:r>
      <w:r w:rsidRPr="00AB314C" w:rsidR="00EA2A06">
        <w:t>s</w:t>
      </w:r>
      <w:r w:rsidRPr="00AB314C">
        <w:t xml:space="preserve">, including </w:t>
      </w:r>
      <w:r w:rsidR="00A60913">
        <w:t>P</w:t>
      </w:r>
      <w:r w:rsidRPr="00AB314C">
        <w:t xml:space="preserve">lan beneficiaries and participants and IRA owners, receive disclosures electronically from investment advice fiduciaries. </w:t>
      </w:r>
    </w:p>
    <w:p w:rsidR="00704F34" w:rsidP="00271326" w14:paraId="192D2740" w14:textId="77777777">
      <w:pPr>
        <w:ind w:left="720"/>
      </w:pPr>
    </w:p>
    <w:p w:rsidR="00704F34" w:rsidP="00906591" w14:paraId="40F64376" w14:textId="13267C7C">
      <w:pPr>
        <w:widowControl w:val="0"/>
        <w:tabs>
          <w:tab w:val="left" w:pos="900"/>
        </w:tabs>
        <w:ind w:left="720"/>
      </w:pPr>
      <w:r>
        <w:t xml:space="preserve">For the purposes of this analysis, the Department assumes that the percent of Retirement Investors who are in employment-based </w:t>
      </w:r>
      <w:r w:rsidR="00991924">
        <w:t>P</w:t>
      </w:r>
      <w:r>
        <w:t xml:space="preserve">lans receiving electronic disclosures </w:t>
      </w:r>
      <w:r w:rsidR="0004388D">
        <w:t>will</w:t>
      </w:r>
      <w:r>
        <w:t xml:space="preserve"> be similar to the percent of </w:t>
      </w:r>
      <w:r w:rsidR="00A56515">
        <w:t>P</w:t>
      </w:r>
      <w:r>
        <w:t>lan participants receiving electronic disclosures under the Department’s 2002 and 2020 electronic disclosure safe harbors.</w:t>
      </w:r>
      <w:r>
        <w:rPr>
          <w:vertAlign w:val="superscript"/>
        </w:rPr>
        <w:footnoteReference w:id="5"/>
      </w:r>
      <w:r>
        <w:t xml:space="preserve"> Accordingly, the Department estimates that 96.1 percent of the disclosures sent to Retirement Investors will be sent electronically, and the remaining 3.9 percent will be sent by mail.</w:t>
      </w:r>
      <w:r>
        <w:rPr>
          <w:vertAlign w:val="superscript"/>
        </w:rPr>
        <w:footnoteReference w:id="6"/>
      </w:r>
      <w:r>
        <w:t xml:space="preserve"> </w:t>
      </w:r>
    </w:p>
    <w:p w:rsidR="00271326" w:rsidRPr="00AB314C" w:rsidP="00271326" w14:paraId="62DBB422" w14:textId="4C131070">
      <w:pPr>
        <w:ind w:left="720"/>
      </w:pPr>
    </w:p>
    <w:p w:rsidR="00D25E6F" w:rsidP="00906591" w14:paraId="0FD9105C" w14:textId="5CB2D341">
      <w:pPr>
        <w:widowControl w:val="0"/>
        <w:tabs>
          <w:tab w:val="left" w:pos="900"/>
        </w:tabs>
        <w:ind w:left="720"/>
      </w:pPr>
      <w:r>
        <w:t>Further, the Department assumes that approximately 72 percent of IRA owners will receive disclosures electronically.</w:t>
      </w:r>
      <w:r>
        <w:rPr>
          <w:rStyle w:val="FootnoteReference"/>
        </w:rPr>
        <w:footnoteReference w:id="7"/>
      </w:r>
      <w:r>
        <w:t xml:space="preserve"> </w:t>
      </w:r>
    </w:p>
    <w:p w:rsidR="00D3037D" w:rsidP="0003285A" w14:paraId="2E7EE86B" w14:textId="77777777">
      <w:pPr>
        <w:ind w:left="360"/>
        <w:contextualSpacing/>
      </w:pPr>
    </w:p>
    <w:p w:rsidR="00617A8B" w:rsidRPr="00156E88" w:rsidP="008F7870" w14:paraId="5532F279" w14:textId="64B8D211">
      <w:pPr>
        <w:pStyle w:val="Heading2"/>
      </w:pPr>
      <w:r w:rsidRPr="00156E88">
        <w:t>Describe efforts to identify duplication.</w:t>
      </w:r>
      <w:r w:rsidR="009C7814">
        <w:t xml:space="preserve"> </w:t>
      </w:r>
      <w:r w:rsidRPr="00156E88">
        <w:t>Show specifically why similar information already available cannot be used or modified for use for the purposes described in Item 2 above.</w:t>
      </w:r>
    </w:p>
    <w:p w:rsidR="005F7BF9" w:rsidRPr="00156E88" w:rsidP="0003285A" w14:paraId="7935F89C" w14:textId="77777777">
      <w:pPr>
        <w:ind w:left="720"/>
        <w:contextualSpacing/>
      </w:pPr>
    </w:p>
    <w:p w:rsidR="005F7BF9" w:rsidP="0003285A" w14:paraId="14F25501" w14:textId="4DE03461">
      <w:pPr>
        <w:ind w:left="720"/>
        <w:contextualSpacing/>
      </w:pPr>
      <w:r w:rsidRPr="00156E88">
        <w:t>T</w:t>
      </w:r>
      <w:r w:rsidRPr="00156E88" w:rsidR="00F958B6">
        <w:t xml:space="preserve">he </w:t>
      </w:r>
      <w:r w:rsidRPr="00156E88" w:rsidR="00C85794">
        <w:rPr>
          <w:rFonts w:eastAsia="Calibri"/>
        </w:rPr>
        <w:t xml:space="preserve">ERISA and Code rules governing advice on the investment of retirement assets overlap with SEC rules that govern the conduct of </w:t>
      </w:r>
      <w:r w:rsidR="00FD4980">
        <w:rPr>
          <w:rFonts w:eastAsia="Calibri"/>
        </w:rPr>
        <w:t>investment advisers</w:t>
      </w:r>
      <w:r w:rsidRPr="00156E88" w:rsidR="00FD4980">
        <w:rPr>
          <w:rFonts w:eastAsia="Calibri"/>
        </w:rPr>
        <w:t xml:space="preserve"> </w:t>
      </w:r>
      <w:r w:rsidRPr="00156E88" w:rsidR="00C85794">
        <w:rPr>
          <w:rFonts w:eastAsia="Calibri"/>
        </w:rPr>
        <w:t>and</w:t>
      </w:r>
      <w:r w:rsidR="00FD4980">
        <w:rPr>
          <w:rFonts w:eastAsia="Calibri"/>
        </w:rPr>
        <w:t xml:space="preserve"> broker-dealers</w:t>
      </w:r>
      <w:r w:rsidRPr="00156E88" w:rsidR="00C85794">
        <w:rPr>
          <w:rFonts w:eastAsia="Calibri"/>
        </w:rPr>
        <w:t xml:space="preserve"> who advise retail investors.</w:t>
      </w:r>
      <w:r w:rsidR="009C7814">
        <w:rPr>
          <w:rFonts w:eastAsia="Calibri"/>
        </w:rPr>
        <w:t xml:space="preserve"> </w:t>
      </w:r>
      <w:r w:rsidRPr="00156E88" w:rsidR="00C85794">
        <w:rPr>
          <w:rFonts w:eastAsia="Calibri"/>
        </w:rPr>
        <w:t>The Department considered conduct standards set by other regulators</w:t>
      </w:r>
      <w:r w:rsidR="00266303">
        <w:t xml:space="preserve"> —</w:t>
      </w:r>
      <w:r w:rsidRPr="001A76C9" w:rsidR="00266303">
        <w:t xml:space="preserve"> </w:t>
      </w:r>
      <w:r w:rsidRPr="00156E88" w:rsidR="00C85794">
        <w:rPr>
          <w:rFonts w:eastAsia="Calibri"/>
        </w:rPr>
        <w:t>such as SEC, NAIC, and FINRA</w:t>
      </w:r>
      <w:r w:rsidR="00266303">
        <w:t xml:space="preserve"> —</w:t>
      </w:r>
      <w:r w:rsidRPr="00156E88" w:rsidR="00C85794">
        <w:rPr>
          <w:rFonts w:eastAsia="Calibri"/>
        </w:rPr>
        <w:t xml:space="preserve"> in developing the exemption, with the goal of avoiding overlapping or duplicative requirements.</w:t>
      </w:r>
      <w:r w:rsidR="009C7814">
        <w:rPr>
          <w:rFonts w:eastAsia="Calibri"/>
        </w:rPr>
        <w:t xml:space="preserve"> </w:t>
      </w:r>
      <w:r w:rsidRPr="00156E88">
        <w:t>To the extent the requirements overlap</w:t>
      </w:r>
      <w:r w:rsidR="000978BD">
        <w:t xml:space="preserve"> with other regulators’ standards</w:t>
      </w:r>
      <w:r w:rsidRPr="00156E88">
        <w:t>, compliance with the other disclosure or recordkeeping requirements can be used to satisfy the exemption conditions</w:t>
      </w:r>
      <w:r w:rsidRPr="00156E88" w:rsidR="004646D6">
        <w:rPr>
          <w:rFonts w:eastAsia="Calibri"/>
        </w:rPr>
        <w:t>.</w:t>
      </w:r>
      <w:r w:rsidR="009C7814">
        <w:rPr>
          <w:rFonts w:eastAsia="Calibri"/>
        </w:rPr>
        <w:t xml:space="preserve"> </w:t>
      </w:r>
      <w:r w:rsidRPr="00156E88" w:rsidR="008731A3">
        <w:t xml:space="preserve">In this regard, there is no duplicate requirements because entities are able to satisfy the requirements of both this exemption and of the </w:t>
      </w:r>
      <w:r w:rsidR="004F65F0">
        <w:t xml:space="preserve">requirement </w:t>
      </w:r>
      <w:r w:rsidRPr="00156E88" w:rsidR="008731A3">
        <w:t xml:space="preserve">other </w:t>
      </w:r>
      <w:r w:rsidR="004F65F0">
        <w:t>regulators</w:t>
      </w:r>
      <w:r w:rsidRPr="00156E88" w:rsidR="008731A3">
        <w:t>.</w:t>
      </w:r>
    </w:p>
    <w:p w:rsidR="000E1A9D" w:rsidP="0003285A" w14:paraId="435E7B07" w14:textId="77777777">
      <w:pPr>
        <w:ind w:left="360"/>
        <w:contextualSpacing/>
      </w:pPr>
    </w:p>
    <w:p w:rsidR="000E1A9D" w:rsidRPr="00156E88" w:rsidP="008F7870" w14:paraId="40D4216D" w14:textId="53A48A88">
      <w:pPr>
        <w:pStyle w:val="Heading2"/>
      </w:pPr>
      <w:r w:rsidRPr="00156E88">
        <w:t>If the collection of information impacts small businesses or other small entities, describe any methods used to minimize burden.</w:t>
      </w:r>
    </w:p>
    <w:p w:rsidR="00617A8B" w:rsidRPr="00156E88" w:rsidP="0003285A" w14:paraId="222708F1" w14:textId="25133355">
      <w:pPr>
        <w:ind w:left="360"/>
        <w:contextualSpacing/>
      </w:pPr>
    </w:p>
    <w:p w:rsidR="000E1A9D" w:rsidP="0003285A" w14:paraId="6CA50A75" w14:textId="2D4644C2">
      <w:pPr>
        <w:ind w:left="720"/>
        <w:contextualSpacing/>
      </w:pPr>
      <w:r w:rsidRPr="00156E88">
        <w:t xml:space="preserve">It is necessary for the information collection to apply equally to large and small entities to ensure that participants and beneficiaries and IRA owners are protected when their </w:t>
      </w:r>
      <w:r w:rsidR="00991924">
        <w:t>P</w:t>
      </w:r>
      <w:r w:rsidRPr="00156E88">
        <w:t>lans and IRAs engage in transactions that otherwise would be prohibited under ERISA and the Code.</w:t>
      </w:r>
      <w:r w:rsidR="009C7814">
        <w:t xml:space="preserve"> </w:t>
      </w:r>
      <w:r w:rsidRPr="00156E88">
        <w:t>However, b</w:t>
      </w:r>
      <w:r w:rsidRPr="00156E88" w:rsidR="00285D4E">
        <w:t xml:space="preserve">ecause smaller entities generally have less complex business practices </w:t>
      </w:r>
      <w:r w:rsidRPr="00156E88" w:rsidR="00285D4E">
        <w:t xml:space="preserve">and arrangements than their larger counterparts, it likely </w:t>
      </w:r>
      <w:r w:rsidRPr="00156E88" w:rsidR="0012486A">
        <w:t xml:space="preserve">will </w:t>
      </w:r>
      <w:r w:rsidRPr="00156E88" w:rsidR="00285D4E">
        <w:t>cost less for them to comply with the exemption.</w:t>
      </w:r>
    </w:p>
    <w:p w:rsidR="003577F3" w:rsidP="0003285A" w14:paraId="472EEFC4" w14:textId="77777777">
      <w:pPr>
        <w:ind w:left="720"/>
        <w:contextualSpacing/>
      </w:pPr>
    </w:p>
    <w:p w:rsidR="003577F3" w:rsidP="003577F3" w14:paraId="76EE7DC7" w14:textId="75C87DA2">
      <w:pPr>
        <w:ind w:left="720"/>
        <w:contextualSpacing/>
      </w:pPr>
      <w:r>
        <w:t xml:space="preserve">The Department has attempted to minimize burden by focusing the information collection on information available </w:t>
      </w:r>
      <w:r w:rsidR="007F320A">
        <w:t xml:space="preserve">to </w:t>
      </w:r>
      <w:r>
        <w:t>the impacted entities. For instance, much of the information required in disclosures contain information that is likely readily available to many fiduciaries</w:t>
      </w:r>
      <w:r w:rsidR="0085656D">
        <w:t xml:space="preserve">. The Department has finalized </w:t>
      </w:r>
      <w:r w:rsidR="00FD20C6">
        <w:t xml:space="preserve">the </w:t>
      </w:r>
      <w:r w:rsidR="0085656D">
        <w:t xml:space="preserve">amendment </w:t>
      </w:r>
      <w:r w:rsidR="000A66F9">
        <w:t xml:space="preserve">to be more consistent with those required </w:t>
      </w:r>
      <w:r w:rsidR="00825E1F">
        <w:t>by the SEC, and the Department has provided model language</w:t>
      </w:r>
      <w:r w:rsidR="00157D0A">
        <w:t xml:space="preserve"> for more general disclosures.</w:t>
      </w:r>
      <w:r w:rsidRPr="008D15AA" w:rsidR="00EA2A06">
        <w:t xml:space="preserve"> </w:t>
      </w:r>
      <w:r w:rsidR="0085656D">
        <w:t>Additionally,</w:t>
      </w:r>
      <w:r w:rsidRPr="008D15AA">
        <w:t xml:space="preserve"> the recordkeeping requirement</w:t>
      </w:r>
      <w:r>
        <w:t>s</w:t>
      </w:r>
      <w:r w:rsidRPr="008D15AA">
        <w:t xml:space="preserve"> include records that are otherwise maintained in the normal co</w:t>
      </w:r>
      <w:r w:rsidR="008D06AB">
        <w:t>urse</w:t>
      </w:r>
      <w:r w:rsidRPr="008D15AA">
        <w:t xml:space="preserve"> of business.</w:t>
      </w:r>
      <w:r>
        <w:t xml:space="preserve"> </w:t>
      </w:r>
    </w:p>
    <w:p w:rsidR="002D303D" w:rsidP="0003285A" w14:paraId="70583CB7" w14:textId="77777777">
      <w:pPr>
        <w:ind w:left="360"/>
        <w:contextualSpacing/>
      </w:pPr>
    </w:p>
    <w:p w:rsidR="00E76A5A" w:rsidRPr="00156E88" w:rsidP="008F7870" w14:paraId="44E549EA" w14:textId="586EF859">
      <w:pPr>
        <w:pStyle w:val="Heading2"/>
      </w:pPr>
      <w:r w:rsidRPr="00156E88">
        <w:t>Describe the consequence to federal program or policy activities if the collection is not conducted or is conducted less frequently, as well as any technical or legal obstacles to reducing burden.</w:t>
      </w:r>
    </w:p>
    <w:p w:rsidR="005A55CF" w:rsidRPr="00156E88" w:rsidP="0003285A" w14:paraId="0E84D343" w14:textId="77777777">
      <w:pPr>
        <w:contextualSpacing/>
      </w:pPr>
    </w:p>
    <w:p w:rsidR="0030175F" w:rsidRPr="008D15AA" w:rsidP="0030175F" w14:paraId="51192BE8" w14:textId="3C46B5E8">
      <w:pPr>
        <w:ind w:left="720"/>
        <w:contextualSpacing/>
      </w:pPr>
      <w:r w:rsidRPr="008D15AA">
        <w:t>The requirements of this PTE are only mandatory if entities wish to utilize the class exemption.</w:t>
      </w:r>
      <w:r>
        <w:t xml:space="preserve"> </w:t>
      </w:r>
      <w:r w:rsidRPr="008D15AA">
        <w:t>The frequency of some of the information collections are dependent upon the occurrence of such transactions, not on a predetermined time period.</w:t>
      </w:r>
      <w:r>
        <w:t xml:space="preserve"> </w:t>
      </w:r>
    </w:p>
    <w:p w:rsidR="0030175F" w:rsidP="0003285A" w14:paraId="22082BF1" w14:textId="77777777">
      <w:pPr>
        <w:ind w:left="720"/>
        <w:contextualSpacing/>
      </w:pPr>
    </w:p>
    <w:p w:rsidR="00D93691" w:rsidP="0003285A" w14:paraId="1A3DA390" w14:textId="3B9D7116">
      <w:pPr>
        <w:ind w:left="720"/>
        <w:contextualSpacing/>
      </w:pPr>
      <w:r w:rsidRPr="00156E88">
        <w:t>The</w:t>
      </w:r>
      <w:r w:rsidRPr="00156E88" w:rsidR="001C70AA">
        <w:t xml:space="preserve"> disclosures</w:t>
      </w:r>
      <w:r w:rsidRPr="00156E88">
        <w:t xml:space="preserve">, </w:t>
      </w:r>
      <w:r w:rsidRPr="00156E88" w:rsidR="00526670">
        <w:t>policies</w:t>
      </w:r>
      <w:r w:rsidRPr="00156E88">
        <w:t xml:space="preserve"> and procedures, </w:t>
      </w:r>
      <w:r w:rsidRPr="00156E88" w:rsidR="001C70AA">
        <w:t xml:space="preserve">annual review reports and certifications, </w:t>
      </w:r>
      <w:r w:rsidRPr="00156E88">
        <w:t xml:space="preserve">and recordkeeping </w:t>
      </w:r>
      <w:r w:rsidRPr="00156E88" w:rsidR="00317A2F">
        <w:t xml:space="preserve">information collection </w:t>
      </w:r>
      <w:r w:rsidRPr="00156E88">
        <w:t xml:space="preserve">requirements are necessary </w:t>
      </w:r>
      <w:r w:rsidR="006754F9">
        <w:t>to</w:t>
      </w:r>
      <w:r w:rsidRPr="00156E88" w:rsidR="00317A2F">
        <w:t xml:space="preserve"> </w:t>
      </w:r>
      <w:r w:rsidRPr="00156E88">
        <w:t xml:space="preserve">ensure that the exemption </w:t>
      </w:r>
      <w:r w:rsidRPr="00156E88" w:rsidR="00317A2F">
        <w:t xml:space="preserve">conditions are </w:t>
      </w:r>
      <w:r w:rsidRPr="00156E88">
        <w:t xml:space="preserve">protective of the rights of </w:t>
      </w:r>
      <w:r w:rsidRPr="00156E88" w:rsidR="00C36C55">
        <w:t xml:space="preserve">Plan </w:t>
      </w:r>
      <w:r w:rsidRPr="00156E88">
        <w:t>participants and beneficiaries</w:t>
      </w:r>
      <w:r w:rsidRPr="00156E88" w:rsidR="00C36C55">
        <w:t xml:space="preserve"> and IRA owners,</w:t>
      </w:r>
      <w:r w:rsidRPr="00156E88">
        <w:t xml:space="preserve"> as required </w:t>
      </w:r>
      <w:r w:rsidRPr="00156E88" w:rsidR="00317A2F">
        <w:t xml:space="preserve">by </w:t>
      </w:r>
      <w:r w:rsidRPr="00156E88">
        <w:t>ERISA section 408(a) and Code section 4975(c)(2).</w:t>
      </w:r>
    </w:p>
    <w:p w:rsidR="002D6175" w:rsidP="0003285A" w14:paraId="5A469462" w14:textId="60B755C2">
      <w:pPr>
        <w:ind w:left="360"/>
        <w:contextualSpacing/>
      </w:pPr>
    </w:p>
    <w:p w:rsidR="002D6175" w:rsidRPr="00156E88" w:rsidP="008F7870" w14:paraId="06B4DD15" w14:textId="77777777">
      <w:pPr>
        <w:pStyle w:val="Heading2"/>
      </w:pPr>
      <w:r w:rsidRPr="00156E88">
        <w:t>Explain any special circumstances that would cause an information collection to be conducted in a manner:</w:t>
      </w:r>
    </w:p>
    <w:p w:rsidR="002D6175" w:rsidRPr="00156E88" w:rsidP="009B5635" w14:paraId="6392324A" w14:textId="77777777">
      <w:pPr>
        <w:numPr>
          <w:ilvl w:val="1"/>
          <w:numId w:val="1"/>
        </w:numPr>
        <w:ind w:left="1440"/>
        <w:contextualSpacing/>
        <w:rPr>
          <w:b/>
        </w:rPr>
      </w:pPr>
      <w:r w:rsidRPr="00156E88">
        <w:rPr>
          <w:b/>
        </w:rPr>
        <w:t xml:space="preserve">Requiring respondents to report information to the agency more often than </w:t>
      </w:r>
      <w:r w:rsidRPr="00156E88">
        <w:rPr>
          <w:b/>
        </w:rPr>
        <w:t>quarterly;</w:t>
      </w:r>
    </w:p>
    <w:p w:rsidR="002D6175" w:rsidRPr="00156E88" w:rsidP="009B5635" w14:paraId="7AA01B8B" w14:textId="77777777">
      <w:pPr>
        <w:numPr>
          <w:ilvl w:val="1"/>
          <w:numId w:val="1"/>
        </w:numPr>
        <w:ind w:left="1440"/>
        <w:contextualSpacing/>
        <w:rPr>
          <w:b/>
        </w:rPr>
      </w:pPr>
      <w:r w:rsidRPr="00156E88">
        <w:rPr>
          <w:b/>
        </w:rPr>
        <w:t xml:space="preserve">Requiring respondents to prepare a written response to a collection of information in fewer than 30 days after receipt of </w:t>
      </w:r>
      <w:r w:rsidRPr="00156E88">
        <w:rPr>
          <w:b/>
        </w:rPr>
        <w:t>it;</w:t>
      </w:r>
    </w:p>
    <w:p w:rsidR="002D6175" w:rsidRPr="00156E88" w:rsidP="009B5635" w14:paraId="6B4D9B74" w14:textId="77777777">
      <w:pPr>
        <w:numPr>
          <w:ilvl w:val="1"/>
          <w:numId w:val="1"/>
        </w:numPr>
        <w:ind w:left="1440"/>
        <w:contextualSpacing/>
        <w:rPr>
          <w:b/>
        </w:rPr>
      </w:pPr>
      <w:r w:rsidRPr="00156E88">
        <w:rPr>
          <w:b/>
        </w:rPr>
        <w:t xml:space="preserve">Requiring respondents to submit more than an original and two copies of any </w:t>
      </w:r>
      <w:r w:rsidRPr="00156E88">
        <w:rPr>
          <w:b/>
        </w:rPr>
        <w:t>document;</w:t>
      </w:r>
    </w:p>
    <w:p w:rsidR="002D6175" w:rsidRPr="00156E88" w:rsidP="009B5635" w14:paraId="1B51AA01" w14:textId="77777777">
      <w:pPr>
        <w:numPr>
          <w:ilvl w:val="1"/>
          <w:numId w:val="1"/>
        </w:numPr>
        <w:ind w:left="1440"/>
        <w:contextualSpacing/>
        <w:rPr>
          <w:b/>
        </w:rPr>
      </w:pPr>
      <w:r w:rsidRPr="00156E88">
        <w:rPr>
          <w:b/>
        </w:rPr>
        <w:t xml:space="preserve">Requiring respondents to retain records, other than health, medical, government contract, grant-in-aid, or tax records for more than three </w:t>
      </w:r>
      <w:r w:rsidRPr="00156E88">
        <w:rPr>
          <w:b/>
        </w:rPr>
        <w:t>years;</w:t>
      </w:r>
    </w:p>
    <w:p w:rsidR="002D6175" w:rsidRPr="00156E88" w:rsidP="009B5635" w14:paraId="26F39B64" w14:textId="77777777">
      <w:pPr>
        <w:numPr>
          <w:ilvl w:val="1"/>
          <w:numId w:val="1"/>
        </w:numPr>
        <w:ind w:left="1440"/>
        <w:contextualSpacing/>
        <w:rPr>
          <w:b/>
        </w:rPr>
      </w:pPr>
      <w:r w:rsidRPr="00156E88">
        <w:rPr>
          <w:b/>
        </w:rPr>
        <w:t xml:space="preserve">In connection with a statistical survey, that is not designed to produce valid and reliable result that can be generalized to the universe of </w:t>
      </w:r>
      <w:r w:rsidRPr="00156E88">
        <w:rPr>
          <w:b/>
        </w:rPr>
        <w:t>study;</w:t>
      </w:r>
    </w:p>
    <w:p w:rsidR="002D6175" w:rsidRPr="00156E88" w:rsidP="009B5635" w14:paraId="6A9D198D" w14:textId="77777777">
      <w:pPr>
        <w:numPr>
          <w:ilvl w:val="1"/>
          <w:numId w:val="1"/>
        </w:numPr>
        <w:ind w:left="1440"/>
        <w:contextualSpacing/>
        <w:rPr>
          <w:b/>
        </w:rPr>
      </w:pPr>
      <w:r w:rsidRPr="00156E88">
        <w:rPr>
          <w:b/>
        </w:rPr>
        <w:t xml:space="preserve">Requiring the use of a statistical data classification that has not been reviewed and approved by </w:t>
      </w:r>
      <w:r w:rsidRPr="00156E88">
        <w:rPr>
          <w:b/>
        </w:rPr>
        <w:t>OMB;</w:t>
      </w:r>
    </w:p>
    <w:p w:rsidR="002D6175" w:rsidRPr="00156E88" w:rsidP="009B5635" w14:paraId="27EA2857" w14:textId="77777777">
      <w:pPr>
        <w:numPr>
          <w:ilvl w:val="1"/>
          <w:numId w:val="1"/>
        </w:numPr>
        <w:ind w:left="1440"/>
        <w:contextualSpacing/>
        <w:rPr>
          <w:b/>
        </w:rPr>
      </w:pPr>
      <w:r w:rsidRPr="00156E88">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D6175" w:rsidRPr="00156E88" w:rsidP="009B5635" w14:paraId="5D1A5D95" w14:textId="77777777">
      <w:pPr>
        <w:numPr>
          <w:ilvl w:val="1"/>
          <w:numId w:val="1"/>
        </w:numPr>
        <w:ind w:left="1440"/>
        <w:contextualSpacing/>
        <w:rPr>
          <w:b/>
        </w:rPr>
      </w:pPr>
      <w:r w:rsidRPr="00156E88">
        <w:rPr>
          <w:b/>
        </w:rPr>
        <w:t xml:space="preserve">Requiring respondents to submit proprietary trade secret, or other confidential information unless the agency can demonstrate that it has </w:t>
      </w:r>
      <w:r w:rsidRPr="00156E88">
        <w:rPr>
          <w:b/>
        </w:rPr>
        <w:t>instituted procedures to protect the information’s confidentiality to the extent permitted by law.</w:t>
      </w:r>
    </w:p>
    <w:p w:rsidR="002D6175" w:rsidRPr="00156E88" w:rsidP="0003285A" w14:paraId="7C7BCD50" w14:textId="5784FE03">
      <w:pPr>
        <w:ind w:left="360"/>
        <w:contextualSpacing/>
      </w:pPr>
    </w:p>
    <w:p w:rsidR="00146EFB" w:rsidP="0003285A" w14:paraId="7232E468" w14:textId="20DC36FC">
      <w:pPr>
        <w:ind w:left="720"/>
        <w:contextualSpacing/>
      </w:pPr>
      <w:r w:rsidRPr="00156E88">
        <w:t xml:space="preserve">Because this exemption is granted under section 408(a) of ERISA and section 4975(c)(2) of the Code, the exclusion from the </w:t>
      </w:r>
      <w:r w:rsidRPr="00156E88" w:rsidR="00526670">
        <w:t>three-year</w:t>
      </w:r>
      <w:r w:rsidRPr="00156E88">
        <w:t xml:space="preserve"> guideline for record retention set forth in 5 CFR 1320.5 is applicable.</w:t>
      </w:r>
      <w:r w:rsidR="009C7814">
        <w:t xml:space="preserve"> </w:t>
      </w:r>
      <w:r w:rsidRPr="00156E88">
        <w:t xml:space="preserve">Furthermore, as a result of statutory recordkeeping requirements in ERISA, the Code, and other federal laws, </w:t>
      </w:r>
      <w:r w:rsidR="005C015D">
        <w:t>F</w:t>
      </w:r>
      <w:r w:rsidRPr="00156E88" w:rsidR="00421E99">
        <w:t xml:space="preserve">inancial </w:t>
      </w:r>
      <w:r w:rsidR="005C015D">
        <w:t>I</w:t>
      </w:r>
      <w:r w:rsidRPr="00156E88" w:rsidR="00421E99">
        <w:t xml:space="preserve">nstitutions </w:t>
      </w:r>
      <w:r w:rsidRPr="00156E88">
        <w:t>th</w:t>
      </w:r>
      <w:r w:rsidRPr="00156E88" w:rsidR="00421E99">
        <w:t>at rely on t</w:t>
      </w:r>
      <w:r w:rsidRPr="00156E88">
        <w:t>his exemption, for the most part, have adopted six-year recordkeeping as standard business practice in order to satisfy those separate recordkeeping requirements.</w:t>
      </w:r>
    </w:p>
    <w:p w:rsidR="002D6175" w:rsidP="0003285A" w14:paraId="24118D9C" w14:textId="35463BB3">
      <w:pPr>
        <w:ind w:left="360"/>
        <w:contextualSpacing/>
      </w:pPr>
    </w:p>
    <w:p w:rsidR="00601E48" w:rsidRPr="00722AA7" w:rsidP="008F7870" w14:paraId="381C4596" w14:textId="29F01DE1">
      <w:pPr>
        <w:pStyle w:val="Heading2"/>
      </w:pPr>
      <w:r w:rsidRPr="008C054B">
        <w:t xml:space="preserve">If applicable, provide a copy and identify the date and page number of </w:t>
      </w:r>
      <w:r w:rsidRPr="008C054B">
        <w:t>publication</w:t>
      </w:r>
      <w:r w:rsidRPr="008C054B">
        <w:t xml:space="preserve"> in the </w:t>
      </w:r>
      <w:r w:rsidRPr="00722AA7">
        <w:rPr>
          <w:u w:val="single"/>
        </w:rPr>
        <w:t xml:space="preserve">Federal Register </w:t>
      </w:r>
      <w:r w:rsidRPr="00722AA7">
        <w:t>of the agency’s notice, required by 5 CFR 1320.8(d), soliciting comments on the information collection prior to submission to OMB.</w:t>
      </w:r>
      <w:r w:rsidR="009C7814">
        <w:t xml:space="preserve"> </w:t>
      </w:r>
      <w:r w:rsidRPr="00722AA7">
        <w:t>Summarize public comments received in response to that notice and describe actions taken by the agency in response to these comments.</w:t>
      </w:r>
      <w:r w:rsidR="009C7814">
        <w:t xml:space="preserve"> </w:t>
      </w:r>
      <w:r w:rsidRPr="00722AA7">
        <w:t>Specifically address comments received on cost and hour burden.</w:t>
      </w:r>
    </w:p>
    <w:p w:rsidR="00601E48" w:rsidRPr="00722AA7" w:rsidP="0003285A" w14:paraId="7026E8CD" w14:textId="77777777">
      <w:pPr>
        <w:ind w:left="720"/>
        <w:contextualSpacing/>
        <w:rPr>
          <w:b/>
        </w:rPr>
      </w:pPr>
    </w:p>
    <w:p w:rsidR="00601E48" w:rsidRPr="00722AA7" w:rsidP="0003285A" w14:paraId="00E7BC4B" w14:textId="77777777">
      <w:pPr>
        <w:ind w:left="720"/>
        <w:contextualSpacing/>
        <w:rPr>
          <w:b/>
        </w:rPr>
      </w:pPr>
      <w:r w:rsidRPr="00722AA7">
        <w:rPr>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601E48" w:rsidRPr="00722AA7" w:rsidP="0003285A" w14:paraId="0F05C4B9" w14:textId="77777777">
      <w:pPr>
        <w:ind w:left="720"/>
        <w:contextualSpacing/>
        <w:rPr>
          <w:b/>
        </w:rPr>
      </w:pPr>
    </w:p>
    <w:p w:rsidR="00601E48" w:rsidRPr="000E7745" w:rsidP="0003285A" w14:paraId="1E1FB8D4" w14:textId="3A89312E">
      <w:pPr>
        <w:ind w:left="720"/>
        <w:contextualSpacing/>
        <w:rPr>
          <w:b/>
        </w:rPr>
      </w:pPr>
      <w:r w:rsidRPr="000E7745">
        <w:rPr>
          <w:b/>
        </w:rPr>
        <w:t>Consultation with representatives of those from whom information is to be obtained or those who must compile records should occur at least once every 3 years – even if the collection of information activity is the same as in prior periods.</w:t>
      </w:r>
      <w:r w:rsidR="009C7814">
        <w:rPr>
          <w:b/>
        </w:rPr>
        <w:t xml:space="preserve"> </w:t>
      </w:r>
      <w:r w:rsidRPr="000E7745">
        <w:rPr>
          <w:b/>
        </w:rPr>
        <w:t>There may be circumstances that may preclude consultation in a specific situation.</w:t>
      </w:r>
      <w:r w:rsidR="009C7814">
        <w:rPr>
          <w:b/>
        </w:rPr>
        <w:t xml:space="preserve"> </w:t>
      </w:r>
      <w:r w:rsidRPr="000E7745">
        <w:rPr>
          <w:b/>
        </w:rPr>
        <w:t>These circumstances should be explained.</w:t>
      </w:r>
    </w:p>
    <w:p w:rsidR="00601E48" w:rsidRPr="000E7745" w:rsidP="0003285A" w14:paraId="40D739BB" w14:textId="1BCE95AD">
      <w:pPr>
        <w:contextualSpacing/>
        <w:rPr>
          <w:b/>
          <w:i/>
        </w:rPr>
      </w:pPr>
    </w:p>
    <w:p w:rsidR="00386896" w:rsidRPr="00386896" w:rsidP="002F7BAC" w14:paraId="1DFF6D71" w14:textId="7BC87FF1">
      <w:pPr>
        <w:pStyle w:val="Header"/>
        <w:ind w:left="720"/>
        <w:rPr>
          <w:iCs/>
        </w:rPr>
      </w:pPr>
      <w:bookmarkStart w:id="0" w:name="OLE_LINK1"/>
      <w:r w:rsidRPr="00D74C24">
        <w:t>In accordance with the Paperwork Reduction Act of 1995 (PRA 95) (44 U.S.C. 3506(c)(2)(A))</w:t>
      </w:r>
      <w:r>
        <w:t xml:space="preserve"> and </w:t>
      </w:r>
      <w:r w:rsidRPr="00625061">
        <w:t>5 CFR 1320.8(d),</w:t>
      </w:r>
      <w:r w:rsidRPr="00D74C24">
        <w:t xml:space="preserve"> the Department solicited comments concerning the information collection requirements included in the proposed </w:t>
      </w:r>
      <w:r w:rsidR="00B95A1E">
        <w:t>amendments</w:t>
      </w:r>
      <w:r w:rsidRPr="00D74C24">
        <w:t xml:space="preserve">. </w:t>
      </w:r>
      <w:r w:rsidRPr="00386896">
        <w:rPr>
          <w:iCs/>
        </w:rPr>
        <w:t>The</w:t>
      </w:r>
      <w:r w:rsidR="00004776">
        <w:rPr>
          <w:iCs/>
        </w:rPr>
        <w:t xml:space="preserve"> corresponding</w:t>
      </w:r>
      <w:r w:rsidRPr="00386896">
        <w:rPr>
          <w:iCs/>
        </w:rPr>
        <w:t xml:space="preserve"> Department</w:t>
      </w:r>
      <w:r w:rsidR="00C93BF4">
        <w:rPr>
          <w:iCs/>
        </w:rPr>
        <w:t>al</w:t>
      </w:r>
      <w:r w:rsidRPr="00386896">
        <w:rPr>
          <w:iCs/>
        </w:rPr>
        <w:t xml:space="preserve"> notice was published in the Federal Register on November 3, 2023 (88 FR</w:t>
      </w:r>
      <w:r w:rsidR="000A2BFE">
        <w:rPr>
          <w:iCs/>
        </w:rPr>
        <w:t xml:space="preserve"> 75979</w:t>
      </w:r>
      <w:r w:rsidR="002C60E7">
        <w:rPr>
          <w:iCs/>
        </w:rPr>
        <w:t xml:space="preserve">, pages </w:t>
      </w:r>
      <w:r w:rsidR="002C60E7">
        <w:t>75979-76003</w:t>
      </w:r>
      <w:r w:rsidRPr="00386896">
        <w:rPr>
          <w:iCs/>
        </w:rPr>
        <w:t xml:space="preserve">). The Department received </w:t>
      </w:r>
      <w:r w:rsidR="003E3D4D">
        <w:rPr>
          <w:iCs/>
        </w:rPr>
        <w:t xml:space="preserve">written </w:t>
      </w:r>
      <w:r w:rsidRPr="00386896">
        <w:rPr>
          <w:iCs/>
        </w:rPr>
        <w:t>comments</w:t>
      </w:r>
      <w:r w:rsidR="006375A8">
        <w:rPr>
          <w:iCs/>
        </w:rPr>
        <w:t xml:space="preserve"> in response</w:t>
      </w:r>
      <w:r w:rsidR="00496647">
        <w:rPr>
          <w:iCs/>
        </w:rPr>
        <w:t xml:space="preserve"> (</w:t>
      </w:r>
      <w:hyperlink r:id="rId9" w:history="1">
        <w:r w:rsidRPr="00940960" w:rsidR="002F7BAC">
          <w:rPr>
            <w:rStyle w:val="Hyperlink"/>
            <w:iCs/>
          </w:rPr>
          <w:t>https://www.federalregister.gov/documents/2023/11/03/2023-23780/proposed-amendment-to-prohibited-transaction-exemption-2020-02</w:t>
        </w:r>
      </w:hyperlink>
      <w:r w:rsidR="00496647">
        <w:rPr>
          <w:iCs/>
        </w:rPr>
        <w:t>).</w:t>
      </w:r>
    </w:p>
    <w:bookmarkEnd w:id="0"/>
    <w:p w:rsidR="00986081" w:rsidP="0003285A" w14:paraId="7CF3E2C4" w14:textId="77777777">
      <w:pPr>
        <w:pStyle w:val="Header"/>
        <w:tabs>
          <w:tab w:val="clear" w:pos="4320"/>
          <w:tab w:val="clear" w:pos="8640"/>
        </w:tabs>
        <w:ind w:left="720"/>
      </w:pPr>
    </w:p>
    <w:p w:rsidR="00D74C24" w:rsidP="00C5518D" w14:paraId="4ACF34D0" w14:textId="379FBCE3">
      <w:pPr>
        <w:pStyle w:val="Header"/>
        <w:ind w:left="720"/>
      </w:pPr>
      <w:r w:rsidRPr="00D74C24">
        <w:t xml:space="preserve">The Department received comments that addressed the burden estimates used in the analysis of the proposed rulemaking. The Department reviewed these public comments in developing the paperwork burden analysis and subsequently revised the burden estimates </w:t>
      </w:r>
      <w:r w:rsidR="00FF2158">
        <w:t>for</w:t>
      </w:r>
      <w:r w:rsidRPr="00D74C24">
        <w:t xml:space="preserve"> the </w:t>
      </w:r>
      <w:r w:rsidR="00FF2158">
        <w:t xml:space="preserve">final </w:t>
      </w:r>
      <w:r w:rsidRPr="00D74C24">
        <w:t>amendment to the PTE.</w:t>
      </w:r>
      <w:r w:rsidR="002B0290">
        <w:t xml:space="preserve"> The </w:t>
      </w:r>
      <w:r w:rsidR="00EC1A98">
        <w:t xml:space="preserve">comments </w:t>
      </w:r>
      <w:r w:rsidR="00394CCE">
        <w:t xml:space="preserve">pertinent to the Department’s information collection efforts </w:t>
      </w:r>
      <w:r w:rsidR="00EC1A98">
        <w:t>a</w:t>
      </w:r>
      <w:r w:rsidR="00A526F1">
        <w:t>re</w:t>
      </w:r>
      <w:r w:rsidR="00EC1A98">
        <w:t xml:space="preserve"> </w:t>
      </w:r>
      <w:r w:rsidR="00A526F1">
        <w:t>discussed below.</w:t>
      </w:r>
    </w:p>
    <w:p w:rsidR="00D74C24" w:rsidP="00C5518D" w14:paraId="49669F09" w14:textId="77777777">
      <w:pPr>
        <w:pStyle w:val="Header"/>
        <w:ind w:left="720"/>
      </w:pPr>
    </w:p>
    <w:p w:rsidR="00986081" w:rsidP="00C5518D" w14:paraId="79EAB365" w14:textId="5E1E2FA3">
      <w:pPr>
        <w:pStyle w:val="Header"/>
        <w:ind w:left="720"/>
      </w:pPr>
      <w:r>
        <w:t>First</w:t>
      </w:r>
      <w:r>
        <w:t xml:space="preserve">, the Department received several comments on the Department’s labor cost estimate, particularly the cost for legal support, remarking that it was too low. The Department assumes that tasks involving legal professionals will be completed by a combination of legal professionals, likely consisting of attorneys, legal support staff, and </w:t>
      </w:r>
      <w:r>
        <w:t xml:space="preserve">other professionals and in-house and out-sourced individuals. The labor cost associated with these tasks is estimated to be $165.71, which is the Department’s estimated labor cost for an in-house attorney. The Department understands that this estimate </w:t>
      </w:r>
      <w:r w:rsidR="00C704C7">
        <w:t xml:space="preserve">may seem </w:t>
      </w:r>
      <w:r w:rsidR="006212BF">
        <w:t xml:space="preserve">comparatively </w:t>
      </w:r>
      <w:r w:rsidR="00C704C7">
        <w:t xml:space="preserve">low to some commenters </w:t>
      </w:r>
      <w:r w:rsidR="006212BF">
        <w:t xml:space="preserve">relative </w:t>
      </w:r>
      <w:r>
        <w:t xml:space="preserve">to their experience, especially when hiring an outside ERISA legal expert. However, the Department has chosen this cost </w:t>
      </w:r>
      <w:r>
        <w:t>estimate</w:t>
      </w:r>
      <w:r w:rsidR="00196F9A">
        <w:t>, because</w:t>
      </w:r>
      <w:r w:rsidR="00196F9A">
        <w:t xml:space="preserve"> </w:t>
      </w:r>
      <w:r>
        <w:t xml:space="preserve">it is an average, blended </w:t>
      </w:r>
      <w:r w:rsidR="002D7318">
        <w:t xml:space="preserve">in-house attorney </w:t>
      </w:r>
      <w:r>
        <w:t>rate</w:t>
      </w:r>
      <w:r w:rsidR="006F45B6">
        <w:t>.</w:t>
      </w:r>
    </w:p>
    <w:p w:rsidR="00C72618" w:rsidP="00C27AB5" w14:paraId="082233CB" w14:textId="27C4148F">
      <w:pPr>
        <w:pStyle w:val="Header"/>
        <w:tabs>
          <w:tab w:val="clear" w:pos="4320"/>
          <w:tab w:val="left" w:pos="5940"/>
          <w:tab w:val="clear" w:pos="8640"/>
        </w:tabs>
        <w:ind w:left="720"/>
      </w:pPr>
      <w:r>
        <w:tab/>
      </w:r>
    </w:p>
    <w:p w:rsidR="00C72618" w:rsidP="0082590E" w14:paraId="395B59A7" w14:textId="29774E0A">
      <w:pPr>
        <w:pStyle w:val="Header"/>
        <w:ind w:left="720"/>
      </w:pPr>
      <w:r>
        <w:t xml:space="preserve">Second, </w:t>
      </w:r>
      <w:r>
        <w:t>the Department estimates that 96.1 percent of disclosures sent to Retirement Investors will be sent electronically, and the remaining 3.9 percent will be sent by mail.</w:t>
      </w:r>
      <w:r>
        <w:rPr>
          <w:rStyle w:val="FootnoteReference"/>
        </w:rPr>
        <w:footnoteReference w:id="8"/>
      </w:r>
      <w:r w:rsidR="002B4DDD">
        <w:t xml:space="preserve"> </w:t>
      </w:r>
      <w:r>
        <w:t xml:space="preserve">One commenter suggested that this assumption overstates the use of electronic disclosures for IRA owners and that 60 percent would be more appropriate. The Department is not able to substantiate that suggestion but understands that IRA </w:t>
      </w:r>
      <w:r>
        <w:t>owners</w:t>
      </w:r>
      <w:r>
        <w:t xml:space="preserve"> </w:t>
      </w:r>
      <w:r w:rsidR="00793B59">
        <w:t>preferences associated with electronic delivery of documents</w:t>
      </w:r>
      <w:r>
        <w:t xml:space="preserve"> could be different than </w:t>
      </w:r>
      <w:r w:rsidR="00A60913">
        <w:t>P</w:t>
      </w:r>
      <w:r>
        <w:t xml:space="preserve">lan participants. In response, the Department reevaluated its estimate. In </w:t>
      </w:r>
      <w:r w:rsidR="00693116">
        <w:t>the Final Rule</w:t>
      </w:r>
      <w:r>
        <w:t xml:space="preserve"> the Department assumes that approximately 72 percent of IRA owners will receive disclosures electronically.</w:t>
      </w:r>
      <w:r>
        <w:rPr>
          <w:rStyle w:val="FootnoteReference"/>
        </w:rPr>
        <w:footnoteReference w:id="9"/>
      </w:r>
      <w:r>
        <w:t xml:space="preserve">  </w:t>
      </w:r>
    </w:p>
    <w:p w:rsidR="00C05C46" w:rsidP="00C72618" w14:paraId="22194E4A" w14:textId="77777777">
      <w:pPr>
        <w:pStyle w:val="Header"/>
        <w:ind w:left="720"/>
      </w:pPr>
    </w:p>
    <w:p w:rsidR="00C05C46" w:rsidP="00C72618" w14:paraId="79C0689E" w14:textId="2DB27BD8">
      <w:pPr>
        <w:pStyle w:val="Header"/>
        <w:ind w:left="720"/>
      </w:pPr>
      <w:r>
        <w:t xml:space="preserve">Third, </w:t>
      </w:r>
      <w:r w:rsidR="00E86E94">
        <w:t>t</w:t>
      </w:r>
      <w:r w:rsidRPr="00C05C46">
        <w:t xml:space="preserve">he Department recognizes that the rulemaking may change the number of Financial Institutions who choose to rely on PTE 2020-02. Consistent with its initial analysis in 2020, </w:t>
      </w:r>
      <w:r w:rsidRPr="00C05C46" w:rsidR="00293FE9">
        <w:t xml:space="preserve">the </w:t>
      </w:r>
      <w:r w:rsidR="00293FE9">
        <w:t xml:space="preserve">Department originally </w:t>
      </w:r>
      <w:r w:rsidRPr="00C05C46" w:rsidR="00293FE9">
        <w:t xml:space="preserve">assumed that all entities eligible to rely on the existing PTE were </w:t>
      </w:r>
      <w:r w:rsidR="00293FE9">
        <w:t>electing to do so</w:t>
      </w:r>
      <w:r w:rsidRPr="00C05C46">
        <w:t xml:space="preserve">. However, </w:t>
      </w:r>
      <w:r w:rsidR="004564E5">
        <w:t xml:space="preserve">at least </w:t>
      </w:r>
      <w:r w:rsidRPr="00C05C46">
        <w:t xml:space="preserve">one commenter indicated that some entities eligible to use PTE 2020-02 had determined that their business practices did not trigger fiduciary status or modified their business practices to avoid relying upon it. The definitional changes in this rulemaking may now require these entities to rely on PTE 2020-02. These entities will incur the full compliance costs of PTE 2020-02. In response to this concern, this analysis assumes that 30 percent of currently eligible entities </w:t>
      </w:r>
      <w:r w:rsidR="00D40716">
        <w:t>will</w:t>
      </w:r>
      <w:r w:rsidRPr="00C05C46">
        <w:t xml:space="preserve"> begin to rely on PTE 2020-02 in response to the rulemaking.</w:t>
      </w:r>
    </w:p>
    <w:p w:rsidR="00BA7AD4" w:rsidP="00C5518D" w14:paraId="2DD4FEBD" w14:textId="77777777">
      <w:pPr>
        <w:pStyle w:val="Header"/>
        <w:ind w:left="720"/>
      </w:pPr>
    </w:p>
    <w:p w:rsidR="00403CEA" w:rsidP="00D74C24" w14:paraId="2469F6F2" w14:textId="1BA8004C">
      <w:pPr>
        <w:pStyle w:val="Header"/>
        <w:ind w:left="720"/>
      </w:pPr>
      <w:r>
        <w:t>Lastly</w:t>
      </w:r>
      <w:r w:rsidRPr="00BA7AD4" w:rsidR="00BA7AD4">
        <w:t xml:space="preserve">, the Department proposed requiring a written statement informing the investor of their right to obtain a written description of the Financial Institution’s written policies and procedures and information regarding costs, fees, and compensation. The Department received several comments regarding its estimate of the number of annual requests per firm, and the cost burdens associated with the </w:t>
      </w:r>
      <w:r w:rsidR="00087EF8">
        <w:t>p</w:t>
      </w:r>
      <w:r w:rsidRPr="00BA7AD4" w:rsidR="00BA7AD4">
        <w:t xml:space="preserve">rovision of </w:t>
      </w:r>
      <w:r w:rsidR="00087EF8">
        <w:t>d</w:t>
      </w:r>
      <w:r w:rsidRPr="00BA7AD4" w:rsidR="00BA7AD4">
        <w:t xml:space="preserve">isclosures. After reviewing </w:t>
      </w:r>
      <w:r w:rsidRPr="00BA7AD4" w:rsidR="00BA7AD4">
        <w:t>the comments and existing disclosures associated with the rulemaking, the Department has removed this requirement.</w:t>
      </w:r>
    </w:p>
    <w:p w:rsidR="00DE0E9D" w:rsidP="0003285A" w14:paraId="337DADC8" w14:textId="628AE63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p>
    <w:p w:rsidR="009612B9" w:rsidRPr="00156E88" w:rsidP="008F7870" w14:paraId="14A715DC" w14:textId="77777777">
      <w:pPr>
        <w:pStyle w:val="Heading2"/>
      </w:pPr>
      <w:r w:rsidRPr="00156E88">
        <w:t>Explain any decision to provide any payment or gift to respondents, other than remuneration of contractors or grantees.</w:t>
      </w:r>
    </w:p>
    <w:p w:rsidR="00DE0E9D" w:rsidRPr="00156E88" w:rsidP="008F7870" w14:paraId="1B1DFCE5" w14:textId="68FE4E0B"/>
    <w:p w:rsidR="009612B9" w:rsidRPr="00156E88" w:rsidP="0003285A" w14:paraId="17754E22" w14:textId="77777777">
      <w:pPr>
        <w:autoSpaceDE w:val="0"/>
        <w:autoSpaceDN w:val="0"/>
        <w:adjustRightInd w:val="0"/>
        <w:ind w:left="720"/>
        <w:contextualSpacing/>
      </w:pPr>
      <w:r w:rsidRPr="00156E88">
        <w:t>No payments or gifts are provided to respondents.</w:t>
      </w:r>
    </w:p>
    <w:p w:rsidR="009612B9" w:rsidRPr="00156E88" w:rsidP="0003285A" w14:paraId="7F04F3E1" w14:textId="0A431A0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p>
    <w:p w:rsidR="009612B9" w:rsidRPr="00156E88" w:rsidP="008F7870" w14:paraId="76A5EFA6" w14:textId="77777777">
      <w:pPr>
        <w:pStyle w:val="Heading2"/>
      </w:pPr>
      <w:r w:rsidRPr="00156E88">
        <w:t>Describe any assurance of confidentiality provided to respondents and the basis for the assurance in statute, regulation, or agency policy.</w:t>
      </w:r>
    </w:p>
    <w:p w:rsidR="009612B9" w:rsidRPr="00156E88" w:rsidP="0003285A" w14:paraId="4B4AA123" w14:textId="56E7BA6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p>
    <w:p w:rsidR="009612B9" w:rsidP="0003285A" w14:paraId="36CA89AF" w14:textId="674E9242">
      <w:pPr>
        <w:widowControl w:val="0"/>
        <w:autoSpaceDE w:val="0"/>
        <w:autoSpaceDN w:val="0"/>
        <w:adjustRightInd w:val="0"/>
        <w:ind w:left="720"/>
        <w:contextualSpacing/>
      </w:pPr>
      <w:r w:rsidRPr="000812F0">
        <w:t>There is no assurance of confidentiality provided to respondents.</w:t>
      </w:r>
    </w:p>
    <w:p w:rsidR="00A06284" w:rsidP="0003285A" w14:paraId="1668318F" w14:textId="77777777">
      <w:pPr>
        <w:widowControl w:val="0"/>
        <w:autoSpaceDE w:val="0"/>
        <w:autoSpaceDN w:val="0"/>
        <w:adjustRightInd w:val="0"/>
        <w:ind w:left="720"/>
        <w:contextualSpacing/>
      </w:pPr>
    </w:p>
    <w:p w:rsidR="00A06284" w:rsidRPr="00156E88" w:rsidP="008F7870" w14:paraId="2A0C226C" w14:textId="3C3082DC">
      <w:pPr>
        <w:pStyle w:val="Heading2"/>
      </w:pPr>
      <w:r w:rsidRPr="00156E88">
        <w:t>Provide additional justification for any questions of a sensitive nature, such as sexual behavior and attitudes, religious beliefs, and other matters that are commonly considered private.</w:t>
      </w:r>
      <w:r w:rsidR="009C7814">
        <w:t xml:space="preserve"> </w:t>
      </w:r>
      <w:r w:rsidRPr="00156E88">
        <w:t>This justification should include the reasons why the agency considers the questions necessary, the specific uses to be made of the information, the explanation to be given to person from whom the information is requested, and any steps to be taken to obtain their consent.</w:t>
      </w:r>
    </w:p>
    <w:p w:rsidR="00A06284" w:rsidRPr="00156E88" w:rsidP="0003285A" w14:paraId="703ACBDE" w14:textId="77777777">
      <w:pPr>
        <w:ind w:left="360"/>
        <w:contextualSpacing/>
      </w:pPr>
    </w:p>
    <w:p w:rsidR="00A06284" w:rsidP="0003285A" w14:paraId="0C9BE680" w14:textId="39D242D6">
      <w:pPr>
        <w:ind w:left="720"/>
        <w:contextualSpacing/>
      </w:pPr>
      <w:r w:rsidRPr="00156E88">
        <w:t>There are no questions of a sensitive nature</w:t>
      </w:r>
      <w:r w:rsidRPr="00156E88" w:rsidR="00266227">
        <w:t>; therefore, no additional justification is necessary.</w:t>
      </w:r>
      <w:r>
        <w:t xml:space="preserve"> </w:t>
      </w:r>
    </w:p>
    <w:p w:rsidR="008C4059" w:rsidP="0003285A" w14:paraId="7F4AEFA3" w14:textId="78D84762">
      <w:pPr>
        <w:contextualSpacing/>
      </w:pPr>
    </w:p>
    <w:p w:rsidR="009431AA" w:rsidRPr="00223C0F" w:rsidP="008F7870" w14:paraId="7B6D69EF" w14:textId="2C1900E6">
      <w:pPr>
        <w:pStyle w:val="Heading2"/>
      </w:pPr>
      <w:r w:rsidRPr="00223C0F">
        <w:t>Provide estimates of the hour burden of the collection of information.</w:t>
      </w:r>
      <w:r w:rsidR="009C7814">
        <w:t xml:space="preserve"> </w:t>
      </w:r>
      <w:r w:rsidRPr="00223C0F">
        <w:t>The statement should:</w:t>
      </w:r>
    </w:p>
    <w:p w:rsidR="009431AA" w:rsidRPr="00223C0F" w:rsidP="009B5635" w14:paraId="60F9A63A" w14:textId="15486165">
      <w:pPr>
        <w:pStyle w:val="BodyTextIndent"/>
        <w:widowControl/>
        <w:numPr>
          <w:ilvl w:val="1"/>
          <w:numId w:val="1"/>
        </w:numPr>
        <w:tabs>
          <w:tab w:val="clear" w:pos="-1440"/>
        </w:tabs>
        <w:autoSpaceDE/>
        <w:autoSpaceDN/>
        <w:adjustRightInd/>
        <w:ind w:left="1440"/>
        <w:contextualSpacing/>
        <w:rPr>
          <w:b/>
        </w:rPr>
      </w:pPr>
      <w:r w:rsidRPr="00223C0F">
        <w:rPr>
          <w:b/>
        </w:rPr>
        <w:t>Indicate the number of respondents, frequency of response, annual hour burden, and an explanation of how the burden was estimated.</w:t>
      </w:r>
      <w:r w:rsidR="009C7814">
        <w:rPr>
          <w:b/>
        </w:rPr>
        <w:t xml:space="preserve"> </w:t>
      </w:r>
      <w:r w:rsidRPr="00223C0F">
        <w:rPr>
          <w:b/>
        </w:rPr>
        <w:t>Unless directed to do so, agencies should not conduct special surveys to obtain information on which to base hour burden estimates.</w:t>
      </w:r>
      <w:r w:rsidR="009C7814">
        <w:rPr>
          <w:b/>
        </w:rPr>
        <w:t xml:space="preserve"> </w:t>
      </w:r>
      <w:r w:rsidRPr="00223C0F">
        <w:rPr>
          <w:b/>
        </w:rPr>
        <w:t>Consultation with a sample (fewer than 10) of potential respondents is desirable.</w:t>
      </w:r>
      <w:r w:rsidR="009C7814">
        <w:rPr>
          <w:b/>
        </w:rPr>
        <w:t xml:space="preserve"> </w:t>
      </w:r>
      <w:r w:rsidRPr="00223C0F">
        <w:rPr>
          <w:b/>
        </w:rPr>
        <w:t>If the hour burden on respondents is expected to vary widely because of difference in activity, size, or complexity, show the range of estimated hour burden, and explain the reasons for the variance.</w:t>
      </w:r>
      <w:r w:rsidR="009C7814">
        <w:rPr>
          <w:b/>
        </w:rPr>
        <w:t xml:space="preserve"> </w:t>
      </w:r>
      <w:r w:rsidRPr="00223C0F">
        <w:rPr>
          <w:b/>
        </w:rPr>
        <w:t>Generally, estimates should not include burden hours for customary and usual business practices.</w:t>
      </w:r>
    </w:p>
    <w:p w:rsidR="009431AA" w:rsidRPr="00223C0F" w:rsidP="009B5635" w14:paraId="1A946998" w14:textId="5BB774F6">
      <w:pPr>
        <w:pStyle w:val="BodyTextIndent"/>
        <w:widowControl/>
        <w:numPr>
          <w:ilvl w:val="1"/>
          <w:numId w:val="1"/>
        </w:numPr>
        <w:tabs>
          <w:tab w:val="clear" w:pos="-1440"/>
        </w:tabs>
        <w:autoSpaceDE/>
        <w:autoSpaceDN/>
        <w:adjustRightInd/>
        <w:ind w:left="1440"/>
        <w:contextualSpacing/>
        <w:rPr>
          <w:b/>
        </w:rPr>
      </w:pPr>
      <w:r w:rsidRPr="00223C0F">
        <w:rPr>
          <w:b/>
          <w:iCs/>
        </w:rPr>
        <w:t xml:space="preserve">If this request for approval covers more than one form, provide separate hour burden estimates for each </w:t>
      </w:r>
      <w:r w:rsidRPr="00223C0F">
        <w:rPr>
          <w:b/>
          <w:iCs/>
        </w:rPr>
        <w:t>form</w:t>
      </w:r>
      <w:r w:rsidRPr="00223C0F">
        <w:rPr>
          <w:b/>
          <w:iCs/>
        </w:rPr>
        <w:t xml:space="preserve"> and aggregate the hour burdens.</w:t>
      </w:r>
    </w:p>
    <w:p w:rsidR="008C4059" w:rsidRPr="00223C0F" w:rsidP="009B5635" w14:paraId="6EC9D237" w14:textId="14CD271A">
      <w:pPr>
        <w:pStyle w:val="BodyTextIndent"/>
        <w:widowControl/>
        <w:numPr>
          <w:ilvl w:val="1"/>
          <w:numId w:val="1"/>
        </w:numPr>
        <w:tabs>
          <w:tab w:val="clear" w:pos="-1440"/>
        </w:tabs>
        <w:autoSpaceDE/>
        <w:autoSpaceDN/>
        <w:adjustRightInd/>
        <w:ind w:left="1440"/>
        <w:contextualSpacing/>
        <w:rPr>
          <w:b/>
        </w:rPr>
      </w:pPr>
      <w:r w:rsidRPr="00223C0F">
        <w:rPr>
          <w:b/>
        </w:rPr>
        <w:t>Provide estimates of annualized cost to respondents for the hour burdens for collection of information, identifying and using appropriate wage rate categories.</w:t>
      </w:r>
      <w:r w:rsidR="009C7814">
        <w:rPr>
          <w:b/>
        </w:rPr>
        <w:t xml:space="preserve"> </w:t>
      </w:r>
      <w:r w:rsidRPr="00223C0F">
        <w:rPr>
          <w:b/>
        </w:rPr>
        <w:t>The cost of contracting out or paying outside parties for information collection activities should not be included here.</w:t>
      </w:r>
    </w:p>
    <w:p w:rsidR="00D36812" w:rsidP="009B5635" w14:paraId="10A38A20" w14:textId="77777777">
      <w:pPr>
        <w:pStyle w:val="BodyTextIndent"/>
        <w:ind w:left="1440"/>
        <w:contextualSpacing/>
      </w:pPr>
    </w:p>
    <w:p w:rsidR="00864B31" w:rsidP="008F7870" w14:paraId="000A0A3F" w14:textId="484E8421">
      <w:pPr>
        <w:widowControl w:val="0"/>
        <w:tabs>
          <w:tab w:val="left" w:pos="900"/>
        </w:tabs>
        <w:ind w:left="720"/>
      </w:pPr>
      <w:r>
        <w:t xml:space="preserve">The Department expects </w:t>
      </w:r>
      <w:r w:rsidR="0013056F">
        <w:t xml:space="preserve">that </w:t>
      </w:r>
      <w:r w:rsidR="00D14882">
        <w:t>18,6</w:t>
      </w:r>
      <w:r w:rsidR="00CF0595">
        <w:t>32</w:t>
      </w:r>
      <w:r>
        <w:t xml:space="preserve"> entities </w:t>
      </w:r>
      <w:r w:rsidR="0013056F">
        <w:t>will</w:t>
      </w:r>
      <w:r>
        <w:t xml:space="preserve"> be affected by the </w:t>
      </w:r>
      <w:r w:rsidR="00FD20C6">
        <w:t xml:space="preserve">final </w:t>
      </w:r>
      <w:r>
        <w:t>amendment to the PTE. The number of entities by type and size are summarized in the table below.</w:t>
      </w:r>
    </w:p>
    <w:p w:rsidR="54BDB601" w:rsidP="54BDB601" w14:paraId="78C760D7" w14:textId="629585AE">
      <w:pPr>
        <w:widowControl w:val="0"/>
        <w:tabs>
          <w:tab w:val="left" w:pos="900"/>
        </w:tabs>
        <w:ind w:left="720"/>
      </w:pPr>
    </w:p>
    <w:p w:rsidR="1F48ADC3" w:rsidP="001B0EE4" w14:paraId="7644CE2F" w14:textId="0D4CE224">
      <w:pPr>
        <w:widowControl w:val="0"/>
        <w:tabs>
          <w:tab w:val="left" w:pos="900"/>
        </w:tabs>
        <w:ind w:left="720"/>
      </w:pPr>
      <w:r>
        <w:t xml:space="preserve">The Department recognizes that the </w:t>
      </w:r>
      <w:r w:rsidR="5AF0A938">
        <w:t xml:space="preserve">final </w:t>
      </w:r>
      <w:r>
        <w:t xml:space="preserve">amendment may change the number of </w:t>
      </w:r>
      <w:r w:rsidR="00AF4AF3">
        <w:t>Financial Institution</w:t>
      </w:r>
      <w:r w:rsidR="00EA2A06">
        <w:t>s</w:t>
      </w:r>
      <w:r>
        <w:t xml:space="preserve"> who chose to rely on PTE 2020-02. </w:t>
      </w:r>
      <w:r w:rsidR="00436265">
        <w:t xml:space="preserve">In contrast </w:t>
      </w:r>
      <w:r>
        <w:t xml:space="preserve">with its initial analysis of the exemption in 2020, </w:t>
      </w:r>
      <w:r w:rsidR="00671B8E">
        <w:t>the Department</w:t>
      </w:r>
      <w:r>
        <w:t xml:space="preserve"> </w:t>
      </w:r>
      <w:r w:rsidR="00671B8E">
        <w:t xml:space="preserve">no longer </w:t>
      </w:r>
      <w:r>
        <w:t xml:space="preserve">assumes that all entities </w:t>
      </w:r>
      <w:r w:rsidR="009C69BB">
        <w:t xml:space="preserve">eligible to </w:t>
      </w:r>
      <w:r>
        <w:t xml:space="preserve">rely on the exemption </w:t>
      </w:r>
      <w:r w:rsidR="009C69BB">
        <w:t>currently do so</w:t>
      </w:r>
      <w:r>
        <w:t xml:space="preserve">. </w:t>
      </w:r>
      <w:r w:rsidR="007F65A6">
        <w:t>T</w:t>
      </w:r>
      <w:r w:rsidR="00551C11">
        <w:t xml:space="preserve">he estimates now reflect an assumption that 30 percent of </w:t>
      </w:r>
      <w:r w:rsidR="00F777B5">
        <w:t>previously eligible entities (</w:t>
      </w:r>
      <w:r w:rsidR="00551C11">
        <w:t>broker-dealers, registered investment advisers, and insurance companies</w:t>
      </w:r>
      <w:r w:rsidR="00F777B5">
        <w:t>)</w:t>
      </w:r>
      <w:r w:rsidR="00551C11">
        <w:t xml:space="preserve"> </w:t>
      </w:r>
      <w:r w:rsidR="00A52FC0">
        <w:t>will</w:t>
      </w:r>
      <w:r w:rsidR="00551C11">
        <w:t xml:space="preserve"> be newly reliant on PTE 2020-02</w:t>
      </w:r>
      <w:r w:rsidR="001B0EE4">
        <w:t xml:space="preserve"> a</w:t>
      </w:r>
      <w:r>
        <w:t>s a result</w:t>
      </w:r>
      <w:r w:rsidR="00095242">
        <w:t xml:space="preserve"> of</w:t>
      </w:r>
      <w:r>
        <w:t xml:space="preserve"> th</w:t>
      </w:r>
      <w:r w:rsidR="6FB1C972">
        <w:t>is</w:t>
      </w:r>
      <w:r>
        <w:t xml:space="preserve"> </w:t>
      </w:r>
      <w:r w:rsidR="066608F2">
        <w:t xml:space="preserve">final </w:t>
      </w:r>
      <w:r>
        <w:t xml:space="preserve">amendment. </w:t>
      </w:r>
    </w:p>
    <w:p w:rsidR="00864B31" w:rsidP="00864B31" w14:paraId="7742421D" w14:textId="77777777">
      <w:pPr>
        <w:widowControl w:val="0"/>
        <w:tabs>
          <w:tab w:val="left" w:pos="900"/>
        </w:tabs>
      </w:pPr>
    </w:p>
    <w:tbl>
      <w:tblPr>
        <w:tblStyle w:val="TableGrid"/>
        <w:tblW w:w="9445" w:type="dxa"/>
        <w:tblInd w:w="715" w:type="dxa"/>
        <w:tblLook w:val="04A0"/>
      </w:tblPr>
      <w:tblGrid>
        <w:gridCol w:w="3595"/>
        <w:gridCol w:w="1950"/>
        <w:gridCol w:w="1950"/>
        <w:gridCol w:w="1950"/>
      </w:tblGrid>
      <w:tr w14:paraId="20B966DE" w14:textId="77777777" w:rsidTr="003D0F24">
        <w:tblPrEx>
          <w:tblW w:w="9445" w:type="dxa"/>
          <w:tblInd w:w="715" w:type="dxa"/>
          <w:tblLook w:val="04A0"/>
        </w:tblPrEx>
        <w:trPr>
          <w:cantSplit/>
          <w:tblHeader/>
        </w:trPr>
        <w:tc>
          <w:tcPr>
            <w:tcW w:w="9445" w:type="dxa"/>
            <w:gridSpan w:val="4"/>
          </w:tcPr>
          <w:p w:rsidR="00864B31" w:rsidP="00BF6BDA" w14:paraId="1C37B8CE" w14:textId="6F49AFC8">
            <w:pPr>
              <w:widowControl w:val="0"/>
              <w:tabs>
                <w:tab w:val="left" w:pos="900"/>
              </w:tabs>
              <w:contextualSpacing/>
              <w:jc w:val="center"/>
            </w:pPr>
            <w:r>
              <w:rPr>
                <w:b/>
              </w:rPr>
              <w:t>Table 1: Affected Entities by Type and Size</w:t>
            </w:r>
          </w:p>
        </w:tc>
      </w:tr>
      <w:tr w14:paraId="196F3888" w14:textId="77777777" w:rsidTr="003D0F24">
        <w:tblPrEx>
          <w:tblW w:w="9445" w:type="dxa"/>
          <w:tblInd w:w="715" w:type="dxa"/>
          <w:tblLook w:val="04A0"/>
        </w:tblPrEx>
        <w:trPr>
          <w:cantSplit/>
          <w:tblHeader/>
        </w:trPr>
        <w:tc>
          <w:tcPr>
            <w:tcW w:w="3595" w:type="dxa"/>
          </w:tcPr>
          <w:p w:rsidR="00864B31" w:rsidP="00BF6BDA" w14:paraId="03AC2453" w14:textId="77777777">
            <w:pPr>
              <w:widowControl w:val="0"/>
              <w:tabs>
                <w:tab w:val="left" w:pos="900"/>
              </w:tabs>
              <w:contextualSpacing/>
            </w:pPr>
          </w:p>
        </w:tc>
        <w:tc>
          <w:tcPr>
            <w:tcW w:w="1950" w:type="dxa"/>
          </w:tcPr>
          <w:p w:rsidR="00864B31" w:rsidP="00BF6BDA" w14:paraId="7DFA372D" w14:textId="77777777">
            <w:pPr>
              <w:widowControl w:val="0"/>
              <w:tabs>
                <w:tab w:val="left" w:pos="900"/>
              </w:tabs>
              <w:contextualSpacing/>
              <w:jc w:val="center"/>
            </w:pPr>
            <w:r>
              <w:t>Small</w:t>
            </w:r>
          </w:p>
        </w:tc>
        <w:tc>
          <w:tcPr>
            <w:tcW w:w="1950" w:type="dxa"/>
          </w:tcPr>
          <w:p w:rsidR="00864B31" w:rsidP="00BF6BDA" w14:paraId="0323ADF1" w14:textId="77777777">
            <w:pPr>
              <w:widowControl w:val="0"/>
              <w:tabs>
                <w:tab w:val="left" w:pos="900"/>
              </w:tabs>
              <w:contextualSpacing/>
              <w:jc w:val="center"/>
            </w:pPr>
            <w:r>
              <w:t>Large</w:t>
            </w:r>
          </w:p>
        </w:tc>
        <w:tc>
          <w:tcPr>
            <w:tcW w:w="1950" w:type="dxa"/>
          </w:tcPr>
          <w:p w:rsidR="00864B31" w:rsidP="00BF6BDA" w14:paraId="0AD49BF2" w14:textId="77777777">
            <w:pPr>
              <w:widowControl w:val="0"/>
              <w:tabs>
                <w:tab w:val="left" w:pos="900"/>
              </w:tabs>
              <w:contextualSpacing/>
              <w:jc w:val="center"/>
            </w:pPr>
            <w:r>
              <w:t>Total</w:t>
            </w:r>
          </w:p>
        </w:tc>
      </w:tr>
      <w:tr w14:paraId="3677B655" w14:textId="77777777" w:rsidTr="008F7870">
        <w:tblPrEx>
          <w:tblW w:w="9445" w:type="dxa"/>
          <w:tblInd w:w="715" w:type="dxa"/>
          <w:tblLook w:val="04A0"/>
        </w:tblPrEx>
        <w:tc>
          <w:tcPr>
            <w:tcW w:w="3595" w:type="dxa"/>
          </w:tcPr>
          <w:p w:rsidR="00AD47D1" w:rsidP="00AD47D1" w14:paraId="5AD88AEB" w14:textId="77777777">
            <w:pPr>
              <w:widowControl w:val="0"/>
              <w:tabs>
                <w:tab w:val="left" w:pos="900"/>
              </w:tabs>
              <w:contextualSpacing/>
            </w:pPr>
            <w:r>
              <w:t>Broker-Dealer</w:t>
            </w:r>
          </w:p>
        </w:tc>
        <w:tc>
          <w:tcPr>
            <w:tcW w:w="1950" w:type="dxa"/>
          </w:tcPr>
          <w:p w:rsidR="00AD47D1" w:rsidP="00AD47D1" w14:paraId="40563BF1" w14:textId="44EE5356">
            <w:pPr>
              <w:widowControl w:val="0"/>
              <w:tabs>
                <w:tab w:val="left" w:pos="900"/>
              </w:tabs>
              <w:contextualSpacing/>
              <w:jc w:val="right"/>
            </w:pPr>
            <w:r w:rsidRPr="001E5C5A">
              <w:t xml:space="preserve">431 </w:t>
            </w:r>
          </w:p>
        </w:tc>
        <w:tc>
          <w:tcPr>
            <w:tcW w:w="1950" w:type="dxa"/>
          </w:tcPr>
          <w:p w:rsidR="00AD47D1" w:rsidP="00AD47D1" w14:paraId="4746512F" w14:textId="66F380CB">
            <w:pPr>
              <w:widowControl w:val="0"/>
              <w:tabs>
                <w:tab w:val="left" w:pos="900"/>
              </w:tabs>
              <w:contextualSpacing/>
              <w:jc w:val="right"/>
            </w:pPr>
            <w:r w:rsidRPr="001E5C5A">
              <w:t>1,48</w:t>
            </w:r>
            <w:r w:rsidR="00A9069B">
              <w:t>9</w:t>
            </w:r>
            <w:r w:rsidRPr="001E5C5A">
              <w:t xml:space="preserve"> </w:t>
            </w:r>
          </w:p>
        </w:tc>
        <w:tc>
          <w:tcPr>
            <w:tcW w:w="1950" w:type="dxa"/>
          </w:tcPr>
          <w:p w:rsidR="00AD47D1" w:rsidP="00AD47D1" w14:paraId="6FA56099" w14:textId="087DE8ED">
            <w:pPr>
              <w:widowControl w:val="0"/>
              <w:tabs>
                <w:tab w:val="left" w:pos="900"/>
              </w:tabs>
              <w:contextualSpacing/>
              <w:jc w:val="right"/>
            </w:pPr>
            <w:r w:rsidRPr="001E5C5A">
              <w:t>1,9</w:t>
            </w:r>
            <w:r w:rsidR="007B46BF">
              <w:t>20</w:t>
            </w:r>
          </w:p>
        </w:tc>
      </w:tr>
      <w:tr w14:paraId="353CF51C" w14:textId="77777777" w:rsidTr="008F7870">
        <w:tblPrEx>
          <w:tblW w:w="9445" w:type="dxa"/>
          <w:tblInd w:w="715" w:type="dxa"/>
          <w:tblLook w:val="04A0"/>
        </w:tblPrEx>
        <w:tc>
          <w:tcPr>
            <w:tcW w:w="3595" w:type="dxa"/>
          </w:tcPr>
          <w:p w:rsidR="00AD47D1" w:rsidP="00AD47D1" w14:paraId="299AB252" w14:textId="77777777">
            <w:pPr>
              <w:widowControl w:val="0"/>
              <w:tabs>
                <w:tab w:val="left" w:pos="900"/>
              </w:tabs>
              <w:contextualSpacing/>
            </w:pPr>
            <w:r>
              <w:t xml:space="preserve">  Retail</w:t>
            </w:r>
          </w:p>
        </w:tc>
        <w:tc>
          <w:tcPr>
            <w:tcW w:w="1950" w:type="dxa"/>
          </w:tcPr>
          <w:p w:rsidR="00AD47D1" w:rsidP="00AD47D1" w14:paraId="2EB7CCA8" w14:textId="10675B90">
            <w:pPr>
              <w:widowControl w:val="0"/>
              <w:tabs>
                <w:tab w:val="left" w:pos="900"/>
              </w:tabs>
              <w:contextualSpacing/>
              <w:jc w:val="right"/>
            </w:pPr>
            <w:r w:rsidRPr="001E5C5A">
              <w:t xml:space="preserve">302 </w:t>
            </w:r>
          </w:p>
        </w:tc>
        <w:tc>
          <w:tcPr>
            <w:tcW w:w="1950" w:type="dxa"/>
          </w:tcPr>
          <w:p w:rsidR="00AD47D1" w:rsidP="00AD47D1" w14:paraId="5C330CD7" w14:textId="598C3028">
            <w:pPr>
              <w:widowControl w:val="0"/>
              <w:tabs>
                <w:tab w:val="left" w:pos="900"/>
              </w:tabs>
              <w:contextualSpacing/>
              <w:jc w:val="right"/>
            </w:pPr>
            <w:r w:rsidRPr="001E5C5A">
              <w:t>1,</w:t>
            </w:r>
            <w:r w:rsidRPr="001E5C5A" w:rsidR="00431F4A">
              <w:t>01</w:t>
            </w:r>
            <w:r w:rsidR="00431F4A">
              <w:t>8</w:t>
            </w:r>
            <w:r w:rsidRPr="001E5C5A" w:rsidR="00431F4A">
              <w:t xml:space="preserve"> </w:t>
            </w:r>
          </w:p>
        </w:tc>
        <w:tc>
          <w:tcPr>
            <w:tcW w:w="1950" w:type="dxa"/>
          </w:tcPr>
          <w:p w:rsidR="00AD47D1" w:rsidP="00AD47D1" w14:paraId="2D807CB5" w14:textId="27E08FCF">
            <w:pPr>
              <w:widowControl w:val="0"/>
              <w:tabs>
                <w:tab w:val="left" w:pos="900"/>
              </w:tabs>
              <w:contextualSpacing/>
              <w:jc w:val="right"/>
            </w:pPr>
            <w:r w:rsidRPr="001E5C5A">
              <w:t>1,319</w:t>
            </w:r>
          </w:p>
        </w:tc>
      </w:tr>
      <w:tr w14:paraId="12AAAD33" w14:textId="77777777" w:rsidTr="008F7870">
        <w:tblPrEx>
          <w:tblW w:w="9445" w:type="dxa"/>
          <w:tblInd w:w="715" w:type="dxa"/>
          <w:tblLook w:val="04A0"/>
        </w:tblPrEx>
        <w:tc>
          <w:tcPr>
            <w:tcW w:w="3595" w:type="dxa"/>
          </w:tcPr>
          <w:p w:rsidR="00AD47D1" w:rsidP="00AD47D1" w14:paraId="7E940657" w14:textId="77777777">
            <w:pPr>
              <w:widowControl w:val="0"/>
              <w:tabs>
                <w:tab w:val="left" w:pos="900"/>
              </w:tabs>
              <w:contextualSpacing/>
            </w:pPr>
            <w:r>
              <w:t xml:space="preserve">  Non-Retail</w:t>
            </w:r>
          </w:p>
        </w:tc>
        <w:tc>
          <w:tcPr>
            <w:tcW w:w="1950" w:type="dxa"/>
          </w:tcPr>
          <w:p w:rsidR="00AD47D1" w:rsidP="00AD47D1" w14:paraId="0FC42946" w14:textId="250ACF14">
            <w:pPr>
              <w:widowControl w:val="0"/>
              <w:tabs>
                <w:tab w:val="left" w:pos="900"/>
              </w:tabs>
              <w:contextualSpacing/>
              <w:jc w:val="right"/>
            </w:pPr>
            <w:r w:rsidRPr="001E5C5A">
              <w:t xml:space="preserve">129 </w:t>
            </w:r>
          </w:p>
        </w:tc>
        <w:tc>
          <w:tcPr>
            <w:tcW w:w="1950" w:type="dxa"/>
          </w:tcPr>
          <w:p w:rsidR="00AD47D1" w:rsidP="00AD47D1" w14:paraId="73702B08" w14:textId="716D59BF">
            <w:pPr>
              <w:widowControl w:val="0"/>
              <w:tabs>
                <w:tab w:val="left" w:pos="900"/>
              </w:tabs>
              <w:contextualSpacing/>
              <w:jc w:val="right"/>
            </w:pPr>
            <w:r w:rsidRPr="001E5C5A">
              <w:t xml:space="preserve">471 </w:t>
            </w:r>
          </w:p>
        </w:tc>
        <w:tc>
          <w:tcPr>
            <w:tcW w:w="1950" w:type="dxa"/>
          </w:tcPr>
          <w:p w:rsidR="00AD47D1" w:rsidP="00AD47D1" w14:paraId="312FD27C" w14:textId="71F18BFC">
            <w:pPr>
              <w:widowControl w:val="0"/>
              <w:tabs>
                <w:tab w:val="left" w:pos="900"/>
              </w:tabs>
              <w:contextualSpacing/>
              <w:jc w:val="right"/>
            </w:pPr>
            <w:r w:rsidRPr="001E5C5A">
              <w:t>600</w:t>
            </w:r>
          </w:p>
        </w:tc>
      </w:tr>
      <w:tr w14:paraId="34290DC1" w14:textId="77777777" w:rsidTr="008F7870">
        <w:tblPrEx>
          <w:tblW w:w="9445" w:type="dxa"/>
          <w:tblInd w:w="715" w:type="dxa"/>
          <w:tblLook w:val="04A0"/>
        </w:tblPrEx>
        <w:tc>
          <w:tcPr>
            <w:tcW w:w="3595" w:type="dxa"/>
          </w:tcPr>
          <w:p w:rsidR="00AD47D1" w:rsidP="00AD47D1" w14:paraId="38C34250" w14:textId="77777777">
            <w:pPr>
              <w:widowControl w:val="0"/>
              <w:tabs>
                <w:tab w:val="left" w:pos="900"/>
              </w:tabs>
              <w:contextualSpacing/>
            </w:pPr>
            <w:r>
              <w:t>Registered Investment Adviser</w:t>
            </w:r>
          </w:p>
        </w:tc>
        <w:tc>
          <w:tcPr>
            <w:tcW w:w="1950" w:type="dxa"/>
          </w:tcPr>
          <w:p w:rsidR="00AD47D1" w:rsidP="00AD47D1" w14:paraId="35D3C729" w14:textId="586C8BCA">
            <w:pPr>
              <w:widowControl w:val="0"/>
              <w:tabs>
                <w:tab w:val="left" w:pos="900"/>
              </w:tabs>
              <w:contextualSpacing/>
              <w:jc w:val="right"/>
            </w:pPr>
            <w:r w:rsidRPr="001E5C5A">
              <w:t xml:space="preserve">2,989 </w:t>
            </w:r>
          </w:p>
        </w:tc>
        <w:tc>
          <w:tcPr>
            <w:tcW w:w="1950" w:type="dxa"/>
          </w:tcPr>
          <w:p w:rsidR="00AD47D1" w:rsidP="00AD47D1" w14:paraId="188C5068" w14:textId="573B97C7">
            <w:pPr>
              <w:widowControl w:val="0"/>
              <w:tabs>
                <w:tab w:val="left" w:pos="900"/>
              </w:tabs>
              <w:contextualSpacing/>
              <w:jc w:val="right"/>
            </w:pPr>
            <w:r w:rsidRPr="001E5C5A">
              <w:t xml:space="preserve">13,409 </w:t>
            </w:r>
          </w:p>
        </w:tc>
        <w:tc>
          <w:tcPr>
            <w:tcW w:w="1950" w:type="dxa"/>
          </w:tcPr>
          <w:p w:rsidR="00AD47D1" w:rsidP="00AD47D1" w14:paraId="59F55775" w14:textId="5694D03D">
            <w:pPr>
              <w:widowControl w:val="0"/>
              <w:tabs>
                <w:tab w:val="left" w:pos="900"/>
              </w:tabs>
              <w:contextualSpacing/>
              <w:jc w:val="right"/>
            </w:pPr>
            <w:r w:rsidRPr="001E5C5A">
              <w:t xml:space="preserve">16,398 </w:t>
            </w:r>
          </w:p>
        </w:tc>
      </w:tr>
      <w:tr w14:paraId="3AA65BFC" w14:textId="77777777" w:rsidTr="008F7870">
        <w:tblPrEx>
          <w:tblW w:w="9445" w:type="dxa"/>
          <w:tblInd w:w="715" w:type="dxa"/>
          <w:tblLook w:val="04A0"/>
        </w:tblPrEx>
        <w:tc>
          <w:tcPr>
            <w:tcW w:w="3595" w:type="dxa"/>
          </w:tcPr>
          <w:p w:rsidR="00AD47D1" w:rsidP="00AD47D1" w14:paraId="26016E52" w14:textId="77777777">
            <w:pPr>
              <w:widowControl w:val="0"/>
              <w:tabs>
                <w:tab w:val="left" w:pos="900"/>
              </w:tabs>
              <w:contextualSpacing/>
            </w:pPr>
            <w:r>
              <w:t xml:space="preserve">  SEC</w:t>
            </w:r>
          </w:p>
        </w:tc>
        <w:tc>
          <w:tcPr>
            <w:tcW w:w="1950" w:type="dxa"/>
          </w:tcPr>
          <w:p w:rsidR="00AD47D1" w:rsidP="00AD47D1" w14:paraId="1FF20506" w14:textId="039114F3">
            <w:pPr>
              <w:widowControl w:val="0"/>
              <w:tabs>
                <w:tab w:val="left" w:pos="900"/>
              </w:tabs>
              <w:contextualSpacing/>
              <w:jc w:val="right"/>
            </w:pPr>
            <w:r w:rsidRPr="001E5C5A">
              <w:t>22</w:t>
            </w:r>
            <w:r w:rsidR="008E0D2D">
              <w:t>8</w:t>
            </w:r>
            <w:r w:rsidRPr="001E5C5A">
              <w:t xml:space="preserve"> </w:t>
            </w:r>
          </w:p>
        </w:tc>
        <w:tc>
          <w:tcPr>
            <w:tcW w:w="1950" w:type="dxa"/>
          </w:tcPr>
          <w:p w:rsidR="00AD47D1" w:rsidP="00AD47D1" w14:paraId="22B78ABA" w14:textId="405409A3">
            <w:pPr>
              <w:widowControl w:val="0"/>
              <w:tabs>
                <w:tab w:val="left" w:pos="900"/>
              </w:tabs>
              <w:contextualSpacing/>
              <w:jc w:val="right"/>
            </w:pPr>
            <w:r w:rsidRPr="001E5C5A">
              <w:t xml:space="preserve">7,806 </w:t>
            </w:r>
          </w:p>
        </w:tc>
        <w:tc>
          <w:tcPr>
            <w:tcW w:w="1950" w:type="dxa"/>
          </w:tcPr>
          <w:p w:rsidR="00AD47D1" w:rsidP="00AD47D1" w14:paraId="7651C959" w14:textId="7D9A9C77">
            <w:pPr>
              <w:widowControl w:val="0"/>
              <w:tabs>
                <w:tab w:val="left" w:pos="900"/>
              </w:tabs>
              <w:contextualSpacing/>
              <w:jc w:val="right"/>
            </w:pPr>
            <w:r w:rsidRPr="001E5C5A">
              <w:t xml:space="preserve">8,035 </w:t>
            </w:r>
          </w:p>
        </w:tc>
      </w:tr>
      <w:tr w14:paraId="0DBBB7A6" w14:textId="77777777" w:rsidTr="008F7870">
        <w:tblPrEx>
          <w:tblW w:w="9445" w:type="dxa"/>
          <w:tblInd w:w="715" w:type="dxa"/>
          <w:tblLook w:val="04A0"/>
        </w:tblPrEx>
        <w:tc>
          <w:tcPr>
            <w:tcW w:w="3595" w:type="dxa"/>
          </w:tcPr>
          <w:p w:rsidR="00AD47D1" w:rsidP="00AD47D1" w14:paraId="1B23A7BE" w14:textId="77777777">
            <w:pPr>
              <w:widowControl w:val="0"/>
              <w:tabs>
                <w:tab w:val="left" w:pos="900"/>
              </w:tabs>
              <w:contextualSpacing/>
            </w:pPr>
            <w:r>
              <w:t xml:space="preserve">    Retail</w:t>
            </w:r>
          </w:p>
        </w:tc>
        <w:tc>
          <w:tcPr>
            <w:tcW w:w="1950" w:type="dxa"/>
          </w:tcPr>
          <w:p w:rsidR="00AD47D1" w:rsidP="00AD47D1" w14:paraId="41E6EBA8" w14:textId="4EE1EEE2">
            <w:pPr>
              <w:widowControl w:val="0"/>
              <w:tabs>
                <w:tab w:val="left" w:pos="900"/>
              </w:tabs>
              <w:contextualSpacing/>
              <w:jc w:val="right"/>
            </w:pPr>
            <w:r w:rsidRPr="001E5C5A">
              <w:t xml:space="preserve">85 </w:t>
            </w:r>
          </w:p>
        </w:tc>
        <w:tc>
          <w:tcPr>
            <w:tcW w:w="1950" w:type="dxa"/>
          </w:tcPr>
          <w:p w:rsidR="00AD47D1" w:rsidP="00AD47D1" w14:paraId="52EB5862" w14:textId="688ADA1A">
            <w:pPr>
              <w:widowControl w:val="0"/>
              <w:tabs>
                <w:tab w:val="left" w:pos="900"/>
              </w:tabs>
              <w:contextualSpacing/>
              <w:jc w:val="right"/>
            </w:pPr>
            <w:r w:rsidRPr="001E5C5A">
              <w:t xml:space="preserve">4,859 </w:t>
            </w:r>
          </w:p>
        </w:tc>
        <w:tc>
          <w:tcPr>
            <w:tcW w:w="1950" w:type="dxa"/>
          </w:tcPr>
          <w:p w:rsidR="00AD47D1" w:rsidP="00AD47D1" w14:paraId="29AA84F7" w14:textId="350F53DC">
            <w:pPr>
              <w:widowControl w:val="0"/>
              <w:tabs>
                <w:tab w:val="left" w:pos="900"/>
              </w:tabs>
              <w:contextualSpacing/>
              <w:jc w:val="right"/>
            </w:pPr>
            <w:r w:rsidRPr="001E5C5A">
              <w:t xml:space="preserve">4,944 </w:t>
            </w:r>
          </w:p>
        </w:tc>
      </w:tr>
      <w:tr w14:paraId="19730D61" w14:textId="77777777" w:rsidTr="008F7870">
        <w:tblPrEx>
          <w:tblW w:w="9445" w:type="dxa"/>
          <w:tblInd w:w="715" w:type="dxa"/>
          <w:tblLook w:val="04A0"/>
        </w:tblPrEx>
        <w:tc>
          <w:tcPr>
            <w:tcW w:w="3595" w:type="dxa"/>
          </w:tcPr>
          <w:p w:rsidR="00AD47D1" w:rsidP="00AD47D1" w14:paraId="75810C74" w14:textId="77777777">
            <w:pPr>
              <w:widowControl w:val="0"/>
              <w:tabs>
                <w:tab w:val="left" w:pos="900"/>
              </w:tabs>
              <w:contextualSpacing/>
            </w:pPr>
            <w:r>
              <w:t xml:space="preserve">    Non-Retail</w:t>
            </w:r>
          </w:p>
        </w:tc>
        <w:tc>
          <w:tcPr>
            <w:tcW w:w="1950" w:type="dxa"/>
          </w:tcPr>
          <w:p w:rsidR="00AD47D1" w:rsidP="00AD47D1" w14:paraId="72C7C456" w14:textId="1F9EB819">
            <w:pPr>
              <w:widowControl w:val="0"/>
              <w:tabs>
                <w:tab w:val="left" w:pos="900"/>
              </w:tabs>
              <w:contextualSpacing/>
              <w:jc w:val="right"/>
            </w:pPr>
            <w:r w:rsidRPr="001E5C5A">
              <w:t xml:space="preserve">144 </w:t>
            </w:r>
          </w:p>
        </w:tc>
        <w:tc>
          <w:tcPr>
            <w:tcW w:w="1950" w:type="dxa"/>
          </w:tcPr>
          <w:p w:rsidR="00AD47D1" w:rsidP="00AD47D1" w14:paraId="74C3FD5E" w14:textId="396E6D30">
            <w:pPr>
              <w:widowControl w:val="0"/>
              <w:tabs>
                <w:tab w:val="left" w:pos="900"/>
              </w:tabs>
              <w:contextualSpacing/>
              <w:jc w:val="right"/>
            </w:pPr>
            <w:r w:rsidRPr="001E5C5A">
              <w:t xml:space="preserve">2,947 </w:t>
            </w:r>
          </w:p>
        </w:tc>
        <w:tc>
          <w:tcPr>
            <w:tcW w:w="1950" w:type="dxa"/>
          </w:tcPr>
          <w:p w:rsidR="00AD47D1" w:rsidP="00AD47D1" w14:paraId="1DDBEF2B" w14:textId="42C92793">
            <w:pPr>
              <w:widowControl w:val="0"/>
              <w:tabs>
                <w:tab w:val="left" w:pos="900"/>
              </w:tabs>
              <w:contextualSpacing/>
              <w:jc w:val="right"/>
            </w:pPr>
            <w:r w:rsidRPr="001E5C5A">
              <w:t>3,091</w:t>
            </w:r>
          </w:p>
        </w:tc>
      </w:tr>
      <w:tr w14:paraId="14B4A379" w14:textId="77777777" w:rsidTr="008F7870">
        <w:tblPrEx>
          <w:tblW w:w="9445" w:type="dxa"/>
          <w:tblInd w:w="715" w:type="dxa"/>
          <w:tblLook w:val="04A0"/>
        </w:tblPrEx>
        <w:tc>
          <w:tcPr>
            <w:tcW w:w="3595" w:type="dxa"/>
          </w:tcPr>
          <w:p w:rsidR="00AD47D1" w:rsidP="00AD47D1" w14:paraId="6DD50406" w14:textId="77777777">
            <w:pPr>
              <w:widowControl w:val="0"/>
              <w:tabs>
                <w:tab w:val="left" w:pos="900"/>
              </w:tabs>
              <w:contextualSpacing/>
            </w:pPr>
            <w:r>
              <w:t xml:space="preserve">  State</w:t>
            </w:r>
          </w:p>
        </w:tc>
        <w:tc>
          <w:tcPr>
            <w:tcW w:w="1950" w:type="dxa"/>
          </w:tcPr>
          <w:p w:rsidR="00AD47D1" w:rsidP="00AD47D1" w14:paraId="20084674" w14:textId="7CCD5AD0">
            <w:pPr>
              <w:widowControl w:val="0"/>
              <w:tabs>
                <w:tab w:val="left" w:pos="900"/>
              </w:tabs>
              <w:contextualSpacing/>
              <w:jc w:val="right"/>
            </w:pPr>
            <w:r w:rsidRPr="001E5C5A">
              <w:t xml:space="preserve">2,760 </w:t>
            </w:r>
          </w:p>
        </w:tc>
        <w:tc>
          <w:tcPr>
            <w:tcW w:w="1950" w:type="dxa"/>
          </w:tcPr>
          <w:p w:rsidR="00AD47D1" w:rsidP="00AD47D1" w14:paraId="788395BF" w14:textId="4E36BF9C">
            <w:pPr>
              <w:widowControl w:val="0"/>
              <w:tabs>
                <w:tab w:val="left" w:pos="900"/>
              </w:tabs>
              <w:contextualSpacing/>
              <w:jc w:val="right"/>
            </w:pPr>
            <w:r w:rsidRPr="001E5C5A">
              <w:t xml:space="preserve">5,603 </w:t>
            </w:r>
          </w:p>
        </w:tc>
        <w:tc>
          <w:tcPr>
            <w:tcW w:w="1950" w:type="dxa"/>
          </w:tcPr>
          <w:p w:rsidR="00AD47D1" w:rsidP="00AD47D1" w14:paraId="6B14B6C5" w14:textId="1E485191">
            <w:pPr>
              <w:widowControl w:val="0"/>
              <w:tabs>
                <w:tab w:val="left" w:pos="900"/>
              </w:tabs>
              <w:contextualSpacing/>
              <w:jc w:val="right"/>
            </w:pPr>
            <w:r w:rsidRPr="001E5C5A">
              <w:t>8,363</w:t>
            </w:r>
          </w:p>
        </w:tc>
      </w:tr>
      <w:tr w14:paraId="4756DE0F" w14:textId="77777777" w:rsidTr="008F7870">
        <w:tblPrEx>
          <w:tblW w:w="9445" w:type="dxa"/>
          <w:tblInd w:w="715" w:type="dxa"/>
          <w:tblLook w:val="04A0"/>
        </w:tblPrEx>
        <w:tc>
          <w:tcPr>
            <w:tcW w:w="3595" w:type="dxa"/>
          </w:tcPr>
          <w:p w:rsidR="00AD47D1" w:rsidP="00AD47D1" w14:paraId="70F00ED4" w14:textId="77777777">
            <w:pPr>
              <w:widowControl w:val="0"/>
              <w:tabs>
                <w:tab w:val="left" w:pos="900"/>
              </w:tabs>
              <w:contextualSpacing/>
            </w:pPr>
            <w:r>
              <w:t xml:space="preserve">    Retail</w:t>
            </w:r>
          </w:p>
        </w:tc>
        <w:tc>
          <w:tcPr>
            <w:tcW w:w="1950" w:type="dxa"/>
          </w:tcPr>
          <w:p w:rsidR="00AD47D1" w:rsidP="00AD47D1" w14:paraId="4475CBDC" w14:textId="7EE1DD3B">
            <w:pPr>
              <w:widowControl w:val="0"/>
              <w:tabs>
                <w:tab w:val="left" w:pos="900"/>
              </w:tabs>
              <w:contextualSpacing/>
              <w:jc w:val="right"/>
            </w:pPr>
            <w:r w:rsidRPr="001E5C5A">
              <w:t xml:space="preserve">2,192 </w:t>
            </w:r>
          </w:p>
        </w:tc>
        <w:tc>
          <w:tcPr>
            <w:tcW w:w="1950" w:type="dxa"/>
          </w:tcPr>
          <w:p w:rsidR="00AD47D1" w:rsidP="00AD47D1" w14:paraId="761A7FAD" w14:textId="5EA1CB99">
            <w:pPr>
              <w:widowControl w:val="0"/>
              <w:tabs>
                <w:tab w:val="left" w:pos="900"/>
              </w:tabs>
              <w:contextualSpacing/>
              <w:jc w:val="right"/>
            </w:pPr>
            <w:r w:rsidRPr="001E5C5A">
              <w:t xml:space="preserve">4,450 </w:t>
            </w:r>
          </w:p>
        </w:tc>
        <w:tc>
          <w:tcPr>
            <w:tcW w:w="1950" w:type="dxa"/>
          </w:tcPr>
          <w:p w:rsidR="00AD47D1" w:rsidP="00AD47D1" w14:paraId="71A0F7FF" w14:textId="46D7AF90">
            <w:pPr>
              <w:widowControl w:val="0"/>
              <w:tabs>
                <w:tab w:val="left" w:pos="900"/>
              </w:tabs>
              <w:contextualSpacing/>
              <w:jc w:val="right"/>
            </w:pPr>
            <w:r w:rsidRPr="001E5C5A">
              <w:t xml:space="preserve">6,642 </w:t>
            </w:r>
          </w:p>
        </w:tc>
      </w:tr>
      <w:tr w14:paraId="16C474FD" w14:textId="77777777" w:rsidTr="008F7870">
        <w:tblPrEx>
          <w:tblW w:w="9445" w:type="dxa"/>
          <w:tblInd w:w="715" w:type="dxa"/>
          <w:tblLook w:val="04A0"/>
        </w:tblPrEx>
        <w:tc>
          <w:tcPr>
            <w:tcW w:w="3595" w:type="dxa"/>
          </w:tcPr>
          <w:p w:rsidR="00AD47D1" w:rsidP="00AD47D1" w14:paraId="6A91B8FE" w14:textId="77777777">
            <w:pPr>
              <w:widowControl w:val="0"/>
              <w:tabs>
                <w:tab w:val="left" w:pos="900"/>
              </w:tabs>
              <w:contextualSpacing/>
            </w:pPr>
            <w:r>
              <w:t xml:space="preserve">    Non-Retail</w:t>
            </w:r>
          </w:p>
        </w:tc>
        <w:tc>
          <w:tcPr>
            <w:tcW w:w="1950" w:type="dxa"/>
          </w:tcPr>
          <w:p w:rsidR="00AD47D1" w:rsidP="00AD47D1" w14:paraId="7372D66A" w14:textId="72A568CB">
            <w:pPr>
              <w:widowControl w:val="0"/>
              <w:tabs>
                <w:tab w:val="left" w:pos="900"/>
              </w:tabs>
              <w:contextualSpacing/>
              <w:jc w:val="right"/>
            </w:pPr>
            <w:r w:rsidRPr="001E5C5A">
              <w:t xml:space="preserve">568 </w:t>
            </w:r>
          </w:p>
        </w:tc>
        <w:tc>
          <w:tcPr>
            <w:tcW w:w="1950" w:type="dxa"/>
          </w:tcPr>
          <w:p w:rsidR="00AD47D1" w:rsidP="00AD47D1" w14:paraId="1798A12A" w14:textId="41CE6F60">
            <w:pPr>
              <w:widowControl w:val="0"/>
              <w:tabs>
                <w:tab w:val="left" w:pos="900"/>
              </w:tabs>
              <w:contextualSpacing/>
              <w:jc w:val="right"/>
            </w:pPr>
            <w:r w:rsidRPr="001E5C5A">
              <w:t xml:space="preserve">1,153 </w:t>
            </w:r>
          </w:p>
        </w:tc>
        <w:tc>
          <w:tcPr>
            <w:tcW w:w="1950" w:type="dxa"/>
          </w:tcPr>
          <w:p w:rsidR="00AD47D1" w:rsidP="00AD47D1" w14:paraId="556B7716" w14:textId="42F0F12C">
            <w:pPr>
              <w:widowControl w:val="0"/>
              <w:tabs>
                <w:tab w:val="left" w:pos="900"/>
              </w:tabs>
              <w:contextualSpacing/>
              <w:jc w:val="right"/>
            </w:pPr>
            <w:r w:rsidRPr="001E5C5A">
              <w:t>1,721</w:t>
            </w:r>
          </w:p>
        </w:tc>
      </w:tr>
      <w:tr w14:paraId="218333FA" w14:textId="77777777" w:rsidTr="008F7870">
        <w:tblPrEx>
          <w:tblW w:w="9445" w:type="dxa"/>
          <w:tblInd w:w="715" w:type="dxa"/>
          <w:tblLook w:val="04A0"/>
        </w:tblPrEx>
        <w:tc>
          <w:tcPr>
            <w:tcW w:w="3595" w:type="dxa"/>
          </w:tcPr>
          <w:p w:rsidR="00AD47D1" w:rsidP="00AD47D1" w14:paraId="09C8DA44" w14:textId="77777777">
            <w:pPr>
              <w:widowControl w:val="0"/>
              <w:tabs>
                <w:tab w:val="left" w:pos="900"/>
              </w:tabs>
              <w:contextualSpacing/>
            </w:pPr>
            <w:r>
              <w:t>Insurer</w:t>
            </w:r>
          </w:p>
        </w:tc>
        <w:tc>
          <w:tcPr>
            <w:tcW w:w="1950" w:type="dxa"/>
          </w:tcPr>
          <w:p w:rsidR="00AD47D1" w:rsidP="00AD47D1" w14:paraId="796A19B3" w14:textId="083DA4A8">
            <w:pPr>
              <w:widowControl w:val="0"/>
              <w:tabs>
                <w:tab w:val="left" w:pos="900"/>
              </w:tabs>
              <w:contextualSpacing/>
              <w:jc w:val="right"/>
            </w:pPr>
            <w:r w:rsidRPr="001E5C5A">
              <w:t xml:space="preserve">71 </w:t>
            </w:r>
          </w:p>
        </w:tc>
        <w:tc>
          <w:tcPr>
            <w:tcW w:w="1950" w:type="dxa"/>
          </w:tcPr>
          <w:p w:rsidR="00AD47D1" w:rsidP="00AD47D1" w14:paraId="7668CE4D" w14:textId="4C49EBE3">
            <w:pPr>
              <w:widowControl w:val="0"/>
              <w:tabs>
                <w:tab w:val="left" w:pos="900"/>
              </w:tabs>
              <w:contextualSpacing/>
              <w:jc w:val="right"/>
            </w:pPr>
            <w:r w:rsidRPr="001E5C5A">
              <w:t xml:space="preserve">13 </w:t>
            </w:r>
          </w:p>
        </w:tc>
        <w:tc>
          <w:tcPr>
            <w:tcW w:w="1950" w:type="dxa"/>
          </w:tcPr>
          <w:p w:rsidR="00AD47D1" w:rsidP="00AD47D1" w14:paraId="2DBF5DEE" w14:textId="125E4441">
            <w:pPr>
              <w:widowControl w:val="0"/>
              <w:tabs>
                <w:tab w:val="left" w:pos="900"/>
              </w:tabs>
              <w:contextualSpacing/>
              <w:jc w:val="right"/>
            </w:pPr>
            <w:r w:rsidRPr="001E5C5A">
              <w:t xml:space="preserve">84 </w:t>
            </w:r>
          </w:p>
        </w:tc>
      </w:tr>
      <w:tr w14:paraId="5100BAE9" w14:textId="77777777" w:rsidTr="008F7870">
        <w:tblPrEx>
          <w:tblW w:w="9445" w:type="dxa"/>
          <w:tblInd w:w="715" w:type="dxa"/>
          <w:tblLook w:val="04A0"/>
        </w:tblPrEx>
        <w:tc>
          <w:tcPr>
            <w:tcW w:w="3595" w:type="dxa"/>
          </w:tcPr>
          <w:p w:rsidR="00AD47D1" w:rsidP="00AD47D1" w14:paraId="416DC05B" w14:textId="77777777">
            <w:pPr>
              <w:widowControl w:val="0"/>
              <w:tabs>
                <w:tab w:val="left" w:pos="900"/>
              </w:tabs>
              <w:contextualSpacing/>
            </w:pPr>
            <w:r w:rsidRPr="00F2188F">
              <w:t>Robo-Adviser</w:t>
            </w:r>
          </w:p>
        </w:tc>
        <w:tc>
          <w:tcPr>
            <w:tcW w:w="1950" w:type="dxa"/>
          </w:tcPr>
          <w:p w:rsidR="00AD47D1" w:rsidP="00AD47D1" w14:paraId="2A79484A" w14:textId="508044CE">
            <w:pPr>
              <w:widowControl w:val="0"/>
              <w:tabs>
                <w:tab w:val="left" w:pos="900"/>
              </w:tabs>
              <w:contextualSpacing/>
              <w:jc w:val="right"/>
            </w:pPr>
            <w:r w:rsidRPr="001E5C5A">
              <w:t xml:space="preserve">10 </w:t>
            </w:r>
          </w:p>
        </w:tc>
        <w:tc>
          <w:tcPr>
            <w:tcW w:w="1950" w:type="dxa"/>
          </w:tcPr>
          <w:p w:rsidR="00AD47D1" w:rsidP="00AD47D1" w14:paraId="09D70193" w14:textId="06A08364">
            <w:pPr>
              <w:widowControl w:val="0"/>
              <w:tabs>
                <w:tab w:val="left" w:pos="900"/>
              </w:tabs>
              <w:contextualSpacing/>
              <w:jc w:val="right"/>
            </w:pPr>
            <w:r w:rsidRPr="001E5C5A">
              <w:t xml:space="preserve">190 </w:t>
            </w:r>
          </w:p>
        </w:tc>
        <w:tc>
          <w:tcPr>
            <w:tcW w:w="1950" w:type="dxa"/>
          </w:tcPr>
          <w:p w:rsidR="00AD47D1" w:rsidP="00AD47D1" w14:paraId="18640AD8" w14:textId="13D824C6">
            <w:pPr>
              <w:widowControl w:val="0"/>
              <w:tabs>
                <w:tab w:val="left" w:pos="900"/>
              </w:tabs>
              <w:contextualSpacing/>
              <w:jc w:val="right"/>
            </w:pPr>
            <w:r>
              <w:t>200</w:t>
            </w:r>
          </w:p>
        </w:tc>
      </w:tr>
      <w:tr w14:paraId="541C0C8C" w14:textId="77777777" w:rsidTr="00E925C7">
        <w:tblPrEx>
          <w:tblW w:w="9445" w:type="dxa"/>
          <w:tblInd w:w="715" w:type="dxa"/>
          <w:tblLook w:val="04A0"/>
        </w:tblPrEx>
        <w:tc>
          <w:tcPr>
            <w:tcW w:w="3595" w:type="dxa"/>
            <w:tcBorders>
              <w:bottom w:val="single" w:sz="4" w:space="0" w:color="auto"/>
            </w:tcBorders>
          </w:tcPr>
          <w:p w:rsidR="00AD47D1" w:rsidP="00AD47D1" w14:paraId="2F59A822" w14:textId="78F43204">
            <w:pPr>
              <w:widowControl w:val="0"/>
              <w:tabs>
                <w:tab w:val="left" w:pos="900"/>
              </w:tabs>
              <w:contextualSpacing/>
            </w:pPr>
            <w:r w:rsidRPr="00EB220A">
              <w:t>Non-Bank Trustee</w:t>
            </w:r>
          </w:p>
        </w:tc>
        <w:tc>
          <w:tcPr>
            <w:tcW w:w="1950" w:type="dxa"/>
            <w:tcBorders>
              <w:bottom w:val="single" w:sz="4" w:space="0" w:color="auto"/>
            </w:tcBorders>
          </w:tcPr>
          <w:p w:rsidR="00AD47D1" w:rsidP="00AD47D1" w14:paraId="1D93DED8" w14:textId="6939BE78">
            <w:pPr>
              <w:widowControl w:val="0"/>
              <w:tabs>
                <w:tab w:val="left" w:pos="900"/>
              </w:tabs>
              <w:contextualSpacing/>
              <w:jc w:val="right"/>
            </w:pPr>
            <w:r w:rsidRPr="001E5C5A">
              <w:t>3</w:t>
            </w:r>
            <w:r w:rsidR="007A00AB">
              <w:t>0</w:t>
            </w:r>
          </w:p>
        </w:tc>
        <w:tc>
          <w:tcPr>
            <w:tcW w:w="1950" w:type="dxa"/>
            <w:tcBorders>
              <w:bottom w:val="single" w:sz="4" w:space="0" w:color="auto"/>
            </w:tcBorders>
          </w:tcPr>
          <w:p w:rsidR="00AD47D1" w:rsidP="00AD47D1" w14:paraId="4CD8CAAD" w14:textId="77036AF6">
            <w:pPr>
              <w:widowControl w:val="0"/>
              <w:tabs>
                <w:tab w:val="left" w:pos="900"/>
              </w:tabs>
              <w:contextualSpacing/>
              <w:jc w:val="right"/>
            </w:pPr>
            <w:r>
              <w:t>1</w:t>
            </w:r>
          </w:p>
        </w:tc>
        <w:tc>
          <w:tcPr>
            <w:tcW w:w="1950" w:type="dxa"/>
            <w:tcBorders>
              <w:bottom w:val="single" w:sz="4" w:space="0" w:color="auto"/>
            </w:tcBorders>
          </w:tcPr>
          <w:p w:rsidR="00AD47D1" w:rsidP="00AD47D1" w14:paraId="33E43041" w14:textId="050F5A7E">
            <w:pPr>
              <w:widowControl w:val="0"/>
              <w:tabs>
                <w:tab w:val="left" w:pos="900"/>
              </w:tabs>
              <w:contextualSpacing/>
              <w:jc w:val="right"/>
            </w:pPr>
            <w:r w:rsidRPr="001E5C5A">
              <w:t>31</w:t>
            </w:r>
          </w:p>
        </w:tc>
      </w:tr>
      <w:tr w14:paraId="0AA3C0D6" w14:textId="77777777" w:rsidTr="00906591">
        <w:tblPrEx>
          <w:tblW w:w="9445" w:type="dxa"/>
          <w:tblInd w:w="715" w:type="dxa"/>
          <w:tblLook w:val="04A0"/>
        </w:tblPrEx>
        <w:tc>
          <w:tcPr>
            <w:tcW w:w="3595" w:type="dxa"/>
            <w:tcBorders>
              <w:top w:val="double" w:sz="4" w:space="0" w:color="auto"/>
              <w:bottom w:val="double" w:sz="4" w:space="0" w:color="auto"/>
            </w:tcBorders>
          </w:tcPr>
          <w:p w:rsidR="00AD47D1" w:rsidP="00AD47D1" w14:paraId="4F22FA20" w14:textId="77777777">
            <w:pPr>
              <w:widowControl w:val="0"/>
              <w:tabs>
                <w:tab w:val="left" w:pos="900"/>
              </w:tabs>
              <w:contextualSpacing/>
            </w:pPr>
            <w:r>
              <w:t>Total</w:t>
            </w:r>
          </w:p>
        </w:tc>
        <w:tc>
          <w:tcPr>
            <w:tcW w:w="1950" w:type="dxa"/>
            <w:tcBorders>
              <w:top w:val="double" w:sz="4" w:space="0" w:color="auto"/>
              <w:bottom w:val="double" w:sz="4" w:space="0" w:color="auto"/>
            </w:tcBorders>
          </w:tcPr>
          <w:p w:rsidR="00AD47D1" w:rsidP="00AD47D1" w14:paraId="0BE27A64" w14:textId="66E6A4A5">
            <w:pPr>
              <w:widowControl w:val="0"/>
              <w:tabs>
                <w:tab w:val="left" w:pos="900"/>
              </w:tabs>
              <w:contextualSpacing/>
              <w:jc w:val="right"/>
            </w:pPr>
            <w:r>
              <w:t>3,531</w:t>
            </w:r>
            <w:r w:rsidRPr="001E5C5A">
              <w:t xml:space="preserve"> </w:t>
            </w:r>
          </w:p>
        </w:tc>
        <w:tc>
          <w:tcPr>
            <w:tcW w:w="1950" w:type="dxa"/>
            <w:tcBorders>
              <w:top w:val="double" w:sz="4" w:space="0" w:color="auto"/>
              <w:bottom w:val="double" w:sz="4" w:space="0" w:color="auto"/>
            </w:tcBorders>
          </w:tcPr>
          <w:p w:rsidR="00AD47D1" w:rsidP="00AD47D1" w14:paraId="0A7DFCDD" w14:textId="75913E4A">
            <w:pPr>
              <w:widowControl w:val="0"/>
              <w:tabs>
                <w:tab w:val="left" w:pos="900"/>
              </w:tabs>
              <w:contextualSpacing/>
              <w:jc w:val="right"/>
            </w:pPr>
            <w:r>
              <w:t>15,101</w:t>
            </w:r>
            <w:r w:rsidRPr="001E5C5A">
              <w:t xml:space="preserve"> </w:t>
            </w:r>
          </w:p>
        </w:tc>
        <w:tc>
          <w:tcPr>
            <w:tcW w:w="1950" w:type="dxa"/>
            <w:tcBorders>
              <w:top w:val="double" w:sz="4" w:space="0" w:color="auto"/>
              <w:bottom w:val="double" w:sz="4" w:space="0" w:color="auto"/>
            </w:tcBorders>
          </w:tcPr>
          <w:p w:rsidR="00AD47D1" w:rsidP="00AD47D1" w14:paraId="1E5A560C" w14:textId="3384A0F2">
            <w:pPr>
              <w:widowControl w:val="0"/>
              <w:tabs>
                <w:tab w:val="left" w:pos="900"/>
              </w:tabs>
              <w:contextualSpacing/>
              <w:jc w:val="right"/>
            </w:pPr>
            <w:r>
              <w:t>18,632</w:t>
            </w:r>
          </w:p>
        </w:tc>
      </w:tr>
      <w:tr w14:paraId="195E17E4" w14:textId="77777777" w:rsidTr="008F7870">
        <w:tblPrEx>
          <w:tblW w:w="9445" w:type="dxa"/>
          <w:tblInd w:w="715" w:type="dxa"/>
          <w:tblLook w:val="04A0"/>
        </w:tblPrEx>
        <w:tc>
          <w:tcPr>
            <w:tcW w:w="9445" w:type="dxa"/>
            <w:gridSpan w:val="4"/>
            <w:tcBorders>
              <w:top w:val="double" w:sz="4" w:space="0" w:color="auto"/>
            </w:tcBorders>
          </w:tcPr>
          <w:p w:rsidR="009F38B4" w:rsidRPr="00906591" w:rsidP="00906591" w14:paraId="1B8A07E8" w14:textId="48801169">
            <w:pPr>
              <w:widowControl w:val="0"/>
              <w:tabs>
                <w:tab w:val="left" w:pos="900"/>
              </w:tabs>
              <w:contextualSpacing/>
              <w:rPr>
                <w:sz w:val="22"/>
                <w:szCs w:val="22"/>
              </w:rPr>
            </w:pPr>
            <w:r w:rsidRPr="00906591">
              <w:rPr>
                <w:sz w:val="22"/>
                <w:szCs w:val="22"/>
              </w:rPr>
              <w:t>Note: Values displayed are rounded to whole numbers; therefore, parts may not sum.</w:t>
            </w:r>
          </w:p>
        </w:tc>
      </w:tr>
    </w:tbl>
    <w:p w:rsidR="00193F1C" w:rsidRPr="0092101D" w:rsidP="0003285A" w14:paraId="2BCFBB66" w14:textId="77777777">
      <w:pPr>
        <w:pStyle w:val="BodyTextIndent"/>
        <w:rPr>
          <w:color w:val="000000" w:themeColor="text1"/>
        </w:rPr>
      </w:pPr>
    </w:p>
    <w:p w:rsidR="00AD3A21" w:rsidP="0003285A" w14:paraId="2A6A8FAC" w14:textId="6F0F4F44">
      <w:pPr>
        <w:pStyle w:val="BodyTextIndent"/>
        <w:contextualSpacing/>
        <w:rPr>
          <w:color w:val="000000" w:themeColor="text1"/>
        </w:rPr>
      </w:pPr>
      <w:r>
        <w:rPr>
          <w:color w:val="000000" w:themeColor="text1"/>
        </w:rPr>
        <w:t>The Department has</w:t>
      </w:r>
      <w:r w:rsidRPr="00CB4502" w:rsidR="00090A79">
        <w:rPr>
          <w:color w:val="000000" w:themeColor="text1"/>
        </w:rPr>
        <w:t xml:space="preserve"> not considered </w:t>
      </w:r>
      <w:r w:rsidR="006522DC">
        <w:rPr>
          <w:color w:val="000000" w:themeColor="text1"/>
        </w:rPr>
        <w:t>b</w:t>
      </w:r>
      <w:r>
        <w:rPr>
          <w:color w:val="000000" w:themeColor="text1"/>
        </w:rPr>
        <w:t>anks</w:t>
      </w:r>
      <w:r w:rsidR="007651B6">
        <w:rPr>
          <w:color w:val="000000" w:themeColor="text1"/>
        </w:rPr>
        <w:t xml:space="preserve"> in</w:t>
      </w:r>
      <w:r w:rsidRPr="00CB4502" w:rsidR="00090A79">
        <w:rPr>
          <w:color w:val="000000" w:themeColor="text1"/>
        </w:rPr>
        <w:t xml:space="preserve"> this analysis</w:t>
      </w:r>
      <w:r w:rsidR="00332BA5">
        <w:rPr>
          <w:color w:val="000000" w:themeColor="text1"/>
        </w:rPr>
        <w:t xml:space="preserve">, because </w:t>
      </w:r>
      <w:r w:rsidRPr="00CB4502" w:rsidR="00570678">
        <w:rPr>
          <w:color w:val="000000" w:themeColor="text1"/>
        </w:rPr>
        <w:t>the Department believes that referrals by banks are not likely to constitute fiduciary investment advice within the meaning of the exemption</w:t>
      </w:r>
      <w:r w:rsidRPr="00CB4502" w:rsidR="00090A79">
        <w:rPr>
          <w:color w:val="000000" w:themeColor="text1"/>
        </w:rPr>
        <w:t>.</w:t>
      </w:r>
      <w:r w:rsidRPr="00CB4502" w:rsidR="009C7814">
        <w:rPr>
          <w:color w:val="000000" w:themeColor="text1"/>
        </w:rPr>
        <w:t xml:space="preserve"> </w:t>
      </w:r>
      <w:r w:rsidRPr="00CB4502" w:rsidR="006523EB">
        <w:rPr>
          <w:color w:val="000000" w:themeColor="text1"/>
        </w:rPr>
        <w:t xml:space="preserve">The Department assumes that </w:t>
      </w:r>
      <w:r w:rsidRPr="00CB4502" w:rsidR="00AF4AF3">
        <w:rPr>
          <w:color w:val="000000" w:themeColor="text1"/>
        </w:rPr>
        <w:t>Financial Institution</w:t>
      </w:r>
      <w:r w:rsidRPr="00CB4502" w:rsidR="00EA2A06">
        <w:rPr>
          <w:color w:val="000000" w:themeColor="text1"/>
        </w:rPr>
        <w:t>s</w:t>
      </w:r>
      <w:r w:rsidRPr="00CB4502" w:rsidR="006523EB">
        <w:rPr>
          <w:color w:val="000000" w:themeColor="text1"/>
        </w:rPr>
        <w:t xml:space="preserve"> </w:t>
      </w:r>
      <w:r w:rsidRPr="00CB4502" w:rsidR="005473C9">
        <w:rPr>
          <w:color w:val="000000" w:themeColor="text1"/>
        </w:rPr>
        <w:t xml:space="preserve">will </w:t>
      </w:r>
      <w:r w:rsidRPr="00CB4502" w:rsidR="006523EB">
        <w:rPr>
          <w:color w:val="000000" w:themeColor="text1"/>
        </w:rPr>
        <w:t xml:space="preserve">use the </w:t>
      </w:r>
      <w:r w:rsidRPr="00CB4502" w:rsidR="003467DC">
        <w:rPr>
          <w:color w:val="000000" w:themeColor="text1"/>
        </w:rPr>
        <w:t>exemption</w:t>
      </w:r>
      <w:r w:rsidRPr="00CB4502" w:rsidR="006523EB">
        <w:rPr>
          <w:color w:val="000000" w:themeColor="text1"/>
        </w:rPr>
        <w:t xml:space="preserve"> in conjunction with transactions involving nearly all of their clients that are defined benefits </w:t>
      </w:r>
      <w:r w:rsidR="00A60913">
        <w:rPr>
          <w:color w:val="000000" w:themeColor="text1"/>
        </w:rPr>
        <w:t>P</w:t>
      </w:r>
      <w:r w:rsidRPr="00CB4502" w:rsidR="006523EB">
        <w:rPr>
          <w:color w:val="000000" w:themeColor="text1"/>
        </w:rPr>
        <w:t xml:space="preserve">lans, defined contribution </w:t>
      </w:r>
      <w:r w:rsidR="00A60913">
        <w:rPr>
          <w:color w:val="000000" w:themeColor="text1"/>
        </w:rPr>
        <w:t>P</w:t>
      </w:r>
      <w:r w:rsidRPr="00CB4502" w:rsidR="006523EB">
        <w:rPr>
          <w:color w:val="000000" w:themeColor="text1"/>
        </w:rPr>
        <w:t>lans, and IRA holders.</w:t>
      </w:r>
      <w:r w:rsidRPr="00CB4502" w:rsidR="00E04D5E">
        <w:rPr>
          <w:rStyle w:val="FootnoteReference"/>
          <w:color w:val="000000" w:themeColor="text1"/>
        </w:rPr>
        <w:t xml:space="preserve"> </w:t>
      </w:r>
    </w:p>
    <w:p w:rsidR="00890247" w:rsidP="0003285A" w14:paraId="03ABC9E7" w14:textId="706D4455">
      <w:pPr>
        <w:pStyle w:val="BodyTextIndent"/>
        <w:contextualSpacing/>
        <w:rPr>
          <w:color w:val="000000" w:themeColor="text1"/>
        </w:rPr>
      </w:pPr>
    </w:p>
    <w:p w:rsidR="00890247" w:rsidP="0003285A" w14:paraId="2AE37188" w14:textId="52035068">
      <w:pPr>
        <w:pStyle w:val="BodyTextIndent"/>
        <w:contextualSpacing/>
        <w:rPr>
          <w:color w:val="000000" w:themeColor="text1"/>
        </w:rPr>
      </w:pPr>
      <w:r>
        <w:rPr>
          <w:color w:val="000000" w:themeColor="text1"/>
        </w:rPr>
        <w:t xml:space="preserve">The Department also assumes that </w:t>
      </w:r>
      <w:r w:rsidR="00AF4AF3">
        <w:rPr>
          <w:color w:val="000000" w:themeColor="text1"/>
        </w:rPr>
        <w:t>Financial Institution</w:t>
      </w:r>
      <w:r w:rsidR="00EA2A06">
        <w:rPr>
          <w:color w:val="000000" w:themeColor="text1"/>
        </w:rPr>
        <w:t>s</w:t>
      </w:r>
      <w:r w:rsidR="006A1F97">
        <w:rPr>
          <w:color w:val="000000" w:themeColor="text1"/>
        </w:rPr>
        <w:t xml:space="preserve"> </w:t>
      </w:r>
      <w:r>
        <w:rPr>
          <w:color w:val="000000" w:themeColor="text1"/>
        </w:rPr>
        <w:t xml:space="preserve">use existing in-house resources to prepare the disclosures, policies and procedures, and retrospective reviews and to maintain the recordkeeping systems necessary to meet the requirements of the </w:t>
      </w:r>
      <w:r w:rsidR="003467DC">
        <w:rPr>
          <w:color w:val="000000" w:themeColor="text1"/>
        </w:rPr>
        <w:t>exemption</w:t>
      </w:r>
      <w:r>
        <w:rPr>
          <w:color w:val="000000" w:themeColor="text1"/>
        </w:rPr>
        <w:t>.</w:t>
      </w:r>
    </w:p>
    <w:p w:rsidR="00E013EA" w:rsidP="0003285A" w14:paraId="53CB0EE0" w14:textId="5668A596">
      <w:pPr>
        <w:pStyle w:val="BodyTextIndent"/>
        <w:contextualSpacing/>
        <w:rPr>
          <w:color w:val="000000" w:themeColor="text1"/>
        </w:rPr>
      </w:pPr>
    </w:p>
    <w:p w:rsidR="008A26DF" w:rsidP="008A26DF" w14:paraId="3665E73F" w14:textId="6011A35F">
      <w:pPr>
        <w:widowControl w:val="0"/>
        <w:tabs>
          <w:tab w:val="left" w:pos="900"/>
        </w:tabs>
        <w:ind w:left="720"/>
        <w:contextualSpacing/>
      </w:pPr>
      <w:r>
        <w:t>In the analysis discussed below, a</w:t>
      </w:r>
      <w:r w:rsidRPr="00E973FC">
        <w:t xml:space="preserve"> combination of personnel </w:t>
      </w:r>
      <w:r>
        <w:t>would</w:t>
      </w:r>
      <w:r w:rsidRPr="00E973FC">
        <w:t xml:space="preserve"> perform the tasks associated with the ICRs at an hourly wage rate of</w:t>
      </w:r>
      <w:r>
        <w:t xml:space="preserve"> </w:t>
      </w:r>
      <w:r w:rsidRPr="00E973FC">
        <w:t>$</w:t>
      </w:r>
      <w:r w:rsidR="000610AB">
        <w:t>65.99</w:t>
      </w:r>
      <w:r>
        <w:t xml:space="preserve"> for clerical personnel, $</w:t>
      </w:r>
      <w:r w:rsidR="00E34A29">
        <w:t>138.37</w:t>
      </w:r>
      <w:r>
        <w:t xml:space="preserve"> for a computer programmer, </w:t>
      </w:r>
      <w:r w:rsidRPr="00E973FC">
        <w:t>$</w:t>
      </w:r>
      <w:r w:rsidR="0007388C">
        <w:t>165.71</w:t>
      </w:r>
      <w:r w:rsidRPr="00E973FC">
        <w:t xml:space="preserve"> for a legal professional</w:t>
      </w:r>
      <w:r>
        <w:t>, and $</w:t>
      </w:r>
      <w:r w:rsidR="00E902DA">
        <w:t>228.00</w:t>
      </w:r>
      <w:r>
        <w:t xml:space="preserve"> for a financial advis</w:t>
      </w:r>
      <w:r w:rsidR="00D6696A">
        <w:t>e</w:t>
      </w:r>
      <w:r>
        <w:t>r.</w:t>
      </w:r>
      <w:r>
        <w:rPr>
          <w:vertAlign w:val="superscript"/>
        </w:rPr>
        <w:footnoteReference w:id="10"/>
      </w:r>
      <w:r>
        <w:t xml:space="preserve"> </w:t>
      </w:r>
    </w:p>
    <w:p w:rsidR="008A26DF" w:rsidP="008F7870" w14:paraId="2804175E" w14:textId="77777777">
      <w:pPr>
        <w:widowControl w:val="0"/>
        <w:tabs>
          <w:tab w:val="left" w:pos="900"/>
        </w:tabs>
        <w:ind w:left="720"/>
        <w:contextualSpacing/>
      </w:pPr>
    </w:p>
    <w:p w:rsidR="008A26DF" w:rsidP="008A26DF" w14:paraId="7E651EDE" w14:textId="7BA98FBC">
      <w:pPr>
        <w:widowControl w:val="0"/>
        <w:ind w:left="720"/>
        <w:contextualSpacing/>
      </w:pPr>
      <w:r>
        <w:t xml:space="preserve">The Department does not have information on how many </w:t>
      </w:r>
      <w:r w:rsidR="00AF4AF3">
        <w:t>Retirement Investor</w:t>
      </w:r>
      <w:r w:rsidR="00EA2A06">
        <w:t>s</w:t>
      </w:r>
      <w:r>
        <w:t xml:space="preserve">, including </w:t>
      </w:r>
      <w:r w:rsidR="00A60913">
        <w:t>Plan</w:t>
      </w:r>
      <w:r>
        <w:t xml:space="preserve"> beneficiaries and participants and IRA owners, receive disclosures electronically from investment advice fiduciaries. </w:t>
      </w:r>
      <w:r w:rsidR="00E04D5E">
        <w:t xml:space="preserve">Therefore, </w:t>
      </w:r>
      <w:r w:rsidR="001F446A">
        <w:t>f</w:t>
      </w:r>
      <w:r>
        <w:t>or  purposes of this analysis, the Department assumes that the percent</w:t>
      </w:r>
      <w:r w:rsidR="001B4A48">
        <w:t>age</w:t>
      </w:r>
      <w:r>
        <w:t xml:space="preserve"> of </w:t>
      </w:r>
      <w:r w:rsidR="00AF4AF3">
        <w:t>Retirement Investor</w:t>
      </w:r>
      <w:r w:rsidR="00EA2A06">
        <w:t>s</w:t>
      </w:r>
      <w:r>
        <w:t xml:space="preserve"> receiving disclosures electronically w</w:t>
      </w:r>
      <w:r w:rsidR="00D7578C">
        <w:t>ill</w:t>
      </w:r>
      <w:r w:rsidR="003A779F">
        <w:t xml:space="preserve"> </w:t>
      </w:r>
      <w:r>
        <w:t>be similar to the percent</w:t>
      </w:r>
      <w:r w:rsidR="00D51AB0">
        <w:t>age</w:t>
      </w:r>
      <w:r>
        <w:t xml:space="preserve"> of </w:t>
      </w:r>
      <w:r w:rsidR="00A60913">
        <w:t>Plan</w:t>
      </w:r>
      <w:r>
        <w:t xml:space="preserve"> participants receiving disclosures electronically under the Department’s 2020 electronic disclosure rules.</w:t>
      </w:r>
      <w:r>
        <w:rPr>
          <w:rStyle w:val="FootnoteReference"/>
        </w:rPr>
        <w:footnoteReference w:id="11"/>
      </w:r>
      <w:r>
        <w:t xml:space="preserve"> Accordingly, the Department estimates that </w:t>
      </w:r>
      <w:r w:rsidR="00F71F96">
        <w:t>96.1</w:t>
      </w:r>
      <w:r>
        <w:t xml:space="preserve"> percent of the disclosures sent to </w:t>
      </w:r>
      <w:r w:rsidR="00AF4AF3">
        <w:t>Retirement Investor</w:t>
      </w:r>
      <w:r w:rsidR="00EA2A06">
        <w:t>s</w:t>
      </w:r>
      <w:r>
        <w:t xml:space="preserve"> </w:t>
      </w:r>
      <w:r w:rsidR="00F25993">
        <w:t xml:space="preserve">will </w:t>
      </w:r>
      <w:r>
        <w:t xml:space="preserve">be sent electronically, and the remaining </w:t>
      </w:r>
      <w:r w:rsidR="00F71F96">
        <w:t>3.9</w:t>
      </w:r>
      <w:r>
        <w:t xml:space="preserve"> percent </w:t>
      </w:r>
      <w:r w:rsidR="00F25993">
        <w:t xml:space="preserve">will </w:t>
      </w:r>
      <w:r>
        <w:t>be sent by mail.</w:t>
      </w:r>
      <w:r>
        <w:rPr>
          <w:rStyle w:val="FootnoteReference"/>
        </w:rPr>
        <w:footnoteReference w:id="12"/>
      </w:r>
      <w:r w:rsidR="00C31E5C">
        <w:t xml:space="preserve"> Further, the Department assumes that approximately 72 percent of IRA owners will receive disclosures electronically.</w:t>
      </w:r>
      <w:r>
        <w:rPr>
          <w:rStyle w:val="FootnoteReference"/>
        </w:rPr>
        <w:footnoteReference w:id="13"/>
      </w:r>
    </w:p>
    <w:p w:rsidR="00D50419" w:rsidP="0003285A" w14:paraId="07A5531F" w14:textId="77777777">
      <w:pPr>
        <w:pStyle w:val="BodyTextIndent"/>
        <w:contextualSpacing/>
        <w:rPr>
          <w:color w:val="000000" w:themeColor="text1"/>
        </w:rPr>
      </w:pPr>
    </w:p>
    <w:p w:rsidR="00274265" w:rsidRPr="00906591" w:rsidP="0003285A" w14:paraId="3C1AD775" w14:textId="31DB1422">
      <w:pPr>
        <w:pStyle w:val="BodyTextIndent"/>
        <w:contextualSpacing/>
        <w:rPr>
          <w:iCs/>
          <w:color w:val="000000" w:themeColor="text1"/>
          <w:u w:val="single"/>
        </w:rPr>
      </w:pPr>
      <w:r w:rsidRPr="00906591">
        <w:rPr>
          <w:iCs/>
          <w:color w:val="000000" w:themeColor="text1"/>
          <w:u w:val="single"/>
        </w:rPr>
        <w:t>Disclosures for Investors</w:t>
      </w:r>
      <w:r w:rsidR="001C601D">
        <w:rPr>
          <w:iCs/>
          <w:color w:val="000000" w:themeColor="text1"/>
          <w:u w:val="single"/>
        </w:rPr>
        <w:t xml:space="preserve"> (</w:t>
      </w:r>
      <w:r w:rsidRPr="00906591">
        <w:rPr>
          <w:iCs/>
          <w:color w:val="000000" w:themeColor="text1"/>
          <w:u w:val="single"/>
        </w:rPr>
        <w:t>Production and Distribution</w:t>
      </w:r>
      <w:r w:rsidR="001C601D">
        <w:rPr>
          <w:iCs/>
          <w:color w:val="000000" w:themeColor="text1"/>
          <w:u w:val="single"/>
        </w:rPr>
        <w:t>)</w:t>
      </w:r>
    </w:p>
    <w:p w:rsidR="00274265" w:rsidP="0003285A" w14:paraId="1E182204" w14:textId="77777777">
      <w:pPr>
        <w:pStyle w:val="BodyTextIndent"/>
        <w:contextualSpacing/>
        <w:rPr>
          <w:i/>
          <w:color w:val="000000" w:themeColor="text1"/>
        </w:rPr>
      </w:pPr>
    </w:p>
    <w:p w:rsidR="005E200B" w:rsidP="0003285A" w14:paraId="56151941" w14:textId="1F8DCDAD">
      <w:pPr>
        <w:pStyle w:val="BodyTextIndent"/>
        <w:contextualSpacing/>
        <w:rPr>
          <w:i/>
          <w:color w:val="000000" w:themeColor="text1"/>
        </w:rPr>
      </w:pPr>
      <w:r>
        <w:rPr>
          <w:i/>
          <w:color w:val="000000" w:themeColor="text1"/>
        </w:rPr>
        <w:t xml:space="preserve">Drafting and Modifying Pre-Transaction </w:t>
      </w:r>
      <w:r w:rsidR="00A230FE">
        <w:rPr>
          <w:i/>
          <w:color w:val="000000" w:themeColor="text1"/>
        </w:rPr>
        <w:t>Disclosures</w:t>
      </w:r>
    </w:p>
    <w:p w:rsidR="005D2322" w:rsidP="0003285A" w14:paraId="3945D9AF" w14:textId="77777777">
      <w:pPr>
        <w:pStyle w:val="BodyTextIndent"/>
        <w:contextualSpacing/>
        <w:rPr>
          <w:i/>
          <w:color w:val="000000" w:themeColor="text1"/>
        </w:rPr>
      </w:pPr>
    </w:p>
    <w:p w:rsidR="00D921C7" w:rsidP="003E3D4D" w14:paraId="5473F29A" w14:textId="63170564">
      <w:pPr>
        <w:tabs>
          <w:tab w:val="left" w:pos="990"/>
        </w:tabs>
        <w:ind w:left="720"/>
      </w:pPr>
      <w:r>
        <w:t xml:space="preserve">Section II(b) currently requires </w:t>
      </w:r>
      <w:r w:rsidR="00AF4AF3">
        <w:t>Financial Institution</w:t>
      </w:r>
      <w:r w:rsidR="00EA2A06">
        <w:t>s</w:t>
      </w:r>
      <w:r>
        <w:t xml:space="preserve"> to provide certain disclosures to </w:t>
      </w:r>
      <w:r w:rsidR="00AF4AF3">
        <w:t>Retirement Investor</w:t>
      </w:r>
      <w:r w:rsidR="00EA2A06">
        <w:t>s</w:t>
      </w:r>
      <w:r>
        <w:t xml:space="preserve"> before engaging in a transaction pursuant to the exemption. These disclosures include:</w:t>
      </w:r>
    </w:p>
    <w:p w:rsidR="005907F6" w:rsidP="008F7870" w14:paraId="25FAF759" w14:textId="54812A12">
      <w:pPr>
        <w:pStyle w:val="ListParagraph"/>
        <w:numPr>
          <w:ilvl w:val="0"/>
          <w:numId w:val="16"/>
        </w:numPr>
        <w:ind w:left="1260" w:hanging="540"/>
      </w:pPr>
      <w:r>
        <w:t xml:space="preserve">a written acknowledgment that the </w:t>
      </w:r>
      <w:r w:rsidR="00AF4AF3">
        <w:t>Financial Institution</w:t>
      </w:r>
      <w:r>
        <w:t xml:space="preserve"> and its </w:t>
      </w:r>
      <w:r w:rsidR="00AF4AF3">
        <w:t>Investment Professional</w:t>
      </w:r>
      <w:r w:rsidR="00EA2A06">
        <w:t>s</w:t>
      </w:r>
      <w:r>
        <w:t xml:space="preserve"> are </w:t>
      </w:r>
      <w:r>
        <w:t>fiduciaries;</w:t>
      </w:r>
    </w:p>
    <w:p w:rsidR="005907F6" w:rsidP="008F7870" w14:paraId="27EFD153" w14:textId="4AAA48C3">
      <w:pPr>
        <w:pStyle w:val="ListParagraph"/>
        <w:numPr>
          <w:ilvl w:val="0"/>
          <w:numId w:val="16"/>
        </w:numPr>
        <w:ind w:left="1260" w:hanging="540"/>
      </w:pPr>
      <w:r>
        <w:t xml:space="preserve">a written description of the services to be provided and any </w:t>
      </w:r>
      <w:r w:rsidR="008A7824">
        <w:t xml:space="preserve">material </w:t>
      </w:r>
      <w:r>
        <w:t xml:space="preserve">conflicts of interest of the </w:t>
      </w:r>
      <w:r w:rsidR="00AF4AF3">
        <w:t>Investment Professional</w:t>
      </w:r>
      <w:r>
        <w:t xml:space="preserve"> and </w:t>
      </w:r>
      <w:r w:rsidR="00AF4AF3">
        <w:t>Financial Institution</w:t>
      </w:r>
      <w:r>
        <w:t>; and</w:t>
      </w:r>
    </w:p>
    <w:p w:rsidR="005907F6" w:rsidP="005907F6" w14:paraId="363E1546" w14:textId="32FC245F">
      <w:pPr>
        <w:pStyle w:val="ListParagraph"/>
        <w:numPr>
          <w:ilvl w:val="0"/>
          <w:numId w:val="16"/>
        </w:numPr>
        <w:ind w:left="1260" w:hanging="540"/>
      </w:pPr>
      <w:r w:rsidRPr="001A2F79">
        <w:t>d</w:t>
      </w:r>
      <w:r w:rsidR="0074030E">
        <w:t xml:space="preserve">isclosure </w:t>
      </w:r>
      <w:r w:rsidRPr="001A2F79">
        <w:t xml:space="preserve"> of</w:t>
      </w:r>
      <w:r w:rsidRPr="001A2F79">
        <w:t xml:space="preserve"> the </w:t>
      </w:r>
      <w:r w:rsidR="00AF4AF3">
        <w:t>Financial Institution</w:t>
      </w:r>
      <w:r w:rsidRPr="001A2F79">
        <w:t xml:space="preserve"> and its </w:t>
      </w:r>
      <w:r w:rsidR="00AF4AF3">
        <w:t>Investment Professional</w:t>
      </w:r>
      <w:r w:rsidRPr="001A2F79" w:rsidR="00EA2A06">
        <w:t>’s</w:t>
      </w:r>
      <w:r w:rsidRPr="001A2F79">
        <w:t xml:space="preserve"> conclusions as to whether a rollover is in the </w:t>
      </w:r>
      <w:r w:rsidR="00AF4AF3">
        <w:t>Retirement Investor</w:t>
      </w:r>
      <w:r w:rsidRPr="001A2F79" w:rsidR="00EA2A06">
        <w:t>’s</w:t>
      </w:r>
      <w:r w:rsidRPr="001A2F79">
        <w:t xml:space="preserve"> best interest, before engaging in a rollover </w:t>
      </w:r>
      <w:r w:rsidR="00E251AB">
        <w:t xml:space="preserve">from a Title I plan to an IRA </w:t>
      </w:r>
      <w:r w:rsidRPr="001A2F79">
        <w:t>or offering recommendations on post-rollover investments.</w:t>
      </w:r>
    </w:p>
    <w:p w:rsidR="00F67B30" w:rsidP="008F7870" w14:paraId="59876C60" w14:textId="77777777">
      <w:pPr>
        <w:pStyle w:val="ListParagraph"/>
        <w:ind w:left="1260"/>
      </w:pPr>
    </w:p>
    <w:p w:rsidR="00EB1E9B" w:rsidRPr="00906591" w:rsidP="00F74259" w14:paraId="33470FBE" w14:textId="59CC84F4">
      <w:pPr>
        <w:ind w:left="720"/>
      </w:pPr>
      <w:r w:rsidRPr="00093C58">
        <w:t xml:space="preserve">The following estimates reflect the ongoing paperwork burdens of the affected entities. Broker-dealers, registered investment advisers, and insurance companies that relied on the existing exemption were required to prepare these disclosures under the existing PTE 2020-02. The estimates below reflect the paperwork burden these entities </w:t>
      </w:r>
      <w:r w:rsidR="007B4F55">
        <w:t>will</w:t>
      </w:r>
      <w:r w:rsidRPr="00093C58">
        <w:t xml:space="preserve"> incur to modify such disclosures. This analysis does not include the transition costs already incurred for the existing PTE 2020-02 exemption</w:t>
      </w:r>
      <w:r>
        <w:t>.</w:t>
      </w:r>
    </w:p>
    <w:p w:rsidR="00EB1E9B" w:rsidP="00F74259" w14:paraId="2EFEA87F" w14:textId="77777777">
      <w:pPr>
        <w:ind w:left="720"/>
        <w:rPr>
          <w:i/>
          <w:iCs/>
        </w:rPr>
      </w:pPr>
    </w:p>
    <w:p w:rsidR="00C00A4A" w:rsidRPr="00906591" w:rsidP="00906591" w14:paraId="5A37B753" w14:textId="1CACDF49">
      <w:pPr>
        <w:ind w:left="720"/>
        <w:rPr>
          <w:i/>
          <w:iCs/>
        </w:rPr>
      </w:pPr>
      <w:r w:rsidRPr="00906591">
        <w:rPr>
          <w:i/>
          <w:iCs/>
        </w:rPr>
        <w:t>Written Acknowledgment of Fiduciary Status</w:t>
      </w:r>
    </w:p>
    <w:p w:rsidR="00C00A4A" w:rsidRPr="001A2F79" w:rsidP="008F7870" w14:paraId="1E46A672" w14:textId="77777777">
      <w:pPr>
        <w:pStyle w:val="ListParagraph"/>
        <w:ind w:left="1260"/>
      </w:pPr>
    </w:p>
    <w:p w:rsidR="00A95BDA" w:rsidP="00A95BDA" w14:paraId="03F05C5F" w14:textId="0E0C1AC5">
      <w:pPr>
        <w:widowControl w:val="0"/>
        <w:ind w:left="720"/>
      </w:pPr>
      <w:r>
        <w:t>As stated earlier,</w:t>
      </w:r>
      <w:r>
        <w:t xml:space="preserve"> Department assumes that 30 percent of entities previously eligible to rely on PTE 2020-02 did not </w:t>
      </w:r>
      <w:r w:rsidR="00825E93">
        <w:t xml:space="preserve">do so, </w:t>
      </w:r>
      <w:r>
        <w:t xml:space="preserve">by avoiding the </w:t>
      </w:r>
      <w:r w:rsidR="00583420">
        <w:t xml:space="preserve">covered </w:t>
      </w:r>
      <w:r>
        <w:t xml:space="preserve">activities. Therefore, 30 percent of broker-dealers, RIAs and insurers are assumed to incur the full cost while the remaining 70 percent will </w:t>
      </w:r>
      <w:r w:rsidR="002C3AEE">
        <w:t>need to modify existing disclosures.</w:t>
      </w:r>
    </w:p>
    <w:p w:rsidR="00023AF0" w:rsidP="00A95BDA" w14:paraId="54343FB5" w14:textId="77777777">
      <w:pPr>
        <w:widowControl w:val="0"/>
        <w:ind w:left="720"/>
      </w:pPr>
    </w:p>
    <w:p w:rsidR="007C4B2C" w:rsidP="00802D6B" w14:paraId="02513F04" w14:textId="58203C8D">
      <w:pPr>
        <w:widowControl w:val="0"/>
        <w:ind w:left="720"/>
      </w:pPr>
      <w:r>
        <w:t xml:space="preserve">The Department expects that the </w:t>
      </w:r>
      <w:r w:rsidR="00897725">
        <w:t xml:space="preserve">fiduciary acknowledgment </w:t>
      </w:r>
      <w:r>
        <w:t xml:space="preserve">disclosure required under the existing form of PTE 2020-02 likely satisfy this requirement for most Financial Institutions covered under the existing exemption. For the purposes of this analysis, the Department assumes that </w:t>
      </w:r>
      <w:r w:rsidR="005B25FA">
        <w:t>o</w:t>
      </w:r>
      <w:r w:rsidR="00023AF0">
        <w:t xml:space="preserve">f the 70 percent of the broker-dealers, registered investment advisers, and insurance companies assumed to be currently reliant on the existing exemption, 10 percent will need to update their disclosures and that it will take a legal professional at a Financial Institution, on average, 10 minutes to </w:t>
      </w:r>
      <w:r w:rsidR="00802D6B">
        <w:t>do so</w:t>
      </w:r>
      <w:r w:rsidR="00023AF0">
        <w:t>.</w:t>
      </w:r>
      <w:r>
        <w:t xml:space="preserve"> Updating the acknowledgement </w:t>
      </w:r>
      <w:r w:rsidR="00A72009">
        <w:t xml:space="preserve">of fiduciary status </w:t>
      </w:r>
      <w:r>
        <w:t>is estimated to result in an hour burden of 215 hours with an equivalent cost of $35,575.</w:t>
      </w:r>
      <w:r>
        <w:rPr>
          <w:rStyle w:val="FootnoteReference"/>
        </w:rPr>
        <w:footnoteReference w:id="14"/>
      </w:r>
      <w:r>
        <w:t xml:space="preserve"> </w:t>
      </w:r>
    </w:p>
    <w:p w:rsidR="00F67B30" w:rsidP="008F7870" w14:paraId="50729157" w14:textId="77777777">
      <w:pPr>
        <w:widowControl w:val="0"/>
        <w:ind w:left="720"/>
      </w:pPr>
    </w:p>
    <w:p w:rsidR="00345101" w:rsidP="00C00A4A" w14:paraId="65265019" w14:textId="4EF0D2D2">
      <w:pPr>
        <w:widowControl w:val="0"/>
        <w:ind w:left="720"/>
      </w:pPr>
      <w:r>
        <w:t>N</w:t>
      </w:r>
      <w:r w:rsidR="005A6745">
        <w:t xml:space="preserve">ewly reliant </w:t>
      </w:r>
      <w:r>
        <w:t>fiduciaries (including robo</w:t>
      </w:r>
      <w:r w:rsidR="0061780C">
        <w:t>-advisers)</w:t>
      </w:r>
      <w:r w:rsidR="005A6745">
        <w:t xml:space="preserve"> will need to draft the acknowledgement. The Department estimates that it will take a legal professional at these entities, on average, 30 minutes to draft the acknowledgement</w:t>
      </w:r>
      <w:r w:rsidR="006523EB">
        <w:t>,</w:t>
      </w:r>
      <w:r w:rsidR="006523EB">
        <w:rPr>
          <w:vertAlign w:val="superscript"/>
        </w:rPr>
        <w:t xml:space="preserve"> </w:t>
      </w:r>
      <w:r w:rsidR="006523EB">
        <w:t xml:space="preserve">resulting in an hour burden of </w:t>
      </w:r>
      <w:r w:rsidR="00F44D96">
        <w:t>2,876</w:t>
      </w:r>
      <w:r w:rsidR="006523EB">
        <w:t xml:space="preserve"> hours and a cost burden of $</w:t>
      </w:r>
      <w:r w:rsidR="00B60CA4">
        <w:t>476,531</w:t>
      </w:r>
      <w:r w:rsidR="00682EF1">
        <w:t xml:space="preserve"> to draft the acknowledgment</w:t>
      </w:r>
      <w:r w:rsidR="006523EB">
        <w:t>.</w:t>
      </w:r>
      <w:r>
        <w:rPr>
          <w:rStyle w:val="FootnoteReference"/>
        </w:rPr>
        <w:footnoteReference w:id="15"/>
      </w:r>
    </w:p>
    <w:p w:rsidR="00964000" w:rsidP="008F7870" w14:paraId="4955D2E4" w14:textId="444BEF7C">
      <w:pPr>
        <w:widowControl w:val="0"/>
        <w:ind w:left="720"/>
      </w:pPr>
    </w:p>
    <w:p w:rsidR="005907F6" w:rsidP="008F7870" w14:paraId="6F8FC350" w14:textId="5F5AA059">
      <w:pPr>
        <w:widowControl w:val="0"/>
        <w:ind w:left="720"/>
      </w:pPr>
      <w:r>
        <w:t>As a result, updating and drafting the acknowledgement is estimated to result in a total estimated hour burden of 3,</w:t>
      </w:r>
      <w:r w:rsidR="00BB402F">
        <w:t xml:space="preserve">090 </w:t>
      </w:r>
      <w:r>
        <w:t>hours with an equivalent cost of $</w:t>
      </w:r>
      <w:r w:rsidR="006F15CB">
        <w:t>512,106</w:t>
      </w:r>
      <w:r w:rsidR="00102670">
        <w:t>.</w:t>
      </w:r>
      <w:r>
        <w:rPr>
          <w:rStyle w:val="FootnoteReference"/>
        </w:rPr>
        <w:footnoteReference w:id="16"/>
      </w:r>
    </w:p>
    <w:p w:rsidR="005907F6" w:rsidP="008F7870" w14:paraId="7944D204" w14:textId="77777777">
      <w:pPr>
        <w:widowControl w:val="0"/>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25CE8D93" w14:textId="77777777" w:rsidTr="00C27AB5">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8522" w:type="dxa"/>
            <w:gridSpan w:val="5"/>
            <w:shd w:val="clear" w:color="auto" w:fill="auto"/>
          </w:tcPr>
          <w:p w:rsidR="005907F6" w:rsidP="008F7870" w14:paraId="6039D5DE" w14:textId="77777777">
            <w:pPr>
              <w:ind w:left="720"/>
              <w:contextualSpacing/>
              <w:jc w:val="center"/>
              <w:rPr>
                <w:b/>
              </w:rPr>
            </w:pPr>
            <w:r>
              <w:rPr>
                <w:b/>
              </w:rPr>
              <w:t>Table 2: Hour Burden and Equivalent Cost Associated with the Fiduciary Acknowledgement</w:t>
            </w:r>
          </w:p>
        </w:tc>
      </w:tr>
      <w:tr w14:paraId="5773E67E" w14:textId="77777777" w:rsidTr="00C27AB5">
        <w:tblPrEx>
          <w:tblW w:w="0" w:type="auto"/>
          <w:tblInd w:w="828" w:type="dxa"/>
          <w:tblLayout w:type="fixed"/>
          <w:tblLook w:val="04A0"/>
        </w:tblPrEx>
        <w:trPr>
          <w:cantSplit/>
          <w:tblHeader/>
        </w:trPr>
        <w:tc>
          <w:tcPr>
            <w:tcW w:w="1147" w:type="dxa"/>
            <w:shd w:val="clear" w:color="auto" w:fill="auto"/>
          </w:tcPr>
          <w:p w:rsidR="005907F6" w:rsidRPr="00002ED1" w:rsidP="008F7870" w14:paraId="001A17C6" w14:textId="77777777">
            <w:pPr>
              <w:ind w:left="720"/>
              <w:contextualSpacing/>
              <w:jc w:val="center"/>
              <w:rPr>
                <w:b/>
              </w:rPr>
            </w:pPr>
          </w:p>
        </w:tc>
        <w:tc>
          <w:tcPr>
            <w:tcW w:w="3687" w:type="dxa"/>
            <w:gridSpan w:val="2"/>
            <w:shd w:val="clear" w:color="auto" w:fill="auto"/>
          </w:tcPr>
          <w:p w:rsidR="005907F6" w:rsidRPr="00002ED1" w:rsidP="00F67B30" w14:paraId="040EB278" w14:textId="77777777">
            <w:pPr>
              <w:contextualSpacing/>
              <w:jc w:val="center"/>
              <w:rPr>
                <w:b/>
              </w:rPr>
            </w:pPr>
            <w:r>
              <w:rPr>
                <w:b/>
              </w:rPr>
              <w:t>Year 1</w:t>
            </w:r>
          </w:p>
        </w:tc>
        <w:tc>
          <w:tcPr>
            <w:tcW w:w="3688" w:type="dxa"/>
            <w:gridSpan w:val="2"/>
          </w:tcPr>
          <w:p w:rsidR="005907F6" w:rsidRPr="00002ED1" w:rsidP="00F67B30" w14:paraId="42E1472A" w14:textId="77777777">
            <w:pPr>
              <w:ind w:hanging="14"/>
              <w:contextualSpacing/>
              <w:jc w:val="center"/>
              <w:rPr>
                <w:b/>
              </w:rPr>
            </w:pPr>
            <w:r>
              <w:rPr>
                <w:b/>
              </w:rPr>
              <w:t>Subsequent Years</w:t>
            </w:r>
          </w:p>
        </w:tc>
      </w:tr>
      <w:tr w14:paraId="4EB6058D" w14:textId="77777777" w:rsidTr="00BF6BDA">
        <w:tblPrEx>
          <w:tblW w:w="0" w:type="auto"/>
          <w:tblInd w:w="828" w:type="dxa"/>
          <w:tblLayout w:type="fixed"/>
          <w:tblLook w:val="04A0"/>
        </w:tblPrEx>
        <w:tc>
          <w:tcPr>
            <w:tcW w:w="1147" w:type="dxa"/>
            <w:shd w:val="clear" w:color="auto" w:fill="auto"/>
          </w:tcPr>
          <w:p w:rsidR="005907F6" w:rsidRPr="00002ED1" w:rsidP="00F67B30" w14:paraId="145E475E" w14:textId="77777777">
            <w:pPr>
              <w:contextualSpacing/>
              <w:jc w:val="center"/>
              <w:rPr>
                <w:b/>
              </w:rPr>
            </w:pPr>
            <w:r w:rsidRPr="00002ED1">
              <w:rPr>
                <w:b/>
              </w:rPr>
              <w:t>Activity</w:t>
            </w:r>
          </w:p>
        </w:tc>
        <w:tc>
          <w:tcPr>
            <w:tcW w:w="1843" w:type="dxa"/>
            <w:shd w:val="clear" w:color="auto" w:fill="auto"/>
          </w:tcPr>
          <w:p w:rsidR="005907F6" w:rsidRPr="00002ED1" w:rsidP="00F67B30" w14:paraId="7FE4A195" w14:textId="77777777">
            <w:pPr>
              <w:contextualSpacing/>
              <w:jc w:val="center"/>
              <w:rPr>
                <w:b/>
              </w:rPr>
            </w:pPr>
            <w:r w:rsidRPr="00002ED1">
              <w:rPr>
                <w:b/>
              </w:rPr>
              <w:t>Burden Hours</w:t>
            </w:r>
          </w:p>
        </w:tc>
        <w:tc>
          <w:tcPr>
            <w:tcW w:w="1844" w:type="dxa"/>
            <w:shd w:val="clear" w:color="auto" w:fill="auto"/>
          </w:tcPr>
          <w:p w:rsidR="005907F6" w:rsidRPr="00002ED1" w:rsidP="00F67B30" w14:paraId="0117D96D" w14:textId="77777777">
            <w:pPr>
              <w:contextualSpacing/>
              <w:jc w:val="center"/>
              <w:rPr>
                <w:b/>
              </w:rPr>
            </w:pPr>
            <w:r w:rsidRPr="00002ED1">
              <w:rPr>
                <w:b/>
              </w:rPr>
              <w:t>Equivalent Burden Cost</w:t>
            </w:r>
          </w:p>
        </w:tc>
        <w:tc>
          <w:tcPr>
            <w:tcW w:w="1844" w:type="dxa"/>
          </w:tcPr>
          <w:p w:rsidR="005907F6" w:rsidRPr="00002ED1" w:rsidP="008F7870" w14:paraId="0AFCEDA9" w14:textId="77777777">
            <w:pPr>
              <w:ind w:left="-12" w:hanging="14"/>
              <w:contextualSpacing/>
              <w:jc w:val="center"/>
              <w:rPr>
                <w:b/>
              </w:rPr>
            </w:pPr>
            <w:r w:rsidRPr="00002ED1">
              <w:rPr>
                <w:b/>
              </w:rPr>
              <w:t>Burden Hours</w:t>
            </w:r>
          </w:p>
        </w:tc>
        <w:tc>
          <w:tcPr>
            <w:tcW w:w="1844" w:type="dxa"/>
          </w:tcPr>
          <w:p w:rsidR="005907F6" w:rsidRPr="00002ED1" w:rsidP="00F67B30" w14:paraId="243635AD" w14:textId="77777777">
            <w:pPr>
              <w:contextualSpacing/>
              <w:jc w:val="center"/>
              <w:rPr>
                <w:b/>
              </w:rPr>
            </w:pPr>
            <w:r w:rsidRPr="00002ED1">
              <w:rPr>
                <w:b/>
              </w:rPr>
              <w:t>Equivalent Burden Cost</w:t>
            </w:r>
          </w:p>
        </w:tc>
      </w:tr>
      <w:tr w14:paraId="376F6263" w14:textId="77777777" w:rsidTr="00BF6BDA">
        <w:tblPrEx>
          <w:tblW w:w="0" w:type="auto"/>
          <w:tblInd w:w="828" w:type="dxa"/>
          <w:tblLayout w:type="fixed"/>
          <w:tblLook w:val="04A0"/>
        </w:tblPrEx>
        <w:tc>
          <w:tcPr>
            <w:tcW w:w="1147" w:type="dxa"/>
            <w:shd w:val="clear" w:color="auto" w:fill="auto"/>
          </w:tcPr>
          <w:p w:rsidR="001253CF" w:rsidP="00A36332" w14:paraId="4028A7FD" w14:textId="77777777">
            <w:pPr>
              <w:contextualSpacing/>
            </w:pPr>
            <w:r>
              <w:t>Create</w:t>
            </w:r>
          </w:p>
          <w:p w:rsidR="00A36332" w:rsidRPr="00002ED1" w:rsidP="00A36332" w14:paraId="37FFD04C" w14:textId="0BCD2702">
            <w:pPr>
              <w:contextualSpacing/>
            </w:pPr>
            <w:r>
              <w:t>(</w:t>
            </w:r>
            <w:r w:rsidRPr="00002ED1">
              <w:t>Legal</w:t>
            </w:r>
            <w:r>
              <w:t>)</w:t>
            </w:r>
          </w:p>
        </w:tc>
        <w:tc>
          <w:tcPr>
            <w:tcW w:w="1843" w:type="dxa"/>
            <w:shd w:val="clear" w:color="auto" w:fill="auto"/>
          </w:tcPr>
          <w:p w:rsidR="00A36332" w:rsidRPr="00002ED1" w:rsidP="00A36332" w14:paraId="6BE6BC23" w14:textId="4814EDC5">
            <w:pPr>
              <w:contextualSpacing/>
              <w:jc w:val="right"/>
            </w:pPr>
            <w:r>
              <w:t>2,876</w:t>
            </w:r>
          </w:p>
        </w:tc>
        <w:tc>
          <w:tcPr>
            <w:tcW w:w="1844" w:type="dxa"/>
            <w:shd w:val="clear" w:color="auto" w:fill="auto"/>
          </w:tcPr>
          <w:p w:rsidR="00A36332" w:rsidRPr="00002ED1" w:rsidP="00A36332" w14:paraId="0DCC8454" w14:textId="1F425015">
            <w:pPr>
              <w:contextualSpacing/>
              <w:jc w:val="right"/>
            </w:pPr>
            <w:r w:rsidRPr="00002ED1">
              <w:t>$</w:t>
            </w:r>
            <w:r w:rsidR="00FC0565">
              <w:t>476,531</w:t>
            </w:r>
          </w:p>
        </w:tc>
        <w:tc>
          <w:tcPr>
            <w:tcW w:w="1844" w:type="dxa"/>
          </w:tcPr>
          <w:p w:rsidR="00A36332" w:rsidRPr="00002ED1" w:rsidP="00A36332" w14:paraId="79FD367F" w14:textId="77777777">
            <w:pPr>
              <w:ind w:left="-12" w:hanging="14"/>
              <w:contextualSpacing/>
              <w:jc w:val="right"/>
            </w:pPr>
            <w:r>
              <w:t>0</w:t>
            </w:r>
          </w:p>
        </w:tc>
        <w:tc>
          <w:tcPr>
            <w:tcW w:w="1844" w:type="dxa"/>
          </w:tcPr>
          <w:p w:rsidR="00A36332" w:rsidRPr="00002ED1" w:rsidP="00A36332" w14:paraId="022097E2" w14:textId="77777777">
            <w:pPr>
              <w:contextualSpacing/>
              <w:jc w:val="right"/>
            </w:pPr>
            <w:r w:rsidRPr="00002ED1">
              <w:t>$</w:t>
            </w:r>
            <w:r>
              <w:rPr>
                <w:lang w:val="en"/>
              </w:rPr>
              <w:t>0</w:t>
            </w:r>
          </w:p>
        </w:tc>
      </w:tr>
      <w:tr w14:paraId="7F10ED5A" w14:textId="77777777" w:rsidTr="00BF6BDA">
        <w:tblPrEx>
          <w:tblW w:w="0" w:type="auto"/>
          <w:tblInd w:w="828" w:type="dxa"/>
          <w:tblLayout w:type="fixed"/>
          <w:tblLook w:val="04A0"/>
        </w:tblPrEx>
        <w:tc>
          <w:tcPr>
            <w:tcW w:w="1147" w:type="dxa"/>
            <w:shd w:val="clear" w:color="auto" w:fill="auto"/>
          </w:tcPr>
          <w:p w:rsidR="00E23198" w:rsidP="00A36332" w14:paraId="3AC2281E" w14:textId="77777777">
            <w:pPr>
              <w:contextualSpacing/>
            </w:pPr>
            <w:r>
              <w:t>Update</w:t>
            </w:r>
          </w:p>
          <w:p w:rsidR="00E23198" w:rsidP="00A36332" w14:paraId="00EEE858" w14:textId="69235A52">
            <w:pPr>
              <w:contextualSpacing/>
            </w:pPr>
            <w:r>
              <w:t>(Legal)</w:t>
            </w:r>
          </w:p>
        </w:tc>
        <w:tc>
          <w:tcPr>
            <w:tcW w:w="1843" w:type="dxa"/>
            <w:shd w:val="clear" w:color="auto" w:fill="auto"/>
          </w:tcPr>
          <w:p w:rsidR="00E23198" w:rsidRPr="006972D5" w:rsidP="00A36332" w14:paraId="685438B4" w14:textId="0B615458">
            <w:pPr>
              <w:contextualSpacing/>
              <w:jc w:val="right"/>
            </w:pPr>
            <w:r>
              <w:t>215</w:t>
            </w:r>
          </w:p>
        </w:tc>
        <w:tc>
          <w:tcPr>
            <w:tcW w:w="1844" w:type="dxa"/>
            <w:shd w:val="clear" w:color="auto" w:fill="auto"/>
          </w:tcPr>
          <w:p w:rsidR="00E23198" w:rsidRPr="00002ED1" w:rsidP="00A36332" w14:paraId="02104F33" w14:textId="64E4A212">
            <w:pPr>
              <w:contextualSpacing/>
              <w:jc w:val="right"/>
            </w:pPr>
            <w:r>
              <w:t>$35,575</w:t>
            </w:r>
          </w:p>
        </w:tc>
        <w:tc>
          <w:tcPr>
            <w:tcW w:w="1844" w:type="dxa"/>
          </w:tcPr>
          <w:p w:rsidR="00E23198" w:rsidP="00A36332" w14:paraId="46BB157E" w14:textId="2EB0EE6C">
            <w:pPr>
              <w:ind w:left="-12" w:hanging="14"/>
              <w:contextualSpacing/>
              <w:jc w:val="right"/>
            </w:pPr>
            <w:r>
              <w:t>0</w:t>
            </w:r>
          </w:p>
        </w:tc>
        <w:tc>
          <w:tcPr>
            <w:tcW w:w="1844" w:type="dxa"/>
          </w:tcPr>
          <w:p w:rsidR="00E23198" w:rsidRPr="00002ED1" w:rsidP="00A36332" w14:paraId="123464EF" w14:textId="18C14A70">
            <w:pPr>
              <w:contextualSpacing/>
              <w:jc w:val="right"/>
            </w:pPr>
            <w:r>
              <w:t>$0</w:t>
            </w:r>
          </w:p>
        </w:tc>
      </w:tr>
      <w:tr w14:paraId="74F37DDD" w14:textId="77777777" w:rsidTr="00BF6BDA">
        <w:tblPrEx>
          <w:tblW w:w="0" w:type="auto"/>
          <w:tblInd w:w="828" w:type="dxa"/>
          <w:tblLayout w:type="fixed"/>
          <w:tblLook w:val="04A0"/>
        </w:tblPrEx>
        <w:tc>
          <w:tcPr>
            <w:tcW w:w="1147" w:type="dxa"/>
            <w:shd w:val="clear" w:color="auto" w:fill="auto"/>
          </w:tcPr>
          <w:p w:rsidR="00A36332" w:rsidRPr="00002ED1" w:rsidP="00A36332" w14:paraId="471E4D07" w14:textId="77777777">
            <w:pPr>
              <w:contextualSpacing/>
              <w:rPr>
                <w:b/>
              </w:rPr>
            </w:pPr>
            <w:r w:rsidRPr="00002ED1">
              <w:rPr>
                <w:b/>
              </w:rPr>
              <w:t>Total</w:t>
            </w:r>
          </w:p>
        </w:tc>
        <w:tc>
          <w:tcPr>
            <w:tcW w:w="1843" w:type="dxa"/>
            <w:shd w:val="clear" w:color="auto" w:fill="auto"/>
          </w:tcPr>
          <w:p w:rsidR="00A36332" w:rsidRPr="005159E4" w:rsidP="00A36332" w14:paraId="707DE6F2" w14:textId="7089B86E">
            <w:pPr>
              <w:contextualSpacing/>
              <w:jc w:val="right"/>
              <w:rPr>
                <w:b/>
                <w:bCs/>
              </w:rPr>
            </w:pPr>
            <w:r w:rsidRPr="005159E4">
              <w:rPr>
                <w:b/>
                <w:bCs/>
              </w:rPr>
              <w:t>3,</w:t>
            </w:r>
            <w:r w:rsidRPr="005159E4" w:rsidR="00BB402F">
              <w:rPr>
                <w:b/>
                <w:bCs/>
              </w:rPr>
              <w:t>090</w:t>
            </w:r>
          </w:p>
        </w:tc>
        <w:tc>
          <w:tcPr>
            <w:tcW w:w="1844" w:type="dxa"/>
            <w:shd w:val="clear" w:color="auto" w:fill="auto"/>
          </w:tcPr>
          <w:p w:rsidR="00A36332" w:rsidRPr="00002ED1" w:rsidP="00A36332" w14:paraId="2911D737" w14:textId="7CEB0462">
            <w:pPr>
              <w:contextualSpacing/>
              <w:jc w:val="right"/>
              <w:rPr>
                <w:b/>
              </w:rPr>
            </w:pPr>
            <w:r>
              <w:rPr>
                <w:b/>
              </w:rPr>
              <w:t>$512,106</w:t>
            </w:r>
          </w:p>
        </w:tc>
        <w:tc>
          <w:tcPr>
            <w:tcW w:w="1844" w:type="dxa"/>
          </w:tcPr>
          <w:p w:rsidR="00A36332" w:rsidRPr="00002ED1" w:rsidP="00A36332" w14:paraId="2C7A11DA" w14:textId="77777777">
            <w:pPr>
              <w:ind w:left="-12" w:hanging="14"/>
              <w:contextualSpacing/>
              <w:jc w:val="right"/>
              <w:rPr>
                <w:b/>
              </w:rPr>
            </w:pPr>
            <w:r>
              <w:rPr>
                <w:b/>
              </w:rPr>
              <w:t>0</w:t>
            </w:r>
          </w:p>
        </w:tc>
        <w:tc>
          <w:tcPr>
            <w:tcW w:w="1844" w:type="dxa"/>
          </w:tcPr>
          <w:p w:rsidR="00A36332" w:rsidRPr="00002ED1" w:rsidP="00A36332" w14:paraId="620BACDD" w14:textId="77777777">
            <w:pPr>
              <w:contextualSpacing/>
              <w:jc w:val="right"/>
              <w:rPr>
                <w:b/>
              </w:rPr>
            </w:pPr>
            <w:r w:rsidRPr="00002ED1">
              <w:rPr>
                <w:b/>
              </w:rPr>
              <w:t>$</w:t>
            </w:r>
            <w:r>
              <w:rPr>
                <w:b/>
                <w:lang w:val="en"/>
              </w:rPr>
              <w:t>0</w:t>
            </w:r>
          </w:p>
        </w:tc>
      </w:tr>
    </w:tbl>
    <w:p w:rsidR="005907F6" w:rsidP="008F7870" w14:paraId="3C30707C" w14:textId="77777777">
      <w:pPr>
        <w:widowControl w:val="0"/>
        <w:ind w:left="720"/>
      </w:pPr>
    </w:p>
    <w:p w:rsidR="001C05A8" w:rsidRPr="00906591" w:rsidP="00356B07" w14:paraId="0F838CDF" w14:textId="52507468">
      <w:pPr>
        <w:tabs>
          <w:tab w:val="left" w:pos="720"/>
        </w:tabs>
        <w:ind w:left="1440" w:hanging="720"/>
        <w:rPr>
          <w:i/>
          <w:iCs/>
        </w:rPr>
      </w:pPr>
      <w:r w:rsidRPr="00906591">
        <w:rPr>
          <w:i/>
          <w:iCs/>
        </w:rPr>
        <w:t>Written Statement of the Care Obligation and Loyalty Obligation</w:t>
      </w:r>
    </w:p>
    <w:p w:rsidR="006D6DAB" w:rsidP="00356B07" w14:paraId="26387127" w14:textId="77777777">
      <w:pPr>
        <w:tabs>
          <w:tab w:val="left" w:pos="720"/>
        </w:tabs>
        <w:ind w:left="1440" w:hanging="720"/>
      </w:pPr>
    </w:p>
    <w:p w:rsidR="006D6DAB" w:rsidP="00906591" w14:paraId="57E082D5" w14:textId="32C65E09">
      <w:pPr>
        <w:tabs>
          <w:tab w:val="left" w:pos="990"/>
        </w:tabs>
        <w:ind w:left="720"/>
      </w:pPr>
      <w:r>
        <w:t>As amended, PTE 2020-02 requires Financial Institutions to provide investors with a</w:t>
      </w:r>
      <w:r w:rsidR="00C20288">
        <w:t xml:space="preserve"> </w:t>
      </w:r>
      <w:r w:rsidR="26E57AA8">
        <w:t>w</w:t>
      </w:r>
      <w:r>
        <w:t xml:space="preserve">ritten </w:t>
      </w:r>
      <w:r w:rsidR="2740F8B4">
        <w:t>s</w:t>
      </w:r>
      <w:r>
        <w:t>tatement of the Care Obligation and Loyalty Obligation disclosure. As presented in more detail in the preamble</w:t>
      </w:r>
      <w:r w:rsidR="09D7785B">
        <w:t xml:space="preserve"> to the final amendment</w:t>
      </w:r>
      <w:r w:rsidR="0043008E">
        <w:t>,</w:t>
      </w:r>
      <w:r>
        <w:t xml:space="preserve"> this disclosure defines the Care Obligation and Loyalty Obligation as related to the </w:t>
      </w:r>
      <w:r w:rsidR="707A2CEB">
        <w:t>Retirement I</w:t>
      </w:r>
      <w:r>
        <w:t>nvestor’s relationship with the Investment Professional</w:t>
      </w:r>
      <w:r w:rsidR="006D4DC7">
        <w:t xml:space="preserve"> and Financial Institution</w:t>
      </w:r>
      <w:r>
        <w:t xml:space="preserve">.   </w:t>
      </w:r>
    </w:p>
    <w:p w:rsidR="006D6DAB" w:rsidP="00906591" w14:paraId="5B0808A8" w14:textId="77777777">
      <w:pPr>
        <w:tabs>
          <w:tab w:val="left" w:pos="990"/>
        </w:tabs>
        <w:ind w:left="720"/>
      </w:pPr>
    </w:p>
    <w:p w:rsidR="006D6DAB" w:rsidP="00906591" w14:paraId="5E4108B8" w14:textId="078A1E7C">
      <w:pPr>
        <w:tabs>
          <w:tab w:val="left" w:pos="990"/>
        </w:tabs>
        <w:ind w:left="720"/>
      </w:pPr>
      <w:r>
        <w:t>Under the Advisers Act</w:t>
      </w:r>
      <w:r w:rsidR="00B27D0E">
        <w:t xml:space="preserve">, </w:t>
      </w:r>
      <w:r>
        <w:t>Regulation Best Interest</w:t>
      </w:r>
      <w:r w:rsidR="00B27D0E">
        <w:t>, and Form CRS</w:t>
      </w:r>
      <w:r>
        <w:t>, most registered investment advisers and broker-dealers with retail investor</w:t>
      </w:r>
      <w:r w:rsidR="1E911220">
        <w:t xml:space="preserve"> clients</w:t>
      </w:r>
      <w:r>
        <w:t xml:space="preserve"> already provide disclosures that the Department expects will satisfy these requirements.</w:t>
      </w:r>
      <w:r>
        <w:rPr>
          <w:rStyle w:val="FootnoteReference"/>
        </w:rPr>
        <w:footnoteReference w:id="17"/>
      </w:r>
    </w:p>
    <w:p w:rsidR="006D6DAB" w:rsidP="00906591" w14:paraId="7FF86610" w14:textId="77777777">
      <w:pPr>
        <w:tabs>
          <w:tab w:val="left" w:pos="990"/>
        </w:tabs>
        <w:ind w:left="720"/>
      </w:pPr>
    </w:p>
    <w:p w:rsidR="006D6DAB" w:rsidP="00906591" w14:paraId="4B89509D" w14:textId="51A9DA5D">
      <w:pPr>
        <w:tabs>
          <w:tab w:val="left" w:pos="990"/>
        </w:tabs>
        <w:ind w:left="720"/>
      </w:pPr>
      <w:r>
        <w:t xml:space="preserve">The Department expects that the written statement of Care Obligation and Loyalty Obligation will not take a significant amount of time to prepare and will be uniform across clients. The Department assumes that a legal professional employed by a broker-dealer or registered investment adviser, on average, will take 30 minutes to modify existing disclosures and that it will take insurers, robo-advisers, </w:t>
      </w:r>
      <w:r w:rsidR="005D1A8F">
        <w:t xml:space="preserve">and </w:t>
      </w:r>
      <w:r>
        <w:t xml:space="preserve">non-bank trustees, on average, one hour to prepare the statement. This results in an hour burden of </w:t>
      </w:r>
      <w:r w:rsidR="00EE390F">
        <w:t>9,474</w:t>
      </w:r>
      <w:r>
        <w:t xml:space="preserve"> hours with an equivalent cost of $1,</w:t>
      </w:r>
      <w:r w:rsidR="00EE390F">
        <w:t>569,868</w:t>
      </w:r>
      <w:r>
        <w:t>.</w:t>
      </w:r>
      <w:r>
        <w:rPr>
          <w:rStyle w:val="FootnoteReference"/>
        </w:rPr>
        <w:footnoteReference w:id="18"/>
      </w:r>
    </w:p>
    <w:p w:rsidR="001C05A8" w:rsidP="00356B07" w14:paraId="6F83C9FA" w14:textId="77777777">
      <w:pPr>
        <w:tabs>
          <w:tab w:val="left" w:pos="720"/>
        </w:tabs>
        <w:ind w:left="144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23BCCE15"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gridSpan w:val="5"/>
            <w:shd w:val="clear" w:color="auto" w:fill="auto"/>
          </w:tcPr>
          <w:p w:rsidR="001C433B" w14:paraId="157E2777" w14:textId="47574EE8">
            <w:pPr>
              <w:ind w:left="720"/>
              <w:contextualSpacing/>
              <w:jc w:val="center"/>
              <w:rPr>
                <w:b/>
              </w:rPr>
            </w:pPr>
            <w:r>
              <w:rPr>
                <w:b/>
              </w:rPr>
              <w:t xml:space="preserve">Table 3: Hour Burden and Equivalent Cost Associated with the </w:t>
            </w:r>
            <w:r w:rsidR="003659DD">
              <w:rPr>
                <w:b/>
              </w:rPr>
              <w:t>Statement of the Care and Loyalty Obligation</w:t>
            </w:r>
          </w:p>
        </w:tc>
      </w:tr>
      <w:tr w14:paraId="1FF8FA5B" w14:textId="77777777">
        <w:tblPrEx>
          <w:tblW w:w="0" w:type="auto"/>
          <w:tblInd w:w="828" w:type="dxa"/>
          <w:tblLayout w:type="fixed"/>
          <w:tblLook w:val="04A0"/>
        </w:tblPrEx>
        <w:tc>
          <w:tcPr>
            <w:tcW w:w="1147" w:type="dxa"/>
            <w:shd w:val="clear" w:color="auto" w:fill="auto"/>
          </w:tcPr>
          <w:p w:rsidR="001C433B" w:rsidRPr="00002ED1" w14:paraId="1D3ACAE8" w14:textId="77777777">
            <w:pPr>
              <w:contextualSpacing/>
              <w:jc w:val="center"/>
              <w:rPr>
                <w:b/>
              </w:rPr>
            </w:pPr>
          </w:p>
        </w:tc>
        <w:tc>
          <w:tcPr>
            <w:tcW w:w="3687" w:type="dxa"/>
            <w:gridSpan w:val="2"/>
            <w:shd w:val="clear" w:color="auto" w:fill="auto"/>
          </w:tcPr>
          <w:p w:rsidR="001C433B" w:rsidRPr="00002ED1" w14:paraId="7386E07F" w14:textId="77777777">
            <w:pPr>
              <w:ind w:left="-21"/>
              <w:contextualSpacing/>
              <w:jc w:val="center"/>
              <w:rPr>
                <w:b/>
              </w:rPr>
            </w:pPr>
            <w:r>
              <w:rPr>
                <w:b/>
              </w:rPr>
              <w:t>Year 1</w:t>
            </w:r>
          </w:p>
        </w:tc>
        <w:tc>
          <w:tcPr>
            <w:tcW w:w="3688" w:type="dxa"/>
            <w:gridSpan w:val="2"/>
          </w:tcPr>
          <w:p w:rsidR="001C433B" w:rsidRPr="00002ED1" w14:paraId="185F6D83" w14:textId="77777777">
            <w:pPr>
              <w:contextualSpacing/>
              <w:jc w:val="center"/>
              <w:rPr>
                <w:b/>
              </w:rPr>
            </w:pPr>
            <w:r>
              <w:rPr>
                <w:b/>
              </w:rPr>
              <w:t>Subsequent Years</w:t>
            </w:r>
          </w:p>
        </w:tc>
      </w:tr>
      <w:tr w14:paraId="20B0313D" w14:textId="77777777">
        <w:tblPrEx>
          <w:tblW w:w="0" w:type="auto"/>
          <w:tblInd w:w="828" w:type="dxa"/>
          <w:tblLayout w:type="fixed"/>
          <w:tblLook w:val="04A0"/>
        </w:tblPrEx>
        <w:tc>
          <w:tcPr>
            <w:tcW w:w="1147" w:type="dxa"/>
            <w:shd w:val="clear" w:color="auto" w:fill="auto"/>
          </w:tcPr>
          <w:p w:rsidR="001C433B" w:rsidRPr="00002ED1" w14:paraId="2DA93EA4" w14:textId="77777777">
            <w:pPr>
              <w:contextualSpacing/>
              <w:jc w:val="center"/>
              <w:rPr>
                <w:b/>
              </w:rPr>
            </w:pPr>
            <w:r w:rsidRPr="00002ED1">
              <w:rPr>
                <w:b/>
              </w:rPr>
              <w:t>Activity</w:t>
            </w:r>
          </w:p>
        </w:tc>
        <w:tc>
          <w:tcPr>
            <w:tcW w:w="1843" w:type="dxa"/>
            <w:shd w:val="clear" w:color="auto" w:fill="auto"/>
          </w:tcPr>
          <w:p w:rsidR="001C433B" w:rsidRPr="00002ED1" w14:paraId="50D4DB4A" w14:textId="77777777">
            <w:pPr>
              <w:ind w:left="-21" w:firstLine="21"/>
              <w:contextualSpacing/>
              <w:jc w:val="center"/>
              <w:rPr>
                <w:b/>
              </w:rPr>
            </w:pPr>
            <w:r w:rsidRPr="00002ED1">
              <w:rPr>
                <w:b/>
              </w:rPr>
              <w:t>Burden Hours</w:t>
            </w:r>
          </w:p>
        </w:tc>
        <w:tc>
          <w:tcPr>
            <w:tcW w:w="1844" w:type="dxa"/>
            <w:shd w:val="clear" w:color="auto" w:fill="auto"/>
          </w:tcPr>
          <w:p w:rsidR="001C433B" w:rsidRPr="00002ED1" w14:paraId="10ED8B30" w14:textId="77777777">
            <w:pPr>
              <w:ind w:left="28"/>
              <w:contextualSpacing/>
              <w:jc w:val="center"/>
              <w:rPr>
                <w:b/>
              </w:rPr>
            </w:pPr>
            <w:r w:rsidRPr="00002ED1">
              <w:rPr>
                <w:b/>
              </w:rPr>
              <w:t>Equivalent Burden Cost</w:t>
            </w:r>
          </w:p>
        </w:tc>
        <w:tc>
          <w:tcPr>
            <w:tcW w:w="1844" w:type="dxa"/>
          </w:tcPr>
          <w:p w:rsidR="001C433B" w:rsidRPr="00002ED1" w14:paraId="04017A19" w14:textId="77777777">
            <w:pPr>
              <w:ind w:hanging="14"/>
              <w:contextualSpacing/>
              <w:jc w:val="center"/>
              <w:rPr>
                <w:b/>
              </w:rPr>
            </w:pPr>
            <w:r w:rsidRPr="00002ED1">
              <w:rPr>
                <w:b/>
              </w:rPr>
              <w:t>Burden Hours</w:t>
            </w:r>
          </w:p>
        </w:tc>
        <w:tc>
          <w:tcPr>
            <w:tcW w:w="1844" w:type="dxa"/>
          </w:tcPr>
          <w:p w:rsidR="001C433B" w:rsidRPr="00002ED1" w14:paraId="47B5B366" w14:textId="77777777">
            <w:pPr>
              <w:contextualSpacing/>
              <w:jc w:val="center"/>
              <w:rPr>
                <w:b/>
              </w:rPr>
            </w:pPr>
            <w:r w:rsidRPr="00002ED1">
              <w:rPr>
                <w:b/>
              </w:rPr>
              <w:t>Equivalent Burden Cost</w:t>
            </w:r>
          </w:p>
        </w:tc>
      </w:tr>
      <w:tr w14:paraId="5EB4FADB" w14:textId="77777777">
        <w:tblPrEx>
          <w:tblW w:w="0" w:type="auto"/>
          <w:tblInd w:w="828" w:type="dxa"/>
          <w:tblLayout w:type="fixed"/>
          <w:tblLook w:val="04A0"/>
        </w:tblPrEx>
        <w:tc>
          <w:tcPr>
            <w:tcW w:w="1147" w:type="dxa"/>
            <w:shd w:val="clear" w:color="auto" w:fill="auto"/>
          </w:tcPr>
          <w:p w:rsidR="008E51DE" w:rsidRPr="00002ED1" w:rsidP="008E51DE" w14:paraId="225DBB31" w14:textId="77777777">
            <w:pPr>
              <w:contextualSpacing/>
            </w:pPr>
            <w:r w:rsidRPr="00002ED1">
              <w:t>Legal</w:t>
            </w:r>
          </w:p>
        </w:tc>
        <w:tc>
          <w:tcPr>
            <w:tcW w:w="1843" w:type="dxa"/>
            <w:shd w:val="clear" w:color="auto" w:fill="auto"/>
          </w:tcPr>
          <w:p w:rsidR="008E51DE" w:rsidRPr="00002ED1" w:rsidP="008E51DE" w14:paraId="00E30BF7" w14:textId="113A2748">
            <w:pPr>
              <w:ind w:left="-21" w:firstLine="21"/>
              <w:contextualSpacing/>
              <w:jc w:val="right"/>
            </w:pPr>
            <w:r>
              <w:t>9,474</w:t>
            </w:r>
            <w:r w:rsidRPr="006972D5">
              <w:t xml:space="preserve"> </w:t>
            </w:r>
          </w:p>
        </w:tc>
        <w:tc>
          <w:tcPr>
            <w:tcW w:w="1844" w:type="dxa"/>
            <w:shd w:val="clear" w:color="auto" w:fill="auto"/>
          </w:tcPr>
          <w:p w:rsidR="008E51DE" w:rsidRPr="00002ED1" w:rsidP="008E51DE" w14:paraId="214EA8F2" w14:textId="0841B4C8">
            <w:pPr>
              <w:ind w:left="28"/>
              <w:contextualSpacing/>
              <w:jc w:val="right"/>
            </w:pPr>
            <w:r>
              <w:t>$1,569,868</w:t>
            </w:r>
          </w:p>
        </w:tc>
        <w:tc>
          <w:tcPr>
            <w:tcW w:w="1844" w:type="dxa"/>
          </w:tcPr>
          <w:p w:rsidR="008E51DE" w:rsidRPr="00002ED1" w:rsidP="008E51DE" w14:paraId="61B417D1" w14:textId="77777777">
            <w:pPr>
              <w:ind w:hanging="14"/>
              <w:contextualSpacing/>
              <w:jc w:val="right"/>
            </w:pPr>
            <w:r>
              <w:t>0</w:t>
            </w:r>
          </w:p>
        </w:tc>
        <w:tc>
          <w:tcPr>
            <w:tcW w:w="1844" w:type="dxa"/>
          </w:tcPr>
          <w:p w:rsidR="008E51DE" w:rsidRPr="00002ED1" w:rsidP="008E51DE" w14:paraId="55029257" w14:textId="77777777">
            <w:pPr>
              <w:contextualSpacing/>
              <w:jc w:val="right"/>
            </w:pPr>
            <w:r w:rsidRPr="00002ED1">
              <w:t>$</w:t>
            </w:r>
            <w:r>
              <w:rPr>
                <w:lang w:val="en"/>
              </w:rPr>
              <w:t>0</w:t>
            </w:r>
          </w:p>
        </w:tc>
      </w:tr>
      <w:tr w14:paraId="3027341A" w14:textId="77777777">
        <w:tblPrEx>
          <w:tblW w:w="0" w:type="auto"/>
          <w:tblInd w:w="828" w:type="dxa"/>
          <w:tblLayout w:type="fixed"/>
          <w:tblLook w:val="04A0"/>
        </w:tblPrEx>
        <w:tc>
          <w:tcPr>
            <w:tcW w:w="1147" w:type="dxa"/>
            <w:shd w:val="clear" w:color="auto" w:fill="auto"/>
          </w:tcPr>
          <w:p w:rsidR="00B00DA1" w:rsidRPr="00002ED1" w:rsidP="00B00DA1" w14:paraId="600888EF" w14:textId="77777777">
            <w:pPr>
              <w:contextualSpacing/>
              <w:rPr>
                <w:b/>
              </w:rPr>
            </w:pPr>
            <w:r w:rsidRPr="00002ED1">
              <w:rPr>
                <w:b/>
              </w:rPr>
              <w:t>Total</w:t>
            </w:r>
          </w:p>
        </w:tc>
        <w:tc>
          <w:tcPr>
            <w:tcW w:w="1843" w:type="dxa"/>
            <w:shd w:val="clear" w:color="auto" w:fill="auto"/>
          </w:tcPr>
          <w:p w:rsidR="00B00DA1" w:rsidRPr="00B00DA1" w:rsidP="00B00DA1" w14:paraId="427A2FCF" w14:textId="6A9FBD58">
            <w:pPr>
              <w:ind w:left="-21" w:firstLine="21"/>
              <w:contextualSpacing/>
              <w:jc w:val="right"/>
              <w:rPr>
                <w:b/>
                <w:bCs/>
              </w:rPr>
            </w:pPr>
            <w:r>
              <w:rPr>
                <w:b/>
                <w:bCs/>
              </w:rPr>
              <w:t>9,474</w:t>
            </w:r>
            <w:r w:rsidRPr="00906591">
              <w:rPr>
                <w:b/>
                <w:bCs/>
              </w:rPr>
              <w:t xml:space="preserve"> </w:t>
            </w:r>
          </w:p>
        </w:tc>
        <w:tc>
          <w:tcPr>
            <w:tcW w:w="1844" w:type="dxa"/>
            <w:shd w:val="clear" w:color="auto" w:fill="auto"/>
          </w:tcPr>
          <w:p w:rsidR="00B00DA1" w:rsidRPr="00B00DA1" w:rsidP="00B00DA1" w14:paraId="6489031F" w14:textId="1238CC83">
            <w:pPr>
              <w:ind w:left="28"/>
              <w:contextualSpacing/>
              <w:jc w:val="right"/>
              <w:rPr>
                <w:b/>
                <w:bCs/>
              </w:rPr>
            </w:pPr>
            <w:r w:rsidRPr="00906591">
              <w:rPr>
                <w:b/>
                <w:bCs/>
              </w:rPr>
              <w:t>$1,</w:t>
            </w:r>
            <w:r w:rsidR="00EE390F">
              <w:rPr>
                <w:b/>
                <w:bCs/>
              </w:rPr>
              <w:t>569,868</w:t>
            </w:r>
          </w:p>
        </w:tc>
        <w:tc>
          <w:tcPr>
            <w:tcW w:w="1844" w:type="dxa"/>
          </w:tcPr>
          <w:p w:rsidR="00B00DA1" w:rsidRPr="00002ED1" w:rsidP="00B00DA1" w14:paraId="77499DD1" w14:textId="77777777">
            <w:pPr>
              <w:ind w:hanging="14"/>
              <w:contextualSpacing/>
              <w:jc w:val="right"/>
              <w:rPr>
                <w:b/>
              </w:rPr>
            </w:pPr>
            <w:r>
              <w:rPr>
                <w:b/>
              </w:rPr>
              <w:t>0</w:t>
            </w:r>
          </w:p>
        </w:tc>
        <w:tc>
          <w:tcPr>
            <w:tcW w:w="1844" w:type="dxa"/>
          </w:tcPr>
          <w:p w:rsidR="00B00DA1" w:rsidRPr="00002ED1" w:rsidP="00B00DA1" w14:paraId="5E3847CC" w14:textId="77777777">
            <w:pPr>
              <w:contextualSpacing/>
              <w:jc w:val="right"/>
              <w:rPr>
                <w:b/>
              </w:rPr>
            </w:pPr>
            <w:r w:rsidRPr="00002ED1">
              <w:rPr>
                <w:b/>
              </w:rPr>
              <w:t>$</w:t>
            </w:r>
            <w:r>
              <w:rPr>
                <w:b/>
                <w:lang w:val="en"/>
              </w:rPr>
              <w:t>0</w:t>
            </w:r>
          </w:p>
        </w:tc>
      </w:tr>
    </w:tbl>
    <w:p w:rsidR="001C433B" w:rsidP="00356B07" w14:paraId="28449994" w14:textId="77777777">
      <w:pPr>
        <w:tabs>
          <w:tab w:val="left" w:pos="720"/>
        </w:tabs>
        <w:ind w:left="1440" w:hanging="720"/>
      </w:pPr>
    </w:p>
    <w:p w:rsidR="00CB32EF" w:rsidRPr="00906591" w:rsidP="00356B07" w14:paraId="7C1D2A92" w14:textId="7C2AF51A">
      <w:pPr>
        <w:tabs>
          <w:tab w:val="left" w:pos="720"/>
          <w:tab w:val="left" w:pos="4208"/>
        </w:tabs>
        <w:ind w:left="1440" w:hanging="720"/>
        <w:rPr>
          <w:i/>
          <w:iCs/>
        </w:rPr>
      </w:pPr>
      <w:r w:rsidRPr="00771995">
        <w:rPr>
          <w:i/>
          <w:iCs/>
        </w:rPr>
        <w:t xml:space="preserve">Relationship and Conflict of Interest </w:t>
      </w:r>
      <w:r w:rsidRPr="00906591">
        <w:rPr>
          <w:i/>
          <w:iCs/>
        </w:rPr>
        <w:t>Disclosure</w:t>
      </w:r>
      <w:r w:rsidRPr="00906591" w:rsidR="00124237">
        <w:rPr>
          <w:i/>
          <w:iCs/>
        </w:rPr>
        <w:tab/>
      </w:r>
    </w:p>
    <w:p w:rsidR="00124237" w:rsidP="00356B07" w14:paraId="59CE947F" w14:textId="77777777">
      <w:pPr>
        <w:tabs>
          <w:tab w:val="left" w:pos="720"/>
          <w:tab w:val="left" w:pos="4208"/>
        </w:tabs>
        <w:ind w:left="1440" w:hanging="720"/>
      </w:pPr>
    </w:p>
    <w:p w:rsidR="00124237" w:rsidP="00906591" w14:paraId="075101F8" w14:textId="5A0A0333">
      <w:pPr>
        <w:tabs>
          <w:tab w:val="left" w:pos="990"/>
        </w:tabs>
        <w:ind w:left="720"/>
      </w:pPr>
      <w:r>
        <w:t xml:space="preserve">The rulemaking also </w:t>
      </w:r>
      <w:r w:rsidR="007977CE">
        <w:t xml:space="preserve">revises </w:t>
      </w:r>
      <w:r>
        <w:t xml:space="preserve">the existing requirement for a written description of the services provided to require a statement on whether the Retirement Investor </w:t>
      </w:r>
      <w:r w:rsidR="00410157">
        <w:t>will</w:t>
      </w:r>
      <w:r>
        <w:t xml:space="preserve"> pay for such services, directly or indirectly, including through third-party payments. This </w:t>
      </w:r>
      <w:r w:rsidR="00E83D9F">
        <w:t xml:space="preserve">new </w:t>
      </w:r>
      <w:r>
        <w:t xml:space="preserve">disclosure is consistent with the disclosure requirements under Regulation Best Interest. Accordingly, the Department expects that retail broker-dealers will not incur a cost to satisfy this requirement.  </w:t>
      </w:r>
    </w:p>
    <w:p w:rsidR="00124237" w:rsidP="00906591" w14:paraId="49C546B5" w14:textId="77777777">
      <w:pPr>
        <w:tabs>
          <w:tab w:val="left" w:pos="990"/>
        </w:tabs>
        <w:ind w:left="720"/>
      </w:pPr>
    </w:p>
    <w:p w:rsidR="00124237" w:rsidP="00921EAA" w14:paraId="51D25A61" w14:textId="16D26810">
      <w:pPr>
        <w:tabs>
          <w:tab w:val="left" w:pos="990"/>
        </w:tabs>
        <w:ind w:left="720"/>
      </w:pPr>
      <w:r>
        <w:t xml:space="preserve">For all other Financial Institutions which relied on the existing exemption (i.e. 70 percent of non-retail broker-dealers, registered investment advisers, and insurance companies), the Department assumes it will take a legal professional 30 minutes to update existing disclosures to include this information. Robo-advisers,  and newly reliant non-retail broker-dealers, registered investment advisers, and insurance companies will need to </w:t>
      </w:r>
      <w:r>
        <w:t xml:space="preserve">draft the </w:t>
      </w:r>
      <w:r w:rsidR="00B064F7">
        <w:t>Relationship and Conflict of Interest</w:t>
      </w:r>
      <w:r>
        <w:t xml:space="preserve"> disclosure, which the Department estimates will take a legal professional at a large institution five hours and a legal professional at a small institution one hour, on average, to prepare</w:t>
      </w:r>
      <w:r w:rsidR="0043008E">
        <w:t>.</w:t>
      </w:r>
      <w:r>
        <w:t>.</w:t>
      </w:r>
      <w:r>
        <w:rPr>
          <w:rStyle w:val="FootnoteReference"/>
        </w:rPr>
        <w:footnoteReference w:id="19"/>
      </w:r>
      <w:r>
        <w:t xml:space="preserve"> This results in an estimated hour burden of </w:t>
      </w:r>
      <w:r w:rsidR="00DE6F87">
        <w:t>28,738</w:t>
      </w:r>
      <w:r>
        <w:t xml:space="preserve"> hours with an equivalent cost of $</w:t>
      </w:r>
      <w:r w:rsidR="00DE6F87">
        <w:t>4,762,239</w:t>
      </w:r>
      <w:r>
        <w:t>.</w:t>
      </w:r>
      <w:r>
        <w:rPr>
          <w:rStyle w:val="FootnoteReference"/>
        </w:rPr>
        <w:footnoteReference w:id="20"/>
      </w:r>
    </w:p>
    <w:p w:rsidR="003B35F5" w:rsidP="00356B07" w14:paraId="1B8A4DD9" w14:textId="77777777">
      <w:pPr>
        <w:tabs>
          <w:tab w:val="left" w:pos="990"/>
        </w:tabs>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0DDC4AF3"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gridSpan w:val="5"/>
            <w:shd w:val="clear" w:color="auto" w:fill="auto"/>
          </w:tcPr>
          <w:p w:rsidR="003B35F5" w14:paraId="681F2506" w14:textId="20EEF286">
            <w:pPr>
              <w:ind w:left="720"/>
              <w:contextualSpacing/>
              <w:jc w:val="center"/>
              <w:rPr>
                <w:b/>
              </w:rPr>
            </w:pPr>
            <w:r w:rsidRPr="00295EAD">
              <w:rPr>
                <w:b/>
              </w:rPr>
              <w:t xml:space="preserve">Table 4: Hour Burden and Equivalent Cost Associated with the </w:t>
            </w:r>
            <w:r w:rsidR="003824E8">
              <w:rPr>
                <w:b/>
              </w:rPr>
              <w:t>Relationship and Conflict of Interest</w:t>
            </w:r>
            <w:r w:rsidRPr="00295EAD">
              <w:rPr>
                <w:b/>
              </w:rPr>
              <w:t xml:space="preserve"> Disclosure </w:t>
            </w:r>
          </w:p>
        </w:tc>
      </w:tr>
      <w:tr w14:paraId="19546C9B" w14:textId="77777777">
        <w:tblPrEx>
          <w:tblW w:w="0" w:type="auto"/>
          <w:tblInd w:w="828" w:type="dxa"/>
          <w:tblLayout w:type="fixed"/>
          <w:tblLook w:val="04A0"/>
        </w:tblPrEx>
        <w:tc>
          <w:tcPr>
            <w:tcW w:w="1147" w:type="dxa"/>
            <w:shd w:val="clear" w:color="auto" w:fill="auto"/>
          </w:tcPr>
          <w:p w:rsidR="003B35F5" w:rsidRPr="00002ED1" w14:paraId="5733F1BE" w14:textId="77777777">
            <w:pPr>
              <w:contextualSpacing/>
              <w:jc w:val="center"/>
              <w:rPr>
                <w:b/>
              </w:rPr>
            </w:pPr>
          </w:p>
        </w:tc>
        <w:tc>
          <w:tcPr>
            <w:tcW w:w="3687" w:type="dxa"/>
            <w:gridSpan w:val="2"/>
            <w:shd w:val="clear" w:color="auto" w:fill="auto"/>
          </w:tcPr>
          <w:p w:rsidR="003B35F5" w:rsidRPr="00002ED1" w14:paraId="7ECDD8F7" w14:textId="77777777">
            <w:pPr>
              <w:ind w:left="-21"/>
              <w:contextualSpacing/>
              <w:jc w:val="center"/>
              <w:rPr>
                <w:b/>
              </w:rPr>
            </w:pPr>
            <w:r>
              <w:rPr>
                <w:b/>
              </w:rPr>
              <w:t>Year 1</w:t>
            </w:r>
          </w:p>
        </w:tc>
        <w:tc>
          <w:tcPr>
            <w:tcW w:w="3688" w:type="dxa"/>
            <w:gridSpan w:val="2"/>
          </w:tcPr>
          <w:p w:rsidR="003B35F5" w:rsidRPr="00002ED1" w14:paraId="3A097EDB" w14:textId="77777777">
            <w:pPr>
              <w:contextualSpacing/>
              <w:jc w:val="center"/>
              <w:rPr>
                <w:b/>
              </w:rPr>
            </w:pPr>
            <w:r>
              <w:rPr>
                <w:b/>
              </w:rPr>
              <w:t>Subsequent Years</w:t>
            </w:r>
          </w:p>
        </w:tc>
      </w:tr>
      <w:tr w14:paraId="2E02F153" w14:textId="77777777">
        <w:tblPrEx>
          <w:tblW w:w="0" w:type="auto"/>
          <w:tblInd w:w="828" w:type="dxa"/>
          <w:tblLayout w:type="fixed"/>
          <w:tblLook w:val="04A0"/>
        </w:tblPrEx>
        <w:tc>
          <w:tcPr>
            <w:tcW w:w="1147" w:type="dxa"/>
            <w:shd w:val="clear" w:color="auto" w:fill="auto"/>
          </w:tcPr>
          <w:p w:rsidR="003B35F5" w:rsidRPr="00002ED1" w14:paraId="56D73001" w14:textId="77777777">
            <w:pPr>
              <w:contextualSpacing/>
              <w:jc w:val="center"/>
              <w:rPr>
                <w:b/>
              </w:rPr>
            </w:pPr>
            <w:r w:rsidRPr="00002ED1">
              <w:rPr>
                <w:b/>
              </w:rPr>
              <w:t>Activity</w:t>
            </w:r>
          </w:p>
        </w:tc>
        <w:tc>
          <w:tcPr>
            <w:tcW w:w="1843" w:type="dxa"/>
            <w:shd w:val="clear" w:color="auto" w:fill="auto"/>
          </w:tcPr>
          <w:p w:rsidR="003B35F5" w:rsidRPr="00002ED1" w14:paraId="18596AF6" w14:textId="77777777">
            <w:pPr>
              <w:ind w:left="-21" w:firstLine="21"/>
              <w:contextualSpacing/>
              <w:jc w:val="center"/>
              <w:rPr>
                <w:b/>
              </w:rPr>
            </w:pPr>
            <w:r w:rsidRPr="00002ED1">
              <w:rPr>
                <w:b/>
              </w:rPr>
              <w:t>Burden Hours</w:t>
            </w:r>
          </w:p>
        </w:tc>
        <w:tc>
          <w:tcPr>
            <w:tcW w:w="1844" w:type="dxa"/>
            <w:shd w:val="clear" w:color="auto" w:fill="auto"/>
          </w:tcPr>
          <w:p w:rsidR="003B35F5" w:rsidRPr="00002ED1" w14:paraId="3969159E" w14:textId="77777777">
            <w:pPr>
              <w:ind w:left="28"/>
              <w:contextualSpacing/>
              <w:jc w:val="center"/>
              <w:rPr>
                <w:b/>
              </w:rPr>
            </w:pPr>
            <w:r w:rsidRPr="00002ED1">
              <w:rPr>
                <w:b/>
              </w:rPr>
              <w:t>Equivalent Burden Cost</w:t>
            </w:r>
          </w:p>
        </w:tc>
        <w:tc>
          <w:tcPr>
            <w:tcW w:w="1844" w:type="dxa"/>
          </w:tcPr>
          <w:p w:rsidR="003B35F5" w:rsidRPr="00002ED1" w14:paraId="0F6F155C" w14:textId="77777777">
            <w:pPr>
              <w:ind w:hanging="14"/>
              <w:contextualSpacing/>
              <w:jc w:val="center"/>
              <w:rPr>
                <w:b/>
              </w:rPr>
            </w:pPr>
            <w:r w:rsidRPr="00002ED1">
              <w:rPr>
                <w:b/>
              </w:rPr>
              <w:t>Burden Hours</w:t>
            </w:r>
          </w:p>
        </w:tc>
        <w:tc>
          <w:tcPr>
            <w:tcW w:w="1844" w:type="dxa"/>
          </w:tcPr>
          <w:p w:rsidR="003B35F5" w:rsidRPr="00002ED1" w14:paraId="33931E6C" w14:textId="77777777">
            <w:pPr>
              <w:contextualSpacing/>
              <w:jc w:val="center"/>
              <w:rPr>
                <w:b/>
              </w:rPr>
            </w:pPr>
            <w:r w:rsidRPr="00002ED1">
              <w:rPr>
                <w:b/>
              </w:rPr>
              <w:t>Equivalent Burden Cost</w:t>
            </w:r>
          </w:p>
        </w:tc>
      </w:tr>
      <w:tr w14:paraId="51A955BC" w14:textId="77777777">
        <w:tblPrEx>
          <w:tblW w:w="0" w:type="auto"/>
          <w:tblInd w:w="828" w:type="dxa"/>
          <w:tblLayout w:type="fixed"/>
          <w:tblLook w:val="04A0"/>
        </w:tblPrEx>
        <w:tc>
          <w:tcPr>
            <w:tcW w:w="1147" w:type="dxa"/>
            <w:shd w:val="clear" w:color="auto" w:fill="auto"/>
          </w:tcPr>
          <w:p w:rsidR="00316ABD" w:rsidRPr="00002ED1" w:rsidP="00316ABD" w14:paraId="41F0B9B2" w14:textId="77777777">
            <w:pPr>
              <w:contextualSpacing/>
            </w:pPr>
            <w:r w:rsidRPr="00002ED1">
              <w:t>Legal</w:t>
            </w:r>
          </w:p>
        </w:tc>
        <w:tc>
          <w:tcPr>
            <w:tcW w:w="1843" w:type="dxa"/>
            <w:shd w:val="clear" w:color="auto" w:fill="auto"/>
          </w:tcPr>
          <w:p w:rsidR="00316ABD" w:rsidRPr="00002ED1" w:rsidP="00316ABD" w14:paraId="4B10B283" w14:textId="489D7BD0">
            <w:pPr>
              <w:ind w:left="-21" w:firstLine="21"/>
              <w:contextualSpacing/>
              <w:jc w:val="right"/>
            </w:pPr>
            <w:r>
              <w:t>28,738</w:t>
            </w:r>
            <w:r w:rsidRPr="00283065">
              <w:t xml:space="preserve"> </w:t>
            </w:r>
          </w:p>
        </w:tc>
        <w:tc>
          <w:tcPr>
            <w:tcW w:w="1844" w:type="dxa"/>
            <w:shd w:val="clear" w:color="auto" w:fill="auto"/>
          </w:tcPr>
          <w:p w:rsidR="00316ABD" w:rsidRPr="00002ED1" w:rsidP="00316ABD" w14:paraId="5A9D250E" w14:textId="7B254691">
            <w:pPr>
              <w:ind w:left="28"/>
              <w:contextualSpacing/>
              <w:jc w:val="right"/>
            </w:pPr>
            <w:r w:rsidRPr="00283065">
              <w:t>$</w:t>
            </w:r>
            <w:r>
              <w:t>4</w:t>
            </w:r>
            <w:r w:rsidRPr="00283065">
              <w:t>,</w:t>
            </w:r>
            <w:r w:rsidR="00AA1990">
              <w:t>762,239</w:t>
            </w:r>
          </w:p>
        </w:tc>
        <w:tc>
          <w:tcPr>
            <w:tcW w:w="1844" w:type="dxa"/>
          </w:tcPr>
          <w:p w:rsidR="00316ABD" w:rsidRPr="00002ED1" w:rsidP="00316ABD" w14:paraId="59A35F47" w14:textId="333124C7">
            <w:pPr>
              <w:ind w:hanging="14"/>
              <w:contextualSpacing/>
              <w:jc w:val="right"/>
            </w:pPr>
            <w:r>
              <w:t>0</w:t>
            </w:r>
          </w:p>
        </w:tc>
        <w:tc>
          <w:tcPr>
            <w:tcW w:w="1844" w:type="dxa"/>
          </w:tcPr>
          <w:p w:rsidR="00316ABD" w:rsidRPr="00002ED1" w:rsidP="00316ABD" w14:paraId="6B8B14C9" w14:textId="7151A413">
            <w:pPr>
              <w:contextualSpacing/>
              <w:jc w:val="right"/>
            </w:pPr>
            <w:r w:rsidRPr="00283065">
              <w:t>$</w:t>
            </w:r>
            <w:r w:rsidR="0075526B">
              <w:t>0</w:t>
            </w:r>
          </w:p>
        </w:tc>
      </w:tr>
      <w:tr w14:paraId="7C682FEA" w14:textId="77777777">
        <w:tblPrEx>
          <w:tblW w:w="0" w:type="auto"/>
          <w:tblInd w:w="828" w:type="dxa"/>
          <w:tblLayout w:type="fixed"/>
          <w:tblLook w:val="04A0"/>
        </w:tblPrEx>
        <w:tc>
          <w:tcPr>
            <w:tcW w:w="1147" w:type="dxa"/>
            <w:shd w:val="clear" w:color="auto" w:fill="auto"/>
          </w:tcPr>
          <w:p w:rsidR="0075526B" w:rsidRPr="00002ED1" w:rsidP="0075526B" w14:paraId="684AEABB" w14:textId="77777777">
            <w:pPr>
              <w:contextualSpacing/>
              <w:rPr>
                <w:b/>
              </w:rPr>
            </w:pPr>
            <w:r w:rsidRPr="00002ED1">
              <w:rPr>
                <w:b/>
              </w:rPr>
              <w:t>Total</w:t>
            </w:r>
          </w:p>
        </w:tc>
        <w:tc>
          <w:tcPr>
            <w:tcW w:w="1843" w:type="dxa"/>
            <w:shd w:val="clear" w:color="auto" w:fill="auto"/>
          </w:tcPr>
          <w:p w:rsidR="0075526B" w:rsidRPr="0075526B" w:rsidP="0075526B" w14:paraId="1D1BF52E" w14:textId="63C524FA">
            <w:pPr>
              <w:ind w:left="-21" w:firstLine="21"/>
              <w:contextualSpacing/>
              <w:jc w:val="right"/>
              <w:rPr>
                <w:b/>
                <w:bCs/>
              </w:rPr>
            </w:pPr>
            <w:r>
              <w:rPr>
                <w:b/>
                <w:bCs/>
              </w:rPr>
              <w:t>28,738</w:t>
            </w:r>
            <w:r w:rsidRPr="00906591">
              <w:rPr>
                <w:b/>
                <w:bCs/>
              </w:rPr>
              <w:t xml:space="preserve"> </w:t>
            </w:r>
          </w:p>
        </w:tc>
        <w:tc>
          <w:tcPr>
            <w:tcW w:w="1844" w:type="dxa"/>
            <w:shd w:val="clear" w:color="auto" w:fill="auto"/>
          </w:tcPr>
          <w:p w:rsidR="0075526B" w:rsidRPr="0075526B" w:rsidP="0075526B" w14:paraId="5499B91B" w14:textId="4C18136C">
            <w:pPr>
              <w:ind w:left="28"/>
              <w:contextualSpacing/>
              <w:jc w:val="right"/>
              <w:rPr>
                <w:b/>
                <w:bCs/>
              </w:rPr>
            </w:pPr>
            <w:r w:rsidRPr="00906591">
              <w:rPr>
                <w:b/>
                <w:bCs/>
              </w:rPr>
              <w:t>$4,</w:t>
            </w:r>
            <w:r w:rsidR="00AA1990">
              <w:rPr>
                <w:b/>
                <w:bCs/>
              </w:rPr>
              <w:t>762,239</w:t>
            </w:r>
          </w:p>
        </w:tc>
        <w:tc>
          <w:tcPr>
            <w:tcW w:w="1844" w:type="dxa"/>
          </w:tcPr>
          <w:p w:rsidR="0075526B" w:rsidRPr="0075526B" w:rsidP="0075526B" w14:paraId="285F2105" w14:textId="0C87003D">
            <w:pPr>
              <w:ind w:hanging="14"/>
              <w:contextualSpacing/>
              <w:jc w:val="right"/>
              <w:rPr>
                <w:b/>
                <w:bCs/>
              </w:rPr>
            </w:pPr>
            <w:r w:rsidRPr="00906591">
              <w:rPr>
                <w:b/>
                <w:bCs/>
              </w:rPr>
              <w:t>0</w:t>
            </w:r>
          </w:p>
        </w:tc>
        <w:tc>
          <w:tcPr>
            <w:tcW w:w="1844" w:type="dxa"/>
          </w:tcPr>
          <w:p w:rsidR="0075526B" w:rsidRPr="0075526B" w:rsidP="0075526B" w14:paraId="648278FB" w14:textId="315955C0">
            <w:pPr>
              <w:contextualSpacing/>
              <w:jc w:val="right"/>
              <w:rPr>
                <w:b/>
                <w:bCs/>
              </w:rPr>
            </w:pPr>
            <w:r w:rsidRPr="00906591">
              <w:rPr>
                <w:b/>
                <w:bCs/>
              </w:rPr>
              <w:t>$0</w:t>
            </w:r>
          </w:p>
        </w:tc>
      </w:tr>
    </w:tbl>
    <w:p w:rsidR="003B35F5" w:rsidP="00B40E83" w14:paraId="2ADECA1F" w14:textId="77777777">
      <w:pPr>
        <w:tabs>
          <w:tab w:val="left" w:pos="990"/>
        </w:tabs>
        <w:ind w:left="720"/>
      </w:pPr>
    </w:p>
    <w:p w:rsidR="00FA4289" w:rsidP="00FA4289" w14:paraId="0B3732AE" w14:textId="396780AF">
      <w:pPr>
        <w:pStyle w:val="BodyTextIndent"/>
        <w:contextualSpacing/>
        <w:rPr>
          <w:i/>
          <w:color w:val="000000" w:themeColor="text1"/>
        </w:rPr>
      </w:pPr>
      <w:r>
        <w:rPr>
          <w:i/>
          <w:color w:val="000000" w:themeColor="text1"/>
        </w:rPr>
        <w:t xml:space="preserve">Provision of </w:t>
      </w:r>
      <w:r w:rsidRPr="00771995" w:rsidR="00771995">
        <w:rPr>
          <w:i/>
          <w:iCs/>
        </w:rPr>
        <w:t xml:space="preserve">Relationship and Conflict of Interest </w:t>
      </w:r>
      <w:r>
        <w:rPr>
          <w:i/>
          <w:color w:val="000000" w:themeColor="text1"/>
        </w:rPr>
        <w:t>Disclosures</w:t>
      </w:r>
    </w:p>
    <w:p w:rsidR="00FA4289" w:rsidP="00FA4289" w14:paraId="5F9FFF5F" w14:textId="77777777">
      <w:pPr>
        <w:pStyle w:val="BodyTextIndent"/>
        <w:contextualSpacing/>
        <w:rPr>
          <w:iCs/>
          <w:color w:val="000000" w:themeColor="text1"/>
        </w:rPr>
      </w:pPr>
    </w:p>
    <w:p w:rsidR="00890141" w:rsidP="00FA4289" w14:paraId="6C11998C" w14:textId="52C080FB">
      <w:pPr>
        <w:tabs>
          <w:tab w:val="left" w:pos="990"/>
        </w:tabs>
        <w:ind w:left="720"/>
        <w:contextualSpacing/>
      </w:pPr>
      <w:r w:rsidRPr="00684833">
        <w:t xml:space="preserve">Similar to the 2020 analysis, the Department assumes most required disclosures will be electronically delivered to </w:t>
      </w:r>
      <w:r w:rsidR="00A60913">
        <w:t>Plan</w:t>
      </w:r>
      <w:r w:rsidRPr="00684833">
        <w:t xml:space="preserve"> fiduciaries. </w:t>
      </w:r>
      <w:r w:rsidRPr="00684833" w:rsidR="007C4AEF">
        <w:t>As discussed</w:t>
      </w:r>
      <w:r w:rsidRPr="007C4AEF" w:rsidR="007C4AEF">
        <w:t xml:space="preserve"> above, the Department estimates that 96.1 percent of the disclosures sent to Retirement Investors will be sent electronically and that approximately 72 percent of IRA owners will receive disclosures electronically</w:t>
      </w:r>
      <w:r w:rsidRPr="005E08EF">
        <w:t>.</w:t>
      </w:r>
      <w:r>
        <w:t xml:space="preserve"> </w:t>
      </w:r>
    </w:p>
    <w:p w:rsidR="00890141" w:rsidP="00FA4289" w14:paraId="2898DE96" w14:textId="77777777">
      <w:pPr>
        <w:tabs>
          <w:tab w:val="left" w:pos="990"/>
        </w:tabs>
        <w:ind w:left="720"/>
        <w:contextualSpacing/>
      </w:pPr>
    </w:p>
    <w:p w:rsidR="00FA4289" w:rsidP="00FA4289" w14:paraId="1814C844" w14:textId="22F4E8EF">
      <w:pPr>
        <w:tabs>
          <w:tab w:val="left" w:pos="990"/>
        </w:tabs>
        <w:ind w:left="720"/>
        <w:contextualSpacing/>
      </w:pPr>
      <w:r>
        <w:t>The Department estimates that approximately 44.6 million Retirement Investors and 67.8 million IRA owners will receive disclosures annually, of which, 20.9 million (1.7 million Retirement Investors and 19.1 million IRA owners) will receive paper disclosures.</w:t>
      </w:r>
      <w:r>
        <w:rPr>
          <w:rStyle w:val="FootnoteReference"/>
        </w:rPr>
        <w:footnoteReference w:id="21"/>
      </w:r>
      <w:r>
        <w:t xml:space="preserve"> The Department estimates that preparing and sending each disclosure would take a clerical worker, on average, five minutes, resulting in an hour burden of 1,737,781 hours with an equivalent cost of $114,676,201.</w:t>
      </w:r>
      <w:r>
        <w:rPr>
          <w:rStyle w:val="FootnoteReference"/>
        </w:rPr>
        <w:footnoteReference w:id="22"/>
      </w:r>
    </w:p>
    <w:p w:rsidR="00FA4289" w:rsidP="00FA4289" w14:paraId="705389A1" w14:textId="77777777">
      <w:pPr>
        <w:tabs>
          <w:tab w:val="left" w:pos="990"/>
        </w:tabs>
        <w:ind w:left="540"/>
        <w:contextualSpacing/>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0CE382B6"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gridSpan w:val="5"/>
            <w:shd w:val="clear" w:color="auto" w:fill="auto"/>
          </w:tcPr>
          <w:p w:rsidR="00FA4289" w14:paraId="4FD3D6C7" w14:textId="397B81B5">
            <w:pPr>
              <w:contextualSpacing/>
              <w:jc w:val="center"/>
              <w:rPr>
                <w:b/>
              </w:rPr>
            </w:pPr>
            <w:r>
              <w:rPr>
                <w:b/>
              </w:rPr>
              <w:t xml:space="preserve">Table </w:t>
            </w:r>
            <w:r w:rsidR="00D85DB0">
              <w:rPr>
                <w:b/>
              </w:rPr>
              <w:t>5</w:t>
            </w:r>
            <w:r>
              <w:rPr>
                <w:b/>
              </w:rPr>
              <w:t>: Hour Burden and Equivalent Cost Associated Preparing and Sending Disclosures</w:t>
            </w:r>
          </w:p>
        </w:tc>
      </w:tr>
      <w:tr w14:paraId="2905937D" w14:textId="77777777">
        <w:tblPrEx>
          <w:tblW w:w="0" w:type="auto"/>
          <w:tblInd w:w="828" w:type="dxa"/>
          <w:tblLayout w:type="fixed"/>
          <w:tblLook w:val="04A0"/>
        </w:tblPrEx>
        <w:tc>
          <w:tcPr>
            <w:tcW w:w="1147" w:type="dxa"/>
            <w:shd w:val="clear" w:color="auto" w:fill="auto"/>
          </w:tcPr>
          <w:p w:rsidR="00FA4289" w:rsidRPr="00002ED1" w14:paraId="0F1A419C" w14:textId="77777777">
            <w:pPr>
              <w:contextualSpacing/>
              <w:jc w:val="center"/>
              <w:rPr>
                <w:b/>
              </w:rPr>
            </w:pPr>
          </w:p>
        </w:tc>
        <w:tc>
          <w:tcPr>
            <w:tcW w:w="3687" w:type="dxa"/>
            <w:gridSpan w:val="2"/>
            <w:shd w:val="clear" w:color="auto" w:fill="auto"/>
          </w:tcPr>
          <w:p w:rsidR="00FA4289" w:rsidRPr="00002ED1" w14:paraId="7D53A7B4" w14:textId="77777777">
            <w:pPr>
              <w:contextualSpacing/>
              <w:jc w:val="center"/>
              <w:rPr>
                <w:b/>
              </w:rPr>
            </w:pPr>
            <w:r>
              <w:rPr>
                <w:b/>
              </w:rPr>
              <w:t>Year 1</w:t>
            </w:r>
          </w:p>
        </w:tc>
        <w:tc>
          <w:tcPr>
            <w:tcW w:w="3688" w:type="dxa"/>
            <w:gridSpan w:val="2"/>
          </w:tcPr>
          <w:p w:rsidR="00FA4289" w:rsidRPr="00002ED1" w14:paraId="0D55A0C6" w14:textId="77777777">
            <w:pPr>
              <w:ind w:hanging="14"/>
              <w:contextualSpacing/>
              <w:jc w:val="center"/>
              <w:rPr>
                <w:b/>
              </w:rPr>
            </w:pPr>
            <w:r>
              <w:rPr>
                <w:b/>
              </w:rPr>
              <w:t>Subsequent Years</w:t>
            </w:r>
          </w:p>
        </w:tc>
      </w:tr>
      <w:tr w14:paraId="0FA222CD" w14:textId="77777777">
        <w:tblPrEx>
          <w:tblW w:w="0" w:type="auto"/>
          <w:tblInd w:w="828" w:type="dxa"/>
          <w:tblLayout w:type="fixed"/>
          <w:tblLook w:val="04A0"/>
        </w:tblPrEx>
        <w:tc>
          <w:tcPr>
            <w:tcW w:w="1147" w:type="dxa"/>
            <w:shd w:val="clear" w:color="auto" w:fill="auto"/>
          </w:tcPr>
          <w:p w:rsidR="00FA4289" w:rsidRPr="00002ED1" w14:paraId="55F7E7CB" w14:textId="77777777">
            <w:pPr>
              <w:contextualSpacing/>
              <w:jc w:val="center"/>
              <w:rPr>
                <w:b/>
              </w:rPr>
            </w:pPr>
            <w:r w:rsidRPr="00002ED1">
              <w:rPr>
                <w:b/>
              </w:rPr>
              <w:t>Activity</w:t>
            </w:r>
          </w:p>
        </w:tc>
        <w:tc>
          <w:tcPr>
            <w:tcW w:w="1843" w:type="dxa"/>
            <w:shd w:val="clear" w:color="auto" w:fill="auto"/>
          </w:tcPr>
          <w:p w:rsidR="00FA4289" w:rsidRPr="00002ED1" w14:paraId="2284383B" w14:textId="77777777">
            <w:pPr>
              <w:contextualSpacing/>
              <w:jc w:val="center"/>
              <w:rPr>
                <w:b/>
              </w:rPr>
            </w:pPr>
            <w:r w:rsidRPr="00002ED1">
              <w:rPr>
                <w:b/>
              </w:rPr>
              <w:t>Burden Hours</w:t>
            </w:r>
          </w:p>
        </w:tc>
        <w:tc>
          <w:tcPr>
            <w:tcW w:w="1844" w:type="dxa"/>
            <w:shd w:val="clear" w:color="auto" w:fill="auto"/>
          </w:tcPr>
          <w:p w:rsidR="00FA4289" w:rsidRPr="00002ED1" w14:paraId="456DEEF9" w14:textId="77777777">
            <w:pPr>
              <w:contextualSpacing/>
              <w:jc w:val="center"/>
              <w:rPr>
                <w:b/>
              </w:rPr>
            </w:pPr>
            <w:r w:rsidRPr="00002ED1">
              <w:rPr>
                <w:b/>
              </w:rPr>
              <w:t>Equivalent Burden Cost</w:t>
            </w:r>
          </w:p>
        </w:tc>
        <w:tc>
          <w:tcPr>
            <w:tcW w:w="1844" w:type="dxa"/>
          </w:tcPr>
          <w:p w:rsidR="00FA4289" w:rsidRPr="00002ED1" w14:paraId="2575A17F" w14:textId="77777777">
            <w:pPr>
              <w:ind w:hanging="14"/>
              <w:contextualSpacing/>
              <w:jc w:val="center"/>
              <w:rPr>
                <w:b/>
              </w:rPr>
            </w:pPr>
            <w:r w:rsidRPr="00002ED1">
              <w:rPr>
                <w:b/>
              </w:rPr>
              <w:t>Burden Hours</w:t>
            </w:r>
          </w:p>
        </w:tc>
        <w:tc>
          <w:tcPr>
            <w:tcW w:w="1844" w:type="dxa"/>
          </w:tcPr>
          <w:p w:rsidR="00FA4289" w:rsidRPr="00002ED1" w14:paraId="2CC15337" w14:textId="77777777">
            <w:pPr>
              <w:contextualSpacing/>
              <w:jc w:val="center"/>
              <w:rPr>
                <w:b/>
              </w:rPr>
            </w:pPr>
            <w:r w:rsidRPr="00002ED1">
              <w:rPr>
                <w:b/>
              </w:rPr>
              <w:t>Equivalent Burden Cost</w:t>
            </w:r>
          </w:p>
        </w:tc>
      </w:tr>
      <w:tr w14:paraId="307F10FD" w14:textId="77777777">
        <w:tblPrEx>
          <w:tblW w:w="0" w:type="auto"/>
          <w:tblInd w:w="828" w:type="dxa"/>
          <w:tblLayout w:type="fixed"/>
          <w:tblLook w:val="04A0"/>
        </w:tblPrEx>
        <w:tc>
          <w:tcPr>
            <w:tcW w:w="1147" w:type="dxa"/>
            <w:shd w:val="clear" w:color="auto" w:fill="auto"/>
          </w:tcPr>
          <w:p w:rsidR="00FA4289" w:rsidRPr="00002ED1" w14:paraId="5A1DC054" w14:textId="77777777">
            <w:pPr>
              <w:contextualSpacing/>
            </w:pPr>
            <w:r>
              <w:t>Clerical</w:t>
            </w:r>
          </w:p>
        </w:tc>
        <w:tc>
          <w:tcPr>
            <w:tcW w:w="1843" w:type="dxa"/>
            <w:shd w:val="clear" w:color="auto" w:fill="auto"/>
          </w:tcPr>
          <w:p w:rsidR="00FA4289" w14:paraId="426836A6" w14:textId="77777777">
            <w:pPr>
              <w:contextualSpacing/>
              <w:jc w:val="right"/>
            </w:pPr>
            <w:r w:rsidRPr="003745CF">
              <w:t xml:space="preserve">1,737,781  </w:t>
            </w:r>
          </w:p>
        </w:tc>
        <w:tc>
          <w:tcPr>
            <w:tcW w:w="1844" w:type="dxa"/>
            <w:shd w:val="clear" w:color="auto" w:fill="auto"/>
          </w:tcPr>
          <w:p w:rsidR="00FA4289" w:rsidRPr="00002ED1" w14:paraId="330559DE" w14:textId="77777777">
            <w:pPr>
              <w:contextualSpacing/>
              <w:jc w:val="right"/>
            </w:pPr>
            <w:r w:rsidRPr="003745CF">
              <w:t xml:space="preserve">$114,676,201  </w:t>
            </w:r>
          </w:p>
        </w:tc>
        <w:tc>
          <w:tcPr>
            <w:tcW w:w="1844" w:type="dxa"/>
          </w:tcPr>
          <w:p w:rsidR="00FA4289" w14:paraId="6F557223" w14:textId="77777777">
            <w:pPr>
              <w:ind w:hanging="14"/>
              <w:contextualSpacing/>
              <w:jc w:val="right"/>
            </w:pPr>
            <w:r w:rsidRPr="003745CF">
              <w:t xml:space="preserve">1,737,781  </w:t>
            </w:r>
          </w:p>
        </w:tc>
        <w:tc>
          <w:tcPr>
            <w:tcW w:w="1844" w:type="dxa"/>
          </w:tcPr>
          <w:p w:rsidR="00FA4289" w:rsidRPr="00002ED1" w14:paraId="3C089669" w14:textId="77777777">
            <w:pPr>
              <w:contextualSpacing/>
              <w:jc w:val="right"/>
            </w:pPr>
            <w:r w:rsidRPr="003745CF">
              <w:t xml:space="preserve">$114,676,201  </w:t>
            </w:r>
          </w:p>
        </w:tc>
      </w:tr>
      <w:tr w14:paraId="1F26B5D4" w14:textId="77777777">
        <w:tblPrEx>
          <w:tblW w:w="0" w:type="auto"/>
          <w:tblInd w:w="828" w:type="dxa"/>
          <w:tblLayout w:type="fixed"/>
          <w:tblLook w:val="04A0"/>
        </w:tblPrEx>
        <w:tc>
          <w:tcPr>
            <w:tcW w:w="1147" w:type="dxa"/>
            <w:shd w:val="clear" w:color="auto" w:fill="auto"/>
          </w:tcPr>
          <w:p w:rsidR="00FA4289" w:rsidRPr="00002ED1" w14:paraId="15BB8165" w14:textId="77777777">
            <w:pPr>
              <w:contextualSpacing/>
              <w:rPr>
                <w:b/>
              </w:rPr>
            </w:pPr>
            <w:r w:rsidRPr="00002ED1">
              <w:rPr>
                <w:b/>
              </w:rPr>
              <w:t>Total</w:t>
            </w:r>
          </w:p>
        </w:tc>
        <w:tc>
          <w:tcPr>
            <w:tcW w:w="1843" w:type="dxa"/>
            <w:shd w:val="clear" w:color="auto" w:fill="auto"/>
          </w:tcPr>
          <w:p w:rsidR="00FA4289" w:rsidRPr="00A0663B" w14:paraId="555FBE1B" w14:textId="77777777">
            <w:pPr>
              <w:contextualSpacing/>
              <w:jc w:val="right"/>
              <w:rPr>
                <w:b/>
                <w:bCs/>
              </w:rPr>
            </w:pPr>
            <w:r w:rsidRPr="00C92E51">
              <w:rPr>
                <w:b/>
                <w:bCs/>
              </w:rPr>
              <w:t xml:space="preserve">1,737,781  </w:t>
            </w:r>
          </w:p>
        </w:tc>
        <w:tc>
          <w:tcPr>
            <w:tcW w:w="1844" w:type="dxa"/>
            <w:shd w:val="clear" w:color="auto" w:fill="auto"/>
          </w:tcPr>
          <w:p w:rsidR="00FA4289" w:rsidRPr="00A0663B" w14:paraId="550CF769" w14:textId="77777777">
            <w:pPr>
              <w:contextualSpacing/>
              <w:jc w:val="right"/>
              <w:rPr>
                <w:b/>
                <w:bCs/>
              </w:rPr>
            </w:pPr>
            <w:r w:rsidRPr="00C92E51">
              <w:rPr>
                <w:b/>
                <w:bCs/>
              </w:rPr>
              <w:t xml:space="preserve">$114,676,201  </w:t>
            </w:r>
          </w:p>
        </w:tc>
        <w:tc>
          <w:tcPr>
            <w:tcW w:w="1844" w:type="dxa"/>
          </w:tcPr>
          <w:p w:rsidR="00FA4289" w:rsidRPr="00A0663B" w14:paraId="6D7C5CAB" w14:textId="77777777">
            <w:pPr>
              <w:ind w:hanging="14"/>
              <w:contextualSpacing/>
              <w:jc w:val="right"/>
              <w:rPr>
                <w:b/>
                <w:bCs/>
              </w:rPr>
            </w:pPr>
            <w:r w:rsidRPr="00C92E51">
              <w:rPr>
                <w:b/>
                <w:bCs/>
              </w:rPr>
              <w:t xml:space="preserve">1,737,781  </w:t>
            </w:r>
          </w:p>
        </w:tc>
        <w:tc>
          <w:tcPr>
            <w:tcW w:w="1844" w:type="dxa"/>
          </w:tcPr>
          <w:p w:rsidR="00FA4289" w:rsidRPr="00A0663B" w14:paraId="56FC110B" w14:textId="77777777">
            <w:pPr>
              <w:contextualSpacing/>
              <w:jc w:val="right"/>
              <w:rPr>
                <w:b/>
                <w:bCs/>
              </w:rPr>
            </w:pPr>
            <w:r w:rsidRPr="00C92E51">
              <w:rPr>
                <w:b/>
                <w:bCs/>
              </w:rPr>
              <w:t xml:space="preserve">$114,676,201  </w:t>
            </w:r>
          </w:p>
        </w:tc>
      </w:tr>
    </w:tbl>
    <w:p w:rsidR="00FA4289" w:rsidP="00FA4289" w14:paraId="2B1A4FE6" w14:textId="77777777">
      <w:pPr>
        <w:tabs>
          <w:tab w:val="left" w:pos="990"/>
        </w:tabs>
        <w:contextualSpacing/>
      </w:pPr>
    </w:p>
    <w:p w:rsidR="000A363C" w:rsidRPr="00906591" w:rsidP="00356B07" w14:paraId="2FE06232" w14:textId="7A55AA39">
      <w:pPr>
        <w:tabs>
          <w:tab w:val="left" w:pos="720"/>
        </w:tabs>
        <w:ind w:left="1440" w:hanging="720"/>
        <w:rPr>
          <w:i/>
          <w:iCs/>
        </w:rPr>
      </w:pPr>
      <w:r>
        <w:rPr>
          <w:i/>
        </w:rPr>
        <w:t xml:space="preserve">Documentation and Disclosure of </w:t>
      </w:r>
      <w:r w:rsidRPr="00906591" w:rsidR="00A33A75">
        <w:rPr>
          <w:i/>
        </w:rPr>
        <w:t>Rollovers</w:t>
      </w:r>
    </w:p>
    <w:p w:rsidR="001C05A8" w:rsidP="00356B07" w14:paraId="4FB62F24" w14:textId="77777777">
      <w:pPr>
        <w:tabs>
          <w:tab w:val="left" w:pos="720"/>
        </w:tabs>
        <w:ind w:left="1440" w:hanging="720"/>
      </w:pPr>
    </w:p>
    <w:p w:rsidR="005907F6" w:rsidP="00705A90" w14:paraId="31493372" w14:textId="0EFEF17B">
      <w:pPr>
        <w:tabs>
          <w:tab w:val="left" w:pos="720"/>
        </w:tabs>
        <w:ind w:left="720"/>
      </w:pPr>
      <w:r>
        <w:t xml:space="preserve">The </w:t>
      </w:r>
      <w:r w:rsidR="006A12E7">
        <w:t xml:space="preserve">Department </w:t>
      </w:r>
      <w:r>
        <w:t xml:space="preserve">proposed requiring disclosures for all rollovers, including those from </w:t>
      </w:r>
      <w:r w:rsidR="00A60913">
        <w:t>Plan</w:t>
      </w:r>
      <w:r>
        <w:t xml:space="preserve">s to IRAs, from IRAs to other IRAs and from </w:t>
      </w:r>
      <w:r w:rsidR="00A60913">
        <w:t>Plan</w:t>
      </w:r>
      <w:r>
        <w:t xml:space="preserve">s to </w:t>
      </w:r>
      <w:r w:rsidR="00A60913">
        <w:t>Plan</w:t>
      </w:r>
      <w:r>
        <w:t>s. In the final amendment, the rollover disclosure will only be required for rollovers</w:t>
      </w:r>
      <w:r w:rsidR="00F450AB">
        <w:t xml:space="preserve"> </w:t>
      </w:r>
      <w:r w:rsidRPr="00C90A74" w:rsidR="00F450AB">
        <w:t>from a Plan that is covered by Title I</w:t>
      </w:r>
      <w:r w:rsidR="00083BCB">
        <w:t>,</w:t>
      </w:r>
      <w:r w:rsidRPr="00C90A74" w:rsidR="00083BCB">
        <w:t xml:space="preserve"> or recommendation to a Plan participant or beneficiary as to the post-rollover investment of assets currently held in a Plan that is covered by Title I</w:t>
      </w:r>
      <w:r>
        <w:t xml:space="preserve">. </w:t>
      </w:r>
      <w:r w:rsidRPr="00C92177" w:rsidR="006523EB">
        <w:t xml:space="preserve">According to Cerulli Associates, in 2022, almost 4.5 million </w:t>
      </w:r>
      <w:r w:rsidR="00087384">
        <w:t>defined contribution (DC)</w:t>
      </w:r>
      <w:r w:rsidRPr="00C92177" w:rsidR="006523EB">
        <w:t xml:space="preserve"> </w:t>
      </w:r>
      <w:r w:rsidR="00A60913">
        <w:t>Plan</w:t>
      </w:r>
      <w:r w:rsidRPr="00C92177" w:rsidR="006523EB">
        <w:t xml:space="preserve"> accounts with $779 billion in assets were rolled over to an IRA. </w:t>
      </w:r>
      <w:r w:rsidRPr="00684833" w:rsidR="006523EB">
        <w:t xml:space="preserve">Additionally, 0.7 million DC </w:t>
      </w:r>
      <w:r w:rsidR="00A60913">
        <w:t>Plan</w:t>
      </w:r>
      <w:r w:rsidRPr="00684833" w:rsidR="006523EB">
        <w:t xml:space="preserve"> accounts with $66 billion in assets were rolled over to other employer-sponsored </w:t>
      </w:r>
      <w:r w:rsidR="00A60913">
        <w:t>Plan</w:t>
      </w:r>
      <w:r w:rsidRPr="00684833" w:rsidR="006523EB">
        <w:t>s.</w:t>
      </w:r>
      <w:r>
        <w:rPr>
          <w:vertAlign w:val="superscript"/>
        </w:rPr>
        <w:footnoteReference w:id="23"/>
      </w:r>
      <w:r w:rsidRPr="00684833" w:rsidR="006523EB">
        <w:t xml:space="preserve"> </w:t>
      </w:r>
    </w:p>
    <w:p w:rsidR="00F67B30" w:rsidP="008F7870" w14:paraId="78676C69" w14:textId="77777777">
      <w:pPr>
        <w:tabs>
          <w:tab w:val="left" w:pos="720"/>
        </w:tabs>
        <w:ind w:left="720"/>
      </w:pPr>
    </w:p>
    <w:p w:rsidR="00507CCD" w:rsidRPr="00684833" w:rsidP="00F057BF" w14:paraId="22009D6C" w14:textId="60F8A09C">
      <w:pPr>
        <w:tabs>
          <w:tab w:val="left" w:pos="720"/>
        </w:tabs>
        <w:ind w:left="720"/>
      </w:pPr>
      <w:r>
        <w:t xml:space="preserve">In the final amendment, </w:t>
      </w:r>
      <w:r w:rsidR="00B17333">
        <w:t>o</w:t>
      </w:r>
      <w:r w:rsidRPr="00684833" w:rsidR="006523EB">
        <w:t xml:space="preserve">nly rollovers </w:t>
      </w:r>
      <w:r w:rsidRPr="00C90A74" w:rsidR="00125820">
        <w:t>from a Plan that is covered by Title I</w:t>
      </w:r>
      <w:r w:rsidRPr="00684833" w:rsidR="00125820">
        <w:t xml:space="preserve"> </w:t>
      </w:r>
      <w:r w:rsidRPr="00C90A74" w:rsidR="00F057BF">
        <w:t>or recommendation</w:t>
      </w:r>
      <w:r w:rsidR="00F057BF">
        <w:t>s</w:t>
      </w:r>
      <w:r w:rsidRPr="00C90A74" w:rsidR="00F057BF">
        <w:t xml:space="preserve"> to a Plan participant or beneficiary as to the post-rollover investment of assets currently held in a Plan that is covered by </w:t>
      </w:r>
      <w:r w:rsidRPr="00C90A74" w:rsidR="00F057BF">
        <w:t>Title</w:t>
      </w:r>
      <w:r w:rsidRPr="00C90A74" w:rsidR="00F057BF">
        <w:t xml:space="preserve"> I</w:t>
      </w:r>
      <w:r w:rsidR="00F057BF">
        <w:t xml:space="preserve"> </w:t>
      </w:r>
      <w:r w:rsidRPr="00684833" w:rsidR="00C96D40">
        <w:t xml:space="preserve">will </w:t>
      </w:r>
      <w:r w:rsidRPr="00684833" w:rsidR="006523EB">
        <w:t xml:space="preserve">be affected by the amendments to PTE 2020-02. The Department does not have compelling data on the percentage of rollovers that are </w:t>
      </w:r>
      <w:r w:rsidR="00F057BF">
        <w:t>from a Title I Plan</w:t>
      </w:r>
      <w:r w:rsidRPr="00684833" w:rsidR="006523EB">
        <w:t xml:space="preserve">. In 2022, 49 percent of DC </w:t>
      </w:r>
      <w:r w:rsidR="00A60913">
        <w:t>Plan</w:t>
      </w:r>
      <w:r w:rsidRPr="00684833" w:rsidR="006523EB">
        <w:t xml:space="preserve">-to-IRA rollovers, accounting for 63 percent of DC </w:t>
      </w:r>
      <w:r w:rsidR="00A60913">
        <w:t>Plan</w:t>
      </w:r>
      <w:r w:rsidRPr="00684833" w:rsidR="006523EB">
        <w:t xml:space="preserve"> rollover assets,</w:t>
      </w:r>
      <w:r w:rsidRPr="00684833" w:rsidR="009F7DBE">
        <w:rPr>
          <w:b/>
          <w:bCs/>
        </w:rPr>
        <w:t xml:space="preserve"> </w:t>
      </w:r>
      <w:r w:rsidRPr="00684833" w:rsidR="009F7DBE">
        <w:t>were intermediated by an adviser.</w:t>
      </w:r>
      <w:r>
        <w:rPr>
          <w:vertAlign w:val="superscript"/>
        </w:rPr>
        <w:footnoteReference w:id="24"/>
      </w:r>
      <w:r w:rsidRPr="00684833" w:rsidR="006523EB">
        <w:t xml:space="preserve"> For purposes of this analysis, </w:t>
      </w:r>
      <w:r w:rsidRPr="00684833" w:rsidR="009F7DBE">
        <w:t xml:space="preserve">the Department assumes that advisers intermediating rollovers are </w:t>
      </w:r>
      <w:r w:rsidR="00030DC4">
        <w:t>providing</w:t>
      </w:r>
      <w:r w:rsidRPr="00684833" w:rsidR="00030DC4">
        <w:t xml:space="preserve"> </w:t>
      </w:r>
      <w:r w:rsidRPr="00684833" w:rsidR="009F7DBE">
        <w:t>fiduciar</w:t>
      </w:r>
      <w:r w:rsidR="00030DC4">
        <w:t>y investment advice</w:t>
      </w:r>
      <w:r w:rsidRPr="00684833" w:rsidR="009F7DBE">
        <w:t xml:space="preserve">, which means the estimate is an upper bound. </w:t>
      </w:r>
      <w:r w:rsidRPr="00223BB0" w:rsidR="006523EB">
        <w:t>As a best practice, the SEC already encourages firms to record the basis for significant investment decisions, such as rollovers, although doing so is not required</w:t>
      </w:r>
      <w:r w:rsidR="003A30E7">
        <w:t xml:space="preserve"> under Regulation Best Interest or the Advisers Act</w:t>
      </w:r>
      <w:r w:rsidRPr="00223BB0" w:rsidR="006523EB">
        <w:t xml:space="preserve">. In addition, some firms may voluntarily document significant investment decisions to demonstrate compliance with applicable </w:t>
      </w:r>
      <w:r w:rsidRPr="00684833" w:rsidR="006523EB">
        <w:t xml:space="preserve">law, even if not required. A report commissioned by </w:t>
      </w:r>
      <w:r w:rsidRPr="00684833" w:rsidR="003E4090">
        <w:t>SIFMA</w:t>
      </w:r>
      <w:r w:rsidRPr="00684833" w:rsidR="006523EB">
        <w:t xml:space="preserve"> found that slightly more than half (52 percent) of asset management firms implementing Regulation Best Interest require their financial service professionals to document rollover recommendations.</w:t>
      </w:r>
      <w:r>
        <w:rPr>
          <w:rStyle w:val="FootnoteReference"/>
        </w:rPr>
        <w:footnoteReference w:id="25"/>
      </w:r>
      <w:r w:rsidRPr="00684833" w:rsidR="006523EB">
        <w:t xml:space="preserve"> </w:t>
      </w:r>
    </w:p>
    <w:p w:rsidR="00507CCD" w:rsidRPr="00684833" w:rsidP="005907F6" w14:paraId="5D933CBE" w14:textId="77777777">
      <w:pPr>
        <w:tabs>
          <w:tab w:val="left" w:pos="720"/>
        </w:tabs>
        <w:ind w:left="720"/>
      </w:pPr>
    </w:p>
    <w:p w:rsidR="005907F6" w:rsidP="005907F6" w14:paraId="30990CE6" w14:textId="55175855">
      <w:pPr>
        <w:tabs>
          <w:tab w:val="left" w:pos="720"/>
        </w:tabs>
        <w:ind w:left="720"/>
      </w:pPr>
      <w:r w:rsidRPr="00684833">
        <w:t xml:space="preserve">The Department estimates that documenting each rollover recommendation will require 30 minutes for </w:t>
      </w:r>
      <w:r w:rsidR="006C21E9">
        <w:t>investment professionals</w:t>
      </w:r>
      <w:r w:rsidRPr="00684833">
        <w:t xml:space="preserve"> whose firms currently do not require rollover documentations and five minutes for </w:t>
      </w:r>
      <w:r w:rsidR="006C21E9">
        <w:t>investment professionals</w:t>
      </w:r>
      <w:r w:rsidRPr="00684833">
        <w:t xml:space="preserve"> whose firms already </w:t>
      </w:r>
      <w:r w:rsidRPr="00684833">
        <w:t xml:space="preserve">require them to do so. The Department estimates that this will result in an hour burden of </w:t>
      </w:r>
      <w:r w:rsidRPr="00684833" w:rsidR="005F5FB7">
        <w:t>622</w:t>
      </w:r>
      <w:r w:rsidRPr="00684833">
        <w:t>,</w:t>
      </w:r>
      <w:r w:rsidRPr="00684833" w:rsidR="005F5FB7">
        <w:t xml:space="preserve">676 </w:t>
      </w:r>
      <w:r w:rsidRPr="00684833">
        <w:t>hours with an equivalent cost of approximately $</w:t>
      </w:r>
      <w:r w:rsidRPr="00684833" w:rsidR="005F5FB7">
        <w:t>142</w:t>
      </w:r>
      <w:r w:rsidRPr="00684833">
        <w:t>.</w:t>
      </w:r>
      <w:r w:rsidRPr="00684833" w:rsidR="005F5FB7">
        <w:t xml:space="preserve">0 </w:t>
      </w:r>
      <w:r w:rsidRPr="00684833">
        <w:t>million.</w:t>
      </w:r>
      <w:r>
        <w:rPr>
          <w:rStyle w:val="FootnoteReference"/>
        </w:rPr>
        <w:footnoteReference w:id="26"/>
      </w:r>
      <w:r w:rsidRPr="00E27088">
        <w:t xml:space="preserve"> </w:t>
      </w:r>
    </w:p>
    <w:p w:rsidR="00E90E79" w:rsidRPr="00E16F65" w:rsidP="008F7870" w14:paraId="4EC2476C" w14:textId="77777777">
      <w:pPr>
        <w:tabs>
          <w:tab w:val="left" w:pos="720"/>
        </w:tabs>
        <w:ind w:left="720"/>
        <w:rPr>
          <w:highlight w:val="yellow"/>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196D437B" w14:textId="77777777" w:rsidTr="00BF6BDA">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gridSpan w:val="5"/>
            <w:shd w:val="clear" w:color="auto" w:fill="auto"/>
          </w:tcPr>
          <w:p w:rsidR="005907F6" w:rsidP="008F7870" w14:paraId="7A90A094" w14:textId="04139070">
            <w:pPr>
              <w:ind w:left="720"/>
              <w:contextualSpacing/>
              <w:jc w:val="center"/>
              <w:rPr>
                <w:b/>
              </w:rPr>
            </w:pPr>
            <w:r>
              <w:rPr>
                <w:b/>
              </w:rPr>
              <w:t xml:space="preserve">Table </w:t>
            </w:r>
            <w:r w:rsidR="002416DF">
              <w:rPr>
                <w:b/>
              </w:rPr>
              <w:t>6</w:t>
            </w:r>
            <w:r>
              <w:rPr>
                <w:b/>
              </w:rPr>
              <w:t>: Hour Burden and Equivalent Cost Associated with the Rollover Documentation</w:t>
            </w:r>
          </w:p>
        </w:tc>
      </w:tr>
      <w:tr w14:paraId="3B4646B6" w14:textId="77777777" w:rsidTr="00BF6BDA">
        <w:tblPrEx>
          <w:tblW w:w="0" w:type="auto"/>
          <w:tblInd w:w="828" w:type="dxa"/>
          <w:tblLayout w:type="fixed"/>
          <w:tblLook w:val="04A0"/>
        </w:tblPrEx>
        <w:tc>
          <w:tcPr>
            <w:tcW w:w="1147" w:type="dxa"/>
            <w:shd w:val="clear" w:color="auto" w:fill="auto"/>
          </w:tcPr>
          <w:p w:rsidR="005907F6" w:rsidRPr="00002ED1" w:rsidP="008F7870" w14:paraId="0FC286F3" w14:textId="77777777">
            <w:pPr>
              <w:ind w:left="720"/>
              <w:contextualSpacing/>
              <w:jc w:val="center"/>
              <w:rPr>
                <w:b/>
              </w:rPr>
            </w:pPr>
          </w:p>
        </w:tc>
        <w:tc>
          <w:tcPr>
            <w:tcW w:w="3687" w:type="dxa"/>
            <w:gridSpan w:val="2"/>
            <w:shd w:val="clear" w:color="auto" w:fill="auto"/>
          </w:tcPr>
          <w:p w:rsidR="005907F6" w:rsidRPr="00002ED1" w:rsidP="00E90E79" w14:paraId="34BFD3C5" w14:textId="77777777">
            <w:pPr>
              <w:contextualSpacing/>
              <w:jc w:val="center"/>
              <w:rPr>
                <w:b/>
              </w:rPr>
            </w:pPr>
            <w:r>
              <w:rPr>
                <w:b/>
              </w:rPr>
              <w:t>Year 1</w:t>
            </w:r>
          </w:p>
        </w:tc>
        <w:tc>
          <w:tcPr>
            <w:tcW w:w="3688" w:type="dxa"/>
            <w:gridSpan w:val="2"/>
          </w:tcPr>
          <w:p w:rsidR="005907F6" w:rsidRPr="00002ED1" w:rsidP="00E90E79" w14:paraId="3E2C0EF3" w14:textId="77777777">
            <w:pPr>
              <w:ind w:hanging="14"/>
              <w:contextualSpacing/>
              <w:jc w:val="center"/>
              <w:rPr>
                <w:b/>
              </w:rPr>
            </w:pPr>
            <w:r>
              <w:rPr>
                <w:b/>
              </w:rPr>
              <w:t>Subsequent Years</w:t>
            </w:r>
          </w:p>
        </w:tc>
      </w:tr>
      <w:tr w14:paraId="5281CD2C" w14:textId="77777777" w:rsidTr="00BF6BDA">
        <w:tblPrEx>
          <w:tblW w:w="0" w:type="auto"/>
          <w:tblInd w:w="828" w:type="dxa"/>
          <w:tblLayout w:type="fixed"/>
          <w:tblLook w:val="04A0"/>
        </w:tblPrEx>
        <w:tc>
          <w:tcPr>
            <w:tcW w:w="1147" w:type="dxa"/>
            <w:shd w:val="clear" w:color="auto" w:fill="auto"/>
          </w:tcPr>
          <w:p w:rsidR="005907F6" w:rsidRPr="00002ED1" w:rsidP="00E90E79" w14:paraId="12138412" w14:textId="77777777">
            <w:pPr>
              <w:contextualSpacing/>
              <w:jc w:val="center"/>
              <w:rPr>
                <w:b/>
              </w:rPr>
            </w:pPr>
            <w:r w:rsidRPr="00002ED1">
              <w:rPr>
                <w:b/>
              </w:rPr>
              <w:t>Activity</w:t>
            </w:r>
          </w:p>
        </w:tc>
        <w:tc>
          <w:tcPr>
            <w:tcW w:w="1843" w:type="dxa"/>
            <w:shd w:val="clear" w:color="auto" w:fill="auto"/>
          </w:tcPr>
          <w:p w:rsidR="005907F6" w:rsidRPr="00002ED1" w:rsidP="00E90E79" w14:paraId="11BE52C0" w14:textId="77777777">
            <w:pPr>
              <w:contextualSpacing/>
              <w:jc w:val="center"/>
              <w:rPr>
                <w:b/>
              </w:rPr>
            </w:pPr>
            <w:r w:rsidRPr="00002ED1">
              <w:rPr>
                <w:b/>
              </w:rPr>
              <w:t>Burden Hours</w:t>
            </w:r>
          </w:p>
        </w:tc>
        <w:tc>
          <w:tcPr>
            <w:tcW w:w="1844" w:type="dxa"/>
            <w:shd w:val="clear" w:color="auto" w:fill="auto"/>
          </w:tcPr>
          <w:p w:rsidR="005907F6" w:rsidRPr="00002ED1" w:rsidP="00E90E79" w14:paraId="4D7949AB" w14:textId="77777777">
            <w:pPr>
              <w:contextualSpacing/>
              <w:jc w:val="center"/>
              <w:rPr>
                <w:b/>
              </w:rPr>
            </w:pPr>
            <w:r w:rsidRPr="00002ED1">
              <w:rPr>
                <w:b/>
              </w:rPr>
              <w:t>Equivalent Burden Cost</w:t>
            </w:r>
          </w:p>
        </w:tc>
        <w:tc>
          <w:tcPr>
            <w:tcW w:w="1844" w:type="dxa"/>
          </w:tcPr>
          <w:p w:rsidR="005907F6" w:rsidRPr="00002ED1" w:rsidP="00E90E79" w14:paraId="410C0E9F" w14:textId="77777777">
            <w:pPr>
              <w:ind w:hanging="14"/>
              <w:contextualSpacing/>
              <w:jc w:val="center"/>
              <w:rPr>
                <w:b/>
              </w:rPr>
            </w:pPr>
            <w:r w:rsidRPr="00002ED1">
              <w:rPr>
                <w:b/>
              </w:rPr>
              <w:t>Burden Hours</w:t>
            </w:r>
          </w:p>
        </w:tc>
        <w:tc>
          <w:tcPr>
            <w:tcW w:w="1844" w:type="dxa"/>
          </w:tcPr>
          <w:p w:rsidR="005907F6" w:rsidRPr="00002ED1" w:rsidP="00E90E79" w14:paraId="0699BA04" w14:textId="77777777">
            <w:pPr>
              <w:contextualSpacing/>
              <w:jc w:val="center"/>
              <w:rPr>
                <w:b/>
              </w:rPr>
            </w:pPr>
            <w:r w:rsidRPr="00002ED1">
              <w:rPr>
                <w:b/>
              </w:rPr>
              <w:t>Equivalent Burden Cost</w:t>
            </w:r>
          </w:p>
        </w:tc>
      </w:tr>
      <w:tr w14:paraId="471348E2" w14:textId="77777777" w:rsidTr="00BF6BDA">
        <w:tblPrEx>
          <w:tblW w:w="0" w:type="auto"/>
          <w:tblInd w:w="828" w:type="dxa"/>
          <w:tblLayout w:type="fixed"/>
          <w:tblLook w:val="04A0"/>
        </w:tblPrEx>
        <w:tc>
          <w:tcPr>
            <w:tcW w:w="1147" w:type="dxa"/>
            <w:shd w:val="clear" w:color="auto" w:fill="auto"/>
          </w:tcPr>
          <w:p w:rsidR="00552B08" w:rsidRPr="00002ED1" w:rsidP="00552B08" w14:paraId="58A8E0C8" w14:textId="77777777">
            <w:pPr>
              <w:contextualSpacing/>
            </w:pPr>
            <w:r>
              <w:t>Financial Adviser</w:t>
            </w:r>
          </w:p>
        </w:tc>
        <w:tc>
          <w:tcPr>
            <w:tcW w:w="1843" w:type="dxa"/>
            <w:shd w:val="clear" w:color="auto" w:fill="auto"/>
          </w:tcPr>
          <w:p w:rsidR="00552B08" w:rsidRPr="00002ED1" w:rsidP="00552B08" w14:paraId="61C443A7" w14:textId="7D98CC76">
            <w:pPr>
              <w:contextualSpacing/>
              <w:jc w:val="right"/>
            </w:pPr>
            <w:r w:rsidRPr="00D4579F">
              <w:t>622,676</w:t>
            </w:r>
          </w:p>
        </w:tc>
        <w:tc>
          <w:tcPr>
            <w:tcW w:w="1844" w:type="dxa"/>
            <w:shd w:val="clear" w:color="auto" w:fill="auto"/>
          </w:tcPr>
          <w:p w:rsidR="00552B08" w:rsidRPr="00002ED1" w:rsidP="00552B08" w14:paraId="41644631" w14:textId="1FF78391">
            <w:pPr>
              <w:contextualSpacing/>
              <w:jc w:val="right"/>
              <w:rPr>
                <w:lang w:val="en"/>
              </w:rPr>
            </w:pPr>
            <w:r w:rsidRPr="00D4579F">
              <w:t>$141,970,058</w:t>
            </w:r>
          </w:p>
        </w:tc>
        <w:tc>
          <w:tcPr>
            <w:tcW w:w="1844" w:type="dxa"/>
          </w:tcPr>
          <w:p w:rsidR="00552B08" w:rsidRPr="00002ED1" w:rsidP="00552B08" w14:paraId="3EE5AE8D" w14:textId="757F08F8">
            <w:pPr>
              <w:ind w:hanging="14"/>
              <w:contextualSpacing/>
              <w:jc w:val="right"/>
            </w:pPr>
            <w:r w:rsidRPr="00D4579F">
              <w:t>622,676</w:t>
            </w:r>
          </w:p>
        </w:tc>
        <w:tc>
          <w:tcPr>
            <w:tcW w:w="1844" w:type="dxa"/>
          </w:tcPr>
          <w:p w:rsidR="00552B08" w:rsidRPr="00002ED1" w:rsidP="00552B08" w14:paraId="0C662E85" w14:textId="2588143F">
            <w:pPr>
              <w:contextualSpacing/>
              <w:jc w:val="right"/>
              <w:rPr>
                <w:lang w:val="en"/>
              </w:rPr>
            </w:pPr>
            <w:r w:rsidRPr="00D4579F">
              <w:t>$141,970,058</w:t>
            </w:r>
          </w:p>
        </w:tc>
      </w:tr>
      <w:tr w14:paraId="07612C56" w14:textId="77777777" w:rsidTr="00BF6BDA">
        <w:tblPrEx>
          <w:tblW w:w="0" w:type="auto"/>
          <w:tblInd w:w="828" w:type="dxa"/>
          <w:tblLayout w:type="fixed"/>
          <w:tblLook w:val="04A0"/>
        </w:tblPrEx>
        <w:tc>
          <w:tcPr>
            <w:tcW w:w="1147" w:type="dxa"/>
            <w:shd w:val="clear" w:color="auto" w:fill="auto"/>
          </w:tcPr>
          <w:p w:rsidR="00552B08" w:rsidRPr="00002ED1" w:rsidP="00552B08" w14:paraId="49DFD227" w14:textId="77777777">
            <w:pPr>
              <w:contextualSpacing/>
              <w:rPr>
                <w:b/>
              </w:rPr>
            </w:pPr>
            <w:r w:rsidRPr="00002ED1">
              <w:rPr>
                <w:b/>
              </w:rPr>
              <w:t>Total</w:t>
            </w:r>
          </w:p>
        </w:tc>
        <w:tc>
          <w:tcPr>
            <w:tcW w:w="1843" w:type="dxa"/>
            <w:shd w:val="clear" w:color="auto" w:fill="auto"/>
          </w:tcPr>
          <w:p w:rsidR="00552B08" w:rsidRPr="00581429" w:rsidP="00552B08" w14:paraId="2A8E0A05" w14:textId="707D7BFE">
            <w:pPr>
              <w:contextualSpacing/>
              <w:jc w:val="right"/>
              <w:rPr>
                <w:b/>
                <w:bCs/>
              </w:rPr>
            </w:pPr>
            <w:r w:rsidRPr="00906591">
              <w:rPr>
                <w:b/>
                <w:bCs/>
              </w:rPr>
              <w:t>622,676</w:t>
            </w:r>
          </w:p>
        </w:tc>
        <w:tc>
          <w:tcPr>
            <w:tcW w:w="1844" w:type="dxa"/>
            <w:shd w:val="clear" w:color="auto" w:fill="auto"/>
          </w:tcPr>
          <w:p w:rsidR="00552B08" w:rsidRPr="00581429" w:rsidP="00552B08" w14:paraId="26233237" w14:textId="190AA794">
            <w:pPr>
              <w:contextualSpacing/>
              <w:jc w:val="right"/>
              <w:rPr>
                <w:b/>
                <w:bCs/>
              </w:rPr>
            </w:pPr>
            <w:r w:rsidRPr="00906591">
              <w:rPr>
                <w:b/>
                <w:bCs/>
              </w:rPr>
              <w:t>$141,970,058</w:t>
            </w:r>
          </w:p>
        </w:tc>
        <w:tc>
          <w:tcPr>
            <w:tcW w:w="1844" w:type="dxa"/>
          </w:tcPr>
          <w:p w:rsidR="00552B08" w:rsidRPr="00581429" w:rsidP="00552B08" w14:paraId="2F4A3E00" w14:textId="48CB863F">
            <w:pPr>
              <w:ind w:hanging="14"/>
              <w:contextualSpacing/>
              <w:jc w:val="right"/>
              <w:rPr>
                <w:b/>
                <w:bCs/>
              </w:rPr>
            </w:pPr>
            <w:r w:rsidRPr="00906591">
              <w:rPr>
                <w:b/>
                <w:bCs/>
              </w:rPr>
              <w:t>622,676</w:t>
            </w:r>
          </w:p>
        </w:tc>
        <w:tc>
          <w:tcPr>
            <w:tcW w:w="1844" w:type="dxa"/>
          </w:tcPr>
          <w:p w:rsidR="00552B08" w:rsidRPr="00581429" w:rsidP="00552B08" w14:paraId="4E394D8E" w14:textId="42EA028B">
            <w:pPr>
              <w:contextualSpacing/>
              <w:jc w:val="right"/>
              <w:rPr>
                <w:b/>
                <w:bCs/>
              </w:rPr>
            </w:pPr>
            <w:r w:rsidRPr="00906591">
              <w:rPr>
                <w:b/>
                <w:bCs/>
              </w:rPr>
              <w:t>$141,970,058</w:t>
            </w:r>
          </w:p>
        </w:tc>
      </w:tr>
    </w:tbl>
    <w:p w:rsidR="005D2322" w:rsidP="0003285A" w14:paraId="630D7FC7" w14:textId="77777777">
      <w:pPr>
        <w:pStyle w:val="BodyTextIndent"/>
        <w:contextualSpacing/>
        <w:rPr>
          <w:i/>
          <w:color w:val="000000" w:themeColor="text1"/>
        </w:rPr>
      </w:pPr>
    </w:p>
    <w:p w:rsidR="00567972" w:rsidP="00E80222" w14:paraId="503438CE" w14:textId="174985FC">
      <w:pPr>
        <w:pStyle w:val="BodyTextIndent"/>
        <w:contextualSpacing/>
        <w:rPr>
          <w:i/>
          <w:color w:val="000000" w:themeColor="text1"/>
        </w:rPr>
      </w:pPr>
      <w:r w:rsidRPr="00906591">
        <w:rPr>
          <w:iCs/>
          <w:color w:val="000000" w:themeColor="text1"/>
          <w:u w:val="single"/>
        </w:rPr>
        <w:t xml:space="preserve">Annual Report of </w:t>
      </w:r>
      <w:r w:rsidRPr="00906591" w:rsidR="006523EB">
        <w:rPr>
          <w:iCs/>
          <w:color w:val="000000" w:themeColor="text1"/>
          <w:u w:val="single"/>
        </w:rPr>
        <w:t>Retrospective Review</w:t>
      </w:r>
      <w:r w:rsidR="006523EB">
        <w:rPr>
          <w:i/>
          <w:color w:val="000000" w:themeColor="text1"/>
        </w:rPr>
        <w:t xml:space="preserve"> </w:t>
      </w:r>
    </w:p>
    <w:p w:rsidR="00E64B46" w:rsidP="00E80222" w14:paraId="47C745B1" w14:textId="77777777">
      <w:pPr>
        <w:pStyle w:val="BodyTextIndent"/>
        <w:contextualSpacing/>
        <w:rPr>
          <w:i/>
          <w:color w:val="000000" w:themeColor="text1"/>
        </w:rPr>
      </w:pPr>
    </w:p>
    <w:p w:rsidR="006124E4" w:rsidRPr="00684833" w:rsidP="008F7870" w14:paraId="762674FF" w14:textId="6A2F0F72">
      <w:pPr>
        <w:ind w:left="720"/>
      </w:pPr>
      <w:r w:rsidRPr="00684833">
        <w:t xml:space="preserve">The </w:t>
      </w:r>
      <w:r w:rsidRPr="00684833" w:rsidR="586EDEB2">
        <w:t xml:space="preserve">final </w:t>
      </w:r>
      <w:r w:rsidRPr="00684833">
        <w:t>amendment require</w:t>
      </w:r>
      <w:r w:rsidRPr="00684833" w:rsidR="00DC5CA7">
        <w:t>s</w:t>
      </w:r>
      <w:r w:rsidRPr="00684833">
        <w:t xml:space="preserve"> </w:t>
      </w:r>
      <w:r w:rsidRPr="00684833" w:rsidR="00AF4AF3">
        <w:t>Financial Institution</w:t>
      </w:r>
      <w:r w:rsidRPr="00684833" w:rsidR="00EA2A06">
        <w:t>s</w:t>
      </w:r>
      <w:r w:rsidRPr="00684833">
        <w:t xml:space="preserve"> to conduct a retrospective review at least annually. The review </w:t>
      </w:r>
      <w:r w:rsidRPr="00684833" w:rsidR="000C0067">
        <w:t>must</w:t>
      </w:r>
      <w:r w:rsidRPr="00684833">
        <w:t xml:space="preserve"> be reasonably designed to detect and prevent violations </w:t>
      </w:r>
      <w:r w:rsidRPr="00684833">
        <w:t>of, and</w:t>
      </w:r>
      <w:r w:rsidRPr="00684833">
        <w:t xml:space="preserve"> achieve compliance with (1)</w:t>
      </w:r>
      <w:r w:rsidRPr="00684833" w:rsidR="00E80222">
        <w:t xml:space="preserve"> </w:t>
      </w:r>
      <w:r w:rsidRPr="00684833">
        <w:t xml:space="preserve">the conditions of this exemption, (2) the Impartial Conduct Standards, and (3) the policies and procedures governing compliance with the exemption. </w:t>
      </w:r>
      <w:r w:rsidRPr="00684833" w:rsidR="00C42B06">
        <w:t xml:space="preserve">The retrospective review must include a discussion of any self-corrections of violations, and the </w:t>
      </w:r>
      <w:r w:rsidRPr="00684833">
        <w:t xml:space="preserve">report </w:t>
      </w:r>
      <w:r w:rsidRPr="00684833" w:rsidR="00C87897">
        <w:t>will</w:t>
      </w:r>
      <w:r w:rsidRPr="00684833">
        <w:t xml:space="preserve"> need to be certified by a Senior Executive.</w:t>
      </w:r>
    </w:p>
    <w:p w:rsidR="006C6108" w:rsidRPr="00684833" w:rsidP="008F7870" w14:paraId="12428B47" w14:textId="77777777">
      <w:pPr>
        <w:pStyle w:val="citation-hover-present"/>
        <w:spacing w:before="0" w:beforeAutospacing="0" w:after="0" w:afterAutospacing="0"/>
        <w:ind w:left="720"/>
        <w:contextualSpacing/>
      </w:pPr>
    </w:p>
    <w:p w:rsidR="006124E4" w:rsidP="00E80222" w14:paraId="3C634D47" w14:textId="2A707224">
      <w:pPr>
        <w:pStyle w:val="citation-hover-present"/>
        <w:spacing w:before="0" w:beforeAutospacing="0" w:after="0" w:afterAutospacing="0"/>
        <w:ind w:left="720"/>
        <w:contextualSpacing/>
      </w:pPr>
      <w:r w:rsidRPr="00684833">
        <w:t>Many of the entities affected by PTE 2020-02 likely already have retrospective review requirements. Broker-dealers are subject to retrospective review requirements</w:t>
      </w:r>
      <w:r>
        <w:t xml:space="preserve"> under FINRA Rule 3110,</w:t>
      </w:r>
      <w:r>
        <w:rPr>
          <w:rStyle w:val="FootnoteReference"/>
        </w:rPr>
        <w:footnoteReference w:id="27"/>
      </w:r>
      <w:r>
        <w:rPr>
          <w:vertAlign w:val="superscript"/>
        </w:rPr>
        <w:t xml:space="preserve"> </w:t>
      </w:r>
      <w:r>
        <w:t>FINRA Rule 3120,</w:t>
      </w:r>
      <w:r>
        <w:rPr>
          <w:rStyle w:val="FootnoteReference"/>
        </w:rPr>
        <w:footnoteReference w:id="28"/>
      </w:r>
      <w:r>
        <w:rPr>
          <w:vertAlign w:val="superscript"/>
        </w:rPr>
        <w:t xml:space="preserve"> </w:t>
      </w:r>
      <w:r>
        <w:t>and FINRA Rule 3130;</w:t>
      </w:r>
      <w:r>
        <w:rPr>
          <w:rStyle w:val="FootnoteReference"/>
        </w:rPr>
        <w:footnoteReference w:id="29"/>
      </w:r>
      <w:r>
        <w:rPr>
          <w:vertAlign w:val="superscript"/>
        </w:rPr>
        <w:t xml:space="preserve"> </w:t>
      </w:r>
      <w:r>
        <w:t xml:space="preserve">SEC-registered investment advisers are already subject to retrospective review requirements under </w:t>
      </w:r>
      <w:r w:rsidRPr="0064557A">
        <w:t>SEC Rule 206(4)-7</w:t>
      </w:r>
      <w:r>
        <w:t xml:space="preserve">; </w:t>
      </w:r>
      <w:r w:rsidRPr="000D05CD">
        <w:t xml:space="preserve">and </w:t>
      </w:r>
      <w:r w:rsidRPr="00FA4366">
        <w:t>insurance companies in many states are already subject to state insurance law based on the NAIC's Model Regulation.</w:t>
      </w:r>
      <w:r>
        <w:rPr>
          <w:rStyle w:val="FootnoteReference"/>
        </w:rPr>
        <w:footnoteReference w:id="30"/>
      </w:r>
      <w:r w:rsidRPr="00FA4366">
        <w:rPr>
          <w:vertAlign w:val="superscript"/>
        </w:rPr>
        <w:t xml:space="preserve"> </w:t>
      </w:r>
      <w:r>
        <w:t xml:space="preserve"> Accordingly, in this analysis, the Department assumes that these entities will incur minimal costs to meet this requirement. </w:t>
      </w:r>
    </w:p>
    <w:p w:rsidR="006C6108" w:rsidP="008F7870" w14:paraId="1F08D6ED" w14:textId="77777777">
      <w:pPr>
        <w:pStyle w:val="citation-hover-present"/>
        <w:spacing w:before="0" w:beforeAutospacing="0" w:after="0" w:afterAutospacing="0"/>
        <w:ind w:left="720"/>
        <w:contextualSpacing/>
      </w:pPr>
    </w:p>
    <w:p w:rsidR="006124E4" w:rsidP="00E80222" w14:paraId="48987356" w14:textId="7BA485B9">
      <w:pPr>
        <w:pStyle w:val="citation-hover-present"/>
        <w:spacing w:before="0" w:beforeAutospacing="0" w:after="0" w:afterAutospacing="0"/>
        <w:ind w:left="720"/>
        <w:contextualSpacing/>
      </w:pPr>
      <w:r>
        <w:t>In 2018, the Investment Adviser Association estimated that 92 percent of SEC-registered investment advisers voluntarily provide an annual compliance program review report to senior management.</w:t>
      </w:r>
      <w:r>
        <w:rPr>
          <w:rStyle w:val="FootnoteReference"/>
        </w:rPr>
        <w:footnoteReference w:id="31"/>
      </w:r>
      <w:r>
        <w:rPr>
          <w:vertAlign w:val="superscript"/>
        </w:rPr>
        <w:t xml:space="preserve"> </w:t>
      </w:r>
      <w:r>
        <w:t xml:space="preserve">The Department assumes that state-registered investment </w:t>
      </w:r>
      <w:r w:rsidR="00D1265B">
        <w:t>adviser</w:t>
      </w:r>
      <w:r>
        <w:t xml:space="preserve">s </w:t>
      </w:r>
      <w:r>
        <w:t xml:space="preserve">exhibit similar retrospective review patterns as SEC-registered investment </w:t>
      </w:r>
      <w:r w:rsidR="00D1265B">
        <w:t>adviser</w:t>
      </w:r>
      <w:r>
        <w:t>s. Accordingly, the Department estimates that eight percent, or 1,</w:t>
      </w:r>
      <w:r w:rsidR="00AD18D2">
        <w:t xml:space="preserve">312 </w:t>
      </w:r>
      <w:r>
        <w:t xml:space="preserve">investment </w:t>
      </w:r>
      <w:r w:rsidR="00D1265B">
        <w:t>adviser</w:t>
      </w:r>
      <w:r>
        <w:t xml:space="preserve">s advising retirement </w:t>
      </w:r>
      <w:r w:rsidR="00A60913">
        <w:t>Plan</w:t>
      </w:r>
      <w:r>
        <w:t xml:space="preserve">s will incur costs associated with producing a retrospective review report. </w:t>
      </w:r>
    </w:p>
    <w:p w:rsidR="006C6108" w:rsidP="008F7870" w14:paraId="3071C5AA" w14:textId="77777777">
      <w:pPr>
        <w:pStyle w:val="citation-hover-present"/>
        <w:spacing w:before="0" w:beforeAutospacing="0" w:after="0" w:afterAutospacing="0"/>
        <w:ind w:left="720"/>
        <w:contextualSpacing/>
      </w:pPr>
    </w:p>
    <w:p w:rsidR="006124E4" w:rsidRPr="00224B85" w:rsidP="008F7870" w14:paraId="1B8D7C37" w14:textId="05CBECAF">
      <w:pPr>
        <w:pStyle w:val="citation-hover-present"/>
        <w:spacing w:before="0" w:beforeAutospacing="0" w:after="0" w:afterAutospacing="0"/>
        <w:ind w:left="720"/>
        <w:contextualSpacing/>
      </w:pPr>
      <w:r>
        <w:t xml:space="preserve">The Department assumes that only </w:t>
      </w:r>
      <w:r w:rsidR="00074530">
        <w:t xml:space="preserve">0.8 percent of registered investment advisers and </w:t>
      </w:r>
      <w:r>
        <w:t>ten percent of</w:t>
      </w:r>
      <w:r w:rsidR="00B26292">
        <w:t xml:space="preserve"> all other</w:t>
      </w:r>
      <w:r>
        <w:t xml:space="preserve"> </w:t>
      </w:r>
      <w:r w:rsidR="00AF4AF3">
        <w:t>Financial Institution</w:t>
      </w:r>
      <w:r w:rsidR="00EA2A06">
        <w:t>s</w:t>
      </w:r>
      <w:r>
        <w:t xml:space="preserve"> will incur the total costs of producing the retrospective review report. </w:t>
      </w:r>
      <w:r w:rsidRPr="00552924">
        <w:t>This is estimated to take a legal professional five hours for small firms and 10 hours for large firms. This results in an</w:t>
      </w:r>
      <w:r w:rsidRPr="00FA4366">
        <w:t xml:space="preserve"> annual</w:t>
      </w:r>
      <w:r w:rsidRPr="00552924">
        <w:t xml:space="preserve"> hour burden of </w:t>
      </w:r>
      <w:r w:rsidRPr="00FA4366">
        <w:t>3,</w:t>
      </w:r>
      <w:r w:rsidR="00F307F4">
        <w:t xml:space="preserve">156 </w:t>
      </w:r>
      <w:r>
        <w:t xml:space="preserve">hours </w:t>
      </w:r>
      <w:r w:rsidRPr="00552924">
        <w:t xml:space="preserve">and an </w:t>
      </w:r>
      <w:r w:rsidRPr="00224B85">
        <w:t>equivalent cost burden of $</w:t>
      </w:r>
      <w:r w:rsidR="00587225">
        <w:t>522,907</w:t>
      </w:r>
      <w:r w:rsidRPr="00224B85">
        <w:t>.</w:t>
      </w:r>
      <w:r>
        <w:rPr>
          <w:rStyle w:val="FootnoteReference"/>
        </w:rPr>
        <w:footnoteReference w:id="32"/>
      </w:r>
      <w:r w:rsidRPr="00224B85">
        <w:rPr>
          <w:vertAlign w:val="superscript"/>
        </w:rPr>
        <w:t xml:space="preserve"> </w:t>
      </w:r>
    </w:p>
    <w:p w:rsidR="00AD18D2" w:rsidP="00E80222" w14:paraId="53D906A3" w14:textId="77777777">
      <w:pPr>
        <w:ind w:left="720"/>
        <w:contextualSpacing/>
      </w:pPr>
    </w:p>
    <w:p w:rsidR="006124E4" w:rsidP="00E80222" w14:paraId="1DE318E2" w14:textId="317F7AAA">
      <w:pPr>
        <w:ind w:left="720"/>
        <w:contextualSpacing/>
      </w:pPr>
      <w:r w:rsidRPr="00224B85">
        <w:t>Financial Institutions that already produce retrospective review reports voluntarily or in accordance with other regulators</w:t>
      </w:r>
      <w:r>
        <w:t>’</w:t>
      </w:r>
      <w:r w:rsidRPr="00224B85">
        <w:t xml:space="preserve"> rules likely will spend additional time to fully comply with this exemption condition such as revising their current retrospective review reports. This is estimated to take a financial professional one hour for small firms and two hours for large firms. This results in an </w:t>
      </w:r>
      <w:r>
        <w:t>annual</w:t>
      </w:r>
      <w:r w:rsidRPr="00224B85">
        <w:t xml:space="preserve"> hour burden of </w:t>
      </w:r>
      <w:r w:rsidR="005B78A6">
        <w:t>33,103</w:t>
      </w:r>
      <w:r w:rsidR="00F45288">
        <w:t xml:space="preserve"> </w:t>
      </w:r>
      <w:r w:rsidRPr="00224B85">
        <w:t>hours and an equivalent cost burden of $</w:t>
      </w:r>
      <w:r w:rsidR="005B78A6">
        <w:t>5,485,436</w:t>
      </w:r>
      <w:r w:rsidRPr="00224B85">
        <w:t>.</w:t>
      </w:r>
      <w:r w:rsidRPr="00224B85">
        <w:rPr>
          <w:rStyle w:val="FootnoteReference"/>
        </w:rPr>
        <w:t xml:space="preserve"> </w:t>
      </w:r>
      <w:r>
        <w:rPr>
          <w:rStyle w:val="FootnoteReference"/>
        </w:rPr>
        <w:footnoteReference w:id="33"/>
      </w:r>
    </w:p>
    <w:p w:rsidR="006C6108" w:rsidP="00906591" w14:paraId="02DC3056" w14:textId="77777777">
      <w:pPr>
        <w:contextualSpacing/>
      </w:pPr>
    </w:p>
    <w:p w:rsidR="006124E4" w:rsidP="00E80222" w14:paraId="6E2352B8" w14:textId="055991FF">
      <w:pPr>
        <w:ind w:left="720"/>
        <w:contextualSpacing/>
        <w:rPr>
          <w:vertAlign w:val="superscript"/>
        </w:rPr>
      </w:pPr>
      <w:r w:rsidRPr="005C41E8">
        <w:t xml:space="preserve">In addition to conducting the audit and producing a report, </w:t>
      </w:r>
      <w:r w:rsidR="00AF4AF3">
        <w:t>Financial Institution</w:t>
      </w:r>
      <w:r w:rsidRPr="005C41E8" w:rsidR="00EA2A06">
        <w:t>s</w:t>
      </w:r>
      <w:r w:rsidRPr="005C41E8">
        <w:t xml:space="preserve"> also will need to review the report and certify the exemption. This is estimated to take the certifying officer two hours for small firms and four hours for large firms</w:t>
      </w:r>
      <w:r w:rsidRPr="00FA4366">
        <w:t xml:space="preserve">. </w:t>
      </w:r>
      <w:r w:rsidRPr="005C41E8">
        <w:t xml:space="preserve">This results in an hour burden of </w:t>
      </w:r>
      <w:r w:rsidR="00070BF2">
        <w:t>67,467</w:t>
      </w:r>
      <w:r w:rsidRPr="0E2C5C4E" w:rsidR="003F52FC">
        <w:rPr>
          <w:vertAlign w:val="superscript"/>
        </w:rPr>
        <w:t xml:space="preserve"> </w:t>
      </w:r>
      <w:r w:rsidRPr="005C41E8">
        <w:t>and an equivalent cost burden of $</w:t>
      </w:r>
      <w:r w:rsidR="00070BF2">
        <w:t>13,375,426</w:t>
      </w:r>
      <w:r w:rsidRPr="005C41E8">
        <w:t>.</w:t>
      </w:r>
      <w:r>
        <w:rPr>
          <w:rStyle w:val="FootnoteReference"/>
        </w:rPr>
        <w:footnoteReference w:id="34"/>
      </w:r>
      <w:r w:rsidRPr="00FA4366">
        <w:rPr>
          <w:vertAlign w:val="superscript"/>
        </w:rPr>
        <w:t xml:space="preserve"> </w:t>
      </w:r>
    </w:p>
    <w:p w:rsidR="006C6108" w:rsidP="008F7870" w14:paraId="4AE3B5EE" w14:textId="77777777">
      <w:pPr>
        <w:ind w:left="547"/>
        <w:contextualSpacing/>
        <w:rPr>
          <w:vertAlign w:val="superscript"/>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7"/>
        <w:gridCol w:w="1753"/>
        <w:gridCol w:w="1844"/>
        <w:gridCol w:w="1844"/>
        <w:gridCol w:w="1844"/>
      </w:tblGrid>
      <w:tr w14:paraId="35B3376C" w14:textId="77777777" w:rsidTr="00BF6BDA">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gridSpan w:val="5"/>
            <w:shd w:val="clear" w:color="auto" w:fill="auto"/>
          </w:tcPr>
          <w:p w:rsidR="006124E4" w:rsidP="00BF6BDA" w14:paraId="5C294119" w14:textId="7A85FC52">
            <w:pPr>
              <w:contextualSpacing/>
              <w:jc w:val="center"/>
              <w:rPr>
                <w:b/>
              </w:rPr>
            </w:pPr>
            <w:r>
              <w:rPr>
                <w:b/>
              </w:rPr>
              <w:t xml:space="preserve">Table </w:t>
            </w:r>
            <w:r w:rsidR="002416DF">
              <w:rPr>
                <w:b/>
              </w:rPr>
              <w:t>7</w:t>
            </w:r>
            <w:r>
              <w:rPr>
                <w:b/>
              </w:rPr>
              <w:t>: Hour Burden and Equivalent Cost Associated with the Retrospective Review</w:t>
            </w:r>
          </w:p>
        </w:tc>
      </w:tr>
      <w:tr w14:paraId="6A661BBF" w14:textId="77777777" w:rsidTr="00BF6BDA">
        <w:tblPrEx>
          <w:tblW w:w="0" w:type="auto"/>
          <w:tblInd w:w="828" w:type="dxa"/>
          <w:tblLayout w:type="fixed"/>
          <w:tblLook w:val="04A0"/>
        </w:tblPrEx>
        <w:tc>
          <w:tcPr>
            <w:tcW w:w="1237" w:type="dxa"/>
            <w:shd w:val="clear" w:color="auto" w:fill="auto"/>
          </w:tcPr>
          <w:p w:rsidR="006124E4" w:rsidRPr="00002ED1" w:rsidP="00BF6BDA" w14:paraId="3761EDD2" w14:textId="77777777">
            <w:pPr>
              <w:contextualSpacing/>
              <w:jc w:val="center"/>
              <w:rPr>
                <w:b/>
              </w:rPr>
            </w:pPr>
          </w:p>
        </w:tc>
        <w:tc>
          <w:tcPr>
            <w:tcW w:w="3597" w:type="dxa"/>
            <w:gridSpan w:val="2"/>
            <w:shd w:val="clear" w:color="auto" w:fill="auto"/>
          </w:tcPr>
          <w:p w:rsidR="006124E4" w:rsidRPr="00002ED1" w:rsidP="00BF6BDA" w14:paraId="42ED64FC" w14:textId="77777777">
            <w:pPr>
              <w:contextualSpacing/>
              <w:jc w:val="center"/>
              <w:rPr>
                <w:b/>
              </w:rPr>
            </w:pPr>
            <w:r>
              <w:rPr>
                <w:b/>
              </w:rPr>
              <w:t>Year 1</w:t>
            </w:r>
          </w:p>
        </w:tc>
        <w:tc>
          <w:tcPr>
            <w:tcW w:w="3688" w:type="dxa"/>
            <w:gridSpan w:val="2"/>
          </w:tcPr>
          <w:p w:rsidR="006124E4" w:rsidRPr="00002ED1" w:rsidP="00BF6BDA" w14:paraId="2847ED44" w14:textId="77777777">
            <w:pPr>
              <w:ind w:hanging="14"/>
              <w:contextualSpacing/>
              <w:jc w:val="center"/>
              <w:rPr>
                <w:b/>
              </w:rPr>
            </w:pPr>
            <w:r>
              <w:rPr>
                <w:b/>
              </w:rPr>
              <w:t>Subsequent Years</w:t>
            </w:r>
          </w:p>
        </w:tc>
      </w:tr>
      <w:tr w14:paraId="477660C2" w14:textId="77777777" w:rsidTr="00BF6BDA">
        <w:tblPrEx>
          <w:tblW w:w="0" w:type="auto"/>
          <w:tblInd w:w="828" w:type="dxa"/>
          <w:tblLayout w:type="fixed"/>
          <w:tblLook w:val="04A0"/>
        </w:tblPrEx>
        <w:tc>
          <w:tcPr>
            <w:tcW w:w="1237" w:type="dxa"/>
            <w:shd w:val="clear" w:color="auto" w:fill="auto"/>
          </w:tcPr>
          <w:p w:rsidR="006124E4" w:rsidRPr="00002ED1" w:rsidP="00BF6BDA" w14:paraId="6A436A9E" w14:textId="77777777">
            <w:pPr>
              <w:contextualSpacing/>
              <w:jc w:val="center"/>
              <w:rPr>
                <w:b/>
              </w:rPr>
            </w:pPr>
            <w:r w:rsidRPr="00002ED1">
              <w:rPr>
                <w:b/>
              </w:rPr>
              <w:t>Activity</w:t>
            </w:r>
          </w:p>
        </w:tc>
        <w:tc>
          <w:tcPr>
            <w:tcW w:w="1753" w:type="dxa"/>
            <w:shd w:val="clear" w:color="auto" w:fill="auto"/>
          </w:tcPr>
          <w:p w:rsidR="006124E4" w:rsidRPr="00002ED1" w:rsidP="00BF6BDA" w14:paraId="375E0F62" w14:textId="77777777">
            <w:pPr>
              <w:contextualSpacing/>
              <w:jc w:val="center"/>
              <w:rPr>
                <w:b/>
              </w:rPr>
            </w:pPr>
            <w:r w:rsidRPr="00002ED1">
              <w:rPr>
                <w:b/>
              </w:rPr>
              <w:t>Burden Hours</w:t>
            </w:r>
          </w:p>
        </w:tc>
        <w:tc>
          <w:tcPr>
            <w:tcW w:w="1844" w:type="dxa"/>
            <w:shd w:val="clear" w:color="auto" w:fill="auto"/>
          </w:tcPr>
          <w:p w:rsidR="006124E4" w:rsidRPr="00002ED1" w:rsidP="00BF6BDA" w14:paraId="2E80F03B" w14:textId="77777777">
            <w:pPr>
              <w:contextualSpacing/>
              <w:jc w:val="center"/>
              <w:rPr>
                <w:b/>
              </w:rPr>
            </w:pPr>
            <w:r w:rsidRPr="00002ED1">
              <w:rPr>
                <w:b/>
              </w:rPr>
              <w:t>Equivalent Burden Cost</w:t>
            </w:r>
          </w:p>
        </w:tc>
        <w:tc>
          <w:tcPr>
            <w:tcW w:w="1844" w:type="dxa"/>
          </w:tcPr>
          <w:p w:rsidR="006124E4" w:rsidRPr="00002ED1" w:rsidP="00BF6BDA" w14:paraId="238CC1CE" w14:textId="77777777">
            <w:pPr>
              <w:ind w:hanging="14"/>
              <w:contextualSpacing/>
              <w:jc w:val="center"/>
              <w:rPr>
                <w:b/>
              </w:rPr>
            </w:pPr>
            <w:r w:rsidRPr="00002ED1">
              <w:rPr>
                <w:b/>
              </w:rPr>
              <w:t>Burden Hours</w:t>
            </w:r>
          </w:p>
        </w:tc>
        <w:tc>
          <w:tcPr>
            <w:tcW w:w="1844" w:type="dxa"/>
          </w:tcPr>
          <w:p w:rsidR="006124E4" w:rsidRPr="00002ED1" w:rsidP="00BF6BDA" w14:paraId="69F3C26B" w14:textId="77777777">
            <w:pPr>
              <w:contextualSpacing/>
              <w:jc w:val="center"/>
              <w:rPr>
                <w:b/>
              </w:rPr>
            </w:pPr>
            <w:r w:rsidRPr="00002ED1">
              <w:rPr>
                <w:b/>
              </w:rPr>
              <w:t>Equivalent Burden Cost</w:t>
            </w:r>
          </w:p>
        </w:tc>
      </w:tr>
      <w:tr w14:paraId="7AA47E5B" w14:textId="77777777" w:rsidTr="00BF6BDA">
        <w:tblPrEx>
          <w:tblW w:w="0" w:type="auto"/>
          <w:tblInd w:w="828" w:type="dxa"/>
          <w:tblLayout w:type="fixed"/>
          <w:tblLook w:val="04A0"/>
        </w:tblPrEx>
        <w:tc>
          <w:tcPr>
            <w:tcW w:w="1237" w:type="dxa"/>
            <w:shd w:val="clear" w:color="auto" w:fill="auto"/>
          </w:tcPr>
          <w:p w:rsidR="00665433" w:rsidP="00665433" w14:paraId="236ABCCF" w14:textId="77777777">
            <w:pPr>
              <w:contextualSpacing/>
            </w:pPr>
            <w:r>
              <w:t>Legal</w:t>
            </w:r>
          </w:p>
        </w:tc>
        <w:tc>
          <w:tcPr>
            <w:tcW w:w="1753" w:type="dxa"/>
            <w:shd w:val="clear" w:color="auto" w:fill="auto"/>
          </w:tcPr>
          <w:p w:rsidR="00665433" w:rsidP="00665433" w14:paraId="50DA0BDE" w14:textId="3BBD59D5">
            <w:pPr>
              <w:contextualSpacing/>
              <w:jc w:val="right"/>
            </w:pPr>
            <w:r>
              <w:t>36,258</w:t>
            </w:r>
          </w:p>
        </w:tc>
        <w:tc>
          <w:tcPr>
            <w:tcW w:w="1844" w:type="dxa"/>
            <w:shd w:val="clear" w:color="auto" w:fill="auto"/>
          </w:tcPr>
          <w:p w:rsidR="00665433" w:rsidP="00665433" w14:paraId="5806261A" w14:textId="6594EFC2">
            <w:pPr>
              <w:contextualSpacing/>
              <w:jc w:val="right"/>
            </w:pPr>
            <w:r w:rsidRPr="005A222A">
              <w:t>$6,</w:t>
            </w:r>
            <w:r w:rsidR="002856CE">
              <w:t>008,343</w:t>
            </w:r>
          </w:p>
        </w:tc>
        <w:tc>
          <w:tcPr>
            <w:tcW w:w="1844" w:type="dxa"/>
          </w:tcPr>
          <w:p w:rsidR="00665433" w:rsidP="00665433" w14:paraId="7EF0A735" w14:textId="1320F13E">
            <w:pPr>
              <w:ind w:hanging="14"/>
              <w:contextualSpacing/>
              <w:jc w:val="right"/>
            </w:pPr>
            <w:r>
              <w:t>36,258</w:t>
            </w:r>
          </w:p>
        </w:tc>
        <w:tc>
          <w:tcPr>
            <w:tcW w:w="1844" w:type="dxa"/>
          </w:tcPr>
          <w:p w:rsidR="00665433" w:rsidP="00665433" w14:paraId="714B8E71" w14:textId="736D576F">
            <w:pPr>
              <w:contextualSpacing/>
              <w:jc w:val="right"/>
            </w:pPr>
            <w:r w:rsidRPr="005A222A">
              <w:t>$6,</w:t>
            </w:r>
            <w:r w:rsidR="002856CE">
              <w:t>008,343</w:t>
            </w:r>
          </w:p>
        </w:tc>
      </w:tr>
      <w:tr w14:paraId="6C7FE7A8" w14:textId="77777777" w:rsidTr="00BF6BDA">
        <w:tblPrEx>
          <w:tblW w:w="0" w:type="auto"/>
          <w:tblInd w:w="828" w:type="dxa"/>
          <w:tblLayout w:type="fixed"/>
          <w:tblLook w:val="04A0"/>
        </w:tblPrEx>
        <w:tc>
          <w:tcPr>
            <w:tcW w:w="1237" w:type="dxa"/>
            <w:shd w:val="clear" w:color="auto" w:fill="auto"/>
          </w:tcPr>
          <w:p w:rsidR="00665433" w:rsidRPr="00002ED1" w:rsidP="00665433" w14:paraId="13906C43" w14:textId="77777777">
            <w:pPr>
              <w:contextualSpacing/>
            </w:pPr>
            <w:r>
              <w:t>Senior Executive Staff</w:t>
            </w:r>
          </w:p>
        </w:tc>
        <w:tc>
          <w:tcPr>
            <w:tcW w:w="1753" w:type="dxa"/>
            <w:shd w:val="clear" w:color="auto" w:fill="auto"/>
          </w:tcPr>
          <w:p w:rsidR="00665433" w:rsidP="00665433" w14:paraId="2695FBEA" w14:textId="2A98C5FD">
            <w:pPr>
              <w:contextualSpacing/>
              <w:jc w:val="right"/>
            </w:pPr>
            <w:r>
              <w:t>67,467</w:t>
            </w:r>
          </w:p>
        </w:tc>
        <w:tc>
          <w:tcPr>
            <w:tcW w:w="1844" w:type="dxa"/>
            <w:shd w:val="clear" w:color="auto" w:fill="auto"/>
          </w:tcPr>
          <w:p w:rsidR="00665433" w:rsidRPr="00002ED1" w:rsidP="00665433" w14:paraId="62EE14FA" w14:textId="2E1DC57B">
            <w:pPr>
              <w:contextualSpacing/>
              <w:jc w:val="right"/>
            </w:pPr>
            <w:r w:rsidRPr="005A222A">
              <w:t>$13,</w:t>
            </w:r>
            <w:r w:rsidR="00070BF2">
              <w:t>375,426</w:t>
            </w:r>
            <w:r w:rsidRPr="005A222A">
              <w:t xml:space="preserve"> </w:t>
            </w:r>
          </w:p>
        </w:tc>
        <w:tc>
          <w:tcPr>
            <w:tcW w:w="1844" w:type="dxa"/>
          </w:tcPr>
          <w:p w:rsidR="00665433" w:rsidP="00665433" w14:paraId="62A793E9" w14:textId="7FA0E44D">
            <w:pPr>
              <w:ind w:hanging="14"/>
              <w:contextualSpacing/>
              <w:jc w:val="right"/>
            </w:pPr>
            <w:r>
              <w:t>67,467</w:t>
            </w:r>
          </w:p>
        </w:tc>
        <w:tc>
          <w:tcPr>
            <w:tcW w:w="1844" w:type="dxa"/>
          </w:tcPr>
          <w:p w:rsidR="00665433" w:rsidRPr="00002ED1" w:rsidP="00665433" w14:paraId="51E22A5C" w14:textId="27FCCC88">
            <w:pPr>
              <w:contextualSpacing/>
              <w:jc w:val="right"/>
            </w:pPr>
            <w:r w:rsidRPr="005A222A">
              <w:t>$13,</w:t>
            </w:r>
            <w:r w:rsidR="00070BF2">
              <w:t>375,426</w:t>
            </w:r>
            <w:r w:rsidRPr="005A222A">
              <w:t xml:space="preserve"> </w:t>
            </w:r>
          </w:p>
        </w:tc>
      </w:tr>
      <w:tr w14:paraId="5CB08BFA" w14:textId="77777777" w:rsidTr="00BF6BDA">
        <w:tblPrEx>
          <w:tblW w:w="0" w:type="auto"/>
          <w:tblInd w:w="828" w:type="dxa"/>
          <w:tblLayout w:type="fixed"/>
          <w:tblLook w:val="04A0"/>
        </w:tblPrEx>
        <w:tc>
          <w:tcPr>
            <w:tcW w:w="1237" w:type="dxa"/>
            <w:shd w:val="clear" w:color="auto" w:fill="auto"/>
          </w:tcPr>
          <w:p w:rsidR="00665433" w:rsidRPr="00D34671" w:rsidP="00665433" w14:paraId="01E708E1" w14:textId="77777777">
            <w:pPr>
              <w:contextualSpacing/>
              <w:rPr>
                <w:b/>
              </w:rPr>
            </w:pPr>
            <w:r w:rsidRPr="00D34671">
              <w:rPr>
                <w:b/>
              </w:rPr>
              <w:t>Total</w:t>
            </w:r>
          </w:p>
        </w:tc>
        <w:tc>
          <w:tcPr>
            <w:tcW w:w="1753" w:type="dxa"/>
            <w:shd w:val="clear" w:color="auto" w:fill="auto"/>
          </w:tcPr>
          <w:p w:rsidR="00665433" w:rsidRPr="00D34671" w:rsidP="00665433" w14:paraId="174C4222" w14:textId="1F2E52FE">
            <w:pPr>
              <w:contextualSpacing/>
              <w:jc w:val="right"/>
              <w:rPr>
                <w:b/>
              </w:rPr>
            </w:pPr>
            <w:r w:rsidRPr="00906591">
              <w:rPr>
                <w:b/>
              </w:rPr>
              <w:t>10</w:t>
            </w:r>
            <w:r>
              <w:rPr>
                <w:b/>
              </w:rPr>
              <w:t>3,726</w:t>
            </w:r>
          </w:p>
        </w:tc>
        <w:tc>
          <w:tcPr>
            <w:tcW w:w="1844" w:type="dxa"/>
            <w:shd w:val="clear" w:color="auto" w:fill="auto"/>
          </w:tcPr>
          <w:p w:rsidR="00665433" w:rsidRPr="00D34671" w:rsidP="00665433" w14:paraId="6391D424" w14:textId="3A1BE09C">
            <w:pPr>
              <w:contextualSpacing/>
              <w:jc w:val="right"/>
              <w:rPr>
                <w:b/>
              </w:rPr>
            </w:pPr>
            <w:r w:rsidRPr="00906591">
              <w:rPr>
                <w:b/>
              </w:rPr>
              <w:t>$</w:t>
            </w:r>
            <w:r>
              <w:rPr>
                <w:b/>
              </w:rPr>
              <w:t>19,383,769</w:t>
            </w:r>
          </w:p>
        </w:tc>
        <w:tc>
          <w:tcPr>
            <w:tcW w:w="1844" w:type="dxa"/>
          </w:tcPr>
          <w:p w:rsidR="00665433" w:rsidRPr="00D34671" w:rsidP="00665433" w14:paraId="6C8445FD" w14:textId="0B8E85C1">
            <w:pPr>
              <w:ind w:hanging="14"/>
              <w:contextualSpacing/>
              <w:jc w:val="right"/>
              <w:rPr>
                <w:b/>
              </w:rPr>
            </w:pPr>
            <w:r w:rsidRPr="00906591">
              <w:rPr>
                <w:b/>
              </w:rPr>
              <w:t>10</w:t>
            </w:r>
            <w:r>
              <w:rPr>
                <w:b/>
              </w:rPr>
              <w:t>3,726</w:t>
            </w:r>
          </w:p>
        </w:tc>
        <w:tc>
          <w:tcPr>
            <w:tcW w:w="1844" w:type="dxa"/>
          </w:tcPr>
          <w:p w:rsidR="00665433" w:rsidRPr="00D34671" w:rsidP="00665433" w14:paraId="297DDDBE" w14:textId="3B6571AA">
            <w:pPr>
              <w:contextualSpacing/>
              <w:jc w:val="right"/>
              <w:rPr>
                <w:b/>
              </w:rPr>
            </w:pPr>
            <w:r w:rsidRPr="00906591">
              <w:rPr>
                <w:b/>
              </w:rPr>
              <w:t>$</w:t>
            </w:r>
            <w:r>
              <w:rPr>
                <w:b/>
              </w:rPr>
              <w:t>19,383,769</w:t>
            </w:r>
          </w:p>
        </w:tc>
      </w:tr>
    </w:tbl>
    <w:p w:rsidR="00E80222" w:rsidP="00E80222" w14:paraId="056BAC46" w14:textId="77777777">
      <w:pPr>
        <w:pStyle w:val="BodyTextIndent"/>
        <w:contextualSpacing/>
        <w:rPr>
          <w:i/>
          <w:color w:val="000000" w:themeColor="text1"/>
        </w:rPr>
      </w:pPr>
    </w:p>
    <w:p w:rsidR="006124E4" w:rsidRPr="00906591" w:rsidP="00E80222" w14:paraId="48CA26F1" w14:textId="111C4ABB">
      <w:pPr>
        <w:pStyle w:val="BodyTextIndent"/>
        <w:contextualSpacing/>
        <w:rPr>
          <w:iCs/>
          <w:color w:val="000000" w:themeColor="text1"/>
          <w:u w:val="single"/>
        </w:rPr>
      </w:pPr>
      <w:r w:rsidRPr="00906591">
        <w:rPr>
          <w:iCs/>
          <w:color w:val="000000" w:themeColor="text1"/>
          <w:u w:val="single"/>
        </w:rPr>
        <w:t>Requirements for Written Policies and Procedures</w:t>
      </w:r>
    </w:p>
    <w:p w:rsidR="006124E4" w:rsidP="00E80222" w14:paraId="4792538B" w14:textId="77777777">
      <w:pPr>
        <w:pStyle w:val="BodyTextIndent"/>
        <w:contextualSpacing/>
        <w:rPr>
          <w:i/>
          <w:color w:val="000000" w:themeColor="text1"/>
        </w:rPr>
      </w:pPr>
    </w:p>
    <w:p w:rsidR="006B795F" w:rsidP="00E80222" w14:paraId="69E27E21" w14:textId="03ECF2A8">
      <w:pPr>
        <w:ind w:left="720"/>
      </w:pPr>
      <w:r>
        <w:t>Under the original</w:t>
      </w:r>
      <w:r w:rsidR="77EF3B5C">
        <w:t xml:space="preserve"> PTE 2020-02</w:t>
      </w:r>
      <w:r>
        <w:t xml:space="preserve"> exemption, </w:t>
      </w:r>
      <w:r w:rsidR="00AF4AF3">
        <w:t>Financial Institution</w:t>
      </w:r>
      <w:r w:rsidR="00EA2A06">
        <w:t>s</w:t>
      </w:r>
      <w:r>
        <w:t xml:space="preserve"> were already required to maintain policies and procedures. </w:t>
      </w:r>
      <w:r w:rsidRPr="00CB4502">
        <w:t>Robo-advisers</w:t>
      </w:r>
      <w:r w:rsidR="003A2394">
        <w:t xml:space="preserve"> and n</w:t>
      </w:r>
      <w:r w:rsidR="00750AD4">
        <w:t>ew</w:t>
      </w:r>
      <w:r w:rsidR="00491D78">
        <w:t>ly reliant Financial Institutions</w:t>
      </w:r>
      <w:r w:rsidRPr="00CB4502">
        <w:t xml:space="preserve">, who are not covered under the existing exemption may need to develop policies and procedures. The Department estimates that initially establishing, maintaining, and enforcing written policies and procedures prudently designed to ensure compliance with the Impartial Conduct Standards will take a legal professional </w:t>
      </w:r>
      <w:r w:rsidRPr="00CB4502" w:rsidR="005D2D62">
        <w:t>2</w:t>
      </w:r>
      <w:r w:rsidRPr="00CB4502" w:rsidR="00C225ED">
        <w:t xml:space="preserve">0 </w:t>
      </w:r>
      <w:r w:rsidRPr="00CB4502">
        <w:t xml:space="preserve">hours for small entities and </w:t>
      </w:r>
      <w:r w:rsidRPr="00CB4502" w:rsidR="005D2D62">
        <w:t>4</w:t>
      </w:r>
      <w:r w:rsidRPr="00CB4502" w:rsidR="00C225ED">
        <w:t xml:space="preserve">0 </w:t>
      </w:r>
      <w:r w:rsidRPr="00CB4502">
        <w:t>hours for large entities.</w:t>
      </w:r>
      <w:r>
        <w:rPr>
          <w:rStyle w:val="FootnoteReference"/>
        </w:rPr>
        <w:footnoteReference w:id="35"/>
      </w:r>
      <w:r>
        <w:t xml:space="preserve"> </w:t>
      </w:r>
      <w:r w:rsidR="009F126A">
        <w:t xml:space="preserve">Retail broker-dealers and all registered investment advisors should have policies and procedures in place to satisfy other regulators that can be amended to comply with this rulemaking. The Department estimates it will take 10 hours for small firms and 20 hours for large firms to amend their policies and procedures. </w:t>
      </w:r>
      <w:r w:rsidRPr="00560BFA">
        <w:t xml:space="preserve">The Department estimates the requirement </w:t>
      </w:r>
      <w:r w:rsidR="003F4C9F">
        <w:t>to result in</w:t>
      </w:r>
      <w:r w:rsidRPr="00560BFA">
        <w:t xml:space="preserve"> a</w:t>
      </w:r>
      <w:r>
        <w:t xml:space="preserve">n hour burden of </w:t>
      </w:r>
      <w:r w:rsidR="0063652E">
        <w:t>111,864</w:t>
      </w:r>
      <w:r w:rsidR="00AE5B03">
        <w:t xml:space="preserve"> </w:t>
      </w:r>
      <w:r>
        <w:t>hours with an equivalent</w:t>
      </w:r>
      <w:r w:rsidRPr="00560BFA">
        <w:t xml:space="preserve"> cost of $</w:t>
      </w:r>
      <w:r w:rsidR="0063652E">
        <w:t>18,536,977</w:t>
      </w:r>
      <w:r>
        <w:t xml:space="preserve"> </w:t>
      </w:r>
      <w:r w:rsidRPr="00560BFA">
        <w:t>in the first year</w:t>
      </w:r>
      <w:r>
        <w:t>.</w:t>
      </w:r>
      <w:r>
        <w:rPr>
          <w:rStyle w:val="FootnoteReference"/>
        </w:rPr>
        <w:footnoteReference w:id="36"/>
      </w:r>
      <w:r w:rsidRPr="00560BFA">
        <w:t xml:space="preserve"> </w:t>
      </w:r>
    </w:p>
    <w:p w:rsidR="006B795F" w:rsidP="008F7870" w14:paraId="363B7530" w14:textId="77777777">
      <w:pPr>
        <w:ind w:left="54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75CD6811" w14:textId="77777777" w:rsidTr="00BF6BDA">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gridSpan w:val="5"/>
            <w:shd w:val="clear" w:color="auto" w:fill="auto"/>
          </w:tcPr>
          <w:p w:rsidR="006B795F" w:rsidP="00BF6BDA" w14:paraId="310DB45F" w14:textId="537B17A2">
            <w:pPr>
              <w:contextualSpacing/>
              <w:jc w:val="center"/>
              <w:rPr>
                <w:b/>
              </w:rPr>
            </w:pPr>
            <w:r>
              <w:rPr>
                <w:b/>
              </w:rPr>
              <w:t xml:space="preserve">Table </w:t>
            </w:r>
            <w:r w:rsidR="002416DF">
              <w:rPr>
                <w:b/>
              </w:rPr>
              <w:t>8</w:t>
            </w:r>
            <w:r>
              <w:rPr>
                <w:b/>
              </w:rPr>
              <w:t>: Hour Burden and Equivalent Cost Associated with Developing Policies and Procedures</w:t>
            </w:r>
          </w:p>
        </w:tc>
      </w:tr>
      <w:tr w14:paraId="6CCEF611" w14:textId="77777777" w:rsidTr="00BF6BDA">
        <w:tblPrEx>
          <w:tblW w:w="0" w:type="auto"/>
          <w:tblInd w:w="828" w:type="dxa"/>
          <w:tblLayout w:type="fixed"/>
          <w:tblLook w:val="04A0"/>
        </w:tblPrEx>
        <w:tc>
          <w:tcPr>
            <w:tcW w:w="1147" w:type="dxa"/>
            <w:shd w:val="clear" w:color="auto" w:fill="auto"/>
          </w:tcPr>
          <w:p w:rsidR="006B795F" w:rsidRPr="00002ED1" w:rsidP="00BF6BDA" w14:paraId="641E3FEC" w14:textId="77777777">
            <w:pPr>
              <w:contextualSpacing/>
              <w:jc w:val="center"/>
              <w:rPr>
                <w:b/>
              </w:rPr>
            </w:pPr>
          </w:p>
        </w:tc>
        <w:tc>
          <w:tcPr>
            <w:tcW w:w="3687" w:type="dxa"/>
            <w:gridSpan w:val="2"/>
            <w:shd w:val="clear" w:color="auto" w:fill="auto"/>
          </w:tcPr>
          <w:p w:rsidR="006B795F" w:rsidRPr="00002ED1" w:rsidP="00BF6BDA" w14:paraId="7787225D" w14:textId="77777777">
            <w:pPr>
              <w:contextualSpacing/>
              <w:jc w:val="center"/>
              <w:rPr>
                <w:b/>
              </w:rPr>
            </w:pPr>
            <w:r>
              <w:rPr>
                <w:b/>
              </w:rPr>
              <w:t>Year 1</w:t>
            </w:r>
          </w:p>
        </w:tc>
        <w:tc>
          <w:tcPr>
            <w:tcW w:w="3688" w:type="dxa"/>
            <w:gridSpan w:val="2"/>
          </w:tcPr>
          <w:p w:rsidR="006B795F" w:rsidRPr="00002ED1" w:rsidP="00BF6BDA" w14:paraId="163E3DA1" w14:textId="77777777">
            <w:pPr>
              <w:ind w:hanging="14"/>
              <w:contextualSpacing/>
              <w:jc w:val="center"/>
              <w:rPr>
                <w:b/>
              </w:rPr>
            </w:pPr>
            <w:r>
              <w:rPr>
                <w:b/>
              </w:rPr>
              <w:t>Subsequent Years</w:t>
            </w:r>
          </w:p>
        </w:tc>
      </w:tr>
      <w:tr w14:paraId="0F248545" w14:textId="77777777" w:rsidTr="00BF6BDA">
        <w:tblPrEx>
          <w:tblW w:w="0" w:type="auto"/>
          <w:tblInd w:w="828" w:type="dxa"/>
          <w:tblLayout w:type="fixed"/>
          <w:tblLook w:val="04A0"/>
        </w:tblPrEx>
        <w:tc>
          <w:tcPr>
            <w:tcW w:w="1147" w:type="dxa"/>
            <w:shd w:val="clear" w:color="auto" w:fill="auto"/>
          </w:tcPr>
          <w:p w:rsidR="006B795F" w:rsidRPr="00002ED1" w:rsidP="00BF6BDA" w14:paraId="5AC2ED4D" w14:textId="77777777">
            <w:pPr>
              <w:contextualSpacing/>
              <w:jc w:val="center"/>
              <w:rPr>
                <w:b/>
              </w:rPr>
            </w:pPr>
            <w:r w:rsidRPr="00002ED1">
              <w:rPr>
                <w:b/>
              </w:rPr>
              <w:t>Activity</w:t>
            </w:r>
          </w:p>
        </w:tc>
        <w:tc>
          <w:tcPr>
            <w:tcW w:w="1843" w:type="dxa"/>
            <w:shd w:val="clear" w:color="auto" w:fill="auto"/>
          </w:tcPr>
          <w:p w:rsidR="006B795F" w:rsidRPr="00002ED1" w:rsidP="00BF6BDA" w14:paraId="03167805" w14:textId="77777777">
            <w:pPr>
              <w:contextualSpacing/>
              <w:jc w:val="center"/>
              <w:rPr>
                <w:b/>
              </w:rPr>
            </w:pPr>
            <w:r w:rsidRPr="00002ED1">
              <w:rPr>
                <w:b/>
              </w:rPr>
              <w:t>Burden Hours</w:t>
            </w:r>
          </w:p>
        </w:tc>
        <w:tc>
          <w:tcPr>
            <w:tcW w:w="1844" w:type="dxa"/>
            <w:shd w:val="clear" w:color="auto" w:fill="auto"/>
          </w:tcPr>
          <w:p w:rsidR="006B795F" w:rsidRPr="00002ED1" w:rsidP="00BF6BDA" w14:paraId="10071184" w14:textId="77777777">
            <w:pPr>
              <w:contextualSpacing/>
              <w:jc w:val="center"/>
              <w:rPr>
                <w:b/>
              </w:rPr>
            </w:pPr>
            <w:r w:rsidRPr="00002ED1">
              <w:rPr>
                <w:b/>
              </w:rPr>
              <w:t>Equivalent Burden Cost</w:t>
            </w:r>
          </w:p>
        </w:tc>
        <w:tc>
          <w:tcPr>
            <w:tcW w:w="1844" w:type="dxa"/>
          </w:tcPr>
          <w:p w:rsidR="006B795F" w:rsidRPr="00002ED1" w:rsidP="00BF6BDA" w14:paraId="7A37A32F" w14:textId="77777777">
            <w:pPr>
              <w:ind w:hanging="14"/>
              <w:contextualSpacing/>
              <w:jc w:val="center"/>
              <w:rPr>
                <w:b/>
              </w:rPr>
            </w:pPr>
            <w:r w:rsidRPr="00002ED1">
              <w:rPr>
                <w:b/>
              </w:rPr>
              <w:t>Burden Hours</w:t>
            </w:r>
          </w:p>
        </w:tc>
        <w:tc>
          <w:tcPr>
            <w:tcW w:w="1844" w:type="dxa"/>
          </w:tcPr>
          <w:p w:rsidR="006B795F" w:rsidRPr="00002ED1" w:rsidP="00BF6BDA" w14:paraId="437C35B0" w14:textId="77777777">
            <w:pPr>
              <w:contextualSpacing/>
              <w:jc w:val="center"/>
              <w:rPr>
                <w:b/>
              </w:rPr>
            </w:pPr>
            <w:r w:rsidRPr="00002ED1">
              <w:rPr>
                <w:b/>
              </w:rPr>
              <w:t>Equivalent Burden Cost</w:t>
            </w:r>
          </w:p>
        </w:tc>
      </w:tr>
      <w:tr w14:paraId="76E3AB2C" w14:textId="77777777" w:rsidTr="00BF6BDA">
        <w:tblPrEx>
          <w:tblW w:w="0" w:type="auto"/>
          <w:tblInd w:w="828" w:type="dxa"/>
          <w:tblLayout w:type="fixed"/>
          <w:tblLook w:val="04A0"/>
        </w:tblPrEx>
        <w:tc>
          <w:tcPr>
            <w:tcW w:w="1147" w:type="dxa"/>
            <w:shd w:val="clear" w:color="auto" w:fill="auto"/>
          </w:tcPr>
          <w:p w:rsidR="006B795F" w:rsidRPr="00002ED1" w:rsidP="00BF6BDA" w14:paraId="071963DD" w14:textId="77777777">
            <w:pPr>
              <w:contextualSpacing/>
            </w:pPr>
            <w:r>
              <w:t>Clerical</w:t>
            </w:r>
          </w:p>
        </w:tc>
        <w:tc>
          <w:tcPr>
            <w:tcW w:w="1843" w:type="dxa"/>
            <w:shd w:val="clear" w:color="auto" w:fill="auto"/>
          </w:tcPr>
          <w:p w:rsidR="006B795F" w:rsidP="00BF6BDA" w14:paraId="7418C6CF" w14:textId="6A5CD974">
            <w:pPr>
              <w:contextualSpacing/>
              <w:jc w:val="right"/>
            </w:pPr>
            <w:r>
              <w:t>111,864</w:t>
            </w:r>
            <w:r w:rsidR="00F8031F">
              <w:t xml:space="preserve"> </w:t>
            </w:r>
          </w:p>
        </w:tc>
        <w:tc>
          <w:tcPr>
            <w:tcW w:w="1844" w:type="dxa"/>
            <w:shd w:val="clear" w:color="auto" w:fill="auto"/>
          </w:tcPr>
          <w:p w:rsidR="006B795F" w:rsidRPr="00002ED1" w:rsidP="00BF6BDA" w14:paraId="758FF5DF" w14:textId="120B69F8">
            <w:pPr>
              <w:contextualSpacing/>
              <w:jc w:val="right"/>
            </w:pPr>
            <w:r>
              <w:t>$</w:t>
            </w:r>
            <w:r w:rsidR="001D33AA">
              <w:t>18,536,977</w:t>
            </w:r>
            <w:r>
              <w:t xml:space="preserve"> </w:t>
            </w:r>
          </w:p>
        </w:tc>
        <w:tc>
          <w:tcPr>
            <w:tcW w:w="1844" w:type="dxa"/>
          </w:tcPr>
          <w:p w:rsidR="006B795F" w:rsidP="00BF6BDA" w14:paraId="2ED863D3" w14:textId="77777777">
            <w:pPr>
              <w:ind w:hanging="14"/>
              <w:contextualSpacing/>
              <w:jc w:val="right"/>
            </w:pPr>
            <w:r>
              <w:t xml:space="preserve">0 </w:t>
            </w:r>
          </w:p>
        </w:tc>
        <w:tc>
          <w:tcPr>
            <w:tcW w:w="1844" w:type="dxa"/>
          </w:tcPr>
          <w:p w:rsidR="006B795F" w:rsidRPr="00002ED1" w:rsidP="00BF6BDA" w14:paraId="3E7A5A36" w14:textId="77777777">
            <w:pPr>
              <w:contextualSpacing/>
              <w:jc w:val="right"/>
            </w:pPr>
            <w:r>
              <w:t xml:space="preserve">$0 </w:t>
            </w:r>
          </w:p>
        </w:tc>
      </w:tr>
      <w:tr w14:paraId="70A035F3" w14:textId="77777777" w:rsidTr="00BF6BDA">
        <w:tblPrEx>
          <w:tblW w:w="0" w:type="auto"/>
          <w:tblInd w:w="828" w:type="dxa"/>
          <w:tblLayout w:type="fixed"/>
          <w:tblLook w:val="04A0"/>
        </w:tblPrEx>
        <w:tc>
          <w:tcPr>
            <w:tcW w:w="1147" w:type="dxa"/>
            <w:shd w:val="clear" w:color="auto" w:fill="auto"/>
          </w:tcPr>
          <w:p w:rsidR="006B795F" w:rsidRPr="00002ED1" w:rsidP="00BF6BDA" w14:paraId="172AA3DC" w14:textId="77777777">
            <w:pPr>
              <w:contextualSpacing/>
              <w:rPr>
                <w:b/>
              </w:rPr>
            </w:pPr>
            <w:r w:rsidRPr="00002ED1">
              <w:rPr>
                <w:b/>
              </w:rPr>
              <w:t>Total</w:t>
            </w:r>
          </w:p>
        </w:tc>
        <w:tc>
          <w:tcPr>
            <w:tcW w:w="1843" w:type="dxa"/>
            <w:shd w:val="clear" w:color="auto" w:fill="auto"/>
          </w:tcPr>
          <w:p w:rsidR="006B795F" w:rsidRPr="00002ED1" w:rsidP="00BF6BDA" w14:paraId="59DCDF8D" w14:textId="586D2FED">
            <w:pPr>
              <w:contextualSpacing/>
              <w:jc w:val="right"/>
              <w:rPr>
                <w:b/>
              </w:rPr>
            </w:pPr>
            <w:r>
              <w:rPr>
                <w:b/>
                <w:bCs/>
              </w:rPr>
              <w:t>111,864</w:t>
            </w:r>
            <w:r w:rsidRPr="05C90F23" w:rsidR="00F8031F">
              <w:rPr>
                <w:b/>
                <w:bCs/>
              </w:rPr>
              <w:t xml:space="preserve"> </w:t>
            </w:r>
          </w:p>
        </w:tc>
        <w:tc>
          <w:tcPr>
            <w:tcW w:w="1844" w:type="dxa"/>
            <w:shd w:val="clear" w:color="auto" w:fill="auto"/>
          </w:tcPr>
          <w:p w:rsidR="006B795F" w:rsidRPr="00002ED1" w:rsidP="00BF6BDA" w14:paraId="0978F9A5" w14:textId="679E4E45">
            <w:pPr>
              <w:contextualSpacing/>
              <w:jc w:val="right"/>
              <w:rPr>
                <w:b/>
              </w:rPr>
            </w:pPr>
            <w:r w:rsidRPr="00002ED1">
              <w:rPr>
                <w:b/>
              </w:rPr>
              <w:t>$</w:t>
            </w:r>
            <w:r w:rsidR="001D33AA">
              <w:rPr>
                <w:b/>
              </w:rPr>
              <w:t>18,536,977</w:t>
            </w:r>
            <w:r w:rsidRPr="05C90F23">
              <w:rPr>
                <w:b/>
                <w:bCs/>
              </w:rPr>
              <w:t xml:space="preserve"> </w:t>
            </w:r>
          </w:p>
        </w:tc>
        <w:tc>
          <w:tcPr>
            <w:tcW w:w="1844" w:type="dxa"/>
          </w:tcPr>
          <w:p w:rsidR="006B795F" w:rsidRPr="009E4A8F" w:rsidP="00BF6BDA" w14:paraId="010DE51E" w14:textId="77777777">
            <w:pPr>
              <w:ind w:hanging="14"/>
              <w:contextualSpacing/>
              <w:jc w:val="right"/>
              <w:rPr>
                <w:b/>
                <w:bCs/>
              </w:rPr>
            </w:pPr>
            <w:r>
              <w:rPr>
                <w:b/>
                <w:bCs/>
              </w:rPr>
              <w:t>0</w:t>
            </w:r>
            <w:r w:rsidRPr="05C90F23">
              <w:rPr>
                <w:b/>
                <w:bCs/>
              </w:rPr>
              <w:t xml:space="preserve"> </w:t>
            </w:r>
          </w:p>
        </w:tc>
        <w:tc>
          <w:tcPr>
            <w:tcW w:w="1844" w:type="dxa"/>
          </w:tcPr>
          <w:p w:rsidR="006B795F" w:rsidRPr="009E4A8F" w:rsidP="00BF6BDA" w14:paraId="0D1B6FE4" w14:textId="77777777">
            <w:pPr>
              <w:contextualSpacing/>
              <w:jc w:val="right"/>
              <w:rPr>
                <w:b/>
                <w:bCs/>
              </w:rPr>
            </w:pPr>
            <w:r w:rsidRPr="00002ED1">
              <w:rPr>
                <w:b/>
              </w:rPr>
              <w:t>$</w:t>
            </w:r>
            <w:r>
              <w:rPr>
                <w:b/>
                <w:bCs/>
              </w:rPr>
              <w:t>0</w:t>
            </w:r>
            <w:r w:rsidRPr="05C90F23">
              <w:rPr>
                <w:b/>
                <w:bCs/>
              </w:rPr>
              <w:t xml:space="preserve"> </w:t>
            </w:r>
          </w:p>
        </w:tc>
      </w:tr>
    </w:tbl>
    <w:p w:rsidR="006B795F" w:rsidP="006B795F" w14:paraId="4D42927E" w14:textId="77777777"/>
    <w:p w:rsidR="00E54984" w:rsidP="00E80222" w14:paraId="4E8D1040" w14:textId="6A2C8928">
      <w:pPr>
        <w:widowControl w:val="0"/>
        <w:tabs>
          <w:tab w:val="left" w:pos="990"/>
        </w:tabs>
        <w:ind w:left="720"/>
        <w:contextualSpacing/>
      </w:pPr>
      <w:r>
        <w:t xml:space="preserve">The </w:t>
      </w:r>
      <w:r w:rsidR="1186BCBD">
        <w:t xml:space="preserve">final </w:t>
      </w:r>
      <w:r>
        <w:t>amendment requir</w:t>
      </w:r>
      <w:r w:rsidR="006906CC">
        <w:t>es</w:t>
      </w:r>
      <w:r w:rsidR="1B642A25">
        <w:t xml:space="preserve"> Financial Institutions</w:t>
      </w:r>
      <w:r>
        <w:t xml:space="preserve"> to review </w:t>
      </w:r>
      <w:r w:rsidR="5D3AE133">
        <w:t xml:space="preserve">their </w:t>
      </w:r>
      <w:r>
        <w:t xml:space="preserve">policies and procedures at least annually and to update them as needed to ensure they remain prudently designed, effective, and current. This includes a requirement to update and </w:t>
      </w:r>
      <w:r>
        <w:t xml:space="preserve">modify policies and procedures, as appropriate, after considering the findings in the retrospective review report. For entities currently covered by PTE 2020-02, the Department estimates that it </w:t>
      </w:r>
      <w:r w:rsidR="00C87897">
        <w:t>will</w:t>
      </w:r>
      <w:r>
        <w:t xml:space="preserve"> take a legal professional an additional 5 hours for all entities covered under the existing and amended exemption. The Department expects that in the first year, only entities already reliant on PTE 2020-02 will satisfy this requirement but all entities will be required to satisfy it in subsequent years. The Department estimates this will result an estimated first year hour burden of </w:t>
      </w:r>
      <w:r w:rsidR="006943DF">
        <w:t>65,559</w:t>
      </w:r>
      <w:r>
        <w:t xml:space="preserve"> with an equivalent cost of $</w:t>
      </w:r>
      <w:r w:rsidR="006943DF">
        <w:t>10,863,864</w:t>
      </w:r>
      <w:r>
        <w:t xml:space="preserve">. In subsequent years, this will result in an annual hour burden of </w:t>
      </w:r>
      <w:r w:rsidR="006943DF">
        <w:t>93,161</w:t>
      </w:r>
      <w:r>
        <w:t xml:space="preserve"> hours with an equivalent cost of $</w:t>
      </w:r>
      <w:r w:rsidR="006943DF">
        <w:t>15,437,780</w:t>
      </w:r>
      <w:r>
        <w:t xml:space="preserve"> in subsequent years.</w:t>
      </w:r>
      <w:r>
        <w:rPr>
          <w:rStyle w:val="FootnoteReference"/>
        </w:rPr>
        <w:footnoteReference w:id="37"/>
      </w:r>
    </w:p>
    <w:p w:rsidR="00E54984" w:rsidP="00E80222" w14:paraId="455A1E36" w14:textId="77777777">
      <w:pPr>
        <w:widowControl w:val="0"/>
        <w:tabs>
          <w:tab w:val="left" w:pos="990"/>
        </w:tabs>
        <w:ind w:left="720"/>
        <w:contextualSpacing/>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62D27ADF"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gridSpan w:val="5"/>
            <w:shd w:val="clear" w:color="auto" w:fill="auto"/>
          </w:tcPr>
          <w:p w:rsidR="002E60D8" w14:paraId="298EB56A" w14:textId="27BBC918">
            <w:pPr>
              <w:contextualSpacing/>
              <w:jc w:val="center"/>
              <w:rPr>
                <w:b/>
              </w:rPr>
            </w:pPr>
            <w:r w:rsidRPr="002E60D8">
              <w:rPr>
                <w:b/>
              </w:rPr>
              <w:t xml:space="preserve">Table </w:t>
            </w:r>
            <w:r w:rsidR="002416DF">
              <w:rPr>
                <w:b/>
              </w:rPr>
              <w:t>9</w:t>
            </w:r>
            <w:r w:rsidRPr="002E60D8">
              <w:rPr>
                <w:b/>
              </w:rPr>
              <w:t>: Hour Burden and Equivalent Cost Associated with Reviewing and Updating Policies and Procedures </w:t>
            </w:r>
          </w:p>
        </w:tc>
      </w:tr>
      <w:tr w14:paraId="537FB02E" w14:textId="77777777">
        <w:tblPrEx>
          <w:tblW w:w="0" w:type="auto"/>
          <w:tblInd w:w="828" w:type="dxa"/>
          <w:tblLayout w:type="fixed"/>
          <w:tblLook w:val="04A0"/>
        </w:tblPrEx>
        <w:tc>
          <w:tcPr>
            <w:tcW w:w="1147" w:type="dxa"/>
            <w:shd w:val="clear" w:color="auto" w:fill="auto"/>
          </w:tcPr>
          <w:p w:rsidR="002E60D8" w:rsidRPr="00002ED1" w14:paraId="3FC0B546" w14:textId="77777777">
            <w:pPr>
              <w:contextualSpacing/>
              <w:jc w:val="center"/>
              <w:rPr>
                <w:b/>
              </w:rPr>
            </w:pPr>
          </w:p>
        </w:tc>
        <w:tc>
          <w:tcPr>
            <w:tcW w:w="3687" w:type="dxa"/>
            <w:gridSpan w:val="2"/>
            <w:shd w:val="clear" w:color="auto" w:fill="auto"/>
          </w:tcPr>
          <w:p w:rsidR="002E60D8" w:rsidRPr="00002ED1" w14:paraId="5EF7065C" w14:textId="77777777">
            <w:pPr>
              <w:contextualSpacing/>
              <w:jc w:val="center"/>
              <w:rPr>
                <w:b/>
              </w:rPr>
            </w:pPr>
            <w:r>
              <w:rPr>
                <w:b/>
              </w:rPr>
              <w:t>Year 1</w:t>
            </w:r>
          </w:p>
        </w:tc>
        <w:tc>
          <w:tcPr>
            <w:tcW w:w="3688" w:type="dxa"/>
            <w:gridSpan w:val="2"/>
          </w:tcPr>
          <w:p w:rsidR="002E60D8" w:rsidRPr="00002ED1" w14:paraId="45BBDFA6" w14:textId="77777777">
            <w:pPr>
              <w:ind w:hanging="14"/>
              <w:contextualSpacing/>
              <w:jc w:val="center"/>
              <w:rPr>
                <w:b/>
              </w:rPr>
            </w:pPr>
            <w:r>
              <w:rPr>
                <w:b/>
              </w:rPr>
              <w:t>Subsequent Years</w:t>
            </w:r>
          </w:p>
        </w:tc>
      </w:tr>
      <w:tr w14:paraId="302DB624" w14:textId="77777777">
        <w:tblPrEx>
          <w:tblW w:w="0" w:type="auto"/>
          <w:tblInd w:w="828" w:type="dxa"/>
          <w:tblLayout w:type="fixed"/>
          <w:tblLook w:val="04A0"/>
        </w:tblPrEx>
        <w:tc>
          <w:tcPr>
            <w:tcW w:w="1147" w:type="dxa"/>
            <w:shd w:val="clear" w:color="auto" w:fill="auto"/>
          </w:tcPr>
          <w:p w:rsidR="002E60D8" w:rsidRPr="00002ED1" w14:paraId="6496BC7C" w14:textId="77777777">
            <w:pPr>
              <w:contextualSpacing/>
              <w:jc w:val="center"/>
              <w:rPr>
                <w:b/>
              </w:rPr>
            </w:pPr>
            <w:r w:rsidRPr="00002ED1">
              <w:rPr>
                <w:b/>
              </w:rPr>
              <w:t>Activity</w:t>
            </w:r>
          </w:p>
        </w:tc>
        <w:tc>
          <w:tcPr>
            <w:tcW w:w="1843" w:type="dxa"/>
            <w:shd w:val="clear" w:color="auto" w:fill="auto"/>
          </w:tcPr>
          <w:p w:rsidR="002E60D8" w:rsidRPr="00002ED1" w14:paraId="05C9D0D8" w14:textId="77777777">
            <w:pPr>
              <w:contextualSpacing/>
              <w:jc w:val="center"/>
              <w:rPr>
                <w:b/>
              </w:rPr>
            </w:pPr>
            <w:r w:rsidRPr="00002ED1">
              <w:rPr>
                <w:b/>
              </w:rPr>
              <w:t>Burden Hours</w:t>
            </w:r>
          </w:p>
        </w:tc>
        <w:tc>
          <w:tcPr>
            <w:tcW w:w="1844" w:type="dxa"/>
            <w:shd w:val="clear" w:color="auto" w:fill="auto"/>
          </w:tcPr>
          <w:p w:rsidR="002E60D8" w:rsidRPr="00002ED1" w14:paraId="2A5DA23F" w14:textId="77777777">
            <w:pPr>
              <w:contextualSpacing/>
              <w:jc w:val="center"/>
              <w:rPr>
                <w:b/>
              </w:rPr>
            </w:pPr>
            <w:r w:rsidRPr="00002ED1">
              <w:rPr>
                <w:b/>
              </w:rPr>
              <w:t>Equivalent Burden Cost</w:t>
            </w:r>
          </w:p>
        </w:tc>
        <w:tc>
          <w:tcPr>
            <w:tcW w:w="1844" w:type="dxa"/>
          </w:tcPr>
          <w:p w:rsidR="002E60D8" w:rsidRPr="00002ED1" w14:paraId="65261211" w14:textId="77777777">
            <w:pPr>
              <w:ind w:hanging="14"/>
              <w:contextualSpacing/>
              <w:jc w:val="center"/>
              <w:rPr>
                <w:b/>
              </w:rPr>
            </w:pPr>
            <w:r w:rsidRPr="00002ED1">
              <w:rPr>
                <w:b/>
              </w:rPr>
              <w:t>Burden Hours</w:t>
            </w:r>
          </w:p>
        </w:tc>
        <w:tc>
          <w:tcPr>
            <w:tcW w:w="1844" w:type="dxa"/>
          </w:tcPr>
          <w:p w:rsidR="002E60D8" w:rsidRPr="00002ED1" w14:paraId="00900573" w14:textId="77777777">
            <w:pPr>
              <w:contextualSpacing/>
              <w:jc w:val="center"/>
              <w:rPr>
                <w:b/>
              </w:rPr>
            </w:pPr>
            <w:r w:rsidRPr="00002ED1">
              <w:rPr>
                <w:b/>
              </w:rPr>
              <w:t>Equivalent Burden Cost</w:t>
            </w:r>
          </w:p>
        </w:tc>
      </w:tr>
      <w:tr w14:paraId="0A1E44C9" w14:textId="77777777">
        <w:tblPrEx>
          <w:tblW w:w="0" w:type="auto"/>
          <w:tblInd w:w="828" w:type="dxa"/>
          <w:tblLayout w:type="fixed"/>
          <w:tblLook w:val="04A0"/>
        </w:tblPrEx>
        <w:tc>
          <w:tcPr>
            <w:tcW w:w="1147" w:type="dxa"/>
            <w:shd w:val="clear" w:color="auto" w:fill="auto"/>
          </w:tcPr>
          <w:p w:rsidR="002E60D8" w:rsidRPr="00002ED1" w:rsidP="002E60D8" w14:paraId="64B140BE" w14:textId="07EA94ED">
            <w:pPr>
              <w:contextualSpacing/>
            </w:pPr>
            <w:r w:rsidRPr="002E23C8">
              <w:t xml:space="preserve">Legal  </w:t>
            </w:r>
          </w:p>
        </w:tc>
        <w:tc>
          <w:tcPr>
            <w:tcW w:w="1843" w:type="dxa"/>
            <w:shd w:val="clear" w:color="auto" w:fill="auto"/>
          </w:tcPr>
          <w:p w:rsidR="002E60D8" w:rsidP="002E60D8" w14:paraId="7F0DB12B" w14:textId="5EE6A002">
            <w:pPr>
              <w:contextualSpacing/>
              <w:jc w:val="right"/>
            </w:pPr>
            <w:r>
              <w:t>65,559</w:t>
            </w:r>
          </w:p>
        </w:tc>
        <w:tc>
          <w:tcPr>
            <w:tcW w:w="1844" w:type="dxa"/>
            <w:shd w:val="clear" w:color="auto" w:fill="auto"/>
          </w:tcPr>
          <w:p w:rsidR="002E60D8" w:rsidRPr="00002ED1" w:rsidP="002E60D8" w14:paraId="4B52B59B" w14:textId="50954C2F">
            <w:pPr>
              <w:contextualSpacing/>
              <w:jc w:val="right"/>
            </w:pPr>
            <w:r w:rsidRPr="002E23C8">
              <w:t>$</w:t>
            </w:r>
            <w:r w:rsidR="006943DF">
              <w:t>10,863,864</w:t>
            </w:r>
            <w:r w:rsidRPr="002E23C8">
              <w:t xml:space="preserve"> </w:t>
            </w:r>
          </w:p>
        </w:tc>
        <w:tc>
          <w:tcPr>
            <w:tcW w:w="1844" w:type="dxa"/>
          </w:tcPr>
          <w:p w:rsidR="002E60D8" w:rsidP="002E60D8" w14:paraId="3F0DE63B" w14:textId="0A9890A7">
            <w:pPr>
              <w:ind w:hanging="14"/>
              <w:contextualSpacing/>
              <w:jc w:val="right"/>
            </w:pPr>
            <w:r>
              <w:t>93,161</w:t>
            </w:r>
          </w:p>
        </w:tc>
        <w:tc>
          <w:tcPr>
            <w:tcW w:w="1844" w:type="dxa"/>
          </w:tcPr>
          <w:p w:rsidR="002E60D8" w:rsidRPr="00002ED1" w:rsidP="002E60D8" w14:paraId="134646FE" w14:textId="751763A3">
            <w:pPr>
              <w:contextualSpacing/>
              <w:jc w:val="right"/>
            </w:pPr>
            <w:r w:rsidRPr="002E23C8">
              <w:t>$</w:t>
            </w:r>
            <w:r w:rsidR="006943DF">
              <w:t>15,437,780</w:t>
            </w:r>
          </w:p>
        </w:tc>
      </w:tr>
      <w:tr w14:paraId="28888B3B" w14:textId="77777777">
        <w:tblPrEx>
          <w:tblW w:w="0" w:type="auto"/>
          <w:tblInd w:w="828" w:type="dxa"/>
          <w:tblLayout w:type="fixed"/>
          <w:tblLook w:val="04A0"/>
        </w:tblPrEx>
        <w:tc>
          <w:tcPr>
            <w:tcW w:w="1147" w:type="dxa"/>
            <w:shd w:val="clear" w:color="auto" w:fill="auto"/>
          </w:tcPr>
          <w:p w:rsidR="002E60D8" w:rsidRPr="002E60D8" w:rsidP="002E60D8" w14:paraId="46418393" w14:textId="47CD9FC7">
            <w:pPr>
              <w:contextualSpacing/>
              <w:rPr>
                <w:b/>
                <w:bCs/>
              </w:rPr>
            </w:pPr>
            <w:r w:rsidRPr="00BD6F08">
              <w:rPr>
                <w:b/>
              </w:rPr>
              <w:t xml:space="preserve">Total  </w:t>
            </w:r>
          </w:p>
        </w:tc>
        <w:tc>
          <w:tcPr>
            <w:tcW w:w="1843" w:type="dxa"/>
            <w:shd w:val="clear" w:color="auto" w:fill="auto"/>
          </w:tcPr>
          <w:p w:rsidR="002E60D8" w:rsidRPr="002E60D8" w:rsidP="002E60D8" w14:paraId="5A616CDA" w14:textId="14E45F61">
            <w:pPr>
              <w:contextualSpacing/>
              <w:jc w:val="right"/>
              <w:rPr>
                <w:b/>
                <w:bCs/>
              </w:rPr>
            </w:pPr>
            <w:r>
              <w:rPr>
                <w:b/>
              </w:rPr>
              <w:t>65,559</w:t>
            </w:r>
          </w:p>
        </w:tc>
        <w:tc>
          <w:tcPr>
            <w:tcW w:w="1844" w:type="dxa"/>
            <w:shd w:val="clear" w:color="auto" w:fill="auto"/>
          </w:tcPr>
          <w:p w:rsidR="002E60D8" w:rsidRPr="002E60D8" w:rsidP="002E60D8" w14:paraId="6699C7DA" w14:textId="182BC7BC">
            <w:pPr>
              <w:contextualSpacing/>
              <w:jc w:val="right"/>
              <w:rPr>
                <w:b/>
                <w:bCs/>
              </w:rPr>
            </w:pPr>
            <w:r w:rsidRPr="00BD6F08">
              <w:rPr>
                <w:b/>
              </w:rPr>
              <w:t>$</w:t>
            </w:r>
            <w:r w:rsidR="006943DF">
              <w:rPr>
                <w:b/>
              </w:rPr>
              <w:t>10,863,864</w:t>
            </w:r>
            <w:r w:rsidRPr="00BD6F08">
              <w:rPr>
                <w:b/>
              </w:rPr>
              <w:t xml:space="preserve"> </w:t>
            </w:r>
          </w:p>
        </w:tc>
        <w:tc>
          <w:tcPr>
            <w:tcW w:w="1844" w:type="dxa"/>
          </w:tcPr>
          <w:p w:rsidR="002E60D8" w:rsidRPr="002E60D8" w:rsidP="002E60D8" w14:paraId="3494DC2C" w14:textId="629A3350">
            <w:pPr>
              <w:ind w:hanging="14"/>
              <w:contextualSpacing/>
              <w:jc w:val="right"/>
              <w:rPr>
                <w:b/>
                <w:bCs/>
              </w:rPr>
            </w:pPr>
            <w:r>
              <w:rPr>
                <w:b/>
              </w:rPr>
              <w:t>93,161</w:t>
            </w:r>
          </w:p>
        </w:tc>
        <w:tc>
          <w:tcPr>
            <w:tcW w:w="1844" w:type="dxa"/>
          </w:tcPr>
          <w:p w:rsidR="002E60D8" w:rsidRPr="002E60D8" w:rsidP="002E60D8" w14:paraId="4DCF65FD" w14:textId="50AF70DC">
            <w:pPr>
              <w:contextualSpacing/>
              <w:jc w:val="right"/>
              <w:rPr>
                <w:b/>
                <w:bCs/>
              </w:rPr>
            </w:pPr>
            <w:r w:rsidRPr="00BD6F08">
              <w:rPr>
                <w:b/>
              </w:rPr>
              <w:t>$</w:t>
            </w:r>
            <w:r w:rsidR="006943DF">
              <w:rPr>
                <w:b/>
              </w:rPr>
              <w:t>15,437,780</w:t>
            </w:r>
            <w:r w:rsidRPr="00BD6F08">
              <w:rPr>
                <w:b/>
              </w:rPr>
              <w:t xml:space="preserve"> </w:t>
            </w:r>
          </w:p>
        </w:tc>
      </w:tr>
    </w:tbl>
    <w:p w:rsidR="002E60D8" w:rsidP="00E80222" w14:paraId="138C1F53" w14:textId="77777777">
      <w:pPr>
        <w:widowControl w:val="0"/>
        <w:tabs>
          <w:tab w:val="left" w:pos="990"/>
        </w:tabs>
        <w:ind w:left="720"/>
        <w:contextualSpacing/>
      </w:pPr>
    </w:p>
    <w:p w:rsidR="006B795F" w:rsidP="00E80222" w14:paraId="0DFABA87" w14:textId="0550610C">
      <w:pPr>
        <w:widowControl w:val="0"/>
        <w:tabs>
          <w:tab w:val="left" w:pos="990"/>
        </w:tabs>
        <w:ind w:left="720"/>
        <w:contextualSpacing/>
      </w:pPr>
      <w:r w:rsidRPr="005E08EF">
        <w:t xml:space="preserve">The </w:t>
      </w:r>
      <w:r w:rsidR="1D270EDF">
        <w:t xml:space="preserve">final </w:t>
      </w:r>
      <w:r w:rsidRPr="005E08EF">
        <w:t>amendment require</w:t>
      </w:r>
      <w:r w:rsidRPr="005E08EF" w:rsidR="36721F1D">
        <w:t>s</w:t>
      </w:r>
      <w:r>
        <w:t xml:space="preserve"> </w:t>
      </w:r>
      <w:r w:rsidR="00AF4AF3">
        <w:t>Financial Institution</w:t>
      </w:r>
      <w:r w:rsidRPr="005E08EF" w:rsidR="00EA2A06">
        <w:t>s</w:t>
      </w:r>
      <w:r w:rsidRPr="005E08EF">
        <w:t xml:space="preserve"> to provide their complete policies and procedures to the Department upon request.</w:t>
      </w:r>
      <w:r>
        <w:t xml:space="preserve"> Based on the number of cases in the past and current open cases that would merit such a request, the Department estimates that the Department </w:t>
      </w:r>
      <w:r w:rsidR="00C87897">
        <w:t xml:space="preserve">will </w:t>
      </w:r>
      <w:r>
        <w:t xml:space="preserve">request 165 policies and procedures in the first year and 50 policies and procedures in subsequent years. </w:t>
      </w:r>
      <w:r w:rsidRPr="005E08EF">
        <w:t>The Department estimates that it will take a clerical worker 15 minutes to prepare and send their complete policies and procedures to the Department</w:t>
      </w:r>
      <w:r w:rsidRPr="00F078CF">
        <w:t xml:space="preserve"> </w:t>
      </w:r>
      <w:r w:rsidRPr="005E08EF">
        <w:t xml:space="preserve">resulting in an hourly burden of </w:t>
      </w:r>
      <w:r>
        <w:t>approximately 41</w:t>
      </w:r>
      <w:r w:rsidRPr="005E08EF">
        <w:t xml:space="preserve"> hours</w:t>
      </w:r>
      <w:r>
        <w:t xml:space="preserve"> in the first year</w:t>
      </w:r>
      <w:r w:rsidRPr="005E08EF">
        <w:t>.</w:t>
      </w:r>
      <w:r>
        <w:t xml:space="preserve"> </w:t>
      </w:r>
      <w:r w:rsidRPr="00CB4502">
        <w:t>Assuming an hourly wage rate for clerical personnel of $6</w:t>
      </w:r>
      <w:r w:rsidRPr="00CB4502" w:rsidR="002E104E">
        <w:t>5.99</w:t>
      </w:r>
      <w:r w:rsidRPr="00CB4502">
        <w:t>,</w:t>
      </w:r>
      <w:r w:rsidRPr="00CB4502">
        <w:rPr>
          <w:color w:val="000000" w:themeColor="text1"/>
          <w:sz w:val="16"/>
          <w:szCs w:val="16"/>
        </w:rPr>
        <w:t xml:space="preserve"> </w:t>
      </w:r>
      <w:r w:rsidRPr="00CB4502">
        <w:t>the estimated</w:t>
      </w:r>
      <w:r w:rsidRPr="005E08EF">
        <w:t xml:space="preserve"> cost burden</w:t>
      </w:r>
      <w:r>
        <w:t xml:space="preserve"> in the first year</w:t>
      </w:r>
      <w:r w:rsidRPr="005E08EF">
        <w:t xml:space="preserve"> is </w:t>
      </w:r>
      <w:r>
        <w:t>$2,</w:t>
      </w:r>
      <w:r w:rsidR="00814CFB">
        <w:t>722</w:t>
      </w:r>
      <w:r>
        <w:t>.</w:t>
      </w:r>
      <w:r>
        <w:rPr>
          <w:vertAlign w:val="superscript"/>
        </w:rPr>
        <w:footnoteReference w:id="38"/>
      </w:r>
      <w:r>
        <w:t xml:space="preserve"> In subsequent years, the Department estimates that the requirement </w:t>
      </w:r>
      <w:r w:rsidR="00C87897">
        <w:t xml:space="preserve">will </w:t>
      </w:r>
      <w:r>
        <w:t xml:space="preserve">result in an hour burden of approximately 13 hours with an equivalent </w:t>
      </w:r>
      <w:r>
        <w:t>cost of $</w:t>
      </w:r>
      <w:r w:rsidR="00814CFB">
        <w:t>825</w:t>
      </w:r>
      <w:r>
        <w:t>.</w:t>
      </w:r>
      <w:r>
        <w:rPr>
          <w:vertAlign w:val="superscript"/>
        </w:rPr>
        <w:footnoteReference w:id="39"/>
      </w:r>
      <w:r>
        <w:t xml:space="preserve"> </w:t>
      </w:r>
      <w:r w:rsidRPr="005E08EF">
        <w:t xml:space="preserve">The Department assumes </w:t>
      </w:r>
      <w:r w:rsidR="00AF4AF3">
        <w:t>Financial Institution</w:t>
      </w:r>
      <w:r w:rsidRPr="005E08EF" w:rsidR="00EA2A06">
        <w:t>s</w:t>
      </w:r>
      <w:r w:rsidRPr="005E08EF">
        <w:t xml:space="preserve"> </w:t>
      </w:r>
      <w:r w:rsidR="00C87897">
        <w:t>will</w:t>
      </w:r>
      <w:r w:rsidRPr="005E08EF" w:rsidR="00C87897">
        <w:t xml:space="preserve"> </w:t>
      </w:r>
      <w:r w:rsidRPr="005E08EF">
        <w:t xml:space="preserve">send the documents electronically and thus </w:t>
      </w:r>
      <w:r w:rsidR="00C87897">
        <w:t>will</w:t>
      </w:r>
      <w:r w:rsidRPr="005E08EF" w:rsidR="00C87897">
        <w:t xml:space="preserve"> </w:t>
      </w:r>
      <w:r w:rsidRPr="005E08EF">
        <w:t>not incur costs for postage or materials.</w:t>
      </w:r>
    </w:p>
    <w:p w:rsidR="006B795F" w:rsidRPr="005E08EF" w:rsidP="008F7870" w14:paraId="20AC8E47" w14:textId="77777777">
      <w:pPr>
        <w:widowControl w:val="0"/>
        <w:tabs>
          <w:tab w:val="left" w:pos="990"/>
        </w:tabs>
        <w:ind w:left="540"/>
        <w:contextualSpacing/>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340C6654" w14:textId="77777777" w:rsidTr="00BF6BDA">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gridSpan w:val="5"/>
            <w:shd w:val="clear" w:color="auto" w:fill="auto"/>
          </w:tcPr>
          <w:p w:rsidR="006B795F" w:rsidP="00BF6BDA" w14:paraId="66D27CD8" w14:textId="77A7CFB7">
            <w:pPr>
              <w:contextualSpacing/>
              <w:jc w:val="center"/>
              <w:rPr>
                <w:b/>
              </w:rPr>
            </w:pPr>
            <w:r>
              <w:rPr>
                <w:b/>
              </w:rPr>
              <w:t>Table 1</w:t>
            </w:r>
            <w:r w:rsidR="002416DF">
              <w:rPr>
                <w:b/>
              </w:rPr>
              <w:t>0</w:t>
            </w:r>
            <w:r>
              <w:rPr>
                <w:b/>
              </w:rPr>
              <w:t>: Hour Burden and Equivalent Cost Associated with Providing Policies and Procedures to the Department</w:t>
            </w:r>
          </w:p>
        </w:tc>
      </w:tr>
      <w:tr w14:paraId="6871CDB7" w14:textId="77777777" w:rsidTr="00BF6BDA">
        <w:tblPrEx>
          <w:tblW w:w="0" w:type="auto"/>
          <w:tblInd w:w="828" w:type="dxa"/>
          <w:tblLayout w:type="fixed"/>
          <w:tblLook w:val="04A0"/>
        </w:tblPrEx>
        <w:tc>
          <w:tcPr>
            <w:tcW w:w="1147" w:type="dxa"/>
            <w:shd w:val="clear" w:color="auto" w:fill="auto"/>
          </w:tcPr>
          <w:p w:rsidR="006B795F" w:rsidRPr="00002ED1" w:rsidP="00BF6BDA" w14:paraId="5ABE61A8" w14:textId="77777777">
            <w:pPr>
              <w:contextualSpacing/>
              <w:jc w:val="center"/>
              <w:rPr>
                <w:b/>
              </w:rPr>
            </w:pPr>
          </w:p>
        </w:tc>
        <w:tc>
          <w:tcPr>
            <w:tcW w:w="3687" w:type="dxa"/>
            <w:gridSpan w:val="2"/>
            <w:shd w:val="clear" w:color="auto" w:fill="auto"/>
          </w:tcPr>
          <w:p w:rsidR="006B795F" w:rsidRPr="00002ED1" w:rsidP="00BF6BDA" w14:paraId="54B54C43" w14:textId="77777777">
            <w:pPr>
              <w:contextualSpacing/>
              <w:jc w:val="center"/>
              <w:rPr>
                <w:b/>
              </w:rPr>
            </w:pPr>
            <w:r>
              <w:rPr>
                <w:b/>
              </w:rPr>
              <w:t>Year 1</w:t>
            </w:r>
          </w:p>
        </w:tc>
        <w:tc>
          <w:tcPr>
            <w:tcW w:w="3688" w:type="dxa"/>
            <w:gridSpan w:val="2"/>
          </w:tcPr>
          <w:p w:rsidR="006B795F" w:rsidRPr="00002ED1" w:rsidP="00BF6BDA" w14:paraId="4A3B8533" w14:textId="77777777">
            <w:pPr>
              <w:ind w:hanging="14"/>
              <w:contextualSpacing/>
              <w:jc w:val="center"/>
              <w:rPr>
                <w:b/>
              </w:rPr>
            </w:pPr>
            <w:r>
              <w:rPr>
                <w:b/>
              </w:rPr>
              <w:t>Subsequent Years</w:t>
            </w:r>
          </w:p>
        </w:tc>
      </w:tr>
      <w:tr w14:paraId="590CDF1F" w14:textId="77777777" w:rsidTr="00BF6BDA">
        <w:tblPrEx>
          <w:tblW w:w="0" w:type="auto"/>
          <w:tblInd w:w="828" w:type="dxa"/>
          <w:tblLayout w:type="fixed"/>
          <w:tblLook w:val="04A0"/>
        </w:tblPrEx>
        <w:tc>
          <w:tcPr>
            <w:tcW w:w="1147" w:type="dxa"/>
            <w:shd w:val="clear" w:color="auto" w:fill="auto"/>
          </w:tcPr>
          <w:p w:rsidR="006B795F" w:rsidRPr="00002ED1" w:rsidP="00BF6BDA" w14:paraId="70EDDDAA" w14:textId="77777777">
            <w:pPr>
              <w:contextualSpacing/>
              <w:jc w:val="center"/>
              <w:rPr>
                <w:b/>
              </w:rPr>
            </w:pPr>
            <w:r w:rsidRPr="00002ED1">
              <w:rPr>
                <w:b/>
              </w:rPr>
              <w:t>Activity</w:t>
            </w:r>
          </w:p>
        </w:tc>
        <w:tc>
          <w:tcPr>
            <w:tcW w:w="1843" w:type="dxa"/>
            <w:shd w:val="clear" w:color="auto" w:fill="auto"/>
          </w:tcPr>
          <w:p w:rsidR="006B795F" w:rsidRPr="00002ED1" w:rsidP="00BF6BDA" w14:paraId="705DAA15" w14:textId="77777777">
            <w:pPr>
              <w:contextualSpacing/>
              <w:jc w:val="center"/>
              <w:rPr>
                <w:b/>
              </w:rPr>
            </w:pPr>
            <w:r w:rsidRPr="00002ED1">
              <w:rPr>
                <w:b/>
              </w:rPr>
              <w:t>Burden Hours</w:t>
            </w:r>
          </w:p>
        </w:tc>
        <w:tc>
          <w:tcPr>
            <w:tcW w:w="1844" w:type="dxa"/>
            <w:shd w:val="clear" w:color="auto" w:fill="auto"/>
          </w:tcPr>
          <w:p w:rsidR="006B795F" w:rsidRPr="00002ED1" w:rsidP="00BF6BDA" w14:paraId="5452D40D" w14:textId="77777777">
            <w:pPr>
              <w:contextualSpacing/>
              <w:jc w:val="center"/>
              <w:rPr>
                <w:b/>
              </w:rPr>
            </w:pPr>
            <w:r w:rsidRPr="00002ED1">
              <w:rPr>
                <w:b/>
              </w:rPr>
              <w:t>Equivalent Burden Cost</w:t>
            </w:r>
          </w:p>
        </w:tc>
        <w:tc>
          <w:tcPr>
            <w:tcW w:w="1844" w:type="dxa"/>
          </w:tcPr>
          <w:p w:rsidR="006B795F" w:rsidRPr="00002ED1" w:rsidP="00BF6BDA" w14:paraId="089DCA45" w14:textId="77777777">
            <w:pPr>
              <w:ind w:hanging="14"/>
              <w:contextualSpacing/>
              <w:jc w:val="center"/>
              <w:rPr>
                <w:b/>
              </w:rPr>
            </w:pPr>
            <w:r w:rsidRPr="00002ED1">
              <w:rPr>
                <w:b/>
              </w:rPr>
              <w:t>Burden Hours</w:t>
            </w:r>
          </w:p>
        </w:tc>
        <w:tc>
          <w:tcPr>
            <w:tcW w:w="1844" w:type="dxa"/>
          </w:tcPr>
          <w:p w:rsidR="006B795F" w:rsidRPr="00002ED1" w:rsidP="00BF6BDA" w14:paraId="286580D9" w14:textId="77777777">
            <w:pPr>
              <w:contextualSpacing/>
              <w:jc w:val="center"/>
              <w:rPr>
                <w:b/>
              </w:rPr>
            </w:pPr>
            <w:r w:rsidRPr="00002ED1">
              <w:rPr>
                <w:b/>
              </w:rPr>
              <w:t>Equivalent Burden Cost</w:t>
            </w:r>
          </w:p>
        </w:tc>
      </w:tr>
      <w:tr w14:paraId="74D907F7" w14:textId="77777777" w:rsidTr="00BF6BDA">
        <w:tblPrEx>
          <w:tblW w:w="0" w:type="auto"/>
          <w:tblInd w:w="828" w:type="dxa"/>
          <w:tblLayout w:type="fixed"/>
          <w:tblLook w:val="04A0"/>
        </w:tblPrEx>
        <w:tc>
          <w:tcPr>
            <w:tcW w:w="1147" w:type="dxa"/>
            <w:shd w:val="clear" w:color="auto" w:fill="auto"/>
          </w:tcPr>
          <w:p w:rsidR="006B795F" w:rsidRPr="00002ED1" w:rsidP="00BF6BDA" w14:paraId="5DD87D61" w14:textId="77777777">
            <w:pPr>
              <w:contextualSpacing/>
            </w:pPr>
            <w:r>
              <w:t>Clerical</w:t>
            </w:r>
          </w:p>
        </w:tc>
        <w:tc>
          <w:tcPr>
            <w:tcW w:w="1843" w:type="dxa"/>
            <w:shd w:val="clear" w:color="auto" w:fill="auto"/>
          </w:tcPr>
          <w:p w:rsidR="006B795F" w:rsidP="00BF6BDA" w14:paraId="554ED944" w14:textId="77777777">
            <w:pPr>
              <w:contextualSpacing/>
              <w:jc w:val="right"/>
            </w:pPr>
            <w:r>
              <w:t xml:space="preserve">41 </w:t>
            </w:r>
          </w:p>
        </w:tc>
        <w:tc>
          <w:tcPr>
            <w:tcW w:w="1844" w:type="dxa"/>
            <w:shd w:val="clear" w:color="auto" w:fill="auto"/>
          </w:tcPr>
          <w:p w:rsidR="006B795F" w:rsidRPr="00002ED1" w:rsidP="00BF6BDA" w14:paraId="4CF1D62D" w14:textId="516D560F">
            <w:pPr>
              <w:contextualSpacing/>
              <w:jc w:val="right"/>
            </w:pPr>
            <w:r>
              <w:t>$</w:t>
            </w:r>
            <w:r w:rsidRPr="001C2A9B" w:rsidR="001C2A9B">
              <w:t>2,722</w:t>
            </w:r>
            <w:r>
              <w:t xml:space="preserve"> </w:t>
            </w:r>
          </w:p>
        </w:tc>
        <w:tc>
          <w:tcPr>
            <w:tcW w:w="1844" w:type="dxa"/>
          </w:tcPr>
          <w:p w:rsidR="006B795F" w:rsidP="00BF6BDA" w14:paraId="74B25955" w14:textId="77777777">
            <w:pPr>
              <w:ind w:hanging="14"/>
              <w:contextualSpacing/>
              <w:jc w:val="right"/>
            </w:pPr>
            <w:r>
              <w:t xml:space="preserve">13 </w:t>
            </w:r>
          </w:p>
        </w:tc>
        <w:tc>
          <w:tcPr>
            <w:tcW w:w="1844" w:type="dxa"/>
          </w:tcPr>
          <w:p w:rsidR="006B795F" w:rsidRPr="00002ED1" w:rsidP="00BF6BDA" w14:paraId="7919FBAD" w14:textId="16270DF9">
            <w:pPr>
              <w:contextualSpacing/>
              <w:jc w:val="right"/>
            </w:pPr>
            <w:r>
              <w:t>$</w:t>
            </w:r>
            <w:r w:rsidR="00E02702">
              <w:t xml:space="preserve">825 </w:t>
            </w:r>
          </w:p>
        </w:tc>
      </w:tr>
      <w:tr w14:paraId="5FE32644" w14:textId="77777777" w:rsidTr="00BF6BDA">
        <w:tblPrEx>
          <w:tblW w:w="0" w:type="auto"/>
          <w:tblInd w:w="828" w:type="dxa"/>
          <w:tblLayout w:type="fixed"/>
          <w:tblLook w:val="04A0"/>
        </w:tblPrEx>
        <w:tc>
          <w:tcPr>
            <w:tcW w:w="1147" w:type="dxa"/>
            <w:shd w:val="clear" w:color="auto" w:fill="auto"/>
          </w:tcPr>
          <w:p w:rsidR="006B795F" w:rsidRPr="00002ED1" w:rsidP="00BF6BDA" w14:paraId="45139321" w14:textId="77777777">
            <w:pPr>
              <w:contextualSpacing/>
              <w:rPr>
                <w:b/>
              </w:rPr>
            </w:pPr>
            <w:r w:rsidRPr="00002ED1">
              <w:rPr>
                <w:b/>
              </w:rPr>
              <w:t>Total</w:t>
            </w:r>
          </w:p>
        </w:tc>
        <w:tc>
          <w:tcPr>
            <w:tcW w:w="1843" w:type="dxa"/>
            <w:shd w:val="clear" w:color="auto" w:fill="auto"/>
          </w:tcPr>
          <w:p w:rsidR="006B795F" w:rsidRPr="00002ED1" w:rsidP="00BF6BDA" w14:paraId="1B003155" w14:textId="77777777">
            <w:pPr>
              <w:contextualSpacing/>
              <w:jc w:val="right"/>
              <w:rPr>
                <w:b/>
              </w:rPr>
            </w:pPr>
            <w:r>
              <w:rPr>
                <w:b/>
                <w:bCs/>
              </w:rPr>
              <w:t>41</w:t>
            </w:r>
            <w:r w:rsidRPr="05C90F23">
              <w:rPr>
                <w:b/>
                <w:bCs/>
              </w:rPr>
              <w:t xml:space="preserve"> </w:t>
            </w:r>
          </w:p>
        </w:tc>
        <w:tc>
          <w:tcPr>
            <w:tcW w:w="1844" w:type="dxa"/>
            <w:shd w:val="clear" w:color="auto" w:fill="auto"/>
          </w:tcPr>
          <w:p w:rsidR="006B795F" w:rsidRPr="00002ED1" w:rsidP="00BF6BDA" w14:paraId="71714345" w14:textId="2B41CF15">
            <w:pPr>
              <w:contextualSpacing/>
              <w:jc w:val="right"/>
              <w:rPr>
                <w:b/>
              </w:rPr>
            </w:pPr>
            <w:r w:rsidRPr="00002ED1">
              <w:rPr>
                <w:b/>
              </w:rPr>
              <w:t>$</w:t>
            </w:r>
            <w:r w:rsidRPr="001C2A9B" w:rsidR="001C2A9B">
              <w:rPr>
                <w:b/>
              </w:rPr>
              <w:t>2,722</w:t>
            </w:r>
            <w:r w:rsidRPr="05C90F23">
              <w:rPr>
                <w:b/>
                <w:bCs/>
              </w:rPr>
              <w:t xml:space="preserve"> </w:t>
            </w:r>
          </w:p>
        </w:tc>
        <w:tc>
          <w:tcPr>
            <w:tcW w:w="1844" w:type="dxa"/>
          </w:tcPr>
          <w:p w:rsidR="006B795F" w:rsidRPr="009E4A8F" w:rsidP="00BF6BDA" w14:paraId="212EB384" w14:textId="77777777">
            <w:pPr>
              <w:ind w:hanging="14"/>
              <w:contextualSpacing/>
              <w:jc w:val="right"/>
              <w:rPr>
                <w:b/>
                <w:bCs/>
              </w:rPr>
            </w:pPr>
            <w:r w:rsidRPr="05C90F23">
              <w:rPr>
                <w:b/>
                <w:bCs/>
              </w:rPr>
              <w:t>1</w:t>
            </w:r>
            <w:r>
              <w:rPr>
                <w:b/>
                <w:bCs/>
              </w:rPr>
              <w:t>3</w:t>
            </w:r>
            <w:r w:rsidRPr="05C90F23">
              <w:rPr>
                <w:b/>
                <w:bCs/>
              </w:rPr>
              <w:t xml:space="preserve"> </w:t>
            </w:r>
          </w:p>
        </w:tc>
        <w:tc>
          <w:tcPr>
            <w:tcW w:w="1844" w:type="dxa"/>
          </w:tcPr>
          <w:p w:rsidR="006B795F" w:rsidRPr="009E4A8F" w:rsidP="00BF6BDA" w14:paraId="17A995C3" w14:textId="52CCED4B">
            <w:pPr>
              <w:contextualSpacing/>
              <w:jc w:val="right"/>
              <w:rPr>
                <w:b/>
                <w:bCs/>
              </w:rPr>
            </w:pPr>
            <w:r w:rsidRPr="00002ED1">
              <w:rPr>
                <w:b/>
              </w:rPr>
              <w:t>$</w:t>
            </w:r>
            <w:r w:rsidR="00E02702">
              <w:rPr>
                <w:b/>
                <w:bCs/>
              </w:rPr>
              <w:t>825</w:t>
            </w:r>
            <w:r w:rsidRPr="05C90F23" w:rsidR="00E02702">
              <w:rPr>
                <w:b/>
                <w:bCs/>
              </w:rPr>
              <w:t xml:space="preserve"> </w:t>
            </w:r>
          </w:p>
        </w:tc>
      </w:tr>
    </w:tbl>
    <w:p w:rsidR="00E5286F" w:rsidP="0003285A" w14:paraId="0DED887D" w14:textId="45B2DE93">
      <w:pPr>
        <w:pStyle w:val="BodyTextIndent"/>
        <w:ind w:left="0"/>
        <w:contextualSpacing/>
        <w:rPr>
          <w:szCs w:val="20"/>
        </w:rPr>
      </w:pPr>
    </w:p>
    <w:p w:rsidR="00D4014D" w:rsidRPr="00906591" w:rsidP="00E80222" w14:paraId="2F5F52A3" w14:textId="192200AB">
      <w:pPr>
        <w:ind w:firstLine="720"/>
        <w:rPr>
          <w:bCs/>
          <w:iCs/>
          <w:u w:val="single"/>
        </w:rPr>
      </w:pPr>
      <w:r w:rsidRPr="00906591">
        <w:rPr>
          <w:bCs/>
          <w:iCs/>
          <w:u w:val="single"/>
        </w:rPr>
        <w:t>Overall Summary</w:t>
      </w:r>
    </w:p>
    <w:p w:rsidR="00D4014D" w:rsidRPr="00D4014D" w:rsidP="00E80222" w14:paraId="76F20D9B" w14:textId="77777777">
      <w:pPr>
        <w:ind w:firstLine="720"/>
        <w:rPr>
          <w:b/>
          <w:iCs/>
        </w:rPr>
      </w:pPr>
    </w:p>
    <w:p w:rsidR="002E13E8" w:rsidP="002E13E8" w14:paraId="7892DA97" w14:textId="3A397ED2">
      <w:pPr>
        <w:ind w:left="720"/>
        <w:rPr>
          <w:iCs/>
        </w:rPr>
      </w:pPr>
      <w:r>
        <w:rPr>
          <w:iCs/>
        </w:rPr>
        <w:t xml:space="preserve">The table below </w:t>
      </w:r>
      <w:r w:rsidR="00EE2743">
        <w:rPr>
          <w:iCs/>
        </w:rPr>
        <w:t xml:space="preserve">presents the hour burden and equivalent cost of hour burden </w:t>
      </w:r>
      <w:r w:rsidR="001B1366">
        <w:rPr>
          <w:iCs/>
        </w:rPr>
        <w:t xml:space="preserve">for each element </w:t>
      </w:r>
      <w:r w:rsidR="00AF4128">
        <w:rPr>
          <w:iCs/>
        </w:rPr>
        <w:t>of the amended requirements discussed in th</w:t>
      </w:r>
      <w:r w:rsidR="00E13228">
        <w:rPr>
          <w:iCs/>
        </w:rPr>
        <w:t xml:space="preserve">is </w:t>
      </w:r>
      <w:r w:rsidR="00AF4128">
        <w:rPr>
          <w:iCs/>
        </w:rPr>
        <w:t>section.</w:t>
      </w:r>
      <w:r w:rsidR="00840432">
        <w:rPr>
          <w:iCs/>
        </w:rPr>
        <w:t xml:space="preserve"> </w:t>
      </w:r>
      <w:r w:rsidR="00780367">
        <w:rPr>
          <w:iCs/>
        </w:rPr>
        <w:t>E</w:t>
      </w:r>
      <w:r w:rsidR="00840432">
        <w:rPr>
          <w:iCs/>
        </w:rPr>
        <w:t>ach requirement</w:t>
      </w:r>
      <w:r w:rsidR="00780367">
        <w:rPr>
          <w:iCs/>
        </w:rPr>
        <w:t xml:space="preserve"> is labeled according </w:t>
      </w:r>
      <w:r w:rsidR="0080047D">
        <w:rPr>
          <w:iCs/>
        </w:rPr>
        <w:t xml:space="preserve">to whether </w:t>
      </w:r>
      <w:r w:rsidR="00261D5F">
        <w:rPr>
          <w:iCs/>
        </w:rPr>
        <w:t xml:space="preserve">the </w:t>
      </w:r>
      <w:r w:rsidR="0080047D">
        <w:rPr>
          <w:iCs/>
        </w:rPr>
        <w:t>correspond</w:t>
      </w:r>
      <w:r w:rsidR="00065C3F">
        <w:rPr>
          <w:iCs/>
        </w:rPr>
        <w:t>ing cost applie</w:t>
      </w:r>
      <w:r w:rsidR="0080047D">
        <w:rPr>
          <w:iCs/>
        </w:rPr>
        <w:t>s</w:t>
      </w:r>
      <w:r w:rsidR="007442FA">
        <w:rPr>
          <w:iCs/>
        </w:rPr>
        <w:t xml:space="preserve"> to </w:t>
      </w:r>
      <w:r w:rsidR="00065C3F">
        <w:rPr>
          <w:iCs/>
        </w:rPr>
        <w:t>the first year, subsequent years, or both (i.e., an annual requirement).</w:t>
      </w:r>
      <w:r w:rsidR="003B1416">
        <w:rPr>
          <w:iCs/>
        </w:rPr>
        <w:t xml:space="preserve"> </w:t>
      </w:r>
      <w:r>
        <w:rPr>
          <w:iCs/>
        </w:rPr>
        <w:t xml:space="preserve">As some costs are borne by Financial Institutions in the first year only, </w:t>
      </w:r>
      <w:r w:rsidR="000E6218">
        <w:rPr>
          <w:iCs/>
        </w:rPr>
        <w:t>and</w:t>
      </w:r>
      <w:r>
        <w:rPr>
          <w:iCs/>
        </w:rPr>
        <w:t xml:space="preserve"> others apply to subsequent years on a recurring basis, the annualized figures represent average costs for the first three years. In total, the Department estimates an aggregate hour burden of</w:t>
      </w:r>
      <w:r w:rsidR="003E0B4D">
        <w:rPr>
          <w:iCs/>
        </w:rPr>
        <w:t xml:space="preserve"> </w:t>
      </w:r>
      <w:r w:rsidRPr="00EE21FE" w:rsidR="00EE21FE">
        <w:rPr>
          <w:iCs/>
        </w:rPr>
        <w:t xml:space="preserve">2,599,221 </w:t>
      </w:r>
      <w:r w:rsidR="003E0B4D">
        <w:rPr>
          <w:iCs/>
        </w:rPr>
        <w:t>hours</w:t>
      </w:r>
      <w:r>
        <w:rPr>
          <w:iCs/>
        </w:rPr>
        <w:t xml:space="preserve"> and an equivalent cost burden of </w:t>
      </w:r>
      <w:r w:rsidRPr="00FC311A" w:rsidR="00FC311A">
        <w:rPr>
          <w:iCs/>
        </w:rPr>
        <w:t xml:space="preserve">$298,405,022 </w:t>
      </w:r>
      <w:r>
        <w:rPr>
          <w:iCs/>
        </w:rPr>
        <w:t xml:space="preserve">for the </w:t>
      </w:r>
      <w:r w:rsidR="00B65B08">
        <w:rPr>
          <w:iCs/>
        </w:rPr>
        <w:t>18</w:t>
      </w:r>
      <w:r w:rsidR="00C94AFE">
        <w:rPr>
          <w:iCs/>
        </w:rPr>
        <w:t>,632</w:t>
      </w:r>
      <w:r>
        <w:rPr>
          <w:iCs/>
        </w:rPr>
        <w:t xml:space="preserve"> Financial Institutions affected by the amended requirements of PTE 2020-02.</w:t>
      </w:r>
    </w:p>
    <w:p w:rsidR="0039290E" w:rsidP="00E80222" w14:paraId="2F53F657" w14:textId="34D8C965">
      <w:pPr>
        <w:ind w:left="720"/>
        <w:rPr>
          <w:iCs/>
        </w:rPr>
      </w:pPr>
    </w:p>
    <w:tbl>
      <w:tblPr>
        <w:tblW w:w="10420" w:type="dxa"/>
        <w:tblLook w:val="04A0"/>
      </w:tblPr>
      <w:tblGrid>
        <w:gridCol w:w="1976"/>
        <w:gridCol w:w="1415"/>
        <w:gridCol w:w="1329"/>
        <w:gridCol w:w="1216"/>
        <w:gridCol w:w="998"/>
        <w:gridCol w:w="1017"/>
        <w:gridCol w:w="889"/>
        <w:gridCol w:w="1358"/>
        <w:gridCol w:w="222"/>
      </w:tblGrid>
      <w:tr w14:paraId="5DB097F8" w14:textId="77777777">
        <w:tblPrEx>
          <w:tblW w:w="10420" w:type="dxa"/>
          <w:tblLook w:val="04A0"/>
        </w:tblPrEx>
        <w:trPr>
          <w:gridAfter w:val="1"/>
          <w:wAfter w:w="222" w:type="dxa"/>
          <w:trHeight w:val="780"/>
        </w:trPr>
        <w:tc>
          <w:tcPr>
            <w:tcW w:w="101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C1512" w:rsidRPr="00D200A0" w14:paraId="1885BD01" w14:textId="77777777">
            <w:pPr>
              <w:jc w:val="center"/>
              <w:rPr>
                <w:b/>
                <w:bCs/>
                <w:color w:val="000000"/>
                <w:sz w:val="20"/>
                <w:szCs w:val="20"/>
              </w:rPr>
            </w:pPr>
            <w:r w:rsidRPr="000A6DE8">
              <w:rPr>
                <w:b/>
                <w:bCs/>
                <w:color w:val="000000"/>
              </w:rPr>
              <w:t>Table 11: Estimated Annualized Respondent Hour Burden and Equivalent Cost of Hour Burden for Existing and Amended Requirements</w:t>
            </w:r>
          </w:p>
        </w:tc>
      </w:tr>
      <w:tr w14:paraId="6EF1EC8A" w14:textId="77777777" w:rsidTr="00E23D7A">
        <w:tblPrEx>
          <w:tblW w:w="10420" w:type="dxa"/>
          <w:tblLook w:val="04A0"/>
        </w:tblPrEx>
        <w:trPr>
          <w:gridAfter w:val="1"/>
          <w:wAfter w:w="222" w:type="dxa"/>
          <w:trHeight w:val="780"/>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3834DC" w14:paraId="5AC2DF4E" w14:textId="77777777">
            <w:pPr>
              <w:jc w:val="center"/>
              <w:rPr>
                <w:b/>
                <w:bCs/>
                <w:color w:val="000000"/>
                <w:sz w:val="22"/>
                <w:szCs w:val="22"/>
              </w:rPr>
            </w:pPr>
            <w:r w:rsidRPr="003834DC">
              <w:rPr>
                <w:b/>
                <w:bCs/>
                <w:color w:val="000000"/>
                <w:sz w:val="22"/>
                <w:szCs w:val="22"/>
              </w:rPr>
              <w:t>Activity</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3834DC" w14:paraId="00FDA7DB" w14:textId="77777777">
            <w:pPr>
              <w:jc w:val="center"/>
              <w:rPr>
                <w:b/>
                <w:bCs/>
                <w:color w:val="000000"/>
                <w:sz w:val="22"/>
                <w:szCs w:val="22"/>
              </w:rPr>
            </w:pPr>
            <w:r w:rsidRPr="003834DC">
              <w:rPr>
                <w:b/>
                <w:bCs/>
                <w:color w:val="000000"/>
                <w:sz w:val="22"/>
                <w:szCs w:val="22"/>
              </w:rPr>
              <w:t>Number of Respondents</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3834DC" w14:paraId="1E1D1AFB" w14:textId="77777777">
            <w:pPr>
              <w:jc w:val="center"/>
              <w:rPr>
                <w:b/>
                <w:bCs/>
                <w:color w:val="000000"/>
                <w:sz w:val="22"/>
                <w:szCs w:val="22"/>
              </w:rPr>
            </w:pPr>
            <w:r w:rsidRPr="003834DC">
              <w:rPr>
                <w:b/>
                <w:bCs/>
                <w:color w:val="000000"/>
                <w:sz w:val="22"/>
                <w:szCs w:val="22"/>
              </w:rPr>
              <w:t>Responses per Respondent</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3834DC" w14:paraId="5DA0DF48" w14:textId="77777777">
            <w:pPr>
              <w:jc w:val="center"/>
              <w:rPr>
                <w:b/>
                <w:bCs/>
                <w:color w:val="000000"/>
                <w:sz w:val="22"/>
                <w:szCs w:val="22"/>
              </w:rPr>
            </w:pPr>
            <w:r w:rsidRPr="003834DC">
              <w:rPr>
                <w:b/>
                <w:bCs/>
                <w:color w:val="000000"/>
                <w:sz w:val="22"/>
                <w:szCs w:val="22"/>
              </w:rPr>
              <w:t>Total Responses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3834DC" w14:paraId="7FA2B929" w14:textId="77777777">
            <w:pPr>
              <w:jc w:val="center"/>
              <w:rPr>
                <w:b/>
                <w:bCs/>
                <w:color w:val="000000"/>
                <w:sz w:val="22"/>
                <w:szCs w:val="22"/>
              </w:rPr>
            </w:pPr>
            <w:r w:rsidRPr="003834DC">
              <w:rPr>
                <w:b/>
                <w:bCs/>
                <w:color w:val="000000"/>
                <w:sz w:val="22"/>
                <w:szCs w:val="22"/>
              </w:rPr>
              <w:t>Average Burden (Hours)</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3834DC" w14:paraId="20A666E9" w14:textId="77777777">
            <w:pPr>
              <w:jc w:val="center"/>
              <w:rPr>
                <w:b/>
                <w:bCs/>
                <w:color w:val="000000"/>
                <w:sz w:val="22"/>
                <w:szCs w:val="22"/>
              </w:rPr>
            </w:pPr>
            <w:r w:rsidRPr="003834DC">
              <w:rPr>
                <w:b/>
                <w:bCs/>
                <w:color w:val="000000"/>
                <w:sz w:val="22"/>
                <w:szCs w:val="22"/>
              </w:rPr>
              <w:t>Total Burden (Hours)</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3834DC" w14:paraId="2AC6CCCA" w14:textId="77777777">
            <w:pPr>
              <w:jc w:val="center"/>
              <w:rPr>
                <w:b/>
                <w:bCs/>
                <w:color w:val="000000"/>
                <w:sz w:val="22"/>
                <w:szCs w:val="22"/>
              </w:rPr>
            </w:pPr>
            <w:r w:rsidRPr="003834DC">
              <w:rPr>
                <w:b/>
                <w:bCs/>
                <w:color w:val="000000"/>
                <w:sz w:val="22"/>
                <w:szCs w:val="22"/>
              </w:rPr>
              <w:t>Hourly Wage Rate</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3834DC" w14:paraId="27AB3A8D" w14:textId="77777777">
            <w:pPr>
              <w:jc w:val="center"/>
              <w:rPr>
                <w:b/>
                <w:bCs/>
                <w:color w:val="000000"/>
                <w:sz w:val="22"/>
                <w:szCs w:val="22"/>
              </w:rPr>
            </w:pPr>
            <w:r w:rsidRPr="003834DC">
              <w:rPr>
                <w:b/>
                <w:bCs/>
                <w:color w:val="000000"/>
                <w:sz w:val="22"/>
                <w:szCs w:val="22"/>
              </w:rPr>
              <w:t>Equivalent Cost of Hour Burden*</w:t>
            </w:r>
          </w:p>
        </w:tc>
      </w:tr>
      <w:tr w14:paraId="5CC6D19A" w14:textId="77777777" w:rsidTr="00E23D7A">
        <w:tblPrEx>
          <w:tblW w:w="10420" w:type="dxa"/>
          <w:tblLook w:val="04A0"/>
        </w:tblPrEx>
        <w:trPr>
          <w:trHeight w:val="290"/>
        </w:trPr>
        <w:tc>
          <w:tcPr>
            <w:tcW w:w="1976"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520C689C" w14:textId="77777777">
            <w:pPr>
              <w:rPr>
                <w:b/>
                <w:bCs/>
                <w:color w:val="000000"/>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411619E4" w14:textId="77777777">
            <w:pPr>
              <w:rPr>
                <w:b/>
                <w:bCs/>
                <w:color w:val="000000"/>
                <w:sz w:val="20"/>
                <w:szCs w:val="20"/>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07EC04EA" w14:textId="77777777">
            <w:pPr>
              <w:rPr>
                <w:b/>
                <w:bCs/>
                <w:color w:val="000000"/>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04854A9F" w14:textId="77777777">
            <w:pPr>
              <w:rPr>
                <w:b/>
                <w:bCs/>
                <w:color w:val="000000"/>
                <w:sz w:val="20"/>
                <w:szCs w:val="20"/>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088C5F6D" w14:textId="77777777">
            <w:pPr>
              <w:rPr>
                <w:b/>
                <w:bCs/>
                <w:color w:val="000000"/>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0C358BC7" w14:textId="77777777">
            <w:pPr>
              <w:rPr>
                <w:b/>
                <w:bCs/>
                <w:color w:val="000000"/>
                <w:sz w:val="20"/>
                <w:szCs w:val="20"/>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7D400717" w14:textId="77777777">
            <w:pPr>
              <w:rPr>
                <w:b/>
                <w:bCs/>
                <w:color w:val="000000"/>
                <w:sz w:val="20"/>
                <w:szCs w:val="20"/>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1C5CE73B" w14:textId="77777777">
            <w:pPr>
              <w:rPr>
                <w:b/>
                <w:bCs/>
                <w:color w:val="000000"/>
                <w:sz w:val="20"/>
                <w:szCs w:val="20"/>
              </w:rPr>
            </w:pPr>
          </w:p>
        </w:tc>
        <w:tc>
          <w:tcPr>
            <w:tcW w:w="222" w:type="dxa"/>
            <w:tcBorders>
              <w:top w:val="nil"/>
              <w:left w:val="nil"/>
              <w:bottom w:val="nil"/>
              <w:right w:val="nil"/>
            </w:tcBorders>
            <w:shd w:val="clear" w:color="auto" w:fill="auto"/>
            <w:noWrap/>
            <w:vAlign w:val="bottom"/>
            <w:hideMark/>
          </w:tcPr>
          <w:p w:rsidR="00BC1512" w:rsidRPr="00D200A0" w14:paraId="331F8F3C" w14:textId="77777777">
            <w:pPr>
              <w:jc w:val="center"/>
              <w:rPr>
                <w:b/>
                <w:bCs/>
                <w:color w:val="000000"/>
                <w:sz w:val="20"/>
                <w:szCs w:val="20"/>
              </w:rPr>
            </w:pPr>
          </w:p>
        </w:tc>
      </w:tr>
      <w:tr w14:paraId="2FF47644" w14:textId="77777777" w:rsidTr="00E23D7A">
        <w:tblPrEx>
          <w:tblW w:w="10420" w:type="dxa"/>
          <w:tblLook w:val="04A0"/>
        </w:tblPrEx>
        <w:trPr>
          <w:trHeight w:val="290"/>
        </w:trPr>
        <w:tc>
          <w:tcPr>
            <w:tcW w:w="1976"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5263F4DC" w14:textId="77777777">
            <w:pPr>
              <w:rPr>
                <w:b/>
                <w:bCs/>
                <w:color w:val="000000"/>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5FB575AF" w14:textId="77777777">
            <w:pPr>
              <w:rPr>
                <w:b/>
                <w:bCs/>
                <w:color w:val="000000"/>
                <w:sz w:val="20"/>
                <w:szCs w:val="20"/>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4F70ABA4" w14:textId="77777777">
            <w:pPr>
              <w:rPr>
                <w:b/>
                <w:bCs/>
                <w:color w:val="000000"/>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30759017" w14:textId="77777777">
            <w:pPr>
              <w:rPr>
                <w:b/>
                <w:bCs/>
                <w:color w:val="000000"/>
                <w:sz w:val="20"/>
                <w:szCs w:val="20"/>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29259035" w14:textId="77777777">
            <w:pPr>
              <w:rPr>
                <w:b/>
                <w:bCs/>
                <w:color w:val="000000"/>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211A1088" w14:textId="77777777">
            <w:pPr>
              <w:rPr>
                <w:b/>
                <w:bCs/>
                <w:color w:val="000000"/>
                <w:sz w:val="20"/>
                <w:szCs w:val="20"/>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7FF8EB9F" w14:textId="77777777">
            <w:pPr>
              <w:rPr>
                <w:b/>
                <w:bCs/>
                <w:color w:val="000000"/>
                <w:sz w:val="20"/>
                <w:szCs w:val="20"/>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BC1512" w:rsidRPr="00D200A0" w14:paraId="0B743823" w14:textId="77777777">
            <w:pPr>
              <w:rPr>
                <w:b/>
                <w:bCs/>
                <w:color w:val="000000"/>
                <w:sz w:val="20"/>
                <w:szCs w:val="20"/>
              </w:rPr>
            </w:pPr>
          </w:p>
        </w:tc>
        <w:tc>
          <w:tcPr>
            <w:tcW w:w="222" w:type="dxa"/>
            <w:tcBorders>
              <w:top w:val="nil"/>
              <w:left w:val="nil"/>
              <w:bottom w:val="nil"/>
              <w:right w:val="nil"/>
            </w:tcBorders>
            <w:shd w:val="clear" w:color="auto" w:fill="auto"/>
            <w:noWrap/>
            <w:vAlign w:val="bottom"/>
            <w:hideMark/>
          </w:tcPr>
          <w:p w:rsidR="00BC1512" w:rsidRPr="00D200A0" w14:paraId="049A567C" w14:textId="77777777">
            <w:pPr>
              <w:rPr>
                <w:sz w:val="20"/>
                <w:szCs w:val="20"/>
              </w:rPr>
            </w:pPr>
          </w:p>
        </w:tc>
      </w:tr>
      <w:tr w14:paraId="2BCE9038" w14:textId="77777777">
        <w:tblPrEx>
          <w:tblW w:w="10420" w:type="dxa"/>
          <w:tblLook w:val="04A0"/>
        </w:tblPrEx>
        <w:trPr>
          <w:trHeight w:val="290"/>
        </w:trPr>
        <w:tc>
          <w:tcPr>
            <w:tcW w:w="1019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D200A0" w14:paraId="5069D06A" w14:textId="77777777">
            <w:pPr>
              <w:jc w:val="center"/>
              <w:rPr>
                <w:i/>
                <w:iCs/>
                <w:color w:val="000000"/>
                <w:sz w:val="20"/>
                <w:szCs w:val="20"/>
              </w:rPr>
            </w:pPr>
            <w:r w:rsidRPr="00D200A0">
              <w:rPr>
                <w:i/>
                <w:iCs/>
                <w:color w:val="000000"/>
                <w:sz w:val="20"/>
                <w:szCs w:val="20"/>
              </w:rPr>
              <w:t>Current Compliance</w:t>
            </w:r>
          </w:p>
        </w:tc>
        <w:tc>
          <w:tcPr>
            <w:tcW w:w="222" w:type="dxa"/>
            <w:vAlign w:val="center"/>
            <w:hideMark/>
          </w:tcPr>
          <w:p w:rsidR="00BC1512" w:rsidRPr="00D200A0" w14:paraId="066D57D1" w14:textId="77777777">
            <w:pPr>
              <w:rPr>
                <w:sz w:val="20"/>
                <w:szCs w:val="20"/>
              </w:rPr>
            </w:pPr>
          </w:p>
        </w:tc>
      </w:tr>
      <w:tr w14:paraId="4179C0C2" w14:textId="77777777" w:rsidTr="00E23D7A">
        <w:tblPrEx>
          <w:tblW w:w="10420" w:type="dxa"/>
          <w:tblLook w:val="04A0"/>
        </w:tblPrEx>
        <w:trPr>
          <w:trHeight w:val="78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C1512" w:rsidRPr="00D200A0" w14:paraId="2E7F7D07" w14:textId="77777777">
            <w:pPr>
              <w:rPr>
                <w:color w:val="000000"/>
                <w:sz w:val="20"/>
                <w:szCs w:val="20"/>
              </w:rPr>
            </w:pPr>
            <w:r w:rsidRPr="00D200A0">
              <w:rPr>
                <w:color w:val="000000"/>
                <w:sz w:val="20"/>
                <w:szCs w:val="20"/>
              </w:rPr>
              <w:t>Comply with current requirements of PTE 2020-02 (first year)</w:t>
            </w:r>
          </w:p>
        </w:tc>
        <w:tc>
          <w:tcPr>
            <w:tcW w:w="1415" w:type="dxa"/>
            <w:tcBorders>
              <w:top w:val="nil"/>
              <w:left w:val="nil"/>
              <w:bottom w:val="single" w:sz="4" w:space="0" w:color="auto"/>
              <w:right w:val="single" w:sz="4" w:space="0" w:color="auto"/>
            </w:tcBorders>
            <w:shd w:val="clear" w:color="auto" w:fill="auto"/>
            <w:vAlign w:val="center"/>
            <w:hideMark/>
          </w:tcPr>
          <w:p w:rsidR="00BC1512" w:rsidRPr="00D200A0" w14:paraId="6BEC305C" w14:textId="1AD37AEB">
            <w:pPr>
              <w:jc w:val="center"/>
              <w:rPr>
                <w:color w:val="000000"/>
                <w:sz w:val="20"/>
                <w:szCs w:val="20"/>
              </w:rPr>
            </w:pPr>
            <w:r>
              <w:rPr>
                <w:color w:val="000000"/>
                <w:sz w:val="20"/>
                <w:szCs w:val="20"/>
              </w:rPr>
              <w:t>1</w:t>
            </w:r>
            <w:r w:rsidR="00842CE3">
              <w:rPr>
                <w:color w:val="000000"/>
                <w:sz w:val="20"/>
                <w:szCs w:val="20"/>
              </w:rPr>
              <w:t>2,822</w:t>
            </w:r>
          </w:p>
        </w:tc>
        <w:tc>
          <w:tcPr>
            <w:tcW w:w="1329" w:type="dxa"/>
            <w:tcBorders>
              <w:top w:val="nil"/>
              <w:left w:val="nil"/>
              <w:bottom w:val="single" w:sz="4" w:space="0" w:color="auto"/>
              <w:right w:val="single" w:sz="4" w:space="0" w:color="auto"/>
            </w:tcBorders>
            <w:shd w:val="clear" w:color="auto" w:fill="auto"/>
            <w:vAlign w:val="center"/>
            <w:hideMark/>
          </w:tcPr>
          <w:p w:rsidR="00BC1512" w:rsidRPr="00D200A0" w14:paraId="5F0829D0" w14:textId="18FB27AA">
            <w:pPr>
              <w:jc w:val="center"/>
              <w:rPr>
                <w:color w:val="000000"/>
                <w:sz w:val="20"/>
                <w:szCs w:val="20"/>
              </w:rPr>
            </w:pPr>
            <w:r>
              <w:rPr>
                <w:color w:val="000000"/>
                <w:sz w:val="20"/>
                <w:szCs w:val="20"/>
              </w:rPr>
              <w:t>8,765.</w:t>
            </w:r>
            <w:r w:rsidR="00E71DB7">
              <w:rPr>
                <w:color w:val="000000"/>
                <w:sz w:val="20"/>
                <w:szCs w:val="20"/>
              </w:rPr>
              <w:t>054</w:t>
            </w:r>
            <w:r w:rsidR="00D30AD2">
              <w:rPr>
                <w:color w:val="000000"/>
                <w:sz w:val="20"/>
                <w:szCs w:val="20"/>
              </w:rPr>
              <w:t>7</w:t>
            </w:r>
          </w:p>
        </w:tc>
        <w:tc>
          <w:tcPr>
            <w:tcW w:w="1216" w:type="dxa"/>
            <w:tcBorders>
              <w:top w:val="nil"/>
              <w:left w:val="nil"/>
              <w:bottom w:val="single" w:sz="4" w:space="0" w:color="auto"/>
              <w:right w:val="single" w:sz="4" w:space="0" w:color="auto"/>
            </w:tcBorders>
            <w:shd w:val="clear" w:color="auto" w:fill="auto"/>
            <w:vAlign w:val="center"/>
            <w:hideMark/>
          </w:tcPr>
          <w:p w:rsidR="00BC1512" w:rsidRPr="00D200A0" w14:paraId="5738FC15" w14:textId="7B95A026">
            <w:pPr>
              <w:jc w:val="center"/>
              <w:rPr>
                <w:color w:val="000000"/>
                <w:sz w:val="20"/>
                <w:szCs w:val="20"/>
              </w:rPr>
            </w:pPr>
            <w:r>
              <w:rPr>
                <w:color w:val="000000"/>
                <w:sz w:val="20"/>
                <w:szCs w:val="20"/>
              </w:rPr>
              <w:t>112,387,109</w:t>
            </w:r>
          </w:p>
        </w:tc>
        <w:tc>
          <w:tcPr>
            <w:tcW w:w="998" w:type="dxa"/>
            <w:tcBorders>
              <w:top w:val="nil"/>
              <w:left w:val="nil"/>
              <w:bottom w:val="single" w:sz="4" w:space="0" w:color="auto"/>
              <w:right w:val="single" w:sz="4" w:space="0" w:color="auto"/>
            </w:tcBorders>
            <w:shd w:val="clear" w:color="auto" w:fill="auto"/>
            <w:vAlign w:val="center"/>
            <w:hideMark/>
          </w:tcPr>
          <w:p w:rsidR="00BC1512" w:rsidRPr="00D200A0" w14:paraId="402BA492" w14:textId="61119808">
            <w:pPr>
              <w:jc w:val="center"/>
              <w:rPr>
                <w:color w:val="000000"/>
                <w:sz w:val="20"/>
                <w:szCs w:val="20"/>
              </w:rPr>
            </w:pPr>
            <w:r w:rsidRPr="00D200A0">
              <w:rPr>
                <w:color w:val="000000"/>
                <w:sz w:val="20"/>
                <w:szCs w:val="20"/>
              </w:rPr>
              <w:t>0.</w:t>
            </w:r>
            <w:r w:rsidRPr="00D200A0" w:rsidR="00100F51">
              <w:rPr>
                <w:color w:val="000000"/>
                <w:sz w:val="20"/>
                <w:szCs w:val="20"/>
              </w:rPr>
              <w:t>0</w:t>
            </w:r>
            <w:r w:rsidR="00100F51">
              <w:rPr>
                <w:color w:val="000000"/>
                <w:sz w:val="20"/>
                <w:szCs w:val="20"/>
              </w:rPr>
              <w:t>15</w:t>
            </w:r>
            <w:r w:rsidR="00DD6711">
              <w:rPr>
                <w:color w:val="000000"/>
                <w:sz w:val="20"/>
                <w:szCs w:val="20"/>
              </w:rPr>
              <w:t>9</w:t>
            </w:r>
          </w:p>
        </w:tc>
        <w:tc>
          <w:tcPr>
            <w:tcW w:w="1017" w:type="dxa"/>
            <w:tcBorders>
              <w:top w:val="nil"/>
              <w:left w:val="nil"/>
              <w:bottom w:val="single" w:sz="4" w:space="0" w:color="auto"/>
              <w:right w:val="single" w:sz="4" w:space="0" w:color="auto"/>
            </w:tcBorders>
            <w:shd w:val="clear" w:color="auto" w:fill="auto"/>
            <w:vAlign w:val="center"/>
            <w:hideMark/>
          </w:tcPr>
          <w:p w:rsidR="00BC1512" w:rsidRPr="00D200A0" w14:paraId="655540F1" w14:textId="760D0394">
            <w:pPr>
              <w:jc w:val="center"/>
              <w:rPr>
                <w:color w:val="000000"/>
                <w:sz w:val="20"/>
                <w:szCs w:val="20"/>
              </w:rPr>
            </w:pPr>
            <w:r>
              <w:rPr>
                <w:color w:val="000000"/>
                <w:sz w:val="20"/>
                <w:szCs w:val="20"/>
              </w:rPr>
              <w:t>1,784,419</w:t>
            </w:r>
          </w:p>
        </w:tc>
        <w:tc>
          <w:tcPr>
            <w:tcW w:w="889" w:type="dxa"/>
            <w:tcBorders>
              <w:top w:val="nil"/>
              <w:left w:val="nil"/>
              <w:bottom w:val="single" w:sz="4" w:space="0" w:color="auto"/>
              <w:right w:val="single" w:sz="4" w:space="0" w:color="auto"/>
            </w:tcBorders>
            <w:shd w:val="clear" w:color="auto" w:fill="auto"/>
            <w:vAlign w:val="center"/>
            <w:hideMark/>
          </w:tcPr>
          <w:p w:rsidR="00BC1512" w:rsidRPr="00D200A0" w14:paraId="12A93778" w14:textId="77777777">
            <w:pPr>
              <w:jc w:val="center"/>
              <w:rPr>
                <w:color w:val="000000"/>
                <w:sz w:val="20"/>
                <w:szCs w:val="20"/>
              </w:rPr>
            </w:pPr>
            <w:r w:rsidRPr="00D200A0">
              <w:rPr>
                <w:color w:val="000000"/>
                <w:sz w:val="20"/>
                <w:szCs w:val="20"/>
              </w:rPr>
              <w:t>-</w:t>
            </w:r>
          </w:p>
        </w:tc>
        <w:tc>
          <w:tcPr>
            <w:tcW w:w="1358" w:type="dxa"/>
            <w:tcBorders>
              <w:top w:val="nil"/>
              <w:left w:val="nil"/>
              <w:bottom w:val="single" w:sz="4" w:space="0" w:color="auto"/>
              <w:right w:val="single" w:sz="4" w:space="0" w:color="auto"/>
            </w:tcBorders>
            <w:shd w:val="clear" w:color="auto" w:fill="auto"/>
            <w:vAlign w:val="center"/>
            <w:hideMark/>
          </w:tcPr>
          <w:p w:rsidR="00BC1512" w:rsidRPr="00D200A0" w14:paraId="00C1A8E0" w14:textId="6E1EA5B2">
            <w:pPr>
              <w:jc w:val="center"/>
              <w:rPr>
                <w:color w:val="000000"/>
                <w:sz w:val="20"/>
                <w:szCs w:val="20"/>
              </w:rPr>
            </w:pPr>
            <w:r w:rsidRPr="00D200A0">
              <w:rPr>
                <w:color w:val="000000"/>
                <w:sz w:val="20"/>
                <w:szCs w:val="20"/>
              </w:rPr>
              <w:t>$</w:t>
            </w:r>
            <w:r w:rsidR="003A2F1B">
              <w:rPr>
                <w:color w:val="000000"/>
                <w:sz w:val="20"/>
                <w:szCs w:val="20"/>
              </w:rPr>
              <w:t>123,922,150</w:t>
            </w:r>
            <w:r w:rsidRPr="00D200A0">
              <w:rPr>
                <w:color w:val="000000"/>
                <w:sz w:val="20"/>
                <w:szCs w:val="20"/>
              </w:rPr>
              <w:t xml:space="preserve"> </w:t>
            </w:r>
          </w:p>
        </w:tc>
        <w:tc>
          <w:tcPr>
            <w:tcW w:w="222" w:type="dxa"/>
            <w:vAlign w:val="center"/>
            <w:hideMark/>
          </w:tcPr>
          <w:p w:rsidR="00BC1512" w:rsidRPr="00D200A0" w14:paraId="20784848" w14:textId="77777777">
            <w:pPr>
              <w:rPr>
                <w:sz w:val="20"/>
                <w:szCs w:val="20"/>
              </w:rPr>
            </w:pPr>
          </w:p>
        </w:tc>
      </w:tr>
      <w:tr w14:paraId="0EC8DE82" w14:textId="77777777" w:rsidTr="00E23D7A">
        <w:tblPrEx>
          <w:tblW w:w="10420" w:type="dxa"/>
          <w:tblLook w:val="04A0"/>
        </w:tblPrEx>
        <w:trPr>
          <w:trHeight w:val="78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C1512" w:rsidRPr="00D200A0" w14:paraId="76E4A635" w14:textId="77777777">
            <w:pPr>
              <w:rPr>
                <w:color w:val="000000"/>
                <w:sz w:val="20"/>
                <w:szCs w:val="20"/>
              </w:rPr>
            </w:pPr>
            <w:r w:rsidRPr="00D200A0">
              <w:rPr>
                <w:color w:val="000000"/>
                <w:sz w:val="20"/>
                <w:szCs w:val="20"/>
              </w:rPr>
              <w:t>Comply with current requirements of PTE 2020-02 (subsequent years)</w:t>
            </w:r>
          </w:p>
        </w:tc>
        <w:tc>
          <w:tcPr>
            <w:tcW w:w="1415" w:type="dxa"/>
            <w:tcBorders>
              <w:top w:val="nil"/>
              <w:left w:val="nil"/>
              <w:bottom w:val="single" w:sz="4" w:space="0" w:color="auto"/>
              <w:right w:val="single" w:sz="4" w:space="0" w:color="auto"/>
            </w:tcBorders>
            <w:shd w:val="clear" w:color="auto" w:fill="auto"/>
            <w:vAlign w:val="center"/>
            <w:hideMark/>
          </w:tcPr>
          <w:p w:rsidR="00BC1512" w:rsidRPr="00D200A0" w14:paraId="3CC92B9A" w14:textId="7A468163">
            <w:pPr>
              <w:jc w:val="center"/>
              <w:rPr>
                <w:color w:val="000000"/>
                <w:sz w:val="20"/>
                <w:szCs w:val="20"/>
              </w:rPr>
            </w:pPr>
            <w:r>
              <w:rPr>
                <w:color w:val="000000"/>
                <w:sz w:val="20"/>
                <w:szCs w:val="20"/>
              </w:rPr>
              <w:t>1</w:t>
            </w:r>
            <w:r w:rsidR="00842CE3">
              <w:rPr>
                <w:color w:val="000000"/>
                <w:sz w:val="20"/>
                <w:szCs w:val="20"/>
              </w:rPr>
              <w:t>2,822</w:t>
            </w:r>
          </w:p>
        </w:tc>
        <w:tc>
          <w:tcPr>
            <w:tcW w:w="1329" w:type="dxa"/>
            <w:tcBorders>
              <w:top w:val="nil"/>
              <w:left w:val="nil"/>
              <w:bottom w:val="single" w:sz="4" w:space="0" w:color="auto"/>
              <w:right w:val="single" w:sz="4" w:space="0" w:color="auto"/>
            </w:tcBorders>
            <w:shd w:val="clear" w:color="auto" w:fill="auto"/>
            <w:vAlign w:val="center"/>
            <w:hideMark/>
          </w:tcPr>
          <w:p w:rsidR="00BC1512" w:rsidRPr="00D200A0" w14:paraId="0C9A7F9A" w14:textId="0FAD7388">
            <w:pPr>
              <w:jc w:val="center"/>
              <w:rPr>
                <w:color w:val="000000"/>
                <w:sz w:val="20"/>
                <w:szCs w:val="20"/>
              </w:rPr>
            </w:pPr>
            <w:r>
              <w:rPr>
                <w:color w:val="000000"/>
                <w:sz w:val="20"/>
                <w:szCs w:val="20"/>
              </w:rPr>
              <w:t>8,765.0547</w:t>
            </w:r>
          </w:p>
        </w:tc>
        <w:tc>
          <w:tcPr>
            <w:tcW w:w="1216" w:type="dxa"/>
            <w:tcBorders>
              <w:top w:val="nil"/>
              <w:left w:val="nil"/>
              <w:bottom w:val="single" w:sz="4" w:space="0" w:color="auto"/>
              <w:right w:val="single" w:sz="4" w:space="0" w:color="auto"/>
            </w:tcBorders>
            <w:shd w:val="clear" w:color="auto" w:fill="auto"/>
            <w:vAlign w:val="center"/>
            <w:hideMark/>
          </w:tcPr>
          <w:p w:rsidR="00BC1512" w:rsidRPr="00D200A0" w14:paraId="1E1DE375" w14:textId="3D990528">
            <w:pPr>
              <w:jc w:val="center"/>
              <w:rPr>
                <w:color w:val="000000"/>
                <w:sz w:val="20"/>
                <w:szCs w:val="20"/>
              </w:rPr>
            </w:pPr>
            <w:r>
              <w:rPr>
                <w:color w:val="000000"/>
                <w:sz w:val="20"/>
                <w:szCs w:val="20"/>
              </w:rPr>
              <w:t>112,387,109</w:t>
            </w:r>
          </w:p>
        </w:tc>
        <w:tc>
          <w:tcPr>
            <w:tcW w:w="998" w:type="dxa"/>
            <w:tcBorders>
              <w:top w:val="nil"/>
              <w:left w:val="nil"/>
              <w:bottom w:val="single" w:sz="4" w:space="0" w:color="auto"/>
              <w:right w:val="single" w:sz="4" w:space="0" w:color="auto"/>
            </w:tcBorders>
            <w:shd w:val="clear" w:color="auto" w:fill="auto"/>
            <w:vAlign w:val="center"/>
            <w:hideMark/>
          </w:tcPr>
          <w:p w:rsidR="00BC1512" w:rsidRPr="00D200A0" w14:paraId="7BABAEEE" w14:textId="760B781F">
            <w:pPr>
              <w:jc w:val="center"/>
              <w:rPr>
                <w:color w:val="000000"/>
                <w:sz w:val="20"/>
                <w:szCs w:val="20"/>
              </w:rPr>
            </w:pPr>
            <w:r w:rsidRPr="00D200A0">
              <w:rPr>
                <w:color w:val="000000"/>
                <w:sz w:val="20"/>
                <w:szCs w:val="20"/>
              </w:rPr>
              <w:t>0.</w:t>
            </w:r>
            <w:r w:rsidRPr="00D200A0" w:rsidR="00D63A6D">
              <w:rPr>
                <w:color w:val="000000"/>
                <w:sz w:val="20"/>
                <w:szCs w:val="20"/>
              </w:rPr>
              <w:t>0</w:t>
            </w:r>
            <w:r w:rsidR="00D63A6D">
              <w:rPr>
                <w:color w:val="000000"/>
                <w:sz w:val="20"/>
                <w:szCs w:val="20"/>
              </w:rPr>
              <w:t>15</w:t>
            </w:r>
            <w:r w:rsidR="00DD6711">
              <w:rPr>
                <w:color w:val="000000"/>
                <w:sz w:val="20"/>
                <w:szCs w:val="20"/>
              </w:rPr>
              <w:t>9</w:t>
            </w:r>
          </w:p>
        </w:tc>
        <w:tc>
          <w:tcPr>
            <w:tcW w:w="1017" w:type="dxa"/>
            <w:tcBorders>
              <w:top w:val="nil"/>
              <w:left w:val="nil"/>
              <w:bottom w:val="single" w:sz="4" w:space="0" w:color="auto"/>
              <w:right w:val="single" w:sz="4" w:space="0" w:color="auto"/>
            </w:tcBorders>
            <w:shd w:val="clear" w:color="auto" w:fill="auto"/>
            <w:vAlign w:val="center"/>
            <w:hideMark/>
          </w:tcPr>
          <w:p w:rsidR="00BC1512" w:rsidRPr="00D200A0" w14:paraId="0462DFD8" w14:textId="28FCF67F">
            <w:pPr>
              <w:jc w:val="center"/>
              <w:rPr>
                <w:color w:val="000000"/>
                <w:sz w:val="20"/>
                <w:szCs w:val="20"/>
              </w:rPr>
            </w:pPr>
            <w:r>
              <w:rPr>
                <w:color w:val="000000"/>
                <w:sz w:val="20"/>
                <w:szCs w:val="20"/>
              </w:rPr>
              <w:t>1,784,41</w:t>
            </w:r>
            <w:r w:rsidR="00DD6711">
              <w:rPr>
                <w:color w:val="000000"/>
                <w:sz w:val="20"/>
                <w:szCs w:val="20"/>
              </w:rPr>
              <w:t>9</w:t>
            </w:r>
          </w:p>
        </w:tc>
        <w:tc>
          <w:tcPr>
            <w:tcW w:w="889" w:type="dxa"/>
            <w:tcBorders>
              <w:top w:val="nil"/>
              <w:left w:val="nil"/>
              <w:bottom w:val="single" w:sz="4" w:space="0" w:color="auto"/>
              <w:right w:val="single" w:sz="4" w:space="0" w:color="auto"/>
            </w:tcBorders>
            <w:shd w:val="clear" w:color="auto" w:fill="auto"/>
            <w:vAlign w:val="center"/>
            <w:hideMark/>
          </w:tcPr>
          <w:p w:rsidR="00BC1512" w:rsidRPr="00D200A0" w14:paraId="60320CDA" w14:textId="77777777">
            <w:pPr>
              <w:jc w:val="center"/>
              <w:rPr>
                <w:color w:val="000000"/>
                <w:sz w:val="20"/>
                <w:szCs w:val="20"/>
              </w:rPr>
            </w:pPr>
            <w:r w:rsidRPr="00D200A0">
              <w:rPr>
                <w:color w:val="000000"/>
                <w:sz w:val="20"/>
                <w:szCs w:val="20"/>
              </w:rPr>
              <w:t>-</w:t>
            </w:r>
          </w:p>
        </w:tc>
        <w:tc>
          <w:tcPr>
            <w:tcW w:w="1358" w:type="dxa"/>
            <w:tcBorders>
              <w:top w:val="nil"/>
              <w:left w:val="nil"/>
              <w:bottom w:val="single" w:sz="4" w:space="0" w:color="auto"/>
              <w:right w:val="single" w:sz="4" w:space="0" w:color="auto"/>
            </w:tcBorders>
            <w:shd w:val="clear" w:color="auto" w:fill="auto"/>
            <w:vAlign w:val="center"/>
            <w:hideMark/>
          </w:tcPr>
          <w:p w:rsidR="00BC1512" w:rsidRPr="00D200A0" w14:paraId="7B23E78D" w14:textId="7622A0C4">
            <w:pPr>
              <w:jc w:val="center"/>
              <w:rPr>
                <w:color w:val="000000"/>
                <w:sz w:val="20"/>
                <w:szCs w:val="20"/>
              </w:rPr>
            </w:pPr>
            <w:r w:rsidRPr="00D200A0">
              <w:rPr>
                <w:color w:val="000000"/>
                <w:sz w:val="20"/>
                <w:szCs w:val="20"/>
              </w:rPr>
              <w:t>$</w:t>
            </w:r>
            <w:r w:rsidR="003A2F1B">
              <w:rPr>
                <w:color w:val="000000"/>
                <w:sz w:val="20"/>
                <w:szCs w:val="20"/>
              </w:rPr>
              <w:t>123,922,150</w:t>
            </w:r>
            <w:r w:rsidRPr="00D200A0">
              <w:rPr>
                <w:color w:val="000000"/>
                <w:sz w:val="20"/>
                <w:szCs w:val="20"/>
              </w:rPr>
              <w:t xml:space="preserve"> </w:t>
            </w:r>
          </w:p>
        </w:tc>
        <w:tc>
          <w:tcPr>
            <w:tcW w:w="222" w:type="dxa"/>
            <w:vAlign w:val="center"/>
            <w:hideMark/>
          </w:tcPr>
          <w:p w:rsidR="00BC1512" w:rsidRPr="00D200A0" w14:paraId="2B76FCB1" w14:textId="77777777">
            <w:pPr>
              <w:rPr>
                <w:sz w:val="20"/>
                <w:szCs w:val="20"/>
              </w:rPr>
            </w:pPr>
          </w:p>
        </w:tc>
      </w:tr>
      <w:tr w14:paraId="1200F367" w14:textId="77777777">
        <w:tblPrEx>
          <w:tblW w:w="10420" w:type="dxa"/>
          <w:tblLook w:val="04A0"/>
        </w:tblPrEx>
        <w:trPr>
          <w:trHeight w:val="290"/>
        </w:trPr>
        <w:tc>
          <w:tcPr>
            <w:tcW w:w="1019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D200A0" w14:paraId="4B0CCA49" w14:textId="77777777">
            <w:pPr>
              <w:jc w:val="center"/>
              <w:rPr>
                <w:i/>
                <w:iCs/>
                <w:color w:val="000000"/>
                <w:sz w:val="20"/>
                <w:szCs w:val="20"/>
              </w:rPr>
            </w:pPr>
            <w:r w:rsidRPr="00D200A0">
              <w:rPr>
                <w:i/>
                <w:iCs/>
                <w:color w:val="000000"/>
                <w:sz w:val="20"/>
                <w:szCs w:val="20"/>
              </w:rPr>
              <w:t xml:space="preserve">Disclosures for Investors, Production and Distribution </w:t>
            </w:r>
          </w:p>
        </w:tc>
        <w:tc>
          <w:tcPr>
            <w:tcW w:w="222" w:type="dxa"/>
            <w:vAlign w:val="center"/>
            <w:hideMark/>
          </w:tcPr>
          <w:p w:rsidR="00BC1512" w:rsidRPr="00D200A0" w14:paraId="44B9410A" w14:textId="77777777">
            <w:pPr>
              <w:rPr>
                <w:sz w:val="20"/>
                <w:szCs w:val="20"/>
              </w:rPr>
            </w:pPr>
          </w:p>
        </w:tc>
      </w:tr>
      <w:tr w14:paraId="26E2661B" w14:textId="77777777" w:rsidTr="00E23D7A">
        <w:tblPrEx>
          <w:tblW w:w="10420" w:type="dxa"/>
          <w:tblLook w:val="04A0"/>
        </w:tblPrEx>
        <w:trPr>
          <w:trHeight w:val="78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956A15" w:rsidRPr="00D200A0" w:rsidP="00956A15" w14:paraId="498676EE" w14:textId="77777777">
            <w:pPr>
              <w:rPr>
                <w:color w:val="000000"/>
                <w:sz w:val="20"/>
                <w:szCs w:val="20"/>
              </w:rPr>
            </w:pPr>
            <w:r w:rsidRPr="00D200A0">
              <w:rPr>
                <w:color w:val="000000"/>
                <w:sz w:val="20"/>
                <w:szCs w:val="20"/>
              </w:rPr>
              <w:t xml:space="preserve">Prepare written acknowledgment of </w:t>
            </w:r>
            <w:r w:rsidRPr="00D200A0">
              <w:rPr>
                <w:color w:val="000000"/>
                <w:sz w:val="20"/>
                <w:szCs w:val="20"/>
              </w:rPr>
              <w:t>fiduciary status (first year)</w:t>
            </w:r>
          </w:p>
        </w:tc>
        <w:tc>
          <w:tcPr>
            <w:tcW w:w="1415" w:type="dxa"/>
            <w:tcBorders>
              <w:top w:val="nil"/>
              <w:left w:val="nil"/>
              <w:bottom w:val="single" w:sz="4" w:space="0" w:color="auto"/>
              <w:right w:val="single" w:sz="4" w:space="0" w:color="auto"/>
            </w:tcBorders>
            <w:shd w:val="clear" w:color="auto" w:fill="auto"/>
            <w:vAlign w:val="center"/>
            <w:hideMark/>
          </w:tcPr>
          <w:p w:rsidR="00956A15" w:rsidRPr="00D200A0" w:rsidP="00956A15" w14:paraId="468D715C" w14:textId="7456C978">
            <w:pPr>
              <w:jc w:val="center"/>
              <w:rPr>
                <w:color w:val="000000"/>
                <w:sz w:val="20"/>
                <w:szCs w:val="20"/>
              </w:rPr>
            </w:pPr>
            <w:r>
              <w:rPr>
                <w:color w:val="000000"/>
                <w:sz w:val="20"/>
                <w:szCs w:val="20"/>
              </w:rPr>
              <w:t>5,751</w:t>
            </w:r>
          </w:p>
        </w:tc>
        <w:tc>
          <w:tcPr>
            <w:tcW w:w="1329" w:type="dxa"/>
            <w:tcBorders>
              <w:top w:val="nil"/>
              <w:left w:val="nil"/>
              <w:bottom w:val="single" w:sz="4" w:space="0" w:color="auto"/>
              <w:right w:val="single" w:sz="4" w:space="0" w:color="auto"/>
            </w:tcBorders>
            <w:shd w:val="clear" w:color="auto" w:fill="auto"/>
            <w:vAlign w:val="center"/>
            <w:hideMark/>
          </w:tcPr>
          <w:p w:rsidR="00956A15" w:rsidRPr="00D200A0" w:rsidP="00956A15" w14:paraId="3B42BBA7"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956A15" w:rsidRPr="00D200A0" w:rsidP="00956A15" w14:paraId="0A25B85C" w14:textId="32638510">
            <w:pPr>
              <w:jc w:val="center"/>
              <w:rPr>
                <w:color w:val="000000"/>
                <w:sz w:val="20"/>
                <w:szCs w:val="20"/>
              </w:rPr>
            </w:pPr>
            <w:r>
              <w:rPr>
                <w:color w:val="000000"/>
                <w:sz w:val="20"/>
                <w:szCs w:val="20"/>
              </w:rPr>
              <w:t>5,751</w:t>
            </w:r>
          </w:p>
        </w:tc>
        <w:tc>
          <w:tcPr>
            <w:tcW w:w="998" w:type="dxa"/>
            <w:tcBorders>
              <w:top w:val="nil"/>
              <w:left w:val="nil"/>
              <w:bottom w:val="single" w:sz="4" w:space="0" w:color="auto"/>
              <w:right w:val="single" w:sz="4" w:space="0" w:color="auto"/>
            </w:tcBorders>
            <w:shd w:val="clear" w:color="auto" w:fill="auto"/>
            <w:vAlign w:val="center"/>
            <w:hideMark/>
          </w:tcPr>
          <w:p w:rsidR="00956A15" w:rsidRPr="00D200A0" w:rsidP="00956A15" w14:paraId="641E47DC" w14:textId="1AFD5A63">
            <w:pPr>
              <w:jc w:val="center"/>
              <w:rPr>
                <w:color w:val="000000"/>
                <w:sz w:val="20"/>
                <w:szCs w:val="20"/>
              </w:rPr>
            </w:pPr>
            <w:r>
              <w:rPr>
                <w:color w:val="000000"/>
                <w:sz w:val="20"/>
                <w:szCs w:val="20"/>
              </w:rPr>
              <w:t>0.5000</w:t>
            </w:r>
          </w:p>
        </w:tc>
        <w:tc>
          <w:tcPr>
            <w:tcW w:w="1017" w:type="dxa"/>
            <w:tcBorders>
              <w:top w:val="nil"/>
              <w:left w:val="nil"/>
              <w:bottom w:val="single" w:sz="4" w:space="0" w:color="auto"/>
              <w:right w:val="single" w:sz="4" w:space="0" w:color="auto"/>
            </w:tcBorders>
            <w:shd w:val="clear" w:color="auto" w:fill="auto"/>
            <w:vAlign w:val="center"/>
            <w:hideMark/>
          </w:tcPr>
          <w:p w:rsidR="00956A15" w:rsidRPr="00D200A0" w:rsidP="00956A15" w14:paraId="78B7A3BA" w14:textId="615A7A94">
            <w:pPr>
              <w:jc w:val="center"/>
              <w:rPr>
                <w:color w:val="000000"/>
                <w:sz w:val="20"/>
                <w:szCs w:val="20"/>
              </w:rPr>
            </w:pPr>
            <w:r>
              <w:rPr>
                <w:color w:val="000000"/>
                <w:sz w:val="20"/>
                <w:szCs w:val="20"/>
              </w:rPr>
              <w:t>2,876</w:t>
            </w:r>
          </w:p>
        </w:tc>
        <w:tc>
          <w:tcPr>
            <w:tcW w:w="889" w:type="dxa"/>
            <w:tcBorders>
              <w:top w:val="nil"/>
              <w:left w:val="nil"/>
              <w:bottom w:val="single" w:sz="4" w:space="0" w:color="auto"/>
              <w:right w:val="single" w:sz="4" w:space="0" w:color="auto"/>
            </w:tcBorders>
            <w:shd w:val="clear" w:color="auto" w:fill="auto"/>
            <w:vAlign w:val="center"/>
            <w:hideMark/>
          </w:tcPr>
          <w:p w:rsidR="00956A15" w:rsidRPr="00D200A0" w:rsidP="00956A15" w14:paraId="38110A7C" w14:textId="77777777">
            <w:pPr>
              <w:jc w:val="center"/>
              <w:rPr>
                <w:color w:val="000000"/>
                <w:sz w:val="20"/>
                <w:szCs w:val="20"/>
              </w:rPr>
            </w:pPr>
            <w:r w:rsidRPr="00D200A0">
              <w:rPr>
                <w:color w:val="000000"/>
                <w:sz w:val="20"/>
                <w:szCs w:val="20"/>
              </w:rPr>
              <w:t>$165.71</w:t>
            </w:r>
          </w:p>
        </w:tc>
        <w:tc>
          <w:tcPr>
            <w:tcW w:w="1358" w:type="dxa"/>
            <w:tcBorders>
              <w:top w:val="nil"/>
              <w:left w:val="nil"/>
              <w:bottom w:val="single" w:sz="4" w:space="0" w:color="auto"/>
              <w:right w:val="single" w:sz="4" w:space="0" w:color="auto"/>
            </w:tcBorders>
            <w:shd w:val="clear" w:color="auto" w:fill="auto"/>
            <w:vAlign w:val="center"/>
            <w:hideMark/>
          </w:tcPr>
          <w:p w:rsidR="00956A15" w:rsidRPr="00D200A0" w:rsidP="00956A15" w14:paraId="00CC10E4" w14:textId="6BF16F25">
            <w:pPr>
              <w:jc w:val="center"/>
              <w:rPr>
                <w:color w:val="000000"/>
                <w:sz w:val="20"/>
                <w:szCs w:val="20"/>
              </w:rPr>
            </w:pPr>
            <w:r w:rsidRPr="00D200A0">
              <w:rPr>
                <w:color w:val="000000"/>
                <w:sz w:val="20"/>
                <w:szCs w:val="20"/>
              </w:rPr>
              <w:t>$</w:t>
            </w:r>
            <w:r>
              <w:rPr>
                <w:color w:val="000000"/>
                <w:sz w:val="20"/>
                <w:szCs w:val="20"/>
              </w:rPr>
              <w:t>476,531</w:t>
            </w:r>
          </w:p>
        </w:tc>
        <w:tc>
          <w:tcPr>
            <w:tcW w:w="222" w:type="dxa"/>
            <w:vAlign w:val="center"/>
            <w:hideMark/>
          </w:tcPr>
          <w:p w:rsidR="00956A15" w:rsidRPr="00D200A0" w:rsidP="00956A15" w14:paraId="2FB0A623" w14:textId="77777777">
            <w:pPr>
              <w:rPr>
                <w:sz w:val="20"/>
                <w:szCs w:val="20"/>
              </w:rPr>
            </w:pPr>
          </w:p>
        </w:tc>
      </w:tr>
      <w:tr w14:paraId="650B8F29" w14:textId="77777777" w:rsidTr="00E23D7A">
        <w:tblPrEx>
          <w:tblW w:w="10420" w:type="dxa"/>
          <w:tblLook w:val="04A0"/>
        </w:tblPrEx>
        <w:trPr>
          <w:trHeight w:val="78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956A15" w:rsidRPr="00D200A0" w:rsidP="00956A15" w14:paraId="5673F389" w14:textId="77777777">
            <w:pPr>
              <w:rPr>
                <w:color w:val="000000"/>
                <w:sz w:val="20"/>
                <w:szCs w:val="20"/>
              </w:rPr>
            </w:pPr>
            <w:r w:rsidRPr="00D200A0">
              <w:rPr>
                <w:color w:val="000000"/>
                <w:sz w:val="20"/>
                <w:szCs w:val="20"/>
              </w:rPr>
              <w:t>Update written acknowledgment of fiduciary status (first year)</w:t>
            </w:r>
          </w:p>
        </w:tc>
        <w:tc>
          <w:tcPr>
            <w:tcW w:w="1415" w:type="dxa"/>
            <w:tcBorders>
              <w:top w:val="nil"/>
              <w:left w:val="nil"/>
              <w:bottom w:val="single" w:sz="4" w:space="0" w:color="auto"/>
              <w:right w:val="single" w:sz="4" w:space="0" w:color="auto"/>
            </w:tcBorders>
            <w:shd w:val="clear" w:color="auto" w:fill="auto"/>
            <w:vAlign w:val="center"/>
            <w:hideMark/>
          </w:tcPr>
          <w:p w:rsidR="00956A15" w:rsidRPr="00D200A0" w:rsidP="00956A15" w14:paraId="3952A92C" w14:textId="77777777">
            <w:pPr>
              <w:jc w:val="center"/>
              <w:rPr>
                <w:color w:val="000000"/>
                <w:sz w:val="20"/>
                <w:szCs w:val="20"/>
              </w:rPr>
            </w:pPr>
            <w:r w:rsidRPr="00D200A0">
              <w:rPr>
                <w:color w:val="000000"/>
                <w:sz w:val="20"/>
                <w:szCs w:val="20"/>
              </w:rPr>
              <w:t>1,288</w:t>
            </w:r>
          </w:p>
        </w:tc>
        <w:tc>
          <w:tcPr>
            <w:tcW w:w="1329" w:type="dxa"/>
            <w:tcBorders>
              <w:top w:val="nil"/>
              <w:left w:val="nil"/>
              <w:bottom w:val="single" w:sz="4" w:space="0" w:color="auto"/>
              <w:right w:val="single" w:sz="4" w:space="0" w:color="auto"/>
            </w:tcBorders>
            <w:shd w:val="clear" w:color="auto" w:fill="auto"/>
            <w:vAlign w:val="center"/>
            <w:hideMark/>
          </w:tcPr>
          <w:p w:rsidR="00956A15" w:rsidRPr="00D200A0" w:rsidP="00956A15" w14:paraId="3330C96A"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956A15" w:rsidRPr="00D200A0" w:rsidP="00956A15" w14:paraId="71ABA579" w14:textId="77777777">
            <w:pPr>
              <w:jc w:val="center"/>
              <w:rPr>
                <w:color w:val="000000"/>
                <w:sz w:val="20"/>
                <w:szCs w:val="20"/>
              </w:rPr>
            </w:pPr>
            <w:r w:rsidRPr="00D200A0">
              <w:rPr>
                <w:color w:val="000000"/>
                <w:sz w:val="20"/>
                <w:szCs w:val="20"/>
              </w:rPr>
              <w:t>1,288</w:t>
            </w:r>
          </w:p>
        </w:tc>
        <w:tc>
          <w:tcPr>
            <w:tcW w:w="998" w:type="dxa"/>
            <w:tcBorders>
              <w:top w:val="nil"/>
              <w:left w:val="nil"/>
              <w:bottom w:val="single" w:sz="4" w:space="0" w:color="auto"/>
              <w:right w:val="single" w:sz="4" w:space="0" w:color="auto"/>
            </w:tcBorders>
            <w:shd w:val="clear" w:color="auto" w:fill="auto"/>
            <w:vAlign w:val="center"/>
            <w:hideMark/>
          </w:tcPr>
          <w:p w:rsidR="00956A15" w:rsidRPr="00D200A0" w:rsidP="00956A15" w14:paraId="60F7F51D" w14:textId="1DA13C9E">
            <w:pPr>
              <w:jc w:val="center"/>
              <w:rPr>
                <w:color w:val="000000"/>
                <w:sz w:val="20"/>
                <w:szCs w:val="20"/>
              </w:rPr>
            </w:pPr>
            <w:r>
              <w:rPr>
                <w:color w:val="000000"/>
                <w:sz w:val="20"/>
                <w:szCs w:val="20"/>
              </w:rPr>
              <w:t>0.1667</w:t>
            </w:r>
          </w:p>
        </w:tc>
        <w:tc>
          <w:tcPr>
            <w:tcW w:w="1017" w:type="dxa"/>
            <w:tcBorders>
              <w:top w:val="nil"/>
              <w:left w:val="nil"/>
              <w:bottom w:val="single" w:sz="4" w:space="0" w:color="auto"/>
              <w:right w:val="single" w:sz="4" w:space="0" w:color="auto"/>
            </w:tcBorders>
            <w:shd w:val="clear" w:color="auto" w:fill="auto"/>
            <w:vAlign w:val="center"/>
            <w:hideMark/>
          </w:tcPr>
          <w:p w:rsidR="00956A15" w:rsidRPr="00D200A0" w:rsidP="00956A15" w14:paraId="23833194" w14:textId="77777777">
            <w:pPr>
              <w:jc w:val="center"/>
              <w:rPr>
                <w:color w:val="000000"/>
                <w:sz w:val="20"/>
                <w:szCs w:val="20"/>
              </w:rPr>
            </w:pPr>
            <w:r w:rsidRPr="00D200A0">
              <w:rPr>
                <w:color w:val="000000"/>
                <w:sz w:val="20"/>
                <w:szCs w:val="20"/>
              </w:rPr>
              <w:t>215</w:t>
            </w:r>
          </w:p>
        </w:tc>
        <w:tc>
          <w:tcPr>
            <w:tcW w:w="889" w:type="dxa"/>
            <w:tcBorders>
              <w:top w:val="nil"/>
              <w:left w:val="nil"/>
              <w:bottom w:val="single" w:sz="4" w:space="0" w:color="auto"/>
              <w:right w:val="single" w:sz="4" w:space="0" w:color="auto"/>
            </w:tcBorders>
            <w:shd w:val="clear" w:color="auto" w:fill="auto"/>
            <w:vAlign w:val="center"/>
            <w:hideMark/>
          </w:tcPr>
          <w:p w:rsidR="00956A15" w:rsidRPr="00D200A0" w:rsidP="00956A15" w14:paraId="7B11BEA6" w14:textId="77777777">
            <w:pPr>
              <w:jc w:val="center"/>
              <w:rPr>
                <w:color w:val="000000"/>
                <w:sz w:val="20"/>
                <w:szCs w:val="20"/>
              </w:rPr>
            </w:pPr>
            <w:r w:rsidRPr="00D200A0">
              <w:rPr>
                <w:color w:val="000000"/>
                <w:sz w:val="20"/>
                <w:szCs w:val="20"/>
              </w:rPr>
              <w:t>$165.71</w:t>
            </w:r>
          </w:p>
        </w:tc>
        <w:tc>
          <w:tcPr>
            <w:tcW w:w="1358" w:type="dxa"/>
            <w:tcBorders>
              <w:top w:val="nil"/>
              <w:left w:val="nil"/>
              <w:bottom w:val="single" w:sz="4" w:space="0" w:color="auto"/>
              <w:right w:val="single" w:sz="4" w:space="0" w:color="auto"/>
            </w:tcBorders>
            <w:shd w:val="clear" w:color="auto" w:fill="auto"/>
            <w:vAlign w:val="center"/>
            <w:hideMark/>
          </w:tcPr>
          <w:p w:rsidR="00956A15" w:rsidRPr="00D200A0" w:rsidP="00956A15" w14:paraId="72CBD5DF" w14:textId="77777777">
            <w:pPr>
              <w:jc w:val="center"/>
              <w:rPr>
                <w:color w:val="000000"/>
                <w:sz w:val="20"/>
                <w:szCs w:val="20"/>
              </w:rPr>
            </w:pPr>
            <w:r w:rsidRPr="00D200A0">
              <w:rPr>
                <w:color w:val="000000"/>
                <w:sz w:val="20"/>
                <w:szCs w:val="20"/>
              </w:rPr>
              <w:t xml:space="preserve">$35,575 </w:t>
            </w:r>
          </w:p>
        </w:tc>
        <w:tc>
          <w:tcPr>
            <w:tcW w:w="222" w:type="dxa"/>
            <w:vAlign w:val="center"/>
            <w:hideMark/>
          </w:tcPr>
          <w:p w:rsidR="00956A15" w:rsidRPr="00D200A0" w:rsidP="00956A15" w14:paraId="10D8B7B0" w14:textId="77777777">
            <w:pPr>
              <w:rPr>
                <w:sz w:val="20"/>
                <w:szCs w:val="20"/>
              </w:rPr>
            </w:pPr>
          </w:p>
        </w:tc>
      </w:tr>
      <w:tr w14:paraId="26CD1C94" w14:textId="77777777" w:rsidTr="00E23D7A">
        <w:tblPrEx>
          <w:tblW w:w="10420" w:type="dxa"/>
          <w:tblLook w:val="04A0"/>
        </w:tblPrEx>
        <w:trPr>
          <w:trHeight w:val="78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956A15" w:rsidRPr="00D200A0" w:rsidP="00956A15" w14:paraId="078008E4" w14:textId="77777777">
            <w:pPr>
              <w:rPr>
                <w:color w:val="000000"/>
                <w:sz w:val="20"/>
                <w:szCs w:val="20"/>
              </w:rPr>
            </w:pPr>
            <w:r w:rsidRPr="00D200A0">
              <w:rPr>
                <w:color w:val="000000"/>
                <w:sz w:val="20"/>
                <w:szCs w:val="20"/>
              </w:rPr>
              <w:t>Prepare written statement of Care and Loyalty Obligations (first year)</w:t>
            </w:r>
          </w:p>
        </w:tc>
        <w:tc>
          <w:tcPr>
            <w:tcW w:w="1415" w:type="dxa"/>
            <w:tcBorders>
              <w:top w:val="nil"/>
              <w:left w:val="nil"/>
              <w:bottom w:val="single" w:sz="4" w:space="0" w:color="auto"/>
              <w:right w:val="single" w:sz="4" w:space="0" w:color="auto"/>
            </w:tcBorders>
            <w:shd w:val="clear" w:color="auto" w:fill="auto"/>
            <w:vAlign w:val="center"/>
            <w:hideMark/>
          </w:tcPr>
          <w:p w:rsidR="00956A15" w:rsidRPr="00D200A0" w:rsidP="00956A15" w14:paraId="55E1C302" w14:textId="0C888801">
            <w:pPr>
              <w:jc w:val="center"/>
              <w:rPr>
                <w:color w:val="000000"/>
                <w:sz w:val="20"/>
                <w:szCs w:val="20"/>
              </w:rPr>
            </w:pPr>
            <w:r>
              <w:rPr>
                <w:color w:val="000000"/>
                <w:sz w:val="20"/>
                <w:szCs w:val="20"/>
              </w:rPr>
              <w:t>18,632</w:t>
            </w:r>
          </w:p>
        </w:tc>
        <w:tc>
          <w:tcPr>
            <w:tcW w:w="1329" w:type="dxa"/>
            <w:tcBorders>
              <w:top w:val="nil"/>
              <w:left w:val="nil"/>
              <w:bottom w:val="single" w:sz="4" w:space="0" w:color="auto"/>
              <w:right w:val="single" w:sz="4" w:space="0" w:color="auto"/>
            </w:tcBorders>
            <w:shd w:val="clear" w:color="auto" w:fill="auto"/>
            <w:vAlign w:val="center"/>
            <w:hideMark/>
          </w:tcPr>
          <w:p w:rsidR="00956A15" w:rsidRPr="00D200A0" w:rsidP="00956A15" w14:paraId="5102F5B3"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956A15" w:rsidRPr="00D200A0" w:rsidP="00956A15" w14:paraId="7998A2EC" w14:textId="0969B4C3">
            <w:pPr>
              <w:jc w:val="center"/>
              <w:rPr>
                <w:color w:val="000000"/>
                <w:sz w:val="20"/>
                <w:szCs w:val="20"/>
              </w:rPr>
            </w:pPr>
            <w:r>
              <w:rPr>
                <w:color w:val="000000"/>
                <w:sz w:val="20"/>
                <w:szCs w:val="20"/>
              </w:rPr>
              <w:t>18,632</w:t>
            </w:r>
          </w:p>
        </w:tc>
        <w:tc>
          <w:tcPr>
            <w:tcW w:w="998" w:type="dxa"/>
            <w:tcBorders>
              <w:top w:val="nil"/>
              <w:left w:val="nil"/>
              <w:bottom w:val="single" w:sz="4" w:space="0" w:color="auto"/>
              <w:right w:val="single" w:sz="4" w:space="0" w:color="auto"/>
            </w:tcBorders>
            <w:shd w:val="clear" w:color="auto" w:fill="auto"/>
            <w:vAlign w:val="center"/>
            <w:hideMark/>
          </w:tcPr>
          <w:p w:rsidR="00956A15" w:rsidRPr="00D200A0" w:rsidP="00956A15" w14:paraId="6FAF4233" w14:textId="38147558">
            <w:pPr>
              <w:jc w:val="center"/>
              <w:rPr>
                <w:color w:val="000000"/>
                <w:sz w:val="20"/>
                <w:szCs w:val="20"/>
              </w:rPr>
            </w:pPr>
            <w:r>
              <w:rPr>
                <w:color w:val="000000"/>
                <w:sz w:val="20"/>
                <w:szCs w:val="20"/>
              </w:rPr>
              <w:t>0.5084</w:t>
            </w:r>
          </w:p>
        </w:tc>
        <w:tc>
          <w:tcPr>
            <w:tcW w:w="1017" w:type="dxa"/>
            <w:tcBorders>
              <w:top w:val="nil"/>
              <w:left w:val="nil"/>
              <w:bottom w:val="single" w:sz="4" w:space="0" w:color="auto"/>
              <w:right w:val="single" w:sz="4" w:space="0" w:color="auto"/>
            </w:tcBorders>
            <w:shd w:val="clear" w:color="auto" w:fill="auto"/>
            <w:vAlign w:val="center"/>
            <w:hideMark/>
          </w:tcPr>
          <w:p w:rsidR="00956A15" w:rsidRPr="00D200A0" w:rsidP="00956A15" w14:paraId="318B9225" w14:textId="2BCEB733">
            <w:pPr>
              <w:jc w:val="center"/>
              <w:rPr>
                <w:color w:val="000000"/>
                <w:sz w:val="20"/>
                <w:szCs w:val="20"/>
              </w:rPr>
            </w:pPr>
            <w:r>
              <w:rPr>
                <w:color w:val="000000"/>
                <w:sz w:val="20"/>
                <w:szCs w:val="20"/>
              </w:rPr>
              <w:t>9,474</w:t>
            </w:r>
          </w:p>
        </w:tc>
        <w:tc>
          <w:tcPr>
            <w:tcW w:w="889" w:type="dxa"/>
            <w:tcBorders>
              <w:top w:val="nil"/>
              <w:left w:val="nil"/>
              <w:bottom w:val="single" w:sz="4" w:space="0" w:color="auto"/>
              <w:right w:val="single" w:sz="4" w:space="0" w:color="auto"/>
            </w:tcBorders>
            <w:shd w:val="clear" w:color="auto" w:fill="auto"/>
            <w:vAlign w:val="center"/>
            <w:hideMark/>
          </w:tcPr>
          <w:p w:rsidR="00956A15" w:rsidRPr="00D200A0" w:rsidP="00956A15" w14:paraId="52725368" w14:textId="77777777">
            <w:pPr>
              <w:jc w:val="center"/>
              <w:rPr>
                <w:color w:val="000000"/>
                <w:sz w:val="20"/>
                <w:szCs w:val="20"/>
              </w:rPr>
            </w:pPr>
            <w:r w:rsidRPr="00D200A0">
              <w:rPr>
                <w:color w:val="000000"/>
                <w:sz w:val="20"/>
                <w:szCs w:val="20"/>
              </w:rPr>
              <w:t>$165.71</w:t>
            </w:r>
          </w:p>
        </w:tc>
        <w:tc>
          <w:tcPr>
            <w:tcW w:w="1358" w:type="dxa"/>
            <w:tcBorders>
              <w:top w:val="nil"/>
              <w:left w:val="nil"/>
              <w:bottom w:val="single" w:sz="4" w:space="0" w:color="auto"/>
              <w:right w:val="single" w:sz="4" w:space="0" w:color="auto"/>
            </w:tcBorders>
            <w:shd w:val="clear" w:color="auto" w:fill="auto"/>
            <w:vAlign w:val="center"/>
            <w:hideMark/>
          </w:tcPr>
          <w:p w:rsidR="00956A15" w:rsidRPr="00D200A0" w:rsidP="00956A15" w14:paraId="06F69EF1" w14:textId="329C5B83">
            <w:pPr>
              <w:jc w:val="center"/>
              <w:rPr>
                <w:color w:val="000000"/>
                <w:sz w:val="20"/>
                <w:szCs w:val="20"/>
              </w:rPr>
            </w:pPr>
            <w:r w:rsidRPr="00D200A0">
              <w:rPr>
                <w:color w:val="000000"/>
                <w:sz w:val="20"/>
                <w:szCs w:val="20"/>
              </w:rPr>
              <w:t>$</w:t>
            </w:r>
            <w:r>
              <w:rPr>
                <w:color w:val="000000"/>
                <w:sz w:val="20"/>
                <w:szCs w:val="20"/>
              </w:rPr>
              <w:t>1,569,868</w:t>
            </w:r>
          </w:p>
        </w:tc>
        <w:tc>
          <w:tcPr>
            <w:tcW w:w="222" w:type="dxa"/>
            <w:vAlign w:val="center"/>
            <w:hideMark/>
          </w:tcPr>
          <w:p w:rsidR="00956A15" w:rsidRPr="00D200A0" w:rsidP="00956A15" w14:paraId="3E3C3514" w14:textId="77777777">
            <w:pPr>
              <w:rPr>
                <w:sz w:val="20"/>
                <w:szCs w:val="20"/>
              </w:rPr>
            </w:pPr>
          </w:p>
        </w:tc>
      </w:tr>
      <w:tr w14:paraId="28D2AE0D" w14:textId="77777777" w:rsidTr="00E23D7A">
        <w:tblPrEx>
          <w:tblW w:w="10420" w:type="dxa"/>
          <w:tblLook w:val="04A0"/>
        </w:tblPrEx>
        <w:trPr>
          <w:trHeight w:val="52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956A15" w:rsidRPr="00D200A0" w:rsidP="00956A15" w14:paraId="25CE2B37" w14:textId="758977DE">
            <w:pPr>
              <w:rPr>
                <w:color w:val="000000"/>
                <w:sz w:val="20"/>
                <w:szCs w:val="20"/>
              </w:rPr>
            </w:pPr>
            <w:bookmarkStart w:id="1" w:name="RANGE!A11"/>
            <w:r w:rsidRPr="00D200A0">
              <w:rPr>
                <w:color w:val="000000"/>
                <w:sz w:val="20"/>
                <w:szCs w:val="20"/>
              </w:rPr>
              <w:t xml:space="preserve">Prepare </w:t>
            </w:r>
            <w:r w:rsidRPr="00F042AA">
              <w:rPr>
                <w:color w:val="000000"/>
                <w:sz w:val="20"/>
                <w:szCs w:val="20"/>
              </w:rPr>
              <w:t xml:space="preserve">Relationship and Conflict of Interest </w:t>
            </w:r>
            <w:r w:rsidRPr="00D200A0">
              <w:rPr>
                <w:color w:val="000000"/>
                <w:sz w:val="20"/>
                <w:szCs w:val="20"/>
              </w:rPr>
              <w:t>disclosure (first year)</w:t>
            </w:r>
            <w:bookmarkEnd w:id="1"/>
          </w:p>
        </w:tc>
        <w:tc>
          <w:tcPr>
            <w:tcW w:w="1415" w:type="dxa"/>
            <w:tcBorders>
              <w:top w:val="nil"/>
              <w:left w:val="nil"/>
              <w:bottom w:val="single" w:sz="4" w:space="0" w:color="auto"/>
              <w:right w:val="single" w:sz="4" w:space="0" w:color="auto"/>
            </w:tcBorders>
            <w:shd w:val="clear" w:color="auto" w:fill="auto"/>
            <w:vAlign w:val="center"/>
            <w:hideMark/>
          </w:tcPr>
          <w:p w:rsidR="00956A15" w:rsidRPr="00D200A0" w:rsidP="00956A15" w14:paraId="715CA176" w14:textId="7AD120FA">
            <w:pPr>
              <w:jc w:val="center"/>
              <w:rPr>
                <w:color w:val="000000"/>
                <w:sz w:val="20"/>
                <w:szCs w:val="20"/>
              </w:rPr>
            </w:pPr>
            <w:r>
              <w:rPr>
                <w:color w:val="000000"/>
                <w:sz w:val="20"/>
                <w:szCs w:val="20"/>
              </w:rPr>
              <w:t>17,313</w:t>
            </w:r>
          </w:p>
        </w:tc>
        <w:tc>
          <w:tcPr>
            <w:tcW w:w="1329" w:type="dxa"/>
            <w:tcBorders>
              <w:top w:val="nil"/>
              <w:left w:val="nil"/>
              <w:bottom w:val="single" w:sz="4" w:space="0" w:color="auto"/>
              <w:right w:val="single" w:sz="4" w:space="0" w:color="auto"/>
            </w:tcBorders>
            <w:shd w:val="clear" w:color="auto" w:fill="auto"/>
            <w:vAlign w:val="center"/>
            <w:hideMark/>
          </w:tcPr>
          <w:p w:rsidR="00956A15" w:rsidRPr="00D200A0" w:rsidP="00956A15" w14:paraId="09AB2CD3"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956A15" w:rsidRPr="00D200A0" w:rsidP="00956A15" w14:paraId="06E33EFF" w14:textId="6DD22AF2">
            <w:pPr>
              <w:jc w:val="center"/>
              <w:rPr>
                <w:color w:val="000000"/>
                <w:sz w:val="20"/>
                <w:szCs w:val="20"/>
              </w:rPr>
            </w:pPr>
            <w:r>
              <w:rPr>
                <w:color w:val="000000"/>
                <w:sz w:val="20"/>
                <w:szCs w:val="20"/>
              </w:rPr>
              <w:t>17,313</w:t>
            </w:r>
          </w:p>
        </w:tc>
        <w:tc>
          <w:tcPr>
            <w:tcW w:w="998" w:type="dxa"/>
            <w:tcBorders>
              <w:top w:val="nil"/>
              <w:left w:val="nil"/>
              <w:bottom w:val="single" w:sz="4" w:space="0" w:color="auto"/>
              <w:right w:val="single" w:sz="4" w:space="0" w:color="auto"/>
            </w:tcBorders>
            <w:shd w:val="clear" w:color="auto" w:fill="auto"/>
            <w:vAlign w:val="center"/>
            <w:hideMark/>
          </w:tcPr>
          <w:p w:rsidR="00956A15" w:rsidRPr="00D200A0" w:rsidP="00956A15" w14:paraId="56F473C8" w14:textId="70841441">
            <w:pPr>
              <w:jc w:val="center"/>
              <w:rPr>
                <w:color w:val="000000"/>
                <w:sz w:val="20"/>
                <w:szCs w:val="20"/>
              </w:rPr>
            </w:pPr>
            <w:r>
              <w:rPr>
                <w:color w:val="000000"/>
                <w:sz w:val="20"/>
                <w:szCs w:val="20"/>
              </w:rPr>
              <w:t>1.6599</w:t>
            </w:r>
          </w:p>
        </w:tc>
        <w:tc>
          <w:tcPr>
            <w:tcW w:w="1017" w:type="dxa"/>
            <w:tcBorders>
              <w:top w:val="nil"/>
              <w:left w:val="nil"/>
              <w:bottom w:val="single" w:sz="4" w:space="0" w:color="auto"/>
              <w:right w:val="single" w:sz="4" w:space="0" w:color="auto"/>
            </w:tcBorders>
            <w:shd w:val="clear" w:color="auto" w:fill="auto"/>
            <w:vAlign w:val="center"/>
            <w:hideMark/>
          </w:tcPr>
          <w:p w:rsidR="00956A15" w:rsidRPr="00D200A0" w:rsidP="00956A15" w14:paraId="7B0AB3DE" w14:textId="2DD621B3">
            <w:pPr>
              <w:jc w:val="center"/>
              <w:rPr>
                <w:color w:val="000000"/>
                <w:sz w:val="20"/>
                <w:szCs w:val="20"/>
              </w:rPr>
            </w:pPr>
            <w:r>
              <w:rPr>
                <w:color w:val="000000"/>
                <w:sz w:val="20"/>
                <w:szCs w:val="20"/>
              </w:rPr>
              <w:t>28,738</w:t>
            </w:r>
          </w:p>
        </w:tc>
        <w:tc>
          <w:tcPr>
            <w:tcW w:w="889" w:type="dxa"/>
            <w:tcBorders>
              <w:top w:val="nil"/>
              <w:left w:val="nil"/>
              <w:bottom w:val="single" w:sz="4" w:space="0" w:color="auto"/>
              <w:right w:val="single" w:sz="4" w:space="0" w:color="auto"/>
            </w:tcBorders>
            <w:shd w:val="clear" w:color="auto" w:fill="auto"/>
            <w:vAlign w:val="center"/>
            <w:hideMark/>
          </w:tcPr>
          <w:p w:rsidR="00956A15" w:rsidRPr="00D200A0" w:rsidP="00956A15" w14:paraId="64A34149" w14:textId="77777777">
            <w:pPr>
              <w:jc w:val="center"/>
              <w:rPr>
                <w:color w:val="000000"/>
                <w:sz w:val="20"/>
                <w:szCs w:val="20"/>
              </w:rPr>
            </w:pPr>
            <w:r w:rsidRPr="00D200A0">
              <w:rPr>
                <w:color w:val="000000"/>
                <w:sz w:val="20"/>
                <w:szCs w:val="20"/>
              </w:rPr>
              <w:t>$165.71</w:t>
            </w:r>
          </w:p>
        </w:tc>
        <w:tc>
          <w:tcPr>
            <w:tcW w:w="1358" w:type="dxa"/>
            <w:tcBorders>
              <w:top w:val="nil"/>
              <w:left w:val="nil"/>
              <w:bottom w:val="single" w:sz="4" w:space="0" w:color="auto"/>
              <w:right w:val="single" w:sz="4" w:space="0" w:color="auto"/>
            </w:tcBorders>
            <w:shd w:val="clear" w:color="auto" w:fill="auto"/>
            <w:vAlign w:val="center"/>
            <w:hideMark/>
          </w:tcPr>
          <w:p w:rsidR="00956A15" w:rsidRPr="00D200A0" w:rsidP="00956A15" w14:paraId="660C6E40" w14:textId="5D1CD04C">
            <w:pPr>
              <w:jc w:val="center"/>
              <w:rPr>
                <w:color w:val="000000"/>
                <w:sz w:val="20"/>
                <w:szCs w:val="20"/>
              </w:rPr>
            </w:pPr>
            <w:r w:rsidRPr="00D200A0">
              <w:rPr>
                <w:color w:val="000000"/>
                <w:sz w:val="20"/>
                <w:szCs w:val="20"/>
              </w:rPr>
              <w:t>$</w:t>
            </w:r>
            <w:r>
              <w:rPr>
                <w:color w:val="000000"/>
                <w:sz w:val="20"/>
                <w:szCs w:val="20"/>
              </w:rPr>
              <w:t>4,762,239</w:t>
            </w:r>
            <w:r w:rsidRPr="00D200A0">
              <w:rPr>
                <w:color w:val="000000"/>
                <w:sz w:val="20"/>
                <w:szCs w:val="20"/>
              </w:rPr>
              <w:t xml:space="preserve"> </w:t>
            </w:r>
          </w:p>
        </w:tc>
        <w:tc>
          <w:tcPr>
            <w:tcW w:w="222" w:type="dxa"/>
            <w:vAlign w:val="center"/>
            <w:hideMark/>
          </w:tcPr>
          <w:p w:rsidR="00956A15" w:rsidRPr="00D200A0" w:rsidP="00956A15" w14:paraId="05EE7A33" w14:textId="77777777">
            <w:pPr>
              <w:rPr>
                <w:sz w:val="20"/>
                <w:szCs w:val="20"/>
              </w:rPr>
            </w:pPr>
          </w:p>
        </w:tc>
      </w:tr>
      <w:tr w14:paraId="02230EC9" w14:textId="77777777" w:rsidTr="00E23D7A">
        <w:tblPrEx>
          <w:tblW w:w="10420" w:type="dxa"/>
          <w:tblLook w:val="04A0"/>
        </w:tblPrEx>
        <w:trPr>
          <w:trHeight w:val="52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956A15" w:rsidRPr="00D200A0" w:rsidP="00956A15" w14:paraId="356BF30D" w14:textId="19926C32">
            <w:pPr>
              <w:rPr>
                <w:color w:val="000000"/>
                <w:sz w:val="20"/>
                <w:szCs w:val="20"/>
              </w:rPr>
            </w:pPr>
            <w:r w:rsidRPr="00D200A0">
              <w:rPr>
                <w:color w:val="000000"/>
                <w:sz w:val="20"/>
                <w:szCs w:val="20"/>
              </w:rPr>
              <w:t xml:space="preserve">Provide disclosures to </w:t>
            </w:r>
            <w:r w:rsidR="00B11D99">
              <w:rPr>
                <w:color w:val="000000"/>
                <w:sz w:val="20"/>
                <w:szCs w:val="20"/>
              </w:rPr>
              <w:t>Retirement Investor</w:t>
            </w:r>
            <w:r w:rsidRPr="00D200A0">
              <w:rPr>
                <w:color w:val="000000"/>
                <w:sz w:val="20"/>
                <w:szCs w:val="20"/>
              </w:rPr>
              <w:t>s (annual)</w:t>
            </w:r>
          </w:p>
        </w:tc>
        <w:tc>
          <w:tcPr>
            <w:tcW w:w="1415" w:type="dxa"/>
            <w:tcBorders>
              <w:top w:val="nil"/>
              <w:left w:val="nil"/>
              <w:bottom w:val="single" w:sz="4" w:space="0" w:color="auto"/>
              <w:right w:val="single" w:sz="4" w:space="0" w:color="auto"/>
            </w:tcBorders>
            <w:shd w:val="clear" w:color="auto" w:fill="auto"/>
            <w:vAlign w:val="center"/>
            <w:hideMark/>
          </w:tcPr>
          <w:p w:rsidR="00956A15" w:rsidRPr="00D200A0" w:rsidP="00956A15" w14:paraId="09581AC2" w14:textId="7B2BBDA2">
            <w:pPr>
              <w:jc w:val="center"/>
              <w:rPr>
                <w:color w:val="000000"/>
                <w:sz w:val="20"/>
                <w:szCs w:val="20"/>
              </w:rPr>
            </w:pPr>
            <w:r>
              <w:rPr>
                <w:color w:val="000000"/>
                <w:sz w:val="20"/>
                <w:szCs w:val="20"/>
              </w:rPr>
              <w:t>18,632</w:t>
            </w:r>
          </w:p>
        </w:tc>
        <w:tc>
          <w:tcPr>
            <w:tcW w:w="1329" w:type="dxa"/>
            <w:tcBorders>
              <w:top w:val="nil"/>
              <w:left w:val="nil"/>
              <w:bottom w:val="single" w:sz="4" w:space="0" w:color="auto"/>
              <w:right w:val="single" w:sz="4" w:space="0" w:color="auto"/>
            </w:tcBorders>
            <w:shd w:val="clear" w:color="auto" w:fill="auto"/>
            <w:vAlign w:val="center"/>
            <w:hideMark/>
          </w:tcPr>
          <w:p w:rsidR="00956A15" w:rsidRPr="00D200A0" w:rsidP="00956A15" w14:paraId="14074092" w14:textId="0366D536">
            <w:pPr>
              <w:jc w:val="center"/>
              <w:rPr>
                <w:color w:val="000000"/>
                <w:sz w:val="20"/>
                <w:szCs w:val="20"/>
              </w:rPr>
            </w:pPr>
            <w:r>
              <w:rPr>
                <w:color w:val="000000"/>
                <w:sz w:val="20"/>
                <w:szCs w:val="20"/>
              </w:rPr>
              <w:t>1119.2067</w:t>
            </w:r>
          </w:p>
        </w:tc>
        <w:tc>
          <w:tcPr>
            <w:tcW w:w="1216" w:type="dxa"/>
            <w:tcBorders>
              <w:top w:val="nil"/>
              <w:left w:val="nil"/>
              <w:bottom w:val="single" w:sz="4" w:space="0" w:color="auto"/>
              <w:right w:val="single" w:sz="4" w:space="0" w:color="auto"/>
            </w:tcBorders>
            <w:shd w:val="clear" w:color="auto" w:fill="auto"/>
            <w:vAlign w:val="center"/>
            <w:hideMark/>
          </w:tcPr>
          <w:p w:rsidR="00956A15" w:rsidRPr="00D200A0" w:rsidP="00956A15" w14:paraId="7544EE70" w14:textId="77777777">
            <w:pPr>
              <w:jc w:val="center"/>
              <w:rPr>
                <w:color w:val="000000"/>
                <w:sz w:val="20"/>
                <w:szCs w:val="20"/>
              </w:rPr>
            </w:pPr>
            <w:r w:rsidRPr="00D200A0">
              <w:rPr>
                <w:color w:val="000000"/>
                <w:sz w:val="20"/>
                <w:szCs w:val="20"/>
              </w:rPr>
              <w:t>20,853,378</w:t>
            </w:r>
          </w:p>
        </w:tc>
        <w:tc>
          <w:tcPr>
            <w:tcW w:w="998" w:type="dxa"/>
            <w:tcBorders>
              <w:top w:val="nil"/>
              <w:left w:val="nil"/>
              <w:bottom w:val="single" w:sz="4" w:space="0" w:color="auto"/>
              <w:right w:val="single" w:sz="4" w:space="0" w:color="auto"/>
            </w:tcBorders>
            <w:shd w:val="clear" w:color="auto" w:fill="auto"/>
            <w:vAlign w:val="center"/>
            <w:hideMark/>
          </w:tcPr>
          <w:p w:rsidR="00956A15" w:rsidRPr="00D200A0" w:rsidP="00956A15" w14:paraId="707C30E0" w14:textId="4D8E26A6">
            <w:pPr>
              <w:jc w:val="center"/>
              <w:rPr>
                <w:color w:val="000000"/>
                <w:sz w:val="20"/>
                <w:szCs w:val="20"/>
              </w:rPr>
            </w:pPr>
            <w:r>
              <w:rPr>
                <w:color w:val="000000"/>
                <w:sz w:val="20"/>
                <w:szCs w:val="20"/>
              </w:rPr>
              <w:t>0.0833</w:t>
            </w:r>
          </w:p>
        </w:tc>
        <w:tc>
          <w:tcPr>
            <w:tcW w:w="1017" w:type="dxa"/>
            <w:tcBorders>
              <w:top w:val="nil"/>
              <w:left w:val="nil"/>
              <w:bottom w:val="single" w:sz="4" w:space="0" w:color="auto"/>
              <w:right w:val="single" w:sz="4" w:space="0" w:color="auto"/>
            </w:tcBorders>
            <w:shd w:val="clear" w:color="auto" w:fill="auto"/>
            <w:vAlign w:val="center"/>
            <w:hideMark/>
          </w:tcPr>
          <w:p w:rsidR="00956A15" w:rsidRPr="00D200A0" w:rsidP="00956A15" w14:paraId="676BFAAF" w14:textId="77777777">
            <w:pPr>
              <w:jc w:val="center"/>
              <w:rPr>
                <w:color w:val="000000"/>
                <w:sz w:val="20"/>
                <w:szCs w:val="20"/>
              </w:rPr>
            </w:pPr>
            <w:r w:rsidRPr="00D200A0">
              <w:rPr>
                <w:color w:val="000000"/>
                <w:sz w:val="20"/>
                <w:szCs w:val="20"/>
              </w:rPr>
              <w:t>1,737,781</w:t>
            </w:r>
          </w:p>
        </w:tc>
        <w:tc>
          <w:tcPr>
            <w:tcW w:w="889" w:type="dxa"/>
            <w:tcBorders>
              <w:top w:val="nil"/>
              <w:left w:val="nil"/>
              <w:bottom w:val="single" w:sz="4" w:space="0" w:color="auto"/>
              <w:right w:val="single" w:sz="4" w:space="0" w:color="auto"/>
            </w:tcBorders>
            <w:shd w:val="clear" w:color="auto" w:fill="auto"/>
            <w:vAlign w:val="center"/>
            <w:hideMark/>
          </w:tcPr>
          <w:p w:rsidR="00956A15" w:rsidRPr="00D200A0" w:rsidP="00956A15" w14:paraId="347CE869" w14:textId="77777777">
            <w:pPr>
              <w:jc w:val="center"/>
              <w:rPr>
                <w:color w:val="000000"/>
                <w:sz w:val="20"/>
                <w:szCs w:val="20"/>
              </w:rPr>
            </w:pPr>
            <w:r w:rsidRPr="00D200A0">
              <w:rPr>
                <w:color w:val="000000"/>
                <w:sz w:val="20"/>
                <w:szCs w:val="20"/>
              </w:rPr>
              <w:t>$65.99</w:t>
            </w:r>
          </w:p>
        </w:tc>
        <w:tc>
          <w:tcPr>
            <w:tcW w:w="1358" w:type="dxa"/>
            <w:tcBorders>
              <w:top w:val="nil"/>
              <w:left w:val="nil"/>
              <w:bottom w:val="single" w:sz="4" w:space="0" w:color="auto"/>
              <w:right w:val="single" w:sz="4" w:space="0" w:color="auto"/>
            </w:tcBorders>
            <w:shd w:val="clear" w:color="auto" w:fill="auto"/>
            <w:vAlign w:val="center"/>
            <w:hideMark/>
          </w:tcPr>
          <w:p w:rsidR="00956A15" w:rsidRPr="00D200A0" w:rsidP="00956A15" w14:paraId="36ECE002" w14:textId="77777777">
            <w:pPr>
              <w:jc w:val="center"/>
              <w:rPr>
                <w:color w:val="000000"/>
                <w:sz w:val="20"/>
                <w:szCs w:val="20"/>
              </w:rPr>
            </w:pPr>
            <w:r w:rsidRPr="00D200A0">
              <w:rPr>
                <w:color w:val="000000"/>
                <w:sz w:val="20"/>
                <w:szCs w:val="20"/>
              </w:rPr>
              <w:t xml:space="preserve">$114,676,201 </w:t>
            </w:r>
          </w:p>
        </w:tc>
        <w:tc>
          <w:tcPr>
            <w:tcW w:w="222" w:type="dxa"/>
            <w:vAlign w:val="center"/>
            <w:hideMark/>
          </w:tcPr>
          <w:p w:rsidR="00956A15" w:rsidRPr="00D200A0" w:rsidP="00956A15" w14:paraId="385A7ABA" w14:textId="77777777">
            <w:pPr>
              <w:rPr>
                <w:sz w:val="20"/>
                <w:szCs w:val="20"/>
              </w:rPr>
            </w:pPr>
          </w:p>
        </w:tc>
      </w:tr>
      <w:tr w14:paraId="414F0447" w14:textId="77777777" w:rsidTr="00E23D7A">
        <w:tblPrEx>
          <w:tblW w:w="10420" w:type="dxa"/>
          <w:tblLook w:val="04A0"/>
        </w:tblPrEx>
        <w:trPr>
          <w:trHeight w:val="78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956A15" w:rsidRPr="00D200A0" w:rsidP="00956A15" w14:paraId="15FAE700" w14:textId="214D7882">
            <w:pPr>
              <w:rPr>
                <w:color w:val="000000"/>
                <w:sz w:val="20"/>
                <w:szCs w:val="20"/>
              </w:rPr>
            </w:pPr>
            <w:r w:rsidRPr="00D200A0">
              <w:rPr>
                <w:color w:val="000000"/>
                <w:sz w:val="20"/>
                <w:szCs w:val="20"/>
              </w:rPr>
              <w:t xml:space="preserve">Prepare documentation of </w:t>
            </w:r>
            <w:r w:rsidR="00A60913">
              <w:rPr>
                <w:color w:val="000000"/>
                <w:sz w:val="20"/>
                <w:szCs w:val="20"/>
              </w:rPr>
              <w:t>Plan</w:t>
            </w:r>
            <w:r w:rsidRPr="00D200A0">
              <w:rPr>
                <w:color w:val="000000"/>
                <w:sz w:val="20"/>
                <w:szCs w:val="20"/>
              </w:rPr>
              <w:t>-to-IRA rollover recommendations (annual)</w:t>
            </w:r>
          </w:p>
        </w:tc>
        <w:tc>
          <w:tcPr>
            <w:tcW w:w="1415" w:type="dxa"/>
            <w:tcBorders>
              <w:top w:val="nil"/>
              <w:left w:val="nil"/>
              <w:bottom w:val="single" w:sz="4" w:space="0" w:color="auto"/>
              <w:right w:val="single" w:sz="4" w:space="0" w:color="auto"/>
            </w:tcBorders>
            <w:shd w:val="clear" w:color="auto" w:fill="auto"/>
            <w:vAlign w:val="center"/>
            <w:hideMark/>
          </w:tcPr>
          <w:p w:rsidR="00956A15" w:rsidRPr="00D200A0" w:rsidP="00956A15" w14:paraId="557CA465" w14:textId="30D2C87C">
            <w:pPr>
              <w:jc w:val="center"/>
              <w:rPr>
                <w:color w:val="000000"/>
                <w:sz w:val="20"/>
                <w:szCs w:val="20"/>
              </w:rPr>
            </w:pPr>
            <w:r>
              <w:rPr>
                <w:color w:val="000000"/>
                <w:sz w:val="20"/>
                <w:szCs w:val="20"/>
              </w:rPr>
              <w:t>18,632</w:t>
            </w:r>
          </w:p>
        </w:tc>
        <w:tc>
          <w:tcPr>
            <w:tcW w:w="1329" w:type="dxa"/>
            <w:tcBorders>
              <w:top w:val="nil"/>
              <w:left w:val="nil"/>
              <w:bottom w:val="single" w:sz="4" w:space="0" w:color="auto"/>
              <w:right w:val="single" w:sz="4" w:space="0" w:color="auto"/>
            </w:tcBorders>
            <w:shd w:val="clear" w:color="auto" w:fill="auto"/>
            <w:vAlign w:val="center"/>
            <w:hideMark/>
          </w:tcPr>
          <w:p w:rsidR="00956A15" w:rsidRPr="00D200A0" w:rsidP="00956A15" w14:paraId="29BBACC8" w14:textId="75B726CF">
            <w:pPr>
              <w:jc w:val="center"/>
              <w:rPr>
                <w:color w:val="000000"/>
                <w:sz w:val="20"/>
                <w:szCs w:val="20"/>
              </w:rPr>
            </w:pPr>
            <w:r>
              <w:rPr>
                <w:color w:val="000000"/>
                <w:sz w:val="20"/>
                <w:szCs w:val="20"/>
              </w:rPr>
              <w:t>117.9500</w:t>
            </w:r>
          </w:p>
        </w:tc>
        <w:tc>
          <w:tcPr>
            <w:tcW w:w="1216" w:type="dxa"/>
            <w:tcBorders>
              <w:top w:val="nil"/>
              <w:left w:val="nil"/>
              <w:bottom w:val="single" w:sz="4" w:space="0" w:color="auto"/>
              <w:right w:val="single" w:sz="4" w:space="0" w:color="auto"/>
            </w:tcBorders>
            <w:shd w:val="clear" w:color="auto" w:fill="auto"/>
            <w:vAlign w:val="center"/>
            <w:hideMark/>
          </w:tcPr>
          <w:p w:rsidR="00956A15" w:rsidRPr="00D200A0" w:rsidP="00956A15" w14:paraId="1FE03253" w14:textId="77777777">
            <w:pPr>
              <w:jc w:val="center"/>
              <w:rPr>
                <w:color w:val="000000"/>
                <w:sz w:val="20"/>
                <w:szCs w:val="20"/>
              </w:rPr>
            </w:pPr>
            <w:r w:rsidRPr="00D200A0">
              <w:rPr>
                <w:color w:val="000000"/>
                <w:sz w:val="20"/>
                <w:szCs w:val="20"/>
              </w:rPr>
              <w:t>2,197,679</w:t>
            </w:r>
          </w:p>
        </w:tc>
        <w:tc>
          <w:tcPr>
            <w:tcW w:w="998" w:type="dxa"/>
            <w:tcBorders>
              <w:top w:val="nil"/>
              <w:left w:val="nil"/>
              <w:bottom w:val="single" w:sz="4" w:space="0" w:color="auto"/>
              <w:right w:val="single" w:sz="4" w:space="0" w:color="auto"/>
            </w:tcBorders>
            <w:shd w:val="clear" w:color="auto" w:fill="auto"/>
            <w:vAlign w:val="center"/>
            <w:hideMark/>
          </w:tcPr>
          <w:p w:rsidR="00956A15" w:rsidRPr="00D200A0" w:rsidP="00956A15" w14:paraId="76F7606F" w14:textId="131E79AE">
            <w:pPr>
              <w:jc w:val="center"/>
              <w:rPr>
                <w:color w:val="000000"/>
                <w:sz w:val="20"/>
                <w:szCs w:val="20"/>
              </w:rPr>
            </w:pPr>
            <w:r>
              <w:rPr>
                <w:color w:val="000000"/>
                <w:sz w:val="20"/>
                <w:szCs w:val="20"/>
              </w:rPr>
              <w:t>0.2833</w:t>
            </w:r>
          </w:p>
        </w:tc>
        <w:tc>
          <w:tcPr>
            <w:tcW w:w="1017" w:type="dxa"/>
            <w:tcBorders>
              <w:top w:val="nil"/>
              <w:left w:val="nil"/>
              <w:bottom w:val="single" w:sz="4" w:space="0" w:color="auto"/>
              <w:right w:val="single" w:sz="4" w:space="0" w:color="auto"/>
            </w:tcBorders>
            <w:shd w:val="clear" w:color="auto" w:fill="auto"/>
            <w:vAlign w:val="center"/>
            <w:hideMark/>
          </w:tcPr>
          <w:p w:rsidR="00956A15" w:rsidRPr="00D200A0" w:rsidP="00956A15" w14:paraId="0B3B6AB4" w14:textId="77777777">
            <w:pPr>
              <w:jc w:val="center"/>
              <w:rPr>
                <w:color w:val="000000"/>
                <w:sz w:val="20"/>
                <w:szCs w:val="20"/>
              </w:rPr>
            </w:pPr>
            <w:r w:rsidRPr="00D200A0">
              <w:rPr>
                <w:color w:val="000000"/>
                <w:sz w:val="20"/>
                <w:szCs w:val="20"/>
              </w:rPr>
              <w:t>622,676</w:t>
            </w:r>
          </w:p>
        </w:tc>
        <w:tc>
          <w:tcPr>
            <w:tcW w:w="889" w:type="dxa"/>
            <w:tcBorders>
              <w:top w:val="nil"/>
              <w:left w:val="nil"/>
              <w:bottom w:val="single" w:sz="4" w:space="0" w:color="auto"/>
              <w:right w:val="single" w:sz="4" w:space="0" w:color="auto"/>
            </w:tcBorders>
            <w:shd w:val="clear" w:color="auto" w:fill="auto"/>
            <w:vAlign w:val="center"/>
            <w:hideMark/>
          </w:tcPr>
          <w:p w:rsidR="00956A15" w:rsidRPr="00D200A0" w:rsidP="00956A15" w14:paraId="01792FEB" w14:textId="77777777">
            <w:pPr>
              <w:jc w:val="center"/>
              <w:rPr>
                <w:color w:val="000000"/>
                <w:sz w:val="20"/>
                <w:szCs w:val="20"/>
              </w:rPr>
            </w:pPr>
            <w:r w:rsidRPr="00D200A0">
              <w:rPr>
                <w:color w:val="000000"/>
                <w:sz w:val="20"/>
                <w:szCs w:val="20"/>
              </w:rPr>
              <w:t>$228.00</w:t>
            </w:r>
          </w:p>
        </w:tc>
        <w:tc>
          <w:tcPr>
            <w:tcW w:w="1358" w:type="dxa"/>
            <w:tcBorders>
              <w:top w:val="nil"/>
              <w:left w:val="nil"/>
              <w:bottom w:val="single" w:sz="4" w:space="0" w:color="auto"/>
              <w:right w:val="single" w:sz="4" w:space="0" w:color="auto"/>
            </w:tcBorders>
            <w:shd w:val="clear" w:color="auto" w:fill="auto"/>
            <w:vAlign w:val="center"/>
            <w:hideMark/>
          </w:tcPr>
          <w:p w:rsidR="00956A15" w:rsidRPr="00D200A0" w:rsidP="00956A15" w14:paraId="21300A83" w14:textId="77777777">
            <w:pPr>
              <w:jc w:val="center"/>
              <w:rPr>
                <w:color w:val="000000"/>
                <w:sz w:val="20"/>
                <w:szCs w:val="20"/>
              </w:rPr>
            </w:pPr>
            <w:r w:rsidRPr="00D200A0">
              <w:rPr>
                <w:color w:val="000000"/>
                <w:sz w:val="20"/>
                <w:szCs w:val="20"/>
              </w:rPr>
              <w:t xml:space="preserve">$141,970,058 </w:t>
            </w:r>
          </w:p>
        </w:tc>
        <w:tc>
          <w:tcPr>
            <w:tcW w:w="222" w:type="dxa"/>
            <w:vAlign w:val="center"/>
            <w:hideMark/>
          </w:tcPr>
          <w:p w:rsidR="00956A15" w:rsidRPr="00D200A0" w:rsidP="00956A15" w14:paraId="4B1009A6" w14:textId="77777777">
            <w:pPr>
              <w:rPr>
                <w:sz w:val="20"/>
                <w:szCs w:val="20"/>
              </w:rPr>
            </w:pPr>
          </w:p>
        </w:tc>
      </w:tr>
      <w:tr w14:paraId="46546044" w14:textId="77777777">
        <w:tblPrEx>
          <w:tblW w:w="10420" w:type="dxa"/>
          <w:tblLook w:val="04A0"/>
        </w:tblPrEx>
        <w:trPr>
          <w:trHeight w:val="290"/>
        </w:trPr>
        <w:tc>
          <w:tcPr>
            <w:tcW w:w="1019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D200A0" w14:paraId="0F63E738" w14:textId="77777777">
            <w:pPr>
              <w:jc w:val="center"/>
              <w:rPr>
                <w:i/>
                <w:iCs/>
                <w:color w:val="000000"/>
                <w:sz w:val="20"/>
                <w:szCs w:val="20"/>
              </w:rPr>
            </w:pPr>
            <w:r w:rsidRPr="00D200A0">
              <w:rPr>
                <w:i/>
                <w:iCs/>
                <w:color w:val="000000"/>
                <w:sz w:val="20"/>
                <w:szCs w:val="20"/>
              </w:rPr>
              <w:t>Annual Report of Retrospective Review</w:t>
            </w:r>
          </w:p>
        </w:tc>
        <w:tc>
          <w:tcPr>
            <w:tcW w:w="222" w:type="dxa"/>
            <w:vAlign w:val="center"/>
            <w:hideMark/>
          </w:tcPr>
          <w:p w:rsidR="00BC1512" w:rsidRPr="00D200A0" w14:paraId="06AA1781" w14:textId="77777777">
            <w:pPr>
              <w:rPr>
                <w:sz w:val="20"/>
                <w:szCs w:val="20"/>
              </w:rPr>
            </w:pPr>
          </w:p>
        </w:tc>
      </w:tr>
      <w:tr w14:paraId="0AEEA991" w14:textId="77777777" w:rsidTr="00E23D7A">
        <w:tblPrEx>
          <w:tblW w:w="10420" w:type="dxa"/>
          <w:tblLook w:val="04A0"/>
        </w:tblPrEx>
        <w:trPr>
          <w:trHeight w:val="29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E23D7A" w:rsidRPr="00D200A0" w:rsidP="00E23D7A" w14:paraId="2DFDF795" w14:textId="77777777">
            <w:pPr>
              <w:rPr>
                <w:color w:val="000000"/>
                <w:sz w:val="20"/>
                <w:szCs w:val="20"/>
              </w:rPr>
            </w:pPr>
            <w:r w:rsidRPr="00D200A0">
              <w:rPr>
                <w:color w:val="000000"/>
                <w:sz w:val="20"/>
                <w:szCs w:val="20"/>
              </w:rPr>
              <w:t>Develop report (annual)</w:t>
            </w:r>
          </w:p>
        </w:tc>
        <w:tc>
          <w:tcPr>
            <w:tcW w:w="1415" w:type="dxa"/>
            <w:tcBorders>
              <w:top w:val="nil"/>
              <w:left w:val="nil"/>
              <w:bottom w:val="single" w:sz="4" w:space="0" w:color="auto"/>
              <w:right w:val="single" w:sz="4" w:space="0" w:color="auto"/>
            </w:tcBorders>
            <w:shd w:val="clear" w:color="auto" w:fill="auto"/>
            <w:vAlign w:val="center"/>
            <w:hideMark/>
          </w:tcPr>
          <w:p w:rsidR="00E23D7A" w:rsidRPr="00D200A0" w:rsidP="00E23D7A" w14:paraId="030FD1AB" w14:textId="08734A28">
            <w:pPr>
              <w:jc w:val="center"/>
              <w:rPr>
                <w:color w:val="000000"/>
                <w:sz w:val="20"/>
                <w:szCs w:val="20"/>
              </w:rPr>
            </w:pPr>
            <w:r>
              <w:rPr>
                <w:color w:val="000000"/>
                <w:sz w:val="20"/>
                <w:szCs w:val="20"/>
              </w:rPr>
              <w:t>355</w:t>
            </w:r>
          </w:p>
        </w:tc>
        <w:tc>
          <w:tcPr>
            <w:tcW w:w="1329" w:type="dxa"/>
            <w:tcBorders>
              <w:top w:val="nil"/>
              <w:left w:val="nil"/>
              <w:bottom w:val="single" w:sz="4" w:space="0" w:color="auto"/>
              <w:right w:val="single" w:sz="4" w:space="0" w:color="auto"/>
            </w:tcBorders>
            <w:shd w:val="clear" w:color="auto" w:fill="auto"/>
            <w:vAlign w:val="center"/>
            <w:hideMark/>
          </w:tcPr>
          <w:p w:rsidR="00E23D7A" w:rsidRPr="00D200A0" w:rsidP="00E23D7A" w14:paraId="10EB4BFD"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E23D7A" w:rsidRPr="00D200A0" w:rsidP="00E23D7A" w14:paraId="2DCEEB9A" w14:textId="5CD856FC">
            <w:pPr>
              <w:jc w:val="center"/>
              <w:rPr>
                <w:color w:val="000000"/>
                <w:sz w:val="20"/>
                <w:szCs w:val="20"/>
              </w:rPr>
            </w:pPr>
            <w:r>
              <w:rPr>
                <w:color w:val="000000"/>
                <w:sz w:val="20"/>
                <w:szCs w:val="20"/>
              </w:rPr>
              <w:t>355</w:t>
            </w:r>
          </w:p>
        </w:tc>
        <w:tc>
          <w:tcPr>
            <w:tcW w:w="998" w:type="dxa"/>
            <w:tcBorders>
              <w:top w:val="nil"/>
              <w:left w:val="nil"/>
              <w:bottom w:val="single" w:sz="4" w:space="0" w:color="auto"/>
              <w:right w:val="single" w:sz="4" w:space="0" w:color="auto"/>
            </w:tcBorders>
            <w:shd w:val="clear" w:color="auto" w:fill="auto"/>
            <w:vAlign w:val="center"/>
            <w:hideMark/>
          </w:tcPr>
          <w:p w:rsidR="00E23D7A" w:rsidRPr="00D200A0" w:rsidP="00E23D7A" w14:paraId="76313062" w14:textId="4D73DF6E">
            <w:pPr>
              <w:jc w:val="center"/>
              <w:rPr>
                <w:color w:val="000000"/>
                <w:sz w:val="20"/>
                <w:szCs w:val="20"/>
              </w:rPr>
            </w:pPr>
            <w:r>
              <w:rPr>
                <w:color w:val="000000"/>
                <w:sz w:val="20"/>
                <w:szCs w:val="20"/>
              </w:rPr>
              <w:t>8.8984</w:t>
            </w:r>
          </w:p>
        </w:tc>
        <w:tc>
          <w:tcPr>
            <w:tcW w:w="1017" w:type="dxa"/>
            <w:tcBorders>
              <w:top w:val="nil"/>
              <w:left w:val="nil"/>
              <w:bottom w:val="single" w:sz="4" w:space="0" w:color="auto"/>
              <w:right w:val="single" w:sz="4" w:space="0" w:color="auto"/>
            </w:tcBorders>
            <w:shd w:val="clear" w:color="auto" w:fill="auto"/>
            <w:vAlign w:val="center"/>
            <w:hideMark/>
          </w:tcPr>
          <w:p w:rsidR="00E23D7A" w:rsidRPr="00D200A0" w:rsidP="00E23D7A" w14:paraId="581A1DB4" w14:textId="4D175FC0">
            <w:pPr>
              <w:jc w:val="center"/>
              <w:rPr>
                <w:color w:val="000000"/>
                <w:sz w:val="20"/>
                <w:szCs w:val="20"/>
              </w:rPr>
            </w:pPr>
            <w:r w:rsidRPr="00D200A0">
              <w:rPr>
                <w:color w:val="000000"/>
                <w:sz w:val="20"/>
                <w:szCs w:val="20"/>
              </w:rPr>
              <w:t>3,</w:t>
            </w:r>
            <w:r>
              <w:rPr>
                <w:color w:val="000000"/>
                <w:sz w:val="20"/>
                <w:szCs w:val="20"/>
              </w:rPr>
              <w:t>156</w:t>
            </w:r>
          </w:p>
        </w:tc>
        <w:tc>
          <w:tcPr>
            <w:tcW w:w="889" w:type="dxa"/>
            <w:tcBorders>
              <w:top w:val="nil"/>
              <w:left w:val="nil"/>
              <w:bottom w:val="single" w:sz="4" w:space="0" w:color="auto"/>
              <w:right w:val="single" w:sz="4" w:space="0" w:color="auto"/>
            </w:tcBorders>
            <w:shd w:val="clear" w:color="auto" w:fill="auto"/>
            <w:vAlign w:val="center"/>
            <w:hideMark/>
          </w:tcPr>
          <w:p w:rsidR="00E23D7A" w:rsidRPr="00D200A0" w:rsidP="00E23D7A" w14:paraId="7CF27733" w14:textId="77777777">
            <w:pPr>
              <w:jc w:val="center"/>
              <w:rPr>
                <w:color w:val="000000"/>
                <w:sz w:val="20"/>
                <w:szCs w:val="20"/>
              </w:rPr>
            </w:pPr>
            <w:r w:rsidRPr="00D200A0">
              <w:rPr>
                <w:color w:val="000000"/>
                <w:sz w:val="20"/>
                <w:szCs w:val="20"/>
              </w:rPr>
              <w:t>$165.71</w:t>
            </w:r>
          </w:p>
        </w:tc>
        <w:tc>
          <w:tcPr>
            <w:tcW w:w="1358" w:type="dxa"/>
            <w:tcBorders>
              <w:top w:val="nil"/>
              <w:left w:val="nil"/>
              <w:bottom w:val="single" w:sz="4" w:space="0" w:color="auto"/>
              <w:right w:val="single" w:sz="4" w:space="0" w:color="auto"/>
            </w:tcBorders>
            <w:shd w:val="clear" w:color="auto" w:fill="auto"/>
            <w:vAlign w:val="center"/>
            <w:hideMark/>
          </w:tcPr>
          <w:p w:rsidR="00E23D7A" w:rsidRPr="00D200A0" w:rsidP="00E23D7A" w14:paraId="7CD3E68B" w14:textId="0118BE77">
            <w:pPr>
              <w:jc w:val="center"/>
              <w:rPr>
                <w:color w:val="000000"/>
                <w:sz w:val="20"/>
                <w:szCs w:val="20"/>
              </w:rPr>
            </w:pPr>
            <w:r w:rsidRPr="00D200A0">
              <w:rPr>
                <w:color w:val="000000"/>
                <w:sz w:val="20"/>
                <w:szCs w:val="20"/>
              </w:rPr>
              <w:t>$</w:t>
            </w:r>
            <w:r>
              <w:rPr>
                <w:color w:val="000000"/>
                <w:sz w:val="20"/>
                <w:szCs w:val="20"/>
              </w:rPr>
              <w:t>522,907</w:t>
            </w:r>
          </w:p>
        </w:tc>
        <w:tc>
          <w:tcPr>
            <w:tcW w:w="222" w:type="dxa"/>
            <w:vAlign w:val="center"/>
            <w:hideMark/>
          </w:tcPr>
          <w:p w:rsidR="00E23D7A" w:rsidRPr="00D200A0" w:rsidP="00E23D7A" w14:paraId="68406EFC" w14:textId="77777777">
            <w:pPr>
              <w:rPr>
                <w:sz w:val="20"/>
                <w:szCs w:val="20"/>
              </w:rPr>
            </w:pPr>
          </w:p>
        </w:tc>
      </w:tr>
      <w:tr w14:paraId="7407390B" w14:textId="77777777" w:rsidTr="00E23D7A">
        <w:tblPrEx>
          <w:tblW w:w="10420" w:type="dxa"/>
          <w:tblLook w:val="04A0"/>
        </w:tblPrEx>
        <w:trPr>
          <w:trHeight w:val="78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E23D7A" w:rsidRPr="00D200A0" w:rsidP="00E23D7A" w14:paraId="00EBE85C" w14:textId="77777777">
            <w:pPr>
              <w:rPr>
                <w:color w:val="000000"/>
                <w:sz w:val="20"/>
                <w:szCs w:val="20"/>
              </w:rPr>
            </w:pPr>
            <w:r w:rsidRPr="00D200A0">
              <w:rPr>
                <w:color w:val="000000"/>
                <w:sz w:val="20"/>
                <w:szCs w:val="20"/>
              </w:rPr>
              <w:t>Revise existing report to comply with PTE 2020-02 (annual)</w:t>
            </w:r>
          </w:p>
        </w:tc>
        <w:tc>
          <w:tcPr>
            <w:tcW w:w="1415" w:type="dxa"/>
            <w:tcBorders>
              <w:top w:val="nil"/>
              <w:left w:val="nil"/>
              <w:bottom w:val="single" w:sz="4" w:space="0" w:color="auto"/>
              <w:right w:val="single" w:sz="4" w:space="0" w:color="auto"/>
            </w:tcBorders>
            <w:shd w:val="clear" w:color="auto" w:fill="auto"/>
            <w:vAlign w:val="center"/>
            <w:hideMark/>
          </w:tcPr>
          <w:p w:rsidR="00E23D7A" w:rsidRPr="00D200A0" w:rsidP="00E23D7A" w14:paraId="753DCC3D" w14:textId="67CDEB91">
            <w:pPr>
              <w:jc w:val="center"/>
              <w:rPr>
                <w:color w:val="000000"/>
                <w:sz w:val="20"/>
                <w:szCs w:val="20"/>
              </w:rPr>
            </w:pPr>
            <w:r>
              <w:rPr>
                <w:color w:val="000000"/>
                <w:sz w:val="20"/>
                <w:szCs w:val="20"/>
              </w:rPr>
              <w:t>18,278</w:t>
            </w:r>
          </w:p>
        </w:tc>
        <w:tc>
          <w:tcPr>
            <w:tcW w:w="1329" w:type="dxa"/>
            <w:tcBorders>
              <w:top w:val="nil"/>
              <w:left w:val="nil"/>
              <w:bottom w:val="single" w:sz="4" w:space="0" w:color="auto"/>
              <w:right w:val="single" w:sz="4" w:space="0" w:color="auto"/>
            </w:tcBorders>
            <w:shd w:val="clear" w:color="auto" w:fill="auto"/>
            <w:vAlign w:val="center"/>
            <w:hideMark/>
          </w:tcPr>
          <w:p w:rsidR="00E23D7A" w:rsidRPr="00D200A0" w:rsidP="00E23D7A" w14:paraId="5ED1308D"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E23D7A" w:rsidRPr="00D200A0" w:rsidP="00E23D7A" w14:paraId="1A408849" w14:textId="570A7FAC">
            <w:pPr>
              <w:jc w:val="center"/>
              <w:rPr>
                <w:color w:val="000000"/>
                <w:sz w:val="20"/>
                <w:szCs w:val="20"/>
              </w:rPr>
            </w:pPr>
            <w:r>
              <w:rPr>
                <w:color w:val="000000"/>
                <w:sz w:val="20"/>
                <w:szCs w:val="20"/>
              </w:rPr>
              <w:t>18,278</w:t>
            </w:r>
          </w:p>
        </w:tc>
        <w:tc>
          <w:tcPr>
            <w:tcW w:w="998" w:type="dxa"/>
            <w:tcBorders>
              <w:top w:val="nil"/>
              <w:left w:val="nil"/>
              <w:bottom w:val="single" w:sz="4" w:space="0" w:color="auto"/>
              <w:right w:val="single" w:sz="4" w:space="0" w:color="auto"/>
            </w:tcBorders>
            <w:shd w:val="clear" w:color="auto" w:fill="auto"/>
            <w:vAlign w:val="center"/>
            <w:hideMark/>
          </w:tcPr>
          <w:p w:rsidR="00E23D7A" w:rsidRPr="00D200A0" w:rsidP="00E23D7A" w14:paraId="38B9240C" w14:textId="0431E71B">
            <w:pPr>
              <w:jc w:val="center"/>
              <w:rPr>
                <w:color w:val="000000"/>
                <w:sz w:val="20"/>
                <w:szCs w:val="20"/>
              </w:rPr>
            </w:pPr>
            <w:r>
              <w:rPr>
                <w:color w:val="000000"/>
                <w:sz w:val="20"/>
                <w:szCs w:val="20"/>
              </w:rPr>
              <w:t>1.8111</w:t>
            </w:r>
          </w:p>
        </w:tc>
        <w:tc>
          <w:tcPr>
            <w:tcW w:w="1017" w:type="dxa"/>
            <w:tcBorders>
              <w:top w:val="nil"/>
              <w:left w:val="nil"/>
              <w:bottom w:val="single" w:sz="4" w:space="0" w:color="auto"/>
              <w:right w:val="single" w:sz="4" w:space="0" w:color="auto"/>
            </w:tcBorders>
            <w:shd w:val="clear" w:color="auto" w:fill="auto"/>
            <w:vAlign w:val="center"/>
            <w:hideMark/>
          </w:tcPr>
          <w:p w:rsidR="00E23D7A" w:rsidRPr="00D200A0" w:rsidP="00E23D7A" w14:paraId="31A8BDCC" w14:textId="0A1FB143">
            <w:pPr>
              <w:jc w:val="center"/>
              <w:rPr>
                <w:color w:val="000000"/>
                <w:sz w:val="20"/>
                <w:szCs w:val="20"/>
              </w:rPr>
            </w:pPr>
            <w:r>
              <w:rPr>
                <w:color w:val="000000"/>
                <w:sz w:val="20"/>
                <w:szCs w:val="20"/>
              </w:rPr>
              <w:t>33,103</w:t>
            </w:r>
          </w:p>
        </w:tc>
        <w:tc>
          <w:tcPr>
            <w:tcW w:w="889" w:type="dxa"/>
            <w:tcBorders>
              <w:top w:val="nil"/>
              <w:left w:val="nil"/>
              <w:bottom w:val="single" w:sz="4" w:space="0" w:color="auto"/>
              <w:right w:val="single" w:sz="4" w:space="0" w:color="auto"/>
            </w:tcBorders>
            <w:shd w:val="clear" w:color="auto" w:fill="auto"/>
            <w:vAlign w:val="center"/>
            <w:hideMark/>
          </w:tcPr>
          <w:p w:rsidR="00E23D7A" w:rsidRPr="00D200A0" w:rsidP="00E23D7A" w14:paraId="318601FE" w14:textId="77777777">
            <w:pPr>
              <w:jc w:val="center"/>
              <w:rPr>
                <w:color w:val="000000"/>
                <w:sz w:val="20"/>
                <w:szCs w:val="20"/>
              </w:rPr>
            </w:pPr>
            <w:r w:rsidRPr="00D200A0">
              <w:rPr>
                <w:color w:val="000000"/>
                <w:sz w:val="20"/>
                <w:szCs w:val="20"/>
              </w:rPr>
              <w:t>$165.71</w:t>
            </w:r>
          </w:p>
        </w:tc>
        <w:tc>
          <w:tcPr>
            <w:tcW w:w="1358" w:type="dxa"/>
            <w:tcBorders>
              <w:top w:val="nil"/>
              <w:left w:val="nil"/>
              <w:bottom w:val="single" w:sz="4" w:space="0" w:color="auto"/>
              <w:right w:val="single" w:sz="4" w:space="0" w:color="auto"/>
            </w:tcBorders>
            <w:shd w:val="clear" w:color="auto" w:fill="auto"/>
            <w:vAlign w:val="center"/>
            <w:hideMark/>
          </w:tcPr>
          <w:p w:rsidR="00E23D7A" w:rsidRPr="00D200A0" w:rsidP="00E23D7A" w14:paraId="7D0740AA" w14:textId="39FD45ED">
            <w:pPr>
              <w:jc w:val="center"/>
              <w:rPr>
                <w:color w:val="000000"/>
                <w:sz w:val="20"/>
                <w:szCs w:val="20"/>
              </w:rPr>
            </w:pPr>
            <w:r w:rsidRPr="00D200A0">
              <w:rPr>
                <w:color w:val="000000"/>
                <w:sz w:val="20"/>
                <w:szCs w:val="20"/>
              </w:rPr>
              <w:t>$</w:t>
            </w:r>
            <w:r>
              <w:rPr>
                <w:color w:val="000000"/>
                <w:sz w:val="20"/>
                <w:szCs w:val="20"/>
              </w:rPr>
              <w:t>5,485,436</w:t>
            </w:r>
            <w:r w:rsidRPr="00D200A0">
              <w:rPr>
                <w:color w:val="000000"/>
                <w:sz w:val="20"/>
                <w:szCs w:val="20"/>
              </w:rPr>
              <w:t xml:space="preserve"> </w:t>
            </w:r>
          </w:p>
        </w:tc>
        <w:tc>
          <w:tcPr>
            <w:tcW w:w="222" w:type="dxa"/>
            <w:vAlign w:val="center"/>
            <w:hideMark/>
          </w:tcPr>
          <w:p w:rsidR="00E23D7A" w:rsidRPr="00D200A0" w:rsidP="00E23D7A" w14:paraId="1A48C055" w14:textId="77777777">
            <w:pPr>
              <w:rPr>
                <w:sz w:val="20"/>
                <w:szCs w:val="20"/>
              </w:rPr>
            </w:pPr>
          </w:p>
        </w:tc>
      </w:tr>
      <w:tr w14:paraId="7D858156" w14:textId="77777777" w:rsidTr="00E23D7A">
        <w:tblPrEx>
          <w:tblW w:w="10420" w:type="dxa"/>
          <w:tblLook w:val="04A0"/>
        </w:tblPrEx>
        <w:trPr>
          <w:trHeight w:val="52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E23D7A" w:rsidRPr="00D200A0" w:rsidP="00E23D7A" w14:paraId="542455BA" w14:textId="77777777">
            <w:pPr>
              <w:rPr>
                <w:color w:val="000000"/>
                <w:sz w:val="20"/>
                <w:szCs w:val="20"/>
              </w:rPr>
            </w:pPr>
            <w:r w:rsidRPr="00D200A0">
              <w:rPr>
                <w:color w:val="000000"/>
                <w:sz w:val="20"/>
                <w:szCs w:val="20"/>
              </w:rPr>
              <w:t>Review and certify report (annual)</w:t>
            </w:r>
          </w:p>
        </w:tc>
        <w:tc>
          <w:tcPr>
            <w:tcW w:w="1415" w:type="dxa"/>
            <w:tcBorders>
              <w:top w:val="nil"/>
              <w:left w:val="nil"/>
              <w:bottom w:val="single" w:sz="4" w:space="0" w:color="auto"/>
              <w:right w:val="single" w:sz="4" w:space="0" w:color="auto"/>
            </w:tcBorders>
            <w:shd w:val="clear" w:color="auto" w:fill="auto"/>
            <w:vAlign w:val="center"/>
            <w:hideMark/>
          </w:tcPr>
          <w:p w:rsidR="00E23D7A" w:rsidRPr="00D200A0" w:rsidP="00E23D7A" w14:paraId="10F9AECB" w14:textId="12ABDBF9">
            <w:pPr>
              <w:jc w:val="center"/>
              <w:rPr>
                <w:color w:val="000000"/>
                <w:sz w:val="20"/>
                <w:szCs w:val="20"/>
              </w:rPr>
            </w:pPr>
            <w:r>
              <w:rPr>
                <w:color w:val="000000"/>
                <w:sz w:val="20"/>
                <w:szCs w:val="20"/>
              </w:rPr>
              <w:t>18,632</w:t>
            </w:r>
          </w:p>
        </w:tc>
        <w:tc>
          <w:tcPr>
            <w:tcW w:w="1329" w:type="dxa"/>
            <w:tcBorders>
              <w:top w:val="nil"/>
              <w:left w:val="nil"/>
              <w:bottom w:val="single" w:sz="4" w:space="0" w:color="auto"/>
              <w:right w:val="single" w:sz="4" w:space="0" w:color="auto"/>
            </w:tcBorders>
            <w:shd w:val="clear" w:color="auto" w:fill="auto"/>
            <w:vAlign w:val="center"/>
            <w:hideMark/>
          </w:tcPr>
          <w:p w:rsidR="00E23D7A" w:rsidRPr="00D200A0" w:rsidP="00E23D7A" w14:paraId="55B35CA4"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E23D7A" w:rsidRPr="00D200A0" w:rsidP="00E23D7A" w14:paraId="5CF5D093" w14:textId="497394D1">
            <w:pPr>
              <w:jc w:val="center"/>
              <w:rPr>
                <w:color w:val="000000"/>
                <w:sz w:val="20"/>
                <w:szCs w:val="20"/>
              </w:rPr>
            </w:pPr>
            <w:r>
              <w:rPr>
                <w:color w:val="000000"/>
                <w:sz w:val="20"/>
                <w:szCs w:val="20"/>
              </w:rPr>
              <w:t>18,632</w:t>
            </w:r>
          </w:p>
        </w:tc>
        <w:tc>
          <w:tcPr>
            <w:tcW w:w="998" w:type="dxa"/>
            <w:tcBorders>
              <w:top w:val="nil"/>
              <w:left w:val="nil"/>
              <w:bottom w:val="single" w:sz="4" w:space="0" w:color="auto"/>
              <w:right w:val="single" w:sz="4" w:space="0" w:color="auto"/>
            </w:tcBorders>
            <w:shd w:val="clear" w:color="auto" w:fill="auto"/>
            <w:vAlign w:val="center"/>
            <w:hideMark/>
          </w:tcPr>
          <w:p w:rsidR="00E23D7A" w:rsidRPr="00D200A0" w:rsidP="00E23D7A" w14:paraId="5D4F7ECD" w14:textId="09101A46">
            <w:pPr>
              <w:jc w:val="center"/>
              <w:rPr>
                <w:color w:val="000000"/>
                <w:sz w:val="20"/>
                <w:szCs w:val="20"/>
              </w:rPr>
            </w:pPr>
            <w:r>
              <w:rPr>
                <w:color w:val="000000"/>
                <w:sz w:val="20"/>
                <w:szCs w:val="20"/>
              </w:rPr>
              <w:t>3.6210</w:t>
            </w:r>
          </w:p>
        </w:tc>
        <w:tc>
          <w:tcPr>
            <w:tcW w:w="1017" w:type="dxa"/>
            <w:tcBorders>
              <w:top w:val="nil"/>
              <w:left w:val="nil"/>
              <w:bottom w:val="single" w:sz="4" w:space="0" w:color="auto"/>
              <w:right w:val="single" w:sz="4" w:space="0" w:color="auto"/>
            </w:tcBorders>
            <w:shd w:val="clear" w:color="auto" w:fill="auto"/>
            <w:vAlign w:val="center"/>
            <w:hideMark/>
          </w:tcPr>
          <w:p w:rsidR="00E23D7A" w:rsidRPr="00D200A0" w:rsidP="00E23D7A" w14:paraId="4DC071C9" w14:textId="674DDA21">
            <w:pPr>
              <w:jc w:val="center"/>
              <w:rPr>
                <w:color w:val="000000"/>
                <w:sz w:val="20"/>
                <w:szCs w:val="20"/>
              </w:rPr>
            </w:pPr>
            <w:r>
              <w:rPr>
                <w:color w:val="000000"/>
                <w:sz w:val="20"/>
                <w:szCs w:val="20"/>
              </w:rPr>
              <w:t>67,467</w:t>
            </w:r>
          </w:p>
        </w:tc>
        <w:tc>
          <w:tcPr>
            <w:tcW w:w="889" w:type="dxa"/>
            <w:tcBorders>
              <w:top w:val="nil"/>
              <w:left w:val="nil"/>
              <w:bottom w:val="single" w:sz="4" w:space="0" w:color="auto"/>
              <w:right w:val="single" w:sz="4" w:space="0" w:color="auto"/>
            </w:tcBorders>
            <w:shd w:val="clear" w:color="auto" w:fill="auto"/>
            <w:vAlign w:val="center"/>
            <w:hideMark/>
          </w:tcPr>
          <w:p w:rsidR="00E23D7A" w:rsidRPr="00D200A0" w:rsidP="00E23D7A" w14:paraId="6ADA1AC3" w14:textId="77777777">
            <w:pPr>
              <w:jc w:val="center"/>
              <w:rPr>
                <w:color w:val="000000"/>
                <w:sz w:val="20"/>
                <w:szCs w:val="20"/>
              </w:rPr>
            </w:pPr>
            <w:r w:rsidRPr="00D200A0">
              <w:rPr>
                <w:color w:val="000000"/>
                <w:sz w:val="20"/>
                <w:szCs w:val="20"/>
              </w:rPr>
              <w:t>$198.25</w:t>
            </w:r>
          </w:p>
        </w:tc>
        <w:tc>
          <w:tcPr>
            <w:tcW w:w="1358" w:type="dxa"/>
            <w:tcBorders>
              <w:top w:val="nil"/>
              <w:left w:val="nil"/>
              <w:bottom w:val="single" w:sz="4" w:space="0" w:color="auto"/>
              <w:right w:val="single" w:sz="4" w:space="0" w:color="auto"/>
            </w:tcBorders>
            <w:shd w:val="clear" w:color="auto" w:fill="auto"/>
            <w:vAlign w:val="center"/>
            <w:hideMark/>
          </w:tcPr>
          <w:p w:rsidR="00E23D7A" w:rsidRPr="00D200A0" w:rsidP="00E23D7A" w14:paraId="4C419683" w14:textId="6355E5BE">
            <w:pPr>
              <w:jc w:val="center"/>
              <w:rPr>
                <w:color w:val="000000"/>
                <w:sz w:val="20"/>
                <w:szCs w:val="20"/>
              </w:rPr>
            </w:pPr>
            <w:r w:rsidRPr="00D200A0">
              <w:rPr>
                <w:color w:val="000000"/>
                <w:sz w:val="20"/>
                <w:szCs w:val="20"/>
              </w:rPr>
              <w:t>$</w:t>
            </w:r>
            <w:r>
              <w:rPr>
                <w:color w:val="000000"/>
                <w:sz w:val="20"/>
                <w:szCs w:val="20"/>
              </w:rPr>
              <w:t>13,375,426</w:t>
            </w:r>
          </w:p>
        </w:tc>
        <w:tc>
          <w:tcPr>
            <w:tcW w:w="222" w:type="dxa"/>
            <w:vAlign w:val="center"/>
            <w:hideMark/>
          </w:tcPr>
          <w:p w:rsidR="00E23D7A" w:rsidRPr="00D200A0" w:rsidP="00E23D7A" w14:paraId="0B37FA2F" w14:textId="77777777">
            <w:pPr>
              <w:rPr>
                <w:sz w:val="20"/>
                <w:szCs w:val="20"/>
              </w:rPr>
            </w:pPr>
          </w:p>
        </w:tc>
      </w:tr>
      <w:tr w14:paraId="456D7D10" w14:textId="77777777">
        <w:tblPrEx>
          <w:tblW w:w="10420" w:type="dxa"/>
          <w:tblLook w:val="04A0"/>
        </w:tblPrEx>
        <w:trPr>
          <w:trHeight w:val="290"/>
        </w:trPr>
        <w:tc>
          <w:tcPr>
            <w:tcW w:w="1019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1512" w:rsidRPr="00D200A0" w14:paraId="05BFBD27" w14:textId="77777777">
            <w:pPr>
              <w:jc w:val="center"/>
              <w:rPr>
                <w:i/>
                <w:iCs/>
                <w:color w:val="000000"/>
                <w:sz w:val="20"/>
                <w:szCs w:val="20"/>
              </w:rPr>
            </w:pPr>
            <w:r w:rsidRPr="00D200A0">
              <w:rPr>
                <w:i/>
                <w:iCs/>
                <w:color w:val="000000"/>
                <w:sz w:val="20"/>
                <w:szCs w:val="20"/>
              </w:rPr>
              <w:t>Written Policies and Procedures</w:t>
            </w:r>
          </w:p>
        </w:tc>
        <w:tc>
          <w:tcPr>
            <w:tcW w:w="222" w:type="dxa"/>
            <w:vAlign w:val="center"/>
            <w:hideMark/>
          </w:tcPr>
          <w:p w:rsidR="00BC1512" w:rsidRPr="00D200A0" w14:paraId="27C82CDA" w14:textId="77777777">
            <w:pPr>
              <w:rPr>
                <w:sz w:val="20"/>
                <w:szCs w:val="20"/>
              </w:rPr>
            </w:pPr>
          </w:p>
        </w:tc>
      </w:tr>
      <w:tr w14:paraId="3D602C92" w14:textId="77777777" w:rsidTr="00E23D7A">
        <w:tblPrEx>
          <w:tblW w:w="10420" w:type="dxa"/>
          <w:tblLook w:val="04A0"/>
        </w:tblPrEx>
        <w:trPr>
          <w:trHeight w:val="104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C1512" w:rsidRPr="00D200A0" w14:paraId="1463AECC" w14:textId="77777777">
            <w:pPr>
              <w:rPr>
                <w:color w:val="000000"/>
                <w:sz w:val="20"/>
                <w:szCs w:val="20"/>
              </w:rPr>
            </w:pPr>
            <w:r w:rsidRPr="00D200A0">
              <w:rPr>
                <w:color w:val="000000"/>
                <w:sz w:val="20"/>
                <w:szCs w:val="20"/>
              </w:rPr>
              <w:t>Develop policies and procedures to comply with the Impartial Conduct Standards (first year)</w:t>
            </w:r>
          </w:p>
        </w:tc>
        <w:tc>
          <w:tcPr>
            <w:tcW w:w="1415" w:type="dxa"/>
            <w:tcBorders>
              <w:top w:val="nil"/>
              <w:left w:val="nil"/>
              <w:bottom w:val="single" w:sz="4" w:space="0" w:color="auto"/>
              <w:right w:val="single" w:sz="4" w:space="0" w:color="auto"/>
            </w:tcBorders>
            <w:shd w:val="clear" w:color="auto" w:fill="auto"/>
            <w:vAlign w:val="center"/>
            <w:hideMark/>
          </w:tcPr>
          <w:p w:rsidR="00BC1512" w:rsidRPr="00D200A0" w14:paraId="4F3595BC" w14:textId="3CC52C73">
            <w:pPr>
              <w:jc w:val="center"/>
              <w:rPr>
                <w:color w:val="000000"/>
                <w:sz w:val="20"/>
                <w:szCs w:val="20"/>
              </w:rPr>
            </w:pPr>
            <w:r>
              <w:rPr>
                <w:color w:val="000000"/>
                <w:sz w:val="20"/>
                <w:szCs w:val="20"/>
              </w:rPr>
              <w:t>5,7</w:t>
            </w:r>
            <w:r w:rsidR="00DC79CA">
              <w:rPr>
                <w:color w:val="000000"/>
                <w:sz w:val="20"/>
                <w:szCs w:val="20"/>
              </w:rPr>
              <w:t>51</w:t>
            </w:r>
          </w:p>
        </w:tc>
        <w:tc>
          <w:tcPr>
            <w:tcW w:w="1329" w:type="dxa"/>
            <w:tcBorders>
              <w:top w:val="nil"/>
              <w:left w:val="nil"/>
              <w:bottom w:val="single" w:sz="4" w:space="0" w:color="auto"/>
              <w:right w:val="single" w:sz="4" w:space="0" w:color="auto"/>
            </w:tcBorders>
            <w:shd w:val="clear" w:color="auto" w:fill="auto"/>
            <w:vAlign w:val="center"/>
            <w:hideMark/>
          </w:tcPr>
          <w:p w:rsidR="00BC1512" w:rsidRPr="00D200A0" w14:paraId="55BE2E07"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BC1512" w:rsidRPr="00D200A0" w14:paraId="7BF8AF7C" w14:textId="61A04838">
            <w:pPr>
              <w:jc w:val="center"/>
              <w:rPr>
                <w:color w:val="000000"/>
                <w:sz w:val="20"/>
                <w:szCs w:val="20"/>
              </w:rPr>
            </w:pPr>
            <w:r>
              <w:rPr>
                <w:color w:val="000000"/>
                <w:sz w:val="20"/>
                <w:szCs w:val="20"/>
              </w:rPr>
              <w:t>5,751</w:t>
            </w:r>
          </w:p>
        </w:tc>
        <w:tc>
          <w:tcPr>
            <w:tcW w:w="998" w:type="dxa"/>
            <w:tcBorders>
              <w:top w:val="nil"/>
              <w:left w:val="nil"/>
              <w:bottom w:val="single" w:sz="4" w:space="0" w:color="auto"/>
              <w:right w:val="single" w:sz="4" w:space="0" w:color="auto"/>
            </w:tcBorders>
            <w:shd w:val="clear" w:color="auto" w:fill="auto"/>
            <w:vAlign w:val="center"/>
            <w:hideMark/>
          </w:tcPr>
          <w:p w:rsidR="00BC1512" w:rsidRPr="00D200A0" w14:paraId="0E712C4C" w14:textId="2D7EF10D">
            <w:pPr>
              <w:jc w:val="center"/>
              <w:rPr>
                <w:color w:val="000000"/>
                <w:sz w:val="20"/>
                <w:szCs w:val="20"/>
              </w:rPr>
            </w:pPr>
            <w:r>
              <w:rPr>
                <w:color w:val="000000"/>
                <w:sz w:val="20"/>
                <w:szCs w:val="20"/>
              </w:rPr>
              <w:t>19.4499</w:t>
            </w:r>
          </w:p>
        </w:tc>
        <w:tc>
          <w:tcPr>
            <w:tcW w:w="1017" w:type="dxa"/>
            <w:tcBorders>
              <w:top w:val="nil"/>
              <w:left w:val="nil"/>
              <w:bottom w:val="single" w:sz="4" w:space="0" w:color="auto"/>
              <w:right w:val="single" w:sz="4" w:space="0" w:color="auto"/>
            </w:tcBorders>
            <w:shd w:val="clear" w:color="auto" w:fill="auto"/>
            <w:vAlign w:val="center"/>
            <w:hideMark/>
          </w:tcPr>
          <w:p w:rsidR="00BC1512" w:rsidRPr="00D200A0" w14:paraId="26BD2A04" w14:textId="09BCE6D8">
            <w:pPr>
              <w:jc w:val="center"/>
              <w:rPr>
                <w:color w:val="000000"/>
                <w:sz w:val="20"/>
                <w:szCs w:val="20"/>
              </w:rPr>
            </w:pPr>
            <w:r>
              <w:rPr>
                <w:color w:val="000000"/>
                <w:sz w:val="20"/>
                <w:szCs w:val="20"/>
              </w:rPr>
              <w:t>111,864</w:t>
            </w:r>
          </w:p>
        </w:tc>
        <w:tc>
          <w:tcPr>
            <w:tcW w:w="889" w:type="dxa"/>
            <w:tcBorders>
              <w:top w:val="nil"/>
              <w:left w:val="nil"/>
              <w:bottom w:val="single" w:sz="4" w:space="0" w:color="auto"/>
              <w:right w:val="single" w:sz="4" w:space="0" w:color="auto"/>
            </w:tcBorders>
            <w:shd w:val="clear" w:color="auto" w:fill="auto"/>
            <w:vAlign w:val="center"/>
            <w:hideMark/>
          </w:tcPr>
          <w:p w:rsidR="00BC1512" w:rsidRPr="00D200A0" w14:paraId="42019D17" w14:textId="77777777">
            <w:pPr>
              <w:jc w:val="center"/>
              <w:rPr>
                <w:color w:val="000000"/>
                <w:sz w:val="20"/>
                <w:szCs w:val="20"/>
              </w:rPr>
            </w:pPr>
            <w:r w:rsidRPr="00D200A0">
              <w:rPr>
                <w:color w:val="000000"/>
                <w:sz w:val="20"/>
                <w:szCs w:val="20"/>
              </w:rPr>
              <w:t>$165.71</w:t>
            </w:r>
          </w:p>
        </w:tc>
        <w:tc>
          <w:tcPr>
            <w:tcW w:w="1358" w:type="dxa"/>
            <w:tcBorders>
              <w:top w:val="nil"/>
              <w:left w:val="nil"/>
              <w:bottom w:val="single" w:sz="4" w:space="0" w:color="auto"/>
              <w:right w:val="single" w:sz="4" w:space="0" w:color="auto"/>
            </w:tcBorders>
            <w:shd w:val="clear" w:color="auto" w:fill="auto"/>
            <w:vAlign w:val="center"/>
            <w:hideMark/>
          </w:tcPr>
          <w:p w:rsidR="00BC1512" w:rsidRPr="00D200A0" w14:paraId="52F459B0" w14:textId="2C19BA4B">
            <w:pPr>
              <w:jc w:val="center"/>
              <w:rPr>
                <w:color w:val="000000"/>
                <w:sz w:val="20"/>
                <w:szCs w:val="20"/>
              </w:rPr>
            </w:pPr>
            <w:r w:rsidRPr="00D200A0">
              <w:rPr>
                <w:color w:val="000000"/>
                <w:sz w:val="20"/>
                <w:szCs w:val="20"/>
              </w:rPr>
              <w:t>$</w:t>
            </w:r>
            <w:r w:rsidR="009C78C1">
              <w:rPr>
                <w:color w:val="000000"/>
                <w:sz w:val="20"/>
                <w:szCs w:val="20"/>
              </w:rPr>
              <w:t>18,536,977</w:t>
            </w:r>
            <w:r w:rsidRPr="00D200A0">
              <w:rPr>
                <w:color w:val="000000"/>
                <w:sz w:val="20"/>
                <w:szCs w:val="20"/>
              </w:rPr>
              <w:t xml:space="preserve"> </w:t>
            </w:r>
          </w:p>
        </w:tc>
        <w:tc>
          <w:tcPr>
            <w:tcW w:w="222" w:type="dxa"/>
            <w:vAlign w:val="center"/>
            <w:hideMark/>
          </w:tcPr>
          <w:p w:rsidR="00BC1512" w:rsidRPr="00D200A0" w14:paraId="0321A915" w14:textId="77777777">
            <w:pPr>
              <w:rPr>
                <w:sz w:val="20"/>
                <w:szCs w:val="20"/>
              </w:rPr>
            </w:pPr>
          </w:p>
        </w:tc>
      </w:tr>
      <w:tr w14:paraId="7A3174C6" w14:textId="77777777" w:rsidTr="00E23D7A">
        <w:tblPrEx>
          <w:tblW w:w="10420" w:type="dxa"/>
          <w:tblLook w:val="04A0"/>
        </w:tblPrEx>
        <w:trPr>
          <w:trHeight w:val="52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C1512" w:rsidRPr="00D200A0" w14:paraId="2D9AC1BF" w14:textId="77777777">
            <w:pPr>
              <w:rPr>
                <w:color w:val="000000"/>
                <w:sz w:val="20"/>
                <w:szCs w:val="20"/>
              </w:rPr>
            </w:pPr>
            <w:r w:rsidRPr="00D200A0">
              <w:rPr>
                <w:color w:val="000000"/>
                <w:sz w:val="20"/>
                <w:szCs w:val="20"/>
              </w:rPr>
              <w:t>Update per retrospective review (first year)</w:t>
            </w:r>
          </w:p>
        </w:tc>
        <w:tc>
          <w:tcPr>
            <w:tcW w:w="1415" w:type="dxa"/>
            <w:tcBorders>
              <w:top w:val="nil"/>
              <w:left w:val="nil"/>
              <w:bottom w:val="single" w:sz="4" w:space="0" w:color="auto"/>
              <w:right w:val="single" w:sz="4" w:space="0" w:color="auto"/>
            </w:tcBorders>
            <w:shd w:val="clear" w:color="auto" w:fill="auto"/>
            <w:vAlign w:val="center"/>
            <w:hideMark/>
          </w:tcPr>
          <w:p w:rsidR="00BC1512" w:rsidRPr="00D200A0" w14:paraId="25078BAA" w14:textId="0CA110D3">
            <w:pPr>
              <w:jc w:val="center"/>
              <w:rPr>
                <w:color w:val="000000"/>
                <w:sz w:val="20"/>
                <w:szCs w:val="20"/>
              </w:rPr>
            </w:pPr>
            <w:r>
              <w:rPr>
                <w:color w:val="000000"/>
                <w:sz w:val="20"/>
                <w:szCs w:val="20"/>
              </w:rPr>
              <w:t>13,112</w:t>
            </w:r>
          </w:p>
        </w:tc>
        <w:tc>
          <w:tcPr>
            <w:tcW w:w="1329" w:type="dxa"/>
            <w:tcBorders>
              <w:top w:val="nil"/>
              <w:left w:val="nil"/>
              <w:bottom w:val="single" w:sz="4" w:space="0" w:color="auto"/>
              <w:right w:val="single" w:sz="4" w:space="0" w:color="auto"/>
            </w:tcBorders>
            <w:shd w:val="clear" w:color="auto" w:fill="auto"/>
            <w:vAlign w:val="center"/>
            <w:hideMark/>
          </w:tcPr>
          <w:p w:rsidR="00BC1512" w:rsidRPr="00D200A0" w14:paraId="2D85B2FB"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BC1512" w:rsidRPr="00D200A0" w14:paraId="7D2FFFD3" w14:textId="2FDE1DCC">
            <w:pPr>
              <w:jc w:val="center"/>
              <w:rPr>
                <w:color w:val="000000"/>
                <w:sz w:val="20"/>
                <w:szCs w:val="20"/>
              </w:rPr>
            </w:pPr>
            <w:r>
              <w:rPr>
                <w:color w:val="000000"/>
                <w:sz w:val="20"/>
                <w:szCs w:val="20"/>
              </w:rPr>
              <w:t>13,112</w:t>
            </w:r>
          </w:p>
        </w:tc>
        <w:tc>
          <w:tcPr>
            <w:tcW w:w="998" w:type="dxa"/>
            <w:tcBorders>
              <w:top w:val="nil"/>
              <w:left w:val="nil"/>
              <w:bottom w:val="single" w:sz="4" w:space="0" w:color="auto"/>
              <w:right w:val="single" w:sz="4" w:space="0" w:color="auto"/>
            </w:tcBorders>
            <w:shd w:val="clear" w:color="auto" w:fill="auto"/>
            <w:vAlign w:val="center"/>
            <w:hideMark/>
          </w:tcPr>
          <w:p w:rsidR="00BC1512" w:rsidRPr="00D200A0" w14:paraId="35764E25" w14:textId="77777777">
            <w:pPr>
              <w:jc w:val="center"/>
              <w:rPr>
                <w:color w:val="000000"/>
                <w:sz w:val="20"/>
                <w:szCs w:val="20"/>
              </w:rPr>
            </w:pPr>
            <w:r w:rsidRPr="00D200A0">
              <w:rPr>
                <w:color w:val="000000"/>
                <w:sz w:val="20"/>
                <w:szCs w:val="20"/>
              </w:rPr>
              <w:t>5.0000</w:t>
            </w:r>
          </w:p>
        </w:tc>
        <w:tc>
          <w:tcPr>
            <w:tcW w:w="1017" w:type="dxa"/>
            <w:tcBorders>
              <w:top w:val="nil"/>
              <w:left w:val="nil"/>
              <w:bottom w:val="single" w:sz="4" w:space="0" w:color="auto"/>
              <w:right w:val="single" w:sz="4" w:space="0" w:color="auto"/>
            </w:tcBorders>
            <w:shd w:val="clear" w:color="auto" w:fill="auto"/>
            <w:vAlign w:val="center"/>
            <w:hideMark/>
          </w:tcPr>
          <w:p w:rsidR="00BC1512" w:rsidRPr="00D200A0" w14:paraId="16A0AB19" w14:textId="7C06F7B7">
            <w:pPr>
              <w:jc w:val="center"/>
              <w:rPr>
                <w:color w:val="000000"/>
                <w:sz w:val="20"/>
                <w:szCs w:val="20"/>
              </w:rPr>
            </w:pPr>
            <w:r>
              <w:rPr>
                <w:color w:val="000000"/>
                <w:sz w:val="20"/>
                <w:szCs w:val="20"/>
              </w:rPr>
              <w:t>65,559</w:t>
            </w:r>
          </w:p>
        </w:tc>
        <w:tc>
          <w:tcPr>
            <w:tcW w:w="889" w:type="dxa"/>
            <w:tcBorders>
              <w:top w:val="nil"/>
              <w:left w:val="nil"/>
              <w:bottom w:val="single" w:sz="4" w:space="0" w:color="auto"/>
              <w:right w:val="single" w:sz="4" w:space="0" w:color="auto"/>
            </w:tcBorders>
            <w:shd w:val="clear" w:color="auto" w:fill="auto"/>
            <w:vAlign w:val="center"/>
            <w:hideMark/>
          </w:tcPr>
          <w:p w:rsidR="00BC1512" w:rsidRPr="00D200A0" w14:paraId="2CD0A6C4" w14:textId="77777777">
            <w:pPr>
              <w:jc w:val="center"/>
              <w:rPr>
                <w:color w:val="000000"/>
                <w:sz w:val="20"/>
                <w:szCs w:val="20"/>
              </w:rPr>
            </w:pPr>
            <w:r w:rsidRPr="00D200A0">
              <w:rPr>
                <w:color w:val="000000"/>
                <w:sz w:val="20"/>
                <w:szCs w:val="20"/>
              </w:rPr>
              <w:t>$165.71</w:t>
            </w:r>
          </w:p>
        </w:tc>
        <w:tc>
          <w:tcPr>
            <w:tcW w:w="1358" w:type="dxa"/>
            <w:tcBorders>
              <w:top w:val="nil"/>
              <w:left w:val="nil"/>
              <w:bottom w:val="single" w:sz="4" w:space="0" w:color="auto"/>
              <w:right w:val="single" w:sz="4" w:space="0" w:color="auto"/>
            </w:tcBorders>
            <w:shd w:val="clear" w:color="auto" w:fill="auto"/>
            <w:vAlign w:val="center"/>
            <w:hideMark/>
          </w:tcPr>
          <w:p w:rsidR="00BC1512" w:rsidRPr="00D200A0" w14:paraId="5B9A6805" w14:textId="31ED8FA2">
            <w:pPr>
              <w:jc w:val="center"/>
              <w:rPr>
                <w:color w:val="000000"/>
                <w:sz w:val="20"/>
                <w:szCs w:val="20"/>
              </w:rPr>
            </w:pPr>
            <w:r w:rsidRPr="00D200A0">
              <w:rPr>
                <w:color w:val="000000"/>
                <w:sz w:val="20"/>
                <w:szCs w:val="20"/>
              </w:rPr>
              <w:t>$</w:t>
            </w:r>
            <w:r w:rsidR="009C78C1">
              <w:rPr>
                <w:color w:val="000000"/>
                <w:sz w:val="20"/>
                <w:szCs w:val="20"/>
              </w:rPr>
              <w:t>10,863,864</w:t>
            </w:r>
            <w:r w:rsidRPr="00D200A0">
              <w:rPr>
                <w:color w:val="000000"/>
                <w:sz w:val="20"/>
                <w:szCs w:val="20"/>
              </w:rPr>
              <w:t xml:space="preserve"> </w:t>
            </w:r>
          </w:p>
        </w:tc>
        <w:tc>
          <w:tcPr>
            <w:tcW w:w="222" w:type="dxa"/>
            <w:vAlign w:val="center"/>
            <w:hideMark/>
          </w:tcPr>
          <w:p w:rsidR="00BC1512" w:rsidRPr="00D200A0" w14:paraId="4D957835" w14:textId="77777777">
            <w:pPr>
              <w:rPr>
                <w:sz w:val="20"/>
                <w:szCs w:val="20"/>
              </w:rPr>
            </w:pPr>
          </w:p>
        </w:tc>
      </w:tr>
      <w:tr w14:paraId="3190E0EE" w14:textId="77777777" w:rsidTr="00E23D7A">
        <w:tblPrEx>
          <w:tblW w:w="10420" w:type="dxa"/>
          <w:tblLook w:val="04A0"/>
        </w:tblPrEx>
        <w:trPr>
          <w:trHeight w:val="52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C1512" w:rsidRPr="00D200A0" w14:paraId="5659C2DE" w14:textId="77777777">
            <w:pPr>
              <w:rPr>
                <w:color w:val="000000"/>
                <w:sz w:val="20"/>
                <w:szCs w:val="20"/>
              </w:rPr>
            </w:pPr>
            <w:r w:rsidRPr="00D200A0">
              <w:rPr>
                <w:color w:val="000000"/>
                <w:sz w:val="20"/>
                <w:szCs w:val="20"/>
              </w:rPr>
              <w:t>Update per retrospective review (subsequent years)</w:t>
            </w:r>
          </w:p>
        </w:tc>
        <w:tc>
          <w:tcPr>
            <w:tcW w:w="1415" w:type="dxa"/>
            <w:tcBorders>
              <w:top w:val="nil"/>
              <w:left w:val="nil"/>
              <w:bottom w:val="single" w:sz="4" w:space="0" w:color="auto"/>
              <w:right w:val="single" w:sz="4" w:space="0" w:color="auto"/>
            </w:tcBorders>
            <w:shd w:val="clear" w:color="auto" w:fill="auto"/>
            <w:vAlign w:val="center"/>
            <w:hideMark/>
          </w:tcPr>
          <w:p w:rsidR="00BC1512" w:rsidRPr="00D200A0" w14:paraId="4C95B110" w14:textId="54F0327A">
            <w:pPr>
              <w:jc w:val="center"/>
              <w:rPr>
                <w:color w:val="000000"/>
                <w:sz w:val="20"/>
                <w:szCs w:val="20"/>
              </w:rPr>
            </w:pPr>
            <w:r>
              <w:rPr>
                <w:color w:val="000000"/>
                <w:sz w:val="20"/>
                <w:szCs w:val="20"/>
              </w:rPr>
              <w:t>18,632</w:t>
            </w:r>
          </w:p>
        </w:tc>
        <w:tc>
          <w:tcPr>
            <w:tcW w:w="1329" w:type="dxa"/>
            <w:tcBorders>
              <w:top w:val="nil"/>
              <w:left w:val="nil"/>
              <w:bottom w:val="single" w:sz="4" w:space="0" w:color="auto"/>
              <w:right w:val="single" w:sz="4" w:space="0" w:color="auto"/>
            </w:tcBorders>
            <w:shd w:val="clear" w:color="auto" w:fill="auto"/>
            <w:vAlign w:val="center"/>
            <w:hideMark/>
          </w:tcPr>
          <w:p w:rsidR="00BC1512" w:rsidRPr="00D200A0" w14:paraId="25B69AAA"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BC1512" w:rsidRPr="00D200A0" w14:paraId="69583C27" w14:textId="63B99C26">
            <w:pPr>
              <w:jc w:val="center"/>
              <w:rPr>
                <w:color w:val="000000"/>
                <w:sz w:val="20"/>
                <w:szCs w:val="20"/>
              </w:rPr>
            </w:pPr>
            <w:r>
              <w:rPr>
                <w:color w:val="000000"/>
                <w:sz w:val="20"/>
                <w:szCs w:val="20"/>
              </w:rPr>
              <w:t>18,632</w:t>
            </w:r>
          </w:p>
        </w:tc>
        <w:tc>
          <w:tcPr>
            <w:tcW w:w="998" w:type="dxa"/>
            <w:tcBorders>
              <w:top w:val="nil"/>
              <w:left w:val="nil"/>
              <w:bottom w:val="single" w:sz="4" w:space="0" w:color="auto"/>
              <w:right w:val="single" w:sz="4" w:space="0" w:color="auto"/>
            </w:tcBorders>
            <w:shd w:val="clear" w:color="auto" w:fill="auto"/>
            <w:vAlign w:val="center"/>
            <w:hideMark/>
          </w:tcPr>
          <w:p w:rsidR="00BC1512" w:rsidRPr="00D200A0" w14:paraId="7908A08C" w14:textId="77777777">
            <w:pPr>
              <w:jc w:val="center"/>
              <w:rPr>
                <w:color w:val="000000"/>
                <w:sz w:val="20"/>
                <w:szCs w:val="20"/>
              </w:rPr>
            </w:pPr>
            <w:r w:rsidRPr="00D200A0">
              <w:rPr>
                <w:color w:val="000000"/>
                <w:sz w:val="20"/>
                <w:szCs w:val="20"/>
              </w:rPr>
              <w:t>5.0000</w:t>
            </w:r>
          </w:p>
        </w:tc>
        <w:tc>
          <w:tcPr>
            <w:tcW w:w="1017" w:type="dxa"/>
            <w:tcBorders>
              <w:top w:val="nil"/>
              <w:left w:val="nil"/>
              <w:bottom w:val="single" w:sz="4" w:space="0" w:color="auto"/>
              <w:right w:val="single" w:sz="4" w:space="0" w:color="auto"/>
            </w:tcBorders>
            <w:shd w:val="clear" w:color="auto" w:fill="auto"/>
            <w:vAlign w:val="center"/>
            <w:hideMark/>
          </w:tcPr>
          <w:p w:rsidR="00BC1512" w:rsidRPr="00D200A0" w14:paraId="5B0408C7" w14:textId="3EC4243B">
            <w:pPr>
              <w:jc w:val="center"/>
              <w:rPr>
                <w:color w:val="000000"/>
                <w:sz w:val="20"/>
                <w:szCs w:val="20"/>
              </w:rPr>
            </w:pPr>
            <w:r>
              <w:rPr>
                <w:color w:val="000000"/>
                <w:sz w:val="20"/>
                <w:szCs w:val="20"/>
              </w:rPr>
              <w:t>93,161</w:t>
            </w:r>
          </w:p>
        </w:tc>
        <w:tc>
          <w:tcPr>
            <w:tcW w:w="889" w:type="dxa"/>
            <w:tcBorders>
              <w:top w:val="nil"/>
              <w:left w:val="nil"/>
              <w:bottom w:val="single" w:sz="4" w:space="0" w:color="auto"/>
              <w:right w:val="single" w:sz="4" w:space="0" w:color="auto"/>
            </w:tcBorders>
            <w:shd w:val="clear" w:color="auto" w:fill="auto"/>
            <w:vAlign w:val="center"/>
            <w:hideMark/>
          </w:tcPr>
          <w:p w:rsidR="00BC1512" w:rsidRPr="00D200A0" w14:paraId="44D1A61D" w14:textId="77777777">
            <w:pPr>
              <w:jc w:val="center"/>
              <w:rPr>
                <w:color w:val="000000"/>
                <w:sz w:val="20"/>
                <w:szCs w:val="20"/>
              </w:rPr>
            </w:pPr>
            <w:r w:rsidRPr="00D200A0">
              <w:rPr>
                <w:color w:val="000000"/>
                <w:sz w:val="20"/>
                <w:szCs w:val="20"/>
              </w:rPr>
              <w:t>$165.71</w:t>
            </w:r>
          </w:p>
        </w:tc>
        <w:tc>
          <w:tcPr>
            <w:tcW w:w="1358" w:type="dxa"/>
            <w:tcBorders>
              <w:top w:val="nil"/>
              <w:left w:val="nil"/>
              <w:bottom w:val="single" w:sz="4" w:space="0" w:color="auto"/>
              <w:right w:val="single" w:sz="4" w:space="0" w:color="auto"/>
            </w:tcBorders>
            <w:shd w:val="clear" w:color="auto" w:fill="auto"/>
            <w:vAlign w:val="center"/>
            <w:hideMark/>
          </w:tcPr>
          <w:p w:rsidR="00BC1512" w:rsidRPr="00D200A0" w14:paraId="39DE8EFC" w14:textId="35377CEA">
            <w:pPr>
              <w:jc w:val="center"/>
              <w:rPr>
                <w:color w:val="000000"/>
                <w:sz w:val="20"/>
                <w:szCs w:val="20"/>
              </w:rPr>
            </w:pPr>
            <w:r w:rsidRPr="00D200A0">
              <w:rPr>
                <w:color w:val="000000"/>
                <w:sz w:val="20"/>
                <w:szCs w:val="20"/>
              </w:rPr>
              <w:t>$</w:t>
            </w:r>
            <w:r w:rsidR="00D63FDB">
              <w:rPr>
                <w:color w:val="000000"/>
                <w:sz w:val="20"/>
                <w:szCs w:val="20"/>
              </w:rPr>
              <w:t>15,437,</w:t>
            </w:r>
            <w:r w:rsidR="009C78C1">
              <w:rPr>
                <w:color w:val="000000"/>
                <w:sz w:val="20"/>
                <w:szCs w:val="20"/>
              </w:rPr>
              <w:t>780</w:t>
            </w:r>
          </w:p>
        </w:tc>
        <w:tc>
          <w:tcPr>
            <w:tcW w:w="222" w:type="dxa"/>
            <w:vAlign w:val="center"/>
            <w:hideMark/>
          </w:tcPr>
          <w:p w:rsidR="00BC1512" w:rsidRPr="00D200A0" w14:paraId="2A203B54" w14:textId="77777777">
            <w:pPr>
              <w:rPr>
                <w:sz w:val="20"/>
                <w:szCs w:val="20"/>
              </w:rPr>
            </w:pPr>
          </w:p>
        </w:tc>
      </w:tr>
      <w:tr w14:paraId="1DE935B3" w14:textId="77777777" w:rsidTr="00E23D7A">
        <w:tblPrEx>
          <w:tblW w:w="10420" w:type="dxa"/>
          <w:tblLook w:val="04A0"/>
        </w:tblPrEx>
        <w:trPr>
          <w:trHeight w:val="52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C1512" w:rsidRPr="00D200A0" w14:paraId="1E11D504" w14:textId="77777777">
            <w:pPr>
              <w:rPr>
                <w:color w:val="000000"/>
                <w:sz w:val="20"/>
                <w:szCs w:val="20"/>
              </w:rPr>
            </w:pPr>
            <w:r w:rsidRPr="00D200A0">
              <w:rPr>
                <w:color w:val="000000"/>
                <w:sz w:val="20"/>
                <w:szCs w:val="20"/>
              </w:rPr>
              <w:t>Provide to Department upon request (first year)</w:t>
            </w:r>
          </w:p>
        </w:tc>
        <w:tc>
          <w:tcPr>
            <w:tcW w:w="1415" w:type="dxa"/>
            <w:tcBorders>
              <w:top w:val="nil"/>
              <w:left w:val="nil"/>
              <w:bottom w:val="single" w:sz="4" w:space="0" w:color="auto"/>
              <w:right w:val="single" w:sz="4" w:space="0" w:color="auto"/>
            </w:tcBorders>
            <w:shd w:val="clear" w:color="auto" w:fill="auto"/>
            <w:vAlign w:val="center"/>
            <w:hideMark/>
          </w:tcPr>
          <w:p w:rsidR="00BC1512" w:rsidRPr="00D200A0" w14:paraId="2D25CA07" w14:textId="77777777">
            <w:pPr>
              <w:jc w:val="center"/>
              <w:rPr>
                <w:color w:val="000000"/>
                <w:sz w:val="20"/>
                <w:szCs w:val="20"/>
              </w:rPr>
            </w:pPr>
            <w:r w:rsidRPr="00D200A0">
              <w:rPr>
                <w:color w:val="000000"/>
                <w:sz w:val="20"/>
                <w:szCs w:val="20"/>
              </w:rPr>
              <w:t>165</w:t>
            </w:r>
          </w:p>
        </w:tc>
        <w:tc>
          <w:tcPr>
            <w:tcW w:w="1329" w:type="dxa"/>
            <w:tcBorders>
              <w:top w:val="nil"/>
              <w:left w:val="nil"/>
              <w:bottom w:val="single" w:sz="4" w:space="0" w:color="auto"/>
              <w:right w:val="single" w:sz="4" w:space="0" w:color="auto"/>
            </w:tcBorders>
            <w:shd w:val="clear" w:color="auto" w:fill="auto"/>
            <w:vAlign w:val="center"/>
            <w:hideMark/>
          </w:tcPr>
          <w:p w:rsidR="00BC1512" w:rsidRPr="00D200A0" w14:paraId="1DC444A3" w14:textId="77777777">
            <w:pPr>
              <w:jc w:val="center"/>
              <w:rPr>
                <w:color w:val="000000"/>
                <w:sz w:val="20"/>
                <w:szCs w:val="20"/>
              </w:rPr>
            </w:pPr>
            <w:r w:rsidRPr="00D200A0">
              <w:rPr>
                <w:color w:val="00000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BC1512" w:rsidRPr="00D200A0" w14:paraId="0D89EFBE" w14:textId="77777777">
            <w:pPr>
              <w:jc w:val="center"/>
              <w:rPr>
                <w:color w:val="000000"/>
                <w:sz w:val="20"/>
                <w:szCs w:val="20"/>
              </w:rPr>
            </w:pPr>
            <w:r w:rsidRPr="00D200A0">
              <w:rPr>
                <w:color w:val="000000"/>
                <w:sz w:val="20"/>
                <w:szCs w:val="20"/>
              </w:rPr>
              <w:t>165</w:t>
            </w:r>
          </w:p>
        </w:tc>
        <w:tc>
          <w:tcPr>
            <w:tcW w:w="998" w:type="dxa"/>
            <w:tcBorders>
              <w:top w:val="nil"/>
              <w:left w:val="nil"/>
              <w:bottom w:val="single" w:sz="4" w:space="0" w:color="auto"/>
              <w:right w:val="single" w:sz="4" w:space="0" w:color="auto"/>
            </w:tcBorders>
            <w:shd w:val="clear" w:color="auto" w:fill="auto"/>
            <w:vAlign w:val="center"/>
            <w:hideMark/>
          </w:tcPr>
          <w:p w:rsidR="00BC1512" w:rsidRPr="00D200A0" w14:paraId="7FBF0D48" w14:textId="77777777">
            <w:pPr>
              <w:jc w:val="center"/>
              <w:rPr>
                <w:color w:val="000000"/>
                <w:sz w:val="20"/>
                <w:szCs w:val="20"/>
              </w:rPr>
            </w:pPr>
            <w:r w:rsidRPr="00D200A0">
              <w:rPr>
                <w:color w:val="000000"/>
                <w:sz w:val="20"/>
                <w:szCs w:val="20"/>
              </w:rPr>
              <w:t>0.2500</w:t>
            </w:r>
          </w:p>
        </w:tc>
        <w:tc>
          <w:tcPr>
            <w:tcW w:w="1017" w:type="dxa"/>
            <w:tcBorders>
              <w:top w:val="nil"/>
              <w:left w:val="nil"/>
              <w:bottom w:val="single" w:sz="4" w:space="0" w:color="auto"/>
              <w:right w:val="single" w:sz="4" w:space="0" w:color="auto"/>
            </w:tcBorders>
            <w:shd w:val="clear" w:color="auto" w:fill="auto"/>
            <w:vAlign w:val="center"/>
            <w:hideMark/>
          </w:tcPr>
          <w:p w:rsidR="00BC1512" w:rsidRPr="00D200A0" w14:paraId="5F6D8B60" w14:textId="77777777">
            <w:pPr>
              <w:jc w:val="center"/>
              <w:rPr>
                <w:color w:val="000000"/>
                <w:sz w:val="20"/>
                <w:szCs w:val="20"/>
              </w:rPr>
            </w:pPr>
            <w:r w:rsidRPr="00D200A0">
              <w:rPr>
                <w:color w:val="000000"/>
                <w:sz w:val="20"/>
                <w:szCs w:val="20"/>
              </w:rPr>
              <w:t>41</w:t>
            </w:r>
          </w:p>
        </w:tc>
        <w:tc>
          <w:tcPr>
            <w:tcW w:w="889" w:type="dxa"/>
            <w:tcBorders>
              <w:top w:val="nil"/>
              <w:left w:val="nil"/>
              <w:bottom w:val="single" w:sz="4" w:space="0" w:color="auto"/>
              <w:right w:val="single" w:sz="4" w:space="0" w:color="auto"/>
            </w:tcBorders>
            <w:shd w:val="clear" w:color="auto" w:fill="auto"/>
            <w:vAlign w:val="center"/>
            <w:hideMark/>
          </w:tcPr>
          <w:p w:rsidR="00BC1512" w:rsidRPr="00D200A0" w14:paraId="0888C469" w14:textId="77777777">
            <w:pPr>
              <w:jc w:val="center"/>
              <w:rPr>
                <w:color w:val="000000"/>
                <w:sz w:val="20"/>
                <w:szCs w:val="20"/>
              </w:rPr>
            </w:pPr>
            <w:r w:rsidRPr="00D200A0">
              <w:rPr>
                <w:color w:val="000000"/>
                <w:sz w:val="20"/>
                <w:szCs w:val="20"/>
              </w:rPr>
              <w:t>$65.99</w:t>
            </w:r>
          </w:p>
        </w:tc>
        <w:tc>
          <w:tcPr>
            <w:tcW w:w="1358" w:type="dxa"/>
            <w:tcBorders>
              <w:top w:val="nil"/>
              <w:left w:val="nil"/>
              <w:bottom w:val="single" w:sz="4" w:space="0" w:color="auto"/>
              <w:right w:val="single" w:sz="4" w:space="0" w:color="auto"/>
            </w:tcBorders>
            <w:shd w:val="clear" w:color="auto" w:fill="auto"/>
            <w:vAlign w:val="center"/>
            <w:hideMark/>
          </w:tcPr>
          <w:p w:rsidR="00BC1512" w:rsidRPr="00D200A0" w14:paraId="01E39E28" w14:textId="77777777">
            <w:pPr>
              <w:jc w:val="center"/>
              <w:rPr>
                <w:color w:val="000000"/>
                <w:sz w:val="20"/>
                <w:szCs w:val="20"/>
              </w:rPr>
            </w:pPr>
            <w:r w:rsidRPr="00D200A0">
              <w:rPr>
                <w:color w:val="000000"/>
                <w:sz w:val="20"/>
                <w:szCs w:val="20"/>
              </w:rPr>
              <w:t xml:space="preserve">$2,722 </w:t>
            </w:r>
          </w:p>
        </w:tc>
        <w:tc>
          <w:tcPr>
            <w:tcW w:w="222" w:type="dxa"/>
            <w:vAlign w:val="center"/>
            <w:hideMark/>
          </w:tcPr>
          <w:p w:rsidR="00BC1512" w:rsidRPr="00D200A0" w14:paraId="143705E1" w14:textId="77777777">
            <w:pPr>
              <w:rPr>
                <w:sz w:val="20"/>
                <w:szCs w:val="20"/>
              </w:rPr>
            </w:pPr>
          </w:p>
        </w:tc>
      </w:tr>
      <w:tr w14:paraId="0DA66BB9" w14:textId="77777777" w:rsidTr="00E23D7A">
        <w:tblPrEx>
          <w:tblW w:w="10420" w:type="dxa"/>
          <w:tblLook w:val="04A0"/>
        </w:tblPrEx>
        <w:trPr>
          <w:trHeight w:val="530"/>
        </w:trPr>
        <w:tc>
          <w:tcPr>
            <w:tcW w:w="1976" w:type="dxa"/>
            <w:tcBorders>
              <w:top w:val="nil"/>
              <w:left w:val="single" w:sz="4" w:space="0" w:color="auto"/>
              <w:bottom w:val="double" w:sz="6" w:space="0" w:color="auto"/>
              <w:right w:val="single" w:sz="4" w:space="0" w:color="auto"/>
            </w:tcBorders>
            <w:shd w:val="clear" w:color="auto" w:fill="auto"/>
            <w:vAlign w:val="center"/>
            <w:hideMark/>
          </w:tcPr>
          <w:p w:rsidR="00BC1512" w:rsidRPr="00D200A0" w14:paraId="16BDDDE9" w14:textId="77777777">
            <w:pPr>
              <w:rPr>
                <w:color w:val="000000"/>
                <w:sz w:val="20"/>
                <w:szCs w:val="20"/>
              </w:rPr>
            </w:pPr>
            <w:r w:rsidRPr="00D200A0">
              <w:rPr>
                <w:color w:val="000000"/>
                <w:sz w:val="20"/>
                <w:szCs w:val="20"/>
              </w:rPr>
              <w:t>Provide to Department upon request (subsequent years)</w:t>
            </w:r>
          </w:p>
        </w:tc>
        <w:tc>
          <w:tcPr>
            <w:tcW w:w="1415" w:type="dxa"/>
            <w:tcBorders>
              <w:top w:val="nil"/>
              <w:left w:val="nil"/>
              <w:bottom w:val="double" w:sz="6" w:space="0" w:color="auto"/>
              <w:right w:val="single" w:sz="4" w:space="0" w:color="auto"/>
            </w:tcBorders>
            <w:shd w:val="clear" w:color="auto" w:fill="auto"/>
            <w:vAlign w:val="center"/>
            <w:hideMark/>
          </w:tcPr>
          <w:p w:rsidR="00BC1512" w:rsidRPr="00D200A0" w14:paraId="0CF6EADF" w14:textId="77777777">
            <w:pPr>
              <w:jc w:val="center"/>
              <w:rPr>
                <w:color w:val="000000"/>
                <w:sz w:val="20"/>
                <w:szCs w:val="20"/>
              </w:rPr>
            </w:pPr>
            <w:r w:rsidRPr="00D200A0">
              <w:rPr>
                <w:color w:val="000000"/>
                <w:sz w:val="20"/>
                <w:szCs w:val="20"/>
              </w:rPr>
              <w:t>50</w:t>
            </w:r>
          </w:p>
        </w:tc>
        <w:tc>
          <w:tcPr>
            <w:tcW w:w="1329" w:type="dxa"/>
            <w:tcBorders>
              <w:top w:val="nil"/>
              <w:left w:val="nil"/>
              <w:bottom w:val="double" w:sz="6" w:space="0" w:color="auto"/>
              <w:right w:val="single" w:sz="4" w:space="0" w:color="auto"/>
            </w:tcBorders>
            <w:shd w:val="clear" w:color="auto" w:fill="auto"/>
            <w:vAlign w:val="center"/>
            <w:hideMark/>
          </w:tcPr>
          <w:p w:rsidR="00BC1512" w:rsidRPr="00D200A0" w14:paraId="779D1B77" w14:textId="77777777">
            <w:pPr>
              <w:jc w:val="center"/>
              <w:rPr>
                <w:color w:val="000000"/>
                <w:sz w:val="20"/>
                <w:szCs w:val="20"/>
              </w:rPr>
            </w:pPr>
            <w:r w:rsidRPr="00D200A0">
              <w:rPr>
                <w:color w:val="000000"/>
                <w:sz w:val="20"/>
                <w:szCs w:val="20"/>
              </w:rPr>
              <w:t>1.0</w:t>
            </w:r>
          </w:p>
        </w:tc>
        <w:tc>
          <w:tcPr>
            <w:tcW w:w="1216" w:type="dxa"/>
            <w:tcBorders>
              <w:top w:val="nil"/>
              <w:left w:val="nil"/>
              <w:bottom w:val="double" w:sz="6" w:space="0" w:color="auto"/>
              <w:right w:val="single" w:sz="4" w:space="0" w:color="auto"/>
            </w:tcBorders>
            <w:shd w:val="clear" w:color="auto" w:fill="auto"/>
            <w:vAlign w:val="center"/>
            <w:hideMark/>
          </w:tcPr>
          <w:p w:rsidR="00BC1512" w:rsidRPr="00D200A0" w14:paraId="613395BF" w14:textId="77777777">
            <w:pPr>
              <w:jc w:val="center"/>
              <w:rPr>
                <w:color w:val="000000"/>
                <w:sz w:val="20"/>
                <w:szCs w:val="20"/>
              </w:rPr>
            </w:pPr>
            <w:r w:rsidRPr="00D200A0">
              <w:rPr>
                <w:color w:val="000000"/>
                <w:sz w:val="20"/>
                <w:szCs w:val="20"/>
              </w:rPr>
              <w:t>50</w:t>
            </w:r>
          </w:p>
        </w:tc>
        <w:tc>
          <w:tcPr>
            <w:tcW w:w="998" w:type="dxa"/>
            <w:tcBorders>
              <w:top w:val="nil"/>
              <w:left w:val="nil"/>
              <w:bottom w:val="double" w:sz="6" w:space="0" w:color="auto"/>
              <w:right w:val="single" w:sz="4" w:space="0" w:color="auto"/>
            </w:tcBorders>
            <w:shd w:val="clear" w:color="auto" w:fill="auto"/>
            <w:vAlign w:val="center"/>
            <w:hideMark/>
          </w:tcPr>
          <w:p w:rsidR="00BC1512" w:rsidRPr="00D200A0" w14:paraId="1304A16C" w14:textId="77777777">
            <w:pPr>
              <w:jc w:val="center"/>
              <w:rPr>
                <w:color w:val="000000"/>
                <w:sz w:val="20"/>
                <w:szCs w:val="20"/>
              </w:rPr>
            </w:pPr>
            <w:r w:rsidRPr="00D200A0">
              <w:rPr>
                <w:color w:val="000000"/>
                <w:sz w:val="20"/>
                <w:szCs w:val="20"/>
              </w:rPr>
              <w:t>0.2500</w:t>
            </w:r>
          </w:p>
        </w:tc>
        <w:tc>
          <w:tcPr>
            <w:tcW w:w="1017" w:type="dxa"/>
            <w:tcBorders>
              <w:top w:val="nil"/>
              <w:left w:val="nil"/>
              <w:bottom w:val="double" w:sz="6" w:space="0" w:color="auto"/>
              <w:right w:val="single" w:sz="4" w:space="0" w:color="auto"/>
            </w:tcBorders>
            <w:shd w:val="clear" w:color="auto" w:fill="auto"/>
            <w:vAlign w:val="center"/>
            <w:hideMark/>
          </w:tcPr>
          <w:p w:rsidR="00BC1512" w:rsidRPr="00D200A0" w14:paraId="33B16854" w14:textId="77777777">
            <w:pPr>
              <w:jc w:val="center"/>
              <w:rPr>
                <w:color w:val="000000"/>
                <w:sz w:val="20"/>
                <w:szCs w:val="20"/>
              </w:rPr>
            </w:pPr>
            <w:r w:rsidRPr="00D200A0">
              <w:rPr>
                <w:color w:val="000000"/>
                <w:sz w:val="20"/>
                <w:szCs w:val="20"/>
              </w:rPr>
              <w:t>13</w:t>
            </w:r>
          </w:p>
        </w:tc>
        <w:tc>
          <w:tcPr>
            <w:tcW w:w="889" w:type="dxa"/>
            <w:tcBorders>
              <w:top w:val="nil"/>
              <w:left w:val="nil"/>
              <w:bottom w:val="double" w:sz="6" w:space="0" w:color="auto"/>
              <w:right w:val="single" w:sz="4" w:space="0" w:color="auto"/>
            </w:tcBorders>
            <w:shd w:val="clear" w:color="auto" w:fill="auto"/>
            <w:vAlign w:val="center"/>
            <w:hideMark/>
          </w:tcPr>
          <w:p w:rsidR="00BC1512" w:rsidRPr="00D200A0" w14:paraId="37FC2BEB" w14:textId="77777777">
            <w:pPr>
              <w:jc w:val="center"/>
              <w:rPr>
                <w:color w:val="000000"/>
                <w:sz w:val="20"/>
                <w:szCs w:val="20"/>
              </w:rPr>
            </w:pPr>
            <w:r w:rsidRPr="00D200A0">
              <w:rPr>
                <w:color w:val="000000"/>
                <w:sz w:val="20"/>
                <w:szCs w:val="20"/>
              </w:rPr>
              <w:t>$65.99</w:t>
            </w:r>
          </w:p>
        </w:tc>
        <w:tc>
          <w:tcPr>
            <w:tcW w:w="1358" w:type="dxa"/>
            <w:tcBorders>
              <w:top w:val="nil"/>
              <w:left w:val="nil"/>
              <w:bottom w:val="double" w:sz="6" w:space="0" w:color="auto"/>
              <w:right w:val="single" w:sz="4" w:space="0" w:color="auto"/>
            </w:tcBorders>
            <w:shd w:val="clear" w:color="auto" w:fill="auto"/>
            <w:vAlign w:val="center"/>
            <w:hideMark/>
          </w:tcPr>
          <w:p w:rsidR="00BC1512" w:rsidRPr="00D200A0" w14:paraId="602DA232" w14:textId="77777777">
            <w:pPr>
              <w:jc w:val="center"/>
              <w:rPr>
                <w:color w:val="000000"/>
                <w:sz w:val="20"/>
                <w:szCs w:val="20"/>
              </w:rPr>
            </w:pPr>
            <w:r w:rsidRPr="00D200A0">
              <w:rPr>
                <w:color w:val="000000"/>
                <w:sz w:val="20"/>
                <w:szCs w:val="20"/>
              </w:rPr>
              <w:t xml:space="preserve">$825 </w:t>
            </w:r>
          </w:p>
        </w:tc>
        <w:tc>
          <w:tcPr>
            <w:tcW w:w="222" w:type="dxa"/>
            <w:vAlign w:val="center"/>
            <w:hideMark/>
          </w:tcPr>
          <w:p w:rsidR="00BC1512" w:rsidRPr="00D200A0" w14:paraId="51B45179" w14:textId="77777777">
            <w:pPr>
              <w:rPr>
                <w:sz w:val="20"/>
                <w:szCs w:val="20"/>
              </w:rPr>
            </w:pPr>
          </w:p>
        </w:tc>
      </w:tr>
      <w:tr w14:paraId="5F96E3A3" w14:textId="77777777" w:rsidTr="00E23D7A">
        <w:tblPrEx>
          <w:tblW w:w="10420" w:type="dxa"/>
          <w:tblLook w:val="04A0"/>
        </w:tblPrEx>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C1512" w:rsidRPr="00D200A0" w14:paraId="447F46BD" w14:textId="77777777">
            <w:pPr>
              <w:rPr>
                <w:b/>
                <w:bCs/>
                <w:color w:val="000000"/>
                <w:sz w:val="20"/>
                <w:szCs w:val="20"/>
              </w:rPr>
            </w:pPr>
            <w:r w:rsidRPr="00D200A0">
              <w:rPr>
                <w:b/>
                <w:bCs/>
                <w:color w:val="000000"/>
                <w:sz w:val="20"/>
                <w:szCs w:val="20"/>
              </w:rPr>
              <w:t xml:space="preserve">Total (Three-Year </w:t>
            </w:r>
            <w:r w:rsidRPr="00D200A0">
              <w:rPr>
                <w:b/>
                <w:bCs/>
                <w:color w:val="000000"/>
                <w:sz w:val="20"/>
                <w:szCs w:val="20"/>
              </w:rPr>
              <w:t>Average)</w:t>
            </w:r>
            <w:r>
              <w:rPr>
                <w:b/>
                <w:bCs/>
                <w:color w:val="000000"/>
                <w:sz w:val="20"/>
                <w:szCs w:val="20"/>
              </w:rPr>
              <w:t>*</w:t>
            </w:r>
            <w:r>
              <w:rPr>
                <w:b/>
                <w:bCs/>
                <w:color w:val="000000"/>
                <w:sz w:val="20"/>
                <w:szCs w:val="20"/>
              </w:rPr>
              <w:t>*</w:t>
            </w:r>
          </w:p>
        </w:tc>
        <w:tc>
          <w:tcPr>
            <w:tcW w:w="1415" w:type="dxa"/>
            <w:tcBorders>
              <w:top w:val="nil"/>
              <w:left w:val="nil"/>
              <w:bottom w:val="single" w:sz="4" w:space="0" w:color="auto"/>
              <w:right w:val="single" w:sz="4" w:space="0" w:color="auto"/>
            </w:tcBorders>
            <w:shd w:val="clear" w:color="auto" w:fill="auto"/>
            <w:vAlign w:val="center"/>
            <w:hideMark/>
          </w:tcPr>
          <w:p w:rsidR="00BC1512" w:rsidRPr="00D200A0" w14:paraId="61C992C8" w14:textId="35581270">
            <w:pPr>
              <w:jc w:val="center"/>
              <w:rPr>
                <w:b/>
                <w:bCs/>
                <w:color w:val="000000"/>
                <w:sz w:val="20"/>
                <w:szCs w:val="20"/>
              </w:rPr>
            </w:pPr>
            <w:r>
              <w:rPr>
                <w:b/>
                <w:bCs/>
                <w:color w:val="000000"/>
                <w:sz w:val="20"/>
                <w:szCs w:val="20"/>
              </w:rPr>
              <w:t>18,632</w:t>
            </w:r>
          </w:p>
        </w:tc>
        <w:tc>
          <w:tcPr>
            <w:tcW w:w="1329" w:type="dxa"/>
            <w:tcBorders>
              <w:top w:val="nil"/>
              <w:left w:val="nil"/>
              <w:bottom w:val="single" w:sz="4" w:space="0" w:color="auto"/>
              <w:right w:val="single" w:sz="4" w:space="0" w:color="auto"/>
            </w:tcBorders>
            <w:shd w:val="clear" w:color="auto" w:fill="auto"/>
            <w:vAlign w:val="center"/>
            <w:hideMark/>
          </w:tcPr>
          <w:p w:rsidR="00BC1512" w:rsidRPr="00D200A0" w14:paraId="0D10DF7F" w14:textId="08A89AAA">
            <w:pPr>
              <w:jc w:val="center"/>
              <w:rPr>
                <w:b/>
                <w:bCs/>
                <w:color w:val="000000"/>
                <w:sz w:val="20"/>
                <w:szCs w:val="20"/>
              </w:rPr>
            </w:pPr>
            <w:r w:rsidRPr="00525A7A">
              <w:rPr>
                <w:b/>
                <w:bCs/>
                <w:color w:val="000000"/>
                <w:sz w:val="20"/>
                <w:szCs w:val="20"/>
              </w:rPr>
              <w:t>6</w:t>
            </w:r>
            <w:r w:rsidR="00D7785B">
              <w:rPr>
                <w:b/>
                <w:bCs/>
                <w:color w:val="000000"/>
                <w:sz w:val="20"/>
                <w:szCs w:val="20"/>
              </w:rPr>
              <w:t>,</w:t>
            </w:r>
            <w:r w:rsidRPr="00525A7A">
              <w:rPr>
                <w:b/>
                <w:bCs/>
                <w:color w:val="000000"/>
                <w:sz w:val="20"/>
                <w:szCs w:val="20"/>
              </w:rPr>
              <w:t>151.1066</w:t>
            </w:r>
          </w:p>
        </w:tc>
        <w:tc>
          <w:tcPr>
            <w:tcW w:w="1216" w:type="dxa"/>
            <w:tcBorders>
              <w:top w:val="nil"/>
              <w:left w:val="nil"/>
              <w:bottom w:val="single" w:sz="4" w:space="0" w:color="auto"/>
              <w:right w:val="single" w:sz="4" w:space="0" w:color="auto"/>
            </w:tcBorders>
            <w:shd w:val="clear" w:color="auto" w:fill="auto"/>
            <w:vAlign w:val="center"/>
            <w:hideMark/>
          </w:tcPr>
          <w:p w:rsidR="00BC1512" w:rsidRPr="00D200A0" w14:paraId="5B5AC0A2" w14:textId="291F6E92">
            <w:pPr>
              <w:jc w:val="center"/>
              <w:rPr>
                <w:b/>
                <w:bCs/>
                <w:color w:val="000000"/>
                <w:sz w:val="20"/>
                <w:szCs w:val="20"/>
              </w:rPr>
            </w:pPr>
            <w:r w:rsidRPr="00275502">
              <w:rPr>
                <w:b/>
                <w:bCs/>
                <w:color w:val="000000"/>
                <w:sz w:val="20"/>
                <w:szCs w:val="20"/>
              </w:rPr>
              <w:t>114,609,171</w:t>
            </w:r>
          </w:p>
        </w:tc>
        <w:tc>
          <w:tcPr>
            <w:tcW w:w="998" w:type="dxa"/>
            <w:tcBorders>
              <w:top w:val="nil"/>
              <w:left w:val="nil"/>
              <w:bottom w:val="single" w:sz="4" w:space="0" w:color="auto"/>
              <w:right w:val="single" w:sz="4" w:space="0" w:color="auto"/>
            </w:tcBorders>
            <w:shd w:val="clear" w:color="auto" w:fill="000000" w:themeFill="text1"/>
            <w:vAlign w:val="center"/>
            <w:hideMark/>
          </w:tcPr>
          <w:p w:rsidR="00BC1512" w:rsidRPr="00D200A0" w14:paraId="439CFB37" w14:textId="77777777">
            <w:pPr>
              <w:jc w:val="center"/>
              <w:rPr>
                <w:b/>
                <w:bCs/>
                <w:color w:val="000000"/>
                <w:sz w:val="20"/>
                <w:szCs w:val="20"/>
              </w:rPr>
            </w:pPr>
            <w:r w:rsidRPr="00D200A0">
              <w:rPr>
                <w:b/>
                <w:bCs/>
                <w:color w:val="000000"/>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BC1512" w:rsidRPr="00D200A0" w14:paraId="785E4A30" w14:textId="1ABC3BDE">
            <w:pPr>
              <w:jc w:val="center"/>
              <w:rPr>
                <w:b/>
                <w:bCs/>
                <w:color w:val="000000"/>
                <w:sz w:val="20"/>
                <w:szCs w:val="20"/>
              </w:rPr>
            </w:pPr>
            <w:r w:rsidRPr="0025758A">
              <w:rPr>
                <w:b/>
                <w:bCs/>
                <w:color w:val="000000"/>
                <w:sz w:val="20"/>
                <w:szCs w:val="20"/>
              </w:rPr>
              <w:t>2,599,221</w:t>
            </w:r>
          </w:p>
        </w:tc>
        <w:tc>
          <w:tcPr>
            <w:tcW w:w="889" w:type="dxa"/>
            <w:tcBorders>
              <w:top w:val="nil"/>
              <w:left w:val="nil"/>
              <w:bottom w:val="single" w:sz="4" w:space="0" w:color="auto"/>
              <w:right w:val="single" w:sz="4" w:space="0" w:color="auto"/>
            </w:tcBorders>
            <w:shd w:val="clear" w:color="auto" w:fill="000000" w:themeFill="text1"/>
            <w:vAlign w:val="center"/>
            <w:hideMark/>
          </w:tcPr>
          <w:p w:rsidR="00BC1512" w:rsidRPr="00D200A0" w14:paraId="54511224" w14:textId="77777777">
            <w:pPr>
              <w:jc w:val="center"/>
              <w:rPr>
                <w:b/>
                <w:bCs/>
                <w:color w:val="000000"/>
                <w:sz w:val="20"/>
                <w:szCs w:val="20"/>
              </w:rPr>
            </w:pPr>
            <w:r w:rsidRPr="00D200A0">
              <w:rPr>
                <w:b/>
                <w:bCs/>
                <w:color w:val="000000"/>
                <w:sz w:val="20"/>
                <w:szCs w:val="20"/>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BC1512" w:rsidRPr="00D200A0" w:rsidP="00364911" w14:paraId="4531CEE9" w14:textId="41EF8CC7">
            <w:pPr>
              <w:rPr>
                <w:b/>
                <w:bCs/>
                <w:color w:val="000000"/>
                <w:sz w:val="20"/>
                <w:szCs w:val="20"/>
              </w:rPr>
            </w:pPr>
            <w:r w:rsidRPr="00364911">
              <w:rPr>
                <w:b/>
                <w:bCs/>
                <w:color w:val="000000"/>
                <w:sz w:val="20"/>
                <w:szCs w:val="20"/>
              </w:rPr>
              <w:t>$298,405,022</w:t>
            </w:r>
          </w:p>
        </w:tc>
        <w:tc>
          <w:tcPr>
            <w:tcW w:w="222" w:type="dxa"/>
            <w:vAlign w:val="center"/>
            <w:hideMark/>
          </w:tcPr>
          <w:p w:rsidR="00BC1512" w:rsidRPr="00D200A0" w14:paraId="22DBA6B3" w14:textId="77777777">
            <w:pPr>
              <w:rPr>
                <w:sz w:val="20"/>
                <w:szCs w:val="20"/>
              </w:rPr>
            </w:pPr>
          </w:p>
        </w:tc>
      </w:tr>
      <w:tr w14:paraId="716C3787" w14:textId="77777777">
        <w:tblPrEx>
          <w:tblW w:w="10420" w:type="dxa"/>
          <w:tblLook w:val="04A0"/>
        </w:tblPrEx>
        <w:trPr>
          <w:trHeight w:val="300"/>
        </w:trPr>
        <w:tc>
          <w:tcPr>
            <w:tcW w:w="10198" w:type="dxa"/>
            <w:gridSpan w:val="8"/>
            <w:vMerge w:val="restart"/>
            <w:tcBorders>
              <w:top w:val="nil"/>
              <w:left w:val="single" w:sz="4" w:space="0" w:color="auto"/>
              <w:right w:val="single" w:sz="4" w:space="0" w:color="auto"/>
            </w:tcBorders>
            <w:shd w:val="clear" w:color="auto" w:fill="auto"/>
            <w:vAlign w:val="center"/>
          </w:tcPr>
          <w:p w:rsidR="00BC1512" w:rsidRPr="000B650B" w14:paraId="3AA7D069" w14:textId="77777777">
            <w:pPr>
              <w:rPr>
                <w:color w:val="000000"/>
                <w:sz w:val="22"/>
                <w:szCs w:val="22"/>
              </w:rPr>
            </w:pPr>
            <w:r w:rsidRPr="000B650B">
              <w:rPr>
                <w:color w:val="000000"/>
                <w:sz w:val="22"/>
                <w:szCs w:val="22"/>
                <w:u w:val="single"/>
              </w:rPr>
              <w:t>Table Notes</w:t>
            </w:r>
            <w:r w:rsidRPr="000B650B">
              <w:rPr>
                <w:color w:val="000000"/>
                <w:sz w:val="22"/>
                <w:szCs w:val="22"/>
              </w:rPr>
              <w:t xml:space="preserve">: </w:t>
            </w:r>
          </w:p>
          <w:p w:rsidR="00BC1512" w:rsidRPr="00E21D03" w14:paraId="52F33112" w14:textId="6C38AC03">
            <w:pPr>
              <w:rPr>
                <w:color w:val="000000"/>
                <w:sz w:val="22"/>
                <w:szCs w:val="22"/>
              </w:rPr>
            </w:pPr>
            <w:r w:rsidRPr="000B650B">
              <w:rPr>
                <w:color w:val="000000"/>
                <w:sz w:val="22"/>
                <w:szCs w:val="22"/>
              </w:rPr>
              <w:t xml:space="preserve">(*) When the equivalent cost of hour burden was calculated, the intermediate stages of the calculation were not rounded. </w:t>
            </w:r>
            <w:r w:rsidR="00E21D03">
              <w:rPr>
                <w:color w:val="000000"/>
                <w:sz w:val="22"/>
                <w:szCs w:val="22"/>
              </w:rPr>
              <w:t>T</w:t>
            </w:r>
            <w:r w:rsidRPr="00906591" w:rsidR="00E21D03">
              <w:rPr>
                <w:sz w:val="22"/>
                <w:szCs w:val="22"/>
              </w:rPr>
              <w:t xml:space="preserve">he </w:t>
            </w:r>
            <w:r w:rsidR="00906591">
              <w:rPr>
                <w:sz w:val="22"/>
                <w:szCs w:val="22"/>
              </w:rPr>
              <w:t>v</w:t>
            </w:r>
            <w:r w:rsidRPr="00906591" w:rsidR="00E21D03">
              <w:rPr>
                <w:sz w:val="22"/>
                <w:szCs w:val="22"/>
              </w:rPr>
              <w:t>alues may not equal the sum of the parts due to rounding.</w:t>
            </w:r>
          </w:p>
          <w:p w:rsidR="00BC1512" w:rsidRPr="000B650B" w14:paraId="56AE7314" w14:textId="77777777">
            <w:pPr>
              <w:rPr>
                <w:b/>
                <w:bCs/>
                <w:color w:val="000000"/>
                <w:sz w:val="22"/>
                <w:szCs w:val="22"/>
              </w:rPr>
            </w:pPr>
            <w:r w:rsidRPr="000B650B">
              <w:rPr>
                <w:color w:val="000000"/>
                <w:sz w:val="22"/>
                <w:szCs w:val="22"/>
              </w:rPr>
              <w:t>(**) Totals represent the three-year average burden. Some activities represent costs incurred only in the first year.</w:t>
            </w:r>
          </w:p>
        </w:tc>
        <w:tc>
          <w:tcPr>
            <w:tcW w:w="222" w:type="dxa"/>
            <w:vAlign w:val="center"/>
          </w:tcPr>
          <w:p w:rsidR="00BC1512" w:rsidRPr="00D200A0" w14:paraId="7D81A38C" w14:textId="77777777">
            <w:pPr>
              <w:rPr>
                <w:sz w:val="20"/>
                <w:szCs w:val="20"/>
              </w:rPr>
            </w:pPr>
          </w:p>
        </w:tc>
      </w:tr>
      <w:tr w14:paraId="085C7497" w14:textId="77777777">
        <w:tblPrEx>
          <w:tblW w:w="10420" w:type="dxa"/>
          <w:tblLook w:val="04A0"/>
        </w:tblPrEx>
        <w:trPr>
          <w:trHeight w:val="300"/>
        </w:trPr>
        <w:tc>
          <w:tcPr>
            <w:tcW w:w="10198" w:type="dxa"/>
            <w:gridSpan w:val="8"/>
            <w:vMerge/>
            <w:tcBorders>
              <w:left w:val="single" w:sz="4" w:space="0" w:color="auto"/>
              <w:bottom w:val="single" w:sz="4" w:space="0" w:color="auto"/>
              <w:right w:val="single" w:sz="4" w:space="0" w:color="auto"/>
            </w:tcBorders>
            <w:shd w:val="clear" w:color="auto" w:fill="auto"/>
            <w:vAlign w:val="center"/>
          </w:tcPr>
          <w:p w:rsidR="00BC1512" w:rsidRPr="00D200A0" w14:paraId="5F9B380B" w14:textId="77777777">
            <w:pPr>
              <w:jc w:val="center"/>
              <w:rPr>
                <w:b/>
                <w:bCs/>
                <w:color w:val="000000"/>
                <w:sz w:val="20"/>
                <w:szCs w:val="20"/>
              </w:rPr>
            </w:pPr>
          </w:p>
        </w:tc>
        <w:tc>
          <w:tcPr>
            <w:tcW w:w="222" w:type="dxa"/>
            <w:vAlign w:val="center"/>
          </w:tcPr>
          <w:p w:rsidR="00BC1512" w:rsidRPr="00D200A0" w14:paraId="60C1DD87" w14:textId="77777777">
            <w:pPr>
              <w:rPr>
                <w:sz w:val="20"/>
                <w:szCs w:val="20"/>
              </w:rPr>
            </w:pPr>
          </w:p>
        </w:tc>
      </w:tr>
    </w:tbl>
    <w:p w:rsidR="00C7730B" w:rsidRPr="002D471C" w:rsidP="002D471C" w14:paraId="7D3CD3F6" w14:textId="4B6C4D53">
      <w:pPr>
        <w:tabs>
          <w:tab w:val="left" w:pos="8640"/>
        </w:tabs>
        <w:rPr>
          <w:iCs/>
        </w:rPr>
      </w:pPr>
    </w:p>
    <w:p w:rsidR="008C4059" w:rsidP="008F7870" w14:paraId="2810DD30" w14:textId="3014AFCB">
      <w:pPr>
        <w:pStyle w:val="Heading2"/>
      </w:pPr>
      <w:r w:rsidRPr="00344B81">
        <w:t>Provide an estimate of the total annual cost burden to respondents or recordkeepers resulting from the collection of information.</w:t>
      </w:r>
      <w:r w:rsidR="009C7814">
        <w:t xml:space="preserve"> </w:t>
      </w:r>
      <w:r w:rsidRPr="00344B81">
        <w:t>(Do not include the cost of any hour burden shown in Items 12 or 14).</w:t>
      </w:r>
      <w:r w:rsidR="009C7814">
        <w:t xml:space="preserve"> </w:t>
      </w:r>
    </w:p>
    <w:p w:rsidR="00023DB0" w:rsidRPr="00710ED4" w:rsidP="0003285A" w14:paraId="293B2853" w14:textId="2803C13E">
      <w:pPr>
        <w:widowControl w:val="0"/>
        <w:numPr>
          <w:ilvl w:val="0"/>
          <w:numId w:val="7"/>
        </w:numPr>
        <w:autoSpaceDE w:val="0"/>
        <w:autoSpaceDN w:val="0"/>
        <w:adjustRightInd w:val="0"/>
        <w:rPr>
          <w:b/>
        </w:rPr>
      </w:pPr>
      <w:r w:rsidRPr="00710ED4">
        <w:rPr>
          <w:b/>
        </w:rPr>
        <w:t>The cost estimate should be split into two components:</w:t>
      </w:r>
      <w:r w:rsidR="009C7814">
        <w:rPr>
          <w:b/>
        </w:rPr>
        <w:t xml:space="preserve"> </w:t>
      </w:r>
      <w:r w:rsidRPr="00710ED4">
        <w:rPr>
          <w:b/>
        </w:rPr>
        <w:t>(a) a total capital and </w:t>
      </w:r>
      <w:r w:rsidRPr="00710ED4">
        <w:rPr>
          <w:b/>
        </w:rPr>
        <w:t>start up</w:t>
      </w:r>
      <w:r w:rsidRPr="00710ED4">
        <w:rPr>
          <w:b/>
        </w:rPr>
        <w:t xml:space="preserve"> cost component (annualized over its expected useful life); and (b) a total operation and maintenance and purchase of service component.</w:t>
      </w:r>
      <w:r w:rsidR="009C7814">
        <w:rPr>
          <w:b/>
        </w:rPr>
        <w:t xml:space="preserve"> </w:t>
      </w:r>
      <w:r w:rsidRPr="00710ED4">
        <w:rPr>
          <w:b/>
        </w:rPr>
        <w:t xml:space="preserve">The estimates should </w:t>
      </w:r>
      <w:r w:rsidRPr="00710ED4">
        <w:rPr>
          <w:b/>
        </w:rPr>
        <w:t>take into account</w:t>
      </w:r>
      <w:r w:rsidRPr="00710ED4">
        <w:rPr>
          <w:b/>
        </w:rPr>
        <w:t xml:space="preserve"> costs associated with generating, maintaining, and disclosing or providing the information.</w:t>
      </w:r>
      <w:r w:rsidR="009C7814">
        <w:rPr>
          <w:b/>
        </w:rPr>
        <w:t xml:space="preserve"> </w:t>
      </w:r>
      <w:r w:rsidRPr="00710ED4">
        <w:rPr>
          <w:b/>
        </w:rPr>
        <w:t>Include descriptions of methods used to estimate major cost factors including system and technology acquisition, expected useful life of capital equipment, the discount rate(s), and the time period over which costs will be incurred.</w:t>
      </w:r>
      <w:r w:rsidR="009C7814">
        <w:rPr>
          <w:b/>
        </w:rPr>
        <w:t xml:space="preserve"> </w:t>
      </w:r>
      <w:r w:rsidRPr="00710ED4">
        <w:rPr>
          <w:b/>
        </w:rPr>
        <w:t xml:space="preserve">Capital and start-up costs include, among other items, preparations for collecting information such as purchasing computers and software; monitoring, sampling, </w:t>
      </w:r>
      <w:r w:rsidRPr="00710ED4">
        <w:rPr>
          <w:b/>
        </w:rPr>
        <w:t>drilling</w:t>
      </w:r>
      <w:r w:rsidRPr="00710ED4">
        <w:rPr>
          <w:b/>
        </w:rPr>
        <w:t xml:space="preserve"> and testing equipment; and record storage facilities. </w:t>
      </w:r>
    </w:p>
    <w:p w:rsidR="00023DB0" w:rsidRPr="00710ED4" w:rsidP="0003285A" w14:paraId="5D86D18A" w14:textId="66BD2EB2">
      <w:pPr>
        <w:widowControl w:val="0"/>
        <w:numPr>
          <w:ilvl w:val="0"/>
          <w:numId w:val="8"/>
        </w:numPr>
        <w:autoSpaceDE w:val="0"/>
        <w:autoSpaceDN w:val="0"/>
        <w:adjustRightInd w:val="0"/>
        <w:rPr>
          <w:b/>
        </w:rPr>
      </w:pPr>
      <w:r w:rsidRPr="00710ED4">
        <w:rPr>
          <w:b/>
        </w:rPr>
        <w:t>If cost estimates are expected to vary widely, agencies should present ranges of cost burdens and explain the reasons for the variance.</w:t>
      </w:r>
      <w:r w:rsidR="009C7814">
        <w:rPr>
          <w:b/>
        </w:rPr>
        <w:t xml:space="preserve"> </w:t>
      </w:r>
      <w:r w:rsidRPr="00710ED4">
        <w:rPr>
          <w:b/>
        </w:rPr>
        <w:t>The cost of purchasing or contracting out information collection services should be a part of this cost burden estimate.</w:t>
      </w:r>
      <w:r w:rsidR="009C7814">
        <w:rPr>
          <w:b/>
        </w:rPr>
        <w:t xml:space="preserve"> </w:t>
      </w:r>
      <w:r w:rsidRPr="00710ED4">
        <w:rPr>
          <w:b/>
        </w:rPr>
        <w:t xml:space="preserve">In developing cost burden estimates, agencies may consult with a sample of respondents (fewer than 10), utilize the 60-day pre-OMB submission public comment </w:t>
      </w:r>
      <w:r w:rsidRPr="00710ED4">
        <w:rPr>
          <w:b/>
        </w:rPr>
        <w:t>process</w:t>
      </w:r>
      <w:r w:rsidRPr="00710ED4">
        <w:rPr>
          <w:b/>
        </w:rPr>
        <w:t xml:space="preserve"> and use existing economic or regulatory impact analysis associated with the rulemaking containing the information collection, as appropriate. </w:t>
      </w:r>
    </w:p>
    <w:p w:rsidR="004707F3" w:rsidP="0003285A" w14:paraId="67817EF7" w14:textId="450A02B1">
      <w:pPr>
        <w:widowControl w:val="0"/>
        <w:numPr>
          <w:ilvl w:val="0"/>
          <w:numId w:val="9"/>
        </w:numPr>
        <w:autoSpaceDE w:val="0"/>
        <w:autoSpaceDN w:val="0"/>
        <w:adjustRightInd w:val="0"/>
        <w:rPr>
          <w:b/>
        </w:rPr>
      </w:pPr>
      <w:r w:rsidRPr="00710ED4">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023DB0" w:rsidRPr="00023DB0" w:rsidP="0003285A" w14:paraId="2C16265B" w14:textId="77777777">
      <w:pPr>
        <w:widowControl w:val="0"/>
        <w:autoSpaceDE w:val="0"/>
        <w:autoSpaceDN w:val="0"/>
        <w:adjustRightInd w:val="0"/>
        <w:ind w:left="1440"/>
        <w:rPr>
          <w:b/>
        </w:rPr>
      </w:pPr>
    </w:p>
    <w:p w:rsidR="00777D97" w:rsidRPr="00C92E51" w:rsidP="00777D97" w14:paraId="05A87A33" w14:textId="41D0AA30">
      <w:pPr>
        <w:pStyle w:val="BodyTextIndent"/>
        <w:contextualSpacing/>
        <w:rPr>
          <w:iCs/>
          <w:color w:val="000000" w:themeColor="text1"/>
          <w:u w:val="single"/>
        </w:rPr>
      </w:pPr>
      <w:r>
        <w:rPr>
          <w:iCs/>
          <w:color w:val="000000" w:themeColor="text1"/>
          <w:u w:val="single"/>
        </w:rPr>
        <w:t xml:space="preserve">Material Costs </w:t>
      </w:r>
      <w:r w:rsidR="00553AFA">
        <w:rPr>
          <w:iCs/>
          <w:color w:val="000000" w:themeColor="text1"/>
          <w:u w:val="single"/>
        </w:rPr>
        <w:t xml:space="preserve">for Distribution of </w:t>
      </w:r>
      <w:r w:rsidRPr="00C92E51">
        <w:rPr>
          <w:iCs/>
          <w:color w:val="000000" w:themeColor="text1"/>
          <w:u w:val="single"/>
        </w:rPr>
        <w:t>Disclosures for Investors</w:t>
      </w:r>
    </w:p>
    <w:p w:rsidR="00777D97" w:rsidP="00FD28A8" w14:paraId="1736772D" w14:textId="77777777">
      <w:pPr>
        <w:widowControl w:val="0"/>
        <w:tabs>
          <w:tab w:val="left" w:pos="900"/>
        </w:tabs>
        <w:ind w:left="720"/>
        <w:contextualSpacing/>
      </w:pPr>
    </w:p>
    <w:p w:rsidR="00FD28A8" w:rsidRPr="00530824" w:rsidP="00FD28A8" w14:paraId="74D3CD52" w14:textId="39F2CB44">
      <w:pPr>
        <w:widowControl w:val="0"/>
        <w:tabs>
          <w:tab w:val="left" w:pos="900"/>
        </w:tabs>
        <w:ind w:left="720"/>
        <w:contextualSpacing/>
      </w:pPr>
      <w:r>
        <w:t xml:space="preserve">The Department does not have information on how many </w:t>
      </w:r>
      <w:r w:rsidR="00AF4AF3">
        <w:t>Retirement Investor</w:t>
      </w:r>
      <w:r w:rsidR="00EA2A06">
        <w:t>s</w:t>
      </w:r>
      <w:r>
        <w:t xml:space="preserve">, including </w:t>
      </w:r>
      <w:r w:rsidR="00A60913">
        <w:t>Plan</w:t>
      </w:r>
      <w:r>
        <w:t xml:space="preserve"> beneficiaries and participants and IRA owners, receive disclosures electronically from investment advice fiduciaries. For the purposes of this analysis, the Department assumes that the percent of </w:t>
      </w:r>
      <w:r w:rsidR="00AF4AF3">
        <w:t>Retirement Investor</w:t>
      </w:r>
      <w:r w:rsidR="00EA2A06">
        <w:t>s</w:t>
      </w:r>
      <w:r>
        <w:t xml:space="preserve"> receiving disclosures electronically </w:t>
      </w:r>
      <w:r w:rsidR="00D866CB">
        <w:t xml:space="preserve">from </w:t>
      </w:r>
      <w:r w:rsidR="00D16077">
        <w:t xml:space="preserve">a </w:t>
      </w:r>
      <w:r w:rsidR="009953C4">
        <w:t xml:space="preserve">retirement </w:t>
      </w:r>
      <w:r w:rsidR="00A60913">
        <w:t>Plan</w:t>
      </w:r>
      <w:r w:rsidR="009953C4">
        <w:t xml:space="preserve"> </w:t>
      </w:r>
      <w:r w:rsidR="00C87897">
        <w:t xml:space="preserve">will </w:t>
      </w:r>
      <w:r>
        <w:t xml:space="preserve">be similar to the percent of </w:t>
      </w:r>
      <w:r w:rsidR="00A60913">
        <w:t>Plan</w:t>
      </w:r>
      <w:r>
        <w:t xml:space="preserve"> participants receiving disclosures electronically under the Department’s 2020 electronic disclosure rules.</w:t>
      </w:r>
      <w:r>
        <w:rPr>
          <w:rStyle w:val="FootnoteReference"/>
        </w:rPr>
        <w:footnoteReference w:id="40"/>
      </w:r>
      <w:r>
        <w:t xml:space="preserve"> Accordingly, the </w:t>
      </w:r>
      <w:r>
        <w:t xml:space="preserve">Department estimates that </w:t>
      </w:r>
      <w:r w:rsidR="00D82613">
        <w:t>96.1</w:t>
      </w:r>
      <w:r>
        <w:t xml:space="preserve"> percent of the disclosures sent to </w:t>
      </w:r>
      <w:r w:rsidR="00AF4AF3">
        <w:t>Retirement Investor</w:t>
      </w:r>
      <w:r w:rsidR="00EA2A06">
        <w:t>s</w:t>
      </w:r>
      <w:r>
        <w:t xml:space="preserve"> </w:t>
      </w:r>
      <w:r w:rsidR="00C87897">
        <w:t xml:space="preserve">will </w:t>
      </w:r>
      <w:r>
        <w:t xml:space="preserve">be sent electronically, and the remaining </w:t>
      </w:r>
      <w:r w:rsidR="00D82613">
        <w:t>3.</w:t>
      </w:r>
      <w:r w:rsidR="000610AB">
        <w:t>9</w:t>
      </w:r>
      <w:r>
        <w:t xml:space="preserve"> percent </w:t>
      </w:r>
      <w:r w:rsidR="00C87897">
        <w:t xml:space="preserve">will </w:t>
      </w:r>
      <w:r>
        <w:t>be sent by mail.</w:t>
      </w:r>
      <w:r>
        <w:rPr>
          <w:rStyle w:val="FootnoteReference"/>
        </w:rPr>
        <w:footnoteReference w:id="41"/>
      </w:r>
      <w:r>
        <w:t xml:space="preserve"> </w:t>
      </w:r>
      <w:r w:rsidR="00B71B59">
        <w:t xml:space="preserve">Additionally, the Department </w:t>
      </w:r>
      <w:r w:rsidR="00FB27B6">
        <w:t xml:space="preserve">assumes </w:t>
      </w:r>
      <w:r w:rsidR="00B10890">
        <w:t>71.</w:t>
      </w:r>
      <w:r w:rsidR="009A4CE6">
        <w:t xml:space="preserve">8 percent of IRA owners to receive disclosures electronically and the remaining </w:t>
      </w:r>
      <w:r w:rsidR="007265BD">
        <w:t xml:space="preserve">28.2 percent </w:t>
      </w:r>
      <w:r w:rsidR="00560914">
        <w:t>of disclosures sent by mail.</w:t>
      </w:r>
      <w:r>
        <w:rPr>
          <w:rStyle w:val="FootnoteReference"/>
        </w:rPr>
        <w:footnoteReference w:id="42"/>
      </w:r>
      <w:r w:rsidR="00723C64">
        <w:t xml:space="preserve"> </w:t>
      </w:r>
      <w:r w:rsidR="006B1424">
        <w:t>Additionally</w:t>
      </w:r>
      <w:r w:rsidR="00723C64">
        <w:t>, the Department assumes that business to business communication occurs 100 percent electronically.</w:t>
      </w:r>
      <w:r w:rsidR="001D08E6">
        <w:t xml:space="preserve"> </w:t>
      </w:r>
      <w:r>
        <w:t xml:space="preserve">The Department assumes any documents sent by mail </w:t>
      </w:r>
      <w:r w:rsidR="00C87897">
        <w:t xml:space="preserve">will </w:t>
      </w:r>
      <w:r>
        <w:t>be sent by first class mail, incurring a postage cost of $0.</w:t>
      </w:r>
      <w:r w:rsidR="000610AB">
        <w:t>68</w:t>
      </w:r>
      <w:r>
        <w:t xml:space="preserve"> for each piece of mail.</w:t>
      </w:r>
      <w:r>
        <w:rPr>
          <w:rStyle w:val="FootnoteReference"/>
        </w:rPr>
        <w:footnoteReference w:id="43"/>
      </w:r>
      <w:r>
        <w:t xml:space="preserve"> </w:t>
      </w:r>
      <w:r w:rsidR="006B1424">
        <w:t>Finally</w:t>
      </w:r>
      <w:r>
        <w:t xml:space="preserve">, the Department assumes that documents sent by mail </w:t>
      </w:r>
      <w:r w:rsidR="00C87897">
        <w:t xml:space="preserve">will </w:t>
      </w:r>
      <w:r>
        <w:t>incur a</w:t>
      </w:r>
      <w:r w:rsidR="0037341A">
        <w:t xml:space="preserve"> </w:t>
      </w:r>
      <w:r>
        <w:t>material cost of $0.05 for each page.</w:t>
      </w:r>
      <w:r w:rsidRPr="00E973FC">
        <w:t xml:space="preserve"> </w:t>
      </w:r>
    </w:p>
    <w:p w:rsidR="00E8514D" w:rsidP="0003285A" w14:paraId="0A66C9CF" w14:textId="560C8C42">
      <w:pPr>
        <w:pStyle w:val="BodyTextIndent"/>
        <w:contextualSpacing/>
      </w:pPr>
    </w:p>
    <w:p w:rsidR="00CF75D4" w:rsidRPr="008F7870" w:rsidP="0003285A" w14:paraId="40D58224" w14:textId="326CD3A9">
      <w:pPr>
        <w:pStyle w:val="BodyTextIndent"/>
        <w:contextualSpacing/>
        <w:rPr>
          <w:i/>
          <w:iCs/>
        </w:rPr>
      </w:pPr>
      <w:r>
        <w:rPr>
          <w:i/>
          <w:iCs/>
        </w:rPr>
        <w:t xml:space="preserve">Provision of </w:t>
      </w:r>
      <w:r w:rsidRPr="00EC2917" w:rsidR="00EC2917">
        <w:rPr>
          <w:i/>
          <w:iCs/>
        </w:rPr>
        <w:t xml:space="preserve">Relationship and Conflict of </w:t>
      </w:r>
      <w:r w:rsidRPr="00EC2917" w:rsidR="00EC2917">
        <w:rPr>
          <w:i/>
          <w:iCs/>
        </w:rPr>
        <w:t xml:space="preserve">Interest </w:t>
      </w:r>
      <w:r w:rsidR="002A175A">
        <w:rPr>
          <w:i/>
          <w:iCs/>
        </w:rPr>
        <w:t xml:space="preserve"> </w:t>
      </w:r>
      <w:r>
        <w:rPr>
          <w:i/>
          <w:iCs/>
        </w:rPr>
        <w:t>Disclosures</w:t>
      </w:r>
    </w:p>
    <w:p w:rsidR="00CF75D4" w:rsidP="0003285A" w14:paraId="7D824911" w14:textId="77777777">
      <w:pPr>
        <w:pStyle w:val="BodyTextIndent"/>
        <w:contextualSpacing/>
      </w:pPr>
    </w:p>
    <w:p w:rsidR="002D60F5" w:rsidP="000437FB" w14:paraId="0E4A96E1" w14:textId="1400B9B6">
      <w:pPr>
        <w:pStyle w:val="BodyTextIndent"/>
        <w:contextualSpacing/>
      </w:pPr>
      <w:r w:rsidRPr="00EB3F41">
        <w:t xml:space="preserve">Similar to the 2020 analysis, the Department assumes most required disclosures will be electronically delivered to </w:t>
      </w:r>
      <w:r w:rsidR="00A60913">
        <w:t>Plan</w:t>
      </w:r>
      <w:r w:rsidRPr="00EB3F41">
        <w:t xml:space="preserve"> fiduciaries</w:t>
      </w:r>
      <w:r>
        <w:t>.</w:t>
      </w:r>
      <w:r w:rsidRPr="00EB3F41">
        <w:t xml:space="preserve"> </w:t>
      </w:r>
      <w:r w:rsidRPr="00F54661">
        <w:t>As discussed above, the Department estimates that 96.1 percent of the disclosures sent to Retirement Investors will be sent electronically and that approximately 72 percent of IRA owners will receive disclosures electronically.</w:t>
      </w:r>
    </w:p>
    <w:p w:rsidR="002E2271" w:rsidRPr="00F54661" w:rsidP="00F54661" w14:paraId="6C6D80CB" w14:textId="77777777">
      <w:pPr>
        <w:pStyle w:val="BodyTextIndent"/>
        <w:contextualSpacing/>
      </w:pPr>
    </w:p>
    <w:p w:rsidR="002310C4" w:rsidP="003E2CE7" w14:paraId="26F83D79" w14:textId="071B94C3">
      <w:pPr>
        <w:pStyle w:val="BodyTextIndent"/>
        <w:contextualSpacing/>
        <w:rPr>
          <w:rFonts w:eastAsiaTheme="minorEastAsia"/>
          <w:szCs w:val="32"/>
        </w:rPr>
      </w:pPr>
      <w:r>
        <w:t>The Department estimates that approximately 44.6 million Retirement Investors and 67.8 million IRA owners will receive disclosures annually, of which, 20.9 million (1.7 million Retirement Investors and 19.1 million IRA owners) will receive paper</w:t>
      </w:r>
      <w:r w:rsidRPr="0E2C5C4E">
        <w:rPr>
          <w:rFonts w:eastAsiaTheme="minorEastAsia"/>
        </w:rPr>
        <w:t xml:space="preserve"> disclosures.</w:t>
      </w:r>
      <w:r>
        <w:rPr>
          <w:rFonts w:eastAsiaTheme="minorEastAsia"/>
          <w:szCs w:val="32"/>
          <w:vertAlign w:val="superscript"/>
        </w:rPr>
        <w:footnoteReference w:id="44"/>
      </w:r>
      <w:r w:rsidRPr="0E2C5C4E">
        <w:rPr>
          <w:rFonts w:eastAsiaTheme="minorEastAsia"/>
        </w:rPr>
        <w:t xml:space="preserve"> </w:t>
      </w:r>
    </w:p>
    <w:p w:rsidR="002310C4" w:rsidP="003E2CE7" w14:paraId="3AB16B3D" w14:textId="77777777">
      <w:pPr>
        <w:pStyle w:val="BodyTextIndent"/>
        <w:contextualSpacing/>
        <w:rPr>
          <w:rFonts w:eastAsiaTheme="minorEastAsia"/>
          <w:szCs w:val="32"/>
        </w:rPr>
      </w:pPr>
    </w:p>
    <w:p w:rsidR="00E32400" w:rsidRPr="0078467E" w:rsidP="00F54661" w14:paraId="53C77B62" w14:textId="5E9B71BD">
      <w:pPr>
        <w:pStyle w:val="BodyTextIndent"/>
        <w:contextualSpacing/>
        <w:rPr>
          <w:rFonts w:eastAsiaTheme="minorEastAsia"/>
          <w:szCs w:val="32"/>
        </w:rPr>
      </w:pPr>
      <w:r>
        <w:t xml:space="preserve">The Department assumes that the disclosures </w:t>
      </w:r>
      <w:r w:rsidR="00C87897">
        <w:t>will</w:t>
      </w:r>
      <w:r>
        <w:t xml:space="preserve"> require four pages in total, resulting</w:t>
      </w:r>
      <w:r w:rsidR="003E2CE7">
        <w:t xml:space="preserve"> </w:t>
      </w:r>
      <w:r>
        <w:t xml:space="preserve">in a material and postage cost of </w:t>
      </w:r>
      <w:r w:rsidRPr="00F54661">
        <w:t>$</w:t>
      </w:r>
      <w:r w:rsidR="002104CB">
        <w:t>18,350,973</w:t>
      </w:r>
      <w:r w:rsidRPr="0E2C5C4E">
        <w:rPr>
          <w:rFonts w:eastAsiaTheme="minorEastAsia"/>
        </w:rPr>
        <w:t>.</w:t>
      </w:r>
      <w:r>
        <w:rPr>
          <w:rFonts w:eastAsiaTheme="minorEastAsia"/>
          <w:vertAlign w:val="superscript"/>
        </w:rPr>
        <w:footnoteReference w:id="45"/>
      </w:r>
    </w:p>
    <w:p w:rsidR="006D1542" w:rsidP="005F7E17" w14:paraId="1AE6A5C8" w14:textId="77777777">
      <w:pPr>
        <w:tabs>
          <w:tab w:val="left" w:pos="990"/>
        </w:tabs>
        <w:contextualSpacing/>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19219B68" w14:textId="77777777" w:rsidTr="00BF6BDA">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gridSpan w:val="5"/>
            <w:shd w:val="clear" w:color="auto" w:fill="auto"/>
          </w:tcPr>
          <w:p w:rsidR="006D1542" w:rsidP="00BF6BDA" w14:paraId="6F5E8BAF" w14:textId="768F0C01">
            <w:pPr>
              <w:contextualSpacing/>
              <w:jc w:val="center"/>
              <w:rPr>
                <w:b/>
              </w:rPr>
            </w:pPr>
            <w:r>
              <w:rPr>
                <w:b/>
              </w:rPr>
              <w:t xml:space="preserve">Table </w:t>
            </w:r>
            <w:r w:rsidR="00805550">
              <w:rPr>
                <w:b/>
              </w:rPr>
              <w:t>1</w:t>
            </w:r>
            <w:r w:rsidR="002416DF">
              <w:rPr>
                <w:b/>
              </w:rPr>
              <w:t>2</w:t>
            </w:r>
            <w:r>
              <w:rPr>
                <w:b/>
              </w:rPr>
              <w:t>: Material and Postage Cost Associated with Sending Disclosures</w:t>
            </w:r>
          </w:p>
        </w:tc>
      </w:tr>
      <w:tr w14:paraId="3796C1B8" w14:textId="77777777" w:rsidTr="00BF6BDA">
        <w:tblPrEx>
          <w:tblW w:w="0" w:type="auto"/>
          <w:tblInd w:w="828" w:type="dxa"/>
          <w:tblLayout w:type="fixed"/>
          <w:tblLook w:val="04A0"/>
        </w:tblPrEx>
        <w:tc>
          <w:tcPr>
            <w:tcW w:w="1147" w:type="dxa"/>
            <w:shd w:val="clear" w:color="auto" w:fill="auto"/>
          </w:tcPr>
          <w:p w:rsidR="006D1542" w:rsidRPr="00002ED1" w:rsidP="00BF6BDA" w14:paraId="3953AEBC" w14:textId="77777777">
            <w:pPr>
              <w:contextualSpacing/>
              <w:jc w:val="center"/>
              <w:rPr>
                <w:b/>
              </w:rPr>
            </w:pPr>
          </w:p>
        </w:tc>
        <w:tc>
          <w:tcPr>
            <w:tcW w:w="3687" w:type="dxa"/>
            <w:gridSpan w:val="2"/>
            <w:shd w:val="clear" w:color="auto" w:fill="auto"/>
          </w:tcPr>
          <w:p w:rsidR="006D1542" w:rsidRPr="00002ED1" w:rsidP="00BF6BDA" w14:paraId="5A6346D9" w14:textId="77777777">
            <w:pPr>
              <w:contextualSpacing/>
              <w:jc w:val="center"/>
              <w:rPr>
                <w:b/>
              </w:rPr>
            </w:pPr>
            <w:r>
              <w:rPr>
                <w:b/>
              </w:rPr>
              <w:t>Year 1</w:t>
            </w:r>
          </w:p>
        </w:tc>
        <w:tc>
          <w:tcPr>
            <w:tcW w:w="3688" w:type="dxa"/>
            <w:gridSpan w:val="2"/>
          </w:tcPr>
          <w:p w:rsidR="006D1542" w:rsidRPr="00002ED1" w:rsidP="00BF6BDA" w14:paraId="2DA1E9E5" w14:textId="77777777">
            <w:pPr>
              <w:ind w:hanging="14"/>
              <w:contextualSpacing/>
              <w:jc w:val="center"/>
              <w:rPr>
                <w:b/>
              </w:rPr>
            </w:pPr>
            <w:r>
              <w:rPr>
                <w:b/>
              </w:rPr>
              <w:t>Subsequent Years</w:t>
            </w:r>
          </w:p>
        </w:tc>
      </w:tr>
      <w:tr w14:paraId="42407B87" w14:textId="77777777" w:rsidTr="00BF6BDA">
        <w:tblPrEx>
          <w:tblW w:w="0" w:type="auto"/>
          <w:tblInd w:w="828" w:type="dxa"/>
          <w:tblLayout w:type="fixed"/>
          <w:tblLook w:val="04A0"/>
        </w:tblPrEx>
        <w:tc>
          <w:tcPr>
            <w:tcW w:w="1147" w:type="dxa"/>
            <w:shd w:val="clear" w:color="auto" w:fill="auto"/>
          </w:tcPr>
          <w:p w:rsidR="006D1542" w:rsidRPr="00002ED1" w:rsidP="00BF6BDA" w14:paraId="2D928D48" w14:textId="77777777">
            <w:pPr>
              <w:contextualSpacing/>
              <w:jc w:val="center"/>
              <w:rPr>
                <w:b/>
              </w:rPr>
            </w:pPr>
            <w:r w:rsidRPr="00002ED1">
              <w:rPr>
                <w:b/>
              </w:rPr>
              <w:t>Activity</w:t>
            </w:r>
          </w:p>
        </w:tc>
        <w:tc>
          <w:tcPr>
            <w:tcW w:w="1843" w:type="dxa"/>
            <w:shd w:val="clear" w:color="auto" w:fill="auto"/>
          </w:tcPr>
          <w:p w:rsidR="006D1542" w:rsidRPr="00002ED1" w:rsidP="00BF6BDA" w14:paraId="6A42CA09" w14:textId="77777777">
            <w:pPr>
              <w:contextualSpacing/>
              <w:jc w:val="center"/>
              <w:rPr>
                <w:b/>
              </w:rPr>
            </w:pPr>
            <w:r>
              <w:rPr>
                <w:b/>
              </w:rPr>
              <w:t>Pages</w:t>
            </w:r>
          </w:p>
        </w:tc>
        <w:tc>
          <w:tcPr>
            <w:tcW w:w="1844" w:type="dxa"/>
            <w:shd w:val="clear" w:color="auto" w:fill="auto"/>
          </w:tcPr>
          <w:p w:rsidR="006D1542" w:rsidRPr="00002ED1" w:rsidP="00BF6BDA" w14:paraId="1F4DB508" w14:textId="77777777">
            <w:pPr>
              <w:contextualSpacing/>
              <w:jc w:val="center"/>
              <w:rPr>
                <w:b/>
              </w:rPr>
            </w:pPr>
            <w:r w:rsidRPr="00002ED1">
              <w:rPr>
                <w:b/>
              </w:rPr>
              <w:t>Cost</w:t>
            </w:r>
          </w:p>
        </w:tc>
        <w:tc>
          <w:tcPr>
            <w:tcW w:w="1844" w:type="dxa"/>
          </w:tcPr>
          <w:p w:rsidR="006D1542" w:rsidRPr="00002ED1" w:rsidP="00BF6BDA" w14:paraId="0326ADC1" w14:textId="77777777">
            <w:pPr>
              <w:ind w:hanging="14"/>
              <w:contextualSpacing/>
              <w:jc w:val="center"/>
              <w:rPr>
                <w:b/>
              </w:rPr>
            </w:pPr>
            <w:r>
              <w:rPr>
                <w:b/>
              </w:rPr>
              <w:t>Pages</w:t>
            </w:r>
          </w:p>
        </w:tc>
        <w:tc>
          <w:tcPr>
            <w:tcW w:w="1844" w:type="dxa"/>
          </w:tcPr>
          <w:p w:rsidR="006D1542" w:rsidRPr="00002ED1" w:rsidP="00BF6BDA" w14:paraId="7DE48147" w14:textId="77777777">
            <w:pPr>
              <w:contextualSpacing/>
              <w:jc w:val="center"/>
              <w:rPr>
                <w:b/>
              </w:rPr>
            </w:pPr>
            <w:r w:rsidRPr="00002ED1">
              <w:rPr>
                <w:b/>
              </w:rPr>
              <w:t>Cost</w:t>
            </w:r>
          </w:p>
        </w:tc>
      </w:tr>
      <w:tr w14:paraId="4787850E" w14:textId="77777777" w:rsidTr="00BF6BDA">
        <w:tblPrEx>
          <w:tblW w:w="0" w:type="auto"/>
          <w:tblInd w:w="828" w:type="dxa"/>
          <w:tblLayout w:type="fixed"/>
          <w:tblLook w:val="04A0"/>
        </w:tblPrEx>
        <w:tc>
          <w:tcPr>
            <w:tcW w:w="1147" w:type="dxa"/>
            <w:shd w:val="clear" w:color="auto" w:fill="auto"/>
          </w:tcPr>
          <w:p w:rsidR="006D1542" w:rsidRPr="00002ED1" w:rsidP="00BF6BDA" w14:paraId="3ECFC8D4" w14:textId="77777777">
            <w:pPr>
              <w:contextualSpacing/>
            </w:pPr>
            <w:r>
              <w:t>Material Cost</w:t>
            </w:r>
          </w:p>
        </w:tc>
        <w:tc>
          <w:tcPr>
            <w:tcW w:w="1843" w:type="dxa"/>
            <w:shd w:val="clear" w:color="auto" w:fill="auto"/>
          </w:tcPr>
          <w:p w:rsidR="006D1542" w:rsidP="00BF6BDA" w14:paraId="44583E3D" w14:textId="20B5F1EE">
            <w:pPr>
              <w:contextualSpacing/>
              <w:jc w:val="right"/>
            </w:pPr>
            <w:r>
              <w:t>4</w:t>
            </w:r>
          </w:p>
        </w:tc>
        <w:tc>
          <w:tcPr>
            <w:tcW w:w="1844" w:type="dxa"/>
            <w:shd w:val="clear" w:color="auto" w:fill="auto"/>
          </w:tcPr>
          <w:p w:rsidR="006D1542" w:rsidRPr="00002ED1" w:rsidP="00BF6BDA" w14:paraId="0858801B" w14:textId="502A82B6">
            <w:pPr>
              <w:contextualSpacing/>
              <w:jc w:val="right"/>
            </w:pPr>
            <w:r>
              <w:t>$</w:t>
            </w:r>
            <w:r w:rsidR="00FB3F3C">
              <w:t>18,350,973</w:t>
            </w:r>
          </w:p>
        </w:tc>
        <w:tc>
          <w:tcPr>
            <w:tcW w:w="1844" w:type="dxa"/>
          </w:tcPr>
          <w:p w:rsidR="006D1542" w:rsidP="00BF6BDA" w14:paraId="46374C66" w14:textId="24D45435">
            <w:pPr>
              <w:ind w:hanging="14"/>
              <w:contextualSpacing/>
              <w:jc w:val="right"/>
            </w:pPr>
            <w:r>
              <w:t>4</w:t>
            </w:r>
          </w:p>
        </w:tc>
        <w:tc>
          <w:tcPr>
            <w:tcW w:w="1844" w:type="dxa"/>
          </w:tcPr>
          <w:p w:rsidR="006D1542" w:rsidRPr="00002ED1" w:rsidP="00BF6BDA" w14:paraId="527AAE8F" w14:textId="557CB305">
            <w:pPr>
              <w:contextualSpacing/>
              <w:jc w:val="right"/>
            </w:pPr>
            <w:r>
              <w:t>$</w:t>
            </w:r>
            <w:r w:rsidR="00B446FD">
              <w:t>1</w:t>
            </w:r>
            <w:r w:rsidR="00FB3F3C">
              <w:t>8,350,973</w:t>
            </w:r>
          </w:p>
        </w:tc>
      </w:tr>
      <w:tr w14:paraId="33113FF5" w14:textId="77777777" w:rsidTr="00BF6BDA">
        <w:tblPrEx>
          <w:tblW w:w="0" w:type="auto"/>
          <w:tblInd w:w="828" w:type="dxa"/>
          <w:tblLayout w:type="fixed"/>
          <w:tblLook w:val="04A0"/>
        </w:tblPrEx>
        <w:tc>
          <w:tcPr>
            <w:tcW w:w="1147" w:type="dxa"/>
            <w:shd w:val="clear" w:color="auto" w:fill="auto"/>
          </w:tcPr>
          <w:p w:rsidR="006D1542" w:rsidRPr="00002ED1" w:rsidP="00BF6BDA" w14:paraId="35085383" w14:textId="77777777">
            <w:pPr>
              <w:contextualSpacing/>
              <w:rPr>
                <w:b/>
              </w:rPr>
            </w:pPr>
            <w:r w:rsidRPr="00002ED1">
              <w:rPr>
                <w:b/>
              </w:rPr>
              <w:t>Total</w:t>
            </w:r>
          </w:p>
        </w:tc>
        <w:tc>
          <w:tcPr>
            <w:tcW w:w="1843" w:type="dxa"/>
            <w:shd w:val="clear" w:color="auto" w:fill="auto"/>
          </w:tcPr>
          <w:p w:rsidR="006D1542" w:rsidRPr="00002ED1" w:rsidP="00BF6BDA" w14:paraId="1B7891DF" w14:textId="016DB01F">
            <w:pPr>
              <w:contextualSpacing/>
              <w:jc w:val="right"/>
              <w:rPr>
                <w:b/>
              </w:rPr>
            </w:pPr>
            <w:r>
              <w:rPr>
                <w:b/>
              </w:rPr>
              <w:t>4</w:t>
            </w:r>
          </w:p>
        </w:tc>
        <w:tc>
          <w:tcPr>
            <w:tcW w:w="1844" w:type="dxa"/>
            <w:shd w:val="clear" w:color="auto" w:fill="auto"/>
          </w:tcPr>
          <w:p w:rsidR="006D1542" w:rsidRPr="00002ED1" w:rsidP="00BF6BDA" w14:paraId="7B80E436" w14:textId="15DC6770">
            <w:pPr>
              <w:contextualSpacing/>
              <w:jc w:val="right"/>
              <w:rPr>
                <w:b/>
              </w:rPr>
            </w:pPr>
            <w:r w:rsidRPr="00002ED1">
              <w:rPr>
                <w:b/>
              </w:rPr>
              <w:t>$</w:t>
            </w:r>
            <w:r w:rsidR="00B446FD">
              <w:rPr>
                <w:b/>
              </w:rPr>
              <w:t>1</w:t>
            </w:r>
            <w:r w:rsidR="00FB3F3C">
              <w:rPr>
                <w:b/>
              </w:rPr>
              <w:t>8,350,973</w:t>
            </w:r>
          </w:p>
        </w:tc>
        <w:tc>
          <w:tcPr>
            <w:tcW w:w="1844" w:type="dxa"/>
          </w:tcPr>
          <w:p w:rsidR="006D1542" w:rsidRPr="00002ED1" w:rsidP="00BF6BDA" w14:paraId="1ABFE168" w14:textId="43AED79F">
            <w:pPr>
              <w:ind w:hanging="14"/>
              <w:contextualSpacing/>
              <w:jc w:val="right"/>
              <w:rPr>
                <w:b/>
              </w:rPr>
            </w:pPr>
            <w:r>
              <w:rPr>
                <w:b/>
              </w:rPr>
              <w:t>4</w:t>
            </w:r>
          </w:p>
        </w:tc>
        <w:tc>
          <w:tcPr>
            <w:tcW w:w="1844" w:type="dxa"/>
          </w:tcPr>
          <w:p w:rsidR="006D1542" w:rsidRPr="00002ED1" w:rsidP="00BF6BDA" w14:paraId="4E371AF0" w14:textId="2E81B2D9">
            <w:pPr>
              <w:contextualSpacing/>
              <w:jc w:val="right"/>
              <w:rPr>
                <w:b/>
              </w:rPr>
            </w:pPr>
            <w:r w:rsidRPr="00002ED1">
              <w:rPr>
                <w:b/>
              </w:rPr>
              <w:t>$</w:t>
            </w:r>
            <w:r w:rsidR="00B446FD">
              <w:rPr>
                <w:b/>
              </w:rPr>
              <w:t>1</w:t>
            </w:r>
            <w:r w:rsidR="00FB3F3C">
              <w:rPr>
                <w:b/>
              </w:rPr>
              <w:t>8,350,973</w:t>
            </w:r>
          </w:p>
        </w:tc>
      </w:tr>
    </w:tbl>
    <w:p w:rsidR="006D1542" w:rsidP="006D1542" w14:paraId="37CF5A85" w14:textId="77777777">
      <w:pPr>
        <w:tabs>
          <w:tab w:val="left" w:pos="990"/>
        </w:tabs>
        <w:contextualSpacing/>
      </w:pPr>
    </w:p>
    <w:p w:rsidR="00894CAA" w:rsidP="00894CAA" w14:paraId="1E21427F" w14:textId="4E31B816">
      <w:pPr>
        <w:ind w:firstLine="720"/>
        <w:rPr>
          <w:bCs/>
          <w:i/>
        </w:rPr>
      </w:pPr>
      <w:r>
        <w:rPr>
          <w:bCs/>
          <w:i/>
        </w:rPr>
        <w:t>P</w:t>
      </w:r>
      <w:r>
        <w:rPr>
          <w:bCs/>
          <w:i/>
        </w:rPr>
        <w:t>rov</w:t>
      </w:r>
      <w:r>
        <w:rPr>
          <w:bCs/>
          <w:i/>
        </w:rPr>
        <w:t>ision of Rollover Disclosures</w:t>
      </w:r>
    </w:p>
    <w:p w:rsidR="00685049" w:rsidP="00894CAA" w14:paraId="2A7A5727" w14:textId="77777777">
      <w:pPr>
        <w:ind w:firstLine="720"/>
        <w:rPr>
          <w:bCs/>
          <w:i/>
        </w:rPr>
      </w:pPr>
    </w:p>
    <w:p w:rsidR="00752843" w:rsidRPr="0078467E" w:rsidP="005F7E17" w14:paraId="1A57C08A" w14:textId="7D4195D4">
      <w:pPr>
        <w:pStyle w:val="BodyTextIndent"/>
        <w:contextualSpacing/>
        <w:rPr>
          <w:rFonts w:eastAsiaTheme="minorEastAsia"/>
          <w:szCs w:val="32"/>
        </w:rPr>
      </w:pPr>
      <w:r w:rsidRPr="005F7E17">
        <w:t xml:space="preserve">The </w:t>
      </w:r>
      <w:r w:rsidR="003E7F13">
        <w:t>proposed amendment would have</w:t>
      </w:r>
      <w:r w:rsidRPr="005F7E17">
        <w:t xml:space="preserve"> requir</w:t>
      </w:r>
      <w:r w:rsidR="003E7F13">
        <w:t>ed</w:t>
      </w:r>
      <w:r w:rsidRPr="005F7E17">
        <w:t xml:space="preserve"> disclosures for all rollovers, including those from </w:t>
      </w:r>
      <w:r w:rsidR="00A60913">
        <w:t>Plan</w:t>
      </w:r>
      <w:r w:rsidRPr="005F7E17">
        <w:t xml:space="preserve">s to IRAs, from IRAs to other IRAs and from </w:t>
      </w:r>
      <w:r w:rsidR="00A60913">
        <w:t>Plan</w:t>
      </w:r>
      <w:r w:rsidRPr="005F7E17">
        <w:t xml:space="preserve">s to </w:t>
      </w:r>
      <w:r w:rsidR="00A60913">
        <w:t>Plan</w:t>
      </w:r>
      <w:r w:rsidRPr="005F7E17">
        <w:t xml:space="preserve">s. In the final amendment, the rollover disclosure will only be required for </w:t>
      </w:r>
      <w:r w:rsidR="00A60913">
        <w:t>Plan</w:t>
      </w:r>
      <w:r w:rsidRPr="005F7E17">
        <w:t xml:space="preserve"> to IRA rollovers. According to Cerulli Associates, in 2022, almost 4.5 million defined contribution (DC) </w:t>
      </w:r>
      <w:r w:rsidR="00A60913">
        <w:t>Plan</w:t>
      </w:r>
      <w:r w:rsidRPr="005F7E17">
        <w:t xml:space="preserve"> accounts with $779 billion in assets were rolled over to an </w:t>
      </w:r>
      <w:r w:rsidRPr="0E2C5C4E">
        <w:rPr>
          <w:rFonts w:eastAsiaTheme="minorEastAsia"/>
        </w:rPr>
        <w:t>IRA.</w:t>
      </w:r>
      <w:r>
        <w:rPr>
          <w:rFonts w:eastAsiaTheme="minorEastAsia"/>
          <w:vertAlign w:val="superscript"/>
        </w:rPr>
        <w:footnoteReference w:id="46"/>
      </w:r>
      <w:r w:rsidRPr="0E2C5C4E">
        <w:rPr>
          <w:rFonts w:eastAsiaTheme="minorEastAsia"/>
        </w:rPr>
        <w:t xml:space="preserve"> </w:t>
      </w:r>
    </w:p>
    <w:p w:rsidR="00DD255F" w:rsidRPr="005F7E17" w:rsidP="005F7E17" w14:paraId="0B8BFE02" w14:textId="77777777">
      <w:pPr>
        <w:pStyle w:val="BodyTextIndent"/>
        <w:widowControl/>
        <w:tabs>
          <w:tab w:val="clear" w:pos="-1440"/>
        </w:tabs>
        <w:autoSpaceDE/>
        <w:autoSpaceDN/>
        <w:adjustRightInd/>
        <w:contextualSpacing/>
      </w:pPr>
    </w:p>
    <w:p w:rsidR="00752843" w:rsidP="00DE5C0A" w14:paraId="35FD6EF1" w14:textId="28B7077A">
      <w:pPr>
        <w:pStyle w:val="BodyTextIndent"/>
        <w:widowControl/>
        <w:tabs>
          <w:tab w:val="clear" w:pos="-1440"/>
        </w:tabs>
        <w:autoSpaceDE/>
        <w:autoSpaceDN/>
        <w:adjustRightInd/>
        <w:contextualSpacing/>
        <w:rPr>
          <w:rFonts w:eastAsiaTheme="minorEastAsia"/>
          <w:szCs w:val="32"/>
        </w:rPr>
      </w:pPr>
      <w:r w:rsidRPr="005F7E17">
        <w:t>As a best practice, the SEC already encourages firms to record the basis for significant</w:t>
      </w:r>
      <w:r w:rsidRPr="005F7E17" w:rsidR="00DD255F">
        <w:t xml:space="preserve"> </w:t>
      </w:r>
      <w:r w:rsidRPr="005F7E17">
        <w:t xml:space="preserve">investment decisions, such as rollovers, although doing so is not required under Regulation Best Interest. In addition, some firms may voluntarily document significant investment decisions to demonstrate compliance with applicable law, even if not required. SIFMA commissioned Deloitte to conduct a survey of its member firms to learn how they expected to implement Regulation Best Interest. The survey was conducted by December 31, 2019, prior to Regulation Best Interest’s effective date of June 30, 2020. Just over half (52 percent) of the firms surveyed indicated they will require their financial advisers to provide the rationale documentation </w:t>
      </w:r>
      <w:r w:rsidRPr="0E2C5C4E">
        <w:rPr>
          <w:rFonts w:eastAsiaTheme="minorEastAsia"/>
        </w:rPr>
        <w:t>for rollover recommendations.</w:t>
      </w:r>
      <w:r>
        <w:rPr>
          <w:rFonts w:eastAsiaTheme="minorEastAsia"/>
          <w:vertAlign w:val="superscript"/>
        </w:rPr>
        <w:footnoteReference w:id="47"/>
      </w:r>
      <w:r w:rsidRPr="0E2C5C4E">
        <w:rPr>
          <w:rFonts w:eastAsiaTheme="minorEastAsia"/>
        </w:rPr>
        <w:t xml:space="preserve"> </w:t>
      </w:r>
      <w:r w:rsidR="00756012">
        <w:t>Accordingly, t</w:t>
      </w:r>
      <w:r w:rsidRPr="00906591">
        <w:t>he Department estimates that financial adviser</w:t>
      </w:r>
      <w:r w:rsidR="00CC4FC2">
        <w:t>s</w:t>
      </w:r>
      <w:r w:rsidRPr="00906591">
        <w:t xml:space="preserve"> whose firms currently do not require rollover documentations </w:t>
      </w:r>
      <w:r w:rsidR="00CC4FC2">
        <w:t>represent 48 percent of rollover recommendations</w:t>
      </w:r>
      <w:r w:rsidRPr="00906591">
        <w:t xml:space="preserve">. </w:t>
      </w:r>
      <w:r w:rsidR="00D17AEE">
        <w:t xml:space="preserve">Further, </w:t>
      </w:r>
      <w:r w:rsidR="00057E84">
        <w:t>Cerulli Associates</w:t>
      </w:r>
      <w:r w:rsidR="00C7120E">
        <w:t xml:space="preserve"> found that in 2022</w:t>
      </w:r>
      <w:r w:rsidR="006A5D2E">
        <w:t xml:space="preserve"> financial advisors intermediated 49 percent of defined contribution rollovers</w:t>
      </w:r>
      <w:r w:rsidR="00FB0F78">
        <w:t>.</w:t>
      </w:r>
      <w:r>
        <w:rPr>
          <w:rStyle w:val="FootnoteReference"/>
        </w:rPr>
        <w:footnoteReference w:id="48"/>
      </w:r>
      <w:r w:rsidR="001F25D2">
        <w:t xml:space="preserve"> </w:t>
      </w:r>
      <w:r w:rsidR="00191480">
        <w:t xml:space="preserve">Combining this information the Department estimates that </w:t>
      </w:r>
      <w:r w:rsidR="005D23F7">
        <w:t xml:space="preserve">approximately 2.2 million </w:t>
      </w:r>
      <w:r w:rsidR="008311B9">
        <w:t xml:space="preserve">rollovers will be intermediated by a financial professional each year </w:t>
      </w:r>
      <w:r w:rsidR="001113A6">
        <w:t xml:space="preserve">resulting in </w:t>
      </w:r>
      <w:r w:rsidR="00FA7F98">
        <w:t>roughly 85,</w:t>
      </w:r>
      <w:r w:rsidR="00EE4726">
        <w:t>700 disclosures being mailed.</w:t>
      </w:r>
      <w:r>
        <w:rPr>
          <w:rStyle w:val="FootnoteReference"/>
        </w:rPr>
        <w:footnoteReference w:id="49"/>
      </w:r>
      <w:r w:rsidR="00EE4726">
        <w:t xml:space="preserve"> </w:t>
      </w:r>
      <w:r w:rsidRPr="00E5586B">
        <w:t xml:space="preserve">These rollover disclosures are expected to be 2 pages in length and accompany other documentation associated with the transactions at no additional postage cost. The materials cost is estimated as $0.05 per page, totaling </w:t>
      </w:r>
      <w:r w:rsidRPr="0E2C5C4E">
        <w:rPr>
          <w:rFonts w:eastAsiaTheme="minorEastAsia"/>
        </w:rPr>
        <w:t>$</w:t>
      </w:r>
      <w:r w:rsidRPr="0E2C5C4E" w:rsidR="00837A8A">
        <w:rPr>
          <w:rFonts w:eastAsiaTheme="minorEastAsia"/>
        </w:rPr>
        <w:t>8,571</w:t>
      </w:r>
      <w:r w:rsidRPr="0E2C5C4E">
        <w:rPr>
          <w:rFonts w:eastAsiaTheme="minorEastAsia"/>
        </w:rPr>
        <w:t xml:space="preserve"> annually.</w:t>
      </w:r>
      <w:r>
        <w:rPr>
          <w:rFonts w:eastAsiaTheme="minorEastAsia"/>
          <w:vertAlign w:val="superscript"/>
        </w:rPr>
        <w:footnoteReference w:id="50"/>
      </w:r>
    </w:p>
    <w:p w:rsidR="00DE5C0A" w:rsidRPr="0078467E" w:rsidP="00E5586B" w14:paraId="4746F53F" w14:textId="77777777">
      <w:pPr>
        <w:pStyle w:val="BodyTextIndent"/>
        <w:widowControl/>
        <w:tabs>
          <w:tab w:val="clear" w:pos="-1440"/>
        </w:tabs>
        <w:autoSpaceDE/>
        <w:autoSpaceDN/>
        <w:adjustRightInd/>
        <w:contextualSpacing/>
        <w:rPr>
          <w:rFonts w:eastAsiaTheme="minorEastAsia"/>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43"/>
        <w:gridCol w:w="1844"/>
        <w:gridCol w:w="1844"/>
        <w:gridCol w:w="1844"/>
      </w:tblGrid>
      <w:tr w14:paraId="512E2216"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jc w:val="center"/>
        </w:trPr>
        <w:tc>
          <w:tcPr>
            <w:tcW w:w="8522" w:type="dxa"/>
            <w:gridSpan w:val="5"/>
            <w:shd w:val="clear" w:color="auto" w:fill="auto"/>
          </w:tcPr>
          <w:p w:rsidR="00752843" w:rsidRPr="0078467E" w14:paraId="5695F03C" w14:textId="04DCF2EA">
            <w:pPr>
              <w:ind w:firstLine="720"/>
              <w:contextualSpacing/>
              <w:jc w:val="center"/>
              <w:rPr>
                <w:rFonts w:eastAsiaTheme="minorEastAsia"/>
                <w:b/>
                <w:szCs w:val="32"/>
              </w:rPr>
            </w:pPr>
            <w:r w:rsidRPr="0078467E">
              <w:rPr>
                <w:rFonts w:eastAsiaTheme="minorEastAsia"/>
                <w:b/>
                <w:szCs w:val="32"/>
              </w:rPr>
              <w:t xml:space="preserve">Table </w:t>
            </w:r>
            <w:r w:rsidR="002416DF">
              <w:rPr>
                <w:rFonts w:eastAsiaTheme="minorEastAsia"/>
                <w:b/>
                <w:szCs w:val="32"/>
              </w:rPr>
              <w:t>13</w:t>
            </w:r>
            <w:r w:rsidRPr="0078467E">
              <w:rPr>
                <w:rFonts w:eastAsiaTheme="minorEastAsia"/>
                <w:b/>
                <w:szCs w:val="32"/>
              </w:rPr>
              <w:t>: Material and Postage Cost Associated with the Rollover Disclosure</w:t>
            </w:r>
          </w:p>
        </w:tc>
      </w:tr>
      <w:tr w14:paraId="1DA9D8D9" w14:textId="77777777">
        <w:tblPrEx>
          <w:tblW w:w="0" w:type="auto"/>
          <w:jc w:val="center"/>
          <w:tblLayout w:type="fixed"/>
          <w:tblLook w:val="04A0"/>
        </w:tblPrEx>
        <w:trPr>
          <w:cantSplit/>
          <w:tblHeader/>
          <w:jc w:val="center"/>
        </w:trPr>
        <w:tc>
          <w:tcPr>
            <w:tcW w:w="1147" w:type="dxa"/>
            <w:shd w:val="clear" w:color="auto" w:fill="auto"/>
          </w:tcPr>
          <w:p w:rsidR="00752843" w:rsidRPr="0078467E" w14:paraId="71DE7C3B" w14:textId="77777777">
            <w:pPr>
              <w:ind w:firstLine="720"/>
              <w:contextualSpacing/>
              <w:jc w:val="center"/>
              <w:rPr>
                <w:rFonts w:eastAsiaTheme="minorEastAsia"/>
                <w:b/>
                <w:szCs w:val="32"/>
              </w:rPr>
            </w:pPr>
          </w:p>
        </w:tc>
        <w:tc>
          <w:tcPr>
            <w:tcW w:w="3687" w:type="dxa"/>
            <w:gridSpan w:val="2"/>
            <w:shd w:val="clear" w:color="auto" w:fill="auto"/>
          </w:tcPr>
          <w:p w:rsidR="00752843" w:rsidRPr="0078467E" w14:paraId="7F50E641" w14:textId="77777777">
            <w:pPr>
              <w:ind w:firstLine="720"/>
              <w:contextualSpacing/>
              <w:jc w:val="center"/>
              <w:rPr>
                <w:rFonts w:eastAsiaTheme="minorEastAsia"/>
                <w:b/>
                <w:szCs w:val="32"/>
              </w:rPr>
            </w:pPr>
            <w:r w:rsidRPr="0078467E">
              <w:rPr>
                <w:rFonts w:eastAsiaTheme="minorEastAsia"/>
                <w:b/>
                <w:szCs w:val="32"/>
              </w:rPr>
              <w:t>Year 1</w:t>
            </w:r>
          </w:p>
        </w:tc>
        <w:tc>
          <w:tcPr>
            <w:tcW w:w="3688" w:type="dxa"/>
            <w:gridSpan w:val="2"/>
          </w:tcPr>
          <w:p w:rsidR="00752843" w:rsidRPr="0078467E" w14:paraId="5D9E5182" w14:textId="77777777">
            <w:pPr>
              <w:ind w:hanging="14"/>
              <w:contextualSpacing/>
              <w:jc w:val="center"/>
              <w:rPr>
                <w:rFonts w:eastAsiaTheme="minorEastAsia"/>
                <w:b/>
                <w:szCs w:val="32"/>
              </w:rPr>
            </w:pPr>
            <w:r w:rsidRPr="0078467E">
              <w:rPr>
                <w:rFonts w:eastAsiaTheme="minorEastAsia"/>
                <w:b/>
                <w:szCs w:val="32"/>
              </w:rPr>
              <w:t>Subsequent Years</w:t>
            </w:r>
          </w:p>
        </w:tc>
      </w:tr>
      <w:tr w14:paraId="068DFADD" w14:textId="77777777">
        <w:tblPrEx>
          <w:tblW w:w="0" w:type="auto"/>
          <w:jc w:val="center"/>
          <w:tblLayout w:type="fixed"/>
          <w:tblLook w:val="04A0"/>
        </w:tblPrEx>
        <w:trPr>
          <w:cantSplit/>
          <w:tblHeader/>
          <w:jc w:val="center"/>
        </w:trPr>
        <w:tc>
          <w:tcPr>
            <w:tcW w:w="1147" w:type="dxa"/>
            <w:shd w:val="clear" w:color="auto" w:fill="auto"/>
          </w:tcPr>
          <w:p w:rsidR="00752843" w:rsidRPr="0078467E" w14:paraId="17F0B089" w14:textId="77777777">
            <w:pPr>
              <w:contextualSpacing/>
              <w:jc w:val="center"/>
              <w:rPr>
                <w:rFonts w:eastAsiaTheme="minorEastAsia"/>
                <w:b/>
                <w:szCs w:val="32"/>
              </w:rPr>
            </w:pPr>
            <w:r w:rsidRPr="0078467E">
              <w:rPr>
                <w:rFonts w:eastAsiaTheme="minorEastAsia"/>
                <w:b/>
                <w:szCs w:val="32"/>
              </w:rPr>
              <w:t>Activity</w:t>
            </w:r>
          </w:p>
        </w:tc>
        <w:tc>
          <w:tcPr>
            <w:tcW w:w="1843" w:type="dxa"/>
            <w:shd w:val="clear" w:color="auto" w:fill="auto"/>
          </w:tcPr>
          <w:p w:rsidR="00752843" w:rsidRPr="0078467E" w14:paraId="07B137FD" w14:textId="77777777">
            <w:pPr>
              <w:contextualSpacing/>
              <w:jc w:val="center"/>
              <w:rPr>
                <w:rFonts w:eastAsiaTheme="minorEastAsia"/>
                <w:b/>
                <w:szCs w:val="32"/>
              </w:rPr>
            </w:pPr>
            <w:r w:rsidRPr="0078467E">
              <w:rPr>
                <w:rFonts w:eastAsiaTheme="minorEastAsia"/>
                <w:b/>
                <w:szCs w:val="32"/>
              </w:rPr>
              <w:t>Pages</w:t>
            </w:r>
          </w:p>
        </w:tc>
        <w:tc>
          <w:tcPr>
            <w:tcW w:w="1844" w:type="dxa"/>
            <w:shd w:val="clear" w:color="auto" w:fill="auto"/>
          </w:tcPr>
          <w:p w:rsidR="00752843" w:rsidRPr="0078467E" w14:paraId="34BD8B93" w14:textId="77777777">
            <w:pPr>
              <w:contextualSpacing/>
              <w:jc w:val="center"/>
              <w:rPr>
                <w:rFonts w:eastAsiaTheme="minorEastAsia"/>
                <w:b/>
                <w:szCs w:val="32"/>
              </w:rPr>
            </w:pPr>
            <w:r w:rsidRPr="0078467E">
              <w:rPr>
                <w:rFonts w:eastAsiaTheme="minorEastAsia"/>
                <w:b/>
                <w:szCs w:val="32"/>
              </w:rPr>
              <w:t>Cost</w:t>
            </w:r>
          </w:p>
        </w:tc>
        <w:tc>
          <w:tcPr>
            <w:tcW w:w="1844" w:type="dxa"/>
          </w:tcPr>
          <w:p w:rsidR="00752843" w:rsidRPr="0078467E" w14:paraId="66A055C0" w14:textId="77777777">
            <w:pPr>
              <w:ind w:hanging="14"/>
              <w:contextualSpacing/>
              <w:jc w:val="center"/>
              <w:rPr>
                <w:rFonts w:eastAsiaTheme="minorEastAsia"/>
                <w:b/>
                <w:szCs w:val="32"/>
              </w:rPr>
            </w:pPr>
            <w:r w:rsidRPr="0078467E">
              <w:rPr>
                <w:rFonts w:eastAsiaTheme="minorEastAsia"/>
                <w:b/>
                <w:szCs w:val="32"/>
              </w:rPr>
              <w:t>Pages</w:t>
            </w:r>
          </w:p>
        </w:tc>
        <w:tc>
          <w:tcPr>
            <w:tcW w:w="1844" w:type="dxa"/>
          </w:tcPr>
          <w:p w:rsidR="00752843" w:rsidRPr="0078467E" w14:paraId="30068E4D" w14:textId="77777777">
            <w:pPr>
              <w:contextualSpacing/>
              <w:jc w:val="center"/>
              <w:rPr>
                <w:rFonts w:eastAsiaTheme="minorEastAsia"/>
                <w:b/>
                <w:szCs w:val="32"/>
              </w:rPr>
            </w:pPr>
            <w:r w:rsidRPr="0078467E">
              <w:rPr>
                <w:rFonts w:eastAsiaTheme="minorEastAsia"/>
                <w:b/>
                <w:szCs w:val="32"/>
              </w:rPr>
              <w:t>Cost</w:t>
            </w:r>
          </w:p>
        </w:tc>
      </w:tr>
      <w:tr w14:paraId="6EDBEFB8" w14:textId="77777777">
        <w:tblPrEx>
          <w:tblW w:w="0" w:type="auto"/>
          <w:jc w:val="center"/>
          <w:tblLayout w:type="fixed"/>
          <w:tblLook w:val="04A0"/>
        </w:tblPrEx>
        <w:trPr>
          <w:jc w:val="center"/>
        </w:trPr>
        <w:tc>
          <w:tcPr>
            <w:tcW w:w="1147" w:type="dxa"/>
            <w:shd w:val="clear" w:color="auto" w:fill="auto"/>
          </w:tcPr>
          <w:p w:rsidR="00752843" w:rsidRPr="0078467E" w14:paraId="0FDDB06D" w14:textId="77777777">
            <w:pPr>
              <w:contextualSpacing/>
              <w:rPr>
                <w:rFonts w:eastAsiaTheme="minorEastAsia"/>
                <w:szCs w:val="32"/>
              </w:rPr>
            </w:pPr>
            <w:r w:rsidRPr="0078467E">
              <w:rPr>
                <w:rFonts w:eastAsiaTheme="minorEastAsia"/>
                <w:szCs w:val="32"/>
              </w:rPr>
              <w:t>Material Cost</w:t>
            </w:r>
          </w:p>
        </w:tc>
        <w:tc>
          <w:tcPr>
            <w:tcW w:w="1843" w:type="dxa"/>
            <w:shd w:val="clear" w:color="auto" w:fill="auto"/>
          </w:tcPr>
          <w:p w:rsidR="00752843" w:rsidRPr="0078467E" w14:paraId="46C60BA8" w14:textId="77777777">
            <w:pPr>
              <w:contextualSpacing/>
              <w:jc w:val="right"/>
              <w:rPr>
                <w:rFonts w:eastAsiaTheme="minorEastAsia"/>
                <w:szCs w:val="32"/>
              </w:rPr>
            </w:pPr>
            <w:r w:rsidRPr="0078467E">
              <w:rPr>
                <w:rFonts w:eastAsiaTheme="minorEastAsia"/>
                <w:szCs w:val="32"/>
              </w:rPr>
              <w:t>2</w:t>
            </w:r>
          </w:p>
        </w:tc>
        <w:tc>
          <w:tcPr>
            <w:tcW w:w="1844" w:type="dxa"/>
            <w:shd w:val="clear" w:color="auto" w:fill="auto"/>
          </w:tcPr>
          <w:p w:rsidR="00752843" w:rsidRPr="0078467E" w14:paraId="36B9FF81" w14:textId="087DB41D">
            <w:pPr>
              <w:contextualSpacing/>
              <w:jc w:val="right"/>
              <w:rPr>
                <w:rFonts w:eastAsiaTheme="minorEastAsia"/>
                <w:szCs w:val="32"/>
              </w:rPr>
            </w:pPr>
            <w:r w:rsidRPr="0078467E">
              <w:rPr>
                <w:rFonts w:eastAsiaTheme="minorEastAsia"/>
                <w:szCs w:val="32"/>
              </w:rPr>
              <w:t>$</w:t>
            </w:r>
            <w:r w:rsidR="00D738E2">
              <w:rPr>
                <w:rFonts w:eastAsiaTheme="minorEastAsia"/>
                <w:szCs w:val="32"/>
              </w:rPr>
              <w:t>8,571</w:t>
            </w:r>
            <w:r w:rsidRPr="0078467E">
              <w:rPr>
                <w:rFonts w:eastAsiaTheme="minorEastAsia"/>
                <w:szCs w:val="32"/>
              </w:rPr>
              <w:t xml:space="preserve"> </w:t>
            </w:r>
          </w:p>
        </w:tc>
        <w:tc>
          <w:tcPr>
            <w:tcW w:w="1844" w:type="dxa"/>
          </w:tcPr>
          <w:p w:rsidR="00752843" w:rsidRPr="0078467E" w14:paraId="188BB8AE" w14:textId="77777777">
            <w:pPr>
              <w:ind w:hanging="14"/>
              <w:contextualSpacing/>
              <w:jc w:val="right"/>
              <w:rPr>
                <w:rFonts w:eastAsiaTheme="minorEastAsia"/>
                <w:szCs w:val="32"/>
              </w:rPr>
            </w:pPr>
            <w:r w:rsidRPr="0078467E">
              <w:rPr>
                <w:rFonts w:eastAsiaTheme="minorEastAsia"/>
                <w:szCs w:val="32"/>
              </w:rPr>
              <w:t>2</w:t>
            </w:r>
          </w:p>
        </w:tc>
        <w:tc>
          <w:tcPr>
            <w:tcW w:w="1844" w:type="dxa"/>
          </w:tcPr>
          <w:p w:rsidR="00752843" w:rsidRPr="0078467E" w14:paraId="4338A342" w14:textId="274D42FB">
            <w:pPr>
              <w:contextualSpacing/>
              <w:jc w:val="right"/>
              <w:rPr>
                <w:rFonts w:eastAsiaTheme="minorEastAsia"/>
                <w:szCs w:val="32"/>
              </w:rPr>
            </w:pPr>
            <w:r w:rsidRPr="0078467E">
              <w:rPr>
                <w:rFonts w:eastAsiaTheme="minorEastAsia"/>
                <w:szCs w:val="32"/>
              </w:rPr>
              <w:t>$</w:t>
            </w:r>
            <w:r w:rsidR="00D738E2">
              <w:rPr>
                <w:rFonts w:eastAsiaTheme="minorEastAsia"/>
                <w:szCs w:val="32"/>
              </w:rPr>
              <w:t>8,571</w:t>
            </w:r>
            <w:r w:rsidRPr="0078467E">
              <w:rPr>
                <w:rFonts w:eastAsiaTheme="minorEastAsia"/>
                <w:szCs w:val="32"/>
              </w:rPr>
              <w:t xml:space="preserve"> </w:t>
            </w:r>
          </w:p>
        </w:tc>
      </w:tr>
      <w:tr w14:paraId="4E8B64E4" w14:textId="77777777">
        <w:tblPrEx>
          <w:tblW w:w="0" w:type="auto"/>
          <w:jc w:val="center"/>
          <w:tblLayout w:type="fixed"/>
          <w:tblLook w:val="04A0"/>
        </w:tblPrEx>
        <w:trPr>
          <w:jc w:val="center"/>
        </w:trPr>
        <w:tc>
          <w:tcPr>
            <w:tcW w:w="1147" w:type="dxa"/>
            <w:shd w:val="clear" w:color="auto" w:fill="auto"/>
          </w:tcPr>
          <w:p w:rsidR="00752843" w:rsidRPr="0078467E" w14:paraId="06885065" w14:textId="77777777">
            <w:pPr>
              <w:contextualSpacing/>
              <w:rPr>
                <w:rFonts w:eastAsiaTheme="minorEastAsia"/>
                <w:b/>
                <w:szCs w:val="32"/>
              </w:rPr>
            </w:pPr>
            <w:r w:rsidRPr="0078467E">
              <w:rPr>
                <w:rFonts w:eastAsiaTheme="minorEastAsia"/>
                <w:b/>
                <w:szCs w:val="32"/>
              </w:rPr>
              <w:t>Total</w:t>
            </w:r>
          </w:p>
        </w:tc>
        <w:tc>
          <w:tcPr>
            <w:tcW w:w="1843" w:type="dxa"/>
            <w:shd w:val="clear" w:color="auto" w:fill="auto"/>
          </w:tcPr>
          <w:p w:rsidR="00752843" w:rsidRPr="0078467E" w14:paraId="3680F18F" w14:textId="77777777">
            <w:pPr>
              <w:contextualSpacing/>
              <w:jc w:val="right"/>
              <w:rPr>
                <w:rFonts w:eastAsiaTheme="minorEastAsia"/>
                <w:b/>
                <w:szCs w:val="32"/>
              </w:rPr>
            </w:pPr>
            <w:r w:rsidRPr="0078467E">
              <w:rPr>
                <w:rFonts w:eastAsiaTheme="minorEastAsia"/>
                <w:b/>
                <w:szCs w:val="32"/>
              </w:rPr>
              <w:t>2</w:t>
            </w:r>
          </w:p>
        </w:tc>
        <w:tc>
          <w:tcPr>
            <w:tcW w:w="1844" w:type="dxa"/>
            <w:shd w:val="clear" w:color="auto" w:fill="auto"/>
          </w:tcPr>
          <w:p w:rsidR="00752843" w:rsidRPr="0078467E" w14:paraId="0BBFBDA4" w14:textId="7AFC6751">
            <w:pPr>
              <w:contextualSpacing/>
              <w:jc w:val="right"/>
              <w:rPr>
                <w:rFonts w:eastAsiaTheme="minorEastAsia"/>
                <w:b/>
                <w:szCs w:val="32"/>
              </w:rPr>
            </w:pPr>
            <w:r w:rsidRPr="0078467E">
              <w:rPr>
                <w:rFonts w:eastAsiaTheme="minorEastAsia"/>
                <w:b/>
                <w:szCs w:val="32"/>
              </w:rPr>
              <w:t>$</w:t>
            </w:r>
            <w:r w:rsidR="00D738E2">
              <w:rPr>
                <w:rFonts w:eastAsiaTheme="minorEastAsia"/>
                <w:szCs w:val="32"/>
              </w:rPr>
              <w:t>8,571</w:t>
            </w:r>
            <w:r w:rsidRPr="0078467E">
              <w:rPr>
                <w:rFonts w:eastAsiaTheme="minorEastAsia"/>
                <w:b/>
                <w:szCs w:val="32"/>
              </w:rPr>
              <w:t xml:space="preserve"> </w:t>
            </w:r>
          </w:p>
        </w:tc>
        <w:tc>
          <w:tcPr>
            <w:tcW w:w="1844" w:type="dxa"/>
          </w:tcPr>
          <w:p w:rsidR="00752843" w:rsidRPr="0078467E" w14:paraId="55DAE304" w14:textId="77777777">
            <w:pPr>
              <w:ind w:hanging="14"/>
              <w:contextualSpacing/>
              <w:jc w:val="right"/>
              <w:rPr>
                <w:rFonts w:eastAsiaTheme="minorEastAsia"/>
                <w:b/>
                <w:szCs w:val="32"/>
              </w:rPr>
            </w:pPr>
            <w:r w:rsidRPr="0078467E">
              <w:rPr>
                <w:rFonts w:eastAsiaTheme="minorEastAsia"/>
                <w:b/>
                <w:szCs w:val="32"/>
              </w:rPr>
              <w:t>2</w:t>
            </w:r>
          </w:p>
        </w:tc>
        <w:tc>
          <w:tcPr>
            <w:tcW w:w="1844" w:type="dxa"/>
          </w:tcPr>
          <w:p w:rsidR="00752843" w:rsidRPr="0078467E" w14:paraId="4943F143" w14:textId="48CC5851">
            <w:pPr>
              <w:contextualSpacing/>
              <w:jc w:val="right"/>
              <w:rPr>
                <w:rFonts w:eastAsiaTheme="minorEastAsia"/>
                <w:b/>
                <w:bCs/>
                <w:szCs w:val="32"/>
              </w:rPr>
            </w:pPr>
            <w:r w:rsidRPr="0078467E">
              <w:rPr>
                <w:rFonts w:eastAsiaTheme="minorEastAsia"/>
                <w:b/>
                <w:szCs w:val="32"/>
              </w:rPr>
              <w:t>$</w:t>
            </w:r>
            <w:r w:rsidR="00D738E2">
              <w:rPr>
                <w:rFonts w:eastAsiaTheme="minorEastAsia"/>
                <w:szCs w:val="32"/>
              </w:rPr>
              <w:t>8,571</w:t>
            </w:r>
            <w:r w:rsidRPr="0078467E">
              <w:rPr>
                <w:rFonts w:eastAsiaTheme="minorEastAsia"/>
                <w:b/>
                <w:szCs w:val="32"/>
              </w:rPr>
              <w:t xml:space="preserve"> </w:t>
            </w:r>
          </w:p>
        </w:tc>
      </w:tr>
    </w:tbl>
    <w:p w:rsidR="00894CAA" w:rsidP="00E80222" w14:paraId="101CAA56" w14:textId="77777777">
      <w:pPr>
        <w:ind w:firstLine="720"/>
        <w:rPr>
          <w:bCs/>
          <w:i/>
        </w:rPr>
      </w:pPr>
    </w:p>
    <w:p w:rsidR="00475BAA" w:rsidRPr="00906591" w:rsidP="00E80222" w14:paraId="56F8DFD0" w14:textId="5BD832AB">
      <w:pPr>
        <w:ind w:firstLine="720"/>
        <w:rPr>
          <w:bCs/>
          <w:iCs/>
          <w:u w:val="single"/>
        </w:rPr>
      </w:pPr>
      <w:r w:rsidRPr="00906591">
        <w:rPr>
          <w:bCs/>
          <w:iCs/>
          <w:u w:val="single"/>
        </w:rPr>
        <w:t>Overall Summary</w:t>
      </w:r>
    </w:p>
    <w:p w:rsidR="00475BAA" w:rsidRPr="00D4014D" w:rsidP="00E80222" w14:paraId="24AF0601" w14:textId="77777777">
      <w:pPr>
        <w:ind w:firstLine="720"/>
        <w:rPr>
          <w:b/>
          <w:iCs/>
        </w:rPr>
      </w:pPr>
    </w:p>
    <w:p w:rsidR="00475BAA" w:rsidRPr="00DA76C6" w:rsidP="00E80222" w14:paraId="69862D3A" w14:textId="4EC4FCEB">
      <w:pPr>
        <w:ind w:left="720"/>
        <w:rPr>
          <w:iCs/>
        </w:rPr>
      </w:pPr>
      <w:r w:rsidRPr="00DA76C6">
        <w:rPr>
          <w:iCs/>
        </w:rPr>
        <w:t xml:space="preserve">In total, the Department estimates that in order to satisfy existing and added requirements in the amendment, </w:t>
      </w:r>
      <w:r w:rsidR="00B62FFF">
        <w:rPr>
          <w:iCs/>
        </w:rPr>
        <w:t>18,632</w:t>
      </w:r>
      <w:r w:rsidRPr="00DA76C6">
        <w:rPr>
          <w:iCs/>
        </w:rPr>
        <w:t xml:space="preserve"> Financial Institutions will </w:t>
      </w:r>
      <w:r w:rsidR="00BF65BD">
        <w:rPr>
          <w:iCs/>
        </w:rPr>
        <w:t xml:space="preserve">mail </w:t>
      </w:r>
      <w:r w:rsidR="00D33DF7">
        <w:rPr>
          <w:iCs/>
        </w:rPr>
        <w:t>approximately</w:t>
      </w:r>
      <w:r w:rsidR="007B2161">
        <w:rPr>
          <w:iCs/>
        </w:rPr>
        <w:t xml:space="preserve"> </w:t>
      </w:r>
      <w:r w:rsidR="00FC555B">
        <w:rPr>
          <w:iCs/>
        </w:rPr>
        <w:t>20.9</w:t>
      </w:r>
      <w:r w:rsidR="00545911">
        <w:rPr>
          <w:iCs/>
        </w:rPr>
        <w:t xml:space="preserve"> </w:t>
      </w:r>
      <w:r w:rsidR="00637F19">
        <w:rPr>
          <w:iCs/>
        </w:rPr>
        <w:t>million</w:t>
      </w:r>
      <w:r w:rsidRPr="00DA76C6">
        <w:rPr>
          <w:iCs/>
        </w:rPr>
        <w:t xml:space="preserve"> disclosures and notices annually.</w:t>
      </w:r>
      <w:r>
        <w:rPr>
          <w:iCs/>
        </w:rPr>
        <w:t xml:space="preserve"> </w:t>
      </w:r>
      <w:r w:rsidRPr="00DA76C6">
        <w:rPr>
          <w:iCs/>
        </w:rPr>
        <w:t>These disclosures and notices will result in</w:t>
      </w:r>
      <w:r w:rsidR="00025C46">
        <w:rPr>
          <w:iCs/>
        </w:rPr>
        <w:t xml:space="preserve"> an annual</w:t>
      </w:r>
      <w:r w:rsidRPr="00DA76C6">
        <w:rPr>
          <w:iCs/>
        </w:rPr>
        <w:t xml:space="preserve"> </w:t>
      </w:r>
      <w:r>
        <w:rPr>
          <w:iCs/>
        </w:rPr>
        <w:t>cost</w:t>
      </w:r>
      <w:r w:rsidRPr="00DA76C6">
        <w:rPr>
          <w:iCs/>
        </w:rPr>
        <w:t xml:space="preserve"> burden of </w:t>
      </w:r>
      <w:r w:rsidR="00025C46">
        <w:rPr>
          <w:iCs/>
        </w:rPr>
        <w:t>$</w:t>
      </w:r>
      <w:r w:rsidR="003C4081">
        <w:rPr>
          <w:iCs/>
        </w:rPr>
        <w:t>1</w:t>
      </w:r>
      <w:r w:rsidR="00F0208F">
        <w:rPr>
          <w:iCs/>
        </w:rPr>
        <w:t>8,</w:t>
      </w:r>
      <w:r w:rsidR="00BE6D25">
        <w:rPr>
          <w:iCs/>
        </w:rPr>
        <w:t>35</w:t>
      </w:r>
      <w:r w:rsidR="00EF7BDC">
        <w:rPr>
          <w:iCs/>
        </w:rPr>
        <w:t>9</w:t>
      </w:r>
      <w:r w:rsidR="000E021F">
        <w:rPr>
          <w:iCs/>
        </w:rPr>
        <w:t>,543</w:t>
      </w:r>
      <w:r w:rsidRPr="00DA76C6">
        <w:rPr>
          <w:iCs/>
        </w:rPr>
        <w:t xml:space="preserve">. </w:t>
      </w:r>
    </w:p>
    <w:p w:rsidR="00204F19" w:rsidP="0003285A" w14:paraId="4030258B" w14:textId="77777777">
      <w:pPr>
        <w:pStyle w:val="BodyTextIndent"/>
        <w:contextualSpacing/>
      </w:pPr>
    </w:p>
    <w:p w:rsidR="008C4059" w:rsidRPr="00156E88" w:rsidP="008F7870" w14:paraId="2EEAD00C" w14:textId="540A247D">
      <w:pPr>
        <w:pStyle w:val="Heading2"/>
      </w:pPr>
      <w:r w:rsidRPr="00156E88">
        <w:t>Provide estimates of annualized cost to the federal government.</w:t>
      </w:r>
      <w:r w:rsidR="009C7814">
        <w:t xml:space="preserve"> </w:t>
      </w:r>
      <w:r w:rsidRPr="00156E88">
        <w:t xml:space="preserve">Also, provide </w:t>
      </w:r>
      <w:r w:rsidRPr="00156E88">
        <w:t>an</w:t>
      </w:r>
      <w:r w:rsidRPr="00156E88">
        <w:t xml:space="preserve"> description of the method used to estimate cost, which should include quantification of hours, operations expenses (such as equipment, overhead, printing, and support staff), and any other expense that would not have been incurred without this collection of information.</w:t>
      </w:r>
      <w:r w:rsidR="009C7814">
        <w:t xml:space="preserve"> </w:t>
      </w:r>
      <w:r w:rsidRPr="00156E88">
        <w:t>Agencies also may aggregate cost estimates from Items, 12, 13, and 14 in a single table.</w:t>
      </w:r>
    </w:p>
    <w:p w:rsidR="008C4059" w:rsidRPr="00156E88" w:rsidP="0003285A" w14:paraId="013C3348" w14:textId="1F1137EB">
      <w:pPr>
        <w:pStyle w:val="BodyTextIndent"/>
        <w:contextualSpacing/>
      </w:pPr>
    </w:p>
    <w:p w:rsidR="005D2A4C" w:rsidRPr="008823D6" w:rsidP="0003285A" w14:paraId="729AE23F" w14:textId="0C3EC7CF">
      <w:pPr>
        <w:pStyle w:val="BodyTextIndent"/>
        <w:contextualSpacing/>
      </w:pPr>
      <w:r w:rsidRPr="00156E88">
        <w:t>There are no ongoing costs to the Federal government.</w:t>
      </w:r>
    </w:p>
    <w:p w:rsidR="008C4059" w:rsidRPr="00223C0F" w:rsidP="0003285A" w14:paraId="6471A02E" w14:textId="77777777">
      <w:pPr>
        <w:pStyle w:val="BodyTextIndent"/>
        <w:contextualSpacing/>
        <w:rPr>
          <w:b/>
        </w:rPr>
      </w:pPr>
    </w:p>
    <w:p w:rsidR="008C4059" w:rsidRPr="000E7745" w:rsidP="008F7870" w14:paraId="761AF639" w14:textId="09FAD013">
      <w:pPr>
        <w:pStyle w:val="Heading2"/>
      </w:pPr>
      <w:r w:rsidRPr="000E7745">
        <w:t>Explain any reasons for any program changes or adjustments.</w:t>
      </w:r>
    </w:p>
    <w:p w:rsidR="003C3AEE" w:rsidRPr="000E7745" w:rsidP="0003285A" w14:paraId="760D1D80" w14:textId="0409247C">
      <w:pPr>
        <w:pStyle w:val="BodyTextIndent"/>
        <w:widowControl/>
        <w:tabs>
          <w:tab w:val="clear" w:pos="-1440"/>
        </w:tabs>
        <w:autoSpaceDE/>
        <w:autoSpaceDN/>
        <w:adjustRightInd/>
        <w:contextualSpacing/>
        <w:rPr>
          <w:b/>
        </w:rPr>
      </w:pPr>
      <w:bookmarkStart w:id="2" w:name="OLE_LINK3"/>
    </w:p>
    <w:p w:rsidR="00E042D3" w:rsidP="0E2C5C4E" w14:paraId="016DA646" w14:textId="281649C1">
      <w:pPr>
        <w:pStyle w:val="BodyTextIndent"/>
        <w:widowControl/>
        <w:autoSpaceDE/>
        <w:autoSpaceDN/>
        <w:adjustRightInd/>
        <w:contextualSpacing/>
      </w:pPr>
      <w:bookmarkStart w:id="3" w:name="OLE_LINK2"/>
      <w:r>
        <w:t xml:space="preserve">The Department is </w:t>
      </w:r>
      <w:r w:rsidR="00712D10">
        <w:t>amending</w:t>
      </w:r>
      <w:r>
        <w:t xml:space="preserve"> PTE 2020-02 </w:t>
      </w:r>
      <w:r w:rsidR="00712D10">
        <w:t xml:space="preserve">by </w:t>
      </w:r>
      <w:r>
        <w:t>build</w:t>
      </w:r>
      <w:r w:rsidR="009230A1">
        <w:t>ing</w:t>
      </w:r>
      <w:r>
        <w:t xml:space="preserve"> on existing conditions of PTE 2020-02 to provide more certainty for Retirement Investors receiving </w:t>
      </w:r>
      <w:r w:rsidR="7FA9347A">
        <w:t xml:space="preserve">investment </w:t>
      </w:r>
      <w:r>
        <w:t xml:space="preserve">advice and </w:t>
      </w:r>
      <w:r w:rsidR="7F41F245">
        <w:t xml:space="preserve">for </w:t>
      </w:r>
      <w:r>
        <w:t xml:space="preserve">Financial Institutions and Investment Professionals </w:t>
      </w:r>
      <w:r w:rsidR="6F9D47C5">
        <w:t xml:space="preserve">to </w:t>
      </w:r>
      <w:r>
        <w:t xml:space="preserve">comply with the exemption’s conditions. In this regard, the Department is </w:t>
      </w:r>
      <w:r w:rsidR="003C5984">
        <w:t xml:space="preserve">finalizing </w:t>
      </w:r>
      <w:r>
        <w:t>disclosures to ensure that Retirement Investors have sufficient information to make informed decisions about the costs of the</w:t>
      </w:r>
      <w:r w:rsidR="352C3C27">
        <w:t>ir</w:t>
      </w:r>
      <w:r>
        <w:t xml:space="preserve"> investment advice transaction</w:t>
      </w:r>
      <w:r w:rsidR="5884F458">
        <w:t>s</w:t>
      </w:r>
      <w:r>
        <w:t xml:space="preserve"> and about the significance and severity of the investment advice fiduciary </w:t>
      </w:r>
      <w:r w:rsidR="075FA93B">
        <w:t>c</w:t>
      </w:r>
      <w:r>
        <w:t xml:space="preserve">onflicts of </w:t>
      </w:r>
      <w:r w:rsidR="70AFA76F">
        <w:t>i</w:t>
      </w:r>
      <w:r>
        <w:t>nterest</w:t>
      </w:r>
      <w:r w:rsidR="4C3582AA">
        <w:t xml:space="preserve"> tha</w:t>
      </w:r>
      <w:r w:rsidR="60EBEE28">
        <w:t xml:space="preserve">t </w:t>
      </w:r>
      <w:r w:rsidR="4C3582AA">
        <w:t>permeate such advice transactions</w:t>
      </w:r>
      <w:r>
        <w:t>.</w:t>
      </w:r>
    </w:p>
    <w:p w:rsidR="001A379C" w:rsidP="0003285A" w14:paraId="3F5808F2" w14:textId="77777777">
      <w:pPr>
        <w:pStyle w:val="BodyTextIndent"/>
        <w:widowControl/>
        <w:tabs>
          <w:tab w:val="clear" w:pos="-1440"/>
        </w:tabs>
        <w:autoSpaceDE/>
        <w:autoSpaceDN/>
        <w:adjustRightInd/>
        <w:contextualSpacing/>
      </w:pPr>
    </w:p>
    <w:p w:rsidR="001A379C" w:rsidP="0003285A" w14:paraId="5BA6C927" w14:textId="1F786D50">
      <w:pPr>
        <w:ind w:left="720"/>
      </w:pPr>
      <w:r>
        <w:t xml:space="preserve">In addition, the Department </w:t>
      </w:r>
      <w:r w:rsidR="002849F4">
        <w:t xml:space="preserve">has </w:t>
      </w:r>
      <w:r w:rsidR="000F2997">
        <w:t xml:space="preserve">revised </w:t>
      </w:r>
      <w:r>
        <w:t xml:space="preserve">the </w:t>
      </w:r>
      <w:r w:rsidR="002849F4">
        <w:t xml:space="preserve">number of </w:t>
      </w:r>
      <w:r w:rsidR="009228A9">
        <w:t>broker-dealers</w:t>
      </w:r>
      <w:r w:rsidR="002849F4">
        <w:t xml:space="preserve">, the number of </w:t>
      </w:r>
      <w:r w:rsidR="009228A9">
        <w:t>investment advisers,</w:t>
      </w:r>
      <w:r w:rsidR="002849F4">
        <w:t xml:space="preserve"> the number of</w:t>
      </w:r>
      <w:r w:rsidRPr="002849F4" w:rsidR="002849F4">
        <w:t xml:space="preserve"> insurers</w:t>
      </w:r>
      <w:r w:rsidR="002849F4">
        <w:t xml:space="preserve">, the number of </w:t>
      </w:r>
      <w:r w:rsidRPr="002849F4" w:rsidR="002849F4">
        <w:t xml:space="preserve">robo-advisers, </w:t>
      </w:r>
      <w:r w:rsidR="002849F4">
        <w:t>the number of</w:t>
      </w:r>
      <w:r w:rsidRPr="002849F4" w:rsidR="002849F4">
        <w:t xml:space="preserve"> insurance agents and broker</w:t>
      </w:r>
      <w:r w:rsidR="002849F4">
        <w:t xml:space="preserve">s, </w:t>
      </w:r>
      <w:r w:rsidRPr="00B44EC1" w:rsidR="002849F4">
        <w:t xml:space="preserve">the </w:t>
      </w:r>
      <w:r w:rsidRPr="00B44EC1">
        <w:t xml:space="preserve">number of </w:t>
      </w:r>
      <w:r w:rsidR="00A60913">
        <w:t>Plan</w:t>
      </w:r>
      <w:r w:rsidR="00121486">
        <w:t xml:space="preserve"> </w:t>
      </w:r>
      <w:r w:rsidRPr="00B44EC1" w:rsidR="00CB0DD4">
        <w:t>to</w:t>
      </w:r>
      <w:r w:rsidR="00121486">
        <w:t xml:space="preserve"> </w:t>
      </w:r>
      <w:r w:rsidR="00A60913">
        <w:t>Plan</w:t>
      </w:r>
      <w:r w:rsidRPr="00B44EC1">
        <w:t xml:space="preserve"> rollovers, </w:t>
      </w:r>
      <w:r w:rsidRPr="00B44EC1" w:rsidR="002849F4">
        <w:t xml:space="preserve">the number of </w:t>
      </w:r>
      <w:r w:rsidR="00A60913">
        <w:t>Plan</w:t>
      </w:r>
      <w:r w:rsidRPr="00B44EC1">
        <w:t xml:space="preserve"> to IRA rollovers, </w:t>
      </w:r>
      <w:r w:rsidRPr="00B44EC1" w:rsidR="002849F4">
        <w:t xml:space="preserve">and the number of </w:t>
      </w:r>
      <w:r w:rsidRPr="00B44EC1">
        <w:t>IRA to IRA rollovers</w:t>
      </w:r>
      <w:r w:rsidRPr="00B44EC1" w:rsidR="002849F4">
        <w:t>.</w:t>
      </w:r>
      <w:r w:rsidRPr="00B44EC1">
        <w:t xml:space="preserve"> </w:t>
      </w:r>
      <w:r w:rsidRPr="00B44EC1" w:rsidR="00CB0DD4">
        <w:t xml:space="preserve">The </w:t>
      </w:r>
      <w:r w:rsidRPr="00B44EC1">
        <w:t>Department has also revised its estimate of the wage and postage costs due to increased labor costs and inflation.</w:t>
      </w:r>
      <w:r w:rsidRPr="00B44EC1" w:rsidR="00B71713">
        <w:t xml:space="preserve"> As a result, the number of responses has increased by </w:t>
      </w:r>
      <w:r w:rsidRPr="00F61BEB" w:rsidR="00F61BEB">
        <w:t>112,853,212</w:t>
      </w:r>
      <w:r w:rsidR="00121486">
        <w:t xml:space="preserve"> </w:t>
      </w:r>
      <w:r w:rsidRPr="00B44EC1" w:rsidR="00B71713">
        <w:t xml:space="preserve">responses, </w:t>
      </w:r>
      <w:r w:rsidRPr="00B44EC1" w:rsidR="005667FE">
        <w:t xml:space="preserve">the hour burden has increased by </w:t>
      </w:r>
      <w:r w:rsidRPr="00C57436" w:rsidR="00C57436">
        <w:t>2,197,970</w:t>
      </w:r>
      <w:r w:rsidR="00C57436">
        <w:t xml:space="preserve"> </w:t>
      </w:r>
      <w:r w:rsidRPr="00B44EC1" w:rsidR="005667FE">
        <w:t xml:space="preserve">hours, and the cost burden as increased by </w:t>
      </w:r>
      <w:r w:rsidR="00DA47A0">
        <w:t>$</w:t>
      </w:r>
      <w:r w:rsidRPr="00DA47A0" w:rsidR="00DA47A0">
        <w:t>18,267,480</w:t>
      </w:r>
      <w:r w:rsidRPr="00B44EC1" w:rsidR="005667FE">
        <w:t>.</w:t>
      </w:r>
      <w:r w:rsidR="005667FE">
        <w:t xml:space="preserve"> </w:t>
      </w:r>
    </w:p>
    <w:bookmarkEnd w:id="2"/>
    <w:bookmarkEnd w:id="3"/>
    <w:p w:rsidR="008C4059" w:rsidRPr="00223C0F" w:rsidP="0003285A" w14:paraId="0364F008" w14:textId="77777777">
      <w:pPr>
        <w:pStyle w:val="BodyTextIndent"/>
        <w:ind w:left="360"/>
        <w:contextualSpacing/>
      </w:pPr>
    </w:p>
    <w:p w:rsidR="008C4059" w:rsidRPr="00156E88" w:rsidP="008F7870" w14:paraId="37056732" w14:textId="71CE6D88">
      <w:pPr>
        <w:pStyle w:val="Heading2"/>
      </w:pPr>
      <w:r w:rsidRPr="00156E88">
        <w:t>For collection of information whose results will be published, outline plans for tabulation, and publication.</w:t>
      </w:r>
      <w:r w:rsidR="009C7814">
        <w:t xml:space="preserve"> </w:t>
      </w:r>
      <w:r w:rsidRPr="00156E88">
        <w:t>Address any complex analytical techniques that will be used.</w:t>
      </w:r>
      <w:r w:rsidR="009C7814">
        <w:t xml:space="preserve"> </w:t>
      </w:r>
      <w:r w:rsidRPr="00156E88">
        <w:t>Provide the time schedule for the entire project, including beginning and ending dates of the collection of information, completion of report, publication dates, and other actions.</w:t>
      </w:r>
    </w:p>
    <w:p w:rsidR="008C4059" w:rsidRPr="00156E88" w:rsidP="0003285A" w14:paraId="6554C061" w14:textId="189E4622">
      <w:pPr>
        <w:pStyle w:val="BodyTextIndent"/>
        <w:contextualSpacing/>
      </w:pPr>
    </w:p>
    <w:p w:rsidR="003C3AEE" w:rsidRPr="008823D6" w:rsidP="0003285A" w14:paraId="0AF55208" w14:textId="16208039">
      <w:pPr>
        <w:ind w:left="720"/>
        <w:contextualSpacing/>
      </w:pPr>
      <w:r w:rsidRPr="00156E88">
        <w:t>This is not a collection of information for statistical use and there are no plans to publish the results of this collection.</w:t>
      </w:r>
    </w:p>
    <w:p w:rsidR="008C4059" w:rsidRPr="008823D6" w:rsidP="0003285A" w14:paraId="7F65338F" w14:textId="085A84EF">
      <w:pPr>
        <w:contextualSpacing/>
      </w:pPr>
      <w:r w:rsidRPr="008823D6">
        <w:tab/>
      </w:r>
    </w:p>
    <w:p w:rsidR="008C4059" w:rsidRPr="00156E88" w:rsidP="008F7870" w14:paraId="5B91DBAC" w14:textId="77777777">
      <w:pPr>
        <w:pStyle w:val="Heading2"/>
      </w:pPr>
      <w:r w:rsidRPr="00156E88">
        <w:t>If seeking approval to not display the expiration date for OMB approval of the information collection, explain the reasons that display would be inappropriate.</w:t>
      </w:r>
    </w:p>
    <w:p w:rsidR="008C4059" w:rsidRPr="00156E88" w:rsidP="0003285A" w14:paraId="05A53758" w14:textId="77777777">
      <w:pPr>
        <w:pStyle w:val="BodyTextIndent"/>
        <w:contextualSpacing/>
      </w:pPr>
    </w:p>
    <w:p w:rsidR="00572BF9" w:rsidRPr="00156E88" w:rsidP="0003285A" w14:paraId="6C1DB61A" w14:textId="77777777">
      <w:pPr>
        <w:ind w:left="720"/>
        <w:contextualSpacing/>
      </w:pPr>
      <w:r w:rsidRPr="00156E88">
        <w:t>The collection of information will display a currently valid OMB control number.</w:t>
      </w:r>
    </w:p>
    <w:p w:rsidR="008C4059" w:rsidRPr="00156E88" w:rsidP="0003285A" w14:paraId="3DD23E58" w14:textId="7A2CB55D">
      <w:pPr>
        <w:pStyle w:val="BodyTextIndent"/>
        <w:contextualSpacing/>
        <w:rPr>
          <w:i/>
        </w:rPr>
      </w:pPr>
    </w:p>
    <w:p w:rsidR="008C4059" w:rsidRPr="00156E88" w:rsidP="008F7870" w14:paraId="45AE85EB" w14:textId="77777777">
      <w:pPr>
        <w:pStyle w:val="Heading2"/>
      </w:pPr>
      <w:r w:rsidRPr="00156E88">
        <w:t>Explain each exception to the certification statement.</w:t>
      </w:r>
    </w:p>
    <w:p w:rsidR="008C4059" w:rsidRPr="00156E88" w:rsidP="0003285A" w14:paraId="53545AF1" w14:textId="75E20449">
      <w:pPr>
        <w:pStyle w:val="BodyTextIndent"/>
        <w:contextualSpacing/>
        <w:rPr>
          <w:i/>
        </w:rPr>
      </w:pPr>
    </w:p>
    <w:p w:rsidR="00572BF9" w:rsidRPr="00EB039A" w:rsidP="0003285A" w14:paraId="6FF70B32" w14:textId="77777777">
      <w:pPr>
        <w:ind w:left="720"/>
        <w:contextualSpacing/>
      </w:pPr>
      <w:r w:rsidRPr="00156E88">
        <w:t>There are no exceptions to the certification statement.</w:t>
      </w:r>
    </w:p>
    <w:p w:rsidR="00572BF9" w:rsidRPr="008823D6" w:rsidP="0003285A" w14:paraId="7ACB5D73" w14:textId="77777777">
      <w:pPr>
        <w:pStyle w:val="BodyTextIndent"/>
        <w:contextualSpacing/>
      </w:pPr>
    </w:p>
    <w:p w:rsidR="008C4059" w:rsidRPr="008F7870" w:rsidP="008F7870" w14:paraId="1E24F2FD" w14:textId="6A02EB1F">
      <w:pPr>
        <w:pStyle w:val="Heading1"/>
        <w:ind w:left="720" w:hanging="720"/>
        <w:rPr>
          <w:rStyle w:val="Heading1Char"/>
          <w:b/>
        </w:rPr>
      </w:pPr>
      <w:r w:rsidRPr="006B0F39">
        <w:rPr>
          <w:rStyle w:val="Heading1Char"/>
          <w:b/>
        </w:rPr>
        <w:t>COLLECTION OF INFORMATION EMPLOYING STATISTICAL METHODS</w:t>
      </w:r>
    </w:p>
    <w:p w:rsidR="008C4059" w:rsidRPr="00156E88" w:rsidP="0003285A" w14:paraId="0A8A9BFF" w14:textId="77777777">
      <w:pPr>
        <w:pStyle w:val="BodyTextIndent"/>
        <w:ind w:left="360"/>
        <w:contextualSpacing/>
        <w:rPr>
          <w:b/>
          <w:i/>
        </w:rPr>
      </w:pPr>
    </w:p>
    <w:p w:rsidR="006523EB" w:rsidP="0003285A" w14:paraId="3E04E3DC" w14:textId="5C224336">
      <w:pPr>
        <w:pStyle w:val="BodyTextIndent"/>
        <w:ind w:left="360"/>
        <w:contextualSpacing/>
      </w:pPr>
      <w:r w:rsidRPr="00156E88">
        <w:tab/>
      </w:r>
      <w:r w:rsidRPr="00E3634E" w:rsidR="00E3634E">
        <w:t>The use of statistical methods is not relevant to this collection of information.</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2547239"/>
      <w:docPartObj>
        <w:docPartGallery w:val="Page Numbers (Bottom of Page)"/>
        <w:docPartUnique/>
      </w:docPartObj>
    </w:sdtPr>
    <w:sdtEndPr>
      <w:rPr>
        <w:noProof/>
      </w:rPr>
    </w:sdtEndPr>
    <w:sdtContent>
      <w:p w:rsidR="00E80222" w14:paraId="7EBE0B37" w14:textId="2BE94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0222" w14:paraId="08ACC9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5791" w:rsidP="008C4059" w14:paraId="66A05C2A" w14:textId="77777777">
      <w:r>
        <w:separator/>
      </w:r>
    </w:p>
  </w:footnote>
  <w:footnote w:type="continuationSeparator" w:id="1">
    <w:p w:rsidR="00755791" w:rsidP="008C4059" w14:paraId="655CD1FC" w14:textId="77777777">
      <w:r>
        <w:continuationSeparator/>
      </w:r>
    </w:p>
  </w:footnote>
  <w:footnote w:type="continuationNotice" w:id="2">
    <w:p w:rsidR="00755791" w14:paraId="0C331B8B" w14:textId="77777777"/>
  </w:footnote>
  <w:footnote w:id="3">
    <w:p w:rsidR="009867A8" w:rsidP="00683AF7" w14:paraId="41674470" w14:textId="5B0CCABA">
      <w:pPr>
        <w:pStyle w:val="FootnoteText"/>
        <w:rPr>
          <w:rFonts w:eastAsiaTheme="minorHAnsi"/>
          <w:sz w:val="24"/>
          <w:szCs w:val="24"/>
        </w:rPr>
      </w:pPr>
      <w:r w:rsidRPr="006A565F">
        <w:rPr>
          <w:rStyle w:val="FootnoteReference"/>
          <w:rFonts w:eastAsiaTheme="majorEastAsia"/>
        </w:rPr>
        <w:footnoteRef/>
      </w:r>
      <w:r w:rsidRPr="006A565F">
        <w:t xml:space="preserve"> Regulations at 29 CFR section 2570.30 to 2570.52 describe the procedures for applying for an administrative exemption under ERISA.</w:t>
      </w:r>
      <w:r w:rsidRPr="007F3F3C">
        <w:t xml:space="preserve"> </w:t>
      </w:r>
      <w:r w:rsidRPr="006A565F">
        <w:t xml:space="preserve">Code section 4975(c)(2) authorizes the Secretary of the Treasury to grant exemptions from the parallel prohibited transaction provisions of the Code. </w:t>
      </w:r>
      <w:r w:rsidRPr="006A565F">
        <w:rPr>
          <w:rFonts w:eastAsiaTheme="minorHAnsi"/>
        </w:rPr>
        <w:t>Reorganization Plan No. 4 of 1978 (5 U.S.C. app. at 214 (2000)) generally transferred the authority of the Secretary of the Treasury to issue administrative exemptions under Code section 4975 to the Secretary of Labor.</w:t>
      </w:r>
      <w:r w:rsidR="009C7814">
        <w:rPr>
          <w:rFonts w:eastAsiaTheme="minorHAnsi"/>
          <w:sz w:val="24"/>
          <w:szCs w:val="24"/>
        </w:rPr>
        <w:t xml:space="preserve"> </w:t>
      </w:r>
    </w:p>
  </w:footnote>
  <w:footnote w:id="4">
    <w:p w:rsidR="0E2C5C4E" w:rsidRPr="00906591" w:rsidP="0E2C5C4E" w14:paraId="1EC3B395" w14:textId="1B70B251">
      <w:pPr>
        <w:rPr>
          <w:sz w:val="20"/>
          <w:szCs w:val="20"/>
        </w:rPr>
      </w:pPr>
      <w:r w:rsidRPr="0E2C5C4E">
        <w:rPr>
          <w:sz w:val="20"/>
          <w:szCs w:val="20"/>
        </w:rPr>
        <w:footnoteRef/>
      </w:r>
      <w:r w:rsidRPr="0E2C5C4E">
        <w:rPr>
          <w:sz w:val="20"/>
          <w:szCs w:val="20"/>
        </w:rPr>
        <w:t xml:space="preserve"> </w:t>
      </w:r>
      <w:r w:rsidRPr="00906591">
        <w:rPr>
          <w:sz w:val="20"/>
          <w:szCs w:val="20"/>
        </w:rPr>
        <w:t>ERISA section 408(a)</w:t>
      </w:r>
      <w:r w:rsidR="00FE2500">
        <w:rPr>
          <w:sz w:val="20"/>
          <w:szCs w:val="20"/>
        </w:rPr>
        <w:t xml:space="preserve"> </w:t>
      </w:r>
      <w:r w:rsidR="00F657C7">
        <w:rPr>
          <w:sz w:val="20"/>
          <w:szCs w:val="20"/>
        </w:rPr>
        <w:t>and Code section 497</w:t>
      </w:r>
      <w:r w:rsidR="00417371">
        <w:rPr>
          <w:sz w:val="20"/>
          <w:szCs w:val="20"/>
        </w:rPr>
        <w:t>5(c)(2</w:t>
      </w:r>
      <w:r w:rsidR="00417371">
        <w:rPr>
          <w:sz w:val="20"/>
          <w:szCs w:val="20"/>
        </w:rPr>
        <w:t xml:space="preserve">). </w:t>
      </w:r>
      <w:r w:rsidRPr="00906591" w:rsidR="00F657C7">
        <w:rPr>
          <w:sz w:val="20"/>
          <w:szCs w:val="20"/>
        </w:rPr>
        <w:t xml:space="preserve"> </w:t>
      </w:r>
      <w:r w:rsidRPr="00906591">
        <w:rPr>
          <w:sz w:val="20"/>
          <w:szCs w:val="20"/>
        </w:rPr>
        <w:t>.</w:t>
      </w:r>
    </w:p>
  </w:footnote>
  <w:footnote w:id="5">
    <w:p w:rsidR="00704F34" w:rsidRPr="006D35EF" w:rsidP="00704F34" w14:paraId="4286EEB1" w14:textId="77777777">
      <w:pPr>
        <w:pStyle w:val="FootnoteText"/>
        <w:rPr>
          <w:color w:val="000000" w:themeColor="text1"/>
        </w:rPr>
      </w:pPr>
      <w:r w:rsidRPr="006D35EF">
        <w:rPr>
          <w:rStyle w:val="FootnoteReference"/>
          <w:color w:val="000000" w:themeColor="text1"/>
        </w:rPr>
        <w:footnoteRef/>
      </w:r>
      <w:r w:rsidRPr="006D35EF">
        <w:rPr>
          <w:color w:val="000000" w:themeColor="text1"/>
        </w:rPr>
        <w:t xml:space="preserve"> 67 FR 17263</w:t>
      </w:r>
      <w:r>
        <w:rPr>
          <w:color w:val="000000" w:themeColor="text1"/>
        </w:rPr>
        <w:t xml:space="preserve"> (</w:t>
      </w:r>
      <w:r w:rsidRPr="00FD480C">
        <w:rPr>
          <w:color w:val="000000" w:themeColor="text1"/>
        </w:rPr>
        <w:t>Apr. 9, 2002</w:t>
      </w:r>
      <w:r w:rsidRPr="006F4340">
        <w:rPr>
          <w:color w:val="000000" w:themeColor="text1"/>
        </w:rPr>
        <w:t>); 85 FR 31884 (May 27, 2020).</w:t>
      </w:r>
    </w:p>
  </w:footnote>
  <w:footnote w:id="6">
    <w:p w:rsidR="00704F34" w:rsidRPr="006D35EF" w:rsidP="00704F34" w14:paraId="4D7FDA8F" w14:textId="59FC395B">
      <w:pPr>
        <w:pStyle w:val="FootnoteText"/>
        <w:rPr>
          <w:color w:val="000000" w:themeColor="text1"/>
        </w:rPr>
      </w:pPr>
      <w:r w:rsidRPr="006D35EF">
        <w:rPr>
          <w:rStyle w:val="FootnoteReference"/>
          <w:color w:val="000000" w:themeColor="text1"/>
        </w:rPr>
        <w:footnoteRef/>
      </w:r>
      <w:r w:rsidRPr="006D35EF">
        <w:rPr>
          <w:color w:val="000000" w:themeColor="text1"/>
        </w:rPr>
        <w:t xml:space="preserve"> The Department estimates </w:t>
      </w:r>
      <w:r w:rsidR="00990B24">
        <w:rPr>
          <w:color w:val="000000" w:themeColor="text1"/>
        </w:rPr>
        <w:t xml:space="preserve">96.1 </w:t>
      </w:r>
      <w:r w:rsidRPr="006D35EF">
        <w:rPr>
          <w:color w:val="000000" w:themeColor="text1"/>
        </w:rPr>
        <w:t xml:space="preserve">percent of </w:t>
      </w:r>
      <w:r>
        <w:rPr>
          <w:color w:val="000000" w:themeColor="text1"/>
        </w:rPr>
        <w:t>R</w:t>
      </w:r>
      <w:r w:rsidRPr="006D35EF">
        <w:rPr>
          <w:color w:val="000000" w:themeColor="text1"/>
        </w:rPr>
        <w:t xml:space="preserve">etirement </w:t>
      </w:r>
      <w:r>
        <w:rPr>
          <w:color w:val="000000" w:themeColor="text1"/>
        </w:rPr>
        <w:t>I</w:t>
      </w:r>
      <w:r w:rsidRPr="006D35EF">
        <w:rPr>
          <w:color w:val="000000" w:themeColor="text1"/>
        </w:rPr>
        <w:t xml:space="preserve">nvestors receive disclosures electronically. This is the sum of the estimated share of </w:t>
      </w:r>
      <w:r>
        <w:rPr>
          <w:color w:val="000000" w:themeColor="text1"/>
        </w:rPr>
        <w:t>R</w:t>
      </w:r>
      <w:r w:rsidRPr="006D35EF">
        <w:rPr>
          <w:color w:val="000000" w:themeColor="text1"/>
        </w:rPr>
        <w:t xml:space="preserve">etirement </w:t>
      </w:r>
      <w:r>
        <w:rPr>
          <w:color w:val="000000" w:themeColor="text1"/>
        </w:rPr>
        <w:t>I</w:t>
      </w:r>
      <w:r w:rsidRPr="006D35EF">
        <w:rPr>
          <w:color w:val="000000" w:themeColor="text1"/>
        </w:rPr>
        <w:t>nvestors receiving electronic disclosures under the 2002 electronic disclosure safe harbor (</w:t>
      </w:r>
      <w:r w:rsidR="00990B24">
        <w:rPr>
          <w:color w:val="000000" w:themeColor="text1"/>
        </w:rPr>
        <w:t>58.3</w:t>
      </w:r>
      <w:r w:rsidRPr="006D35EF">
        <w:rPr>
          <w:color w:val="000000" w:themeColor="text1"/>
        </w:rPr>
        <w:t xml:space="preserve"> percent) and the estimated share of </w:t>
      </w:r>
      <w:r>
        <w:rPr>
          <w:color w:val="000000" w:themeColor="text1"/>
        </w:rPr>
        <w:t>R</w:t>
      </w:r>
      <w:r w:rsidRPr="006D35EF">
        <w:rPr>
          <w:color w:val="000000" w:themeColor="text1"/>
        </w:rPr>
        <w:t xml:space="preserve">etirement </w:t>
      </w:r>
      <w:r>
        <w:rPr>
          <w:color w:val="000000" w:themeColor="text1"/>
        </w:rPr>
        <w:t>I</w:t>
      </w:r>
      <w:r w:rsidRPr="006D35EF">
        <w:rPr>
          <w:color w:val="000000" w:themeColor="text1"/>
        </w:rPr>
        <w:t>nvestors receiving electronic disclosures under the 2020 electronic disclosure safe harbor (</w:t>
      </w:r>
      <w:r w:rsidR="00990B24">
        <w:rPr>
          <w:color w:val="000000" w:themeColor="text1"/>
        </w:rPr>
        <w:t xml:space="preserve">37.8 </w:t>
      </w:r>
      <w:r w:rsidRPr="006D35EF">
        <w:rPr>
          <w:color w:val="000000" w:themeColor="text1"/>
        </w:rPr>
        <w:t xml:space="preserve">percent). </w:t>
      </w:r>
    </w:p>
  </w:footnote>
  <w:footnote w:id="7">
    <w:p w:rsidR="00D25E6F" w:rsidP="00D25E6F" w14:paraId="155564A7" w14:textId="210AA5FA">
      <w:pPr>
        <w:pStyle w:val="FootnoteText"/>
      </w:pPr>
      <w:r>
        <w:rPr>
          <w:rStyle w:val="FootnoteReference"/>
        </w:rPr>
        <w:footnoteRef/>
      </w:r>
      <w:r>
        <w:t xml:space="preserve"> The Department used information from a Greenwald &amp; Associates survey which reported that 84 percent of retirement </w:t>
      </w:r>
      <w:r w:rsidR="00A60913">
        <w:t>P</w:t>
      </w:r>
      <w:r>
        <w:t xml:space="preserve">lan participants find electronic delivery acceptable, and data from the National Telecommunications and Information Administration Internet Use Survey which indicated that 86 percent of adults 65 and </w:t>
      </w:r>
      <w:r>
        <w:t>over use</w:t>
      </w:r>
      <w:r>
        <w:t xml:space="preserve"> e-mail on a regular basis, which is used as a proxy for internet fluency and usage. Therefore, the assumption is calculated as: (84% find electronic delivery acceptable) x (86% are internet fluent) = 72% are internet fluent and find electronic delivery acceptable. </w:t>
      </w:r>
    </w:p>
  </w:footnote>
  <w:footnote w:id="8">
    <w:p w:rsidR="002B4DDD" w14:paraId="42F2C7D4" w14:textId="582FB378">
      <w:pPr>
        <w:pStyle w:val="FootnoteText"/>
      </w:pPr>
      <w:r>
        <w:rPr>
          <w:rStyle w:val="FootnoteReference"/>
        </w:rPr>
        <w:footnoteRef/>
      </w:r>
      <w:r>
        <w:t xml:space="preserve"> </w:t>
      </w:r>
      <w:r w:rsidRPr="002B4DDD">
        <w:t xml:space="preserve">For the purposes of this analysis, the Department assumes that the percent of Retirement Investors who are in employer-sponsored </w:t>
      </w:r>
      <w:r w:rsidR="00A60913">
        <w:t>Plan</w:t>
      </w:r>
      <w:r w:rsidRPr="002B4DDD">
        <w:t xml:space="preserve">s receiving electronic disclosures </w:t>
      </w:r>
      <w:r w:rsidR="00B12123">
        <w:t>will</w:t>
      </w:r>
      <w:r w:rsidRPr="002B4DDD">
        <w:t xml:space="preserve"> be similar to the percent of </w:t>
      </w:r>
      <w:r w:rsidR="00A60913">
        <w:t>Plan</w:t>
      </w:r>
      <w:r w:rsidRPr="002B4DDD">
        <w:t xml:space="preserve"> participants receiving electronic disclosures under the Department’s 2002 and 2020 electronic disclosure safe harbors</w:t>
      </w:r>
      <w:r w:rsidR="004528B9">
        <w:t xml:space="preserve"> (</w:t>
      </w:r>
      <w:r w:rsidRPr="00C72F8A" w:rsidR="00C72F8A">
        <w:t>67 FR 17263 (Apr. 9, 2002)</w:t>
      </w:r>
      <w:r w:rsidR="001B0B43">
        <w:t xml:space="preserve"> and</w:t>
      </w:r>
      <w:r w:rsidRPr="00C72F8A" w:rsidR="00C72F8A">
        <w:t xml:space="preserve"> 85 FR 31884 (May 27, 2020)</w:t>
      </w:r>
      <w:r w:rsidR="001B0B43">
        <w:t>, respectively)</w:t>
      </w:r>
      <w:r w:rsidRPr="00C72F8A" w:rsidR="00C72F8A">
        <w:t>.</w:t>
      </w:r>
      <w:r w:rsidR="003D6553">
        <w:t xml:space="preserve"> </w:t>
      </w:r>
      <w:r w:rsidRPr="003D6553" w:rsidR="003D6553">
        <w:t xml:space="preserve">The Department estimates </w:t>
      </w:r>
      <w:r w:rsidR="00990B24">
        <w:t xml:space="preserve">96.1 </w:t>
      </w:r>
      <w:r w:rsidRPr="003D6553" w:rsidR="003D6553">
        <w:t>percent of Retirement Investors receive disclosures electronically. This is the sum of the estimated share of Retirement Investors receiving electronic disclosures under the 2002 safe harbor (</w:t>
      </w:r>
      <w:r w:rsidR="00990B24">
        <w:t>58.3</w:t>
      </w:r>
      <w:r w:rsidRPr="003D6553" w:rsidR="003D6553">
        <w:t xml:space="preserve"> percent) and the </w:t>
      </w:r>
      <w:r w:rsidR="00EC1BFD">
        <w:t xml:space="preserve">corresponding </w:t>
      </w:r>
      <w:r w:rsidRPr="003D6553" w:rsidR="003D6553">
        <w:t>estimated share under the 2020 safe harbor (</w:t>
      </w:r>
      <w:r w:rsidR="00990B24">
        <w:t xml:space="preserve">37.8 </w:t>
      </w:r>
      <w:r w:rsidRPr="003D6553" w:rsidR="003D6553">
        <w:t>percent).</w:t>
      </w:r>
    </w:p>
  </w:footnote>
  <w:footnote w:id="9">
    <w:p w:rsidR="00E94067" w14:paraId="365599EE" w14:textId="3904DD55">
      <w:pPr>
        <w:pStyle w:val="FootnoteText"/>
      </w:pPr>
      <w:r>
        <w:rPr>
          <w:rStyle w:val="FootnoteReference"/>
        </w:rPr>
        <w:footnoteRef/>
      </w:r>
      <w:r>
        <w:t xml:space="preserve"> </w:t>
      </w:r>
      <w:r w:rsidRPr="00E94067">
        <w:t xml:space="preserve">The Department used information from a Greenwald &amp; Associates survey which reported that 84 percent of retirement </w:t>
      </w:r>
      <w:r w:rsidR="00A60913">
        <w:t>Plan</w:t>
      </w:r>
      <w:r w:rsidRPr="00E94067">
        <w:t xml:space="preserve"> participants find electronic delivery acceptable, and data from the National Telecommunications and Information Administration Internet Use Survey which indicated that 86 percent of adults 65 and </w:t>
      </w:r>
      <w:r w:rsidRPr="00E94067">
        <w:t>over use</w:t>
      </w:r>
      <w:r w:rsidRPr="00E94067">
        <w:t xml:space="preserve"> e-mail on a regular basis, which is used as a proxy for internet fluency and usage. Therefore, the assumption is calculated as: (84% find electronic delivery acceptable) x (86% are internet fluent) = 72% are internet fluent and find electronic delivery acceptable.</w:t>
      </w:r>
    </w:p>
  </w:footnote>
  <w:footnote w:id="10">
    <w:p w:rsidR="008A26DF" w:rsidRPr="00ED0A30" w:rsidP="008A26DF" w14:paraId="21D7E556" w14:textId="6E65C653">
      <w:pPr>
        <w:pStyle w:val="FootnoteText"/>
        <w:contextualSpacing/>
      </w:pPr>
      <w:r w:rsidRPr="00ED0A30">
        <w:rPr>
          <w:rStyle w:val="FootnoteReference"/>
        </w:rPr>
        <w:footnoteRef/>
      </w:r>
      <w:r w:rsidRPr="00ED0A30">
        <w:t xml:space="preserve"> Internal DOL calculation based on 202</w:t>
      </w:r>
      <w:r w:rsidR="009A1368">
        <w:t>4</w:t>
      </w:r>
      <w:r w:rsidRPr="00ED0A30">
        <w:t xml:space="preserve"> labor cost data.</w:t>
      </w:r>
      <w:r>
        <w:t xml:space="preserve"> </w:t>
      </w:r>
      <w:r w:rsidRPr="00ED0A30">
        <w:t xml:space="preserve">For a description of the Department’s methodology for calculating wage rates, see </w:t>
      </w:r>
      <w:hyperlink r:id="rId1" w:history="1">
        <w:r w:rsidRPr="00FA7C0D">
          <w:rPr>
            <w:rStyle w:val="Hyperlink"/>
          </w:rPr>
          <w:t>https://www.dol.gov/sites/dolgov/files/EBSA/laws-and-regulations/rules-and-regulations/technical-appendices/labor-cost-inputs-used-in-ebsa-opr-ria-and-pra-burden-calculations-june-2019.pdf</w:t>
        </w:r>
      </w:hyperlink>
      <w:r w:rsidRPr="00ED0A30">
        <w:t>.</w:t>
      </w:r>
      <w:r>
        <w:t xml:space="preserve"> </w:t>
      </w:r>
    </w:p>
  </w:footnote>
  <w:footnote w:id="11">
    <w:p w:rsidR="008A26DF" w:rsidP="008A26DF" w14:paraId="7285EA42" w14:textId="77777777">
      <w:pPr>
        <w:pStyle w:val="FootnoteText"/>
        <w:contextualSpacing/>
      </w:pPr>
      <w:r>
        <w:rPr>
          <w:rStyle w:val="FootnoteReference"/>
        </w:rPr>
        <w:footnoteRef/>
      </w:r>
      <w:r>
        <w:t xml:space="preserve"> </w:t>
      </w:r>
      <w:r w:rsidRPr="005F6F94">
        <w:t>67 FR 17263</w:t>
      </w:r>
      <w:r>
        <w:t>.</w:t>
      </w:r>
    </w:p>
  </w:footnote>
  <w:footnote w:id="12">
    <w:p w:rsidR="008A26DF" w:rsidP="008A26DF" w14:paraId="1678D3E6" w14:textId="4A8D0433">
      <w:pPr>
        <w:pStyle w:val="FootnoteText"/>
        <w:contextualSpacing/>
      </w:pPr>
      <w:r>
        <w:rPr>
          <w:rStyle w:val="FootnoteReference"/>
        </w:rPr>
        <w:footnoteRef/>
      </w:r>
      <w:r>
        <w:t xml:space="preserve"> </w:t>
      </w:r>
      <w:r w:rsidRPr="00ED0A30">
        <w:t xml:space="preserve">The Department estimates approximately </w:t>
      </w:r>
      <w:r w:rsidR="009A1368">
        <w:t>96.1</w:t>
      </w:r>
      <w:r w:rsidRPr="00ED0A30">
        <w:t xml:space="preserve">% of </w:t>
      </w:r>
      <w:r w:rsidR="00B11D99">
        <w:t>Retirement Investor</w:t>
      </w:r>
      <w:r>
        <w:t>s</w:t>
      </w:r>
      <w:r w:rsidRPr="00ED0A30">
        <w:t xml:space="preserve"> receive disclosures electronically, </w:t>
      </w:r>
      <w:r>
        <w:t xml:space="preserve">which is </w:t>
      </w:r>
      <w:r w:rsidRPr="00ED0A30">
        <w:t xml:space="preserve">the sum of </w:t>
      </w:r>
      <w:r>
        <w:t xml:space="preserve">the estimated share of </w:t>
      </w:r>
      <w:r w:rsidR="00B11D99">
        <w:t>Retirement Investor</w:t>
      </w:r>
      <w:r>
        <w:t>s</w:t>
      </w:r>
      <w:r w:rsidRPr="00ED0A30">
        <w:t xml:space="preserve"> receiving electronic disclosures under the 2002 electronic disclosure safe harbor (</w:t>
      </w:r>
      <w:r w:rsidR="009A1368">
        <w:t>58.3</w:t>
      </w:r>
      <w:r w:rsidRPr="00ED0A30">
        <w:t xml:space="preserve">%) and the </w:t>
      </w:r>
      <w:r>
        <w:t xml:space="preserve">estimated share of </w:t>
      </w:r>
      <w:r w:rsidR="00B11D99">
        <w:t>Retirement Investor</w:t>
      </w:r>
      <w:r>
        <w:t>s</w:t>
      </w:r>
      <w:r w:rsidRPr="00ED0A30">
        <w:t xml:space="preserve"> receiving electronic disclosures under the 2020 electronic disclosure safe harbor (</w:t>
      </w:r>
      <w:r w:rsidR="007A6B91">
        <w:t>37.8</w:t>
      </w:r>
      <w:r w:rsidRPr="00ED0A30">
        <w:t>%).</w:t>
      </w:r>
      <w:r>
        <w:t xml:space="preserve"> </w:t>
      </w:r>
    </w:p>
  </w:footnote>
  <w:footnote w:id="13">
    <w:p w:rsidR="00C31E5C" w:rsidP="00C31E5C" w14:paraId="20C8A5D4" w14:textId="77777777">
      <w:pPr>
        <w:pStyle w:val="FootnoteText"/>
      </w:pPr>
      <w:r>
        <w:rPr>
          <w:rStyle w:val="FootnoteReference"/>
        </w:rPr>
        <w:footnoteRef/>
      </w:r>
      <w:r>
        <w:t xml:space="preserve"> The Department used information from a Greenwald &amp; Associates survey which reported that 84 percent of retirement Plan participants find electronic delivery acceptable, and data from the National Telecommunications and Information Administration Internet Use Survey which indicated that 86 percent of adults 65 and </w:t>
      </w:r>
      <w:r>
        <w:t>over use</w:t>
      </w:r>
      <w:r>
        <w:t xml:space="preserve"> e-mail on a regular basis, which is used as a proxy for internet fluency and usage. Therefore, the assumption is calculated as: (84% find electronic delivery acceptable) x (86% are internet fluent) = 72% are internet fluent and find electronic delivery acceptable. </w:t>
      </w:r>
    </w:p>
  </w:footnote>
  <w:footnote w:id="14">
    <w:p w:rsidR="007C4B2C" w:rsidRPr="00566065" w:rsidP="007C4B2C" w14:paraId="01EB3BD9" w14:textId="1EE706C0">
      <w:pPr>
        <w:pStyle w:val="FootnoteText"/>
      </w:pPr>
      <w:r w:rsidRPr="00566065">
        <w:rPr>
          <w:rStyle w:val="FootnoteReference"/>
        </w:rPr>
        <w:footnoteRef/>
      </w:r>
      <w:r w:rsidRPr="00566065">
        <w:t xml:space="preserve"> The </w:t>
      </w:r>
      <w:r w:rsidR="00E05887">
        <w:t>burden associated with</w:t>
      </w:r>
      <w:r>
        <w:t xml:space="preserve"> financial entities needing to update their written acknowledgement is estimated as: [(1,</w:t>
      </w:r>
      <w:r w:rsidR="00473765">
        <w:t>920</w:t>
      </w:r>
      <w:r>
        <w:t xml:space="preserve"> broker-dealers</w:t>
      </w:r>
      <w:r w:rsidRPr="00566065">
        <w:t xml:space="preserve"> x 10%</w:t>
      </w:r>
      <w:r>
        <w:t>) + (</w:t>
      </w:r>
      <w:r w:rsidR="00AF7FD3">
        <w:t>8,035</w:t>
      </w:r>
      <w:r>
        <w:t xml:space="preserve"> SEC-registered investment advisers x 10%) + (8,</w:t>
      </w:r>
      <w:r w:rsidR="00E61FC1">
        <w:t>363</w:t>
      </w:r>
      <w:r>
        <w:t xml:space="preserve"> state-registered investment advisers x 10%) + (183 insurers x 10%)] x 70% previous reliance x (10 minutes ÷ 60 minutes)</w:t>
      </w:r>
      <w:r w:rsidR="003C7D87">
        <w:t xml:space="preserve"> </w:t>
      </w:r>
      <w:r>
        <w:t xml:space="preserve">≈ 215 hours. The equivalent cost is estimated as: 215 hours </w:t>
      </w:r>
      <w:r w:rsidRPr="001A4741">
        <w:t>x $</w:t>
      </w:r>
      <w:r>
        <w:t>165.71</w:t>
      </w:r>
      <w:r w:rsidRPr="001A4741">
        <w:t xml:space="preserve"> </w:t>
      </w:r>
      <w:r w:rsidR="00520AF3">
        <w:rPr>
          <w:color w:val="000000"/>
        </w:rPr>
        <w:t>≈</w:t>
      </w:r>
      <w:r w:rsidRPr="001A4741" w:rsidR="00520AF3">
        <w:rPr>
          <w:color w:val="000000"/>
        </w:rPr>
        <w:t xml:space="preserve"> </w:t>
      </w:r>
      <w:r w:rsidRPr="001A4741">
        <w:rPr>
          <w:color w:val="000000"/>
        </w:rPr>
        <w:t>$</w:t>
      </w:r>
      <w:r>
        <w:rPr>
          <w:color w:val="000000"/>
        </w:rPr>
        <w:t>35,575</w:t>
      </w:r>
      <w:r w:rsidRPr="001A4741">
        <w:rPr>
          <w:color w:val="000000"/>
        </w:rPr>
        <w:t>.</w:t>
      </w:r>
    </w:p>
  </w:footnote>
  <w:footnote w:id="15">
    <w:p w:rsidR="005907F6" w:rsidP="005907F6" w14:paraId="35EE9A5D" w14:textId="6E2F3D6F">
      <w:pPr>
        <w:pStyle w:val="FootnoteText"/>
      </w:pPr>
      <w:r>
        <w:rPr>
          <w:rStyle w:val="FootnoteReference"/>
        </w:rPr>
        <w:footnoteRef/>
      </w:r>
      <w:r>
        <w:t xml:space="preserve"> The burden </w:t>
      </w:r>
      <w:r w:rsidR="00E05887">
        <w:t xml:space="preserve">associated with financial entities needing to draft their written acknowledgement </w:t>
      </w:r>
      <w:r>
        <w:t xml:space="preserve">is estimated as: </w:t>
      </w:r>
      <w:r w:rsidR="00C56DC0">
        <w:t>{</w:t>
      </w:r>
      <w:r>
        <w:t xml:space="preserve">(200 robo-advisers </w:t>
      </w:r>
      <w:r w:rsidR="00AD2EDB">
        <w:t>+ 31 non-bank trustees</w:t>
      </w:r>
      <w:r>
        <w:t>)</w:t>
      </w:r>
      <w:r w:rsidR="00A0488B">
        <w:t xml:space="preserve"> + </w:t>
      </w:r>
      <w:r w:rsidR="00C56DC0">
        <w:t>[</w:t>
      </w:r>
      <w:r w:rsidR="00A0488B">
        <w:t>(</w:t>
      </w:r>
      <w:r w:rsidR="00106EEB">
        <w:t xml:space="preserve">1,920 broker dealers + </w:t>
      </w:r>
      <w:r w:rsidR="00752A79">
        <w:t>16,398 registered investment advisers + 84 insurers</w:t>
      </w:r>
      <w:r>
        <w:t>) x 30</w:t>
      </w:r>
      <w:r w:rsidR="00C56DC0">
        <w:t>% newly reliant</w:t>
      </w:r>
      <w:r w:rsidR="00A0488B">
        <w:t>]</w:t>
      </w:r>
      <w:r>
        <w:t xml:space="preserve"> x </w:t>
      </w:r>
      <w:r w:rsidR="00BE4264">
        <w:t>(</w:t>
      </w:r>
      <w:r>
        <w:t>30 minutes ÷ 60 minutes</w:t>
      </w:r>
      <w:r w:rsidR="00BE4264">
        <w:t>)</w:t>
      </w:r>
      <w:r w:rsidR="00205FC6">
        <w:t>}</w:t>
      </w:r>
      <w:r>
        <w:t xml:space="preserve"> </w:t>
      </w:r>
      <w:r w:rsidR="00BE4264">
        <w:t>≈</w:t>
      </w:r>
      <w:r>
        <w:t xml:space="preserve"> </w:t>
      </w:r>
      <w:r w:rsidR="009173A3">
        <w:t>2,876</w:t>
      </w:r>
      <w:r w:rsidR="00AD2EDB">
        <w:t xml:space="preserve"> </w:t>
      </w:r>
      <w:r>
        <w:t xml:space="preserve">hours. The burden is estimated as: </w:t>
      </w:r>
      <w:r w:rsidR="009173A3">
        <w:t>2,876</w:t>
      </w:r>
      <w:r>
        <w:t xml:space="preserve"> x $</w:t>
      </w:r>
      <w:r w:rsidR="00042973">
        <w:t>165.71</w:t>
      </w:r>
      <w:r>
        <w:t xml:space="preserve"> </w:t>
      </w:r>
      <w:r w:rsidR="008A265C">
        <w:t>≈</w:t>
      </w:r>
      <w:r>
        <w:t xml:space="preserve"> $</w:t>
      </w:r>
      <w:r w:rsidR="009173A3">
        <w:t>476,531</w:t>
      </w:r>
      <w:r>
        <w:t>.</w:t>
      </w:r>
    </w:p>
  </w:footnote>
  <w:footnote w:id="16">
    <w:p w:rsidR="00102670" w14:paraId="615370C5" w14:textId="28BCBCF1">
      <w:pPr>
        <w:pStyle w:val="FootnoteText"/>
      </w:pPr>
      <w:r>
        <w:rPr>
          <w:rStyle w:val="FootnoteReference"/>
        </w:rPr>
        <w:footnoteRef/>
      </w:r>
      <w:r>
        <w:t xml:space="preserve"> </w:t>
      </w:r>
      <w:r w:rsidRPr="00BA2C19" w:rsidR="00BA2C19">
        <w:t xml:space="preserve">The burden is estimated as: </w:t>
      </w:r>
      <w:r w:rsidR="00775D2B">
        <w:t>$</w:t>
      </w:r>
      <w:r w:rsidR="001C3815">
        <w:t>476,531 t</w:t>
      </w:r>
      <w:r w:rsidR="00B3342F">
        <w:t xml:space="preserve">o create </w:t>
      </w:r>
      <w:r w:rsidR="008056EE">
        <w:t xml:space="preserve">an acknowledgement + $35,575 to update an existing acknowledgement = </w:t>
      </w:r>
      <w:r w:rsidR="00D9093F">
        <w:t xml:space="preserve">$512,106. </w:t>
      </w:r>
    </w:p>
  </w:footnote>
  <w:footnote w:id="17">
    <w:p w:rsidR="007004AE" w14:paraId="4089B8AA" w14:textId="74D30C55">
      <w:pPr>
        <w:pStyle w:val="FootnoteText"/>
      </w:pPr>
      <w:r>
        <w:rPr>
          <w:rStyle w:val="FootnoteReference"/>
        </w:rPr>
        <w:footnoteRef/>
      </w:r>
      <w:r>
        <w:t xml:space="preserve"> </w:t>
      </w:r>
      <w:r w:rsidRPr="009F462E" w:rsidR="009F462E">
        <w:t xml:space="preserve">Form CRS Relationship </w:t>
      </w:r>
      <w:r w:rsidRPr="009F462E" w:rsidR="009F462E">
        <w:t>Summary;</w:t>
      </w:r>
      <w:r w:rsidRPr="009F462E" w:rsidR="009F462E">
        <w:t xml:space="preserve"> Amendments to Form ADV, 84 FR 33492 (July 12, 2019).</w:t>
      </w:r>
    </w:p>
  </w:footnote>
  <w:footnote w:id="18">
    <w:p w:rsidR="009F462E" w14:paraId="78EAFB36" w14:textId="78144DF9">
      <w:pPr>
        <w:pStyle w:val="FootnoteText"/>
      </w:pPr>
      <w:r>
        <w:rPr>
          <w:rStyle w:val="FootnoteReference"/>
        </w:rPr>
        <w:footnoteRef/>
      </w:r>
      <w:r>
        <w:t xml:space="preserve"> </w:t>
      </w:r>
      <w:r w:rsidRPr="005023E9" w:rsidR="005023E9">
        <w:t xml:space="preserve">The burden is estimated as: [(1,920 broker-dealers + 16,398 registered investment advisers) x (30 minutes ÷ 60 minutes hours)] + [(84 insurers + 200 robo-advisers + 31 non-bank trustees) x 1 hour] </w:t>
      </w:r>
      <w:r w:rsidR="00DB1FA6">
        <w:t>≈</w:t>
      </w:r>
      <w:r w:rsidRPr="005023E9" w:rsidR="00DB1FA6">
        <w:t xml:space="preserve"> </w:t>
      </w:r>
      <w:r w:rsidR="004A18D5">
        <w:t>9,474</w:t>
      </w:r>
      <w:r w:rsidRPr="005023E9" w:rsidR="005023E9">
        <w:t xml:space="preserve"> hours. A labor rate of $165.71 is used for a legal professional. The labor rate is applied in the following calculation: </w:t>
      </w:r>
      <w:r w:rsidR="00B71B36">
        <w:t>9,474</w:t>
      </w:r>
      <w:r w:rsidRPr="005023E9" w:rsidR="005023E9">
        <w:t xml:space="preserve"> burden hours x $165.71 </w:t>
      </w:r>
      <w:r w:rsidR="00DB1FA6">
        <w:t>≈</w:t>
      </w:r>
      <w:r w:rsidRPr="005023E9" w:rsidR="00DB1FA6">
        <w:t xml:space="preserve"> </w:t>
      </w:r>
      <w:r w:rsidRPr="005023E9" w:rsidR="005023E9">
        <w:t>$1,</w:t>
      </w:r>
      <w:r w:rsidR="00B71B36">
        <w:t>569,868</w:t>
      </w:r>
      <w:r w:rsidRPr="005023E9" w:rsidR="005023E9">
        <w:t>. Due to rounding values may not sum.</w:t>
      </w:r>
    </w:p>
  </w:footnote>
  <w:footnote w:id="19">
    <w:p w:rsidR="00A637FC" w14:paraId="5095BFAC" w14:textId="68EE2D8A">
      <w:pPr>
        <w:pStyle w:val="FootnoteText"/>
      </w:pPr>
      <w:r>
        <w:rPr>
          <w:rStyle w:val="FootnoteReference"/>
        </w:rPr>
        <w:footnoteRef/>
      </w:r>
      <w:r>
        <w:t xml:space="preserve"> </w:t>
      </w:r>
      <w:r w:rsidRPr="00AD191E" w:rsidR="00AD191E">
        <w:t>The Department estimates that 10 robo-advisers,</w:t>
      </w:r>
      <w:r w:rsidR="00FE2500">
        <w:t xml:space="preserve"> </w:t>
      </w:r>
      <w:r w:rsidR="00722EFE">
        <w:t xml:space="preserve">and </w:t>
      </w:r>
      <w:r w:rsidRPr="00AD191E" w:rsidR="005821D0">
        <w:t>3</w:t>
      </w:r>
      <w:r w:rsidR="005821D0">
        <w:t>1</w:t>
      </w:r>
      <w:r w:rsidRPr="00AD191E" w:rsidR="005821D0">
        <w:t xml:space="preserve"> </w:t>
      </w:r>
      <w:r w:rsidRPr="00AD191E" w:rsidR="00AD191E">
        <w:t>non-bank trustees are considered small entities.</w:t>
      </w:r>
    </w:p>
  </w:footnote>
  <w:footnote w:id="20">
    <w:p w:rsidR="004F2E43" w14:paraId="16A49300" w14:textId="4AABAFF8">
      <w:pPr>
        <w:pStyle w:val="FootnoteText"/>
      </w:pPr>
      <w:r>
        <w:rPr>
          <w:rStyle w:val="FootnoteReference"/>
        </w:rPr>
        <w:footnoteRef/>
      </w:r>
      <w:r>
        <w:t xml:space="preserve"> </w:t>
      </w:r>
      <w:r w:rsidRPr="00041C3E" w:rsidR="00041C3E">
        <w:t xml:space="preserve">The number of Financial Institutions needing to update their written description of services to comply with the </w:t>
      </w:r>
      <w:r w:rsidR="00AA1990">
        <w:t>Relationship and Conflict of Interest</w:t>
      </w:r>
      <w:r w:rsidRPr="00041C3E" w:rsidR="00041C3E">
        <w:t xml:space="preserve"> disclosure is estimated as: 84 insurers + ((16,398 registered investment advisers + 600 non-retail broker-dealers) x (100%-30%)) </w:t>
      </w:r>
      <w:r w:rsidR="00911E87">
        <w:t>≈</w:t>
      </w:r>
      <w:r w:rsidRPr="00041C3E" w:rsidR="00911E87">
        <w:t xml:space="preserve"> </w:t>
      </w:r>
      <w:r w:rsidRPr="00041C3E" w:rsidR="00041C3E">
        <w:t xml:space="preserve">11,983 Financial Institutions updating existing disclosures. The number of Financial Institutions needing to draft their </w:t>
      </w:r>
      <w:r w:rsidR="00C83DC3">
        <w:t>Relationship and Conflict of Interest</w:t>
      </w:r>
      <w:r w:rsidRPr="00041C3E" w:rsidR="00041C3E">
        <w:t xml:space="preserve"> disclosure is estimated as: (200 robo-advisers + 31 non-bank trustees) + ((600 non-retail broker-dealers + 16,398 registered investment advisers) x 30%) </w:t>
      </w:r>
      <w:r w:rsidR="00911E87">
        <w:t>≈</w:t>
      </w:r>
      <w:r w:rsidRPr="00041C3E" w:rsidR="00911E87">
        <w:t xml:space="preserve"> </w:t>
      </w:r>
      <w:r w:rsidR="00951F71">
        <w:t>5,330</w:t>
      </w:r>
      <w:r w:rsidRPr="00041C3E" w:rsidR="00041C3E">
        <w:t xml:space="preserve"> Financial Institutions drafting new disclosures. Of these entities, there are </w:t>
      </w:r>
      <w:r w:rsidR="00770FA8">
        <w:t>976</w:t>
      </w:r>
      <w:r w:rsidRPr="00041C3E" w:rsidR="00041C3E">
        <w:t xml:space="preserve"> small entities and 4,</w:t>
      </w:r>
      <w:r w:rsidR="00535C65">
        <w:t>354</w:t>
      </w:r>
      <w:r w:rsidRPr="00041C3E" w:rsidR="00041C3E">
        <w:t xml:space="preserve"> large entities. The hours burden is calculated as: ((11,</w:t>
      </w:r>
      <w:r w:rsidR="007273C0">
        <w:t>983</w:t>
      </w:r>
      <w:r w:rsidRPr="00041C3E" w:rsidR="007273C0">
        <w:t xml:space="preserve"> </w:t>
      </w:r>
      <w:r w:rsidRPr="00041C3E" w:rsidR="00041C3E">
        <w:t>entities updating x 30 minutes) + ((</w:t>
      </w:r>
      <w:r w:rsidR="003E5E90">
        <w:t>976</w:t>
      </w:r>
      <w:r w:rsidRPr="00041C3E" w:rsidR="00041C3E">
        <w:t xml:space="preserve"> small entities drafting x 1 hour) + (</w:t>
      </w:r>
      <w:r w:rsidR="003E5E90">
        <w:t>4,354</w:t>
      </w:r>
      <w:r w:rsidRPr="00041C3E" w:rsidR="00041C3E">
        <w:t xml:space="preserve"> large entities drafting x 5 hours)) </w:t>
      </w:r>
      <w:r w:rsidR="00911E87">
        <w:t>≈</w:t>
      </w:r>
      <w:r w:rsidRPr="00041C3E" w:rsidR="00911E87">
        <w:t xml:space="preserve"> </w:t>
      </w:r>
      <w:r w:rsidR="00846220">
        <w:t>28,738</w:t>
      </w:r>
      <w:r w:rsidRPr="00041C3E" w:rsidR="00041C3E">
        <w:t xml:space="preserve"> burden hours. The labor rate is applied as: </w:t>
      </w:r>
      <w:r w:rsidR="00846220">
        <w:t>28,738</w:t>
      </w:r>
      <w:r w:rsidRPr="00041C3E" w:rsidR="00041C3E">
        <w:t xml:space="preserve"> burden hours x $165.71 </w:t>
      </w:r>
      <w:r w:rsidR="00911E87">
        <w:t>≈</w:t>
      </w:r>
      <w:r w:rsidRPr="00041C3E" w:rsidR="00911E87">
        <w:t xml:space="preserve"> </w:t>
      </w:r>
      <w:r w:rsidRPr="00041C3E" w:rsidR="00041C3E">
        <w:t>$4,</w:t>
      </w:r>
      <w:r w:rsidR="00846220">
        <w:t>76</w:t>
      </w:r>
      <w:r w:rsidR="00BA7C82">
        <w:t>2,239</w:t>
      </w:r>
      <w:r w:rsidRPr="00041C3E" w:rsidR="00041C3E">
        <w:t>. Due to rounding values may not sum.</w:t>
      </w:r>
    </w:p>
  </w:footnote>
  <w:footnote w:id="21">
    <w:p w:rsidR="00C41FF5" w14:paraId="1D67741C" w14:textId="1CBFBC7C">
      <w:pPr>
        <w:pStyle w:val="FootnoteText"/>
      </w:pPr>
      <w:r>
        <w:rPr>
          <w:rStyle w:val="FootnoteReference"/>
        </w:rPr>
        <w:footnoteRef/>
      </w:r>
      <w:r>
        <w:t xml:space="preserve"> </w:t>
      </w:r>
      <w:r w:rsidRPr="00EB5B59" w:rsidR="00EB5B59">
        <w:t>This is estimated as (44,593,228 x 3.9%) + (67,781,000 x 28.2%) = 20,853,378 paper disclosures. Due to rounding values may not sum.</w:t>
      </w:r>
    </w:p>
  </w:footnote>
  <w:footnote w:id="22">
    <w:p w:rsidR="00EB5B59" w14:paraId="01CC45CB" w14:textId="5C56EEC7">
      <w:pPr>
        <w:pStyle w:val="FootnoteText"/>
      </w:pPr>
      <w:r>
        <w:rPr>
          <w:rStyle w:val="FootnoteReference"/>
        </w:rPr>
        <w:footnoteRef/>
      </w:r>
      <w:r>
        <w:t xml:space="preserve"> </w:t>
      </w:r>
      <w:r w:rsidRPr="006E1AB9" w:rsidR="006E1AB9">
        <w:t xml:space="preserve">This burden is estimated as: [(20,853,378 disclosures x (5 minutes ÷ 60 minutes hours)] </w:t>
      </w:r>
      <w:r w:rsidR="00911E87">
        <w:t>≈</w:t>
      </w:r>
      <w:r w:rsidRPr="006E1AB9" w:rsidR="00911E87">
        <w:t xml:space="preserve"> </w:t>
      </w:r>
      <w:r w:rsidRPr="006E1AB9" w:rsidR="006E1AB9">
        <w:t xml:space="preserve">1,737,781 hours. The labor cost is estimated as: [(20,853,378 disclosures x (5 minutes ÷ 60 minutes hours)] x $65.99 </w:t>
      </w:r>
      <w:r w:rsidR="00911E87">
        <w:t>≈</w:t>
      </w:r>
      <w:r w:rsidRPr="006E1AB9" w:rsidR="00911E87">
        <w:t xml:space="preserve"> </w:t>
      </w:r>
      <w:r w:rsidRPr="006E1AB9" w:rsidR="006E1AB9">
        <w:t>$114,676,201. Due to rounding values may not sum.</w:t>
      </w:r>
    </w:p>
  </w:footnote>
  <w:footnote w:id="23">
    <w:p w:rsidR="005907F6" w:rsidRPr="0066487E" w:rsidP="005907F6" w14:paraId="3C37EE8E" w14:textId="04A6F260">
      <w:pPr>
        <w:pStyle w:val="FootnoteText"/>
        <w:rPr>
          <w:color w:val="000000" w:themeColor="text1"/>
        </w:rPr>
      </w:pPr>
      <w:r w:rsidRPr="0066487E">
        <w:rPr>
          <w:rStyle w:val="FootnoteReference"/>
          <w:color w:val="000000" w:themeColor="text1"/>
        </w:rPr>
        <w:footnoteRef/>
      </w:r>
      <w:r w:rsidRPr="0066487E">
        <w:rPr>
          <w:color w:val="000000" w:themeColor="text1"/>
        </w:rPr>
        <w:t xml:space="preserve"> </w:t>
      </w:r>
      <w:r>
        <w:rPr>
          <w:color w:val="000000" w:themeColor="text1"/>
        </w:rPr>
        <w:t>According to Cerulli, in 2022, there were 4,</w:t>
      </w:r>
      <w:r w:rsidRPr="00E23ABF">
        <w:rPr>
          <w:color w:val="000000" w:themeColor="text1"/>
        </w:rPr>
        <w:t>485,059</w:t>
      </w:r>
      <w:r>
        <w:rPr>
          <w:color w:val="000000" w:themeColor="text1"/>
        </w:rPr>
        <w:t xml:space="preserve"> DC </w:t>
      </w:r>
      <w:r w:rsidR="00A60913">
        <w:rPr>
          <w:color w:val="000000" w:themeColor="text1"/>
        </w:rPr>
        <w:t>Plan</w:t>
      </w:r>
      <w:r>
        <w:rPr>
          <w:color w:val="000000" w:themeColor="text1"/>
        </w:rPr>
        <w:t xml:space="preserve">-to-IRA rollovers and </w:t>
      </w:r>
      <w:r w:rsidRPr="002A51BE">
        <w:rPr>
          <w:color w:val="000000" w:themeColor="text1"/>
        </w:rPr>
        <w:t xml:space="preserve">707,104 </w:t>
      </w:r>
      <w:r>
        <w:rPr>
          <w:color w:val="000000" w:themeColor="text1"/>
        </w:rPr>
        <w:t xml:space="preserve">DC </w:t>
      </w:r>
      <w:r w:rsidR="00A60913">
        <w:rPr>
          <w:color w:val="000000" w:themeColor="text1"/>
        </w:rPr>
        <w:t>Plan</w:t>
      </w:r>
      <w:r>
        <w:rPr>
          <w:color w:val="000000" w:themeColor="text1"/>
        </w:rPr>
        <w:t xml:space="preserve">-to-DC </w:t>
      </w:r>
      <w:r w:rsidR="00A60913">
        <w:rPr>
          <w:color w:val="000000" w:themeColor="text1"/>
        </w:rPr>
        <w:t>Plan</w:t>
      </w:r>
      <w:r>
        <w:rPr>
          <w:color w:val="000000" w:themeColor="text1"/>
        </w:rPr>
        <w:t xml:space="preserve"> rollovers. (</w:t>
      </w:r>
      <w:r>
        <w:rPr>
          <w:i/>
          <w:iCs/>
          <w:color w:val="000000" w:themeColor="text1"/>
        </w:rPr>
        <w:t xml:space="preserve">See </w:t>
      </w:r>
      <w:r w:rsidRPr="0066487E">
        <w:rPr>
          <w:color w:val="000000" w:themeColor="text1"/>
        </w:rPr>
        <w:t>Cerulli Associates</w:t>
      </w:r>
      <w:r>
        <w:rPr>
          <w:color w:val="000000" w:themeColor="text1"/>
        </w:rPr>
        <w:t xml:space="preserve">, </w:t>
      </w:r>
      <w:r w:rsidRPr="00711705">
        <w:rPr>
          <w:i/>
          <w:iCs/>
          <w:color w:val="000000" w:themeColor="text1"/>
        </w:rPr>
        <w:t>U.S. Retirement End-Investor 2023: Personalizing the 401(k) Investor Experience</w:t>
      </w:r>
      <w:r>
        <w:rPr>
          <w:color w:val="000000" w:themeColor="text1"/>
        </w:rPr>
        <w:t xml:space="preserve">, </w:t>
      </w:r>
      <w:r w:rsidRPr="0066487E">
        <w:rPr>
          <w:color w:val="000000" w:themeColor="text1"/>
        </w:rPr>
        <w:t>Exhibit 6.02.</w:t>
      </w:r>
      <w:r>
        <w:rPr>
          <w:color w:val="000000" w:themeColor="text1"/>
        </w:rPr>
        <w:t xml:space="preserve"> </w:t>
      </w:r>
      <w:r w:rsidRPr="0066487E">
        <w:rPr>
          <w:color w:val="000000" w:themeColor="text1"/>
        </w:rPr>
        <w:t>The Cerulli Report.</w:t>
      </w:r>
      <w:r>
        <w:rPr>
          <w:color w:val="000000" w:themeColor="text1"/>
        </w:rPr>
        <w:t>)</w:t>
      </w:r>
      <w:r w:rsidRPr="00D135E2" w:rsidR="00D135E2">
        <w:t xml:space="preserve"> </w:t>
      </w:r>
      <w:r w:rsidRPr="00D135E2" w:rsidR="00D135E2">
        <w:rPr>
          <w:color w:val="000000" w:themeColor="text1"/>
        </w:rPr>
        <w:t>These account estimates may include health savings accounts, Archer medical savings accounts, or Coverdell education savings accounts.</w:t>
      </w:r>
    </w:p>
  </w:footnote>
  <w:footnote w:id="24">
    <w:p w:rsidR="005907F6" w:rsidRPr="005A3D9B" w:rsidP="005907F6" w14:paraId="60A63C44" w14:textId="6F43CABE">
      <w:pPr>
        <w:pStyle w:val="FootnoteText"/>
        <w:rPr>
          <w:color w:val="000000" w:themeColor="text1"/>
        </w:rPr>
      </w:pPr>
      <w:r w:rsidRPr="005A3D9B">
        <w:rPr>
          <w:rStyle w:val="FootnoteReference"/>
          <w:color w:val="000000" w:themeColor="text1"/>
        </w:rPr>
        <w:footnoteRef/>
      </w:r>
      <w:r w:rsidRPr="005A3D9B">
        <w:rPr>
          <w:color w:val="000000" w:themeColor="text1"/>
        </w:rPr>
        <w:t xml:space="preserve"> According to Cerulli, </w:t>
      </w:r>
      <w:r>
        <w:rPr>
          <w:color w:val="000000" w:themeColor="text1"/>
        </w:rPr>
        <w:t xml:space="preserve">49 </w:t>
      </w:r>
      <w:r w:rsidRPr="005A3D9B">
        <w:rPr>
          <w:color w:val="000000" w:themeColor="text1"/>
        </w:rPr>
        <w:t xml:space="preserve">percent of rollovers were mediated by an adviser, while </w:t>
      </w:r>
      <w:r>
        <w:rPr>
          <w:color w:val="000000" w:themeColor="text1"/>
        </w:rPr>
        <w:t xml:space="preserve">37 </w:t>
      </w:r>
      <w:r w:rsidRPr="005A3D9B">
        <w:rPr>
          <w:color w:val="000000" w:themeColor="text1"/>
        </w:rPr>
        <w:t xml:space="preserve">percent were self-directed. The remaining </w:t>
      </w:r>
      <w:r>
        <w:rPr>
          <w:color w:val="000000" w:themeColor="text1"/>
        </w:rPr>
        <w:t xml:space="preserve">14 </w:t>
      </w:r>
      <w:r w:rsidRPr="005A3D9B">
        <w:rPr>
          <w:color w:val="000000" w:themeColor="text1"/>
        </w:rPr>
        <w:t xml:space="preserve">percent were </w:t>
      </w:r>
      <w:r w:rsidR="00A60913">
        <w:rPr>
          <w:color w:val="000000" w:themeColor="text1"/>
        </w:rPr>
        <w:t>Plan</w:t>
      </w:r>
      <w:r w:rsidRPr="005A3D9B">
        <w:rPr>
          <w:color w:val="000000" w:themeColor="text1"/>
        </w:rPr>
        <w:t>-to-</w:t>
      </w:r>
      <w:r w:rsidR="00A60913">
        <w:rPr>
          <w:color w:val="000000" w:themeColor="text1"/>
        </w:rPr>
        <w:t>Plan</w:t>
      </w:r>
      <w:r w:rsidRPr="005A3D9B">
        <w:rPr>
          <w:color w:val="000000" w:themeColor="text1"/>
        </w:rPr>
        <w:t xml:space="preserve"> rollover</w:t>
      </w:r>
      <w:r>
        <w:rPr>
          <w:color w:val="000000" w:themeColor="text1"/>
        </w:rPr>
        <w:t>s</w:t>
      </w:r>
      <w:r w:rsidRPr="005A3D9B">
        <w:rPr>
          <w:color w:val="000000" w:themeColor="text1"/>
        </w:rPr>
        <w:t>. (</w:t>
      </w:r>
      <w:r w:rsidRPr="005A3D9B">
        <w:rPr>
          <w:i/>
          <w:color w:val="000000" w:themeColor="text1"/>
        </w:rPr>
        <w:t xml:space="preserve">See </w:t>
      </w:r>
      <w:r w:rsidRPr="005A3D9B">
        <w:rPr>
          <w:color w:val="000000" w:themeColor="text1"/>
        </w:rPr>
        <w:t>Cerulli Associates</w:t>
      </w:r>
      <w:r>
        <w:rPr>
          <w:color w:val="000000" w:themeColor="text1"/>
        </w:rPr>
        <w:t xml:space="preserve">, </w:t>
      </w:r>
      <w:r w:rsidRPr="003A76CE">
        <w:rPr>
          <w:i/>
          <w:iCs/>
          <w:color w:val="000000" w:themeColor="text1"/>
        </w:rPr>
        <w:t>U.S. Retirement-End Investor 2023: Personalizing the 401(k) Investor Experience Fostering Comprehensive Relationships</w:t>
      </w:r>
      <w:r>
        <w:rPr>
          <w:color w:val="000000" w:themeColor="text1"/>
        </w:rPr>
        <w:t xml:space="preserve">, </w:t>
      </w:r>
      <w:r w:rsidRPr="005A3D9B">
        <w:rPr>
          <w:color w:val="000000" w:themeColor="text1"/>
        </w:rPr>
        <w:t>Exhibit 6.04. The Cerulli Report.)</w:t>
      </w:r>
    </w:p>
  </w:footnote>
  <w:footnote w:id="25">
    <w:p w:rsidR="005907F6" w:rsidP="005907F6" w14:paraId="23DBD986" w14:textId="77777777">
      <w:pPr>
        <w:pStyle w:val="FootnoteText"/>
      </w:pPr>
      <w:r>
        <w:rPr>
          <w:rStyle w:val="FootnoteReference"/>
        </w:rPr>
        <w:footnoteRef/>
      </w:r>
      <w:r>
        <w:t xml:space="preserve"> Deloitte, </w:t>
      </w:r>
      <w:r w:rsidRPr="00711705">
        <w:rPr>
          <w:i/>
          <w:iCs/>
        </w:rPr>
        <w:t>R</w:t>
      </w:r>
      <w:r w:rsidRPr="007A0E33">
        <w:rPr>
          <w:rStyle w:val="Emphasis"/>
          <w:iCs w:val="0"/>
        </w:rPr>
        <w:t>egulation Best Interest: How Wealth Management Firms are Implementing the Rule Package</w:t>
      </w:r>
      <w:r>
        <w:rPr>
          <w:rStyle w:val="Emphasis"/>
          <w:i w:val="0"/>
          <w:iCs w:val="0"/>
        </w:rPr>
        <w:t>,</w:t>
      </w:r>
      <w:r>
        <w:t xml:space="preserve"> (March 6, 2020). </w:t>
      </w:r>
    </w:p>
  </w:footnote>
  <w:footnote w:id="26">
    <w:p w:rsidR="005907F6" w:rsidRPr="00566065" w:rsidP="005907F6" w14:paraId="4434B103" w14:textId="2D94BC02">
      <w:pPr>
        <w:pStyle w:val="FootnoteText"/>
      </w:pPr>
      <w:r w:rsidRPr="00566065">
        <w:rPr>
          <w:rStyle w:val="FootnoteReference"/>
        </w:rPr>
        <w:footnoteRef/>
      </w:r>
      <w:r>
        <w:t xml:space="preserve"> </w:t>
      </w:r>
      <w:r w:rsidRPr="00CB0202" w:rsidR="00CB0202">
        <w:t xml:space="preserve">The burden is estimated as: </w:t>
      </w:r>
      <w:r w:rsidR="00D63C9A">
        <w:t>[</w:t>
      </w:r>
      <w:r w:rsidRPr="00CB0202" w:rsidR="00CB0202">
        <w:t>4,485,059 rollovers x 48% x 49% x (30 minutes ÷ 60 minutes hours)</w:t>
      </w:r>
      <w:r w:rsidR="008F156A">
        <w:t>]</w:t>
      </w:r>
      <w:r w:rsidRPr="00CB0202" w:rsidR="00CB0202">
        <w:t xml:space="preserve"> + </w:t>
      </w:r>
      <w:r w:rsidR="00D63C9A">
        <w:t>[</w:t>
      </w:r>
      <w:r w:rsidRPr="00CB0202" w:rsidR="00CB0202">
        <w:t>4,485,059 rollovers x 52% x 49% x (5 minutes ÷ 60 minutes hours)</w:t>
      </w:r>
      <w:r w:rsidR="00D63C9A">
        <w:t>]</w:t>
      </w:r>
      <w:r w:rsidRPr="00CB0202" w:rsidR="00CB0202">
        <w:t xml:space="preserve"> </w:t>
      </w:r>
      <w:r w:rsidR="00D63C9A">
        <w:t>≈</w:t>
      </w:r>
      <w:r w:rsidRPr="00CB0202" w:rsidR="00CB0202">
        <w:t xml:space="preserve"> 622,676 hours. A labor rate of $228.00 is used for a personal financial adviser. The labor rate is applied in the following calculation: 622,676 burden hours x $228.00 </w:t>
      </w:r>
      <w:r w:rsidR="00D63C9A">
        <w:t>≈</w:t>
      </w:r>
      <w:r w:rsidRPr="00CB0202" w:rsidR="00D63C9A">
        <w:t xml:space="preserve"> </w:t>
      </w:r>
      <w:r w:rsidRPr="00CB0202" w:rsidR="00CB0202">
        <w:t>$141,970,058. Due to rounding values may not sum.</w:t>
      </w:r>
    </w:p>
  </w:footnote>
  <w:footnote w:id="27">
    <w:p w:rsidR="006124E4" w:rsidP="006124E4" w14:paraId="48246593" w14:textId="77777777">
      <w:pPr>
        <w:pStyle w:val="FootnoteText"/>
      </w:pPr>
      <w:r>
        <w:rPr>
          <w:rStyle w:val="FootnoteReference"/>
        </w:rPr>
        <w:footnoteRef/>
      </w:r>
      <w:r>
        <w:t xml:space="preserve"> </w:t>
      </w:r>
      <w:r>
        <w:rPr>
          <w:rStyle w:val="Emphasis"/>
        </w:rPr>
        <w:t>Rule 3110. Supervision,</w:t>
      </w:r>
      <w:r>
        <w:t xml:space="preserve"> FINRA Manual,</w:t>
      </w:r>
      <w:r w:rsidRPr="00D82C7E">
        <w:t xml:space="preserve"> </w:t>
      </w:r>
      <w:hyperlink r:id="rId2" w:history="1">
        <w:r w:rsidRPr="00FA7C0D">
          <w:rPr>
            <w:rStyle w:val="Hyperlink"/>
          </w:rPr>
          <w:t>https://www.finra.org/rules-guidance/rulebooks/finra-rules/3110</w:t>
        </w:r>
      </w:hyperlink>
      <w:r>
        <w:rPr>
          <w:rStyle w:val="Emphasis"/>
        </w:rPr>
        <w:t>.</w:t>
      </w:r>
    </w:p>
  </w:footnote>
  <w:footnote w:id="28">
    <w:p w:rsidR="006124E4" w:rsidP="006124E4" w14:paraId="37598401" w14:textId="77777777">
      <w:pPr>
        <w:pStyle w:val="FootnoteText"/>
      </w:pPr>
      <w:r>
        <w:rPr>
          <w:rStyle w:val="FootnoteReference"/>
        </w:rPr>
        <w:footnoteRef/>
      </w:r>
      <w:r>
        <w:t xml:space="preserve"> </w:t>
      </w:r>
      <w:r>
        <w:rPr>
          <w:rStyle w:val="Emphasis"/>
        </w:rPr>
        <w:t>Rule 3120. Supervisory Control System,</w:t>
      </w:r>
      <w:r>
        <w:t xml:space="preserve"> FINRA Manual,</w:t>
      </w:r>
      <w:r>
        <w:rPr>
          <w:rStyle w:val="Emphasis"/>
        </w:rPr>
        <w:t xml:space="preserve"> </w:t>
      </w:r>
      <w:hyperlink r:id="rId3" w:history="1">
        <w:r w:rsidRPr="00FA7C0D">
          <w:rPr>
            <w:rStyle w:val="Hyperlink"/>
          </w:rPr>
          <w:t>https://www.finra.org/rules-guidance/rulebooks/finra-rules/3120</w:t>
        </w:r>
      </w:hyperlink>
      <w:r>
        <w:rPr>
          <w:rStyle w:val="Emphasis"/>
        </w:rPr>
        <w:t>.</w:t>
      </w:r>
    </w:p>
  </w:footnote>
  <w:footnote w:id="29">
    <w:p w:rsidR="006124E4" w:rsidP="006124E4" w14:paraId="0029FEC5" w14:textId="77777777">
      <w:pPr>
        <w:pStyle w:val="FootnoteText"/>
      </w:pPr>
      <w:r>
        <w:rPr>
          <w:rStyle w:val="FootnoteReference"/>
        </w:rPr>
        <w:footnoteRef/>
      </w:r>
      <w:r>
        <w:t xml:space="preserve"> </w:t>
      </w:r>
      <w:r>
        <w:rPr>
          <w:rStyle w:val="Emphasis"/>
        </w:rPr>
        <w:t>Rule 3130. Annual Certification of Compliance and Supervisory Processes,</w:t>
      </w:r>
      <w:r>
        <w:t xml:space="preserve"> FINRA Manual, </w:t>
      </w:r>
      <w:hyperlink r:id="rId4" w:history="1">
        <w:r w:rsidRPr="00FA7C0D">
          <w:rPr>
            <w:rStyle w:val="Hyperlink"/>
          </w:rPr>
          <w:t>https://www.finra.org/rules-guidance/rulebooks/finra-rules/3130</w:t>
        </w:r>
      </w:hyperlink>
      <w:r>
        <w:rPr>
          <w:rStyle w:val="Emphasis"/>
        </w:rPr>
        <w:t>.</w:t>
      </w:r>
    </w:p>
  </w:footnote>
  <w:footnote w:id="30">
    <w:p w:rsidR="006124E4" w:rsidP="006124E4" w14:paraId="661F8E53" w14:textId="77777777">
      <w:pPr>
        <w:pStyle w:val="FootnoteText"/>
      </w:pPr>
      <w:r>
        <w:rPr>
          <w:rStyle w:val="FootnoteReference"/>
        </w:rPr>
        <w:footnoteRef/>
      </w:r>
      <w:r>
        <w:t xml:space="preserve"> NAIC Model Regulation, Section 6.C.(2)(i) (The same requirement is found in the NAIC Suitability in Annuity Transactions Model Regulation (2010), Section 6.F.(1)(f).)</w:t>
      </w:r>
    </w:p>
  </w:footnote>
  <w:footnote w:id="31">
    <w:p w:rsidR="006124E4" w:rsidP="006124E4" w14:paraId="63A40049" w14:textId="77777777">
      <w:pPr>
        <w:pStyle w:val="FootnoteText"/>
      </w:pPr>
      <w:r>
        <w:rPr>
          <w:rStyle w:val="FootnoteReference"/>
        </w:rPr>
        <w:footnoteRef/>
      </w:r>
      <w:r>
        <w:t xml:space="preserve"> </w:t>
      </w:r>
      <w:r>
        <w:rPr>
          <w:rStyle w:val="Emphasis"/>
        </w:rPr>
        <w:t>2018 Investment Management Compliance Testing Survey,</w:t>
      </w:r>
      <w:r>
        <w:t xml:space="preserve"> Investment Adviser Association (Jun. 14, 2018), </w:t>
      </w:r>
      <w:hyperlink r:id="rId5" w:history="1">
        <w:r w:rsidRPr="00FA7C0D">
          <w:rPr>
            <w:rStyle w:val="Hyperlink"/>
          </w:rPr>
          <w:t>https://higherlogicdownload.s3.amazonaws.com/INVESTMENTADVISER/aa03843e-7981-46b2-aa49-c572f2ddb7e8/UploadedImages/publications/2018-Investment-Management_Compliance-Testing-Survey-Results-Webcast_pptx.pdf</w:t>
        </w:r>
      </w:hyperlink>
      <w:r>
        <w:rPr>
          <w:rStyle w:val="Emphasis"/>
        </w:rPr>
        <w:t>.</w:t>
      </w:r>
    </w:p>
  </w:footnote>
  <w:footnote w:id="32">
    <w:p w:rsidR="006124E4" w:rsidP="006124E4" w14:paraId="25ABDB98" w14:textId="372C1235">
      <w:pPr>
        <w:pStyle w:val="FootnoteText"/>
      </w:pPr>
      <w:r>
        <w:rPr>
          <w:rStyle w:val="FootnoteReference"/>
        </w:rPr>
        <w:footnoteRef/>
      </w:r>
      <w:r>
        <w:t xml:space="preserve"> </w:t>
      </w:r>
      <w:r w:rsidRPr="00874E40" w:rsidR="00874E40">
        <w:t>The burden is estimated as: [(431 small broker-dealers + (2,989 small registered-investment advisers x 8%) + 71 small insurers + 10 small robo-advisers</w:t>
      </w:r>
      <w:r w:rsidR="00587225">
        <w:t xml:space="preserve"> </w:t>
      </w:r>
      <w:r w:rsidRPr="00874E40" w:rsidR="00874E40">
        <w:t xml:space="preserve">+ 30 small non-bank trustees) x 10% x 5 hours] + [(1,489 large broker-dealers + (13,409 large registered-investment advisers x 8%) + 13 large insurers + 190 large robo-advisers+ 1 large non-bank trustee) x 10% x 10 hours] </w:t>
      </w:r>
      <w:r w:rsidR="00B23E5A">
        <w:t>≈</w:t>
      </w:r>
      <w:r w:rsidRPr="00874E40" w:rsidR="00B23E5A">
        <w:t xml:space="preserve"> </w:t>
      </w:r>
      <w:r w:rsidRPr="00874E40" w:rsidR="00874E40">
        <w:t>3,</w:t>
      </w:r>
      <w:r w:rsidR="00587225">
        <w:t>156</w:t>
      </w:r>
      <w:r w:rsidRPr="00874E40" w:rsidR="00587225">
        <w:t xml:space="preserve"> </w:t>
      </w:r>
      <w:r w:rsidRPr="00874E40" w:rsidR="00874E40">
        <w:t>hours. The equivalent cost is estimated as:</w:t>
      </w:r>
      <w:r w:rsidR="00FE2500">
        <w:t xml:space="preserve"> </w:t>
      </w:r>
      <w:r w:rsidR="004050F8">
        <w:t>3,156 hours</w:t>
      </w:r>
      <w:r w:rsidRPr="00874E40" w:rsidR="00874E40">
        <w:t xml:space="preserve"> x $165.71 </w:t>
      </w:r>
      <w:r w:rsidR="00B23E5A">
        <w:t>≈</w:t>
      </w:r>
      <w:r w:rsidRPr="00874E40" w:rsidR="00B23E5A">
        <w:t xml:space="preserve"> </w:t>
      </w:r>
      <w:r w:rsidRPr="00874E40" w:rsidR="00874E40">
        <w:t>$</w:t>
      </w:r>
      <w:r w:rsidR="00587225">
        <w:t>522,907</w:t>
      </w:r>
      <w:r w:rsidRPr="00874E40" w:rsidR="00874E40">
        <w:t>.</w:t>
      </w:r>
    </w:p>
  </w:footnote>
  <w:footnote w:id="33">
    <w:p w:rsidR="006124E4" w:rsidP="00254169" w14:paraId="18037DF7" w14:textId="454F53E6">
      <w:pPr>
        <w:pStyle w:val="FootnoteText"/>
      </w:pPr>
      <w:r>
        <w:rPr>
          <w:rStyle w:val="FootnoteReference"/>
        </w:rPr>
        <w:footnoteRef/>
      </w:r>
      <w:r>
        <w:t xml:space="preserve"> </w:t>
      </w:r>
      <w:r w:rsidRPr="00254169" w:rsidR="00254169">
        <w:t xml:space="preserve">The burden is estimated as: [(431 small broker-dealers + (2,989 small registered-investment advisers x 8%) + 71 small insurers + 10 small robo-advisers+ 30 small non-bank trustees) x 90% x </w:t>
      </w:r>
      <w:r w:rsidR="00A91D69">
        <w:t>1</w:t>
      </w:r>
      <w:r w:rsidRPr="00254169" w:rsidR="00A91D69">
        <w:t xml:space="preserve"> </w:t>
      </w:r>
      <w:r w:rsidRPr="00254169" w:rsidR="00254169">
        <w:t xml:space="preserve">hours] + [(1,489 large broker-dealers + (13,409 large registered-investment advisers x 8%) + 13 large insurers + 190 large robo-advisers+ 1 large non-bank trustee)) x 90% x </w:t>
      </w:r>
      <w:r w:rsidR="00AE232B">
        <w:t>2</w:t>
      </w:r>
      <w:r w:rsidRPr="00254169" w:rsidR="00AE232B">
        <w:t xml:space="preserve"> </w:t>
      </w:r>
      <w:r w:rsidRPr="00254169" w:rsidR="00254169">
        <w:t xml:space="preserve">hours] </w:t>
      </w:r>
      <w:r w:rsidR="00B23E5A">
        <w:t>≈</w:t>
      </w:r>
      <w:r w:rsidRPr="00874E40" w:rsidR="00B23E5A">
        <w:t xml:space="preserve"> </w:t>
      </w:r>
      <w:r w:rsidR="00705C07">
        <w:t>33,103</w:t>
      </w:r>
      <w:r w:rsidRPr="00254169" w:rsidR="00254169">
        <w:t xml:space="preserve"> hours. The equivalent cost is estimated as:</w:t>
      </w:r>
      <w:r w:rsidR="004050F8">
        <w:t xml:space="preserve"> </w:t>
      </w:r>
      <w:r w:rsidR="00FC17BB">
        <w:t>33</w:t>
      </w:r>
      <w:r w:rsidR="00474A52">
        <w:t xml:space="preserve">,103 hours x $165.71 </w:t>
      </w:r>
      <w:r w:rsidR="00B23E5A">
        <w:t>≈</w:t>
      </w:r>
      <w:r w:rsidRPr="00874E40" w:rsidR="00B23E5A">
        <w:t xml:space="preserve"> </w:t>
      </w:r>
      <w:r w:rsidR="00AE232B">
        <w:t xml:space="preserve">$5,485,436. </w:t>
      </w:r>
    </w:p>
  </w:footnote>
  <w:footnote w:id="34">
    <w:p w:rsidR="006124E4" w:rsidP="006124E4" w14:paraId="0E0106AE" w14:textId="2484311E">
      <w:pPr>
        <w:pStyle w:val="FootnoteText"/>
      </w:pPr>
      <w:r>
        <w:rPr>
          <w:rStyle w:val="FootnoteReference"/>
        </w:rPr>
        <w:footnoteRef/>
      </w:r>
      <w:r>
        <w:t xml:space="preserve"> </w:t>
      </w:r>
      <w:r w:rsidRPr="007A2B26" w:rsidR="007A2B26">
        <w:t xml:space="preserve">The burden is estimated as: [(431 small broker-dealers + (2,989 small registered-investment advisers x 8%) + 71 small insurers + 10 small robo-advisers + 30 small non-bank trustees) x 2 hours] + [(1,488 large broker-dealers + (13,409 large registered-investment advisers x 8%) + 13 large insurers + 190 large robo-advisers + 1 large non-bank trustee)) x 4 hours] </w:t>
      </w:r>
      <w:r w:rsidR="00B23E5A">
        <w:t>≈</w:t>
      </w:r>
      <w:r w:rsidRPr="00874E40" w:rsidR="00B23E5A">
        <w:t xml:space="preserve"> </w:t>
      </w:r>
      <w:r w:rsidR="00A91D69">
        <w:t>67,467</w:t>
      </w:r>
      <w:r w:rsidRPr="007A2B26" w:rsidR="007A2B26">
        <w:t xml:space="preserve"> hours. The equivalent cost is estimated as:</w:t>
      </w:r>
      <w:r w:rsidR="00FE2500">
        <w:t xml:space="preserve"> </w:t>
      </w:r>
      <w:r w:rsidR="00A91D69">
        <w:t xml:space="preserve">67,467 hours </w:t>
      </w:r>
      <w:r w:rsidRPr="007A2B26" w:rsidR="007A2B26">
        <w:t xml:space="preserve">x $198.25 </w:t>
      </w:r>
      <w:r w:rsidR="00B23E5A">
        <w:t>≈</w:t>
      </w:r>
      <w:r w:rsidRPr="00874E40" w:rsidR="00B23E5A">
        <w:t xml:space="preserve"> </w:t>
      </w:r>
      <w:r w:rsidRPr="007A2B26" w:rsidR="007A2B26">
        <w:t>$</w:t>
      </w:r>
      <w:r w:rsidR="00A91D69">
        <w:t xml:space="preserve">13,375,426. </w:t>
      </w:r>
    </w:p>
  </w:footnote>
  <w:footnote w:id="35">
    <w:p w:rsidR="001176C2" w14:paraId="13CBE25C" w14:textId="40FE7004">
      <w:pPr>
        <w:pStyle w:val="FootnoteText"/>
      </w:pPr>
      <w:r>
        <w:rPr>
          <w:rStyle w:val="FootnoteReference"/>
        </w:rPr>
        <w:footnoteRef/>
      </w:r>
      <w:r>
        <w:t xml:space="preserve"> </w:t>
      </w:r>
      <w:r w:rsidRPr="001176C2">
        <w:t xml:space="preserve">The Department estimates that </w:t>
      </w:r>
      <w:r w:rsidR="00361C30">
        <w:t>3,</w:t>
      </w:r>
      <w:r w:rsidR="0062097B">
        <w:t>531</w:t>
      </w:r>
      <w:r w:rsidRPr="001176C2">
        <w:t xml:space="preserve"> entities, consisting of 302 Retail broker-dealers, 129 </w:t>
      </w:r>
      <w:r w:rsidRPr="001176C2">
        <w:t>Non-Retail</w:t>
      </w:r>
      <w:r w:rsidRPr="001176C2">
        <w:t xml:space="preserve"> broker-dealers, 85 SEC-registered Retail registered investment advisers, 144 SEC-registered Non-Retail registered investment advisers, 2,192 state registered Retail registered investment advisers, 568 state registered Non-Retail registered investment advisers, 71 insurers and insurance agents, 10 robo-advisers, </w:t>
      </w:r>
      <w:r w:rsidR="00372DCB">
        <w:t xml:space="preserve">and </w:t>
      </w:r>
      <w:r w:rsidRPr="001176C2">
        <w:t>30 non-bank trustees are considered small entities.</w:t>
      </w:r>
      <w:r w:rsidR="00FE2500">
        <w:t xml:space="preserve"> </w:t>
      </w:r>
    </w:p>
  </w:footnote>
  <w:footnote w:id="36">
    <w:p w:rsidR="006B795F" w:rsidRPr="00C7604E" w:rsidP="006B795F" w14:paraId="283FE309" w14:textId="61810AE7">
      <w:pPr>
        <w:pStyle w:val="FootnoteText"/>
        <w:jc w:val="both"/>
      </w:pPr>
      <w:r w:rsidRPr="00566065">
        <w:rPr>
          <w:rStyle w:val="FootnoteReference"/>
        </w:rPr>
        <w:footnoteRef/>
      </w:r>
      <w:r w:rsidRPr="00566065">
        <w:t xml:space="preserve"> </w:t>
      </w:r>
      <w:r w:rsidRPr="00C62FF1" w:rsidR="00C62FF1">
        <w:t xml:space="preserve">The burden is estimated as follows: [(302 small retail broker-dealers + 85 small SEC-registered retail registered investment advisers + 144 small SEC-registered non-retail registered investment advisers + 2,192 small state registered retail registered investment advisers + 568 small state registered non-retail registered investment advisers) x 30% newly reliant on the PTE x 10 hours] + {[(1,018 large retail broker-dealers + 129 small non-retail broker-dealers + 4,859 large SEC-registered retail registered investment advisers + 2,947 large SEC-registered non-retail registered investment advisers + 4,450 large state registered retail registered investment advisers + 1,153 large state registered non-retail registered investment advisers + 71 insurers) x 30% newly reliant on the PTE] + (10 small robo-advisers + 30 small non-bank trustees) × 20 hours} + {[(471 large non-retail broker-dealers + 13 large insurers) x 30% newly reliant on the PTE] + 190 large robo-advisers + 1 large non-bank trustee) × 40 hours]} </w:t>
      </w:r>
      <w:r w:rsidR="002F6657">
        <w:t>≈</w:t>
      </w:r>
      <w:r w:rsidRPr="00874E40" w:rsidR="002F6657">
        <w:t xml:space="preserve"> </w:t>
      </w:r>
      <w:r w:rsidR="0062097B">
        <w:t>111,864</w:t>
      </w:r>
      <w:r w:rsidRPr="00C62FF1" w:rsidR="00C62FF1">
        <w:t xml:space="preserve"> hours. The labor rate is applied in the following calculation: </w:t>
      </w:r>
      <w:r w:rsidR="0062097B">
        <w:t>11,864</w:t>
      </w:r>
      <w:r w:rsidRPr="00C62FF1" w:rsidR="00C62FF1">
        <w:t xml:space="preserve"> burden hours x $165.71 </w:t>
      </w:r>
      <w:r w:rsidR="002F6657">
        <w:t>≈</w:t>
      </w:r>
      <w:r w:rsidRPr="00874E40" w:rsidR="002F6657">
        <w:t xml:space="preserve"> </w:t>
      </w:r>
      <w:r w:rsidR="0062097B">
        <w:t>$18,536,977</w:t>
      </w:r>
      <w:r w:rsidRPr="00C62FF1" w:rsidR="00C62FF1">
        <w:t>. Note, the total values may not equal the sum of the parts due to rounding.</w:t>
      </w:r>
    </w:p>
  </w:footnote>
  <w:footnote w:id="37">
    <w:p w:rsidR="00FD2528" w14:paraId="5352880D" w14:textId="6513BAEE">
      <w:pPr>
        <w:pStyle w:val="FootnoteText"/>
      </w:pPr>
      <w:r>
        <w:rPr>
          <w:rStyle w:val="FootnoteReference"/>
        </w:rPr>
        <w:footnoteRef/>
      </w:r>
      <w:r>
        <w:t xml:space="preserve"> </w:t>
      </w:r>
      <w:r w:rsidRPr="00997AFD" w:rsidR="00997AFD">
        <w:t xml:space="preserve">The burden is estimated as follows: The first-year cost of updating policies and procedures for </w:t>
      </w:r>
      <w:r w:rsidR="00A60913">
        <w:t>Plan</w:t>
      </w:r>
      <w:r w:rsidRPr="00997AFD" w:rsidR="00997AFD">
        <w:t xml:space="preserve">s that currently have policies &amp; procedures: [(302 small Retail broker-dealers + 85 small SEC-registered Retail registered investment advisers + 144 small SEC-registered non-retail registered investment advisers + 2,192 small state registered retail registered investment advisers + 568 small state registered non-retail registered investment advisers) x 30% newly reliant on the PTE x 10 hours] + {[(1,018 large Retail broker-dealers + 129 small Non-Retail broker-dealers + 4,859 large SEC-registered Retail registered investment advisers + 2,947 large SEC-registered Non-Retail registered investment advisers + 4,450 large state registered Retail registered investment advisers + 1,153 large state registered non-retail registered investment advisers + 71 insurers) x 30% newly reliant on the PTE] + 10 small robo-adviser) × </w:t>
      </w:r>
      <w:r w:rsidR="005976FB">
        <w:t>5</w:t>
      </w:r>
      <w:r w:rsidRPr="00997AFD" w:rsidR="005976FB">
        <w:t xml:space="preserve"> </w:t>
      </w:r>
      <w:r w:rsidRPr="00997AFD" w:rsidR="00997AFD">
        <w:t xml:space="preserve">hours} + {[(471 large Non-Retail broker-dealers + 13 large insurers) x 70% already reliant on the PTE] + + 190 large robo-advisers) = </w:t>
      </w:r>
      <w:r w:rsidR="004B295E">
        <w:t>13,112</w:t>
      </w:r>
      <w:r w:rsidRPr="00997AFD" w:rsidR="00997AFD">
        <w:t xml:space="preserve"> entities x 5 hours </w:t>
      </w:r>
      <w:r w:rsidR="00C512B9">
        <w:t>≈</w:t>
      </w:r>
      <w:r w:rsidRPr="00874E40" w:rsidR="00C512B9">
        <w:t xml:space="preserve"> </w:t>
      </w:r>
      <w:r w:rsidR="00E642C4">
        <w:t>65,559</w:t>
      </w:r>
      <w:r w:rsidRPr="00997AFD" w:rsidR="00997AFD">
        <w:t xml:space="preserve"> hours. The labor rate is applied in the following calculation: </w:t>
      </w:r>
      <w:r w:rsidR="004B295E">
        <w:t>65,559</w:t>
      </w:r>
      <w:r w:rsidRPr="00997AFD" w:rsidR="00997AFD">
        <w:t xml:space="preserve"> hours x $165.71 </w:t>
      </w:r>
      <w:r w:rsidR="00C512B9">
        <w:t>≈</w:t>
      </w:r>
      <w:r w:rsidRPr="00874E40" w:rsidR="00C512B9">
        <w:t xml:space="preserve"> </w:t>
      </w:r>
      <w:r w:rsidRPr="00997AFD" w:rsidR="00997AFD">
        <w:t>$</w:t>
      </w:r>
      <w:r w:rsidR="004B295E">
        <w:t>10,863,864</w:t>
      </w:r>
      <w:r w:rsidRPr="00997AFD" w:rsidR="00997AFD">
        <w:t xml:space="preserve">. In subsequent years the cost of updating is calculated as: (All </w:t>
      </w:r>
      <w:r w:rsidR="004B295E">
        <w:t>18,632</w:t>
      </w:r>
      <w:r w:rsidRPr="00997AFD" w:rsidR="00997AFD">
        <w:t xml:space="preserve"> affected entities x 5 hours) </w:t>
      </w:r>
      <w:r w:rsidR="00C512B9">
        <w:t>≈</w:t>
      </w:r>
      <w:r w:rsidRPr="00874E40" w:rsidR="00C512B9">
        <w:t xml:space="preserve"> </w:t>
      </w:r>
      <w:r w:rsidR="004B295E">
        <w:t>93,161</w:t>
      </w:r>
      <w:r w:rsidRPr="00997AFD" w:rsidR="00997AFD">
        <w:t xml:space="preserve"> burden hours. The labor rate is applied in the following calculation: </w:t>
      </w:r>
      <w:r w:rsidR="004B295E">
        <w:t>93,161</w:t>
      </w:r>
      <w:r w:rsidRPr="00997AFD" w:rsidR="00997AFD">
        <w:t xml:space="preserve"> burden hours x $165.71 </w:t>
      </w:r>
      <w:r w:rsidR="00C512B9">
        <w:t>≈</w:t>
      </w:r>
      <w:r w:rsidRPr="00874E40" w:rsidR="00C512B9">
        <w:t xml:space="preserve"> </w:t>
      </w:r>
      <w:r w:rsidRPr="00997AFD" w:rsidR="00997AFD">
        <w:t>$</w:t>
      </w:r>
      <w:r w:rsidR="004B295E">
        <w:t>15,437,780</w:t>
      </w:r>
      <w:r w:rsidRPr="00997AFD" w:rsidR="00997AFD">
        <w:t>. Note, the total values may not equal the sum of the parts due to rounding.</w:t>
      </w:r>
    </w:p>
  </w:footnote>
  <w:footnote w:id="38">
    <w:p w:rsidR="006B795F" w:rsidRPr="00ED0A30" w:rsidP="006B795F" w14:paraId="35F58C10" w14:textId="626A1648">
      <w:pPr>
        <w:pStyle w:val="FootnoteText"/>
        <w:contextualSpacing/>
      </w:pPr>
      <w:r w:rsidRPr="00ED0A30">
        <w:rPr>
          <w:rStyle w:val="FootnoteReference"/>
        </w:rPr>
        <w:footnoteRef/>
      </w:r>
      <w:r w:rsidRPr="00ED0A30">
        <w:t xml:space="preserve"> The burden is estimated as follows: </w:t>
      </w:r>
      <w:r w:rsidRPr="004C1715" w:rsidR="004C1715">
        <w:t xml:space="preserve">(165 x (15 minutes ÷ 60 minutes hours)) </w:t>
      </w:r>
      <w:r w:rsidR="00830945">
        <w:t>≈</w:t>
      </w:r>
      <w:r w:rsidRPr="00874E40" w:rsidR="00830945">
        <w:t xml:space="preserve"> </w:t>
      </w:r>
      <w:r w:rsidRPr="004C1715" w:rsidR="004C1715">
        <w:t xml:space="preserve">41 hours. A labor rate of $65.99 is used for a clerical worker. The labor rate is applied in the following calculation: (165 x (15 minutes ÷ 60 minutes hours)) x $65.99 </w:t>
      </w:r>
      <w:r w:rsidR="00830945">
        <w:t>≈</w:t>
      </w:r>
      <w:r w:rsidRPr="00874E40" w:rsidR="00830945">
        <w:t xml:space="preserve"> </w:t>
      </w:r>
      <w:r w:rsidRPr="004C1715" w:rsidR="004C1715">
        <w:t>$2,722. Note, the total values may not equal the sum of the parts due to rounding.</w:t>
      </w:r>
      <w:r w:rsidRPr="004C1715" w:rsidR="004C1715">
        <w:t xml:space="preserve"> </w:t>
      </w:r>
    </w:p>
  </w:footnote>
  <w:footnote w:id="39">
    <w:p w:rsidR="006B795F" w:rsidRPr="00ED0A30" w:rsidP="006B795F" w14:paraId="280B19B5" w14:textId="77A3F85F">
      <w:pPr>
        <w:pStyle w:val="FootnoteText"/>
        <w:contextualSpacing/>
      </w:pPr>
      <w:r w:rsidRPr="00ED0A30">
        <w:rPr>
          <w:rStyle w:val="FootnoteReference"/>
        </w:rPr>
        <w:footnoteRef/>
      </w:r>
      <w:r w:rsidRPr="00ED0A30">
        <w:t xml:space="preserve"> The burden is estimated as follows: </w:t>
      </w:r>
      <w:r w:rsidRPr="00170F3C" w:rsidR="00170F3C">
        <w:t xml:space="preserve">(50 x (15 minutes ÷ 60 minutes hours)) </w:t>
      </w:r>
      <w:r w:rsidR="00830945">
        <w:t>≈</w:t>
      </w:r>
      <w:r w:rsidRPr="00874E40" w:rsidR="00830945">
        <w:t xml:space="preserve"> </w:t>
      </w:r>
      <w:r w:rsidRPr="00170F3C" w:rsidR="00170F3C">
        <w:t xml:space="preserve">13 hours. A labor rate of $65.99 is used for a clerical worker. The labor rate is applied in the following calculation: (50 x (15 minutes ÷ 60 minutes hours)) x $65.99 </w:t>
      </w:r>
      <w:r w:rsidR="00830945">
        <w:t>≈</w:t>
      </w:r>
      <w:r w:rsidRPr="00874E40" w:rsidR="00830945">
        <w:t xml:space="preserve"> </w:t>
      </w:r>
      <w:r w:rsidRPr="00170F3C" w:rsidR="00170F3C">
        <w:t>$825. Note, the total values may not equal the sum of the parts due to rounding.</w:t>
      </w:r>
      <w:r w:rsidRPr="00170F3C" w:rsidR="00170F3C">
        <w:t xml:space="preserve"> </w:t>
      </w:r>
    </w:p>
  </w:footnote>
  <w:footnote w:id="40">
    <w:p w:rsidR="00FD28A8" w:rsidP="00FD28A8" w14:paraId="7C78BDF8" w14:textId="77777777">
      <w:pPr>
        <w:pStyle w:val="FootnoteText"/>
        <w:contextualSpacing/>
      </w:pPr>
      <w:r>
        <w:rPr>
          <w:rStyle w:val="FootnoteReference"/>
        </w:rPr>
        <w:footnoteRef/>
      </w:r>
      <w:r>
        <w:t xml:space="preserve"> </w:t>
      </w:r>
      <w:r w:rsidRPr="005F6F94">
        <w:t>67 FR 17263</w:t>
      </w:r>
      <w:r>
        <w:t>.</w:t>
      </w:r>
    </w:p>
  </w:footnote>
  <w:footnote w:id="41">
    <w:p w:rsidR="00FD28A8" w:rsidP="00FD28A8" w14:paraId="3F1CC49C" w14:textId="383229A7">
      <w:pPr>
        <w:pStyle w:val="FootnoteText"/>
        <w:contextualSpacing/>
      </w:pPr>
      <w:r>
        <w:rPr>
          <w:rStyle w:val="FootnoteReference"/>
        </w:rPr>
        <w:footnoteRef/>
      </w:r>
      <w:r>
        <w:t xml:space="preserve"> </w:t>
      </w:r>
      <w:r w:rsidRPr="00ED0A30">
        <w:t xml:space="preserve">The Department estimates approximately </w:t>
      </w:r>
      <w:r w:rsidR="00D82613">
        <w:t>96.1</w:t>
      </w:r>
      <w:r w:rsidRPr="00ED0A30">
        <w:t xml:space="preserve">% of </w:t>
      </w:r>
      <w:r w:rsidR="00B11D99">
        <w:t>Retirement Investor</w:t>
      </w:r>
      <w:r>
        <w:t>s</w:t>
      </w:r>
      <w:r w:rsidRPr="00ED0A30">
        <w:t xml:space="preserve"> receive disclosures electronically, </w:t>
      </w:r>
      <w:r>
        <w:t xml:space="preserve">which is </w:t>
      </w:r>
      <w:r w:rsidRPr="00ED0A30">
        <w:t xml:space="preserve">the sum of </w:t>
      </w:r>
      <w:r>
        <w:t xml:space="preserve">the estimated share of </w:t>
      </w:r>
      <w:r w:rsidR="00B11D99">
        <w:t>Retirement Investor</w:t>
      </w:r>
      <w:r>
        <w:t>s</w:t>
      </w:r>
      <w:r w:rsidRPr="00ED0A30">
        <w:t xml:space="preserve"> receiving electronic disclosures under the 2002 electronic disclosure safe harbor (</w:t>
      </w:r>
      <w:r w:rsidR="00D82613">
        <w:t>58.3</w:t>
      </w:r>
      <w:r w:rsidRPr="00ED0A30">
        <w:t xml:space="preserve">%) and the </w:t>
      </w:r>
      <w:r>
        <w:t xml:space="preserve">estimated share of </w:t>
      </w:r>
      <w:r w:rsidR="00B11D99">
        <w:t>Retirement Investor</w:t>
      </w:r>
      <w:r>
        <w:t>s</w:t>
      </w:r>
      <w:r w:rsidRPr="00ED0A30">
        <w:t xml:space="preserve"> receiving electronic disclosures under the 2020 electronic disclosure safe harbor (</w:t>
      </w:r>
      <w:r w:rsidR="00336F07">
        <w:t>37.8</w:t>
      </w:r>
      <w:r w:rsidRPr="00ED0A30">
        <w:t>%).</w:t>
      </w:r>
      <w:r>
        <w:t xml:space="preserve"> </w:t>
      </w:r>
    </w:p>
  </w:footnote>
  <w:footnote w:id="42">
    <w:p w:rsidR="00560914" w14:paraId="49F93E96" w14:textId="7774BE9C">
      <w:pPr>
        <w:pStyle w:val="FootnoteText"/>
      </w:pPr>
      <w:r>
        <w:rPr>
          <w:rStyle w:val="FootnoteReference"/>
        </w:rPr>
        <w:footnoteRef/>
      </w:r>
      <w:r>
        <w:t xml:space="preserve"> </w:t>
      </w:r>
      <w:r w:rsidRPr="00E94067">
        <w:t xml:space="preserve">The Department used information from a Greenwald &amp; Associates survey which reported that 84 percent of retirement </w:t>
      </w:r>
      <w:r w:rsidR="00A60913">
        <w:t>Plan</w:t>
      </w:r>
      <w:r w:rsidRPr="00E94067">
        <w:t xml:space="preserve"> participants find electronic delivery acceptable, and data from the National Telecommunications and Information Administration Internet Use Survey which indicated that 86 percent of adults 65 and </w:t>
      </w:r>
      <w:r w:rsidRPr="00E94067">
        <w:t>over use</w:t>
      </w:r>
      <w:r w:rsidRPr="00E94067">
        <w:t xml:space="preserve"> e-mail on a regular basis, which is used as a proxy for internet fluency and usage. Therefore, the assumption is calculated as: (84% find electronic delivery acceptable) x (86% are internet fluent) </w:t>
      </w:r>
      <w:r w:rsidR="007953C3">
        <w:t>≈</w:t>
      </w:r>
      <w:r w:rsidRPr="00E94067">
        <w:t xml:space="preserve"> 72% are internet fluent and find electronic delivery acceptable.</w:t>
      </w:r>
    </w:p>
  </w:footnote>
  <w:footnote w:id="43">
    <w:p w:rsidR="00FD28A8" w:rsidP="00FD28A8" w14:paraId="4DAF75B4" w14:textId="375CB14C">
      <w:pPr>
        <w:pStyle w:val="FootnoteText"/>
        <w:contextualSpacing/>
      </w:pPr>
      <w:r>
        <w:rPr>
          <w:rStyle w:val="FootnoteReference"/>
        </w:rPr>
        <w:footnoteRef/>
      </w:r>
      <w:r>
        <w:t xml:space="preserve"> U.S. Post Office, </w:t>
      </w:r>
      <w:r w:rsidRPr="000D13A3">
        <w:rPr>
          <w:i/>
          <w:iCs/>
        </w:rPr>
        <w:t>First-Class Mail</w:t>
      </w:r>
      <w:r>
        <w:t>, (202</w:t>
      </w:r>
      <w:r w:rsidR="000610AB">
        <w:t>4</w:t>
      </w:r>
      <w:r>
        <w:t xml:space="preserve">), </w:t>
      </w:r>
      <w:hyperlink r:id="rId6" w:history="1">
        <w:r w:rsidRPr="00FA7C0D">
          <w:rPr>
            <w:rStyle w:val="Hyperlink"/>
          </w:rPr>
          <w:t>https://www.usps.com/ship/first-class-mail.htm</w:t>
        </w:r>
      </w:hyperlink>
      <w:r>
        <w:t>.</w:t>
      </w:r>
    </w:p>
  </w:footnote>
  <w:footnote w:id="44">
    <w:p w:rsidR="002D60F5" w:rsidRPr="00ED0A30" w:rsidP="002D60F5" w14:paraId="05E96AC8" w14:textId="5D569324">
      <w:pPr>
        <w:pStyle w:val="FootnoteText"/>
        <w:contextualSpacing/>
      </w:pPr>
      <w:r w:rsidRPr="00ED0A30">
        <w:rPr>
          <w:rStyle w:val="FootnoteReference"/>
        </w:rPr>
        <w:footnoteRef/>
      </w:r>
      <w:r w:rsidRPr="00ED0A30">
        <w:t xml:space="preserve"> </w:t>
      </w:r>
      <w:r>
        <w:t xml:space="preserve">This is estimated as (44,593,228 x 3.9%) + (67,781,000 x 28.2%) </w:t>
      </w:r>
      <w:r w:rsidR="00D20600">
        <w:t>≈</w:t>
      </w:r>
      <w:r>
        <w:t xml:space="preserve"> 20,853,378 paper disclosures. </w:t>
      </w:r>
      <w:r>
        <w:rPr>
          <w:color w:val="000000" w:themeColor="text1"/>
        </w:rPr>
        <w:t>Due to rounding values may not sum.</w:t>
      </w:r>
    </w:p>
  </w:footnote>
  <w:footnote w:id="45">
    <w:p w:rsidR="002D60F5" w:rsidRPr="00ED0A30" w:rsidP="002D60F5" w14:paraId="66B22A89" w14:textId="63F0675F">
      <w:pPr>
        <w:pStyle w:val="FootnoteText"/>
        <w:contextualSpacing/>
      </w:pPr>
      <w:r w:rsidRPr="00ED0A30">
        <w:rPr>
          <w:rStyle w:val="FootnoteReference"/>
        </w:rPr>
        <w:footnoteRef/>
      </w:r>
      <w:r w:rsidRPr="00ED0A30">
        <w:t xml:space="preserve"> </w:t>
      </w:r>
      <w:r>
        <w:t xml:space="preserve">The material and postage cost is estimated as: (20,853,378 </w:t>
      </w:r>
      <w:r w:rsidRPr="00B322A1">
        <w:t>disclosures</w:t>
      </w:r>
      <w:r w:rsidRPr="00ED0A30">
        <w:t xml:space="preserve"> x </w:t>
      </w:r>
      <w:r>
        <w:t>4</w:t>
      </w:r>
      <w:r w:rsidRPr="00ED0A30">
        <w:t xml:space="preserve"> pages x $0.05</w:t>
      </w:r>
      <w:r>
        <w:t>) + (20,853,378 disclosures x $0.68 postage)</w:t>
      </w:r>
      <w:r w:rsidRPr="00ED0A30">
        <w:t xml:space="preserve"> </w:t>
      </w:r>
      <w:r w:rsidR="00D20600">
        <w:t>≈</w:t>
      </w:r>
      <w:r w:rsidRPr="00ED0A30">
        <w:t xml:space="preserve"> $</w:t>
      </w:r>
      <w:r w:rsidR="00147445">
        <w:t>18,350,973</w:t>
      </w:r>
      <w:r>
        <w:t>.</w:t>
      </w:r>
      <w:r w:rsidRPr="00ED0A30">
        <w:t xml:space="preserve"> </w:t>
      </w:r>
      <w:r>
        <w:rPr>
          <w:color w:val="000000" w:themeColor="text1"/>
        </w:rPr>
        <w:t>Due to rounding values may not sum.</w:t>
      </w:r>
    </w:p>
  </w:footnote>
  <w:footnote w:id="46">
    <w:p w:rsidR="00752843" w:rsidRPr="0066487E" w:rsidP="00752843" w14:paraId="2359003F" w14:textId="1881943B">
      <w:pPr>
        <w:pStyle w:val="FootnoteText"/>
        <w:rPr>
          <w:color w:val="000000" w:themeColor="text1"/>
        </w:rPr>
      </w:pPr>
      <w:r w:rsidRPr="0066487E">
        <w:rPr>
          <w:rStyle w:val="FootnoteReference"/>
          <w:color w:val="000000" w:themeColor="text1"/>
        </w:rPr>
        <w:footnoteRef/>
      </w:r>
      <w:r w:rsidRPr="0066487E">
        <w:rPr>
          <w:color w:val="000000" w:themeColor="text1"/>
        </w:rPr>
        <w:t xml:space="preserve"> </w:t>
      </w:r>
      <w:r>
        <w:rPr>
          <w:color w:val="000000" w:themeColor="text1"/>
        </w:rPr>
        <w:t>According to Cerulli, in 2022, there were 4,</w:t>
      </w:r>
      <w:r w:rsidRPr="00E23ABF">
        <w:rPr>
          <w:color w:val="000000" w:themeColor="text1"/>
        </w:rPr>
        <w:t>485,059</w:t>
      </w:r>
      <w:r>
        <w:rPr>
          <w:color w:val="000000" w:themeColor="text1"/>
        </w:rPr>
        <w:t xml:space="preserve"> DC </w:t>
      </w:r>
      <w:r w:rsidR="00A60913">
        <w:rPr>
          <w:color w:val="000000" w:themeColor="text1"/>
        </w:rPr>
        <w:t>Plan</w:t>
      </w:r>
      <w:r>
        <w:rPr>
          <w:color w:val="000000" w:themeColor="text1"/>
        </w:rPr>
        <w:t xml:space="preserve">-to-IRA rollovers and </w:t>
      </w:r>
      <w:r w:rsidRPr="002A51BE">
        <w:rPr>
          <w:color w:val="000000" w:themeColor="text1"/>
        </w:rPr>
        <w:t xml:space="preserve">707,104 </w:t>
      </w:r>
      <w:r>
        <w:rPr>
          <w:color w:val="000000" w:themeColor="text1"/>
        </w:rPr>
        <w:t xml:space="preserve">DC </w:t>
      </w:r>
      <w:r w:rsidR="00A60913">
        <w:rPr>
          <w:color w:val="000000" w:themeColor="text1"/>
        </w:rPr>
        <w:t>Plan</w:t>
      </w:r>
      <w:r>
        <w:rPr>
          <w:color w:val="000000" w:themeColor="text1"/>
        </w:rPr>
        <w:t xml:space="preserve">-to-DC </w:t>
      </w:r>
      <w:r w:rsidR="00A60913">
        <w:rPr>
          <w:color w:val="000000" w:themeColor="text1"/>
        </w:rPr>
        <w:t>Plan</w:t>
      </w:r>
      <w:r>
        <w:rPr>
          <w:color w:val="000000" w:themeColor="text1"/>
        </w:rPr>
        <w:t xml:space="preserve"> rollovers. (</w:t>
      </w:r>
      <w:r>
        <w:rPr>
          <w:i/>
          <w:iCs/>
          <w:color w:val="000000" w:themeColor="text1"/>
        </w:rPr>
        <w:t xml:space="preserve">See </w:t>
      </w:r>
      <w:r w:rsidRPr="0066487E">
        <w:rPr>
          <w:color w:val="000000" w:themeColor="text1"/>
        </w:rPr>
        <w:t>Cerulli Associates</w:t>
      </w:r>
      <w:r>
        <w:rPr>
          <w:color w:val="000000" w:themeColor="text1"/>
        </w:rPr>
        <w:t xml:space="preserve">, </w:t>
      </w:r>
      <w:r w:rsidRPr="00711705">
        <w:rPr>
          <w:i/>
          <w:iCs/>
          <w:color w:val="000000" w:themeColor="text1"/>
        </w:rPr>
        <w:t>U.S. Retirement End-Investor 2023: Personalizing the 401(k) Investor Experience</w:t>
      </w:r>
      <w:r>
        <w:rPr>
          <w:color w:val="000000" w:themeColor="text1"/>
        </w:rPr>
        <w:t xml:space="preserve">, </w:t>
      </w:r>
      <w:r w:rsidRPr="0066487E">
        <w:rPr>
          <w:color w:val="000000" w:themeColor="text1"/>
        </w:rPr>
        <w:t>Exhibit 6.02.</w:t>
      </w:r>
      <w:r>
        <w:rPr>
          <w:color w:val="000000" w:themeColor="text1"/>
        </w:rPr>
        <w:t xml:space="preserve"> </w:t>
      </w:r>
      <w:r w:rsidRPr="0066487E">
        <w:rPr>
          <w:color w:val="000000" w:themeColor="text1"/>
        </w:rPr>
        <w:t>The Cerulli Report.</w:t>
      </w:r>
      <w:r>
        <w:rPr>
          <w:color w:val="000000" w:themeColor="text1"/>
        </w:rPr>
        <w:t xml:space="preserve">) </w:t>
      </w:r>
      <w:r>
        <w:t xml:space="preserve">These account estimates may include health savings accounts, Archer medical savings accounts, or Coverdell education savings accounts. </w:t>
      </w:r>
    </w:p>
  </w:footnote>
  <w:footnote w:id="47">
    <w:p w:rsidR="00752843" w:rsidP="00752843" w14:paraId="286B3EBD" w14:textId="77777777">
      <w:pPr>
        <w:pStyle w:val="FootnoteText"/>
      </w:pPr>
      <w:r>
        <w:rPr>
          <w:rStyle w:val="FootnoteReference"/>
        </w:rPr>
        <w:footnoteRef/>
      </w:r>
      <w:r>
        <w:t xml:space="preserve"> Deloitte, </w:t>
      </w:r>
      <w:r w:rsidRPr="000A0A16">
        <w:t>R</w:t>
      </w:r>
      <w:r w:rsidRPr="007A0E33">
        <w:rPr>
          <w:rStyle w:val="Emphasis"/>
        </w:rPr>
        <w:t>egulation Best Interest: How Wealth Management Firms are Implementing the Rule Package</w:t>
      </w:r>
      <w:r>
        <w:t xml:space="preserve">, Deloitte, (Mar. 6, 2020). </w:t>
      </w:r>
    </w:p>
  </w:footnote>
  <w:footnote w:id="48">
    <w:p w:rsidR="00FB0F78" w14:paraId="156AD470" w14:textId="4C92E37E">
      <w:pPr>
        <w:pStyle w:val="FootnoteText"/>
      </w:pPr>
      <w:r>
        <w:rPr>
          <w:rStyle w:val="FootnoteReference"/>
        </w:rPr>
        <w:footnoteRef/>
      </w:r>
      <w:r>
        <w:t xml:space="preserve"> </w:t>
      </w:r>
      <w:r>
        <w:rPr>
          <w:i/>
          <w:iCs/>
          <w:color w:val="000000" w:themeColor="text1"/>
        </w:rPr>
        <w:t xml:space="preserve">See </w:t>
      </w:r>
      <w:r w:rsidRPr="0066487E">
        <w:rPr>
          <w:color w:val="000000" w:themeColor="text1"/>
        </w:rPr>
        <w:t>Cerulli Associates</w:t>
      </w:r>
      <w:r>
        <w:rPr>
          <w:color w:val="000000" w:themeColor="text1"/>
        </w:rPr>
        <w:t xml:space="preserve">, </w:t>
      </w:r>
      <w:r w:rsidRPr="00AC5F87">
        <w:rPr>
          <w:i/>
          <w:color w:val="000000" w:themeColor="text1"/>
        </w:rPr>
        <w:t>U.S. Retirement End-Investor 2023: Personalizing the 401(k) Investor Experience</w:t>
      </w:r>
      <w:r>
        <w:rPr>
          <w:color w:val="000000" w:themeColor="text1"/>
        </w:rPr>
        <w:t xml:space="preserve">, </w:t>
      </w:r>
      <w:r w:rsidRPr="0066487E">
        <w:rPr>
          <w:color w:val="000000" w:themeColor="text1"/>
        </w:rPr>
        <w:t>Exhibit</w:t>
      </w:r>
      <w:r>
        <w:rPr>
          <w:color w:val="000000" w:themeColor="text1"/>
        </w:rPr>
        <w:t xml:space="preserve"> 6.04</w:t>
      </w:r>
      <w:r w:rsidRPr="0066487E">
        <w:rPr>
          <w:color w:val="000000" w:themeColor="text1"/>
        </w:rPr>
        <w:t>.</w:t>
      </w:r>
      <w:r>
        <w:rPr>
          <w:color w:val="000000" w:themeColor="text1"/>
        </w:rPr>
        <w:t xml:space="preserve"> </w:t>
      </w:r>
      <w:r w:rsidRPr="0066487E">
        <w:rPr>
          <w:color w:val="000000" w:themeColor="text1"/>
        </w:rPr>
        <w:t>The Cerulli Report.</w:t>
      </w:r>
    </w:p>
  </w:footnote>
  <w:footnote w:id="49">
    <w:p w:rsidR="00304627" w14:paraId="10A688BF" w14:textId="75B6AED2">
      <w:pPr>
        <w:pStyle w:val="FootnoteText"/>
      </w:pPr>
      <w:r>
        <w:rPr>
          <w:rStyle w:val="FootnoteReference"/>
        </w:rPr>
        <w:footnoteRef/>
      </w:r>
      <w:r>
        <w:t xml:space="preserve"> </w:t>
      </w:r>
      <w:r w:rsidR="001F1FD4">
        <w:t xml:space="preserve">This estimate is calculated as: </w:t>
      </w:r>
      <w:r w:rsidR="003C3251">
        <w:t xml:space="preserve">4,485,059 rollovers x 49% involving advice x 3.9% mailed </w:t>
      </w:r>
      <w:r w:rsidR="00A7052B">
        <w:t xml:space="preserve">≈ </w:t>
      </w:r>
      <w:r w:rsidR="00D0428F">
        <w:t>85,709.</w:t>
      </w:r>
    </w:p>
  </w:footnote>
  <w:footnote w:id="50">
    <w:p w:rsidR="00752843" w:rsidP="00752843" w14:paraId="3F015C68" w14:textId="6BC0D135">
      <w:pPr>
        <w:pStyle w:val="FootnoteText"/>
      </w:pPr>
      <w:r>
        <w:rPr>
          <w:rStyle w:val="FootnoteReference"/>
        </w:rPr>
        <w:footnoteRef/>
      </w:r>
      <w:r>
        <w:t xml:space="preserve"> The material and postage cost is estimated as: (</w:t>
      </w:r>
      <w:r>
        <w:rPr>
          <w:color w:val="000000" w:themeColor="text1"/>
        </w:rPr>
        <w:t>4,485,059 rollovers x 4</w:t>
      </w:r>
      <w:r w:rsidR="005225BF">
        <w:rPr>
          <w:color w:val="000000" w:themeColor="text1"/>
        </w:rPr>
        <w:t>9</w:t>
      </w:r>
      <w:r>
        <w:rPr>
          <w:color w:val="000000" w:themeColor="text1"/>
        </w:rPr>
        <w:t>%</w:t>
      </w:r>
      <w:r w:rsidRPr="00F91052">
        <w:rPr>
          <w:color w:val="000000" w:themeColor="text1"/>
        </w:rPr>
        <w:t xml:space="preserve"> </w:t>
      </w:r>
      <w:r w:rsidR="002C2AD1">
        <w:rPr>
          <w:color w:val="000000" w:themeColor="text1"/>
        </w:rPr>
        <w:t>involving advice x 3.9</w:t>
      </w:r>
      <w:r w:rsidR="005B53FA">
        <w:rPr>
          <w:color w:val="000000" w:themeColor="text1"/>
        </w:rPr>
        <w:t>%</w:t>
      </w:r>
      <w:r w:rsidR="002C2AD1">
        <w:rPr>
          <w:color w:val="000000" w:themeColor="text1"/>
        </w:rPr>
        <w:t xml:space="preserve"> </w:t>
      </w:r>
      <w:r>
        <w:t xml:space="preserve">disclosures mailed x $0.05 per page x 2 pages </w:t>
      </w:r>
      <w:r w:rsidR="00D20600">
        <w:t>≈</w:t>
      </w:r>
      <w:r>
        <w:t xml:space="preserve"> $</w:t>
      </w:r>
      <w:r w:rsidR="00266F42">
        <w:t>8,571</w:t>
      </w:r>
      <w:r>
        <w:t xml:space="preserve">. </w:t>
      </w:r>
      <w:r>
        <w:rPr>
          <w:color w:val="000000" w:themeColor="text1"/>
        </w:rPr>
        <w:t>Note, the total values may not equal the sum of the parts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4606" w:rsidP="00A16E95" w14:paraId="0EF25C2F" w14:textId="77777777">
    <w:pPr>
      <w:pStyle w:val="Header"/>
      <w:rPr>
        <w:b/>
        <w:bCs/>
        <w:sz w:val="20"/>
        <w:szCs w:val="20"/>
      </w:rPr>
    </w:pPr>
    <w:r w:rsidRPr="00DC0B35">
      <w:rPr>
        <w:b/>
        <w:bCs/>
        <w:sz w:val="20"/>
        <w:szCs w:val="20"/>
      </w:rPr>
      <w:t>Improving Investment Advice for Workers &amp; Retirees Prohibited Transaction Exemption</w:t>
    </w:r>
    <w:r>
      <w:rPr>
        <w:b/>
        <w:bCs/>
        <w:sz w:val="20"/>
        <w:szCs w:val="20"/>
      </w:rPr>
      <w:t xml:space="preserve"> </w:t>
    </w:r>
  </w:p>
  <w:p w:rsidR="009867A8" w:rsidRPr="00923CEE" w:rsidP="00A16E95" w14:paraId="1F41C238" w14:textId="7992C73D">
    <w:pPr>
      <w:pStyle w:val="Header"/>
      <w:rPr>
        <w:b/>
        <w:bCs/>
        <w:sz w:val="20"/>
        <w:szCs w:val="20"/>
      </w:rPr>
    </w:pPr>
    <w:r>
      <w:rPr>
        <w:b/>
        <w:bCs/>
        <w:sz w:val="20"/>
        <w:szCs w:val="20"/>
      </w:rPr>
      <w:t xml:space="preserve">OMB Control Number: </w:t>
    </w:r>
    <w:r w:rsidRPr="00923CEE">
      <w:rPr>
        <w:b/>
        <w:bCs/>
        <w:sz w:val="20"/>
        <w:szCs w:val="20"/>
      </w:rPr>
      <w:t>1210-</w:t>
    </w:r>
    <w:r w:rsidRPr="00923CEE" w:rsidR="001E6C70">
      <w:rPr>
        <w:b/>
        <w:bCs/>
        <w:sz w:val="20"/>
        <w:szCs w:val="20"/>
      </w:rPr>
      <w:t>0163</w:t>
    </w:r>
  </w:p>
  <w:p w:rsidR="00600E6D" w:rsidRPr="00923CEE" w:rsidP="00A16E95" w14:paraId="68A7D44F" w14:textId="6206ADCA">
    <w:pPr>
      <w:pStyle w:val="Header"/>
      <w:rPr>
        <w:b/>
        <w:bCs/>
        <w:sz w:val="20"/>
        <w:szCs w:val="20"/>
      </w:rPr>
    </w:pPr>
    <w:r>
      <w:rPr>
        <w:b/>
        <w:bCs/>
        <w:sz w:val="20"/>
        <w:szCs w:val="20"/>
      </w:rPr>
      <w:t xml:space="preserve">OMB </w:t>
    </w:r>
    <w:r w:rsidRPr="00923CEE">
      <w:rPr>
        <w:b/>
        <w:bCs/>
        <w:sz w:val="20"/>
        <w:szCs w:val="20"/>
      </w:rPr>
      <w:t>Expiration Date: 02/29/2024</w:t>
    </w:r>
  </w:p>
  <w:p w:rsidR="009867A8" w14:paraId="2504A902" w14:textId="2A6FA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9E40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E02471"/>
    <w:multiLevelType w:val="hybridMultilevel"/>
    <w:tmpl w:val="77C4200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34B56EB"/>
    <w:multiLevelType w:val="hybridMultilevel"/>
    <w:tmpl w:val="AF1E9CC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5616218"/>
    <w:multiLevelType w:val="hybridMultilevel"/>
    <w:tmpl w:val="D920187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5DB2F66"/>
    <w:multiLevelType w:val="hybridMultilevel"/>
    <w:tmpl w:val="E4ECCE56"/>
    <w:lvl w:ilvl="0">
      <w:start w:val="1"/>
      <w:numFmt w:val="decimal"/>
      <w:pStyle w:val="Heading2"/>
      <w:lvlText w:val="%1."/>
      <w:lvlJc w:val="left"/>
      <w:pPr>
        <w:tabs>
          <w:tab w:val="num" w:pos="1080"/>
        </w:tabs>
        <w:ind w:left="1080" w:hanging="720"/>
      </w:pPr>
      <w:rPr>
        <w:rFonts w:hint="default"/>
        <w:i w:val="0"/>
      </w:rPr>
    </w:lvl>
    <w:lvl w:ilvl="1">
      <w:start w:val="1"/>
      <w:numFmt w:val="bullet"/>
      <w:lvlText w:val=""/>
      <w:lvlJc w:val="left"/>
      <w:pPr>
        <w:tabs>
          <w:tab w:val="num" w:pos="5040"/>
        </w:tabs>
        <w:ind w:left="5040" w:hanging="360"/>
      </w:pPr>
      <w:rPr>
        <w:rFonts w:ascii="Symbol" w:hAnsi="Symbol" w:hint="default"/>
      </w:rPr>
    </w:lvl>
    <w:lvl w:ilvl="2">
      <w:start w:val="2"/>
      <w:numFmt w:val="upperLetter"/>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D144D4"/>
    <w:multiLevelType w:val="multilevel"/>
    <w:tmpl w:val="754C42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nsid w:val="1CD53F75"/>
    <w:multiLevelType w:val="hybridMultilevel"/>
    <w:tmpl w:val="77DA60B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EE315DD"/>
    <w:multiLevelType w:val="hybridMultilevel"/>
    <w:tmpl w:val="499E93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D05222"/>
    <w:multiLevelType w:val="hybridMultilevel"/>
    <w:tmpl w:val="5FEAEDD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A9E3168"/>
    <w:multiLevelType w:val="hybridMultilevel"/>
    <w:tmpl w:val="1F4E73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419580E"/>
    <w:multiLevelType w:val="multilevel"/>
    <w:tmpl w:val="9E9E9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61581"/>
    <w:multiLevelType w:val="hybridMultilevel"/>
    <w:tmpl w:val="499E93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BE449A5"/>
    <w:multiLevelType w:val="hybridMultilevel"/>
    <w:tmpl w:val="8A6E122E"/>
    <w:lvl w:ilvl="0">
      <w:start w:val="1"/>
      <w:numFmt w:val="decimal"/>
      <w:lvlText w:val="%1."/>
      <w:lvlJc w:val="left"/>
      <w:pPr>
        <w:tabs>
          <w:tab w:val="num" w:pos="1080"/>
        </w:tabs>
        <w:ind w:left="1080" w:hanging="720"/>
      </w:pPr>
      <w:rPr>
        <w:rFonts w:hint="default"/>
        <w:i w:val="0"/>
      </w:rPr>
    </w:lvl>
    <w:lvl w:ilvl="1">
      <w:start w:val="1"/>
      <w:numFmt w:val="bullet"/>
      <w:lvlText w:val=""/>
      <w:lvlJc w:val="left"/>
      <w:pPr>
        <w:tabs>
          <w:tab w:val="num" w:pos="1440"/>
        </w:tabs>
        <w:ind w:left="1440" w:hanging="360"/>
      </w:pPr>
      <w:rPr>
        <w:rFonts w:ascii="Symbol" w:hAnsi="Symbol" w:hint="default"/>
      </w:rPr>
    </w:lvl>
    <w:lvl w:ilvl="2">
      <w:start w:val="2"/>
      <w:numFmt w:val="upperLetter"/>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3C45066"/>
    <w:multiLevelType w:val="multilevel"/>
    <w:tmpl w:val="534287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nsid w:val="56F12F28"/>
    <w:multiLevelType w:val="hybridMultilevel"/>
    <w:tmpl w:val="9356E77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B57754A"/>
    <w:multiLevelType w:val="hybridMultilevel"/>
    <w:tmpl w:val="149E45A8"/>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FE6B85"/>
    <w:multiLevelType w:val="hybridMultilevel"/>
    <w:tmpl w:val="1608835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60241045"/>
    <w:multiLevelType w:val="multilevel"/>
    <w:tmpl w:val="D81411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nsid w:val="60723888"/>
    <w:multiLevelType w:val="hybridMultilevel"/>
    <w:tmpl w:val="D368EB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37D7DA2"/>
    <w:multiLevelType w:val="multilevel"/>
    <w:tmpl w:val="E690B0A4"/>
    <w:lvl w:ilvl="0">
      <w:start w:val="1"/>
      <w:numFmt w:val="decimal"/>
      <w:lvlText w:val="(%1)"/>
      <w:lvlJc w:val="left"/>
      <w:pPr>
        <w:ind w:left="1350" w:hanging="360"/>
      </w:pPr>
      <w:rPr>
        <w:rFonts w:hint="default"/>
      </w:rPr>
    </w:lvl>
    <w:lvl w:ilvl="1">
      <w:start w:val="1"/>
      <w:numFmt w:val="decimal"/>
      <w:lvlText w:val="%1.%2."/>
      <w:lvlJc w:val="left"/>
      <w:pPr>
        <w:ind w:left="1782" w:hanging="432"/>
      </w:pPr>
    </w:lvl>
    <w:lvl w:ilvl="2">
      <w:start w:val="1"/>
      <w:numFmt w:val="decimal"/>
      <w:lvlText w:val="%1.%2.%3."/>
      <w:lvlJc w:val="left"/>
      <w:pPr>
        <w:ind w:left="2214" w:hanging="504"/>
      </w:pPr>
    </w:lvl>
    <w:lvl w:ilvl="3">
      <w:start w:val="1"/>
      <w:numFmt w:val="decimal"/>
      <w:lvlText w:val="%1.%2.%3.%4."/>
      <w:lvlJc w:val="left"/>
      <w:pPr>
        <w:ind w:left="2718" w:hanging="648"/>
      </w:pPr>
    </w:lvl>
    <w:lvl w:ilvl="4">
      <w:start w:val="1"/>
      <w:numFmt w:val="decimal"/>
      <w:lvlText w:val="%1.%2.%3.%4.%5."/>
      <w:lvlJc w:val="left"/>
      <w:pPr>
        <w:ind w:left="3222" w:hanging="792"/>
      </w:pPr>
    </w:lvl>
    <w:lvl w:ilvl="5">
      <w:start w:val="1"/>
      <w:numFmt w:val="decimal"/>
      <w:lvlText w:val="%1.%2.%3.%4.%5.%6."/>
      <w:lvlJc w:val="left"/>
      <w:pPr>
        <w:ind w:left="3726" w:hanging="936"/>
      </w:pPr>
    </w:lvl>
    <w:lvl w:ilvl="6">
      <w:start w:val="1"/>
      <w:numFmt w:val="decimal"/>
      <w:lvlText w:val="%1.%2.%3.%4.%5.%6.%7."/>
      <w:lvlJc w:val="left"/>
      <w:pPr>
        <w:ind w:left="4230" w:hanging="1080"/>
      </w:pPr>
    </w:lvl>
    <w:lvl w:ilvl="7">
      <w:start w:val="1"/>
      <w:numFmt w:val="decimal"/>
      <w:lvlText w:val="%1.%2.%3.%4.%5.%6.%7.%8."/>
      <w:lvlJc w:val="left"/>
      <w:pPr>
        <w:ind w:left="4734" w:hanging="1224"/>
      </w:pPr>
    </w:lvl>
    <w:lvl w:ilvl="8">
      <w:start w:val="1"/>
      <w:numFmt w:val="decimal"/>
      <w:lvlText w:val="%1.%2.%3.%4.%5.%6.%7.%8.%9."/>
      <w:lvlJc w:val="left"/>
      <w:pPr>
        <w:ind w:left="5310" w:hanging="1440"/>
      </w:pPr>
    </w:lvl>
  </w:abstractNum>
  <w:abstractNum w:abstractNumId="20">
    <w:nsid w:val="66550D37"/>
    <w:multiLevelType w:val="multilevel"/>
    <w:tmpl w:val="A3E64004"/>
    <w:lvl w:ilvl="0">
      <w:start w:val="1"/>
      <w:numFmt w:val="bullet"/>
      <w:lvlText w:val=""/>
      <w:lvlJc w:val="left"/>
      <w:pPr>
        <w:ind w:left="1350" w:hanging="360"/>
      </w:pPr>
      <w:rPr>
        <w:rFonts w:ascii="Symbol" w:hAnsi="Symbol" w:hint="default"/>
      </w:rPr>
    </w:lvl>
    <w:lvl w:ilvl="1">
      <w:start w:val="1"/>
      <w:numFmt w:val="decimal"/>
      <w:lvlText w:val="%1.%2."/>
      <w:lvlJc w:val="left"/>
      <w:pPr>
        <w:ind w:left="1782" w:hanging="432"/>
      </w:pPr>
    </w:lvl>
    <w:lvl w:ilvl="2">
      <w:start w:val="1"/>
      <w:numFmt w:val="decimal"/>
      <w:lvlText w:val="%1.%2.%3."/>
      <w:lvlJc w:val="left"/>
      <w:pPr>
        <w:ind w:left="2214" w:hanging="504"/>
      </w:pPr>
    </w:lvl>
    <w:lvl w:ilvl="3">
      <w:start w:val="1"/>
      <w:numFmt w:val="decimal"/>
      <w:lvlText w:val="%1.%2.%3.%4."/>
      <w:lvlJc w:val="left"/>
      <w:pPr>
        <w:ind w:left="2718" w:hanging="648"/>
      </w:pPr>
    </w:lvl>
    <w:lvl w:ilvl="4">
      <w:start w:val="1"/>
      <w:numFmt w:val="decimal"/>
      <w:lvlText w:val="%1.%2.%3.%4.%5."/>
      <w:lvlJc w:val="left"/>
      <w:pPr>
        <w:ind w:left="3222" w:hanging="792"/>
      </w:pPr>
    </w:lvl>
    <w:lvl w:ilvl="5">
      <w:start w:val="1"/>
      <w:numFmt w:val="decimal"/>
      <w:lvlText w:val="%1.%2.%3.%4.%5.%6."/>
      <w:lvlJc w:val="left"/>
      <w:pPr>
        <w:ind w:left="3726" w:hanging="936"/>
      </w:pPr>
    </w:lvl>
    <w:lvl w:ilvl="6">
      <w:start w:val="1"/>
      <w:numFmt w:val="decimal"/>
      <w:lvlText w:val="%1.%2.%3.%4.%5.%6.%7."/>
      <w:lvlJc w:val="left"/>
      <w:pPr>
        <w:ind w:left="4230" w:hanging="1080"/>
      </w:pPr>
    </w:lvl>
    <w:lvl w:ilvl="7">
      <w:start w:val="1"/>
      <w:numFmt w:val="decimal"/>
      <w:lvlText w:val="%1.%2.%3.%4.%5.%6.%7.%8."/>
      <w:lvlJc w:val="left"/>
      <w:pPr>
        <w:ind w:left="4734" w:hanging="1224"/>
      </w:pPr>
    </w:lvl>
    <w:lvl w:ilvl="8">
      <w:start w:val="1"/>
      <w:numFmt w:val="decimal"/>
      <w:lvlText w:val="%1.%2.%3.%4.%5.%6.%7.%8.%9."/>
      <w:lvlJc w:val="left"/>
      <w:pPr>
        <w:ind w:left="5310" w:hanging="1440"/>
      </w:pPr>
    </w:lvl>
  </w:abstractNum>
  <w:abstractNum w:abstractNumId="21">
    <w:nsid w:val="676424C4"/>
    <w:multiLevelType w:val="hybridMultilevel"/>
    <w:tmpl w:val="C4822734"/>
    <w:lvl w:ilvl="0">
      <w:start w:val="1"/>
      <w:numFmt w:val="upperLetter"/>
      <w:pStyle w:val="Heading1"/>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
    <w:nsid w:val="727D6D5E"/>
    <w:multiLevelType w:val="hybridMultilevel"/>
    <w:tmpl w:val="218AFF9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474524001">
    <w:abstractNumId w:val="4"/>
  </w:num>
  <w:num w:numId="2" w16cid:durableId="431321739">
    <w:abstractNumId w:val="9"/>
  </w:num>
  <w:num w:numId="3" w16cid:durableId="1665547211">
    <w:abstractNumId w:val="12"/>
  </w:num>
  <w:num w:numId="4" w16cid:durableId="1860200256">
    <w:abstractNumId w:val="10"/>
  </w:num>
  <w:num w:numId="5" w16cid:durableId="1273980428">
    <w:abstractNumId w:val="14"/>
  </w:num>
  <w:num w:numId="6" w16cid:durableId="91095234">
    <w:abstractNumId w:val="11"/>
  </w:num>
  <w:num w:numId="7" w16cid:durableId="1968732706">
    <w:abstractNumId w:val="17"/>
  </w:num>
  <w:num w:numId="8" w16cid:durableId="1729841246">
    <w:abstractNumId w:val="13"/>
  </w:num>
  <w:num w:numId="9" w16cid:durableId="87192926">
    <w:abstractNumId w:val="5"/>
  </w:num>
  <w:num w:numId="10" w16cid:durableId="1652639540">
    <w:abstractNumId w:val="7"/>
  </w:num>
  <w:num w:numId="11" w16cid:durableId="821894302">
    <w:abstractNumId w:val="1"/>
  </w:num>
  <w:num w:numId="12" w16cid:durableId="280839902">
    <w:abstractNumId w:val="3"/>
  </w:num>
  <w:num w:numId="13" w16cid:durableId="1230001390">
    <w:abstractNumId w:val="21"/>
  </w:num>
  <w:num w:numId="14" w16cid:durableId="541751539">
    <w:abstractNumId w:val="15"/>
  </w:num>
  <w:num w:numId="15" w16cid:durableId="270168427">
    <w:abstractNumId w:val="20"/>
  </w:num>
  <w:num w:numId="16" w16cid:durableId="116680103">
    <w:abstractNumId w:val="19"/>
  </w:num>
  <w:num w:numId="17" w16cid:durableId="1675259075">
    <w:abstractNumId w:val="18"/>
  </w:num>
  <w:num w:numId="18" w16cid:durableId="1821725621">
    <w:abstractNumId w:val="8"/>
  </w:num>
  <w:num w:numId="19" w16cid:durableId="655110760">
    <w:abstractNumId w:val="22"/>
  </w:num>
  <w:num w:numId="20" w16cid:durableId="1664235029">
    <w:abstractNumId w:val="0"/>
  </w:num>
  <w:num w:numId="21" w16cid:durableId="297883088">
    <w:abstractNumId w:val="16"/>
  </w:num>
  <w:num w:numId="22" w16cid:durableId="1176188064">
    <w:abstractNumId w:val="6"/>
  </w:num>
  <w:num w:numId="23" w16cid:durableId="1278484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A"/>
    <w:rsid w:val="000015FA"/>
    <w:rsid w:val="000025F1"/>
    <w:rsid w:val="00002C9D"/>
    <w:rsid w:val="00002ED1"/>
    <w:rsid w:val="00003694"/>
    <w:rsid w:val="00003C74"/>
    <w:rsid w:val="00004776"/>
    <w:rsid w:val="00004AAD"/>
    <w:rsid w:val="00006334"/>
    <w:rsid w:val="00006497"/>
    <w:rsid w:val="000079EC"/>
    <w:rsid w:val="000104AD"/>
    <w:rsid w:val="00010952"/>
    <w:rsid w:val="000109F0"/>
    <w:rsid w:val="000122B9"/>
    <w:rsid w:val="000123A4"/>
    <w:rsid w:val="00012DE4"/>
    <w:rsid w:val="0001336B"/>
    <w:rsid w:val="00013846"/>
    <w:rsid w:val="0001580C"/>
    <w:rsid w:val="00015E39"/>
    <w:rsid w:val="00016461"/>
    <w:rsid w:val="000165E0"/>
    <w:rsid w:val="000172F8"/>
    <w:rsid w:val="0001788B"/>
    <w:rsid w:val="00020090"/>
    <w:rsid w:val="0002025C"/>
    <w:rsid w:val="00020A6D"/>
    <w:rsid w:val="00020E12"/>
    <w:rsid w:val="00020F1C"/>
    <w:rsid w:val="000213C2"/>
    <w:rsid w:val="000221BF"/>
    <w:rsid w:val="00022213"/>
    <w:rsid w:val="00023AF0"/>
    <w:rsid w:val="00023DB0"/>
    <w:rsid w:val="00024FAD"/>
    <w:rsid w:val="00025C46"/>
    <w:rsid w:val="00027321"/>
    <w:rsid w:val="000278B1"/>
    <w:rsid w:val="0003000E"/>
    <w:rsid w:val="00030DC4"/>
    <w:rsid w:val="00031313"/>
    <w:rsid w:val="0003285A"/>
    <w:rsid w:val="0003291C"/>
    <w:rsid w:val="00032D10"/>
    <w:rsid w:val="000336A3"/>
    <w:rsid w:val="0003371B"/>
    <w:rsid w:val="00033931"/>
    <w:rsid w:val="00034AEE"/>
    <w:rsid w:val="00035E37"/>
    <w:rsid w:val="000363B7"/>
    <w:rsid w:val="00036762"/>
    <w:rsid w:val="000371EE"/>
    <w:rsid w:val="00037917"/>
    <w:rsid w:val="00037A30"/>
    <w:rsid w:val="000407EF"/>
    <w:rsid w:val="00040E04"/>
    <w:rsid w:val="00041330"/>
    <w:rsid w:val="00041C3E"/>
    <w:rsid w:val="00042973"/>
    <w:rsid w:val="00042E7E"/>
    <w:rsid w:val="00043076"/>
    <w:rsid w:val="000436F1"/>
    <w:rsid w:val="00043720"/>
    <w:rsid w:val="000437FB"/>
    <w:rsid w:val="0004388D"/>
    <w:rsid w:val="00043D38"/>
    <w:rsid w:val="00043F6C"/>
    <w:rsid w:val="000447B6"/>
    <w:rsid w:val="00044BB7"/>
    <w:rsid w:val="000451FD"/>
    <w:rsid w:val="00045451"/>
    <w:rsid w:val="000459D0"/>
    <w:rsid w:val="00045C47"/>
    <w:rsid w:val="00046019"/>
    <w:rsid w:val="0004631F"/>
    <w:rsid w:val="0004650F"/>
    <w:rsid w:val="000502DB"/>
    <w:rsid w:val="000505EA"/>
    <w:rsid w:val="00050E13"/>
    <w:rsid w:val="00050EC0"/>
    <w:rsid w:val="00051422"/>
    <w:rsid w:val="00051574"/>
    <w:rsid w:val="00051C6D"/>
    <w:rsid w:val="0005280A"/>
    <w:rsid w:val="00053DD3"/>
    <w:rsid w:val="00053E02"/>
    <w:rsid w:val="00055F23"/>
    <w:rsid w:val="000561B6"/>
    <w:rsid w:val="0005663A"/>
    <w:rsid w:val="00056F96"/>
    <w:rsid w:val="00057E84"/>
    <w:rsid w:val="00057EFF"/>
    <w:rsid w:val="000610AB"/>
    <w:rsid w:val="00062626"/>
    <w:rsid w:val="00063489"/>
    <w:rsid w:val="000650B2"/>
    <w:rsid w:val="000655F3"/>
    <w:rsid w:val="00065B9C"/>
    <w:rsid w:val="00065C3F"/>
    <w:rsid w:val="00065C91"/>
    <w:rsid w:val="00066B35"/>
    <w:rsid w:val="00067659"/>
    <w:rsid w:val="000678D6"/>
    <w:rsid w:val="00067CBD"/>
    <w:rsid w:val="000700C8"/>
    <w:rsid w:val="00070BF2"/>
    <w:rsid w:val="00070D05"/>
    <w:rsid w:val="00071D16"/>
    <w:rsid w:val="00071E29"/>
    <w:rsid w:val="00073446"/>
    <w:rsid w:val="000735B2"/>
    <w:rsid w:val="0007388C"/>
    <w:rsid w:val="00073C49"/>
    <w:rsid w:val="00073EDB"/>
    <w:rsid w:val="00073F85"/>
    <w:rsid w:val="00074530"/>
    <w:rsid w:val="00074A13"/>
    <w:rsid w:val="000759BF"/>
    <w:rsid w:val="00075FEF"/>
    <w:rsid w:val="000761A6"/>
    <w:rsid w:val="00077920"/>
    <w:rsid w:val="000812E8"/>
    <w:rsid w:val="000812F0"/>
    <w:rsid w:val="000813D6"/>
    <w:rsid w:val="00082455"/>
    <w:rsid w:val="00083BCB"/>
    <w:rsid w:val="0008589E"/>
    <w:rsid w:val="00086644"/>
    <w:rsid w:val="00086A6E"/>
    <w:rsid w:val="00086CBB"/>
    <w:rsid w:val="00087384"/>
    <w:rsid w:val="00087EF8"/>
    <w:rsid w:val="00090A79"/>
    <w:rsid w:val="00090CD1"/>
    <w:rsid w:val="00090EE9"/>
    <w:rsid w:val="0009208E"/>
    <w:rsid w:val="00093C58"/>
    <w:rsid w:val="0009435C"/>
    <w:rsid w:val="00095242"/>
    <w:rsid w:val="0009531B"/>
    <w:rsid w:val="0009753D"/>
    <w:rsid w:val="00097825"/>
    <w:rsid w:val="0009785A"/>
    <w:rsid w:val="000978BD"/>
    <w:rsid w:val="000A0015"/>
    <w:rsid w:val="000A0A16"/>
    <w:rsid w:val="000A1877"/>
    <w:rsid w:val="000A2BFE"/>
    <w:rsid w:val="000A358C"/>
    <w:rsid w:val="000A363C"/>
    <w:rsid w:val="000A3876"/>
    <w:rsid w:val="000A3B04"/>
    <w:rsid w:val="000A4536"/>
    <w:rsid w:val="000A4A3C"/>
    <w:rsid w:val="000A5C45"/>
    <w:rsid w:val="000A65CD"/>
    <w:rsid w:val="000A66F9"/>
    <w:rsid w:val="000A6DE8"/>
    <w:rsid w:val="000A79EF"/>
    <w:rsid w:val="000B1E95"/>
    <w:rsid w:val="000B2244"/>
    <w:rsid w:val="000B25A2"/>
    <w:rsid w:val="000B2AF0"/>
    <w:rsid w:val="000B3699"/>
    <w:rsid w:val="000B3A93"/>
    <w:rsid w:val="000B3AF0"/>
    <w:rsid w:val="000B4800"/>
    <w:rsid w:val="000B4F56"/>
    <w:rsid w:val="000B5810"/>
    <w:rsid w:val="000B5CA7"/>
    <w:rsid w:val="000B607C"/>
    <w:rsid w:val="000B650B"/>
    <w:rsid w:val="000B7A3F"/>
    <w:rsid w:val="000B7D3A"/>
    <w:rsid w:val="000C0067"/>
    <w:rsid w:val="000C084F"/>
    <w:rsid w:val="000C14F6"/>
    <w:rsid w:val="000C16E4"/>
    <w:rsid w:val="000C1F29"/>
    <w:rsid w:val="000C2AAE"/>
    <w:rsid w:val="000C3F0C"/>
    <w:rsid w:val="000C5EBE"/>
    <w:rsid w:val="000C66CC"/>
    <w:rsid w:val="000C70DA"/>
    <w:rsid w:val="000D05CD"/>
    <w:rsid w:val="000D079C"/>
    <w:rsid w:val="000D13A3"/>
    <w:rsid w:val="000D16B2"/>
    <w:rsid w:val="000D2AE1"/>
    <w:rsid w:val="000D2F74"/>
    <w:rsid w:val="000D4029"/>
    <w:rsid w:val="000D4C39"/>
    <w:rsid w:val="000D4CAC"/>
    <w:rsid w:val="000D5064"/>
    <w:rsid w:val="000D53DC"/>
    <w:rsid w:val="000D73AA"/>
    <w:rsid w:val="000E021F"/>
    <w:rsid w:val="000E1A9D"/>
    <w:rsid w:val="000E1C5E"/>
    <w:rsid w:val="000E4D27"/>
    <w:rsid w:val="000E4EA6"/>
    <w:rsid w:val="000E5A82"/>
    <w:rsid w:val="000E6047"/>
    <w:rsid w:val="000E6218"/>
    <w:rsid w:val="000E6DAB"/>
    <w:rsid w:val="000E6EE7"/>
    <w:rsid w:val="000E770A"/>
    <w:rsid w:val="000E7745"/>
    <w:rsid w:val="000E79E6"/>
    <w:rsid w:val="000F01C2"/>
    <w:rsid w:val="000F0C21"/>
    <w:rsid w:val="000F1B14"/>
    <w:rsid w:val="000F1E4E"/>
    <w:rsid w:val="000F22D6"/>
    <w:rsid w:val="000F23C8"/>
    <w:rsid w:val="000F2997"/>
    <w:rsid w:val="000F3A9E"/>
    <w:rsid w:val="000F45E0"/>
    <w:rsid w:val="000F482D"/>
    <w:rsid w:val="000F4ABA"/>
    <w:rsid w:val="000F6317"/>
    <w:rsid w:val="000F7AA1"/>
    <w:rsid w:val="001002D1"/>
    <w:rsid w:val="00100CDE"/>
    <w:rsid w:val="00100F51"/>
    <w:rsid w:val="001013C0"/>
    <w:rsid w:val="00101713"/>
    <w:rsid w:val="001024ED"/>
    <w:rsid w:val="0010253E"/>
    <w:rsid w:val="00102670"/>
    <w:rsid w:val="00103428"/>
    <w:rsid w:val="00104F1F"/>
    <w:rsid w:val="0010581A"/>
    <w:rsid w:val="00105AD5"/>
    <w:rsid w:val="00106EEB"/>
    <w:rsid w:val="00107D8C"/>
    <w:rsid w:val="00107E94"/>
    <w:rsid w:val="00107FEE"/>
    <w:rsid w:val="001113A6"/>
    <w:rsid w:val="0011147C"/>
    <w:rsid w:val="00111CCC"/>
    <w:rsid w:val="00112E3B"/>
    <w:rsid w:val="00114877"/>
    <w:rsid w:val="001162F4"/>
    <w:rsid w:val="00116C65"/>
    <w:rsid w:val="00116E6A"/>
    <w:rsid w:val="001171A6"/>
    <w:rsid w:val="001176C2"/>
    <w:rsid w:val="001179A6"/>
    <w:rsid w:val="00117A9B"/>
    <w:rsid w:val="00120754"/>
    <w:rsid w:val="00121486"/>
    <w:rsid w:val="00121C3B"/>
    <w:rsid w:val="001227F0"/>
    <w:rsid w:val="001229A7"/>
    <w:rsid w:val="00124237"/>
    <w:rsid w:val="00124802"/>
    <w:rsid w:val="0012486A"/>
    <w:rsid w:val="00124B2C"/>
    <w:rsid w:val="001252F5"/>
    <w:rsid w:val="001253CF"/>
    <w:rsid w:val="00125820"/>
    <w:rsid w:val="001276BF"/>
    <w:rsid w:val="00127C1C"/>
    <w:rsid w:val="0013008C"/>
    <w:rsid w:val="0013056F"/>
    <w:rsid w:val="001307FB"/>
    <w:rsid w:val="00132195"/>
    <w:rsid w:val="001335F6"/>
    <w:rsid w:val="00133E18"/>
    <w:rsid w:val="00134A8F"/>
    <w:rsid w:val="001361FA"/>
    <w:rsid w:val="00137747"/>
    <w:rsid w:val="00142AD5"/>
    <w:rsid w:val="00143DA3"/>
    <w:rsid w:val="00145552"/>
    <w:rsid w:val="00145B62"/>
    <w:rsid w:val="00145B8A"/>
    <w:rsid w:val="001466C0"/>
    <w:rsid w:val="00146EFB"/>
    <w:rsid w:val="00147445"/>
    <w:rsid w:val="001475BB"/>
    <w:rsid w:val="00150594"/>
    <w:rsid w:val="00152808"/>
    <w:rsid w:val="00153285"/>
    <w:rsid w:val="00153286"/>
    <w:rsid w:val="0015339F"/>
    <w:rsid w:val="00154572"/>
    <w:rsid w:val="0015494D"/>
    <w:rsid w:val="00155F5A"/>
    <w:rsid w:val="00156AF2"/>
    <w:rsid w:val="00156D69"/>
    <w:rsid w:val="00156E88"/>
    <w:rsid w:val="00156F47"/>
    <w:rsid w:val="001574A6"/>
    <w:rsid w:val="001574D0"/>
    <w:rsid w:val="00157C86"/>
    <w:rsid w:val="00157D0A"/>
    <w:rsid w:val="00157FD9"/>
    <w:rsid w:val="0016130D"/>
    <w:rsid w:val="00161346"/>
    <w:rsid w:val="00161CF1"/>
    <w:rsid w:val="00161E9D"/>
    <w:rsid w:val="001625E0"/>
    <w:rsid w:val="00162F40"/>
    <w:rsid w:val="00163231"/>
    <w:rsid w:val="001632C2"/>
    <w:rsid w:val="00165217"/>
    <w:rsid w:val="00165EAE"/>
    <w:rsid w:val="00166273"/>
    <w:rsid w:val="00166571"/>
    <w:rsid w:val="001671E2"/>
    <w:rsid w:val="00170676"/>
    <w:rsid w:val="00170F3C"/>
    <w:rsid w:val="00171A4F"/>
    <w:rsid w:val="00172E08"/>
    <w:rsid w:val="00173CDA"/>
    <w:rsid w:val="00174152"/>
    <w:rsid w:val="001743A2"/>
    <w:rsid w:val="0017598E"/>
    <w:rsid w:val="00175B22"/>
    <w:rsid w:val="00180F13"/>
    <w:rsid w:val="001813D8"/>
    <w:rsid w:val="001822F1"/>
    <w:rsid w:val="0018249C"/>
    <w:rsid w:val="00182F75"/>
    <w:rsid w:val="00183466"/>
    <w:rsid w:val="0018356B"/>
    <w:rsid w:val="00183818"/>
    <w:rsid w:val="00183DF1"/>
    <w:rsid w:val="0018528A"/>
    <w:rsid w:val="001856B9"/>
    <w:rsid w:val="001856F8"/>
    <w:rsid w:val="00186338"/>
    <w:rsid w:val="00186FD4"/>
    <w:rsid w:val="001874EC"/>
    <w:rsid w:val="0019059D"/>
    <w:rsid w:val="00191480"/>
    <w:rsid w:val="00191684"/>
    <w:rsid w:val="00192479"/>
    <w:rsid w:val="00192697"/>
    <w:rsid w:val="00192CD7"/>
    <w:rsid w:val="00193388"/>
    <w:rsid w:val="001939F1"/>
    <w:rsid w:val="00193F1C"/>
    <w:rsid w:val="001961BD"/>
    <w:rsid w:val="00196B1B"/>
    <w:rsid w:val="00196C8E"/>
    <w:rsid w:val="00196F9A"/>
    <w:rsid w:val="00197C26"/>
    <w:rsid w:val="001A0C35"/>
    <w:rsid w:val="001A1308"/>
    <w:rsid w:val="001A26BB"/>
    <w:rsid w:val="001A2F79"/>
    <w:rsid w:val="001A36D2"/>
    <w:rsid w:val="001A379C"/>
    <w:rsid w:val="001A3FBC"/>
    <w:rsid w:val="001A4741"/>
    <w:rsid w:val="001A5747"/>
    <w:rsid w:val="001A6933"/>
    <w:rsid w:val="001A6B49"/>
    <w:rsid w:val="001A6D29"/>
    <w:rsid w:val="001A7099"/>
    <w:rsid w:val="001A76C9"/>
    <w:rsid w:val="001A7ACE"/>
    <w:rsid w:val="001A7D52"/>
    <w:rsid w:val="001B0847"/>
    <w:rsid w:val="001B08D6"/>
    <w:rsid w:val="001B08EB"/>
    <w:rsid w:val="001B0B43"/>
    <w:rsid w:val="001B0B93"/>
    <w:rsid w:val="001B0EE4"/>
    <w:rsid w:val="001B1366"/>
    <w:rsid w:val="001B24BD"/>
    <w:rsid w:val="001B4618"/>
    <w:rsid w:val="001B4A48"/>
    <w:rsid w:val="001B5BD2"/>
    <w:rsid w:val="001B6F56"/>
    <w:rsid w:val="001B715F"/>
    <w:rsid w:val="001B71BB"/>
    <w:rsid w:val="001C01C9"/>
    <w:rsid w:val="001C05A8"/>
    <w:rsid w:val="001C2584"/>
    <w:rsid w:val="001C2A9B"/>
    <w:rsid w:val="001C2B81"/>
    <w:rsid w:val="001C3815"/>
    <w:rsid w:val="001C433B"/>
    <w:rsid w:val="001C44A8"/>
    <w:rsid w:val="001C601D"/>
    <w:rsid w:val="001C63F5"/>
    <w:rsid w:val="001C70AA"/>
    <w:rsid w:val="001C72DB"/>
    <w:rsid w:val="001C752B"/>
    <w:rsid w:val="001D0495"/>
    <w:rsid w:val="001D08E6"/>
    <w:rsid w:val="001D2C4B"/>
    <w:rsid w:val="001D33AA"/>
    <w:rsid w:val="001D3BEF"/>
    <w:rsid w:val="001D5E6E"/>
    <w:rsid w:val="001D6250"/>
    <w:rsid w:val="001D6E48"/>
    <w:rsid w:val="001D7034"/>
    <w:rsid w:val="001D7272"/>
    <w:rsid w:val="001D7549"/>
    <w:rsid w:val="001D781D"/>
    <w:rsid w:val="001E08B2"/>
    <w:rsid w:val="001E102D"/>
    <w:rsid w:val="001E14B2"/>
    <w:rsid w:val="001E1CEA"/>
    <w:rsid w:val="001E20E0"/>
    <w:rsid w:val="001E22DF"/>
    <w:rsid w:val="001E31B3"/>
    <w:rsid w:val="001E3507"/>
    <w:rsid w:val="001E5AE0"/>
    <w:rsid w:val="001E5C5A"/>
    <w:rsid w:val="001E62FD"/>
    <w:rsid w:val="001E6963"/>
    <w:rsid w:val="001E6C70"/>
    <w:rsid w:val="001E75E9"/>
    <w:rsid w:val="001E7BD7"/>
    <w:rsid w:val="001E7CC5"/>
    <w:rsid w:val="001F09F4"/>
    <w:rsid w:val="001F1082"/>
    <w:rsid w:val="001F1E53"/>
    <w:rsid w:val="001F1FD4"/>
    <w:rsid w:val="001F2236"/>
    <w:rsid w:val="001F248A"/>
    <w:rsid w:val="001F25D2"/>
    <w:rsid w:val="001F3786"/>
    <w:rsid w:val="001F3CE3"/>
    <w:rsid w:val="001F446A"/>
    <w:rsid w:val="001F49A9"/>
    <w:rsid w:val="001F5357"/>
    <w:rsid w:val="001F5B0C"/>
    <w:rsid w:val="001F6659"/>
    <w:rsid w:val="001F7549"/>
    <w:rsid w:val="001F7CE2"/>
    <w:rsid w:val="002015C3"/>
    <w:rsid w:val="00201871"/>
    <w:rsid w:val="00202D27"/>
    <w:rsid w:val="00203F7D"/>
    <w:rsid w:val="002041EE"/>
    <w:rsid w:val="00204F19"/>
    <w:rsid w:val="002050E4"/>
    <w:rsid w:val="002053A1"/>
    <w:rsid w:val="00205F3E"/>
    <w:rsid w:val="00205FC6"/>
    <w:rsid w:val="002060E3"/>
    <w:rsid w:val="0020661D"/>
    <w:rsid w:val="00206DF4"/>
    <w:rsid w:val="00207339"/>
    <w:rsid w:val="00207953"/>
    <w:rsid w:val="002104CB"/>
    <w:rsid w:val="00210F45"/>
    <w:rsid w:val="002113A5"/>
    <w:rsid w:val="0021257F"/>
    <w:rsid w:val="00212E63"/>
    <w:rsid w:val="00212F33"/>
    <w:rsid w:val="00213312"/>
    <w:rsid w:val="002137F1"/>
    <w:rsid w:val="002138BC"/>
    <w:rsid w:val="00215A3E"/>
    <w:rsid w:val="0021648E"/>
    <w:rsid w:val="002164E1"/>
    <w:rsid w:val="002204EA"/>
    <w:rsid w:val="002231F3"/>
    <w:rsid w:val="002239FD"/>
    <w:rsid w:val="00223BB0"/>
    <w:rsid w:val="00223BB8"/>
    <w:rsid w:val="00223C0F"/>
    <w:rsid w:val="002244D8"/>
    <w:rsid w:val="00224B3C"/>
    <w:rsid w:val="00224B85"/>
    <w:rsid w:val="00226B88"/>
    <w:rsid w:val="00226E6F"/>
    <w:rsid w:val="0022724C"/>
    <w:rsid w:val="00230508"/>
    <w:rsid w:val="00230746"/>
    <w:rsid w:val="00230CEC"/>
    <w:rsid w:val="002310C4"/>
    <w:rsid w:val="00231C69"/>
    <w:rsid w:val="00233194"/>
    <w:rsid w:val="002351BF"/>
    <w:rsid w:val="00235E09"/>
    <w:rsid w:val="002362D7"/>
    <w:rsid w:val="0023675D"/>
    <w:rsid w:val="002367F0"/>
    <w:rsid w:val="0023714A"/>
    <w:rsid w:val="002400B2"/>
    <w:rsid w:val="002402CC"/>
    <w:rsid w:val="002413CA"/>
    <w:rsid w:val="002416DF"/>
    <w:rsid w:val="00242B49"/>
    <w:rsid w:val="00243990"/>
    <w:rsid w:val="00244B74"/>
    <w:rsid w:val="00244FE1"/>
    <w:rsid w:val="00246290"/>
    <w:rsid w:val="00246581"/>
    <w:rsid w:val="0024739F"/>
    <w:rsid w:val="0024768A"/>
    <w:rsid w:val="00251877"/>
    <w:rsid w:val="00254169"/>
    <w:rsid w:val="002555CA"/>
    <w:rsid w:val="0025629C"/>
    <w:rsid w:val="0025754C"/>
    <w:rsid w:val="0025758A"/>
    <w:rsid w:val="00257693"/>
    <w:rsid w:val="002578A1"/>
    <w:rsid w:val="0025792A"/>
    <w:rsid w:val="00257CCE"/>
    <w:rsid w:val="00260682"/>
    <w:rsid w:val="00261800"/>
    <w:rsid w:val="00261D5F"/>
    <w:rsid w:val="0026314F"/>
    <w:rsid w:val="00263354"/>
    <w:rsid w:val="00263B3F"/>
    <w:rsid w:val="00264155"/>
    <w:rsid w:val="0026472C"/>
    <w:rsid w:val="00264C23"/>
    <w:rsid w:val="00265255"/>
    <w:rsid w:val="0026528A"/>
    <w:rsid w:val="00265354"/>
    <w:rsid w:val="002659F9"/>
    <w:rsid w:val="00266227"/>
    <w:rsid w:val="00266303"/>
    <w:rsid w:val="00266DFD"/>
    <w:rsid w:val="00266F42"/>
    <w:rsid w:val="00267349"/>
    <w:rsid w:val="00267410"/>
    <w:rsid w:val="0027037F"/>
    <w:rsid w:val="00271326"/>
    <w:rsid w:val="00273499"/>
    <w:rsid w:val="00273BF3"/>
    <w:rsid w:val="00274265"/>
    <w:rsid w:val="002751AF"/>
    <w:rsid w:val="00275502"/>
    <w:rsid w:val="002801A1"/>
    <w:rsid w:val="00280732"/>
    <w:rsid w:val="00281F15"/>
    <w:rsid w:val="00282977"/>
    <w:rsid w:val="00283065"/>
    <w:rsid w:val="002849F4"/>
    <w:rsid w:val="00284FBA"/>
    <w:rsid w:val="002856CE"/>
    <w:rsid w:val="00285D4E"/>
    <w:rsid w:val="002861A8"/>
    <w:rsid w:val="002861FE"/>
    <w:rsid w:val="002874C3"/>
    <w:rsid w:val="002915E0"/>
    <w:rsid w:val="00291911"/>
    <w:rsid w:val="00291CBB"/>
    <w:rsid w:val="00291CD3"/>
    <w:rsid w:val="002934B0"/>
    <w:rsid w:val="00293FE9"/>
    <w:rsid w:val="00295240"/>
    <w:rsid w:val="00295EAD"/>
    <w:rsid w:val="00296B40"/>
    <w:rsid w:val="00296E30"/>
    <w:rsid w:val="00297543"/>
    <w:rsid w:val="00297C7B"/>
    <w:rsid w:val="002A175A"/>
    <w:rsid w:val="002A22F9"/>
    <w:rsid w:val="002A288F"/>
    <w:rsid w:val="002A29AF"/>
    <w:rsid w:val="002A2A5D"/>
    <w:rsid w:val="002A3327"/>
    <w:rsid w:val="002A351E"/>
    <w:rsid w:val="002A3638"/>
    <w:rsid w:val="002A4DBD"/>
    <w:rsid w:val="002A51BE"/>
    <w:rsid w:val="002A5311"/>
    <w:rsid w:val="002A57F6"/>
    <w:rsid w:val="002A5A39"/>
    <w:rsid w:val="002A7E6C"/>
    <w:rsid w:val="002B0290"/>
    <w:rsid w:val="002B1077"/>
    <w:rsid w:val="002B147A"/>
    <w:rsid w:val="002B18F1"/>
    <w:rsid w:val="002B1A77"/>
    <w:rsid w:val="002B4DDD"/>
    <w:rsid w:val="002B617F"/>
    <w:rsid w:val="002B63C6"/>
    <w:rsid w:val="002B6C8F"/>
    <w:rsid w:val="002B710B"/>
    <w:rsid w:val="002C1765"/>
    <w:rsid w:val="002C2208"/>
    <w:rsid w:val="002C2AD1"/>
    <w:rsid w:val="002C3AEE"/>
    <w:rsid w:val="002C481C"/>
    <w:rsid w:val="002C4A71"/>
    <w:rsid w:val="002C50BC"/>
    <w:rsid w:val="002C60E7"/>
    <w:rsid w:val="002C6557"/>
    <w:rsid w:val="002C6A2E"/>
    <w:rsid w:val="002C736A"/>
    <w:rsid w:val="002C7AA5"/>
    <w:rsid w:val="002D0A52"/>
    <w:rsid w:val="002D15A3"/>
    <w:rsid w:val="002D303D"/>
    <w:rsid w:val="002D471C"/>
    <w:rsid w:val="002D495E"/>
    <w:rsid w:val="002D512C"/>
    <w:rsid w:val="002D556A"/>
    <w:rsid w:val="002D5689"/>
    <w:rsid w:val="002D5B14"/>
    <w:rsid w:val="002D60F5"/>
    <w:rsid w:val="002D6175"/>
    <w:rsid w:val="002D7318"/>
    <w:rsid w:val="002E104E"/>
    <w:rsid w:val="002E11C5"/>
    <w:rsid w:val="002E13E8"/>
    <w:rsid w:val="002E1AA4"/>
    <w:rsid w:val="002E21AE"/>
    <w:rsid w:val="002E2271"/>
    <w:rsid w:val="002E2374"/>
    <w:rsid w:val="002E23C8"/>
    <w:rsid w:val="002E2985"/>
    <w:rsid w:val="002E3A09"/>
    <w:rsid w:val="002E4246"/>
    <w:rsid w:val="002E46AA"/>
    <w:rsid w:val="002E5477"/>
    <w:rsid w:val="002E5B14"/>
    <w:rsid w:val="002E5F66"/>
    <w:rsid w:val="002E60D8"/>
    <w:rsid w:val="002E7088"/>
    <w:rsid w:val="002E7338"/>
    <w:rsid w:val="002E73B4"/>
    <w:rsid w:val="002E7432"/>
    <w:rsid w:val="002F0B5A"/>
    <w:rsid w:val="002F0CDC"/>
    <w:rsid w:val="002F1174"/>
    <w:rsid w:val="002F1407"/>
    <w:rsid w:val="002F259D"/>
    <w:rsid w:val="002F2798"/>
    <w:rsid w:val="002F385B"/>
    <w:rsid w:val="002F4B75"/>
    <w:rsid w:val="002F4D82"/>
    <w:rsid w:val="002F613E"/>
    <w:rsid w:val="002F6657"/>
    <w:rsid w:val="002F7BAC"/>
    <w:rsid w:val="00301071"/>
    <w:rsid w:val="00301103"/>
    <w:rsid w:val="003013D3"/>
    <w:rsid w:val="0030175F"/>
    <w:rsid w:val="00304627"/>
    <w:rsid w:val="003047E5"/>
    <w:rsid w:val="00304A13"/>
    <w:rsid w:val="00304CA9"/>
    <w:rsid w:val="00305FE6"/>
    <w:rsid w:val="0030714C"/>
    <w:rsid w:val="00312167"/>
    <w:rsid w:val="00312D5B"/>
    <w:rsid w:val="00314394"/>
    <w:rsid w:val="003148B1"/>
    <w:rsid w:val="0031593D"/>
    <w:rsid w:val="00316192"/>
    <w:rsid w:val="003161D8"/>
    <w:rsid w:val="003164EB"/>
    <w:rsid w:val="00316654"/>
    <w:rsid w:val="00316ABD"/>
    <w:rsid w:val="00317075"/>
    <w:rsid w:val="00317A2F"/>
    <w:rsid w:val="00317F69"/>
    <w:rsid w:val="003206BF"/>
    <w:rsid w:val="00321F0C"/>
    <w:rsid w:val="00325605"/>
    <w:rsid w:val="00325721"/>
    <w:rsid w:val="0032676E"/>
    <w:rsid w:val="00326D7C"/>
    <w:rsid w:val="00327F5E"/>
    <w:rsid w:val="00330398"/>
    <w:rsid w:val="00331377"/>
    <w:rsid w:val="0033151B"/>
    <w:rsid w:val="00331E92"/>
    <w:rsid w:val="00331F29"/>
    <w:rsid w:val="00332BA5"/>
    <w:rsid w:val="00332F8E"/>
    <w:rsid w:val="0033346F"/>
    <w:rsid w:val="00333D06"/>
    <w:rsid w:val="0033428F"/>
    <w:rsid w:val="00334790"/>
    <w:rsid w:val="00334CC0"/>
    <w:rsid w:val="00334EF9"/>
    <w:rsid w:val="00335FAF"/>
    <w:rsid w:val="00336F07"/>
    <w:rsid w:val="003375BF"/>
    <w:rsid w:val="00340C5C"/>
    <w:rsid w:val="003421C2"/>
    <w:rsid w:val="0034238B"/>
    <w:rsid w:val="003440F3"/>
    <w:rsid w:val="00344B81"/>
    <w:rsid w:val="00345035"/>
    <w:rsid w:val="00345101"/>
    <w:rsid w:val="003452E2"/>
    <w:rsid w:val="003467DC"/>
    <w:rsid w:val="0034690A"/>
    <w:rsid w:val="00346FF2"/>
    <w:rsid w:val="003501B9"/>
    <w:rsid w:val="0035049E"/>
    <w:rsid w:val="00350667"/>
    <w:rsid w:val="00351BD1"/>
    <w:rsid w:val="00352151"/>
    <w:rsid w:val="0035292D"/>
    <w:rsid w:val="00352CBE"/>
    <w:rsid w:val="003543E6"/>
    <w:rsid w:val="00354E1B"/>
    <w:rsid w:val="00354E83"/>
    <w:rsid w:val="0035523E"/>
    <w:rsid w:val="00356168"/>
    <w:rsid w:val="00356B07"/>
    <w:rsid w:val="00356EA0"/>
    <w:rsid w:val="003577F3"/>
    <w:rsid w:val="0036091B"/>
    <w:rsid w:val="00361BF6"/>
    <w:rsid w:val="00361C30"/>
    <w:rsid w:val="00362F2E"/>
    <w:rsid w:val="00364911"/>
    <w:rsid w:val="00365249"/>
    <w:rsid w:val="003659DD"/>
    <w:rsid w:val="00365ADE"/>
    <w:rsid w:val="003663DE"/>
    <w:rsid w:val="00366E2B"/>
    <w:rsid w:val="003674DE"/>
    <w:rsid w:val="00370E13"/>
    <w:rsid w:val="0037226D"/>
    <w:rsid w:val="0037283F"/>
    <w:rsid w:val="00372C50"/>
    <w:rsid w:val="00372DCB"/>
    <w:rsid w:val="00372E69"/>
    <w:rsid w:val="00372EC8"/>
    <w:rsid w:val="00373310"/>
    <w:rsid w:val="0037341A"/>
    <w:rsid w:val="00374308"/>
    <w:rsid w:val="003745CF"/>
    <w:rsid w:val="00375618"/>
    <w:rsid w:val="00380A2F"/>
    <w:rsid w:val="0038112D"/>
    <w:rsid w:val="003824E8"/>
    <w:rsid w:val="00382865"/>
    <w:rsid w:val="003834DC"/>
    <w:rsid w:val="0038395B"/>
    <w:rsid w:val="003845D6"/>
    <w:rsid w:val="003864A7"/>
    <w:rsid w:val="00386896"/>
    <w:rsid w:val="003876E9"/>
    <w:rsid w:val="0039290E"/>
    <w:rsid w:val="003930B4"/>
    <w:rsid w:val="003937F2"/>
    <w:rsid w:val="003947CC"/>
    <w:rsid w:val="00394CCE"/>
    <w:rsid w:val="00396212"/>
    <w:rsid w:val="00396341"/>
    <w:rsid w:val="003974A1"/>
    <w:rsid w:val="003978A5"/>
    <w:rsid w:val="00397F80"/>
    <w:rsid w:val="003A0FE7"/>
    <w:rsid w:val="003A137D"/>
    <w:rsid w:val="003A1776"/>
    <w:rsid w:val="003A2394"/>
    <w:rsid w:val="003A2F1B"/>
    <w:rsid w:val="003A30E7"/>
    <w:rsid w:val="003A4DDB"/>
    <w:rsid w:val="003A76CE"/>
    <w:rsid w:val="003A779F"/>
    <w:rsid w:val="003A77EE"/>
    <w:rsid w:val="003A7B6C"/>
    <w:rsid w:val="003B0A7D"/>
    <w:rsid w:val="003B1416"/>
    <w:rsid w:val="003B35F5"/>
    <w:rsid w:val="003B3820"/>
    <w:rsid w:val="003B4276"/>
    <w:rsid w:val="003B573B"/>
    <w:rsid w:val="003B5D26"/>
    <w:rsid w:val="003B6CCD"/>
    <w:rsid w:val="003B6FA1"/>
    <w:rsid w:val="003B78C4"/>
    <w:rsid w:val="003C11A6"/>
    <w:rsid w:val="003C13B7"/>
    <w:rsid w:val="003C15A9"/>
    <w:rsid w:val="003C2293"/>
    <w:rsid w:val="003C3251"/>
    <w:rsid w:val="003C353B"/>
    <w:rsid w:val="003C3AEE"/>
    <w:rsid w:val="003C4081"/>
    <w:rsid w:val="003C438D"/>
    <w:rsid w:val="003C497E"/>
    <w:rsid w:val="003C5984"/>
    <w:rsid w:val="003C5C92"/>
    <w:rsid w:val="003C6536"/>
    <w:rsid w:val="003C6771"/>
    <w:rsid w:val="003C7D87"/>
    <w:rsid w:val="003D0F24"/>
    <w:rsid w:val="003D123E"/>
    <w:rsid w:val="003D145D"/>
    <w:rsid w:val="003D2E3D"/>
    <w:rsid w:val="003D3F2C"/>
    <w:rsid w:val="003D43BA"/>
    <w:rsid w:val="003D4AFB"/>
    <w:rsid w:val="003D6183"/>
    <w:rsid w:val="003D6553"/>
    <w:rsid w:val="003D7360"/>
    <w:rsid w:val="003E0B4D"/>
    <w:rsid w:val="003E0FBA"/>
    <w:rsid w:val="003E12D9"/>
    <w:rsid w:val="003E1E3B"/>
    <w:rsid w:val="003E20E5"/>
    <w:rsid w:val="003E20F6"/>
    <w:rsid w:val="003E2CE7"/>
    <w:rsid w:val="003E2F35"/>
    <w:rsid w:val="003E2F55"/>
    <w:rsid w:val="003E334F"/>
    <w:rsid w:val="003E3357"/>
    <w:rsid w:val="003E3B65"/>
    <w:rsid w:val="003E3D4D"/>
    <w:rsid w:val="003E4090"/>
    <w:rsid w:val="003E54A2"/>
    <w:rsid w:val="003E59A2"/>
    <w:rsid w:val="003E5A0E"/>
    <w:rsid w:val="003E5E2B"/>
    <w:rsid w:val="003E5E5A"/>
    <w:rsid w:val="003E5E90"/>
    <w:rsid w:val="003E677E"/>
    <w:rsid w:val="003E7F13"/>
    <w:rsid w:val="003F08F4"/>
    <w:rsid w:val="003F0B03"/>
    <w:rsid w:val="003F0D07"/>
    <w:rsid w:val="003F0D9C"/>
    <w:rsid w:val="003F1E83"/>
    <w:rsid w:val="003F202C"/>
    <w:rsid w:val="003F25FD"/>
    <w:rsid w:val="003F384C"/>
    <w:rsid w:val="003F4A7D"/>
    <w:rsid w:val="003F4C9F"/>
    <w:rsid w:val="003F4D4F"/>
    <w:rsid w:val="003F52FC"/>
    <w:rsid w:val="003F5714"/>
    <w:rsid w:val="003F621B"/>
    <w:rsid w:val="003F6583"/>
    <w:rsid w:val="003F7512"/>
    <w:rsid w:val="003F76E6"/>
    <w:rsid w:val="00400E66"/>
    <w:rsid w:val="0040137B"/>
    <w:rsid w:val="0040139D"/>
    <w:rsid w:val="0040195B"/>
    <w:rsid w:val="004034C5"/>
    <w:rsid w:val="00403CEA"/>
    <w:rsid w:val="004050F8"/>
    <w:rsid w:val="00406561"/>
    <w:rsid w:val="0040673E"/>
    <w:rsid w:val="00410157"/>
    <w:rsid w:val="00410B1D"/>
    <w:rsid w:val="0041118C"/>
    <w:rsid w:val="00411318"/>
    <w:rsid w:val="004117DA"/>
    <w:rsid w:val="0041233D"/>
    <w:rsid w:val="00412AAE"/>
    <w:rsid w:val="00412CC5"/>
    <w:rsid w:val="00413115"/>
    <w:rsid w:val="0041334D"/>
    <w:rsid w:val="00414594"/>
    <w:rsid w:val="00414BB4"/>
    <w:rsid w:val="004151CD"/>
    <w:rsid w:val="00415D0C"/>
    <w:rsid w:val="00416D6E"/>
    <w:rsid w:val="00417371"/>
    <w:rsid w:val="004206C8"/>
    <w:rsid w:val="004217B1"/>
    <w:rsid w:val="00421C4E"/>
    <w:rsid w:val="00421E99"/>
    <w:rsid w:val="00422DE3"/>
    <w:rsid w:val="00422F69"/>
    <w:rsid w:val="004234ED"/>
    <w:rsid w:val="00423C5F"/>
    <w:rsid w:val="00423D11"/>
    <w:rsid w:val="0042403C"/>
    <w:rsid w:val="00424B1C"/>
    <w:rsid w:val="00424D90"/>
    <w:rsid w:val="0043008E"/>
    <w:rsid w:val="004306C5"/>
    <w:rsid w:val="004309EF"/>
    <w:rsid w:val="00431353"/>
    <w:rsid w:val="004314B3"/>
    <w:rsid w:val="00431F4A"/>
    <w:rsid w:val="00434C25"/>
    <w:rsid w:val="00436265"/>
    <w:rsid w:val="00436D1A"/>
    <w:rsid w:val="00437BFB"/>
    <w:rsid w:val="00440F18"/>
    <w:rsid w:val="00441463"/>
    <w:rsid w:val="004420DF"/>
    <w:rsid w:val="00442257"/>
    <w:rsid w:val="00443A08"/>
    <w:rsid w:val="00443F6C"/>
    <w:rsid w:val="00445BBC"/>
    <w:rsid w:val="00446376"/>
    <w:rsid w:val="00446F21"/>
    <w:rsid w:val="004473C8"/>
    <w:rsid w:val="004501E2"/>
    <w:rsid w:val="004504F9"/>
    <w:rsid w:val="004506BC"/>
    <w:rsid w:val="0045242B"/>
    <w:rsid w:val="00452592"/>
    <w:rsid w:val="004528B9"/>
    <w:rsid w:val="00453246"/>
    <w:rsid w:val="00453980"/>
    <w:rsid w:val="0045404C"/>
    <w:rsid w:val="0045410B"/>
    <w:rsid w:val="00454ED3"/>
    <w:rsid w:val="00455C93"/>
    <w:rsid w:val="00455E88"/>
    <w:rsid w:val="004561C8"/>
    <w:rsid w:val="004564E5"/>
    <w:rsid w:val="0045690B"/>
    <w:rsid w:val="00457C68"/>
    <w:rsid w:val="00457E7C"/>
    <w:rsid w:val="00461386"/>
    <w:rsid w:val="00461799"/>
    <w:rsid w:val="004646D6"/>
    <w:rsid w:val="004652A6"/>
    <w:rsid w:val="0046557F"/>
    <w:rsid w:val="00465A96"/>
    <w:rsid w:val="0046691D"/>
    <w:rsid w:val="004707F3"/>
    <w:rsid w:val="00471781"/>
    <w:rsid w:val="00471C4E"/>
    <w:rsid w:val="004723EF"/>
    <w:rsid w:val="004729AD"/>
    <w:rsid w:val="004734E4"/>
    <w:rsid w:val="00473765"/>
    <w:rsid w:val="0047485C"/>
    <w:rsid w:val="00474A52"/>
    <w:rsid w:val="00475BAA"/>
    <w:rsid w:val="0047714E"/>
    <w:rsid w:val="004771D3"/>
    <w:rsid w:val="00477414"/>
    <w:rsid w:val="0048048E"/>
    <w:rsid w:val="004832FE"/>
    <w:rsid w:val="00483A6F"/>
    <w:rsid w:val="00484486"/>
    <w:rsid w:val="00486F9C"/>
    <w:rsid w:val="0048742D"/>
    <w:rsid w:val="0048744F"/>
    <w:rsid w:val="00487579"/>
    <w:rsid w:val="004910CB"/>
    <w:rsid w:val="00491483"/>
    <w:rsid w:val="0049152A"/>
    <w:rsid w:val="00491849"/>
    <w:rsid w:val="00491B61"/>
    <w:rsid w:val="00491D78"/>
    <w:rsid w:val="004921F3"/>
    <w:rsid w:val="00492AD1"/>
    <w:rsid w:val="0049553E"/>
    <w:rsid w:val="00496647"/>
    <w:rsid w:val="00496EAC"/>
    <w:rsid w:val="00496F1D"/>
    <w:rsid w:val="004A18D5"/>
    <w:rsid w:val="004A336D"/>
    <w:rsid w:val="004A405D"/>
    <w:rsid w:val="004A6375"/>
    <w:rsid w:val="004B052A"/>
    <w:rsid w:val="004B0D35"/>
    <w:rsid w:val="004B0F33"/>
    <w:rsid w:val="004B295E"/>
    <w:rsid w:val="004B2DD4"/>
    <w:rsid w:val="004B3370"/>
    <w:rsid w:val="004B38C6"/>
    <w:rsid w:val="004B3A87"/>
    <w:rsid w:val="004B4606"/>
    <w:rsid w:val="004B4D9F"/>
    <w:rsid w:val="004B6AFD"/>
    <w:rsid w:val="004B7438"/>
    <w:rsid w:val="004C0223"/>
    <w:rsid w:val="004C08C9"/>
    <w:rsid w:val="004C0CC6"/>
    <w:rsid w:val="004C10AB"/>
    <w:rsid w:val="004C1715"/>
    <w:rsid w:val="004C1B38"/>
    <w:rsid w:val="004C1E30"/>
    <w:rsid w:val="004C2409"/>
    <w:rsid w:val="004C2A0A"/>
    <w:rsid w:val="004C3A11"/>
    <w:rsid w:val="004C3F34"/>
    <w:rsid w:val="004C41F4"/>
    <w:rsid w:val="004C4D17"/>
    <w:rsid w:val="004C5FAA"/>
    <w:rsid w:val="004C63EC"/>
    <w:rsid w:val="004C6C70"/>
    <w:rsid w:val="004C7779"/>
    <w:rsid w:val="004C7B98"/>
    <w:rsid w:val="004D1F52"/>
    <w:rsid w:val="004D26D2"/>
    <w:rsid w:val="004D46C0"/>
    <w:rsid w:val="004D630B"/>
    <w:rsid w:val="004E0F5A"/>
    <w:rsid w:val="004E1029"/>
    <w:rsid w:val="004E4036"/>
    <w:rsid w:val="004E488F"/>
    <w:rsid w:val="004E53A4"/>
    <w:rsid w:val="004E57C4"/>
    <w:rsid w:val="004E72A3"/>
    <w:rsid w:val="004E7CA9"/>
    <w:rsid w:val="004F0899"/>
    <w:rsid w:val="004F0DF5"/>
    <w:rsid w:val="004F1089"/>
    <w:rsid w:val="004F2A67"/>
    <w:rsid w:val="004F2E43"/>
    <w:rsid w:val="004F3F18"/>
    <w:rsid w:val="004F4205"/>
    <w:rsid w:val="004F44E8"/>
    <w:rsid w:val="004F4575"/>
    <w:rsid w:val="004F473A"/>
    <w:rsid w:val="004F5569"/>
    <w:rsid w:val="004F5835"/>
    <w:rsid w:val="004F59E1"/>
    <w:rsid w:val="004F5B8B"/>
    <w:rsid w:val="004F65F0"/>
    <w:rsid w:val="004F779F"/>
    <w:rsid w:val="005006B6"/>
    <w:rsid w:val="005007CA"/>
    <w:rsid w:val="005023E9"/>
    <w:rsid w:val="00502BEE"/>
    <w:rsid w:val="00502D62"/>
    <w:rsid w:val="0050362D"/>
    <w:rsid w:val="00504623"/>
    <w:rsid w:val="005050E8"/>
    <w:rsid w:val="00505388"/>
    <w:rsid w:val="00505B7B"/>
    <w:rsid w:val="0050723D"/>
    <w:rsid w:val="00507CCD"/>
    <w:rsid w:val="005106B6"/>
    <w:rsid w:val="00510ADF"/>
    <w:rsid w:val="0051179B"/>
    <w:rsid w:val="00512357"/>
    <w:rsid w:val="00512D12"/>
    <w:rsid w:val="00512E92"/>
    <w:rsid w:val="005130FB"/>
    <w:rsid w:val="0051316F"/>
    <w:rsid w:val="0051366D"/>
    <w:rsid w:val="0051381A"/>
    <w:rsid w:val="00515192"/>
    <w:rsid w:val="005159E4"/>
    <w:rsid w:val="00515C59"/>
    <w:rsid w:val="0051655E"/>
    <w:rsid w:val="00516575"/>
    <w:rsid w:val="005166DD"/>
    <w:rsid w:val="00520AF3"/>
    <w:rsid w:val="00521A2C"/>
    <w:rsid w:val="00521A30"/>
    <w:rsid w:val="00521CA8"/>
    <w:rsid w:val="00521CB7"/>
    <w:rsid w:val="00521D00"/>
    <w:rsid w:val="00521D58"/>
    <w:rsid w:val="005225BF"/>
    <w:rsid w:val="00522603"/>
    <w:rsid w:val="00522B4E"/>
    <w:rsid w:val="00524050"/>
    <w:rsid w:val="00525A7A"/>
    <w:rsid w:val="00525B42"/>
    <w:rsid w:val="00525D9B"/>
    <w:rsid w:val="00526670"/>
    <w:rsid w:val="005269A0"/>
    <w:rsid w:val="00526B87"/>
    <w:rsid w:val="00526FFA"/>
    <w:rsid w:val="0052795A"/>
    <w:rsid w:val="0053001D"/>
    <w:rsid w:val="00530824"/>
    <w:rsid w:val="00530F09"/>
    <w:rsid w:val="00532E07"/>
    <w:rsid w:val="005330CF"/>
    <w:rsid w:val="00533DF0"/>
    <w:rsid w:val="00533EB1"/>
    <w:rsid w:val="005340EE"/>
    <w:rsid w:val="00535971"/>
    <w:rsid w:val="00535AAD"/>
    <w:rsid w:val="00535C65"/>
    <w:rsid w:val="005364E8"/>
    <w:rsid w:val="00540B7A"/>
    <w:rsid w:val="00541694"/>
    <w:rsid w:val="005416CB"/>
    <w:rsid w:val="00542BEA"/>
    <w:rsid w:val="00542CC4"/>
    <w:rsid w:val="005442CA"/>
    <w:rsid w:val="00544BCF"/>
    <w:rsid w:val="00545911"/>
    <w:rsid w:val="00546DD2"/>
    <w:rsid w:val="005473C9"/>
    <w:rsid w:val="00550182"/>
    <w:rsid w:val="005501C2"/>
    <w:rsid w:val="00550D08"/>
    <w:rsid w:val="00551656"/>
    <w:rsid w:val="00551C11"/>
    <w:rsid w:val="00552924"/>
    <w:rsid w:val="00552B08"/>
    <w:rsid w:val="00553410"/>
    <w:rsid w:val="00553458"/>
    <w:rsid w:val="00553AFA"/>
    <w:rsid w:val="0055473D"/>
    <w:rsid w:val="00556801"/>
    <w:rsid w:val="00557568"/>
    <w:rsid w:val="00560914"/>
    <w:rsid w:val="00560BFA"/>
    <w:rsid w:val="00562176"/>
    <w:rsid w:val="00562260"/>
    <w:rsid w:val="00563831"/>
    <w:rsid w:val="0056552F"/>
    <w:rsid w:val="0056567A"/>
    <w:rsid w:val="00566065"/>
    <w:rsid w:val="005667FE"/>
    <w:rsid w:val="00567972"/>
    <w:rsid w:val="00570678"/>
    <w:rsid w:val="0057113D"/>
    <w:rsid w:val="005718AF"/>
    <w:rsid w:val="00572BF9"/>
    <w:rsid w:val="00572FC3"/>
    <w:rsid w:val="00572FE1"/>
    <w:rsid w:val="005730A2"/>
    <w:rsid w:val="0057344B"/>
    <w:rsid w:val="005739B7"/>
    <w:rsid w:val="005740AD"/>
    <w:rsid w:val="00574406"/>
    <w:rsid w:val="005744FA"/>
    <w:rsid w:val="00574F3A"/>
    <w:rsid w:val="005766D6"/>
    <w:rsid w:val="00576A22"/>
    <w:rsid w:val="00576C3F"/>
    <w:rsid w:val="005775F7"/>
    <w:rsid w:val="00580353"/>
    <w:rsid w:val="00581429"/>
    <w:rsid w:val="005821D0"/>
    <w:rsid w:val="005821EF"/>
    <w:rsid w:val="00582459"/>
    <w:rsid w:val="00583420"/>
    <w:rsid w:val="00583D6D"/>
    <w:rsid w:val="00584FD6"/>
    <w:rsid w:val="00585618"/>
    <w:rsid w:val="00585792"/>
    <w:rsid w:val="00585BD6"/>
    <w:rsid w:val="00585DB6"/>
    <w:rsid w:val="0058652C"/>
    <w:rsid w:val="00587225"/>
    <w:rsid w:val="005907F6"/>
    <w:rsid w:val="0059100A"/>
    <w:rsid w:val="00591B59"/>
    <w:rsid w:val="00592143"/>
    <w:rsid w:val="0059312C"/>
    <w:rsid w:val="00594E02"/>
    <w:rsid w:val="00596C4C"/>
    <w:rsid w:val="0059734F"/>
    <w:rsid w:val="005976FB"/>
    <w:rsid w:val="00597D93"/>
    <w:rsid w:val="005A0C7E"/>
    <w:rsid w:val="005A0FFB"/>
    <w:rsid w:val="005A1907"/>
    <w:rsid w:val="005A222A"/>
    <w:rsid w:val="005A2CE3"/>
    <w:rsid w:val="005A3D9B"/>
    <w:rsid w:val="005A4B15"/>
    <w:rsid w:val="005A4EAC"/>
    <w:rsid w:val="005A518E"/>
    <w:rsid w:val="005A55CF"/>
    <w:rsid w:val="005A578F"/>
    <w:rsid w:val="005A5FF7"/>
    <w:rsid w:val="005A6745"/>
    <w:rsid w:val="005B25B0"/>
    <w:rsid w:val="005B25FA"/>
    <w:rsid w:val="005B2B52"/>
    <w:rsid w:val="005B3566"/>
    <w:rsid w:val="005B3600"/>
    <w:rsid w:val="005B53FA"/>
    <w:rsid w:val="005B5E1D"/>
    <w:rsid w:val="005B7811"/>
    <w:rsid w:val="005B78A6"/>
    <w:rsid w:val="005C015D"/>
    <w:rsid w:val="005C0178"/>
    <w:rsid w:val="005C16DB"/>
    <w:rsid w:val="005C2E89"/>
    <w:rsid w:val="005C2E8D"/>
    <w:rsid w:val="005C3158"/>
    <w:rsid w:val="005C3534"/>
    <w:rsid w:val="005C41E8"/>
    <w:rsid w:val="005C4961"/>
    <w:rsid w:val="005C4F16"/>
    <w:rsid w:val="005C51CE"/>
    <w:rsid w:val="005C6488"/>
    <w:rsid w:val="005C7217"/>
    <w:rsid w:val="005C787C"/>
    <w:rsid w:val="005C7B08"/>
    <w:rsid w:val="005D0379"/>
    <w:rsid w:val="005D0EE9"/>
    <w:rsid w:val="005D1A8F"/>
    <w:rsid w:val="005D1E1D"/>
    <w:rsid w:val="005D2322"/>
    <w:rsid w:val="005D23F7"/>
    <w:rsid w:val="005D24F2"/>
    <w:rsid w:val="005D26B2"/>
    <w:rsid w:val="005D2A4C"/>
    <w:rsid w:val="005D2D62"/>
    <w:rsid w:val="005D375E"/>
    <w:rsid w:val="005D484F"/>
    <w:rsid w:val="005D55BB"/>
    <w:rsid w:val="005D79AF"/>
    <w:rsid w:val="005D7F68"/>
    <w:rsid w:val="005E06FE"/>
    <w:rsid w:val="005E08EF"/>
    <w:rsid w:val="005E0A84"/>
    <w:rsid w:val="005E200B"/>
    <w:rsid w:val="005E221E"/>
    <w:rsid w:val="005E335D"/>
    <w:rsid w:val="005E3C17"/>
    <w:rsid w:val="005E4EE8"/>
    <w:rsid w:val="005E5EC5"/>
    <w:rsid w:val="005E6077"/>
    <w:rsid w:val="005E6231"/>
    <w:rsid w:val="005E6BEE"/>
    <w:rsid w:val="005E7BD1"/>
    <w:rsid w:val="005F0A11"/>
    <w:rsid w:val="005F1DAE"/>
    <w:rsid w:val="005F2453"/>
    <w:rsid w:val="005F3376"/>
    <w:rsid w:val="005F5FB7"/>
    <w:rsid w:val="005F61D7"/>
    <w:rsid w:val="005F6F94"/>
    <w:rsid w:val="005F7099"/>
    <w:rsid w:val="005F7BF9"/>
    <w:rsid w:val="005F7E17"/>
    <w:rsid w:val="005F7FCF"/>
    <w:rsid w:val="006002BA"/>
    <w:rsid w:val="00600E6D"/>
    <w:rsid w:val="00601E48"/>
    <w:rsid w:val="00602484"/>
    <w:rsid w:val="0060272F"/>
    <w:rsid w:val="00602C99"/>
    <w:rsid w:val="0060656E"/>
    <w:rsid w:val="00606C0D"/>
    <w:rsid w:val="00607DEA"/>
    <w:rsid w:val="006109B0"/>
    <w:rsid w:val="00610D44"/>
    <w:rsid w:val="006112B0"/>
    <w:rsid w:val="006124E4"/>
    <w:rsid w:val="0061430F"/>
    <w:rsid w:val="00614B8B"/>
    <w:rsid w:val="0061607A"/>
    <w:rsid w:val="006164AF"/>
    <w:rsid w:val="00616FE4"/>
    <w:rsid w:val="006170A0"/>
    <w:rsid w:val="0061763D"/>
    <w:rsid w:val="0061780C"/>
    <w:rsid w:val="006178A3"/>
    <w:rsid w:val="00617A8B"/>
    <w:rsid w:val="0061C40E"/>
    <w:rsid w:val="0062066A"/>
    <w:rsid w:val="0062097B"/>
    <w:rsid w:val="00620C7F"/>
    <w:rsid w:val="00620D9E"/>
    <w:rsid w:val="006212BF"/>
    <w:rsid w:val="00621573"/>
    <w:rsid w:val="00622009"/>
    <w:rsid w:val="006227CC"/>
    <w:rsid w:val="00622A92"/>
    <w:rsid w:val="00624527"/>
    <w:rsid w:val="00624DEB"/>
    <w:rsid w:val="00625061"/>
    <w:rsid w:val="00626AEA"/>
    <w:rsid w:val="006270D6"/>
    <w:rsid w:val="0063110F"/>
    <w:rsid w:val="00631244"/>
    <w:rsid w:val="006325B7"/>
    <w:rsid w:val="006336FA"/>
    <w:rsid w:val="00633F69"/>
    <w:rsid w:val="006347A2"/>
    <w:rsid w:val="006350E3"/>
    <w:rsid w:val="00635F25"/>
    <w:rsid w:val="0063616C"/>
    <w:rsid w:val="0063652E"/>
    <w:rsid w:val="006367F4"/>
    <w:rsid w:val="00636983"/>
    <w:rsid w:val="006375A3"/>
    <w:rsid w:val="006375A8"/>
    <w:rsid w:val="00637F19"/>
    <w:rsid w:val="00640483"/>
    <w:rsid w:val="00640952"/>
    <w:rsid w:val="0064096A"/>
    <w:rsid w:val="006412F1"/>
    <w:rsid w:val="006413F5"/>
    <w:rsid w:val="00643053"/>
    <w:rsid w:val="006432BF"/>
    <w:rsid w:val="00643680"/>
    <w:rsid w:val="00643EF4"/>
    <w:rsid w:val="006440BE"/>
    <w:rsid w:val="00644647"/>
    <w:rsid w:val="0064557A"/>
    <w:rsid w:val="00645E77"/>
    <w:rsid w:val="00646335"/>
    <w:rsid w:val="00646430"/>
    <w:rsid w:val="006465EE"/>
    <w:rsid w:val="006478BA"/>
    <w:rsid w:val="006500BF"/>
    <w:rsid w:val="00650F75"/>
    <w:rsid w:val="00651274"/>
    <w:rsid w:val="00651586"/>
    <w:rsid w:val="006522DC"/>
    <w:rsid w:val="006523EB"/>
    <w:rsid w:val="006530D5"/>
    <w:rsid w:val="006556D0"/>
    <w:rsid w:val="0065578C"/>
    <w:rsid w:val="00655BA5"/>
    <w:rsid w:val="00657DE2"/>
    <w:rsid w:val="0066070F"/>
    <w:rsid w:val="00661B06"/>
    <w:rsid w:val="006623FB"/>
    <w:rsid w:val="00662A6C"/>
    <w:rsid w:val="00662F4A"/>
    <w:rsid w:val="00663DA8"/>
    <w:rsid w:val="0066487E"/>
    <w:rsid w:val="00665433"/>
    <w:rsid w:val="006656F4"/>
    <w:rsid w:val="00666230"/>
    <w:rsid w:val="00667217"/>
    <w:rsid w:val="006701CE"/>
    <w:rsid w:val="00670523"/>
    <w:rsid w:val="006705D5"/>
    <w:rsid w:val="00671B8E"/>
    <w:rsid w:val="006721B3"/>
    <w:rsid w:val="006739C4"/>
    <w:rsid w:val="00674372"/>
    <w:rsid w:val="00674851"/>
    <w:rsid w:val="006754F9"/>
    <w:rsid w:val="00675E2E"/>
    <w:rsid w:val="00676D95"/>
    <w:rsid w:val="00677831"/>
    <w:rsid w:val="00680230"/>
    <w:rsid w:val="0068249F"/>
    <w:rsid w:val="00682B99"/>
    <w:rsid w:val="00682EF1"/>
    <w:rsid w:val="00683AF7"/>
    <w:rsid w:val="00684236"/>
    <w:rsid w:val="00684833"/>
    <w:rsid w:val="00684883"/>
    <w:rsid w:val="00685049"/>
    <w:rsid w:val="006873A6"/>
    <w:rsid w:val="006876A3"/>
    <w:rsid w:val="0069004A"/>
    <w:rsid w:val="006906CC"/>
    <w:rsid w:val="006913F9"/>
    <w:rsid w:val="00691493"/>
    <w:rsid w:val="00691B72"/>
    <w:rsid w:val="00692CFE"/>
    <w:rsid w:val="00693116"/>
    <w:rsid w:val="0069372E"/>
    <w:rsid w:val="00693972"/>
    <w:rsid w:val="00693A00"/>
    <w:rsid w:val="00693D4C"/>
    <w:rsid w:val="006943DF"/>
    <w:rsid w:val="0069485A"/>
    <w:rsid w:val="00695877"/>
    <w:rsid w:val="00696878"/>
    <w:rsid w:val="006969B1"/>
    <w:rsid w:val="00696E40"/>
    <w:rsid w:val="006972D5"/>
    <w:rsid w:val="006979B7"/>
    <w:rsid w:val="006A06A1"/>
    <w:rsid w:val="006A12E7"/>
    <w:rsid w:val="006A133E"/>
    <w:rsid w:val="006A1F97"/>
    <w:rsid w:val="006A23BE"/>
    <w:rsid w:val="006A247F"/>
    <w:rsid w:val="006A2658"/>
    <w:rsid w:val="006A323C"/>
    <w:rsid w:val="006A3488"/>
    <w:rsid w:val="006A565F"/>
    <w:rsid w:val="006A5D2E"/>
    <w:rsid w:val="006A6F70"/>
    <w:rsid w:val="006A72D8"/>
    <w:rsid w:val="006A77C5"/>
    <w:rsid w:val="006B02DE"/>
    <w:rsid w:val="006B09EC"/>
    <w:rsid w:val="006B0F39"/>
    <w:rsid w:val="006B1424"/>
    <w:rsid w:val="006B14D4"/>
    <w:rsid w:val="006B42B3"/>
    <w:rsid w:val="006B4A2D"/>
    <w:rsid w:val="006B4D7E"/>
    <w:rsid w:val="006B5652"/>
    <w:rsid w:val="006B5FB8"/>
    <w:rsid w:val="006B6E86"/>
    <w:rsid w:val="006B700D"/>
    <w:rsid w:val="006B795F"/>
    <w:rsid w:val="006C046A"/>
    <w:rsid w:val="006C0763"/>
    <w:rsid w:val="006C219A"/>
    <w:rsid w:val="006C21E9"/>
    <w:rsid w:val="006C2947"/>
    <w:rsid w:val="006C2A7F"/>
    <w:rsid w:val="006C2D74"/>
    <w:rsid w:val="006C2E21"/>
    <w:rsid w:val="006C2F1C"/>
    <w:rsid w:val="006C3AF7"/>
    <w:rsid w:val="006C46AE"/>
    <w:rsid w:val="006C564F"/>
    <w:rsid w:val="006C6108"/>
    <w:rsid w:val="006C65F7"/>
    <w:rsid w:val="006C66D7"/>
    <w:rsid w:val="006C77F8"/>
    <w:rsid w:val="006D0048"/>
    <w:rsid w:val="006D052C"/>
    <w:rsid w:val="006D08C5"/>
    <w:rsid w:val="006D1542"/>
    <w:rsid w:val="006D1D67"/>
    <w:rsid w:val="006D1FBF"/>
    <w:rsid w:val="006D2AC7"/>
    <w:rsid w:val="006D35EF"/>
    <w:rsid w:val="006D36D3"/>
    <w:rsid w:val="006D397B"/>
    <w:rsid w:val="006D4900"/>
    <w:rsid w:val="006D4DC7"/>
    <w:rsid w:val="006D51E1"/>
    <w:rsid w:val="006D5B3B"/>
    <w:rsid w:val="006D65F4"/>
    <w:rsid w:val="006D6DAB"/>
    <w:rsid w:val="006D776B"/>
    <w:rsid w:val="006E113D"/>
    <w:rsid w:val="006E11DA"/>
    <w:rsid w:val="006E1262"/>
    <w:rsid w:val="006E137E"/>
    <w:rsid w:val="006E16DA"/>
    <w:rsid w:val="006E1AB9"/>
    <w:rsid w:val="006E2B36"/>
    <w:rsid w:val="006E2BBB"/>
    <w:rsid w:val="006E34D3"/>
    <w:rsid w:val="006E39B5"/>
    <w:rsid w:val="006E3A4D"/>
    <w:rsid w:val="006E41A9"/>
    <w:rsid w:val="006E43E3"/>
    <w:rsid w:val="006E513A"/>
    <w:rsid w:val="006E576E"/>
    <w:rsid w:val="006E5E5B"/>
    <w:rsid w:val="006E742F"/>
    <w:rsid w:val="006E7749"/>
    <w:rsid w:val="006F0665"/>
    <w:rsid w:val="006F1056"/>
    <w:rsid w:val="006F15CB"/>
    <w:rsid w:val="006F2122"/>
    <w:rsid w:val="006F2B67"/>
    <w:rsid w:val="006F33A9"/>
    <w:rsid w:val="006F3906"/>
    <w:rsid w:val="006F3B77"/>
    <w:rsid w:val="006F4340"/>
    <w:rsid w:val="006F45B6"/>
    <w:rsid w:val="006F51B9"/>
    <w:rsid w:val="006F6049"/>
    <w:rsid w:val="007004AE"/>
    <w:rsid w:val="00700AB5"/>
    <w:rsid w:val="00700FA6"/>
    <w:rsid w:val="0070124D"/>
    <w:rsid w:val="0070131B"/>
    <w:rsid w:val="007019F2"/>
    <w:rsid w:val="00701D94"/>
    <w:rsid w:val="00701EFE"/>
    <w:rsid w:val="00703863"/>
    <w:rsid w:val="00704A81"/>
    <w:rsid w:val="00704AFF"/>
    <w:rsid w:val="00704F34"/>
    <w:rsid w:val="007056B3"/>
    <w:rsid w:val="00705A90"/>
    <w:rsid w:val="00705C07"/>
    <w:rsid w:val="007065D9"/>
    <w:rsid w:val="00706767"/>
    <w:rsid w:val="00707863"/>
    <w:rsid w:val="00707BDF"/>
    <w:rsid w:val="00707D29"/>
    <w:rsid w:val="00710218"/>
    <w:rsid w:val="00710ED4"/>
    <w:rsid w:val="00711705"/>
    <w:rsid w:val="00712D10"/>
    <w:rsid w:val="00713205"/>
    <w:rsid w:val="007144DE"/>
    <w:rsid w:val="00715290"/>
    <w:rsid w:val="00715C64"/>
    <w:rsid w:val="00715F45"/>
    <w:rsid w:val="00716EA5"/>
    <w:rsid w:val="00717808"/>
    <w:rsid w:val="00717F65"/>
    <w:rsid w:val="007200F2"/>
    <w:rsid w:val="007208E4"/>
    <w:rsid w:val="00720AF7"/>
    <w:rsid w:val="00720D4C"/>
    <w:rsid w:val="00722138"/>
    <w:rsid w:val="00722AA7"/>
    <w:rsid w:val="00722EFE"/>
    <w:rsid w:val="00722F8E"/>
    <w:rsid w:val="007236B8"/>
    <w:rsid w:val="00723C64"/>
    <w:rsid w:val="00723DE0"/>
    <w:rsid w:val="007248AD"/>
    <w:rsid w:val="00725A62"/>
    <w:rsid w:val="00725F0F"/>
    <w:rsid w:val="007265BD"/>
    <w:rsid w:val="007273C0"/>
    <w:rsid w:val="00727DAD"/>
    <w:rsid w:val="007300B0"/>
    <w:rsid w:val="007302D6"/>
    <w:rsid w:val="007326A3"/>
    <w:rsid w:val="007341D4"/>
    <w:rsid w:val="00734630"/>
    <w:rsid w:val="00734DA2"/>
    <w:rsid w:val="0073542B"/>
    <w:rsid w:val="0073597A"/>
    <w:rsid w:val="00736434"/>
    <w:rsid w:val="00736B3F"/>
    <w:rsid w:val="007370C5"/>
    <w:rsid w:val="0073779F"/>
    <w:rsid w:val="0074023A"/>
    <w:rsid w:val="0074030E"/>
    <w:rsid w:val="00740810"/>
    <w:rsid w:val="007414E9"/>
    <w:rsid w:val="00741D49"/>
    <w:rsid w:val="00741EAF"/>
    <w:rsid w:val="0074365E"/>
    <w:rsid w:val="00743DBC"/>
    <w:rsid w:val="007442FA"/>
    <w:rsid w:val="00744C4A"/>
    <w:rsid w:val="007450D7"/>
    <w:rsid w:val="007454CF"/>
    <w:rsid w:val="007463A7"/>
    <w:rsid w:val="00746C71"/>
    <w:rsid w:val="00747377"/>
    <w:rsid w:val="00750AD4"/>
    <w:rsid w:val="0075105E"/>
    <w:rsid w:val="007516A1"/>
    <w:rsid w:val="00752450"/>
    <w:rsid w:val="00752843"/>
    <w:rsid w:val="00752A79"/>
    <w:rsid w:val="0075305F"/>
    <w:rsid w:val="00753BEC"/>
    <w:rsid w:val="00754006"/>
    <w:rsid w:val="0075526B"/>
    <w:rsid w:val="00755791"/>
    <w:rsid w:val="00756012"/>
    <w:rsid w:val="00757B8B"/>
    <w:rsid w:val="00760274"/>
    <w:rsid w:val="00760630"/>
    <w:rsid w:val="00761037"/>
    <w:rsid w:val="007635CD"/>
    <w:rsid w:val="007642D7"/>
    <w:rsid w:val="00764553"/>
    <w:rsid w:val="007651B6"/>
    <w:rsid w:val="00765462"/>
    <w:rsid w:val="00765A27"/>
    <w:rsid w:val="00767AC7"/>
    <w:rsid w:val="00770FA8"/>
    <w:rsid w:val="00771374"/>
    <w:rsid w:val="00771909"/>
    <w:rsid w:val="00771995"/>
    <w:rsid w:val="007722A4"/>
    <w:rsid w:val="00772641"/>
    <w:rsid w:val="007727A0"/>
    <w:rsid w:val="0077285A"/>
    <w:rsid w:val="00773276"/>
    <w:rsid w:val="007736AF"/>
    <w:rsid w:val="00773986"/>
    <w:rsid w:val="00773AB8"/>
    <w:rsid w:val="00773F27"/>
    <w:rsid w:val="00773FD4"/>
    <w:rsid w:val="0077488C"/>
    <w:rsid w:val="00775161"/>
    <w:rsid w:val="0077574A"/>
    <w:rsid w:val="007758D6"/>
    <w:rsid w:val="007759D5"/>
    <w:rsid w:val="00775D2B"/>
    <w:rsid w:val="00775F96"/>
    <w:rsid w:val="00776500"/>
    <w:rsid w:val="00776BD7"/>
    <w:rsid w:val="00777D97"/>
    <w:rsid w:val="00780367"/>
    <w:rsid w:val="007812BF"/>
    <w:rsid w:val="00781779"/>
    <w:rsid w:val="00781933"/>
    <w:rsid w:val="00781FBF"/>
    <w:rsid w:val="007821D4"/>
    <w:rsid w:val="00783727"/>
    <w:rsid w:val="0078423A"/>
    <w:rsid w:val="0078467D"/>
    <w:rsid w:val="0078467E"/>
    <w:rsid w:val="0078554D"/>
    <w:rsid w:val="007856D0"/>
    <w:rsid w:val="00785C0C"/>
    <w:rsid w:val="00785DF8"/>
    <w:rsid w:val="00785F00"/>
    <w:rsid w:val="00785F90"/>
    <w:rsid w:val="0079282F"/>
    <w:rsid w:val="00793107"/>
    <w:rsid w:val="00793147"/>
    <w:rsid w:val="00793B59"/>
    <w:rsid w:val="00793C06"/>
    <w:rsid w:val="007953C3"/>
    <w:rsid w:val="007960EB"/>
    <w:rsid w:val="00797196"/>
    <w:rsid w:val="00797772"/>
    <w:rsid w:val="007977CE"/>
    <w:rsid w:val="007A00AB"/>
    <w:rsid w:val="007A0156"/>
    <w:rsid w:val="007A0E33"/>
    <w:rsid w:val="007A2B26"/>
    <w:rsid w:val="007A498B"/>
    <w:rsid w:val="007A5A82"/>
    <w:rsid w:val="007A6B91"/>
    <w:rsid w:val="007B0CB8"/>
    <w:rsid w:val="007B2161"/>
    <w:rsid w:val="007B22A4"/>
    <w:rsid w:val="007B4681"/>
    <w:rsid w:val="007B46BF"/>
    <w:rsid w:val="007B47CB"/>
    <w:rsid w:val="007B4F55"/>
    <w:rsid w:val="007B4F95"/>
    <w:rsid w:val="007B597F"/>
    <w:rsid w:val="007B5E94"/>
    <w:rsid w:val="007B64BA"/>
    <w:rsid w:val="007B6DDC"/>
    <w:rsid w:val="007B7700"/>
    <w:rsid w:val="007C09CC"/>
    <w:rsid w:val="007C0D1A"/>
    <w:rsid w:val="007C0FD0"/>
    <w:rsid w:val="007C1224"/>
    <w:rsid w:val="007C1DD6"/>
    <w:rsid w:val="007C1E3C"/>
    <w:rsid w:val="007C1EE5"/>
    <w:rsid w:val="007C2684"/>
    <w:rsid w:val="007C2F05"/>
    <w:rsid w:val="007C34B4"/>
    <w:rsid w:val="007C4AEF"/>
    <w:rsid w:val="007C4B2C"/>
    <w:rsid w:val="007C5336"/>
    <w:rsid w:val="007C70E2"/>
    <w:rsid w:val="007C7799"/>
    <w:rsid w:val="007C7B2D"/>
    <w:rsid w:val="007C7F42"/>
    <w:rsid w:val="007D0035"/>
    <w:rsid w:val="007D0136"/>
    <w:rsid w:val="007D05F0"/>
    <w:rsid w:val="007D0765"/>
    <w:rsid w:val="007D0C9F"/>
    <w:rsid w:val="007D2C2A"/>
    <w:rsid w:val="007D3B31"/>
    <w:rsid w:val="007D4010"/>
    <w:rsid w:val="007D40D4"/>
    <w:rsid w:val="007D4AC1"/>
    <w:rsid w:val="007D596E"/>
    <w:rsid w:val="007D5FBA"/>
    <w:rsid w:val="007D6A7D"/>
    <w:rsid w:val="007D76EE"/>
    <w:rsid w:val="007E0132"/>
    <w:rsid w:val="007E0756"/>
    <w:rsid w:val="007E0E4A"/>
    <w:rsid w:val="007E2D0A"/>
    <w:rsid w:val="007E3DD5"/>
    <w:rsid w:val="007E5462"/>
    <w:rsid w:val="007E58B3"/>
    <w:rsid w:val="007E5C56"/>
    <w:rsid w:val="007E6151"/>
    <w:rsid w:val="007E6221"/>
    <w:rsid w:val="007E63AE"/>
    <w:rsid w:val="007E6834"/>
    <w:rsid w:val="007E79E8"/>
    <w:rsid w:val="007F052F"/>
    <w:rsid w:val="007F06A0"/>
    <w:rsid w:val="007F07EA"/>
    <w:rsid w:val="007F2F9A"/>
    <w:rsid w:val="007F320A"/>
    <w:rsid w:val="007F3F3C"/>
    <w:rsid w:val="007F4263"/>
    <w:rsid w:val="007F4861"/>
    <w:rsid w:val="007F49D4"/>
    <w:rsid w:val="007F4A2C"/>
    <w:rsid w:val="007F5941"/>
    <w:rsid w:val="007F5BC7"/>
    <w:rsid w:val="007F64C6"/>
    <w:rsid w:val="007F65A6"/>
    <w:rsid w:val="007F6EA5"/>
    <w:rsid w:val="007F7092"/>
    <w:rsid w:val="007F72A0"/>
    <w:rsid w:val="007F76EA"/>
    <w:rsid w:val="007F79EF"/>
    <w:rsid w:val="0080047D"/>
    <w:rsid w:val="00802D6B"/>
    <w:rsid w:val="00802FD4"/>
    <w:rsid w:val="00803242"/>
    <w:rsid w:val="008034DA"/>
    <w:rsid w:val="00803895"/>
    <w:rsid w:val="00804952"/>
    <w:rsid w:val="00805550"/>
    <w:rsid w:val="008056EE"/>
    <w:rsid w:val="008058D3"/>
    <w:rsid w:val="008060CB"/>
    <w:rsid w:val="00806962"/>
    <w:rsid w:val="008130B9"/>
    <w:rsid w:val="00813823"/>
    <w:rsid w:val="00814CFB"/>
    <w:rsid w:val="00815AE6"/>
    <w:rsid w:val="00816915"/>
    <w:rsid w:val="00816E8E"/>
    <w:rsid w:val="00816F1E"/>
    <w:rsid w:val="00817817"/>
    <w:rsid w:val="00817F73"/>
    <w:rsid w:val="00821A78"/>
    <w:rsid w:val="00821F11"/>
    <w:rsid w:val="008221D9"/>
    <w:rsid w:val="00824921"/>
    <w:rsid w:val="00824BF7"/>
    <w:rsid w:val="0082590E"/>
    <w:rsid w:val="00825D87"/>
    <w:rsid w:val="00825E1F"/>
    <w:rsid w:val="00825E93"/>
    <w:rsid w:val="0082624C"/>
    <w:rsid w:val="00826E9D"/>
    <w:rsid w:val="00830945"/>
    <w:rsid w:val="00830ADF"/>
    <w:rsid w:val="00830D89"/>
    <w:rsid w:val="008311B9"/>
    <w:rsid w:val="00831EF8"/>
    <w:rsid w:val="0083251D"/>
    <w:rsid w:val="00833A44"/>
    <w:rsid w:val="00833A9E"/>
    <w:rsid w:val="00834E14"/>
    <w:rsid w:val="008352FA"/>
    <w:rsid w:val="00836BC8"/>
    <w:rsid w:val="008372B7"/>
    <w:rsid w:val="008372C8"/>
    <w:rsid w:val="008374F2"/>
    <w:rsid w:val="00837A8A"/>
    <w:rsid w:val="00837FF9"/>
    <w:rsid w:val="00840432"/>
    <w:rsid w:val="00840A36"/>
    <w:rsid w:val="00840CC4"/>
    <w:rsid w:val="008412BE"/>
    <w:rsid w:val="00841434"/>
    <w:rsid w:val="00841EE6"/>
    <w:rsid w:val="00842CE3"/>
    <w:rsid w:val="00843005"/>
    <w:rsid w:val="00843410"/>
    <w:rsid w:val="008441A9"/>
    <w:rsid w:val="00844729"/>
    <w:rsid w:val="008451A4"/>
    <w:rsid w:val="00846220"/>
    <w:rsid w:val="00850458"/>
    <w:rsid w:val="008527D6"/>
    <w:rsid w:val="00852DFA"/>
    <w:rsid w:val="00853D9F"/>
    <w:rsid w:val="008552C9"/>
    <w:rsid w:val="00855394"/>
    <w:rsid w:val="008553FA"/>
    <w:rsid w:val="008563DF"/>
    <w:rsid w:val="0085656D"/>
    <w:rsid w:val="00856F4B"/>
    <w:rsid w:val="008577E9"/>
    <w:rsid w:val="008618D4"/>
    <w:rsid w:val="00861E0F"/>
    <w:rsid w:val="008620D6"/>
    <w:rsid w:val="00864B31"/>
    <w:rsid w:val="00864FF6"/>
    <w:rsid w:val="00866A00"/>
    <w:rsid w:val="00866BDA"/>
    <w:rsid w:val="00866E58"/>
    <w:rsid w:val="0086767A"/>
    <w:rsid w:val="00867C30"/>
    <w:rsid w:val="00870616"/>
    <w:rsid w:val="008710FB"/>
    <w:rsid w:val="00872E79"/>
    <w:rsid w:val="008731A3"/>
    <w:rsid w:val="00873DC7"/>
    <w:rsid w:val="008744AF"/>
    <w:rsid w:val="0087459C"/>
    <w:rsid w:val="00874E40"/>
    <w:rsid w:val="00874E46"/>
    <w:rsid w:val="00875EA7"/>
    <w:rsid w:val="0087621E"/>
    <w:rsid w:val="0087659D"/>
    <w:rsid w:val="00876A44"/>
    <w:rsid w:val="00876AFC"/>
    <w:rsid w:val="00876B0D"/>
    <w:rsid w:val="00876C21"/>
    <w:rsid w:val="00876DC5"/>
    <w:rsid w:val="0087743F"/>
    <w:rsid w:val="00880513"/>
    <w:rsid w:val="008806FB"/>
    <w:rsid w:val="008817BD"/>
    <w:rsid w:val="00881C51"/>
    <w:rsid w:val="008823D6"/>
    <w:rsid w:val="00882906"/>
    <w:rsid w:val="00882D3C"/>
    <w:rsid w:val="00883BA7"/>
    <w:rsid w:val="00884739"/>
    <w:rsid w:val="00884FF4"/>
    <w:rsid w:val="0088620A"/>
    <w:rsid w:val="008862A5"/>
    <w:rsid w:val="008868F6"/>
    <w:rsid w:val="008872C3"/>
    <w:rsid w:val="00887486"/>
    <w:rsid w:val="008900FD"/>
    <w:rsid w:val="00890141"/>
    <w:rsid w:val="00890247"/>
    <w:rsid w:val="008914AC"/>
    <w:rsid w:val="008915C7"/>
    <w:rsid w:val="00891864"/>
    <w:rsid w:val="00891AB5"/>
    <w:rsid w:val="00892664"/>
    <w:rsid w:val="00893BBB"/>
    <w:rsid w:val="00894091"/>
    <w:rsid w:val="00894CAA"/>
    <w:rsid w:val="00895491"/>
    <w:rsid w:val="008956D3"/>
    <w:rsid w:val="00897214"/>
    <w:rsid w:val="00897725"/>
    <w:rsid w:val="00897A77"/>
    <w:rsid w:val="008A163C"/>
    <w:rsid w:val="008A24DB"/>
    <w:rsid w:val="008A265C"/>
    <w:rsid w:val="008A26DF"/>
    <w:rsid w:val="008A36AE"/>
    <w:rsid w:val="008A3A95"/>
    <w:rsid w:val="008A3C0E"/>
    <w:rsid w:val="008A4817"/>
    <w:rsid w:val="008A6069"/>
    <w:rsid w:val="008A655B"/>
    <w:rsid w:val="008A7509"/>
    <w:rsid w:val="008A7824"/>
    <w:rsid w:val="008A7EF4"/>
    <w:rsid w:val="008B125C"/>
    <w:rsid w:val="008B12E0"/>
    <w:rsid w:val="008B18E5"/>
    <w:rsid w:val="008B252F"/>
    <w:rsid w:val="008B3100"/>
    <w:rsid w:val="008B42C8"/>
    <w:rsid w:val="008B4B31"/>
    <w:rsid w:val="008B5E01"/>
    <w:rsid w:val="008B6D71"/>
    <w:rsid w:val="008C054B"/>
    <w:rsid w:val="008C05CE"/>
    <w:rsid w:val="008C12B8"/>
    <w:rsid w:val="008C1EF1"/>
    <w:rsid w:val="008C229C"/>
    <w:rsid w:val="008C244B"/>
    <w:rsid w:val="008C2865"/>
    <w:rsid w:val="008C3348"/>
    <w:rsid w:val="008C4059"/>
    <w:rsid w:val="008C4A6E"/>
    <w:rsid w:val="008C628D"/>
    <w:rsid w:val="008C7A5F"/>
    <w:rsid w:val="008C7F5D"/>
    <w:rsid w:val="008D06AB"/>
    <w:rsid w:val="008D15AA"/>
    <w:rsid w:val="008D2639"/>
    <w:rsid w:val="008D2E25"/>
    <w:rsid w:val="008D7D8E"/>
    <w:rsid w:val="008E0642"/>
    <w:rsid w:val="008E0665"/>
    <w:rsid w:val="008E089E"/>
    <w:rsid w:val="008E0D2D"/>
    <w:rsid w:val="008E21BB"/>
    <w:rsid w:val="008E27AE"/>
    <w:rsid w:val="008E2949"/>
    <w:rsid w:val="008E34D5"/>
    <w:rsid w:val="008E4C63"/>
    <w:rsid w:val="008E4D4E"/>
    <w:rsid w:val="008E4EF1"/>
    <w:rsid w:val="008E51A8"/>
    <w:rsid w:val="008E51DE"/>
    <w:rsid w:val="008E55D4"/>
    <w:rsid w:val="008E70EB"/>
    <w:rsid w:val="008F063A"/>
    <w:rsid w:val="008F1533"/>
    <w:rsid w:val="008F156A"/>
    <w:rsid w:val="008F1C51"/>
    <w:rsid w:val="008F39F7"/>
    <w:rsid w:val="008F3B36"/>
    <w:rsid w:val="008F4DAD"/>
    <w:rsid w:val="008F5286"/>
    <w:rsid w:val="008F5344"/>
    <w:rsid w:val="008F586C"/>
    <w:rsid w:val="008F6610"/>
    <w:rsid w:val="008F7870"/>
    <w:rsid w:val="00900FDD"/>
    <w:rsid w:val="009029BC"/>
    <w:rsid w:val="00902AF4"/>
    <w:rsid w:val="00902F4B"/>
    <w:rsid w:val="00903368"/>
    <w:rsid w:val="00904416"/>
    <w:rsid w:val="00904DE6"/>
    <w:rsid w:val="0090595E"/>
    <w:rsid w:val="00905F73"/>
    <w:rsid w:val="00906591"/>
    <w:rsid w:val="009076FD"/>
    <w:rsid w:val="00907BAD"/>
    <w:rsid w:val="00911AD3"/>
    <w:rsid w:val="00911E87"/>
    <w:rsid w:val="00912FAF"/>
    <w:rsid w:val="009135A7"/>
    <w:rsid w:val="00913618"/>
    <w:rsid w:val="00913B7A"/>
    <w:rsid w:val="00913E2F"/>
    <w:rsid w:val="0091461B"/>
    <w:rsid w:val="009147E4"/>
    <w:rsid w:val="009156A1"/>
    <w:rsid w:val="009165E4"/>
    <w:rsid w:val="0091674F"/>
    <w:rsid w:val="00916D38"/>
    <w:rsid w:val="009170CA"/>
    <w:rsid w:val="0091725B"/>
    <w:rsid w:val="00917381"/>
    <w:rsid w:val="009173A3"/>
    <w:rsid w:val="00920047"/>
    <w:rsid w:val="0092037C"/>
    <w:rsid w:val="0092101D"/>
    <w:rsid w:val="00921783"/>
    <w:rsid w:val="00921AC8"/>
    <w:rsid w:val="00921EAA"/>
    <w:rsid w:val="00922492"/>
    <w:rsid w:val="009228A9"/>
    <w:rsid w:val="00922C8A"/>
    <w:rsid w:val="009230A1"/>
    <w:rsid w:val="00923CEE"/>
    <w:rsid w:val="00925D28"/>
    <w:rsid w:val="00931787"/>
    <w:rsid w:val="009317CB"/>
    <w:rsid w:val="0093192D"/>
    <w:rsid w:val="00931937"/>
    <w:rsid w:val="00931A9E"/>
    <w:rsid w:val="009320B1"/>
    <w:rsid w:val="00932138"/>
    <w:rsid w:val="00933317"/>
    <w:rsid w:val="00934F5E"/>
    <w:rsid w:val="00935737"/>
    <w:rsid w:val="0093576F"/>
    <w:rsid w:val="0093585F"/>
    <w:rsid w:val="00935F07"/>
    <w:rsid w:val="0094046A"/>
    <w:rsid w:val="00940718"/>
    <w:rsid w:val="00940960"/>
    <w:rsid w:val="00941090"/>
    <w:rsid w:val="00941932"/>
    <w:rsid w:val="0094263F"/>
    <w:rsid w:val="009431AA"/>
    <w:rsid w:val="00943D07"/>
    <w:rsid w:val="00944682"/>
    <w:rsid w:val="00944EDD"/>
    <w:rsid w:val="00945850"/>
    <w:rsid w:val="0094744D"/>
    <w:rsid w:val="009500B1"/>
    <w:rsid w:val="009518FB"/>
    <w:rsid w:val="00951F71"/>
    <w:rsid w:val="00952136"/>
    <w:rsid w:val="00952680"/>
    <w:rsid w:val="00952820"/>
    <w:rsid w:val="00953F8A"/>
    <w:rsid w:val="009543CA"/>
    <w:rsid w:val="009553A0"/>
    <w:rsid w:val="009558E4"/>
    <w:rsid w:val="00955A89"/>
    <w:rsid w:val="00956268"/>
    <w:rsid w:val="00956521"/>
    <w:rsid w:val="0095655E"/>
    <w:rsid w:val="0095664D"/>
    <w:rsid w:val="00956795"/>
    <w:rsid w:val="00956A15"/>
    <w:rsid w:val="00956E18"/>
    <w:rsid w:val="0095723A"/>
    <w:rsid w:val="0095732F"/>
    <w:rsid w:val="009610A1"/>
    <w:rsid w:val="00961170"/>
    <w:rsid w:val="009612B9"/>
    <w:rsid w:val="00961616"/>
    <w:rsid w:val="00962108"/>
    <w:rsid w:val="009633FD"/>
    <w:rsid w:val="00964000"/>
    <w:rsid w:val="00964BF5"/>
    <w:rsid w:val="0097047F"/>
    <w:rsid w:val="0097129F"/>
    <w:rsid w:val="00971F95"/>
    <w:rsid w:val="009738D8"/>
    <w:rsid w:val="00974C4C"/>
    <w:rsid w:val="00975C5F"/>
    <w:rsid w:val="00975CA3"/>
    <w:rsid w:val="00975FD0"/>
    <w:rsid w:val="0097629D"/>
    <w:rsid w:val="00977BCF"/>
    <w:rsid w:val="009807D0"/>
    <w:rsid w:val="00981B31"/>
    <w:rsid w:val="009826E1"/>
    <w:rsid w:val="0098329F"/>
    <w:rsid w:val="00983326"/>
    <w:rsid w:val="00984410"/>
    <w:rsid w:val="00984508"/>
    <w:rsid w:val="00984DFE"/>
    <w:rsid w:val="00985570"/>
    <w:rsid w:val="00986081"/>
    <w:rsid w:val="009867A8"/>
    <w:rsid w:val="00990487"/>
    <w:rsid w:val="009905F8"/>
    <w:rsid w:val="00990B24"/>
    <w:rsid w:val="00990BDD"/>
    <w:rsid w:val="0099153C"/>
    <w:rsid w:val="00991924"/>
    <w:rsid w:val="00991B74"/>
    <w:rsid w:val="00991E44"/>
    <w:rsid w:val="0099374F"/>
    <w:rsid w:val="0099486E"/>
    <w:rsid w:val="0099526B"/>
    <w:rsid w:val="009953C4"/>
    <w:rsid w:val="009959A3"/>
    <w:rsid w:val="00997AFD"/>
    <w:rsid w:val="009A01F6"/>
    <w:rsid w:val="009A1368"/>
    <w:rsid w:val="009A1493"/>
    <w:rsid w:val="009A202A"/>
    <w:rsid w:val="009A2534"/>
    <w:rsid w:val="009A2D23"/>
    <w:rsid w:val="009A4CE6"/>
    <w:rsid w:val="009A5757"/>
    <w:rsid w:val="009A5CB3"/>
    <w:rsid w:val="009A5CE8"/>
    <w:rsid w:val="009A5DB9"/>
    <w:rsid w:val="009A5E4A"/>
    <w:rsid w:val="009A6456"/>
    <w:rsid w:val="009A775A"/>
    <w:rsid w:val="009A79A8"/>
    <w:rsid w:val="009B0416"/>
    <w:rsid w:val="009B0FAE"/>
    <w:rsid w:val="009B10C9"/>
    <w:rsid w:val="009B251B"/>
    <w:rsid w:val="009B29E8"/>
    <w:rsid w:val="009B347F"/>
    <w:rsid w:val="009B3F09"/>
    <w:rsid w:val="009B5258"/>
    <w:rsid w:val="009B5635"/>
    <w:rsid w:val="009B654E"/>
    <w:rsid w:val="009B67F7"/>
    <w:rsid w:val="009B72CA"/>
    <w:rsid w:val="009B784E"/>
    <w:rsid w:val="009B7A3C"/>
    <w:rsid w:val="009C0F5A"/>
    <w:rsid w:val="009C1E53"/>
    <w:rsid w:val="009C2954"/>
    <w:rsid w:val="009C31E1"/>
    <w:rsid w:val="009C4BA2"/>
    <w:rsid w:val="009C69BB"/>
    <w:rsid w:val="009C69DD"/>
    <w:rsid w:val="009C7814"/>
    <w:rsid w:val="009C78C1"/>
    <w:rsid w:val="009C7EC1"/>
    <w:rsid w:val="009D0B67"/>
    <w:rsid w:val="009D0C7D"/>
    <w:rsid w:val="009D1B3A"/>
    <w:rsid w:val="009D4482"/>
    <w:rsid w:val="009D6E92"/>
    <w:rsid w:val="009D79E9"/>
    <w:rsid w:val="009E0969"/>
    <w:rsid w:val="009E21B9"/>
    <w:rsid w:val="009E472D"/>
    <w:rsid w:val="009E4A8F"/>
    <w:rsid w:val="009E5E4A"/>
    <w:rsid w:val="009E6781"/>
    <w:rsid w:val="009E7E8C"/>
    <w:rsid w:val="009F0472"/>
    <w:rsid w:val="009F126A"/>
    <w:rsid w:val="009F1595"/>
    <w:rsid w:val="009F1BEE"/>
    <w:rsid w:val="009F1F33"/>
    <w:rsid w:val="009F2339"/>
    <w:rsid w:val="009F2706"/>
    <w:rsid w:val="009F378E"/>
    <w:rsid w:val="009F38B4"/>
    <w:rsid w:val="009F3BB9"/>
    <w:rsid w:val="009F462E"/>
    <w:rsid w:val="009F5718"/>
    <w:rsid w:val="009F6538"/>
    <w:rsid w:val="009F7DBE"/>
    <w:rsid w:val="009F7DD5"/>
    <w:rsid w:val="00A0022D"/>
    <w:rsid w:val="00A00BD7"/>
    <w:rsid w:val="00A012BD"/>
    <w:rsid w:val="00A0177F"/>
    <w:rsid w:val="00A01D61"/>
    <w:rsid w:val="00A02481"/>
    <w:rsid w:val="00A027D1"/>
    <w:rsid w:val="00A042F6"/>
    <w:rsid w:val="00A043FE"/>
    <w:rsid w:val="00A0488B"/>
    <w:rsid w:val="00A05822"/>
    <w:rsid w:val="00A0586A"/>
    <w:rsid w:val="00A05F04"/>
    <w:rsid w:val="00A06284"/>
    <w:rsid w:val="00A0641B"/>
    <w:rsid w:val="00A0663B"/>
    <w:rsid w:val="00A068AB"/>
    <w:rsid w:val="00A07353"/>
    <w:rsid w:val="00A10186"/>
    <w:rsid w:val="00A11A6D"/>
    <w:rsid w:val="00A11FE9"/>
    <w:rsid w:val="00A127B5"/>
    <w:rsid w:val="00A132BC"/>
    <w:rsid w:val="00A13754"/>
    <w:rsid w:val="00A1508E"/>
    <w:rsid w:val="00A15344"/>
    <w:rsid w:val="00A155BC"/>
    <w:rsid w:val="00A16449"/>
    <w:rsid w:val="00A16D71"/>
    <w:rsid w:val="00A16E95"/>
    <w:rsid w:val="00A16FF8"/>
    <w:rsid w:val="00A1788C"/>
    <w:rsid w:val="00A1793F"/>
    <w:rsid w:val="00A17A70"/>
    <w:rsid w:val="00A17F33"/>
    <w:rsid w:val="00A17F76"/>
    <w:rsid w:val="00A200D6"/>
    <w:rsid w:val="00A214B0"/>
    <w:rsid w:val="00A22D0D"/>
    <w:rsid w:val="00A22DAD"/>
    <w:rsid w:val="00A22F70"/>
    <w:rsid w:val="00A230FE"/>
    <w:rsid w:val="00A24B4D"/>
    <w:rsid w:val="00A24C39"/>
    <w:rsid w:val="00A260AD"/>
    <w:rsid w:val="00A2730E"/>
    <w:rsid w:val="00A279A7"/>
    <w:rsid w:val="00A27A81"/>
    <w:rsid w:val="00A27D3F"/>
    <w:rsid w:val="00A31B3E"/>
    <w:rsid w:val="00A3206C"/>
    <w:rsid w:val="00A3208D"/>
    <w:rsid w:val="00A33A75"/>
    <w:rsid w:val="00A33B2B"/>
    <w:rsid w:val="00A34892"/>
    <w:rsid w:val="00A35FC6"/>
    <w:rsid w:val="00A360A3"/>
    <w:rsid w:val="00A36332"/>
    <w:rsid w:val="00A37A03"/>
    <w:rsid w:val="00A400A9"/>
    <w:rsid w:val="00A40104"/>
    <w:rsid w:val="00A409FC"/>
    <w:rsid w:val="00A41B1D"/>
    <w:rsid w:val="00A428A7"/>
    <w:rsid w:val="00A43B5E"/>
    <w:rsid w:val="00A43E6A"/>
    <w:rsid w:val="00A45485"/>
    <w:rsid w:val="00A461BE"/>
    <w:rsid w:val="00A50419"/>
    <w:rsid w:val="00A50704"/>
    <w:rsid w:val="00A50E8A"/>
    <w:rsid w:val="00A51D90"/>
    <w:rsid w:val="00A52668"/>
    <w:rsid w:val="00A526F1"/>
    <w:rsid w:val="00A52FC0"/>
    <w:rsid w:val="00A530AA"/>
    <w:rsid w:val="00A53551"/>
    <w:rsid w:val="00A5376D"/>
    <w:rsid w:val="00A53F2F"/>
    <w:rsid w:val="00A53FD8"/>
    <w:rsid w:val="00A54B4D"/>
    <w:rsid w:val="00A56515"/>
    <w:rsid w:val="00A575AC"/>
    <w:rsid w:val="00A57CD0"/>
    <w:rsid w:val="00A606E5"/>
    <w:rsid w:val="00A60913"/>
    <w:rsid w:val="00A60FDE"/>
    <w:rsid w:val="00A6191D"/>
    <w:rsid w:val="00A61DC2"/>
    <w:rsid w:val="00A637FC"/>
    <w:rsid w:val="00A652CC"/>
    <w:rsid w:val="00A65ABD"/>
    <w:rsid w:val="00A667EC"/>
    <w:rsid w:val="00A673D6"/>
    <w:rsid w:val="00A679B0"/>
    <w:rsid w:val="00A7034D"/>
    <w:rsid w:val="00A7052B"/>
    <w:rsid w:val="00A70CF6"/>
    <w:rsid w:val="00A71302"/>
    <w:rsid w:val="00A71B2B"/>
    <w:rsid w:val="00A71F90"/>
    <w:rsid w:val="00A72009"/>
    <w:rsid w:val="00A733A1"/>
    <w:rsid w:val="00A734A6"/>
    <w:rsid w:val="00A74C60"/>
    <w:rsid w:val="00A773BB"/>
    <w:rsid w:val="00A81430"/>
    <w:rsid w:val="00A81ED7"/>
    <w:rsid w:val="00A834AA"/>
    <w:rsid w:val="00A839AD"/>
    <w:rsid w:val="00A84AE8"/>
    <w:rsid w:val="00A85939"/>
    <w:rsid w:val="00A85A6A"/>
    <w:rsid w:val="00A870FA"/>
    <w:rsid w:val="00A9069B"/>
    <w:rsid w:val="00A9081A"/>
    <w:rsid w:val="00A90B70"/>
    <w:rsid w:val="00A911E8"/>
    <w:rsid w:val="00A91D69"/>
    <w:rsid w:val="00A93386"/>
    <w:rsid w:val="00A939C1"/>
    <w:rsid w:val="00A93ABA"/>
    <w:rsid w:val="00A94321"/>
    <w:rsid w:val="00A9531D"/>
    <w:rsid w:val="00A95BDA"/>
    <w:rsid w:val="00A9689D"/>
    <w:rsid w:val="00A96C9F"/>
    <w:rsid w:val="00A96FA1"/>
    <w:rsid w:val="00AA11E0"/>
    <w:rsid w:val="00AA1990"/>
    <w:rsid w:val="00AA1AB9"/>
    <w:rsid w:val="00AA213C"/>
    <w:rsid w:val="00AA3BE5"/>
    <w:rsid w:val="00AA3D28"/>
    <w:rsid w:val="00AA422A"/>
    <w:rsid w:val="00AA45F2"/>
    <w:rsid w:val="00AA4DB9"/>
    <w:rsid w:val="00AA514E"/>
    <w:rsid w:val="00AA6062"/>
    <w:rsid w:val="00AA63EA"/>
    <w:rsid w:val="00AA7513"/>
    <w:rsid w:val="00AA7FDE"/>
    <w:rsid w:val="00AB0966"/>
    <w:rsid w:val="00AB2CB7"/>
    <w:rsid w:val="00AB311E"/>
    <w:rsid w:val="00AB314C"/>
    <w:rsid w:val="00AB50EA"/>
    <w:rsid w:val="00AB7F69"/>
    <w:rsid w:val="00AC00D5"/>
    <w:rsid w:val="00AC0738"/>
    <w:rsid w:val="00AC08B1"/>
    <w:rsid w:val="00AC1A33"/>
    <w:rsid w:val="00AC1DD3"/>
    <w:rsid w:val="00AC354C"/>
    <w:rsid w:val="00AC3B9F"/>
    <w:rsid w:val="00AC4FA4"/>
    <w:rsid w:val="00AC5F87"/>
    <w:rsid w:val="00AC5FD8"/>
    <w:rsid w:val="00AC7966"/>
    <w:rsid w:val="00AC7D9C"/>
    <w:rsid w:val="00AD0103"/>
    <w:rsid w:val="00AD18D2"/>
    <w:rsid w:val="00AD191E"/>
    <w:rsid w:val="00AD2133"/>
    <w:rsid w:val="00AD27DB"/>
    <w:rsid w:val="00AD2EDB"/>
    <w:rsid w:val="00AD335C"/>
    <w:rsid w:val="00AD346F"/>
    <w:rsid w:val="00AD3A21"/>
    <w:rsid w:val="00AD3BE3"/>
    <w:rsid w:val="00AD47D1"/>
    <w:rsid w:val="00AD5928"/>
    <w:rsid w:val="00AD6B4C"/>
    <w:rsid w:val="00AE13D8"/>
    <w:rsid w:val="00AE18BD"/>
    <w:rsid w:val="00AE1C37"/>
    <w:rsid w:val="00AE1CC4"/>
    <w:rsid w:val="00AE232B"/>
    <w:rsid w:val="00AE46D1"/>
    <w:rsid w:val="00AE540B"/>
    <w:rsid w:val="00AE5B03"/>
    <w:rsid w:val="00AE6A3C"/>
    <w:rsid w:val="00AE6C1E"/>
    <w:rsid w:val="00AE6CF6"/>
    <w:rsid w:val="00AE7545"/>
    <w:rsid w:val="00AF0D2A"/>
    <w:rsid w:val="00AF343C"/>
    <w:rsid w:val="00AF4128"/>
    <w:rsid w:val="00AF4AF3"/>
    <w:rsid w:val="00AF4F94"/>
    <w:rsid w:val="00AF57BE"/>
    <w:rsid w:val="00AF6041"/>
    <w:rsid w:val="00AF6330"/>
    <w:rsid w:val="00AF7FD3"/>
    <w:rsid w:val="00B00963"/>
    <w:rsid w:val="00B00DA1"/>
    <w:rsid w:val="00B012C8"/>
    <w:rsid w:val="00B03FFF"/>
    <w:rsid w:val="00B049BF"/>
    <w:rsid w:val="00B04C34"/>
    <w:rsid w:val="00B0511C"/>
    <w:rsid w:val="00B05297"/>
    <w:rsid w:val="00B06447"/>
    <w:rsid w:val="00B064F7"/>
    <w:rsid w:val="00B0663E"/>
    <w:rsid w:val="00B06D8F"/>
    <w:rsid w:val="00B06EC2"/>
    <w:rsid w:val="00B06F22"/>
    <w:rsid w:val="00B07C2B"/>
    <w:rsid w:val="00B10890"/>
    <w:rsid w:val="00B10974"/>
    <w:rsid w:val="00B11CA3"/>
    <w:rsid w:val="00B11D99"/>
    <w:rsid w:val="00B12123"/>
    <w:rsid w:val="00B1520E"/>
    <w:rsid w:val="00B15898"/>
    <w:rsid w:val="00B1638E"/>
    <w:rsid w:val="00B17333"/>
    <w:rsid w:val="00B17976"/>
    <w:rsid w:val="00B2075F"/>
    <w:rsid w:val="00B20800"/>
    <w:rsid w:val="00B20B9C"/>
    <w:rsid w:val="00B21140"/>
    <w:rsid w:val="00B21D14"/>
    <w:rsid w:val="00B21E9A"/>
    <w:rsid w:val="00B2259D"/>
    <w:rsid w:val="00B22CE5"/>
    <w:rsid w:val="00B23CCF"/>
    <w:rsid w:val="00B23E5A"/>
    <w:rsid w:val="00B249BC"/>
    <w:rsid w:val="00B24CB0"/>
    <w:rsid w:val="00B24F1D"/>
    <w:rsid w:val="00B25795"/>
    <w:rsid w:val="00B25A10"/>
    <w:rsid w:val="00B26123"/>
    <w:rsid w:val="00B26292"/>
    <w:rsid w:val="00B27215"/>
    <w:rsid w:val="00B27AD6"/>
    <w:rsid w:val="00B27D0E"/>
    <w:rsid w:val="00B30322"/>
    <w:rsid w:val="00B3075E"/>
    <w:rsid w:val="00B30FF4"/>
    <w:rsid w:val="00B310D4"/>
    <w:rsid w:val="00B316A4"/>
    <w:rsid w:val="00B322A1"/>
    <w:rsid w:val="00B331FF"/>
    <w:rsid w:val="00B3342F"/>
    <w:rsid w:val="00B357B5"/>
    <w:rsid w:val="00B35B61"/>
    <w:rsid w:val="00B35D35"/>
    <w:rsid w:val="00B36AC5"/>
    <w:rsid w:val="00B36F1B"/>
    <w:rsid w:val="00B37E21"/>
    <w:rsid w:val="00B4002F"/>
    <w:rsid w:val="00B40652"/>
    <w:rsid w:val="00B40E83"/>
    <w:rsid w:val="00B41630"/>
    <w:rsid w:val="00B42302"/>
    <w:rsid w:val="00B42BD6"/>
    <w:rsid w:val="00B43BA2"/>
    <w:rsid w:val="00B43E9C"/>
    <w:rsid w:val="00B446FD"/>
    <w:rsid w:val="00B44EC1"/>
    <w:rsid w:val="00B44FBE"/>
    <w:rsid w:val="00B45159"/>
    <w:rsid w:val="00B46330"/>
    <w:rsid w:val="00B47DB3"/>
    <w:rsid w:val="00B50425"/>
    <w:rsid w:val="00B515E2"/>
    <w:rsid w:val="00B51B59"/>
    <w:rsid w:val="00B51C08"/>
    <w:rsid w:val="00B522D0"/>
    <w:rsid w:val="00B52A00"/>
    <w:rsid w:val="00B52BED"/>
    <w:rsid w:val="00B5375F"/>
    <w:rsid w:val="00B53AC9"/>
    <w:rsid w:val="00B555CD"/>
    <w:rsid w:val="00B55E50"/>
    <w:rsid w:val="00B56885"/>
    <w:rsid w:val="00B56B3F"/>
    <w:rsid w:val="00B600CF"/>
    <w:rsid w:val="00B6015F"/>
    <w:rsid w:val="00B60CA4"/>
    <w:rsid w:val="00B60CE4"/>
    <w:rsid w:val="00B60EB8"/>
    <w:rsid w:val="00B61192"/>
    <w:rsid w:val="00B612D8"/>
    <w:rsid w:val="00B6226B"/>
    <w:rsid w:val="00B62DDE"/>
    <w:rsid w:val="00B62FFF"/>
    <w:rsid w:val="00B63CA0"/>
    <w:rsid w:val="00B649D8"/>
    <w:rsid w:val="00B65B08"/>
    <w:rsid w:val="00B66C19"/>
    <w:rsid w:val="00B67153"/>
    <w:rsid w:val="00B6795A"/>
    <w:rsid w:val="00B67FC0"/>
    <w:rsid w:val="00B7037C"/>
    <w:rsid w:val="00B70D35"/>
    <w:rsid w:val="00B713D9"/>
    <w:rsid w:val="00B714D5"/>
    <w:rsid w:val="00B71713"/>
    <w:rsid w:val="00B71777"/>
    <w:rsid w:val="00B71B36"/>
    <w:rsid w:val="00B71B59"/>
    <w:rsid w:val="00B71C6E"/>
    <w:rsid w:val="00B737B9"/>
    <w:rsid w:val="00B73962"/>
    <w:rsid w:val="00B73A13"/>
    <w:rsid w:val="00B73B61"/>
    <w:rsid w:val="00B74B69"/>
    <w:rsid w:val="00B74FBF"/>
    <w:rsid w:val="00B755E5"/>
    <w:rsid w:val="00B766BD"/>
    <w:rsid w:val="00B76A97"/>
    <w:rsid w:val="00B802E5"/>
    <w:rsid w:val="00B8078D"/>
    <w:rsid w:val="00B81B90"/>
    <w:rsid w:val="00B8359A"/>
    <w:rsid w:val="00B84A1F"/>
    <w:rsid w:val="00B84BC6"/>
    <w:rsid w:val="00B86061"/>
    <w:rsid w:val="00B860F0"/>
    <w:rsid w:val="00B869BA"/>
    <w:rsid w:val="00B875AE"/>
    <w:rsid w:val="00B90927"/>
    <w:rsid w:val="00B90FAA"/>
    <w:rsid w:val="00B911D7"/>
    <w:rsid w:val="00B928E2"/>
    <w:rsid w:val="00B93040"/>
    <w:rsid w:val="00B9339B"/>
    <w:rsid w:val="00B949CD"/>
    <w:rsid w:val="00B95A1E"/>
    <w:rsid w:val="00B95D2C"/>
    <w:rsid w:val="00B96039"/>
    <w:rsid w:val="00B97606"/>
    <w:rsid w:val="00B97EEC"/>
    <w:rsid w:val="00BA0C6C"/>
    <w:rsid w:val="00BA10CB"/>
    <w:rsid w:val="00BA1FC8"/>
    <w:rsid w:val="00BA2643"/>
    <w:rsid w:val="00BA2C19"/>
    <w:rsid w:val="00BA3730"/>
    <w:rsid w:val="00BA3E63"/>
    <w:rsid w:val="00BA4196"/>
    <w:rsid w:val="00BA4356"/>
    <w:rsid w:val="00BA62BD"/>
    <w:rsid w:val="00BA67DC"/>
    <w:rsid w:val="00BA7AD4"/>
    <w:rsid w:val="00BA7C82"/>
    <w:rsid w:val="00BB1EC8"/>
    <w:rsid w:val="00BB1FEF"/>
    <w:rsid w:val="00BB36EC"/>
    <w:rsid w:val="00BB402F"/>
    <w:rsid w:val="00BB56FF"/>
    <w:rsid w:val="00BB70AC"/>
    <w:rsid w:val="00BB74F9"/>
    <w:rsid w:val="00BB775F"/>
    <w:rsid w:val="00BC04F1"/>
    <w:rsid w:val="00BC0897"/>
    <w:rsid w:val="00BC0C46"/>
    <w:rsid w:val="00BC1512"/>
    <w:rsid w:val="00BC199C"/>
    <w:rsid w:val="00BC294C"/>
    <w:rsid w:val="00BC6454"/>
    <w:rsid w:val="00BC6B76"/>
    <w:rsid w:val="00BC71F4"/>
    <w:rsid w:val="00BC7C3A"/>
    <w:rsid w:val="00BD0EB3"/>
    <w:rsid w:val="00BD0FD2"/>
    <w:rsid w:val="00BD1348"/>
    <w:rsid w:val="00BD13DA"/>
    <w:rsid w:val="00BD21D6"/>
    <w:rsid w:val="00BD2442"/>
    <w:rsid w:val="00BD30BB"/>
    <w:rsid w:val="00BD4706"/>
    <w:rsid w:val="00BD553E"/>
    <w:rsid w:val="00BD65FE"/>
    <w:rsid w:val="00BD6A06"/>
    <w:rsid w:val="00BD6D61"/>
    <w:rsid w:val="00BD6F08"/>
    <w:rsid w:val="00BD78AE"/>
    <w:rsid w:val="00BE08DD"/>
    <w:rsid w:val="00BE4264"/>
    <w:rsid w:val="00BE5145"/>
    <w:rsid w:val="00BE5D59"/>
    <w:rsid w:val="00BE6266"/>
    <w:rsid w:val="00BE6B06"/>
    <w:rsid w:val="00BE6D25"/>
    <w:rsid w:val="00BE71DC"/>
    <w:rsid w:val="00BE7657"/>
    <w:rsid w:val="00BF0986"/>
    <w:rsid w:val="00BF0B35"/>
    <w:rsid w:val="00BF0D35"/>
    <w:rsid w:val="00BF1561"/>
    <w:rsid w:val="00BF24BD"/>
    <w:rsid w:val="00BF4045"/>
    <w:rsid w:val="00BF46B1"/>
    <w:rsid w:val="00BF5004"/>
    <w:rsid w:val="00BF65BD"/>
    <w:rsid w:val="00BF6BDA"/>
    <w:rsid w:val="00BF6C62"/>
    <w:rsid w:val="00BF6FC5"/>
    <w:rsid w:val="00C00A4A"/>
    <w:rsid w:val="00C00F6B"/>
    <w:rsid w:val="00C02176"/>
    <w:rsid w:val="00C0251E"/>
    <w:rsid w:val="00C04874"/>
    <w:rsid w:val="00C04B4E"/>
    <w:rsid w:val="00C04F73"/>
    <w:rsid w:val="00C05C46"/>
    <w:rsid w:val="00C05C99"/>
    <w:rsid w:val="00C07380"/>
    <w:rsid w:val="00C10A72"/>
    <w:rsid w:val="00C112A7"/>
    <w:rsid w:val="00C117EF"/>
    <w:rsid w:val="00C136A6"/>
    <w:rsid w:val="00C14036"/>
    <w:rsid w:val="00C14817"/>
    <w:rsid w:val="00C15479"/>
    <w:rsid w:val="00C155E3"/>
    <w:rsid w:val="00C1583D"/>
    <w:rsid w:val="00C16540"/>
    <w:rsid w:val="00C169F9"/>
    <w:rsid w:val="00C174E4"/>
    <w:rsid w:val="00C17C0B"/>
    <w:rsid w:val="00C20288"/>
    <w:rsid w:val="00C21769"/>
    <w:rsid w:val="00C225ED"/>
    <w:rsid w:val="00C241BB"/>
    <w:rsid w:val="00C25969"/>
    <w:rsid w:val="00C2627B"/>
    <w:rsid w:val="00C262A8"/>
    <w:rsid w:val="00C27AB5"/>
    <w:rsid w:val="00C27F5D"/>
    <w:rsid w:val="00C301F8"/>
    <w:rsid w:val="00C31137"/>
    <w:rsid w:val="00C31D2E"/>
    <w:rsid w:val="00C31E5C"/>
    <w:rsid w:val="00C32DB0"/>
    <w:rsid w:val="00C32F44"/>
    <w:rsid w:val="00C339B1"/>
    <w:rsid w:val="00C34640"/>
    <w:rsid w:val="00C34A10"/>
    <w:rsid w:val="00C34C71"/>
    <w:rsid w:val="00C35665"/>
    <w:rsid w:val="00C35B4D"/>
    <w:rsid w:val="00C36C55"/>
    <w:rsid w:val="00C3721E"/>
    <w:rsid w:val="00C40CE9"/>
    <w:rsid w:val="00C41FF5"/>
    <w:rsid w:val="00C42608"/>
    <w:rsid w:val="00C427AB"/>
    <w:rsid w:val="00C42B06"/>
    <w:rsid w:val="00C43EC1"/>
    <w:rsid w:val="00C47310"/>
    <w:rsid w:val="00C47981"/>
    <w:rsid w:val="00C50551"/>
    <w:rsid w:val="00C50712"/>
    <w:rsid w:val="00C50FCF"/>
    <w:rsid w:val="00C512B9"/>
    <w:rsid w:val="00C52B6F"/>
    <w:rsid w:val="00C53FA8"/>
    <w:rsid w:val="00C54E34"/>
    <w:rsid w:val="00C5518D"/>
    <w:rsid w:val="00C55893"/>
    <w:rsid w:val="00C5642A"/>
    <w:rsid w:val="00C56DC0"/>
    <w:rsid w:val="00C572D0"/>
    <w:rsid w:val="00C57391"/>
    <w:rsid w:val="00C57436"/>
    <w:rsid w:val="00C57F41"/>
    <w:rsid w:val="00C62FF1"/>
    <w:rsid w:val="00C63122"/>
    <w:rsid w:val="00C63D36"/>
    <w:rsid w:val="00C67F0A"/>
    <w:rsid w:val="00C704C7"/>
    <w:rsid w:val="00C70F1F"/>
    <w:rsid w:val="00C7120E"/>
    <w:rsid w:val="00C72618"/>
    <w:rsid w:val="00C7273A"/>
    <w:rsid w:val="00C72F8A"/>
    <w:rsid w:val="00C750B7"/>
    <w:rsid w:val="00C75261"/>
    <w:rsid w:val="00C7604E"/>
    <w:rsid w:val="00C7637B"/>
    <w:rsid w:val="00C76753"/>
    <w:rsid w:val="00C7730B"/>
    <w:rsid w:val="00C814EC"/>
    <w:rsid w:val="00C82997"/>
    <w:rsid w:val="00C83A8F"/>
    <w:rsid w:val="00C83DC3"/>
    <w:rsid w:val="00C84A6F"/>
    <w:rsid w:val="00C85794"/>
    <w:rsid w:val="00C85CB2"/>
    <w:rsid w:val="00C86369"/>
    <w:rsid w:val="00C87897"/>
    <w:rsid w:val="00C87D30"/>
    <w:rsid w:val="00C87E97"/>
    <w:rsid w:val="00C90A74"/>
    <w:rsid w:val="00C910A6"/>
    <w:rsid w:val="00C91C82"/>
    <w:rsid w:val="00C92177"/>
    <w:rsid w:val="00C92B45"/>
    <w:rsid w:val="00C92E51"/>
    <w:rsid w:val="00C93BF4"/>
    <w:rsid w:val="00C93CC1"/>
    <w:rsid w:val="00C94017"/>
    <w:rsid w:val="00C940A8"/>
    <w:rsid w:val="00C94AFE"/>
    <w:rsid w:val="00C959EE"/>
    <w:rsid w:val="00C95B60"/>
    <w:rsid w:val="00C96492"/>
    <w:rsid w:val="00C969C8"/>
    <w:rsid w:val="00C96D40"/>
    <w:rsid w:val="00C96EF6"/>
    <w:rsid w:val="00CA0353"/>
    <w:rsid w:val="00CA0E61"/>
    <w:rsid w:val="00CA132F"/>
    <w:rsid w:val="00CA265A"/>
    <w:rsid w:val="00CA440C"/>
    <w:rsid w:val="00CA4647"/>
    <w:rsid w:val="00CA48FD"/>
    <w:rsid w:val="00CA4E40"/>
    <w:rsid w:val="00CA4EAE"/>
    <w:rsid w:val="00CA6188"/>
    <w:rsid w:val="00CA6831"/>
    <w:rsid w:val="00CA6BD5"/>
    <w:rsid w:val="00CA73C5"/>
    <w:rsid w:val="00CA7CEC"/>
    <w:rsid w:val="00CA7FCF"/>
    <w:rsid w:val="00CB0202"/>
    <w:rsid w:val="00CB0DD4"/>
    <w:rsid w:val="00CB0F9D"/>
    <w:rsid w:val="00CB122D"/>
    <w:rsid w:val="00CB18AA"/>
    <w:rsid w:val="00CB2225"/>
    <w:rsid w:val="00CB32EF"/>
    <w:rsid w:val="00CB3925"/>
    <w:rsid w:val="00CB4502"/>
    <w:rsid w:val="00CC04C0"/>
    <w:rsid w:val="00CC0A56"/>
    <w:rsid w:val="00CC1131"/>
    <w:rsid w:val="00CC373A"/>
    <w:rsid w:val="00CC3C94"/>
    <w:rsid w:val="00CC497B"/>
    <w:rsid w:val="00CC4FC2"/>
    <w:rsid w:val="00CC5331"/>
    <w:rsid w:val="00CC797C"/>
    <w:rsid w:val="00CC7BB5"/>
    <w:rsid w:val="00CD01C3"/>
    <w:rsid w:val="00CD037B"/>
    <w:rsid w:val="00CD12CC"/>
    <w:rsid w:val="00CD131F"/>
    <w:rsid w:val="00CD22A6"/>
    <w:rsid w:val="00CD4071"/>
    <w:rsid w:val="00CD4701"/>
    <w:rsid w:val="00CD573D"/>
    <w:rsid w:val="00CD5C1C"/>
    <w:rsid w:val="00CD5FE3"/>
    <w:rsid w:val="00CD66C8"/>
    <w:rsid w:val="00CE013E"/>
    <w:rsid w:val="00CE02CF"/>
    <w:rsid w:val="00CE3B00"/>
    <w:rsid w:val="00CE5609"/>
    <w:rsid w:val="00CE5F94"/>
    <w:rsid w:val="00CE6BC3"/>
    <w:rsid w:val="00CE7803"/>
    <w:rsid w:val="00CE7F3A"/>
    <w:rsid w:val="00CF0595"/>
    <w:rsid w:val="00CF0828"/>
    <w:rsid w:val="00CF18A8"/>
    <w:rsid w:val="00CF1B45"/>
    <w:rsid w:val="00CF1C1E"/>
    <w:rsid w:val="00CF215B"/>
    <w:rsid w:val="00CF46D1"/>
    <w:rsid w:val="00CF5F9E"/>
    <w:rsid w:val="00CF68BA"/>
    <w:rsid w:val="00CF708A"/>
    <w:rsid w:val="00CF7141"/>
    <w:rsid w:val="00CF75D4"/>
    <w:rsid w:val="00D00708"/>
    <w:rsid w:val="00D018E4"/>
    <w:rsid w:val="00D02223"/>
    <w:rsid w:val="00D02846"/>
    <w:rsid w:val="00D034A0"/>
    <w:rsid w:val="00D03771"/>
    <w:rsid w:val="00D03BDD"/>
    <w:rsid w:val="00D0408C"/>
    <w:rsid w:val="00D0428F"/>
    <w:rsid w:val="00D0461A"/>
    <w:rsid w:val="00D0484F"/>
    <w:rsid w:val="00D0497D"/>
    <w:rsid w:val="00D068BA"/>
    <w:rsid w:val="00D07E00"/>
    <w:rsid w:val="00D07EAF"/>
    <w:rsid w:val="00D11AFA"/>
    <w:rsid w:val="00D1240C"/>
    <w:rsid w:val="00D1265B"/>
    <w:rsid w:val="00D12AEB"/>
    <w:rsid w:val="00D135E2"/>
    <w:rsid w:val="00D14882"/>
    <w:rsid w:val="00D15193"/>
    <w:rsid w:val="00D15CD4"/>
    <w:rsid w:val="00D16077"/>
    <w:rsid w:val="00D17589"/>
    <w:rsid w:val="00D17AEE"/>
    <w:rsid w:val="00D17D7A"/>
    <w:rsid w:val="00D200A0"/>
    <w:rsid w:val="00D20376"/>
    <w:rsid w:val="00D20600"/>
    <w:rsid w:val="00D20D97"/>
    <w:rsid w:val="00D213C4"/>
    <w:rsid w:val="00D2175D"/>
    <w:rsid w:val="00D23D68"/>
    <w:rsid w:val="00D25520"/>
    <w:rsid w:val="00D25B21"/>
    <w:rsid w:val="00D25E6F"/>
    <w:rsid w:val="00D2634C"/>
    <w:rsid w:val="00D26A57"/>
    <w:rsid w:val="00D26DE6"/>
    <w:rsid w:val="00D3037D"/>
    <w:rsid w:val="00D30AD2"/>
    <w:rsid w:val="00D30E26"/>
    <w:rsid w:val="00D30F8E"/>
    <w:rsid w:val="00D317A7"/>
    <w:rsid w:val="00D31F8E"/>
    <w:rsid w:val="00D32201"/>
    <w:rsid w:val="00D32793"/>
    <w:rsid w:val="00D32E7B"/>
    <w:rsid w:val="00D33921"/>
    <w:rsid w:val="00D33B3C"/>
    <w:rsid w:val="00D33DF7"/>
    <w:rsid w:val="00D34611"/>
    <w:rsid w:val="00D34671"/>
    <w:rsid w:val="00D34B73"/>
    <w:rsid w:val="00D35704"/>
    <w:rsid w:val="00D358D2"/>
    <w:rsid w:val="00D36812"/>
    <w:rsid w:val="00D370BB"/>
    <w:rsid w:val="00D37EC1"/>
    <w:rsid w:val="00D4014D"/>
    <w:rsid w:val="00D40716"/>
    <w:rsid w:val="00D408EF"/>
    <w:rsid w:val="00D41192"/>
    <w:rsid w:val="00D42264"/>
    <w:rsid w:val="00D43B82"/>
    <w:rsid w:val="00D44D28"/>
    <w:rsid w:val="00D450AC"/>
    <w:rsid w:val="00D4579F"/>
    <w:rsid w:val="00D47830"/>
    <w:rsid w:val="00D47A39"/>
    <w:rsid w:val="00D50419"/>
    <w:rsid w:val="00D50465"/>
    <w:rsid w:val="00D50912"/>
    <w:rsid w:val="00D51AB0"/>
    <w:rsid w:val="00D51FDC"/>
    <w:rsid w:val="00D5285F"/>
    <w:rsid w:val="00D52B25"/>
    <w:rsid w:val="00D52D9C"/>
    <w:rsid w:val="00D52F76"/>
    <w:rsid w:val="00D5321A"/>
    <w:rsid w:val="00D54333"/>
    <w:rsid w:val="00D543A5"/>
    <w:rsid w:val="00D54A08"/>
    <w:rsid w:val="00D54B70"/>
    <w:rsid w:val="00D56985"/>
    <w:rsid w:val="00D57995"/>
    <w:rsid w:val="00D57E6E"/>
    <w:rsid w:val="00D613B4"/>
    <w:rsid w:val="00D61683"/>
    <w:rsid w:val="00D627BC"/>
    <w:rsid w:val="00D631D6"/>
    <w:rsid w:val="00D63A6D"/>
    <w:rsid w:val="00D63C9A"/>
    <w:rsid w:val="00D63FA7"/>
    <w:rsid w:val="00D63FDB"/>
    <w:rsid w:val="00D643E0"/>
    <w:rsid w:val="00D66580"/>
    <w:rsid w:val="00D6696A"/>
    <w:rsid w:val="00D67C4A"/>
    <w:rsid w:val="00D705E1"/>
    <w:rsid w:val="00D70989"/>
    <w:rsid w:val="00D71013"/>
    <w:rsid w:val="00D71573"/>
    <w:rsid w:val="00D717A0"/>
    <w:rsid w:val="00D72067"/>
    <w:rsid w:val="00D72851"/>
    <w:rsid w:val="00D738E2"/>
    <w:rsid w:val="00D74C03"/>
    <w:rsid w:val="00D74C24"/>
    <w:rsid w:val="00D75706"/>
    <w:rsid w:val="00D7578C"/>
    <w:rsid w:val="00D75B54"/>
    <w:rsid w:val="00D765C9"/>
    <w:rsid w:val="00D77000"/>
    <w:rsid w:val="00D7782C"/>
    <w:rsid w:val="00D7785B"/>
    <w:rsid w:val="00D77E44"/>
    <w:rsid w:val="00D82613"/>
    <w:rsid w:val="00D82C7E"/>
    <w:rsid w:val="00D8326A"/>
    <w:rsid w:val="00D85BA7"/>
    <w:rsid w:val="00D85DB0"/>
    <w:rsid w:val="00D86198"/>
    <w:rsid w:val="00D866CB"/>
    <w:rsid w:val="00D86AD2"/>
    <w:rsid w:val="00D903ED"/>
    <w:rsid w:val="00D9093F"/>
    <w:rsid w:val="00D91C8A"/>
    <w:rsid w:val="00D91F89"/>
    <w:rsid w:val="00D921C7"/>
    <w:rsid w:val="00D92A1F"/>
    <w:rsid w:val="00D93691"/>
    <w:rsid w:val="00D9408C"/>
    <w:rsid w:val="00D96488"/>
    <w:rsid w:val="00D96C4F"/>
    <w:rsid w:val="00D97178"/>
    <w:rsid w:val="00D97460"/>
    <w:rsid w:val="00D97F20"/>
    <w:rsid w:val="00DA0D2A"/>
    <w:rsid w:val="00DA1004"/>
    <w:rsid w:val="00DA1473"/>
    <w:rsid w:val="00DA14AF"/>
    <w:rsid w:val="00DA2CCD"/>
    <w:rsid w:val="00DA3612"/>
    <w:rsid w:val="00DA45AD"/>
    <w:rsid w:val="00DA47A0"/>
    <w:rsid w:val="00DA4A7E"/>
    <w:rsid w:val="00DA4B54"/>
    <w:rsid w:val="00DA6123"/>
    <w:rsid w:val="00DA6475"/>
    <w:rsid w:val="00DA7560"/>
    <w:rsid w:val="00DA76C6"/>
    <w:rsid w:val="00DA7B34"/>
    <w:rsid w:val="00DA7CDA"/>
    <w:rsid w:val="00DB0A7E"/>
    <w:rsid w:val="00DB1FA6"/>
    <w:rsid w:val="00DB27B1"/>
    <w:rsid w:val="00DB315C"/>
    <w:rsid w:val="00DB3374"/>
    <w:rsid w:val="00DB46B8"/>
    <w:rsid w:val="00DB4A0D"/>
    <w:rsid w:val="00DB4CEE"/>
    <w:rsid w:val="00DB6E35"/>
    <w:rsid w:val="00DB7199"/>
    <w:rsid w:val="00DB7D3E"/>
    <w:rsid w:val="00DB7F9F"/>
    <w:rsid w:val="00DC0043"/>
    <w:rsid w:val="00DC0317"/>
    <w:rsid w:val="00DC0B35"/>
    <w:rsid w:val="00DC227D"/>
    <w:rsid w:val="00DC286C"/>
    <w:rsid w:val="00DC3A83"/>
    <w:rsid w:val="00DC5A63"/>
    <w:rsid w:val="00DC5CA7"/>
    <w:rsid w:val="00DC72C0"/>
    <w:rsid w:val="00DC79CA"/>
    <w:rsid w:val="00DD0387"/>
    <w:rsid w:val="00DD255F"/>
    <w:rsid w:val="00DD2A56"/>
    <w:rsid w:val="00DD5523"/>
    <w:rsid w:val="00DD5CFA"/>
    <w:rsid w:val="00DD6711"/>
    <w:rsid w:val="00DD6EC1"/>
    <w:rsid w:val="00DE0E38"/>
    <w:rsid w:val="00DE0E9D"/>
    <w:rsid w:val="00DE2D0B"/>
    <w:rsid w:val="00DE2FE3"/>
    <w:rsid w:val="00DE32FA"/>
    <w:rsid w:val="00DE340C"/>
    <w:rsid w:val="00DE4BD3"/>
    <w:rsid w:val="00DE51DA"/>
    <w:rsid w:val="00DE5C0A"/>
    <w:rsid w:val="00DE65A5"/>
    <w:rsid w:val="00DE692C"/>
    <w:rsid w:val="00DE6F87"/>
    <w:rsid w:val="00DE772F"/>
    <w:rsid w:val="00DE790D"/>
    <w:rsid w:val="00DE7F18"/>
    <w:rsid w:val="00DF1605"/>
    <w:rsid w:val="00DF19B7"/>
    <w:rsid w:val="00DF1BF9"/>
    <w:rsid w:val="00DF2F28"/>
    <w:rsid w:val="00DF3D19"/>
    <w:rsid w:val="00DF45C5"/>
    <w:rsid w:val="00DF4815"/>
    <w:rsid w:val="00DF4D64"/>
    <w:rsid w:val="00DF59E3"/>
    <w:rsid w:val="00DF5BBA"/>
    <w:rsid w:val="00DF7464"/>
    <w:rsid w:val="00DF7D94"/>
    <w:rsid w:val="00E013EA"/>
    <w:rsid w:val="00E013F1"/>
    <w:rsid w:val="00E01500"/>
    <w:rsid w:val="00E0269C"/>
    <w:rsid w:val="00E02702"/>
    <w:rsid w:val="00E0287E"/>
    <w:rsid w:val="00E042D3"/>
    <w:rsid w:val="00E04D5E"/>
    <w:rsid w:val="00E05887"/>
    <w:rsid w:val="00E11715"/>
    <w:rsid w:val="00E11D60"/>
    <w:rsid w:val="00E12660"/>
    <w:rsid w:val="00E12D4A"/>
    <w:rsid w:val="00E12D78"/>
    <w:rsid w:val="00E12DE4"/>
    <w:rsid w:val="00E13228"/>
    <w:rsid w:val="00E14707"/>
    <w:rsid w:val="00E148FC"/>
    <w:rsid w:val="00E15AC0"/>
    <w:rsid w:val="00E16D7E"/>
    <w:rsid w:val="00E16F65"/>
    <w:rsid w:val="00E17C59"/>
    <w:rsid w:val="00E20897"/>
    <w:rsid w:val="00E21AD4"/>
    <w:rsid w:val="00E21D03"/>
    <w:rsid w:val="00E23198"/>
    <w:rsid w:val="00E23ABF"/>
    <w:rsid w:val="00E23D7A"/>
    <w:rsid w:val="00E24FE7"/>
    <w:rsid w:val="00E251AB"/>
    <w:rsid w:val="00E25687"/>
    <w:rsid w:val="00E26678"/>
    <w:rsid w:val="00E26B89"/>
    <w:rsid w:val="00E26E39"/>
    <w:rsid w:val="00E27088"/>
    <w:rsid w:val="00E27254"/>
    <w:rsid w:val="00E2738F"/>
    <w:rsid w:val="00E30674"/>
    <w:rsid w:val="00E309F3"/>
    <w:rsid w:val="00E31F24"/>
    <w:rsid w:val="00E32400"/>
    <w:rsid w:val="00E32C89"/>
    <w:rsid w:val="00E32FB4"/>
    <w:rsid w:val="00E33369"/>
    <w:rsid w:val="00E34A29"/>
    <w:rsid w:val="00E3634E"/>
    <w:rsid w:val="00E364AE"/>
    <w:rsid w:val="00E376EA"/>
    <w:rsid w:val="00E4213B"/>
    <w:rsid w:val="00E4214A"/>
    <w:rsid w:val="00E42D0E"/>
    <w:rsid w:val="00E42E5B"/>
    <w:rsid w:val="00E4394D"/>
    <w:rsid w:val="00E44160"/>
    <w:rsid w:val="00E44C93"/>
    <w:rsid w:val="00E4686F"/>
    <w:rsid w:val="00E46E6B"/>
    <w:rsid w:val="00E470FD"/>
    <w:rsid w:val="00E473BD"/>
    <w:rsid w:val="00E473E9"/>
    <w:rsid w:val="00E47D7D"/>
    <w:rsid w:val="00E5023D"/>
    <w:rsid w:val="00E50667"/>
    <w:rsid w:val="00E511BE"/>
    <w:rsid w:val="00E518A1"/>
    <w:rsid w:val="00E5286F"/>
    <w:rsid w:val="00E52EB3"/>
    <w:rsid w:val="00E5402C"/>
    <w:rsid w:val="00E5427A"/>
    <w:rsid w:val="00E544F1"/>
    <w:rsid w:val="00E547FB"/>
    <w:rsid w:val="00E54984"/>
    <w:rsid w:val="00E5586B"/>
    <w:rsid w:val="00E558F0"/>
    <w:rsid w:val="00E56226"/>
    <w:rsid w:val="00E56E75"/>
    <w:rsid w:val="00E573D5"/>
    <w:rsid w:val="00E60D08"/>
    <w:rsid w:val="00E611DF"/>
    <w:rsid w:val="00E61272"/>
    <w:rsid w:val="00E618CE"/>
    <w:rsid w:val="00E61C0E"/>
    <w:rsid w:val="00E61FC1"/>
    <w:rsid w:val="00E62D93"/>
    <w:rsid w:val="00E642C4"/>
    <w:rsid w:val="00E644B0"/>
    <w:rsid w:val="00E64B46"/>
    <w:rsid w:val="00E656A2"/>
    <w:rsid w:val="00E66ECE"/>
    <w:rsid w:val="00E6709B"/>
    <w:rsid w:val="00E701F2"/>
    <w:rsid w:val="00E708A2"/>
    <w:rsid w:val="00E70C08"/>
    <w:rsid w:val="00E71DB7"/>
    <w:rsid w:val="00E720EF"/>
    <w:rsid w:val="00E7348F"/>
    <w:rsid w:val="00E7417A"/>
    <w:rsid w:val="00E74B69"/>
    <w:rsid w:val="00E76071"/>
    <w:rsid w:val="00E769ED"/>
    <w:rsid w:val="00E76A3E"/>
    <w:rsid w:val="00E76A5A"/>
    <w:rsid w:val="00E76ECE"/>
    <w:rsid w:val="00E77979"/>
    <w:rsid w:val="00E80222"/>
    <w:rsid w:val="00E817F2"/>
    <w:rsid w:val="00E82B9C"/>
    <w:rsid w:val="00E83D9F"/>
    <w:rsid w:val="00E84402"/>
    <w:rsid w:val="00E84E32"/>
    <w:rsid w:val="00E84E94"/>
    <w:rsid w:val="00E8514D"/>
    <w:rsid w:val="00E8548D"/>
    <w:rsid w:val="00E854EA"/>
    <w:rsid w:val="00E857E7"/>
    <w:rsid w:val="00E867FF"/>
    <w:rsid w:val="00E869A3"/>
    <w:rsid w:val="00E86E94"/>
    <w:rsid w:val="00E902DA"/>
    <w:rsid w:val="00E904BA"/>
    <w:rsid w:val="00E90E79"/>
    <w:rsid w:val="00E914DE"/>
    <w:rsid w:val="00E915F7"/>
    <w:rsid w:val="00E915F9"/>
    <w:rsid w:val="00E91B56"/>
    <w:rsid w:val="00E92167"/>
    <w:rsid w:val="00E925C7"/>
    <w:rsid w:val="00E92D68"/>
    <w:rsid w:val="00E94067"/>
    <w:rsid w:val="00E9489E"/>
    <w:rsid w:val="00E95736"/>
    <w:rsid w:val="00E95A59"/>
    <w:rsid w:val="00E96015"/>
    <w:rsid w:val="00E96051"/>
    <w:rsid w:val="00E96FEC"/>
    <w:rsid w:val="00E97289"/>
    <w:rsid w:val="00E97336"/>
    <w:rsid w:val="00E973FC"/>
    <w:rsid w:val="00E97AD3"/>
    <w:rsid w:val="00EA0137"/>
    <w:rsid w:val="00EA2A06"/>
    <w:rsid w:val="00EA3396"/>
    <w:rsid w:val="00EA4466"/>
    <w:rsid w:val="00EA4A3A"/>
    <w:rsid w:val="00EA5341"/>
    <w:rsid w:val="00EA71B2"/>
    <w:rsid w:val="00EA7CE2"/>
    <w:rsid w:val="00EB039A"/>
    <w:rsid w:val="00EB0C9B"/>
    <w:rsid w:val="00EB1E9B"/>
    <w:rsid w:val="00EB220A"/>
    <w:rsid w:val="00EB396A"/>
    <w:rsid w:val="00EB39BE"/>
    <w:rsid w:val="00EB3F41"/>
    <w:rsid w:val="00EB4413"/>
    <w:rsid w:val="00EB50DE"/>
    <w:rsid w:val="00EB5B59"/>
    <w:rsid w:val="00EB5E0C"/>
    <w:rsid w:val="00EB696E"/>
    <w:rsid w:val="00EB718C"/>
    <w:rsid w:val="00EB722E"/>
    <w:rsid w:val="00EC021E"/>
    <w:rsid w:val="00EC18DD"/>
    <w:rsid w:val="00EC1A98"/>
    <w:rsid w:val="00EC1BFD"/>
    <w:rsid w:val="00EC25AA"/>
    <w:rsid w:val="00EC2917"/>
    <w:rsid w:val="00EC3297"/>
    <w:rsid w:val="00EC6048"/>
    <w:rsid w:val="00EC6848"/>
    <w:rsid w:val="00EC68C1"/>
    <w:rsid w:val="00EC6902"/>
    <w:rsid w:val="00EC6C37"/>
    <w:rsid w:val="00ED0A30"/>
    <w:rsid w:val="00ED0B4B"/>
    <w:rsid w:val="00ED0BE2"/>
    <w:rsid w:val="00ED0E51"/>
    <w:rsid w:val="00ED197E"/>
    <w:rsid w:val="00ED1D6D"/>
    <w:rsid w:val="00ED36DC"/>
    <w:rsid w:val="00ED4018"/>
    <w:rsid w:val="00ED4609"/>
    <w:rsid w:val="00ED46BF"/>
    <w:rsid w:val="00ED5D3A"/>
    <w:rsid w:val="00ED6508"/>
    <w:rsid w:val="00ED6779"/>
    <w:rsid w:val="00ED73B3"/>
    <w:rsid w:val="00EE060B"/>
    <w:rsid w:val="00EE065C"/>
    <w:rsid w:val="00EE083D"/>
    <w:rsid w:val="00EE0956"/>
    <w:rsid w:val="00EE17FF"/>
    <w:rsid w:val="00EE21FE"/>
    <w:rsid w:val="00EE23A2"/>
    <w:rsid w:val="00EE2743"/>
    <w:rsid w:val="00EE27B8"/>
    <w:rsid w:val="00EE28BB"/>
    <w:rsid w:val="00EE390F"/>
    <w:rsid w:val="00EE3B1F"/>
    <w:rsid w:val="00EE3EA3"/>
    <w:rsid w:val="00EE4726"/>
    <w:rsid w:val="00EE5DBE"/>
    <w:rsid w:val="00EE651B"/>
    <w:rsid w:val="00EE6D08"/>
    <w:rsid w:val="00EE7E41"/>
    <w:rsid w:val="00EF1F2A"/>
    <w:rsid w:val="00EF32AA"/>
    <w:rsid w:val="00EF51A1"/>
    <w:rsid w:val="00EF711C"/>
    <w:rsid w:val="00EF7B40"/>
    <w:rsid w:val="00EF7BDC"/>
    <w:rsid w:val="00F007EC"/>
    <w:rsid w:val="00F0208F"/>
    <w:rsid w:val="00F023CF"/>
    <w:rsid w:val="00F030E0"/>
    <w:rsid w:val="00F03705"/>
    <w:rsid w:val="00F03FA2"/>
    <w:rsid w:val="00F042AA"/>
    <w:rsid w:val="00F043FE"/>
    <w:rsid w:val="00F045E4"/>
    <w:rsid w:val="00F04777"/>
    <w:rsid w:val="00F04FC9"/>
    <w:rsid w:val="00F057BF"/>
    <w:rsid w:val="00F0627D"/>
    <w:rsid w:val="00F0632E"/>
    <w:rsid w:val="00F078CF"/>
    <w:rsid w:val="00F134F4"/>
    <w:rsid w:val="00F13685"/>
    <w:rsid w:val="00F13AA5"/>
    <w:rsid w:val="00F13B60"/>
    <w:rsid w:val="00F1482D"/>
    <w:rsid w:val="00F14F9B"/>
    <w:rsid w:val="00F15898"/>
    <w:rsid w:val="00F17D8A"/>
    <w:rsid w:val="00F203A9"/>
    <w:rsid w:val="00F2188F"/>
    <w:rsid w:val="00F2202B"/>
    <w:rsid w:val="00F246F7"/>
    <w:rsid w:val="00F24C1C"/>
    <w:rsid w:val="00F25993"/>
    <w:rsid w:val="00F26600"/>
    <w:rsid w:val="00F27260"/>
    <w:rsid w:val="00F307F4"/>
    <w:rsid w:val="00F30CF6"/>
    <w:rsid w:val="00F30D67"/>
    <w:rsid w:val="00F329CE"/>
    <w:rsid w:val="00F33B9C"/>
    <w:rsid w:val="00F34CD3"/>
    <w:rsid w:val="00F35D8F"/>
    <w:rsid w:val="00F37D67"/>
    <w:rsid w:val="00F400DF"/>
    <w:rsid w:val="00F403D1"/>
    <w:rsid w:val="00F41CF0"/>
    <w:rsid w:val="00F4204A"/>
    <w:rsid w:val="00F42672"/>
    <w:rsid w:val="00F43866"/>
    <w:rsid w:val="00F44D96"/>
    <w:rsid w:val="00F450AB"/>
    <w:rsid w:val="00F45288"/>
    <w:rsid w:val="00F4603F"/>
    <w:rsid w:val="00F468FF"/>
    <w:rsid w:val="00F46C02"/>
    <w:rsid w:val="00F473DB"/>
    <w:rsid w:val="00F47A3A"/>
    <w:rsid w:val="00F47DA6"/>
    <w:rsid w:val="00F53EB4"/>
    <w:rsid w:val="00F54661"/>
    <w:rsid w:val="00F5471A"/>
    <w:rsid w:val="00F54A1D"/>
    <w:rsid w:val="00F551C1"/>
    <w:rsid w:val="00F568F8"/>
    <w:rsid w:val="00F57ED6"/>
    <w:rsid w:val="00F6047F"/>
    <w:rsid w:val="00F60876"/>
    <w:rsid w:val="00F61AE6"/>
    <w:rsid w:val="00F61B41"/>
    <w:rsid w:val="00F61BEB"/>
    <w:rsid w:val="00F621A5"/>
    <w:rsid w:val="00F6293B"/>
    <w:rsid w:val="00F629BB"/>
    <w:rsid w:val="00F63BB1"/>
    <w:rsid w:val="00F646FD"/>
    <w:rsid w:val="00F65373"/>
    <w:rsid w:val="00F657C7"/>
    <w:rsid w:val="00F65903"/>
    <w:rsid w:val="00F65C57"/>
    <w:rsid w:val="00F65E72"/>
    <w:rsid w:val="00F66E2E"/>
    <w:rsid w:val="00F67B30"/>
    <w:rsid w:val="00F701E3"/>
    <w:rsid w:val="00F70C4B"/>
    <w:rsid w:val="00F70CD1"/>
    <w:rsid w:val="00F71524"/>
    <w:rsid w:val="00F71E9B"/>
    <w:rsid w:val="00F71F96"/>
    <w:rsid w:val="00F7249F"/>
    <w:rsid w:val="00F724FD"/>
    <w:rsid w:val="00F74164"/>
    <w:rsid w:val="00F74259"/>
    <w:rsid w:val="00F75419"/>
    <w:rsid w:val="00F775AF"/>
    <w:rsid w:val="00F777B5"/>
    <w:rsid w:val="00F778BF"/>
    <w:rsid w:val="00F8031F"/>
    <w:rsid w:val="00F81601"/>
    <w:rsid w:val="00F83337"/>
    <w:rsid w:val="00F8421B"/>
    <w:rsid w:val="00F8482C"/>
    <w:rsid w:val="00F85040"/>
    <w:rsid w:val="00F85E7E"/>
    <w:rsid w:val="00F85FE6"/>
    <w:rsid w:val="00F864E8"/>
    <w:rsid w:val="00F87244"/>
    <w:rsid w:val="00F87582"/>
    <w:rsid w:val="00F879CC"/>
    <w:rsid w:val="00F91052"/>
    <w:rsid w:val="00F91244"/>
    <w:rsid w:val="00F9130B"/>
    <w:rsid w:val="00F91668"/>
    <w:rsid w:val="00F916EB"/>
    <w:rsid w:val="00F922EC"/>
    <w:rsid w:val="00F92D7F"/>
    <w:rsid w:val="00F93114"/>
    <w:rsid w:val="00F9419C"/>
    <w:rsid w:val="00F9460B"/>
    <w:rsid w:val="00F958B6"/>
    <w:rsid w:val="00F95A01"/>
    <w:rsid w:val="00F96CE6"/>
    <w:rsid w:val="00FA065C"/>
    <w:rsid w:val="00FA1F0A"/>
    <w:rsid w:val="00FA2FA6"/>
    <w:rsid w:val="00FA3834"/>
    <w:rsid w:val="00FA38AE"/>
    <w:rsid w:val="00FA4289"/>
    <w:rsid w:val="00FA4366"/>
    <w:rsid w:val="00FA4795"/>
    <w:rsid w:val="00FA4926"/>
    <w:rsid w:val="00FA599B"/>
    <w:rsid w:val="00FA5B21"/>
    <w:rsid w:val="00FA5FD0"/>
    <w:rsid w:val="00FA609D"/>
    <w:rsid w:val="00FA62EB"/>
    <w:rsid w:val="00FA7C0D"/>
    <w:rsid w:val="00FA7C96"/>
    <w:rsid w:val="00FA7F98"/>
    <w:rsid w:val="00FB0BB4"/>
    <w:rsid w:val="00FB0F78"/>
    <w:rsid w:val="00FB1CCE"/>
    <w:rsid w:val="00FB27B6"/>
    <w:rsid w:val="00FB2A03"/>
    <w:rsid w:val="00FB3475"/>
    <w:rsid w:val="00FB389F"/>
    <w:rsid w:val="00FB3F3C"/>
    <w:rsid w:val="00FB4534"/>
    <w:rsid w:val="00FB59E7"/>
    <w:rsid w:val="00FB6663"/>
    <w:rsid w:val="00FB68B8"/>
    <w:rsid w:val="00FB6935"/>
    <w:rsid w:val="00FB705B"/>
    <w:rsid w:val="00FB71E1"/>
    <w:rsid w:val="00FC0565"/>
    <w:rsid w:val="00FC17BB"/>
    <w:rsid w:val="00FC2358"/>
    <w:rsid w:val="00FC2E68"/>
    <w:rsid w:val="00FC311A"/>
    <w:rsid w:val="00FC355D"/>
    <w:rsid w:val="00FC3BBD"/>
    <w:rsid w:val="00FC4BDE"/>
    <w:rsid w:val="00FC555B"/>
    <w:rsid w:val="00FC608C"/>
    <w:rsid w:val="00FC6C2F"/>
    <w:rsid w:val="00FC6D30"/>
    <w:rsid w:val="00FC7196"/>
    <w:rsid w:val="00FC727F"/>
    <w:rsid w:val="00FC7C53"/>
    <w:rsid w:val="00FC7D55"/>
    <w:rsid w:val="00FD0CF1"/>
    <w:rsid w:val="00FD0D12"/>
    <w:rsid w:val="00FD1CA8"/>
    <w:rsid w:val="00FD20C6"/>
    <w:rsid w:val="00FD234C"/>
    <w:rsid w:val="00FD2528"/>
    <w:rsid w:val="00FD28A8"/>
    <w:rsid w:val="00FD29C3"/>
    <w:rsid w:val="00FD34AA"/>
    <w:rsid w:val="00FD3A3C"/>
    <w:rsid w:val="00FD480C"/>
    <w:rsid w:val="00FD4980"/>
    <w:rsid w:val="00FD4FF4"/>
    <w:rsid w:val="00FD539F"/>
    <w:rsid w:val="00FD5455"/>
    <w:rsid w:val="00FD5D96"/>
    <w:rsid w:val="00FE1662"/>
    <w:rsid w:val="00FE2500"/>
    <w:rsid w:val="00FE26A5"/>
    <w:rsid w:val="00FE35CE"/>
    <w:rsid w:val="00FE4260"/>
    <w:rsid w:val="00FE4789"/>
    <w:rsid w:val="00FE51F6"/>
    <w:rsid w:val="00FE6D3C"/>
    <w:rsid w:val="00FF0F46"/>
    <w:rsid w:val="00FF1415"/>
    <w:rsid w:val="00FF2158"/>
    <w:rsid w:val="00FF296F"/>
    <w:rsid w:val="00FF2ECF"/>
    <w:rsid w:val="00FF38C7"/>
    <w:rsid w:val="00FF3C99"/>
    <w:rsid w:val="00FF5384"/>
    <w:rsid w:val="0169C513"/>
    <w:rsid w:val="019088C4"/>
    <w:rsid w:val="028809B5"/>
    <w:rsid w:val="0337FC93"/>
    <w:rsid w:val="03382B08"/>
    <w:rsid w:val="0385352F"/>
    <w:rsid w:val="04986158"/>
    <w:rsid w:val="05C90F23"/>
    <w:rsid w:val="06211021"/>
    <w:rsid w:val="066608F2"/>
    <w:rsid w:val="075FA93B"/>
    <w:rsid w:val="07C16F5C"/>
    <w:rsid w:val="08148CCE"/>
    <w:rsid w:val="09A1F704"/>
    <w:rsid w:val="09D7785B"/>
    <w:rsid w:val="0A71B950"/>
    <w:rsid w:val="0AC27B4F"/>
    <w:rsid w:val="0B29C4D5"/>
    <w:rsid w:val="0C4748D0"/>
    <w:rsid w:val="0D81267D"/>
    <w:rsid w:val="0E2C5C4E"/>
    <w:rsid w:val="0FD1227F"/>
    <w:rsid w:val="10A4B11C"/>
    <w:rsid w:val="11016637"/>
    <w:rsid w:val="1186BCBD"/>
    <w:rsid w:val="12923B4D"/>
    <w:rsid w:val="1311D9A4"/>
    <w:rsid w:val="138DCBFB"/>
    <w:rsid w:val="13F61D9D"/>
    <w:rsid w:val="14C00E3C"/>
    <w:rsid w:val="14F9064B"/>
    <w:rsid w:val="15583DFD"/>
    <w:rsid w:val="17887F0A"/>
    <w:rsid w:val="17F7B749"/>
    <w:rsid w:val="180552A9"/>
    <w:rsid w:val="18D1B7E9"/>
    <w:rsid w:val="1964364E"/>
    <w:rsid w:val="197622B9"/>
    <w:rsid w:val="19C550BF"/>
    <w:rsid w:val="19C8B4CC"/>
    <w:rsid w:val="19F2B9ED"/>
    <w:rsid w:val="1AC9FBDB"/>
    <w:rsid w:val="1ACE6131"/>
    <w:rsid w:val="1B642A25"/>
    <w:rsid w:val="1D270EDF"/>
    <w:rsid w:val="1D305744"/>
    <w:rsid w:val="1E911220"/>
    <w:rsid w:val="1F34F864"/>
    <w:rsid w:val="1F48ADC3"/>
    <w:rsid w:val="1FB9C1BD"/>
    <w:rsid w:val="1FBE4625"/>
    <w:rsid w:val="21EF6576"/>
    <w:rsid w:val="22DEFD55"/>
    <w:rsid w:val="237B7CBD"/>
    <w:rsid w:val="244CCC2F"/>
    <w:rsid w:val="247BDDCF"/>
    <w:rsid w:val="24F1FE79"/>
    <w:rsid w:val="2682ED0D"/>
    <w:rsid w:val="26E57AA8"/>
    <w:rsid w:val="2740F8B4"/>
    <w:rsid w:val="2A6A2DDC"/>
    <w:rsid w:val="2AA12762"/>
    <w:rsid w:val="2B953FBF"/>
    <w:rsid w:val="2C350F73"/>
    <w:rsid w:val="2CCA7B7D"/>
    <w:rsid w:val="2E986437"/>
    <w:rsid w:val="2F0B8B64"/>
    <w:rsid w:val="2F121A69"/>
    <w:rsid w:val="2F97E8D8"/>
    <w:rsid w:val="2FAA5951"/>
    <w:rsid w:val="2FB9C2A7"/>
    <w:rsid w:val="309EB2CE"/>
    <w:rsid w:val="30F25FE3"/>
    <w:rsid w:val="31123DB8"/>
    <w:rsid w:val="314ABF5F"/>
    <w:rsid w:val="317C803D"/>
    <w:rsid w:val="324BDECC"/>
    <w:rsid w:val="32D06705"/>
    <w:rsid w:val="34755088"/>
    <w:rsid w:val="34C9A567"/>
    <w:rsid w:val="352C3C27"/>
    <w:rsid w:val="3597BFEB"/>
    <w:rsid w:val="36721F1D"/>
    <w:rsid w:val="36AFEC17"/>
    <w:rsid w:val="3A651D42"/>
    <w:rsid w:val="3AC35832"/>
    <w:rsid w:val="3B4EE8F7"/>
    <w:rsid w:val="3B92BE12"/>
    <w:rsid w:val="3E14AAEA"/>
    <w:rsid w:val="3E176146"/>
    <w:rsid w:val="3EAF4D9B"/>
    <w:rsid w:val="3FFA775D"/>
    <w:rsid w:val="41BD0D51"/>
    <w:rsid w:val="42015826"/>
    <w:rsid w:val="42284379"/>
    <w:rsid w:val="42B90B66"/>
    <w:rsid w:val="43FEF08A"/>
    <w:rsid w:val="44892A1F"/>
    <w:rsid w:val="44AE7AA6"/>
    <w:rsid w:val="4519D36B"/>
    <w:rsid w:val="45AB0D1B"/>
    <w:rsid w:val="45E12777"/>
    <w:rsid w:val="464C92E7"/>
    <w:rsid w:val="4703468E"/>
    <w:rsid w:val="4841B638"/>
    <w:rsid w:val="4903ED5F"/>
    <w:rsid w:val="4AE35D70"/>
    <w:rsid w:val="4C3582AA"/>
    <w:rsid w:val="4C53C3A2"/>
    <w:rsid w:val="4D35D523"/>
    <w:rsid w:val="4D57100D"/>
    <w:rsid w:val="4FB24C2A"/>
    <w:rsid w:val="4FF3DA1B"/>
    <w:rsid w:val="51A20EB3"/>
    <w:rsid w:val="520723EA"/>
    <w:rsid w:val="52FA74CD"/>
    <w:rsid w:val="54A63474"/>
    <w:rsid w:val="54BDB601"/>
    <w:rsid w:val="54F25DA3"/>
    <w:rsid w:val="5516F4D4"/>
    <w:rsid w:val="5586AC1C"/>
    <w:rsid w:val="562CC51E"/>
    <w:rsid w:val="564D9598"/>
    <w:rsid w:val="56F963F5"/>
    <w:rsid w:val="573A9715"/>
    <w:rsid w:val="5761D87F"/>
    <w:rsid w:val="5775E3C4"/>
    <w:rsid w:val="586EDEB2"/>
    <w:rsid w:val="5884F458"/>
    <w:rsid w:val="58F0C385"/>
    <w:rsid w:val="58F9AF7E"/>
    <w:rsid w:val="5991A9F7"/>
    <w:rsid w:val="5AF0A938"/>
    <w:rsid w:val="5C73F5E9"/>
    <w:rsid w:val="5CCD7E0D"/>
    <w:rsid w:val="5D3AE133"/>
    <w:rsid w:val="5DE3D8FB"/>
    <w:rsid w:val="5EADE318"/>
    <w:rsid w:val="5FD4AAF1"/>
    <w:rsid w:val="6088FD47"/>
    <w:rsid w:val="60EBEE28"/>
    <w:rsid w:val="6161C575"/>
    <w:rsid w:val="617209DC"/>
    <w:rsid w:val="630D7862"/>
    <w:rsid w:val="651179AA"/>
    <w:rsid w:val="66CCBE71"/>
    <w:rsid w:val="66D90726"/>
    <w:rsid w:val="6928140C"/>
    <w:rsid w:val="6940702E"/>
    <w:rsid w:val="6ADC6995"/>
    <w:rsid w:val="6AE3238B"/>
    <w:rsid w:val="6C03CF78"/>
    <w:rsid w:val="6C0F91BD"/>
    <w:rsid w:val="6C59DF16"/>
    <w:rsid w:val="6D2119A4"/>
    <w:rsid w:val="6D332660"/>
    <w:rsid w:val="6D6F17EC"/>
    <w:rsid w:val="6F9D47C5"/>
    <w:rsid w:val="6FB1C972"/>
    <w:rsid w:val="704AA4E3"/>
    <w:rsid w:val="707A2CEB"/>
    <w:rsid w:val="70A12AE9"/>
    <w:rsid w:val="70AFA76F"/>
    <w:rsid w:val="7123F132"/>
    <w:rsid w:val="71919746"/>
    <w:rsid w:val="71D272B4"/>
    <w:rsid w:val="72A5B28B"/>
    <w:rsid w:val="72DDF144"/>
    <w:rsid w:val="73BC42C1"/>
    <w:rsid w:val="73E5D17A"/>
    <w:rsid w:val="74D97123"/>
    <w:rsid w:val="755A38E3"/>
    <w:rsid w:val="7797DADB"/>
    <w:rsid w:val="77EF3B5C"/>
    <w:rsid w:val="7A477729"/>
    <w:rsid w:val="7C9D734D"/>
    <w:rsid w:val="7D1DAFAE"/>
    <w:rsid w:val="7E9D72FC"/>
    <w:rsid w:val="7F3D5056"/>
    <w:rsid w:val="7F41F245"/>
    <w:rsid w:val="7F504C2E"/>
    <w:rsid w:val="7FA9347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FE820C"/>
  <w15:chartTrackingRefBased/>
  <w15:docId w15:val="{6D7D78CB-B89E-4EC8-BEC4-D348BAE7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5877"/>
    <w:pPr>
      <w:keepNext/>
      <w:numPr>
        <w:numId w:val="13"/>
      </w:numPr>
      <w:ind w:left="360"/>
      <w:contextualSpacing/>
      <w:outlineLvl w:val="0"/>
    </w:pPr>
    <w:rPr>
      <w:b/>
      <w:bCs/>
    </w:rPr>
  </w:style>
  <w:style w:type="paragraph" w:styleId="Heading2">
    <w:name w:val="heading 2"/>
    <w:basedOn w:val="Normal"/>
    <w:next w:val="Normal"/>
    <w:link w:val="Heading2Char"/>
    <w:uiPriority w:val="9"/>
    <w:unhideWhenUsed/>
    <w:qFormat/>
    <w:rsid w:val="00BE6B06"/>
    <w:pPr>
      <w:numPr>
        <w:numId w:val="1"/>
      </w:numPr>
      <w:tabs>
        <w:tab w:val="clear" w:pos="1080"/>
      </w:tabs>
      <w:ind w:left="720"/>
      <w:contextualSpacing/>
      <w:outlineLvl w:val="1"/>
    </w:pPr>
    <w:rPr>
      <w:b/>
      <w:iCs/>
    </w:rPr>
  </w:style>
  <w:style w:type="paragraph" w:styleId="Heading4">
    <w:name w:val="heading 4"/>
    <w:basedOn w:val="Normal"/>
    <w:next w:val="Normal"/>
    <w:link w:val="Heading4Char"/>
    <w:uiPriority w:val="9"/>
    <w:semiHidden/>
    <w:unhideWhenUsed/>
    <w:qFormat/>
    <w:rsid w:val="007719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877"/>
    <w:rPr>
      <w:rFonts w:ascii="Times New Roman" w:eastAsia="Times New Roman" w:hAnsi="Times New Roman" w:cs="Times New Roman"/>
      <w:b/>
      <w:bCs/>
      <w:sz w:val="24"/>
      <w:szCs w:val="24"/>
    </w:rPr>
  </w:style>
  <w:style w:type="paragraph" w:styleId="Header">
    <w:name w:val="header"/>
    <w:basedOn w:val="Normal"/>
    <w:link w:val="HeaderChar"/>
    <w:rsid w:val="00AB50EA"/>
    <w:pPr>
      <w:tabs>
        <w:tab w:val="center" w:pos="4320"/>
        <w:tab w:val="right" w:pos="8640"/>
      </w:tabs>
    </w:pPr>
  </w:style>
  <w:style w:type="character" w:customStyle="1" w:styleId="HeaderChar">
    <w:name w:val="Header Char"/>
    <w:basedOn w:val="DefaultParagraphFont"/>
    <w:link w:val="Header"/>
    <w:uiPriority w:val="99"/>
    <w:rsid w:val="00AB50EA"/>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B56B3F"/>
    <w:rPr>
      <w:sz w:val="16"/>
      <w:szCs w:val="16"/>
    </w:rPr>
  </w:style>
  <w:style w:type="paragraph" w:styleId="CommentText">
    <w:name w:val="annotation text"/>
    <w:basedOn w:val="Normal"/>
    <w:link w:val="CommentTextChar"/>
    <w:uiPriority w:val="99"/>
    <w:unhideWhenUsed/>
    <w:rsid w:val="00B56B3F"/>
    <w:rPr>
      <w:sz w:val="20"/>
      <w:szCs w:val="20"/>
    </w:rPr>
  </w:style>
  <w:style w:type="character" w:customStyle="1" w:styleId="CommentTextChar">
    <w:name w:val="Comment Text Char"/>
    <w:basedOn w:val="DefaultParagraphFont"/>
    <w:link w:val="CommentText"/>
    <w:uiPriority w:val="99"/>
    <w:rsid w:val="00B56B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6B3F"/>
    <w:rPr>
      <w:b/>
      <w:bCs/>
    </w:rPr>
  </w:style>
  <w:style w:type="character" w:customStyle="1" w:styleId="CommentSubjectChar">
    <w:name w:val="Comment Subject Char"/>
    <w:basedOn w:val="CommentTextChar"/>
    <w:link w:val="CommentSubject"/>
    <w:uiPriority w:val="99"/>
    <w:semiHidden/>
    <w:rsid w:val="00B56B3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56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B3F"/>
    <w:rPr>
      <w:rFonts w:ascii="Segoe UI" w:eastAsia="Times New Roman" w:hAnsi="Segoe UI" w:cs="Segoe UI"/>
      <w:sz w:val="18"/>
      <w:szCs w:val="18"/>
    </w:rPr>
  </w:style>
  <w:style w:type="paragraph" w:styleId="ListParagraph">
    <w:name w:val="List Paragraph"/>
    <w:basedOn w:val="Normal"/>
    <w:link w:val="ListParagraphChar"/>
    <w:uiPriority w:val="34"/>
    <w:qFormat/>
    <w:rsid w:val="00B56B3F"/>
    <w:pPr>
      <w:ind w:left="720"/>
      <w:contextualSpacing/>
    </w:pPr>
  </w:style>
  <w:style w:type="paragraph" w:styleId="BodyTextIndent">
    <w:name w:val="Body Text Indent"/>
    <w:basedOn w:val="Normal"/>
    <w:link w:val="BodyTextIndentChar"/>
    <w:rsid w:val="00601E48"/>
    <w:pPr>
      <w:widowControl w:val="0"/>
      <w:tabs>
        <w:tab w:val="left" w:pos="-1440"/>
      </w:tabs>
      <w:autoSpaceDE w:val="0"/>
      <w:autoSpaceDN w:val="0"/>
      <w:adjustRightInd w:val="0"/>
      <w:ind w:left="720"/>
    </w:pPr>
  </w:style>
  <w:style w:type="character" w:customStyle="1" w:styleId="BodyTextIndentChar">
    <w:name w:val="Body Text Indent Char"/>
    <w:basedOn w:val="DefaultParagraphFont"/>
    <w:link w:val="BodyTextIndent"/>
    <w:rsid w:val="00601E48"/>
    <w:rPr>
      <w:rFonts w:ascii="Times New Roman" w:eastAsia="Times New Roman" w:hAnsi="Times New Roman" w:cs="Times New Roman"/>
      <w:sz w:val="24"/>
      <w:szCs w:val="24"/>
    </w:r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qFormat/>
    <w:rsid w:val="008C4059"/>
    <w:rPr>
      <w:sz w:val="20"/>
      <w:szCs w:val="20"/>
    </w:rPr>
  </w:style>
  <w:style w:type="character" w:customStyle="1" w:styleId="FootnoteTextChar">
    <w:name w:val="Footnote Text Char"/>
    <w:aliases w:val=" Char Char,Char Char,Char18 Char,F1 Char,FT Char,Footnote Text - NEW Char,Footnote Text AG Char,Footnote Text Char Char Char,Footnote Text Char Char Char Char Char,Footnote Text Char1 Char Char Char,Footnote ak Char,Footnotes Char"/>
    <w:basedOn w:val="DefaultParagraphFont"/>
    <w:link w:val="FootnoteText"/>
    <w:uiPriority w:val="99"/>
    <w:rsid w:val="008C4059"/>
    <w:rPr>
      <w:rFonts w:ascii="Times New Roman" w:eastAsia="Times New Roman" w:hAnsi="Times New Roman" w:cs="Times New Roman"/>
      <w:sz w:val="20"/>
      <w:szCs w:val="20"/>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basedOn w:val="DefaultParagraphFont"/>
    <w:uiPriority w:val="99"/>
    <w:qFormat/>
    <w:rsid w:val="008C4059"/>
    <w:rPr>
      <w:vertAlign w:val="superscript"/>
    </w:rPr>
  </w:style>
  <w:style w:type="paragraph" w:styleId="BodyText">
    <w:name w:val="Body Text"/>
    <w:basedOn w:val="Normal"/>
    <w:link w:val="BodyTextChar"/>
    <w:rsid w:val="008C4059"/>
    <w:pPr>
      <w:spacing w:after="120"/>
    </w:pPr>
  </w:style>
  <w:style w:type="character" w:customStyle="1" w:styleId="BodyTextChar">
    <w:name w:val="Body Text Char"/>
    <w:basedOn w:val="DefaultParagraphFont"/>
    <w:link w:val="BodyText"/>
    <w:rsid w:val="008C4059"/>
    <w:rPr>
      <w:rFonts w:ascii="Times New Roman" w:eastAsia="Times New Roman" w:hAnsi="Times New Roman" w:cs="Times New Roman"/>
      <w:sz w:val="24"/>
      <w:szCs w:val="24"/>
    </w:rPr>
  </w:style>
  <w:style w:type="character" w:styleId="Hyperlink">
    <w:name w:val="Hyperlink"/>
    <w:uiPriority w:val="99"/>
    <w:rsid w:val="009B5258"/>
    <w:rPr>
      <w:color w:val="0000FF"/>
      <w:u w:val="single"/>
    </w:rPr>
  </w:style>
  <w:style w:type="paragraph" w:customStyle="1" w:styleId="Default">
    <w:name w:val="Default"/>
    <w:rsid w:val="00FC355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C04874"/>
    <w:pPr>
      <w:tabs>
        <w:tab w:val="center" w:pos="4680"/>
        <w:tab w:val="right" w:pos="9360"/>
      </w:tabs>
    </w:pPr>
  </w:style>
  <w:style w:type="character" w:customStyle="1" w:styleId="FooterChar">
    <w:name w:val="Footer Char"/>
    <w:basedOn w:val="DefaultParagraphFont"/>
    <w:link w:val="Footer"/>
    <w:uiPriority w:val="99"/>
    <w:rsid w:val="00C04874"/>
    <w:rPr>
      <w:rFonts w:ascii="Times New Roman" w:eastAsia="Times New Roman" w:hAnsi="Times New Roman" w:cs="Times New Roman"/>
      <w:sz w:val="24"/>
      <w:szCs w:val="24"/>
    </w:rPr>
  </w:style>
  <w:style w:type="table" w:styleId="TableGrid">
    <w:name w:val="Table Grid"/>
    <w:basedOn w:val="TableNormal"/>
    <w:uiPriority w:val="59"/>
    <w:rsid w:val="00A1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802"/>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6B06"/>
    <w:rPr>
      <w:rFonts w:ascii="Times New Roman" w:eastAsia="Times New Roman" w:hAnsi="Times New Roman" w:cs="Times New Roman"/>
      <w:b/>
      <w:iCs/>
      <w:sz w:val="24"/>
      <w:szCs w:val="24"/>
    </w:rPr>
  </w:style>
  <w:style w:type="character" w:styleId="UnresolvedMention">
    <w:name w:val="Unresolved Mention"/>
    <w:basedOn w:val="DefaultParagraphFont"/>
    <w:uiPriority w:val="99"/>
    <w:semiHidden/>
    <w:unhideWhenUsed/>
    <w:rsid w:val="00A155BC"/>
    <w:rPr>
      <w:color w:val="605E5C"/>
      <w:shd w:val="clear" w:color="auto" w:fill="E1DFDD"/>
    </w:rPr>
  </w:style>
  <w:style w:type="character" w:styleId="Emphasis">
    <w:name w:val="Emphasis"/>
    <w:basedOn w:val="DefaultParagraphFont"/>
    <w:uiPriority w:val="20"/>
    <w:qFormat/>
    <w:rsid w:val="005907F6"/>
    <w:rPr>
      <w:i/>
      <w:iCs/>
    </w:rPr>
  </w:style>
  <w:style w:type="character" w:customStyle="1" w:styleId="ListParagraphChar">
    <w:name w:val="List Paragraph Char"/>
    <w:link w:val="ListParagraph"/>
    <w:uiPriority w:val="34"/>
    <w:locked/>
    <w:rsid w:val="005907F6"/>
    <w:rPr>
      <w:rFonts w:ascii="Times New Roman" w:eastAsia="Times New Roman" w:hAnsi="Times New Roman" w:cs="Times New Roman"/>
      <w:sz w:val="24"/>
      <w:szCs w:val="24"/>
    </w:rPr>
  </w:style>
  <w:style w:type="character" w:customStyle="1" w:styleId="ui-provider">
    <w:name w:val="ui-provider"/>
    <w:basedOn w:val="DefaultParagraphFont"/>
    <w:rsid w:val="00E64B46"/>
  </w:style>
  <w:style w:type="paragraph" w:customStyle="1" w:styleId="citation-hover-present">
    <w:name w:val="citation-hover-present"/>
    <w:basedOn w:val="Normal"/>
    <w:rsid w:val="006124E4"/>
    <w:pPr>
      <w:spacing w:before="100" w:beforeAutospacing="1" w:after="100" w:afterAutospacing="1"/>
    </w:pPr>
  </w:style>
  <w:style w:type="character" w:styleId="Mention">
    <w:name w:val="Mention"/>
    <w:basedOn w:val="DefaultParagraphFont"/>
    <w:uiPriority w:val="99"/>
    <w:unhideWhenUsed/>
    <w:rsid w:val="00B20B9C"/>
    <w:rPr>
      <w:color w:val="2B579A"/>
      <w:shd w:val="clear" w:color="auto" w:fill="E1DFDD"/>
    </w:rPr>
  </w:style>
  <w:style w:type="character" w:customStyle="1" w:styleId="Heading4Char">
    <w:name w:val="Heading 4 Char"/>
    <w:basedOn w:val="DefaultParagraphFont"/>
    <w:link w:val="Heading4"/>
    <w:uiPriority w:val="9"/>
    <w:semiHidden/>
    <w:rsid w:val="0077199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3/11/03/2023-23780/proposed-amendment-to-prohibited-transaction-exemption-2020-02"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 Id="rId2" Type="http://schemas.openxmlformats.org/officeDocument/2006/relationships/hyperlink" Target="https://www.finra.org/rules-guidance/rulebooks/finra-rules/3110" TargetMode="External" /><Relationship Id="rId3" Type="http://schemas.openxmlformats.org/officeDocument/2006/relationships/hyperlink" Target="https://www.finra.org/rules-guidance/rulebooks/finra-rules/3120" TargetMode="External" /><Relationship Id="rId4" Type="http://schemas.openxmlformats.org/officeDocument/2006/relationships/hyperlink" Target="https://www.finra.org/rules-guidance/rulebooks/finra-rules/3130" TargetMode="External" /><Relationship Id="rId5" Type="http://schemas.openxmlformats.org/officeDocument/2006/relationships/hyperlink" Target="https://higherlogicdownload.s3.amazonaws.com/INVESTMENTADVISER/aa03843e-7981-46b2-aa49-c572f2ddb7e8/UploadedImages/publications/2018-Investment-Management_Compliance-Testing-Survey-Results-Webcast_pptx.pdf" TargetMode="External" /><Relationship Id="rId6" Type="http://schemas.openxmlformats.org/officeDocument/2006/relationships/hyperlink" Target="https://www.usps.com/ship/first-class-mail.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0" ma:contentTypeDescription="Create a new document." ma:contentTypeScope="" ma:versionID="2e43ce9856db20ef8fd6bfb4cec9254d">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9213cf6561ffeff7647aade5ec53be8e"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02f922a-4822-456a-81ca-e751b937cee3">
      <UserInfo>
        <DisplayName>Cosby, Chris - EBSA</DisplayName>
        <AccountId>88</AccountId>
        <AccountType/>
      </UserInfo>
      <UserInfo>
        <DisplayName>Poppe-Yanez, Gunnar - OASP</DisplayName>
        <AccountId>844</AccountId>
        <AccountType/>
      </UserInfo>
      <UserInfo>
        <DisplayName>Lloyd, Karen - EBSA</DisplayName>
        <AccountId>172</AccountId>
        <AccountType/>
      </UserInfo>
      <UserInfo>
        <DisplayName>Lim, Youngok - EBSA</DisplayName>
        <AccountId>32</AccountId>
        <AccountType/>
      </UserInfo>
      <UserInfo>
        <DisplayName>Wilker, Susan - EBSA</DisplayName>
        <AccountId>571</AccountId>
        <AccountType/>
      </UserInfo>
      <UserInfo>
        <DisplayName>Brennan, Joseph - EBSA</DisplayName>
        <AccountId>2426</AccountId>
        <AccountType/>
      </UserInfo>
    </SharedWithUsers>
  </documentManagement>
</p:properties>
</file>

<file path=customXml/itemProps1.xml><?xml version="1.0" encoding="utf-8"?>
<ds:datastoreItem xmlns:ds="http://schemas.openxmlformats.org/officeDocument/2006/customXml" ds:itemID="{25A5CC4A-D7ED-4D1C-9531-79E36CB17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1AF53-8636-4281-AD51-5344F2558651}">
  <ds:schemaRefs>
    <ds:schemaRef ds:uri="http://schemas.openxmlformats.org/officeDocument/2006/bibliography"/>
  </ds:schemaRefs>
</ds:datastoreItem>
</file>

<file path=customXml/itemProps3.xml><?xml version="1.0" encoding="utf-8"?>
<ds:datastoreItem xmlns:ds="http://schemas.openxmlformats.org/officeDocument/2006/customXml" ds:itemID="{A7D4B6E1-D43D-497E-998C-54750CC4791B}">
  <ds:schemaRefs>
    <ds:schemaRef ds:uri="http://schemas.microsoft.com/sharepoint/v3/contenttype/forms"/>
  </ds:schemaRefs>
</ds:datastoreItem>
</file>

<file path=customXml/itemProps4.xml><?xml version="1.0" encoding="utf-8"?>
<ds:datastoreItem xmlns:ds="http://schemas.openxmlformats.org/officeDocument/2006/customXml" ds:itemID="{A3216A04-0ABF-428C-9A9E-2ACF5A9AEF0B}">
  <ds:schemaRef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702f922a-4822-456a-81ca-e751b937cee3"/>
    <ds:schemaRef ds:uri="3f770ad9-5eb5-4717-9e53-a4191c0fe3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8586</Words>
  <Characters>48941</Characters>
  <Application>Microsoft Office Word</Application>
  <DocSecurity>0</DocSecurity>
  <Lines>407</Lines>
  <Paragraphs>114</Paragraphs>
  <ScaleCrop>false</ScaleCrop>
  <Company>Department of Labor</Company>
  <LinksUpToDate>false</LinksUpToDate>
  <CharactersWithSpaces>57413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Buyniski</dc:creator>
  <cp:lastModifiedBy>Mariam Khan</cp:lastModifiedBy>
  <cp:revision>2</cp:revision>
  <dcterms:created xsi:type="dcterms:W3CDTF">2024-04-26T16:23:00Z</dcterms:created>
  <dcterms:modified xsi:type="dcterms:W3CDTF">2024-04-26T16:23:00Z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ies>
</file>