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EBD" w:rsidP="006E2F9B" w14:paraId="47B0262D" w14:textId="749857DF">
      <w:pPr>
        <w:widowControl/>
        <w:tabs>
          <w:tab w:val="left" w:pos="720"/>
        </w:tabs>
        <w:ind w:left="1440" w:hanging="1440"/>
        <w:jc w:val="center"/>
        <w:rPr>
          <w:rFonts w:ascii="Times New Roman" w:hAnsi="Times New Roman"/>
          <w:b/>
          <w:bCs/>
        </w:rPr>
      </w:pPr>
      <w:r w:rsidRPr="00A47DA7">
        <w:rPr>
          <w:rFonts w:ascii="Times New Roman" w:hAnsi="Times New Roman"/>
          <w:b/>
          <w:bCs/>
        </w:rPr>
        <w:t>SUPPORTING STATEMENT FOR</w:t>
      </w:r>
    </w:p>
    <w:p w:rsidR="00A10441" w:rsidP="006E2F9B" w14:paraId="35B2BDB0" w14:textId="7F324C90">
      <w:pPr>
        <w:widowControl/>
        <w:tabs>
          <w:tab w:val="left" w:pos="720"/>
        </w:tabs>
        <w:ind w:left="1440" w:hanging="1440"/>
        <w:jc w:val="center"/>
        <w:rPr>
          <w:rFonts w:ascii="Times New Roman" w:hAnsi="Times New Roman"/>
          <w:b/>
          <w:bCs/>
        </w:rPr>
      </w:pPr>
      <w:r w:rsidRPr="00576EBD">
        <w:rPr>
          <w:rFonts w:ascii="Times New Roman" w:hAnsi="Times New Roman"/>
          <w:b/>
          <w:bCs/>
        </w:rPr>
        <w:t>National Longitudinal Survey of Youth 1979</w:t>
      </w:r>
    </w:p>
    <w:p w:rsidR="00116CD5" w:rsidRPr="00871CA6" w:rsidP="006E2F9B" w14:paraId="2523DF68" w14:textId="77777777">
      <w:pPr>
        <w:widowControl/>
        <w:jc w:val="center"/>
        <w:rPr>
          <w:rFonts w:ascii="Times New Roman" w:hAnsi="Times New Roman"/>
          <w:b/>
          <w:bCs/>
        </w:rPr>
      </w:pPr>
    </w:p>
    <w:p w:rsidR="00690F56" w:rsidRPr="00871CA6" w:rsidP="006E2F9B" w14:paraId="6C3E63C8" w14:textId="3DF0D60C">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576EBD">
        <w:rPr>
          <w:rFonts w:ascii="Times New Roman" w:hAnsi="Times New Roman"/>
          <w:b/>
          <w:bCs/>
        </w:rPr>
        <w:t>1220-0109</w:t>
      </w:r>
    </w:p>
    <w:p w:rsidR="00530EBD" w:rsidRPr="00D53DEB" w:rsidP="00116CD5" w14:paraId="3086E90B" w14:textId="77777777">
      <w:pPr>
        <w:widowControl/>
        <w:jc w:val="center"/>
        <w:rPr>
          <w:rFonts w:ascii="Times New Roman" w:hAnsi="Times New Roman"/>
          <w:bCs/>
        </w:rPr>
      </w:pPr>
    </w:p>
    <w:p w:rsidR="00576EBD" w:rsidRPr="00576EBD" w:rsidP="00576EBD" w14:paraId="65C09871" w14:textId="7F960078">
      <w:pPr>
        <w:widowControl/>
        <w:rPr>
          <w:rFonts w:ascii="Times New Roman" w:hAnsi="Times New Roman"/>
          <w:bCs/>
        </w:rPr>
      </w:pPr>
      <w:r w:rsidRPr="00D53DEB">
        <w:rPr>
          <w:rFonts w:ascii="Times New Roman" w:hAnsi="Times New Roman"/>
          <w:bCs/>
        </w:rPr>
        <w:t>This I</w:t>
      </w:r>
      <w:r>
        <w:rPr>
          <w:rFonts w:ascii="Times New Roman" w:hAnsi="Times New Roman"/>
          <w:bCs/>
        </w:rPr>
        <w:t xml:space="preserve">nformation </w:t>
      </w:r>
      <w:r w:rsidRPr="00D53DEB">
        <w:rPr>
          <w:rFonts w:ascii="Times New Roman" w:hAnsi="Times New Roman"/>
          <w:bCs/>
        </w:rPr>
        <w:t>C</w:t>
      </w:r>
      <w:r>
        <w:rPr>
          <w:rFonts w:ascii="Times New Roman" w:hAnsi="Times New Roman"/>
          <w:bCs/>
        </w:rPr>
        <w:t xml:space="preserve">ollection </w:t>
      </w:r>
      <w:r w:rsidRPr="00D53DEB">
        <w:rPr>
          <w:rFonts w:ascii="Times New Roman" w:hAnsi="Times New Roman"/>
          <w:bCs/>
        </w:rPr>
        <w:t>R</w:t>
      </w:r>
      <w:r>
        <w:rPr>
          <w:rFonts w:ascii="Times New Roman" w:hAnsi="Times New Roman"/>
          <w:bCs/>
        </w:rPr>
        <w:t>equest</w:t>
      </w:r>
      <w:r w:rsidR="00A31CAF">
        <w:rPr>
          <w:rFonts w:ascii="Times New Roman" w:hAnsi="Times New Roman"/>
          <w:bCs/>
        </w:rPr>
        <w:t xml:space="preserve"> (ICR)</w:t>
      </w:r>
      <w:r w:rsidR="004247AA">
        <w:rPr>
          <w:rFonts w:ascii="Times New Roman" w:hAnsi="Times New Roman"/>
          <w:bCs/>
        </w:rPr>
        <w:t xml:space="preserve"> is a revision</w:t>
      </w:r>
      <w:r w:rsidRPr="00D53DEB">
        <w:rPr>
          <w:rFonts w:ascii="Times New Roman" w:hAnsi="Times New Roman"/>
          <w:bCs/>
        </w:rPr>
        <w:t xml:space="preserve"> </w:t>
      </w:r>
      <w:r w:rsidR="005D683E">
        <w:rPr>
          <w:rFonts w:ascii="Times New Roman" w:hAnsi="Times New Roman"/>
          <w:bCs/>
        </w:rPr>
        <w:t>of</w:t>
      </w:r>
      <w:r w:rsidR="00C66E25">
        <w:rPr>
          <w:rFonts w:ascii="Times New Roman" w:hAnsi="Times New Roman"/>
          <w:bCs/>
        </w:rPr>
        <w:t xml:space="preserve"> a current</w:t>
      </w:r>
      <w:r w:rsidR="003167C1">
        <w:rPr>
          <w:rFonts w:ascii="Times New Roman" w:hAnsi="Times New Roman"/>
          <w:bCs/>
        </w:rPr>
        <w:t>ly</w:t>
      </w:r>
      <w:r w:rsidR="00C66E25">
        <w:rPr>
          <w:rFonts w:ascii="Times New Roman" w:hAnsi="Times New Roman"/>
          <w:bCs/>
        </w:rPr>
        <w:t xml:space="preserve"> approved collection </w:t>
      </w:r>
      <w:r w:rsidRPr="00D53DEB">
        <w:rPr>
          <w:rFonts w:ascii="Times New Roman" w:hAnsi="Times New Roman"/>
          <w:bCs/>
        </w:rPr>
        <w:t>seek</w:t>
      </w:r>
      <w:r w:rsidR="004247AA">
        <w:rPr>
          <w:rFonts w:ascii="Times New Roman" w:hAnsi="Times New Roman"/>
          <w:bCs/>
        </w:rPr>
        <w:t>ing</w:t>
      </w:r>
      <w:r w:rsidRPr="00D53DEB">
        <w:rPr>
          <w:rFonts w:ascii="Times New Roman" w:hAnsi="Times New Roman"/>
          <w:bCs/>
        </w:rPr>
        <w:t xml:space="preserve"> to </w:t>
      </w:r>
      <w:r>
        <w:rPr>
          <w:rFonts w:ascii="Times New Roman" w:hAnsi="Times New Roman"/>
          <w:bCs/>
        </w:rPr>
        <w:t>obtain</w:t>
      </w:r>
      <w:r w:rsidRPr="00027953">
        <w:rPr>
          <w:rFonts w:ascii="Times New Roman" w:hAnsi="Times New Roman"/>
          <w:bCs/>
        </w:rPr>
        <w:t xml:space="preserve"> clearance for the main fielding of Round </w:t>
      </w:r>
      <w:r>
        <w:rPr>
          <w:rFonts w:ascii="Times New Roman" w:hAnsi="Times New Roman"/>
          <w:bCs/>
        </w:rPr>
        <w:t>3</w:t>
      </w:r>
      <w:r w:rsidR="00C33F45">
        <w:rPr>
          <w:rFonts w:ascii="Times New Roman" w:hAnsi="Times New Roman"/>
          <w:bCs/>
        </w:rPr>
        <w:t>1</w:t>
      </w:r>
      <w:r w:rsidRPr="00027953">
        <w:rPr>
          <w:rFonts w:ascii="Times New Roman" w:hAnsi="Times New Roman"/>
          <w:bCs/>
        </w:rPr>
        <w:t xml:space="preserve"> of the National Longitudinal Survey of Youth 19</w:t>
      </w:r>
      <w:r>
        <w:rPr>
          <w:rFonts w:ascii="Times New Roman" w:hAnsi="Times New Roman"/>
          <w:bCs/>
        </w:rPr>
        <w:t>79</w:t>
      </w:r>
      <w:r w:rsidRPr="00027953">
        <w:rPr>
          <w:rFonts w:ascii="Times New Roman" w:hAnsi="Times New Roman"/>
          <w:bCs/>
        </w:rPr>
        <w:t xml:space="preserve"> (NLSY</w:t>
      </w:r>
      <w:r>
        <w:rPr>
          <w:rFonts w:ascii="Times New Roman" w:hAnsi="Times New Roman"/>
          <w:bCs/>
        </w:rPr>
        <w:t>79).</w:t>
      </w:r>
      <w:r w:rsidRPr="00576EBD">
        <w:rPr>
          <w:rFonts w:ascii="Times New Roman" w:hAnsi="Times New Roman"/>
          <w:bCs/>
        </w:rPr>
        <w:t xml:space="preserve"> The sample includes 9,964 </w:t>
      </w:r>
      <w:r w:rsidRPr="00576EBD">
        <w:rPr>
          <w:rFonts w:ascii="Times New Roman" w:hAnsi="Times New Roman"/>
          <w:bCs/>
        </w:rPr>
        <w:t>persons</w:t>
      </w:r>
      <w:r w:rsidRPr="00576EBD">
        <w:rPr>
          <w:rFonts w:ascii="Times New Roman" w:hAnsi="Times New Roman"/>
          <w:bCs/>
        </w:rPr>
        <w:t xml:space="preserve"> who </w:t>
      </w:r>
      <w:r w:rsidR="0035521F">
        <w:rPr>
          <w:rFonts w:ascii="Times New Roman" w:hAnsi="Times New Roman"/>
          <w:bCs/>
        </w:rPr>
        <w:t>were</w:t>
      </w:r>
      <w:r w:rsidRPr="00576EBD">
        <w:rPr>
          <w:rFonts w:ascii="Times New Roman" w:hAnsi="Times New Roman"/>
          <w:bCs/>
        </w:rPr>
        <w:t xml:space="preserve"> 57 to 64 years old on December 31, 2021.  Approximately 1</w:t>
      </w:r>
      <w:r w:rsidR="00AB7A45">
        <w:rPr>
          <w:rFonts w:ascii="Times New Roman" w:hAnsi="Times New Roman"/>
          <w:bCs/>
        </w:rPr>
        <w:t>3</w:t>
      </w:r>
      <w:r w:rsidRPr="00576EBD">
        <w:rPr>
          <w:rFonts w:ascii="Times New Roman" w:hAnsi="Times New Roman"/>
          <w:bCs/>
        </w:rPr>
        <w:t xml:space="preserve"> percent of the sample members are deceased.  The NLSY79 is a representative national sample of adults who were born in the years 1957 to 1964 and lived in the U.S. when the survey began in 1979.  The sample contains an overrepresentation of </w:t>
      </w:r>
      <w:r w:rsidR="00BF5ECE">
        <w:rPr>
          <w:rFonts w:ascii="Times New Roman" w:hAnsi="Times New Roman"/>
          <w:bCs/>
        </w:rPr>
        <w:t>B</w:t>
      </w:r>
      <w:r w:rsidRPr="00576EBD" w:rsidR="00BF5ECE">
        <w:rPr>
          <w:rFonts w:ascii="Times New Roman" w:hAnsi="Times New Roman"/>
          <w:bCs/>
        </w:rPr>
        <w:t xml:space="preserve">lack </w:t>
      </w:r>
      <w:r w:rsidRPr="00576EBD">
        <w:rPr>
          <w:rFonts w:ascii="Times New Roman" w:hAnsi="Times New Roman"/>
          <w:bCs/>
        </w:rPr>
        <w:t>and Hispanic respondents to include a sufficient sample size to permit racial and ethnic analytical comparisons.  Appropriate weights have been developed so that the sample components can be combined in a manner to aggregate to the overall U.S. population of the same ages, excluding those who have immigrated since 1978.</w:t>
      </w:r>
    </w:p>
    <w:p w:rsidR="004247AA" w:rsidP="00576EBD" w14:paraId="2128E839" w14:textId="3E9D0C92">
      <w:pPr>
        <w:widowControl/>
        <w:rPr>
          <w:rFonts w:ascii="Times New Roman" w:hAnsi="Times New Roman"/>
          <w:bCs/>
        </w:rPr>
      </w:pPr>
    </w:p>
    <w:p w:rsidR="00576EBD" w:rsidRPr="00576EBD" w:rsidP="00576EBD" w14:paraId="605EB720" w14:textId="5F770FFE">
      <w:pPr>
        <w:widowControl/>
        <w:rPr>
          <w:rFonts w:ascii="Times New Roman" w:hAnsi="Times New Roman"/>
          <w:bCs/>
        </w:rPr>
      </w:pPr>
      <w:r w:rsidRPr="00576EBD">
        <w:rPr>
          <w:rFonts w:ascii="Times New Roman" w:hAnsi="Times New Roman"/>
          <w:bCs/>
        </w:rPr>
        <w:t>The main NLSY79 is funded primarily by the Bureau of Labor Statistics (BLS).  The BLS contracts with</w:t>
      </w:r>
      <w:r w:rsidR="004247AA">
        <w:rPr>
          <w:rFonts w:ascii="Times New Roman" w:hAnsi="Times New Roman"/>
          <w:bCs/>
        </w:rPr>
        <w:t xml:space="preserve"> Center for Human Resource Research</w:t>
      </w:r>
      <w:r w:rsidRPr="00576EBD">
        <w:rPr>
          <w:rFonts w:ascii="Times New Roman" w:hAnsi="Times New Roman"/>
          <w:bCs/>
        </w:rPr>
        <w:t xml:space="preserve"> </w:t>
      </w:r>
      <w:r w:rsidR="004247AA">
        <w:rPr>
          <w:rFonts w:ascii="Times New Roman" w:hAnsi="Times New Roman"/>
          <w:bCs/>
        </w:rPr>
        <w:t>(</w:t>
      </w:r>
      <w:r w:rsidRPr="00576EBD">
        <w:rPr>
          <w:rFonts w:ascii="Times New Roman" w:hAnsi="Times New Roman"/>
          <w:bCs/>
        </w:rPr>
        <w:t>CHRR</w:t>
      </w:r>
      <w:r w:rsidR="004247AA">
        <w:rPr>
          <w:rFonts w:ascii="Times New Roman" w:hAnsi="Times New Roman"/>
          <w:bCs/>
        </w:rPr>
        <w:t>)</w:t>
      </w:r>
      <w:r w:rsidRPr="00576EBD">
        <w:rPr>
          <w:rFonts w:ascii="Times New Roman" w:hAnsi="Times New Roman"/>
          <w:bCs/>
        </w:rPr>
        <w:t xml:space="preserve"> at </w:t>
      </w:r>
      <w:r w:rsidR="005D52C5">
        <w:rPr>
          <w:rFonts w:ascii="Times New Roman" w:hAnsi="Times New Roman"/>
          <w:bCs/>
        </w:rPr>
        <w:t>T</w:t>
      </w:r>
      <w:r w:rsidRPr="00576EBD">
        <w:rPr>
          <w:rFonts w:ascii="Times New Roman" w:hAnsi="Times New Roman"/>
          <w:bCs/>
        </w:rPr>
        <w:t>he Ohio State University and the National Opinion Research Center (NORC) at the University of Chicago to conduct the survey.  NORC handles the interviewing, initial data preparation, and weighting.  Questionnaire design, additional data cleanup and preparation, development of documentation, and preparation of data files are handled by CHRR.</w:t>
      </w:r>
    </w:p>
    <w:p w:rsidR="00576EBD" w:rsidRPr="00576EBD" w:rsidP="00576EBD" w14:paraId="2CA41E4B" w14:textId="77777777">
      <w:pPr>
        <w:widowControl/>
        <w:rPr>
          <w:rFonts w:ascii="Times New Roman" w:hAnsi="Times New Roman"/>
          <w:bCs/>
        </w:rPr>
      </w:pPr>
    </w:p>
    <w:p w:rsidR="00576EBD" w:rsidP="00576EBD" w14:paraId="6C811151" w14:textId="38652829">
      <w:pPr>
        <w:widowControl/>
        <w:rPr>
          <w:rFonts w:ascii="Times New Roman" w:hAnsi="Times New Roman"/>
          <w:bCs/>
        </w:rPr>
      </w:pPr>
      <w:r w:rsidRPr="00576EBD">
        <w:rPr>
          <w:rFonts w:ascii="Times New Roman" w:hAnsi="Times New Roman"/>
          <w:bCs/>
        </w:rPr>
        <w:t xml:space="preserve">The data collected in this survey are part of a larger </w:t>
      </w:r>
      <w:r w:rsidR="000C4721">
        <w:rPr>
          <w:rFonts w:ascii="Times New Roman" w:hAnsi="Times New Roman"/>
          <w:bCs/>
        </w:rPr>
        <w:t>set of surveys</w:t>
      </w:r>
      <w:r w:rsidRPr="00576EBD" w:rsidR="000C4721">
        <w:rPr>
          <w:rFonts w:ascii="Times New Roman" w:hAnsi="Times New Roman"/>
          <w:bCs/>
        </w:rPr>
        <w:t xml:space="preserve"> </w:t>
      </w:r>
      <w:r w:rsidR="000C4721">
        <w:rPr>
          <w:rFonts w:ascii="Times New Roman" w:hAnsi="Times New Roman"/>
          <w:bCs/>
        </w:rPr>
        <w:t xml:space="preserve">in which longitudinal data </w:t>
      </w:r>
      <w:r w:rsidR="007B4138">
        <w:rPr>
          <w:rFonts w:ascii="Times New Roman" w:hAnsi="Times New Roman"/>
          <w:bCs/>
        </w:rPr>
        <w:t xml:space="preserve">are </w:t>
      </w:r>
      <w:r w:rsidR="000C4721">
        <w:rPr>
          <w:rFonts w:ascii="Times New Roman" w:hAnsi="Times New Roman"/>
          <w:bCs/>
        </w:rPr>
        <w:t>gathered for several</w:t>
      </w:r>
      <w:r w:rsidRPr="00576EBD">
        <w:rPr>
          <w:rFonts w:ascii="Times New Roman" w:hAnsi="Times New Roman"/>
          <w:bCs/>
        </w:rPr>
        <w:t xml:space="preserve"> cohorts in the U.S.  </w:t>
      </w:r>
      <w:r w:rsidR="000C4721">
        <w:rPr>
          <w:rFonts w:ascii="Times New Roman" w:hAnsi="Times New Roman"/>
          <w:bCs/>
        </w:rPr>
        <w:t>In addition to the NLSY79, these include four National Longitudinal Survey Original Cohorts and the National Longitudinal Survey of Youth 1997 (NLSY97).  Additionally, the BLS currently</w:t>
      </w:r>
      <w:r w:rsidR="000506EF">
        <w:rPr>
          <w:rFonts w:ascii="Times New Roman" w:hAnsi="Times New Roman"/>
          <w:bCs/>
        </w:rPr>
        <w:t xml:space="preserve"> is </w:t>
      </w:r>
      <w:r w:rsidR="00621B09">
        <w:rPr>
          <w:rFonts w:ascii="Times New Roman" w:hAnsi="Times New Roman"/>
          <w:bCs/>
        </w:rPr>
        <w:t>developing</w:t>
      </w:r>
      <w:r w:rsidR="000506EF">
        <w:rPr>
          <w:rFonts w:ascii="Times New Roman" w:hAnsi="Times New Roman"/>
          <w:bCs/>
        </w:rPr>
        <w:t xml:space="preserve"> the content and design of a new NLSY cohort</w:t>
      </w:r>
      <w:r w:rsidR="00A63D45">
        <w:rPr>
          <w:rFonts w:ascii="Times New Roman" w:hAnsi="Times New Roman"/>
          <w:bCs/>
        </w:rPr>
        <w:t>,</w:t>
      </w:r>
      <w:r w:rsidR="000506EF">
        <w:rPr>
          <w:rFonts w:ascii="Times New Roman" w:hAnsi="Times New Roman"/>
          <w:bCs/>
        </w:rPr>
        <w:t xml:space="preserve"> including </w:t>
      </w:r>
      <w:r w:rsidR="00621B09">
        <w:rPr>
          <w:rFonts w:ascii="Times New Roman" w:hAnsi="Times New Roman"/>
          <w:bCs/>
        </w:rPr>
        <w:t xml:space="preserve">design of collection instruments, </w:t>
      </w:r>
      <w:r w:rsidR="000506EF">
        <w:rPr>
          <w:rFonts w:ascii="Times New Roman" w:hAnsi="Times New Roman"/>
          <w:bCs/>
        </w:rPr>
        <w:t>sampling</w:t>
      </w:r>
      <w:r w:rsidR="00621B09">
        <w:rPr>
          <w:rFonts w:ascii="Times New Roman" w:hAnsi="Times New Roman"/>
          <w:bCs/>
        </w:rPr>
        <w:t xml:space="preserve"> and screening methodologies</w:t>
      </w:r>
      <w:r w:rsidR="000506EF">
        <w:rPr>
          <w:rFonts w:ascii="Times New Roman" w:hAnsi="Times New Roman"/>
          <w:bCs/>
        </w:rPr>
        <w:t>,</w:t>
      </w:r>
      <w:r w:rsidR="00621B09">
        <w:rPr>
          <w:rFonts w:ascii="Times New Roman" w:hAnsi="Times New Roman"/>
          <w:bCs/>
        </w:rPr>
        <w:t xml:space="preserve"> </w:t>
      </w:r>
      <w:r w:rsidR="00621B09">
        <w:rPr>
          <w:rFonts w:ascii="Times New Roman" w:hAnsi="Times New Roman"/>
          <w:bCs/>
        </w:rPr>
        <w:t xml:space="preserve">outreach </w:t>
      </w:r>
      <w:r w:rsidR="000506EF">
        <w:rPr>
          <w:rFonts w:ascii="Times New Roman" w:hAnsi="Times New Roman"/>
          <w:bCs/>
        </w:rPr>
        <w:t>materials, and</w:t>
      </w:r>
      <w:r w:rsidR="00621B09">
        <w:rPr>
          <w:rFonts w:ascii="Times New Roman" w:hAnsi="Times New Roman"/>
          <w:bCs/>
        </w:rPr>
        <w:t xml:space="preserve"> systems for processing and storing collected data</w:t>
      </w:r>
      <w:r w:rsidR="000506EF">
        <w:rPr>
          <w:rFonts w:ascii="Times New Roman" w:hAnsi="Times New Roman"/>
          <w:bCs/>
        </w:rPr>
        <w:t xml:space="preserve">.  </w:t>
      </w:r>
      <w:r w:rsidR="000C4721">
        <w:rPr>
          <w:rFonts w:ascii="Times New Roman" w:hAnsi="Times New Roman"/>
          <w:bCs/>
        </w:rPr>
        <w:t xml:space="preserve">In recognition of the potential for data users to make cross-cohort comparisons of the collected data, these various cohorts are designed so that many </w:t>
      </w:r>
      <w:r w:rsidRPr="00576EBD">
        <w:rPr>
          <w:rFonts w:ascii="Times New Roman" w:hAnsi="Times New Roman"/>
          <w:bCs/>
        </w:rPr>
        <w:t>questions</w:t>
      </w:r>
      <w:r w:rsidR="000C4721">
        <w:rPr>
          <w:rFonts w:ascii="Times New Roman" w:hAnsi="Times New Roman"/>
          <w:bCs/>
        </w:rPr>
        <w:t xml:space="preserve"> asked of a cohort</w:t>
      </w:r>
      <w:r w:rsidRPr="00576EBD">
        <w:rPr>
          <w:rFonts w:ascii="Times New Roman" w:hAnsi="Times New Roman"/>
          <w:bCs/>
        </w:rPr>
        <w:t xml:space="preserve"> are identical or very similar to </w:t>
      </w:r>
      <w:r w:rsidR="000C4721">
        <w:rPr>
          <w:rFonts w:ascii="Times New Roman" w:hAnsi="Times New Roman"/>
          <w:bCs/>
        </w:rPr>
        <w:t xml:space="preserve">those asked of other cohorts.  </w:t>
      </w:r>
      <w:r w:rsidR="00AA785B">
        <w:rPr>
          <w:rFonts w:ascii="Times New Roman" w:hAnsi="Times New Roman"/>
          <w:bCs/>
        </w:rPr>
        <w:t xml:space="preserve">Other questions may differ among cohorts as needed to capture </w:t>
      </w:r>
      <w:r w:rsidRPr="00576EBD">
        <w:rPr>
          <w:rFonts w:ascii="Times New Roman" w:hAnsi="Times New Roman"/>
          <w:bCs/>
        </w:rPr>
        <w:t xml:space="preserve">the changing nature of institutions and the different problems facing these groups of people.  </w:t>
      </w:r>
    </w:p>
    <w:p w:rsidR="00576EBD" w:rsidRPr="00D53DEB" w:rsidP="00D53DEB" w14:paraId="580E65A7" w14:textId="77777777">
      <w:pPr>
        <w:widowControl/>
        <w:rPr>
          <w:rFonts w:ascii="Times New Roman" w:hAnsi="Times New Roman"/>
          <w:bCs/>
        </w:rPr>
      </w:pPr>
    </w:p>
    <w:p w:rsidR="003C1E92" w14:paraId="1CF8A88F" w14:textId="0FF76DD0">
      <w:pPr>
        <w:widowControl/>
        <w:autoSpaceDE/>
        <w:autoSpaceDN/>
        <w:adjustRightInd/>
        <w:rPr>
          <w:rFonts w:ascii="Times New Roman" w:hAnsi="Times New Roman"/>
          <w:b/>
          <w:bCs/>
        </w:rPr>
      </w:pPr>
      <w:r>
        <w:rPr>
          <w:rFonts w:ascii="Times New Roman" w:hAnsi="Times New Roman"/>
          <w:b/>
          <w:bCs/>
        </w:rPr>
        <w:br w:type="page"/>
      </w: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07B385EF">
      <w:pPr>
        <w:widowControl/>
        <w:rPr>
          <w:rFonts w:ascii="Times New Roman" w:hAnsi="Times New Roman"/>
        </w:rPr>
      </w:pPr>
    </w:p>
    <w:p w:rsidR="00BB5CEB" w:rsidRPr="0006759D" w:rsidP="00BB5CEB" w14:paraId="5EF0C6E0" w14:textId="72FBD617">
      <w:pPr>
        <w:rPr>
          <w:rFonts w:ascii="Times New Roman" w:hAnsi="Times New Roman"/>
        </w:rPr>
      </w:pPr>
      <w:r w:rsidRPr="0006759D">
        <w:rPr>
          <w:rFonts w:ascii="Times New Roman" w:hAnsi="Times New Roman"/>
        </w:rPr>
        <w:t xml:space="preserve">This </w:t>
      </w:r>
      <w:r w:rsidR="00A31CAF">
        <w:rPr>
          <w:rFonts w:ascii="Times New Roman" w:hAnsi="Times New Roman"/>
        </w:rPr>
        <w:t xml:space="preserve">ICR </w:t>
      </w:r>
      <w:r w:rsidRPr="0006759D">
        <w:rPr>
          <w:rFonts w:ascii="Times New Roman" w:hAnsi="Times New Roman"/>
        </w:rPr>
        <w:t xml:space="preserve">covers </w:t>
      </w:r>
      <w:r w:rsidR="002857ED">
        <w:rPr>
          <w:rFonts w:ascii="Times New Roman" w:hAnsi="Times New Roman"/>
        </w:rPr>
        <w:t xml:space="preserve">the </w:t>
      </w:r>
      <w:r w:rsidRPr="0006759D">
        <w:rPr>
          <w:rFonts w:ascii="Times New Roman" w:hAnsi="Times New Roman"/>
        </w:rPr>
        <w:t>main fielding of Round 3</w:t>
      </w:r>
      <w:r w:rsidR="00FB462E">
        <w:rPr>
          <w:rFonts w:ascii="Times New Roman" w:hAnsi="Times New Roman"/>
        </w:rPr>
        <w:t>1</w:t>
      </w:r>
      <w:r w:rsidRPr="0006759D">
        <w:rPr>
          <w:rFonts w:ascii="Times New Roman" w:hAnsi="Times New Roman"/>
        </w:rPr>
        <w:t xml:space="preserve"> of the NLSY79.  The NLSY79 is a nationally representative sample of persons who were born in the years 1957 to 1964 and lived in the U.S. when the survey began in 1979.  The longitudinal focus of the survey requires the collection of identical information for the same individuals over the life cycle and the occasional introduction of new data elements to meet the ongoing analytical needs of policymakers and researchers.  Most of the information to be collected this round has been approved by OMB in previous rounds of the NLSY79.  See </w:t>
      </w:r>
      <w:r w:rsidR="00732BD4">
        <w:rPr>
          <w:rFonts w:ascii="Times New Roman" w:hAnsi="Times New Roman"/>
        </w:rPr>
        <w:t>A</w:t>
      </w:r>
      <w:r w:rsidRPr="0006759D">
        <w:rPr>
          <w:rFonts w:ascii="Times New Roman" w:hAnsi="Times New Roman"/>
        </w:rPr>
        <w:t>ttachment 5 for details on changes for this round.</w:t>
      </w:r>
    </w:p>
    <w:p w:rsidR="00BB5CEB" w:rsidRPr="0006759D" w:rsidP="00BB5CEB" w14:paraId="560A6D12" w14:textId="77777777">
      <w:pPr>
        <w:rPr>
          <w:rFonts w:ascii="Times New Roman" w:hAnsi="Times New Roman"/>
        </w:rPr>
      </w:pPr>
    </w:p>
    <w:p w:rsidR="00BB5CEB" w:rsidRPr="0006759D" w:rsidP="00BB5CEB" w14:paraId="69072261" w14:textId="4D994E9A">
      <w:pPr>
        <w:pStyle w:val="BodyText2"/>
        <w:rPr>
          <w:sz w:val="24"/>
          <w:szCs w:val="24"/>
        </w:rPr>
      </w:pPr>
      <w:r w:rsidRPr="0006759D">
        <w:rPr>
          <w:sz w:val="24"/>
          <w:szCs w:val="24"/>
        </w:rPr>
        <w:t>The mission of the Department of Labor (DOL) is, among other things, to promote the development of the U.S. labor force and the efficiency of the U.S. labor market.  The BLS contributes to this mission by gathering information about the labor force and labor market and disseminating it to policymakers and to the public so that participants in those markets can make more informed and, thus, more efficient choices.  The charge to the BLS to collect data related to the labor force is extremely broad, as reflected in Title 29 U</w:t>
      </w:r>
      <w:r w:rsidR="003E0E21">
        <w:rPr>
          <w:sz w:val="24"/>
          <w:szCs w:val="24"/>
        </w:rPr>
        <w:t>.</w:t>
      </w:r>
      <w:r w:rsidRPr="0006759D">
        <w:rPr>
          <w:sz w:val="24"/>
          <w:szCs w:val="24"/>
        </w:rPr>
        <w:t>S</w:t>
      </w:r>
      <w:r w:rsidR="003E0E21">
        <w:rPr>
          <w:sz w:val="24"/>
          <w:szCs w:val="24"/>
        </w:rPr>
        <w:t>.</w:t>
      </w:r>
      <w:r w:rsidRPr="0006759D">
        <w:rPr>
          <w:sz w:val="24"/>
          <w:szCs w:val="24"/>
        </w:rPr>
        <w:t>C</w:t>
      </w:r>
      <w:r w:rsidR="003E0E21">
        <w:rPr>
          <w:sz w:val="24"/>
          <w:szCs w:val="24"/>
        </w:rPr>
        <w:t>.</w:t>
      </w:r>
      <w:r w:rsidRPr="0006759D">
        <w:rPr>
          <w:sz w:val="24"/>
          <w:szCs w:val="24"/>
        </w:rPr>
        <w:t xml:space="preserve"> Section 1:</w:t>
      </w:r>
    </w:p>
    <w:p w:rsidR="00BB5CEB" w:rsidRPr="0006759D" w:rsidP="00BB5CEB" w14:paraId="51BED115" w14:textId="77777777">
      <w:pPr>
        <w:pStyle w:val="BodyText2"/>
        <w:rPr>
          <w:sz w:val="24"/>
          <w:szCs w:val="24"/>
        </w:rPr>
      </w:pPr>
    </w:p>
    <w:p w:rsidR="00BB5CEB" w:rsidRPr="0006759D" w:rsidP="00BB5CEB" w14:paraId="2067F769" w14:textId="77777777">
      <w:pPr>
        <w:pStyle w:val="BlockText"/>
        <w:ind w:right="749"/>
        <w:rPr>
          <w:sz w:val="24"/>
          <w:szCs w:val="24"/>
        </w:rPr>
      </w:pPr>
      <w:r w:rsidRPr="0006759D">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BB5CEB" w:rsidRPr="0006759D" w:rsidP="00BB5CEB" w14:paraId="4F8B3662" w14:textId="77777777">
      <w:pPr>
        <w:rPr>
          <w:rFonts w:ascii="Times New Roman" w:hAnsi="Times New Roman"/>
        </w:rPr>
      </w:pPr>
    </w:p>
    <w:p w:rsidR="00BB5CEB" w:rsidRPr="0006759D" w:rsidP="00BB5CEB" w14:paraId="2AB23322" w14:textId="5D17EC64">
      <w:pPr>
        <w:rPr>
          <w:rFonts w:ascii="Times New Roman" w:hAnsi="Times New Roman"/>
        </w:rPr>
      </w:pPr>
      <w:r w:rsidRPr="0006759D">
        <w:rPr>
          <w:rFonts w:ascii="Times New Roman" w:hAnsi="Times New Roman"/>
        </w:rPr>
        <w:t xml:space="preserve">The collection of these data contributes to the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mission by aiding in the understanding of labor market outcomes faced by individuals in the early stages of career and family development.  See </w:t>
      </w:r>
      <w:r w:rsidR="00732BD4">
        <w:rPr>
          <w:rFonts w:ascii="Times New Roman" w:hAnsi="Times New Roman"/>
        </w:rPr>
        <w:t>A</w:t>
      </w:r>
      <w:r w:rsidRPr="0006759D">
        <w:rPr>
          <w:rFonts w:ascii="Times New Roman" w:hAnsi="Times New Roman"/>
        </w:rPr>
        <w:t>ttachment 1 for Title 29 U</w:t>
      </w:r>
      <w:r w:rsidR="003E0E21">
        <w:rPr>
          <w:rFonts w:ascii="Times New Roman" w:hAnsi="Times New Roman"/>
        </w:rPr>
        <w:t>.</w:t>
      </w:r>
      <w:r w:rsidRPr="0006759D">
        <w:rPr>
          <w:rFonts w:ascii="Times New Roman" w:hAnsi="Times New Roman"/>
        </w:rPr>
        <w:t>S</w:t>
      </w:r>
      <w:r w:rsidR="003E0E21">
        <w:rPr>
          <w:rFonts w:ascii="Times New Roman" w:hAnsi="Times New Roman"/>
        </w:rPr>
        <w:t>.</w:t>
      </w:r>
      <w:r w:rsidRPr="0006759D">
        <w:rPr>
          <w:rFonts w:ascii="Times New Roman" w:hAnsi="Times New Roman"/>
        </w:rPr>
        <w:t>C</w:t>
      </w:r>
      <w:r w:rsidR="003E0E21">
        <w:rPr>
          <w:rFonts w:ascii="Times New Roman" w:hAnsi="Times New Roman"/>
        </w:rPr>
        <w:t>.</w:t>
      </w:r>
      <w:r w:rsidRPr="0006759D">
        <w:rPr>
          <w:rFonts w:ascii="Times New Roman" w:hAnsi="Times New Roman"/>
        </w:rPr>
        <w:t xml:space="preserve"> Sections 1 and 2.</w:t>
      </w:r>
    </w:p>
    <w:p w:rsidR="00BB5CEB" w:rsidRPr="00A47DA7" w:rsidP="00690F56" w14:paraId="0D25E1BE"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4A76667D">
      <w:pPr>
        <w:widowControl/>
        <w:rPr>
          <w:rFonts w:ascii="Times New Roman" w:hAnsi="Times New Roman"/>
        </w:rPr>
      </w:pPr>
    </w:p>
    <w:p w:rsidR="0006759D" w:rsidRPr="0006759D" w:rsidP="0006759D" w14:paraId="27666A65" w14:textId="351692B6">
      <w:pPr>
        <w:pStyle w:val="BodyText2"/>
        <w:rPr>
          <w:sz w:val="24"/>
          <w:szCs w:val="24"/>
        </w:rPr>
      </w:pPr>
      <w:r w:rsidRPr="0006759D">
        <w:rPr>
          <w:sz w:val="24"/>
          <w:szCs w:val="24"/>
        </w:rPr>
        <w:t xml:space="preserve">Through 1984, the NLSY79 consisted of annual interviews with a national sample of 12,686 young men and women who were ages 14 to 21 as of December 31, 1978, with overrepresentation of </w:t>
      </w:r>
      <w:r w:rsidR="00BF5ECE">
        <w:rPr>
          <w:sz w:val="24"/>
          <w:szCs w:val="24"/>
        </w:rPr>
        <w:t>B</w:t>
      </w:r>
      <w:r w:rsidRPr="0006759D" w:rsidR="00BF5ECE">
        <w:rPr>
          <w:sz w:val="24"/>
          <w:szCs w:val="24"/>
        </w:rPr>
        <w:t>lack</w:t>
      </w:r>
      <w:r w:rsidRPr="0006759D">
        <w:rPr>
          <w:sz w:val="24"/>
          <w:szCs w:val="24"/>
        </w:rPr>
        <w:t>, Hispanic, and economically disadvantaged non</w:t>
      </w:r>
      <w:r w:rsidR="00BF5ECE">
        <w:rPr>
          <w:sz w:val="24"/>
          <w:szCs w:val="24"/>
        </w:rPr>
        <w:t>-B</w:t>
      </w:r>
      <w:r w:rsidRPr="0006759D">
        <w:rPr>
          <w:sz w:val="24"/>
          <w:szCs w:val="24"/>
        </w:rPr>
        <w:t>lacks/non-Hispanic</w:t>
      </w:r>
      <w:r w:rsidR="00BF5ECE">
        <w:rPr>
          <w:sz w:val="24"/>
          <w:szCs w:val="24"/>
        </w:rPr>
        <w:t xml:space="preserve"> population</w:t>
      </w:r>
      <w:r w:rsidRPr="0006759D">
        <w:rPr>
          <w:sz w:val="24"/>
          <w:szCs w:val="24"/>
        </w:rPr>
        <w:t>s.  The sample also included 1,280 persons serving in the military in 1978.  Starting in 1985, the military sample was reduced to 201 due to a cessation of funding from the Department of Defense.  Starting in 1991, interviews were discontinued with the 742 male and 901 female members of the economically disadvantaged non</w:t>
      </w:r>
      <w:r w:rsidR="00BF5ECE">
        <w:rPr>
          <w:sz w:val="24"/>
          <w:szCs w:val="24"/>
        </w:rPr>
        <w:t>-B</w:t>
      </w:r>
      <w:r w:rsidRPr="0006759D">
        <w:rPr>
          <w:sz w:val="24"/>
          <w:szCs w:val="24"/>
        </w:rPr>
        <w:t xml:space="preserve">lack/non-Hispanic sample.  This </w:t>
      </w:r>
      <w:r w:rsidRPr="0006759D">
        <w:rPr>
          <w:sz w:val="24"/>
          <w:szCs w:val="24"/>
        </w:rPr>
        <w:t>reduced the eligible pool of sample members to 9,964.  The NLSY79 was conducted annually from 1979 to 1994 and has been conducted every two years since 1994.</w:t>
      </w:r>
    </w:p>
    <w:p w:rsidR="0006759D" w:rsidRPr="0006759D" w:rsidP="0006759D" w14:paraId="1F0C6BA7" w14:textId="77777777">
      <w:pPr>
        <w:rPr>
          <w:rFonts w:ascii="Times New Roman" w:hAnsi="Times New Roman"/>
        </w:rPr>
      </w:pPr>
    </w:p>
    <w:p w:rsidR="0006759D" w:rsidRPr="0006759D" w:rsidP="0006759D" w14:paraId="3A8A99AB" w14:textId="77777777">
      <w:pPr>
        <w:rPr>
          <w:rFonts w:ascii="Times New Roman" w:hAnsi="Times New Roman"/>
        </w:rPr>
      </w:pPr>
      <w:r w:rsidRPr="0006759D">
        <w:rPr>
          <w:rFonts w:ascii="Times New Roman" w:hAnsi="Times New Roman"/>
        </w:rPr>
        <w:t>In addition to the regular interviews, several supplementary data-collection efforts completed during the early survey years greatly enhance the value of the survey to policymakers and researchers.  The full Armed Services Vocational Aptitude Battery (ASVAB) was administered to 94 percent of sample members.  Also, for a large proportion of the sample, information has been collected about the characteristics of the last high school each respondent attended, as well as the courses taken, grades, and some other personal characteristics about the respondents while attending high school.</w:t>
      </w:r>
    </w:p>
    <w:p w:rsidR="0006759D" w:rsidRPr="0006759D" w:rsidP="0006759D" w14:paraId="72361135" w14:textId="77777777">
      <w:pPr>
        <w:rPr>
          <w:rFonts w:ascii="Times New Roman" w:hAnsi="Times New Roman"/>
        </w:rPr>
      </w:pPr>
    </w:p>
    <w:p w:rsidR="0006759D" w:rsidRPr="0006759D" w:rsidP="0006759D" w14:paraId="1F3F0129" w14:textId="77777777">
      <w:pPr>
        <w:rPr>
          <w:rFonts w:ascii="Times New Roman" w:hAnsi="Times New Roman"/>
        </w:rPr>
      </w:pPr>
      <w:r w:rsidRPr="0006759D">
        <w:rPr>
          <w:rFonts w:ascii="Times New Roman" w:hAnsi="Times New Roman"/>
        </w:rPr>
        <w:t>These data-collection efforts have enabled researchers to complete studies of the relationship between background environment, employment behavior, vocational aptitudes, and high school quality.  The data have helped the Departments of Labor, Defense, Education, and Health and Human Services and many congressional committees to make more knowledgeable decisions when evaluating the efficacy of programs in the areas of civilian and military employment, training, and health.</w:t>
      </w:r>
    </w:p>
    <w:p w:rsidR="0006759D" w:rsidRPr="0006759D" w:rsidP="0006759D" w14:paraId="4F1C52BE" w14:textId="77777777">
      <w:pPr>
        <w:rPr>
          <w:rFonts w:ascii="Times New Roman" w:hAnsi="Times New Roman"/>
        </w:rPr>
      </w:pPr>
    </w:p>
    <w:p w:rsidR="0006759D" w:rsidRPr="0006759D" w:rsidP="0006759D" w14:paraId="0C9F1C7E" w14:textId="1574CF90">
      <w:pPr>
        <w:rPr>
          <w:rFonts w:ascii="Times New Roman" w:hAnsi="Times New Roman"/>
        </w:rPr>
      </w:pPr>
      <w:r w:rsidRPr="0006759D">
        <w:rPr>
          <w:rFonts w:ascii="Times New Roman" w:hAnsi="Times New Roman"/>
        </w:rPr>
        <w:t xml:space="preserve">The NLSY79 is a general-purpose study designed to serve a variety of policy-related research interests.  Its longitudinal design and conceptual framework serve the needs of policymakers in a way that cross-sectional surveys cannot.  In addition, the NLSY79 allows a broad spectrum of social scientists concerned with the labor market problems of young baby boomers to pursue their research interests.  </w:t>
      </w:r>
      <w:r w:rsidR="00732BD4">
        <w:rPr>
          <w:rFonts w:ascii="Times New Roman" w:hAnsi="Times New Roman"/>
        </w:rPr>
        <w:t>T</w:t>
      </w:r>
      <w:r w:rsidRPr="0006759D">
        <w:rPr>
          <w:rFonts w:ascii="Times New Roman" w:hAnsi="Times New Roman"/>
        </w:rPr>
        <w:t xml:space="preserve">he increasingly omnibus nature of the survey makes it an efficient, low-cost data set.  Historically, the survey has incorporated items needed for program and policy purposes by agencies other than the Department of Labor.  </w:t>
      </w:r>
      <w:r w:rsidRPr="004B4F93" w:rsidR="004B4F93">
        <w:rPr>
          <w:rFonts w:ascii="Times New Roman" w:hAnsi="Times New Roman"/>
        </w:rPr>
        <w:t>In this survey round, we anticipate funding from the National Institute on Aging</w:t>
      </w:r>
      <w:r w:rsidR="004B4F93">
        <w:rPr>
          <w:rFonts w:ascii="Times New Roman" w:hAnsi="Times New Roman"/>
        </w:rPr>
        <w:t>.</w:t>
      </w:r>
    </w:p>
    <w:p w:rsidR="0006759D" w:rsidRPr="0006759D" w:rsidP="0006759D" w14:paraId="69944DF0" w14:textId="77777777">
      <w:pPr>
        <w:rPr>
          <w:rFonts w:ascii="Times New Roman" w:hAnsi="Times New Roman"/>
        </w:rPr>
      </w:pPr>
    </w:p>
    <w:p w:rsidR="0006759D" w:rsidRPr="0006759D" w:rsidP="0006759D" w14:paraId="797EE2E6" w14:textId="09A1C7BF">
      <w:pPr>
        <w:rPr>
          <w:rFonts w:ascii="Times New Roman" w:hAnsi="Times New Roman"/>
        </w:rPr>
      </w:pPr>
      <w:r w:rsidRPr="0006759D">
        <w:rPr>
          <w:rFonts w:ascii="Times New Roman" w:hAnsi="Times New Roman"/>
        </w:rPr>
        <w:t>Sample sizes and the expected number of Round 3</w:t>
      </w:r>
      <w:r w:rsidR="00FB462E">
        <w:rPr>
          <w:rFonts w:ascii="Times New Roman" w:hAnsi="Times New Roman"/>
        </w:rPr>
        <w:t>1</w:t>
      </w:r>
      <w:r w:rsidRPr="0006759D">
        <w:rPr>
          <w:rFonts w:ascii="Times New Roman" w:hAnsi="Times New Roman"/>
        </w:rPr>
        <w:t xml:space="preserve"> respondents are listed in </w:t>
      </w:r>
      <w:r w:rsidR="00681BBC">
        <w:rPr>
          <w:rFonts w:ascii="Times New Roman" w:hAnsi="Times New Roman"/>
        </w:rPr>
        <w:t>T</w:t>
      </w:r>
      <w:r w:rsidRPr="0006759D">
        <w:rPr>
          <w:rFonts w:ascii="Times New Roman" w:hAnsi="Times New Roman"/>
        </w:rPr>
        <w:t>able 1.</w:t>
      </w:r>
    </w:p>
    <w:p w:rsidR="0006759D" w:rsidRPr="0006759D" w:rsidP="0006759D" w14:paraId="13D39548" w14:textId="77777777">
      <w:pPr>
        <w:rPr>
          <w:rFonts w:ascii="Times New Roman" w:hAnsi="Times New Roman"/>
        </w:rPr>
      </w:pPr>
    </w:p>
    <w:p w:rsidR="0006759D" w:rsidRPr="0006759D" w:rsidP="0006759D" w14:paraId="3712AB39" w14:textId="06DCE5D0">
      <w:pPr>
        <w:spacing w:after="120"/>
        <w:jc w:val="center"/>
        <w:rPr>
          <w:rFonts w:ascii="Times New Roman" w:hAnsi="Times New Roman"/>
          <w:b/>
          <w:bCs/>
        </w:rPr>
      </w:pPr>
      <w:r w:rsidRPr="0006759D">
        <w:rPr>
          <w:rFonts w:ascii="Times New Roman" w:hAnsi="Times New Roman"/>
          <w:b/>
          <w:bCs/>
        </w:rPr>
        <w:t>Table 1.  NLSY79 Sample Size and Expected Response in 202</w:t>
      </w:r>
      <w:r w:rsidR="00FD661D">
        <w:rPr>
          <w:rFonts w:ascii="Times New Roman" w:hAnsi="Times New Roman"/>
          <w:b/>
          <w:bCs/>
        </w:rPr>
        <w:t>4</w:t>
      </w:r>
      <w:r w:rsidRPr="0006759D">
        <w:rPr>
          <w:rFonts w:ascii="Times New Roman" w:hAnsi="Times New Roman"/>
          <w:b/>
          <w:bCs/>
        </w:rPr>
        <w:t xml:space="preserve"> (Round 3</w:t>
      </w:r>
      <w:r w:rsidR="00A1018B">
        <w:rPr>
          <w:rFonts w:ascii="Times New Roman" w:hAnsi="Times New Roman"/>
          <w:b/>
          <w:bCs/>
        </w:rPr>
        <w:t>1</w:t>
      </w:r>
      <w:r w:rsidRPr="0006759D">
        <w:rPr>
          <w:rFonts w:ascii="Times New Roman" w:hAnsi="Times New Roman"/>
          <w:b/>
          <w:bCs/>
        </w:rPr>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3690"/>
        <w:gridCol w:w="2925"/>
      </w:tblGrid>
      <w:tr w14:paraId="432854F2" w14:textId="77777777" w:rsidTr="00C6376F">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475" w:type="dxa"/>
            <w:vAlign w:val="center"/>
          </w:tcPr>
          <w:p w:rsidR="0006759D" w:rsidRPr="0006759D" w:rsidP="00C6376F" w14:paraId="623F68CB" w14:textId="77777777">
            <w:pPr>
              <w:spacing w:before="20" w:after="20"/>
              <w:jc w:val="center"/>
              <w:rPr>
                <w:rFonts w:ascii="Times New Roman" w:hAnsi="Times New Roman"/>
                <w:b/>
                <w:bCs/>
              </w:rPr>
            </w:pPr>
            <w:r w:rsidRPr="0006759D">
              <w:rPr>
                <w:rFonts w:ascii="Times New Roman" w:hAnsi="Times New Roman"/>
                <w:b/>
                <w:bCs/>
              </w:rPr>
              <w:t>Cohort</w:t>
            </w:r>
          </w:p>
        </w:tc>
        <w:tc>
          <w:tcPr>
            <w:tcW w:w="3690" w:type="dxa"/>
            <w:vAlign w:val="center"/>
          </w:tcPr>
          <w:p w:rsidR="0006759D" w:rsidRPr="0006759D" w:rsidP="00C6376F" w14:paraId="35A431B4" w14:textId="77777777">
            <w:pPr>
              <w:spacing w:before="20" w:after="20"/>
              <w:jc w:val="center"/>
              <w:rPr>
                <w:rFonts w:ascii="Times New Roman" w:hAnsi="Times New Roman"/>
                <w:b/>
                <w:bCs/>
              </w:rPr>
            </w:pPr>
            <w:r w:rsidRPr="0006759D">
              <w:rPr>
                <w:rFonts w:ascii="Times New Roman" w:hAnsi="Times New Roman"/>
                <w:b/>
                <w:bCs/>
              </w:rPr>
              <w:t>Approximate sample size</w:t>
            </w:r>
          </w:p>
        </w:tc>
        <w:tc>
          <w:tcPr>
            <w:tcW w:w="2925" w:type="dxa"/>
            <w:vAlign w:val="center"/>
          </w:tcPr>
          <w:p w:rsidR="0006759D" w:rsidRPr="0006759D" w:rsidP="00C6376F" w14:paraId="771386D3" w14:textId="77777777">
            <w:pPr>
              <w:spacing w:before="20" w:after="20"/>
              <w:jc w:val="center"/>
              <w:rPr>
                <w:rFonts w:ascii="Times New Roman" w:hAnsi="Times New Roman"/>
                <w:b/>
                <w:bCs/>
              </w:rPr>
            </w:pPr>
            <w:r w:rsidRPr="0006759D">
              <w:rPr>
                <w:rFonts w:ascii="Times New Roman" w:hAnsi="Times New Roman"/>
                <w:b/>
                <w:bCs/>
              </w:rPr>
              <w:t>Expected number of respondents</w:t>
            </w:r>
          </w:p>
        </w:tc>
      </w:tr>
      <w:tr w14:paraId="0B34165D" w14:textId="77777777" w:rsidTr="00C6376F">
        <w:tblPrEx>
          <w:tblW w:w="9090" w:type="dxa"/>
          <w:jc w:val="center"/>
          <w:tblLook w:val="0000"/>
        </w:tblPrEx>
        <w:trPr>
          <w:jc w:val="center"/>
        </w:trPr>
        <w:tc>
          <w:tcPr>
            <w:tcW w:w="2475" w:type="dxa"/>
            <w:vAlign w:val="center"/>
          </w:tcPr>
          <w:p w:rsidR="0006759D" w:rsidRPr="0006759D" w:rsidP="00C6376F" w14:paraId="7D4FB156" w14:textId="77777777">
            <w:pPr>
              <w:spacing w:before="20" w:after="20"/>
              <w:rPr>
                <w:rFonts w:ascii="Times New Roman" w:hAnsi="Times New Roman"/>
              </w:rPr>
            </w:pPr>
            <w:r w:rsidRPr="0006759D">
              <w:rPr>
                <w:rFonts w:ascii="Times New Roman" w:hAnsi="Times New Roman"/>
              </w:rPr>
              <w:t>NLSY79 main</w:t>
            </w:r>
          </w:p>
        </w:tc>
        <w:tc>
          <w:tcPr>
            <w:tcW w:w="3690" w:type="dxa"/>
            <w:vAlign w:val="center"/>
          </w:tcPr>
          <w:p w:rsidR="0006759D" w:rsidRPr="0006759D" w:rsidP="00C6376F" w14:paraId="75531FE2" w14:textId="31CAC5BB">
            <w:pPr>
              <w:spacing w:before="20" w:after="20"/>
              <w:jc w:val="center"/>
              <w:rPr>
                <w:rFonts w:ascii="Times New Roman" w:hAnsi="Times New Roman"/>
              </w:rPr>
            </w:pPr>
            <w:r w:rsidRPr="0006759D">
              <w:rPr>
                <w:rFonts w:ascii="Times New Roman" w:hAnsi="Times New Roman"/>
              </w:rPr>
              <w:t>8,</w:t>
            </w:r>
            <w:r w:rsidR="007E15C1">
              <w:rPr>
                <w:rFonts w:ascii="Times New Roman" w:hAnsi="Times New Roman"/>
              </w:rPr>
              <w:t>6</w:t>
            </w:r>
            <w:r w:rsidR="00FD661D">
              <w:rPr>
                <w:rFonts w:ascii="Times New Roman" w:hAnsi="Times New Roman"/>
              </w:rPr>
              <w:t>1</w:t>
            </w:r>
            <w:r w:rsidR="003D463D">
              <w:rPr>
                <w:rFonts w:ascii="Times New Roman" w:hAnsi="Times New Roman"/>
              </w:rPr>
              <w:t>7</w:t>
            </w:r>
            <w:r w:rsidRPr="0006759D">
              <w:rPr>
                <w:rFonts w:ascii="Times New Roman" w:hAnsi="Times New Roman"/>
              </w:rPr>
              <w:br/>
              <w:t>(9,964 minus 1,</w:t>
            </w:r>
            <w:r w:rsidR="00FD661D">
              <w:rPr>
                <w:rFonts w:ascii="Times New Roman" w:hAnsi="Times New Roman"/>
              </w:rPr>
              <w:t>34</w:t>
            </w:r>
            <w:r w:rsidR="003D463D">
              <w:rPr>
                <w:rFonts w:ascii="Times New Roman" w:hAnsi="Times New Roman"/>
              </w:rPr>
              <w:t>7</w:t>
            </w:r>
            <w:r w:rsidRPr="0006759D" w:rsidR="00FD661D">
              <w:rPr>
                <w:rFonts w:ascii="Times New Roman" w:hAnsi="Times New Roman"/>
              </w:rPr>
              <w:t xml:space="preserve"> </w:t>
            </w:r>
            <w:r w:rsidRPr="0006759D">
              <w:rPr>
                <w:rFonts w:ascii="Times New Roman" w:hAnsi="Times New Roman"/>
              </w:rPr>
              <w:t>deceased sample members)</w:t>
            </w:r>
          </w:p>
        </w:tc>
        <w:tc>
          <w:tcPr>
            <w:tcW w:w="2925" w:type="dxa"/>
            <w:vAlign w:val="center"/>
          </w:tcPr>
          <w:p w:rsidR="0006759D" w:rsidRPr="0006759D" w:rsidP="00C6376F" w14:paraId="10FB13D2" w14:textId="4B106F93">
            <w:pPr>
              <w:spacing w:before="20" w:after="20"/>
              <w:jc w:val="center"/>
              <w:rPr>
                <w:rFonts w:ascii="Times New Roman" w:hAnsi="Times New Roman"/>
              </w:rPr>
            </w:pPr>
            <w:r w:rsidRPr="0006759D">
              <w:rPr>
                <w:rFonts w:ascii="Times New Roman" w:hAnsi="Times New Roman"/>
              </w:rPr>
              <w:t>6,</w:t>
            </w:r>
            <w:r w:rsidR="003D463D">
              <w:rPr>
                <w:rFonts w:ascii="Times New Roman" w:hAnsi="Times New Roman"/>
              </w:rPr>
              <w:t>353</w:t>
            </w:r>
          </w:p>
        </w:tc>
      </w:tr>
    </w:tbl>
    <w:p w:rsidR="0006759D" w:rsidRPr="0006759D" w:rsidP="0006759D" w14:paraId="684AB4AA" w14:textId="77777777">
      <w:pPr>
        <w:rPr>
          <w:rFonts w:ascii="Times New Roman" w:hAnsi="Times New Roman"/>
        </w:rPr>
      </w:pPr>
    </w:p>
    <w:p w:rsidR="0006759D" w:rsidRPr="0006759D" w:rsidP="0006759D" w14:paraId="1501D785" w14:textId="77777777">
      <w:pPr>
        <w:keepNext/>
        <w:rPr>
          <w:rFonts w:ascii="Times New Roman" w:hAnsi="Times New Roman"/>
        </w:rPr>
      </w:pPr>
      <w:r w:rsidRPr="0006759D">
        <w:rPr>
          <w:rFonts w:ascii="Times New Roman" w:hAnsi="Times New Roman"/>
        </w:rPr>
        <w:t>The specific objectives of the NLSY79 fall into several major categories that will be further explained below:</w:t>
      </w:r>
    </w:p>
    <w:p w:rsidR="0006759D" w:rsidRPr="0006759D" w:rsidP="0006759D" w14:paraId="02B5C32A" w14:textId="6AE902CB">
      <w:pPr>
        <w:keepNext/>
        <w:widowControl/>
        <w:numPr>
          <w:ilvl w:val="0"/>
          <w:numId w:val="14"/>
        </w:numPr>
        <w:autoSpaceDE/>
        <w:autoSpaceDN/>
        <w:adjustRightInd/>
        <w:rPr>
          <w:rFonts w:ascii="Times New Roman" w:hAnsi="Times New Roman"/>
        </w:rPr>
      </w:pPr>
      <w:r w:rsidRPr="0006759D">
        <w:rPr>
          <w:rFonts w:ascii="Times New Roman" w:hAnsi="Times New Roman"/>
        </w:rPr>
        <w:t>to explore the labor market activity and family formation of individuals in this age group</w:t>
      </w:r>
      <w:r w:rsidR="00112526">
        <w:rPr>
          <w:rFonts w:ascii="Times New Roman" w:hAnsi="Times New Roman"/>
        </w:rPr>
        <w:t>;</w:t>
      </w:r>
    </w:p>
    <w:p w:rsidR="0006759D" w:rsidRPr="0006759D" w:rsidP="0006759D" w14:paraId="120CDE6E" w14:textId="081D16D1">
      <w:pPr>
        <w:widowControl/>
        <w:numPr>
          <w:ilvl w:val="0"/>
          <w:numId w:val="14"/>
        </w:numPr>
        <w:autoSpaceDE/>
        <w:autoSpaceDN/>
        <w:adjustRightInd/>
        <w:rPr>
          <w:rFonts w:ascii="Times New Roman" w:hAnsi="Times New Roman"/>
        </w:rPr>
      </w:pPr>
      <w:r w:rsidRPr="0006759D">
        <w:rPr>
          <w:rFonts w:ascii="Times New Roman" w:hAnsi="Times New Roman"/>
        </w:rPr>
        <w:t>to explore in greater depth than previously has been possible the complex economic, social, and psychological factors responsible for variation in the labor market experience (including retirement) of this cohort</w:t>
      </w:r>
      <w:r w:rsidR="00112526">
        <w:rPr>
          <w:rFonts w:ascii="Times New Roman" w:hAnsi="Times New Roman"/>
        </w:rPr>
        <w:t>;</w:t>
      </w:r>
    </w:p>
    <w:p w:rsidR="0006759D" w:rsidRPr="0006759D" w:rsidP="0006759D" w14:paraId="12BDCFF9" w14:textId="5F010725">
      <w:pPr>
        <w:widowControl/>
        <w:numPr>
          <w:ilvl w:val="0"/>
          <w:numId w:val="14"/>
        </w:numPr>
        <w:autoSpaceDE/>
        <w:autoSpaceDN/>
        <w:adjustRightInd/>
        <w:rPr>
          <w:rFonts w:ascii="Times New Roman" w:hAnsi="Times New Roman"/>
        </w:rPr>
      </w:pPr>
      <w:r w:rsidRPr="0006759D">
        <w:rPr>
          <w:rFonts w:ascii="Times New Roman" w:hAnsi="Times New Roman"/>
        </w:rPr>
        <w:t>to explore how labor market experiences explain the evolution of careers, wealth, and the preparation of this cohort for the further education of their children and for their own retirement</w:t>
      </w:r>
      <w:r w:rsidR="00112526">
        <w:rPr>
          <w:rFonts w:ascii="Times New Roman" w:hAnsi="Times New Roman"/>
        </w:rPr>
        <w:t>;</w:t>
      </w:r>
    </w:p>
    <w:p w:rsidR="0006759D" w:rsidRPr="0006759D" w:rsidP="0006759D" w14:paraId="16E03BCE" w14:textId="457C11A0">
      <w:pPr>
        <w:widowControl/>
        <w:numPr>
          <w:ilvl w:val="0"/>
          <w:numId w:val="14"/>
        </w:numPr>
        <w:autoSpaceDE/>
        <w:autoSpaceDN/>
        <w:adjustRightInd/>
        <w:rPr>
          <w:rFonts w:ascii="Times New Roman" w:hAnsi="Times New Roman"/>
        </w:rPr>
      </w:pPr>
      <w:r w:rsidRPr="0006759D">
        <w:rPr>
          <w:rFonts w:ascii="Times New Roman" w:hAnsi="Times New Roman"/>
        </w:rPr>
        <w:t>to analyze the impact of a changing socio-economic environment on the labor market experiences of this cohort by comparing data from the present study with those yielded by the surveys of the earlier NLS cohorts of young men (which began in 1966 and ended in 1981) and young women (which began in 1968 and ended in 2003), as well as the more recent NLSY97 cohort of young men and women born in the years 1980-84 and interviewed for the first time in 1997</w:t>
      </w:r>
      <w:r w:rsidR="00112526">
        <w:rPr>
          <w:rFonts w:ascii="Times New Roman" w:hAnsi="Times New Roman"/>
        </w:rPr>
        <w:t>;</w:t>
      </w:r>
    </w:p>
    <w:p w:rsidR="0006759D" w:rsidRPr="0006759D" w:rsidP="0006759D" w14:paraId="33631817" w14:textId="04AD6676">
      <w:pPr>
        <w:widowControl/>
        <w:numPr>
          <w:ilvl w:val="0"/>
          <w:numId w:val="14"/>
        </w:numPr>
        <w:autoSpaceDE/>
        <w:autoSpaceDN/>
        <w:adjustRightInd/>
        <w:rPr>
          <w:rFonts w:ascii="Times New Roman" w:hAnsi="Times New Roman"/>
        </w:rPr>
      </w:pPr>
      <w:r w:rsidRPr="0006759D">
        <w:rPr>
          <w:rFonts w:ascii="Times New Roman" w:hAnsi="Times New Roman"/>
        </w:rPr>
        <w:t xml:space="preserve">to consider how intergenerational links between mothers and their children, including the employment-related activities of women affect the subsequent cognitive and emotional development of their children, and how the development of the children affects the activities of the </w:t>
      </w:r>
      <w:r w:rsidRPr="0006759D" w:rsidR="00755E84">
        <w:rPr>
          <w:rFonts w:ascii="Times New Roman" w:hAnsi="Times New Roman"/>
        </w:rPr>
        <w:t>mother</w:t>
      </w:r>
      <w:r w:rsidR="00755E84">
        <w:rPr>
          <w:rFonts w:ascii="Times New Roman" w:hAnsi="Times New Roman"/>
        </w:rPr>
        <w:t>; and</w:t>
      </w:r>
    </w:p>
    <w:p w:rsidR="0006759D" w:rsidRPr="0006759D" w:rsidP="0006759D" w14:paraId="7BA0046A" w14:textId="77777777">
      <w:pPr>
        <w:widowControl/>
        <w:numPr>
          <w:ilvl w:val="0"/>
          <w:numId w:val="14"/>
        </w:numPr>
        <w:autoSpaceDE/>
        <w:autoSpaceDN/>
        <w:adjustRightInd/>
        <w:rPr>
          <w:rFonts w:ascii="Times New Roman" w:hAnsi="Times New Roman"/>
        </w:rPr>
      </w:pPr>
      <w:r w:rsidRPr="0006759D">
        <w:rPr>
          <w:rFonts w:ascii="Times New Roman" w:hAnsi="Times New Roman"/>
        </w:rPr>
        <w:t>to meet the data-collection and research needs of various government agencies with an interest in the relationships among child and maternal health, drug and alcohol use, and juvenile deviant behavior and child outcomes such as education, employment, and family experiences and interest in the relationships between health, cognition, and retirement.</w:t>
      </w:r>
    </w:p>
    <w:p w:rsidR="0006759D" w:rsidRPr="0006759D" w:rsidP="0006759D" w14:paraId="44D66373" w14:textId="77777777">
      <w:pPr>
        <w:ind w:left="1080"/>
        <w:rPr>
          <w:rFonts w:ascii="Times New Roman" w:hAnsi="Times New Roman"/>
        </w:rPr>
      </w:pPr>
    </w:p>
    <w:p w:rsidR="0006759D" w:rsidRPr="0006759D" w:rsidP="0006759D" w14:paraId="6FB1FFE0" w14:textId="77777777">
      <w:pPr>
        <w:rPr>
          <w:rFonts w:ascii="Times New Roman" w:hAnsi="Times New Roman"/>
        </w:rPr>
      </w:pPr>
      <w:r w:rsidRPr="0006759D">
        <w:rPr>
          <w:rFonts w:ascii="Times New Roman" w:hAnsi="Times New Roman"/>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 personality characteristics, and perceptions of how much control one has over one’s environment.</w:t>
      </w:r>
    </w:p>
    <w:p w:rsidR="0006759D" w:rsidRPr="0006759D" w:rsidP="0006759D" w14:paraId="1AB2310F" w14:textId="77777777">
      <w:pPr>
        <w:rPr>
          <w:rFonts w:ascii="Times New Roman" w:hAnsi="Times New Roman"/>
        </w:rPr>
      </w:pPr>
    </w:p>
    <w:p w:rsidR="0006759D" w:rsidRPr="0006759D" w:rsidP="0006759D" w14:paraId="4110C984" w14:textId="77777777">
      <w:pPr>
        <w:rPr>
          <w:rFonts w:ascii="Times New Roman" w:hAnsi="Times New Roman"/>
        </w:rPr>
      </w:pPr>
      <w:r w:rsidRPr="0006759D">
        <w:rPr>
          <w:rFonts w:ascii="Times New Roman" w:hAnsi="Times New Roman"/>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rsidR="0006759D" w:rsidRPr="0006759D" w:rsidP="0006759D" w14:paraId="3C0FA837" w14:textId="77777777">
      <w:pPr>
        <w:rPr>
          <w:rFonts w:ascii="Times New Roman" w:hAnsi="Times New Roman"/>
        </w:rPr>
      </w:pPr>
    </w:p>
    <w:p w:rsidR="0006759D" w:rsidRPr="0006759D" w:rsidP="0006759D" w14:paraId="3FB528F6" w14:textId="0652A817">
      <w:pPr>
        <w:pStyle w:val="BodyText2"/>
        <w:rPr>
          <w:sz w:val="24"/>
          <w:szCs w:val="24"/>
        </w:rPr>
      </w:pPr>
      <w:r w:rsidRPr="0006759D">
        <w:rPr>
          <w:sz w:val="24"/>
          <w:szCs w:val="24"/>
        </w:rPr>
        <w:t xml:space="preserve">Third, the oversampling of </w:t>
      </w:r>
      <w:r w:rsidR="007E15C1">
        <w:rPr>
          <w:sz w:val="24"/>
          <w:szCs w:val="24"/>
        </w:rPr>
        <w:t>B</w:t>
      </w:r>
      <w:r w:rsidRPr="0006759D" w:rsidR="007E15C1">
        <w:rPr>
          <w:sz w:val="24"/>
          <w:szCs w:val="24"/>
        </w:rPr>
        <w:t xml:space="preserve">lack </w:t>
      </w:r>
      <w:r w:rsidRPr="0006759D">
        <w:rPr>
          <w:sz w:val="24"/>
          <w:szCs w:val="24"/>
        </w:rPr>
        <w:t>and Hispanic</w:t>
      </w:r>
      <w:r w:rsidR="007E15C1">
        <w:rPr>
          <w:sz w:val="24"/>
          <w:szCs w:val="24"/>
        </w:rPr>
        <w:t xml:space="preserve"> youth</w:t>
      </w:r>
      <w:r w:rsidRPr="0006759D">
        <w:rPr>
          <w:sz w:val="24"/>
          <w:szCs w:val="24"/>
        </w:rPr>
        <w:t xml:space="preserve">, together with the other two advantages mentioned above, makes possible more sophisticated examinations of human capital creation </w:t>
      </w:r>
      <w:r w:rsidRPr="0006759D">
        <w:rPr>
          <w:sz w:val="24"/>
          <w:szCs w:val="24"/>
        </w:rPr>
        <w:t>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rsidR="0006759D" w:rsidRPr="0006759D" w:rsidP="0006759D" w14:paraId="23F13D2F" w14:textId="77777777">
      <w:pPr>
        <w:rPr>
          <w:rFonts w:ascii="Times New Roman" w:hAnsi="Times New Roman"/>
        </w:rPr>
      </w:pPr>
    </w:p>
    <w:p w:rsidR="0006759D" w:rsidRPr="0006759D" w:rsidP="0006759D" w14:paraId="78C5096A" w14:textId="77777777">
      <w:pPr>
        <w:rPr>
          <w:rFonts w:ascii="Times New Roman" w:hAnsi="Times New Roman"/>
        </w:rPr>
      </w:pPr>
      <w:r w:rsidRPr="0006759D">
        <w:rPr>
          <w:rFonts w:ascii="Times New Roman" w:hAnsi="Times New Roman"/>
        </w:rPr>
        <w:t xml:space="preserve">As has been indicated above, the study has several general research and policy-related objectives.  </w:t>
      </w:r>
    </w:p>
    <w:p w:rsidR="0006759D" w:rsidRPr="0006759D" w:rsidP="0006759D" w14:paraId="3A072371" w14:textId="77777777">
      <w:pPr>
        <w:rPr>
          <w:rFonts w:ascii="Times New Roman" w:hAnsi="Times New Roman"/>
        </w:rPr>
      </w:pPr>
    </w:p>
    <w:p w:rsidR="0006759D" w:rsidRPr="0006759D" w:rsidP="0006759D" w14:paraId="3EE76A50" w14:textId="77777777">
      <w:pPr>
        <w:rPr>
          <w:rFonts w:ascii="Times New Roman" w:hAnsi="Times New Roman"/>
          <w:i/>
        </w:rPr>
      </w:pPr>
      <w:r w:rsidRPr="0006759D">
        <w:rPr>
          <w:rFonts w:ascii="Times New Roman" w:hAnsi="Times New Roman"/>
          <w:i/>
        </w:rPr>
        <w:t xml:space="preserve">Attachment 3- Survey Applications </w:t>
      </w:r>
    </w:p>
    <w:p w:rsidR="0006759D" w:rsidRPr="0006759D" w:rsidP="0006759D" w14:paraId="4EE644BF" w14:textId="1660B159">
      <w:pPr>
        <w:rPr>
          <w:rFonts w:ascii="Times New Roman" w:hAnsi="Times New Roman"/>
        </w:rPr>
      </w:pPr>
      <w:r>
        <w:rPr>
          <w:rFonts w:ascii="Times New Roman" w:hAnsi="Times New Roman"/>
        </w:rPr>
        <w:t>E</w:t>
      </w:r>
      <w:r w:rsidRPr="0006759D">
        <w:rPr>
          <w:rFonts w:ascii="Times New Roman" w:hAnsi="Times New Roman"/>
        </w:rPr>
        <w:t>laborate</w:t>
      </w:r>
      <w:r>
        <w:rPr>
          <w:rFonts w:ascii="Times New Roman" w:hAnsi="Times New Roman"/>
        </w:rPr>
        <w:t>s</w:t>
      </w:r>
      <w:r w:rsidRPr="0006759D">
        <w:rPr>
          <w:rFonts w:ascii="Times New Roman" w:hAnsi="Times New Roman"/>
        </w:rPr>
        <w:t xml:space="preserve"> on these basic purposes by setting forth a series of specific research themes.  </w:t>
      </w:r>
    </w:p>
    <w:p w:rsidR="0006759D" w:rsidRPr="0006759D" w:rsidP="0006759D" w14:paraId="72E82A60" w14:textId="77777777">
      <w:pPr>
        <w:rPr>
          <w:rFonts w:ascii="Times New Roman" w:hAnsi="Times New Roman"/>
        </w:rPr>
      </w:pPr>
    </w:p>
    <w:p w:rsidR="0006759D" w:rsidRPr="0006759D" w:rsidP="0006759D" w14:paraId="4FAEA0A8" w14:textId="77777777">
      <w:pPr>
        <w:rPr>
          <w:rFonts w:ascii="Times New Roman" w:hAnsi="Times New Roman"/>
          <w:i/>
        </w:rPr>
      </w:pPr>
      <w:r w:rsidRPr="0006759D">
        <w:rPr>
          <w:rFonts w:ascii="Times New Roman" w:hAnsi="Times New Roman"/>
          <w:i/>
        </w:rPr>
        <w:t xml:space="preserve">Attachment 4- Analysis of Content of Interview Schedules </w:t>
      </w:r>
    </w:p>
    <w:p w:rsidR="0006759D" w:rsidRPr="0006759D" w:rsidP="0006759D" w14:paraId="79562991" w14:textId="56ED9995">
      <w:pPr>
        <w:rPr>
          <w:rFonts w:ascii="Times New Roman" w:hAnsi="Times New Roman"/>
        </w:rPr>
      </w:pPr>
      <w:r>
        <w:rPr>
          <w:rFonts w:ascii="Times New Roman" w:hAnsi="Times New Roman"/>
        </w:rPr>
        <w:t>Relates t</w:t>
      </w:r>
      <w:r w:rsidRPr="0006759D">
        <w:rPr>
          <w:rFonts w:ascii="Times New Roman" w:hAnsi="Times New Roman"/>
        </w:rPr>
        <w:t xml:space="preserve">he detailed content of the interview schedule to the themes from Attachment 3. </w:t>
      </w:r>
    </w:p>
    <w:p w:rsidR="0006759D" w:rsidRPr="0006759D" w:rsidP="0006759D" w14:paraId="79858606" w14:textId="77777777">
      <w:pPr>
        <w:rPr>
          <w:rFonts w:ascii="Times New Roman" w:hAnsi="Times New Roman"/>
        </w:rPr>
      </w:pPr>
    </w:p>
    <w:p w:rsidR="0006759D" w:rsidRPr="0006759D" w:rsidP="0006759D" w14:paraId="1273992E" w14:textId="77777777">
      <w:pPr>
        <w:rPr>
          <w:rFonts w:ascii="Times New Roman" w:hAnsi="Times New Roman"/>
          <w:i/>
        </w:rPr>
      </w:pPr>
      <w:r w:rsidRPr="0006759D">
        <w:rPr>
          <w:rFonts w:ascii="Times New Roman" w:hAnsi="Times New Roman"/>
          <w:i/>
        </w:rPr>
        <w:t>Attachment 5- New Questions and Lines of Inquiry</w:t>
      </w:r>
    </w:p>
    <w:p w:rsidR="0006759D" w:rsidRPr="0006759D" w:rsidP="0006759D" w14:paraId="77C83D12" w14:textId="77777777">
      <w:pPr>
        <w:rPr>
          <w:rFonts w:ascii="Times New Roman" w:hAnsi="Times New Roman"/>
        </w:rPr>
      </w:pPr>
      <w:r w:rsidRPr="0006759D">
        <w:rPr>
          <w:rFonts w:ascii="Times New Roman" w:hAnsi="Times New Roman"/>
        </w:rPr>
        <w:t>Summarizes the new questions and lines of inquiry in the proposed questionnaire.</w:t>
      </w:r>
    </w:p>
    <w:p w:rsidR="0006759D" w:rsidRPr="0006759D" w:rsidP="0006759D" w14:paraId="57DBC0B1" w14:textId="77777777">
      <w:pPr>
        <w:rPr>
          <w:rFonts w:ascii="Times New Roman" w:hAnsi="Times New Roman"/>
        </w:rPr>
      </w:pPr>
    </w:p>
    <w:p w:rsidR="0006759D" w:rsidRPr="0006759D" w:rsidP="0006759D" w14:paraId="247C2889" w14:textId="77777777">
      <w:pPr>
        <w:rPr>
          <w:rFonts w:ascii="Times New Roman" w:hAnsi="Times New Roman"/>
          <w:i/>
        </w:rPr>
      </w:pPr>
      <w:r w:rsidRPr="0006759D">
        <w:rPr>
          <w:rFonts w:ascii="Times New Roman" w:hAnsi="Times New Roman"/>
          <w:i/>
        </w:rPr>
        <w:t>Attachment 6- Respondent Advance Letters</w:t>
      </w:r>
    </w:p>
    <w:p w:rsidR="0006759D" w:rsidRPr="0006759D" w:rsidP="0006759D" w14:paraId="4A2BC844" w14:textId="77777777">
      <w:pPr>
        <w:rPr>
          <w:rFonts w:ascii="Times New Roman" w:hAnsi="Times New Roman"/>
        </w:rPr>
      </w:pPr>
      <w:r w:rsidRPr="0006759D">
        <w:rPr>
          <w:rFonts w:ascii="Times New Roman" w:hAnsi="Times New Roman"/>
        </w:rPr>
        <w:t>Provides the advance letters that will be sent to respondents prior to data collection and the questions and answers about uses of the data, confidentiality, and burden that will appear on the back of each advance letter.</w:t>
      </w:r>
    </w:p>
    <w:p w:rsidR="0006759D" w:rsidRPr="0006759D" w:rsidP="0006759D" w14:paraId="0CAEB0E6" w14:textId="77777777">
      <w:pPr>
        <w:rPr>
          <w:rFonts w:ascii="Times New Roman" w:hAnsi="Times New Roman"/>
        </w:rPr>
      </w:pPr>
    </w:p>
    <w:p w:rsidR="0006759D" w:rsidRPr="0006759D" w:rsidP="0006759D" w14:paraId="24C51304" w14:textId="1E21B2C6">
      <w:pPr>
        <w:rPr>
          <w:rFonts w:ascii="Times New Roman" w:hAnsi="Times New Roman"/>
        </w:rPr>
      </w:pPr>
      <w:r w:rsidRPr="0006759D">
        <w:rPr>
          <w:rFonts w:ascii="Times New Roman" w:hAnsi="Times New Roman"/>
        </w:rPr>
        <w:t xml:space="preserve">The NLSY79 is part of a broader group of surveys that are known as the BLS National Longitudinal Surveys </w:t>
      </w:r>
      <w:r w:rsidR="007E709D">
        <w:rPr>
          <w:rFonts w:ascii="Times New Roman" w:hAnsi="Times New Roman"/>
        </w:rPr>
        <w:t xml:space="preserve">(NLS) </w:t>
      </w:r>
      <w:r w:rsidRPr="0006759D">
        <w:rPr>
          <w:rFonts w:ascii="Times New Roman" w:hAnsi="Times New Roman"/>
        </w:rPr>
        <w:t>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NLSY97, which includes persons who were ages 12–16 on December 31, 1984.</w:t>
      </w:r>
    </w:p>
    <w:p w:rsidR="0006759D" w:rsidRPr="0006759D" w:rsidP="0006759D" w14:paraId="3777416B" w14:textId="77777777">
      <w:pPr>
        <w:rPr>
          <w:rFonts w:ascii="Times New Roman" w:hAnsi="Times New Roman"/>
        </w:rPr>
      </w:pPr>
    </w:p>
    <w:p w:rsidR="0006759D" w:rsidRPr="0006759D" w:rsidP="0006759D" w14:paraId="75156BDA" w14:textId="27D29472">
      <w:pPr>
        <w:rPr>
          <w:rFonts w:ascii="Times New Roman" w:hAnsi="Times New Roman"/>
        </w:rPr>
      </w:pPr>
      <w:r w:rsidRPr="0006759D">
        <w:rPr>
          <w:rFonts w:ascii="Times New Roman" w:hAnsi="Times New Roman"/>
        </w:rPr>
        <w:t xml:space="preserve">The National Longitudinal Surveys are used by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and other government agencies to examine a wide range of labor market issues.  The most recent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news release that examines NLSY79 data was published on August </w:t>
      </w:r>
      <w:r w:rsidR="007E15C1">
        <w:rPr>
          <w:rFonts w:ascii="Times New Roman" w:hAnsi="Times New Roman"/>
        </w:rPr>
        <w:t>22</w:t>
      </w:r>
      <w:r w:rsidRPr="0006759D">
        <w:rPr>
          <w:rFonts w:ascii="Times New Roman" w:hAnsi="Times New Roman"/>
        </w:rPr>
        <w:t xml:space="preserve">, </w:t>
      </w:r>
      <w:r w:rsidR="007E15C1">
        <w:rPr>
          <w:rFonts w:ascii="Times New Roman" w:hAnsi="Times New Roman"/>
        </w:rPr>
        <w:t>2023</w:t>
      </w:r>
      <w:r w:rsidRPr="0006759D">
        <w:rPr>
          <w:rFonts w:ascii="Times New Roman" w:hAnsi="Times New Roman"/>
        </w:rPr>
        <w:t xml:space="preserve">, and is available online at </w:t>
      </w:r>
      <w:hyperlink r:id="rId8" w:history="1">
        <w:r w:rsidRPr="0006759D">
          <w:rPr>
            <w:rStyle w:val="Hyperlink"/>
            <w:rFonts w:ascii="Times New Roman" w:hAnsi="Times New Roman"/>
          </w:rPr>
          <w:t>http://www.bls.gov/news.release/nlsoy.nr0.htm</w:t>
        </w:r>
      </w:hyperlink>
      <w:r w:rsidRPr="0006759D">
        <w:rPr>
          <w:rFonts w:ascii="Times New Roman" w:hAnsi="Times New Roman"/>
        </w:rPr>
        <w:t xml:space="preserve">.  In addition to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9" w:history="1">
        <w:r w:rsidRPr="0006759D">
          <w:rPr>
            <w:rStyle w:val="Hyperlink"/>
            <w:rFonts w:ascii="Times New Roman" w:hAnsi="Times New Roman"/>
          </w:rPr>
          <w:t>http://www.nlsbibliography.org/</w:t>
        </w:r>
      </w:hyperlink>
      <w:r w:rsidRPr="0006759D">
        <w:rPr>
          <w:rFonts w:ascii="Times New Roman" w:hAnsi="Times New Roman"/>
        </w:rPr>
        <w:t>.</w:t>
      </w:r>
    </w:p>
    <w:p w:rsidR="0006759D" w:rsidRPr="00B65823" w:rsidP="00690F56" w14:paraId="3B46A0C7" w14:textId="77777777">
      <w:pPr>
        <w:widowControl/>
        <w:rPr>
          <w:rFonts w:ascii="Times New Roman" w:hAnsi="Times New Roman"/>
        </w:rPr>
      </w:pPr>
    </w:p>
    <w:p w:rsidR="003B13A8" w:rsidP="00690F56" w14:paraId="2C5FA43C" w14:textId="11995DDC">
      <w:pPr>
        <w:widowControl/>
        <w:rPr>
          <w:rFonts w:ascii="Times New Roman" w:hAnsi="Times New Roman"/>
        </w:rPr>
      </w:pPr>
    </w:p>
    <w:p w:rsidR="00070C48" w:rsidRPr="00B65823" w:rsidP="00690F56" w14:paraId="43B26E07"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04006A6E" w14:textId="77777777">
      <w:pPr>
        <w:widowControl/>
        <w:rPr>
          <w:rFonts w:ascii="Times New Roman" w:hAnsi="Times New Roman"/>
        </w:rPr>
      </w:pPr>
    </w:p>
    <w:p w:rsidR="00EB49D7" w:rsidRPr="00EB49D7" w:rsidP="00EB49D7" w14:paraId="6632BC73" w14:textId="7D1BB8E0">
      <w:pPr>
        <w:rPr>
          <w:rFonts w:ascii="Times New Roman" w:hAnsi="Times New Roman"/>
        </w:rPr>
      </w:pPr>
      <w:r w:rsidRPr="00EB49D7">
        <w:rPr>
          <w:rFonts w:ascii="Times New Roman" w:hAnsi="Times New Roman"/>
        </w:rPr>
        <w:t xml:space="preserve">The field staff of NORC makes every effort to ensure that the information is collected in as expeditious a manner as possible, with minimal interference in the lives of the respondents.  </w:t>
      </w:r>
      <w:r w:rsidR="00831082">
        <w:rPr>
          <w:rFonts w:ascii="Times New Roman" w:hAnsi="Times New Roman"/>
        </w:rPr>
        <w:t>Its</w:t>
      </w:r>
      <w:r w:rsidRPr="00EB49D7" w:rsidR="00831082">
        <w:rPr>
          <w:rFonts w:ascii="Times New Roman" w:hAnsi="Times New Roman"/>
        </w:rPr>
        <w:t xml:space="preserve"> </w:t>
      </w:r>
      <w:r w:rsidRPr="00EB49D7">
        <w:rPr>
          <w:rFonts w:ascii="Times New Roman" w:hAnsi="Times New Roman"/>
        </w:rPr>
        <w:t>success in this regard is suggested by the very high continuing response rate and low item refusal rates that have been attained.  More recent efforts also have advanced technologies that lower respondent burden</w:t>
      </w:r>
      <w:r w:rsidRPr="00EB49D7" w:rsidR="004925FA">
        <w:rPr>
          <w:rFonts w:ascii="Times New Roman" w:hAnsi="Times New Roman"/>
        </w:rPr>
        <w:t>.</w:t>
      </w:r>
      <w:r w:rsidR="004925FA">
        <w:rPr>
          <w:rFonts w:ascii="Times New Roman" w:hAnsi="Times New Roman"/>
        </w:rPr>
        <w:t xml:space="preserve">  In Round 3</w:t>
      </w:r>
      <w:r w:rsidR="00FB462E">
        <w:rPr>
          <w:rFonts w:ascii="Times New Roman" w:hAnsi="Times New Roman"/>
        </w:rPr>
        <w:t>1</w:t>
      </w:r>
      <w:r w:rsidR="004925FA">
        <w:rPr>
          <w:rFonts w:ascii="Times New Roman" w:hAnsi="Times New Roman"/>
        </w:rPr>
        <w:t xml:space="preserve">, respondents who wish to respond during the “early bird” will be able to arrange their interviews electronically through an </w:t>
      </w:r>
      <w:r w:rsidRPr="004D2F1B" w:rsidR="004925FA">
        <w:rPr>
          <w:rFonts w:ascii="Times New Roman" w:hAnsi="Times New Roman"/>
        </w:rPr>
        <w:t>appointment-setting application</w:t>
      </w:r>
      <w:r w:rsidR="004925FA">
        <w:rPr>
          <w:rFonts w:ascii="Times New Roman" w:hAnsi="Times New Roman"/>
        </w:rPr>
        <w:t xml:space="preserve"> that is designed specifically for use by NLSY79 respondents.  Use of this application increases the efficiency of the data collection process</w:t>
      </w:r>
      <w:r w:rsidR="007E15C1">
        <w:rPr>
          <w:rFonts w:ascii="Times New Roman" w:hAnsi="Times New Roman"/>
        </w:rPr>
        <w:t>.  As described below</w:t>
      </w:r>
      <w:r w:rsidR="004925FA">
        <w:rPr>
          <w:rFonts w:ascii="Times New Roman" w:hAnsi="Times New Roman"/>
        </w:rPr>
        <w:t xml:space="preserve">, </w:t>
      </w:r>
      <w:r w:rsidR="007E15C1">
        <w:rPr>
          <w:rFonts w:ascii="Times New Roman" w:hAnsi="Times New Roman"/>
        </w:rPr>
        <w:t>the survey has encouraged this behavior in recent rounds by offering an</w:t>
      </w:r>
      <w:r w:rsidR="004925FA">
        <w:rPr>
          <w:rFonts w:ascii="Times New Roman" w:hAnsi="Times New Roman"/>
        </w:rPr>
        <w:t xml:space="preserve"> “early bird incentive</w:t>
      </w:r>
      <w:r w:rsidR="007E15C1">
        <w:rPr>
          <w:rFonts w:ascii="Times New Roman" w:hAnsi="Times New Roman"/>
        </w:rPr>
        <w:t>;</w:t>
      </w:r>
      <w:r w:rsidR="004925FA">
        <w:rPr>
          <w:rFonts w:ascii="Times New Roman" w:hAnsi="Times New Roman"/>
        </w:rPr>
        <w:t>”</w:t>
      </w:r>
      <w:r w:rsidR="007E15C1">
        <w:rPr>
          <w:rFonts w:ascii="Times New Roman" w:hAnsi="Times New Roman"/>
        </w:rPr>
        <w:t xml:space="preserve"> Round 31 includes an experiment to evaluate the effectiveness of this incentive</w:t>
      </w:r>
      <w:r w:rsidRPr="00EB49D7">
        <w:rPr>
          <w:rFonts w:ascii="Times New Roman" w:hAnsi="Times New Roman"/>
        </w:rPr>
        <w:t>.</w:t>
      </w:r>
    </w:p>
    <w:p w:rsidR="00EB49D7" w:rsidRPr="00EB49D7" w:rsidP="00EB49D7" w14:paraId="437487AE" w14:textId="77777777">
      <w:pPr>
        <w:rPr>
          <w:rFonts w:ascii="Times New Roman" w:hAnsi="Times New Roman"/>
        </w:rPr>
      </w:pPr>
    </w:p>
    <w:p w:rsidR="00EB49D7" w:rsidRPr="00EB49D7" w:rsidP="00EB49D7" w14:paraId="6885FA5F" w14:textId="427826E2">
      <w:pPr>
        <w:rPr>
          <w:rFonts w:ascii="Times New Roman" w:hAnsi="Times New Roman"/>
        </w:rPr>
      </w:pPr>
      <w:r w:rsidRPr="00EB49D7">
        <w:rPr>
          <w:rFonts w:ascii="Times New Roman" w:hAnsi="Times New Roman"/>
        </w:rPr>
        <w:t xml:space="preserve">During Round 11 (1989) of the NLSY79, about 300 cases were collected using a Computer Assisted Personal Interview (CAPI).  During Round 12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  Note that some cases have been completed over the telephone in each round.  In rounds 26-28, the percentage of cases completed by phone was around 96%; in Round 29, due to the coronavirus pandemic, all </w:t>
      </w:r>
      <w:r w:rsidR="00496AA8">
        <w:rPr>
          <w:rFonts w:ascii="Times New Roman" w:hAnsi="Times New Roman"/>
        </w:rPr>
        <w:t xml:space="preserve">but one </w:t>
      </w:r>
      <w:r w:rsidRPr="00EB49D7">
        <w:rPr>
          <w:rFonts w:ascii="Times New Roman" w:hAnsi="Times New Roman"/>
        </w:rPr>
        <w:t>case were completed by phone</w:t>
      </w:r>
      <w:r w:rsidR="001D63DC">
        <w:rPr>
          <w:rFonts w:ascii="Times New Roman" w:hAnsi="Times New Roman"/>
        </w:rPr>
        <w:t>; and in Round 30, over 97% of completions were conducted by telephone</w:t>
      </w:r>
      <w:r w:rsidRPr="00EB49D7">
        <w:rPr>
          <w:rFonts w:ascii="Times New Roman" w:hAnsi="Times New Roman"/>
        </w:rPr>
        <w:t>. The system has proved to be stable and reliable and is well received by interviewers, respondents, and researchers.</w:t>
      </w:r>
    </w:p>
    <w:p w:rsidR="00EB49D7" w:rsidRPr="00EB49D7" w:rsidP="00EB49D7" w14:paraId="76E2F862" w14:textId="77777777">
      <w:pPr>
        <w:rPr>
          <w:rFonts w:ascii="Times New Roman" w:hAnsi="Times New Roman"/>
        </w:rPr>
      </w:pPr>
    </w:p>
    <w:p w:rsidR="00EB49D7" w:rsidRPr="00EB49D7" w:rsidP="00FB62D0" w14:paraId="6A1B20D3" w14:textId="4C8EBEA3">
      <w:pPr>
        <w:rPr>
          <w:rFonts w:ascii="Times New Roman" w:hAnsi="Times New Roman"/>
        </w:rPr>
      </w:pPr>
      <w:r w:rsidRPr="00EB49D7">
        <w:rPr>
          <w:rFonts w:ascii="Times New Roman" w:hAnsi="Times New Roman"/>
        </w:rPr>
        <w:t>An analysis of the Round 12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Rounds 15–21, based on over 80,000 completed interviews, showed these predictions of high-quality data were correct.</w:t>
      </w:r>
      <w:r w:rsidR="00496AA8">
        <w:rPr>
          <w:rFonts w:ascii="Times New Roman" w:hAnsi="Times New Roman"/>
        </w:rPr>
        <w:t xml:space="preserve"> </w:t>
      </w:r>
      <w:bookmarkStart w:id="0" w:name="_Hlk91754413"/>
    </w:p>
    <w:p w:rsidR="00EB49D7" w:rsidP="00EB49D7" w14:paraId="2DC71F16" w14:textId="25F7EF57">
      <w:pPr>
        <w:rPr>
          <w:rFonts w:ascii="Times New Roman" w:hAnsi="Times New Roman"/>
        </w:rPr>
      </w:pPr>
    </w:p>
    <w:p w:rsidR="00496AA8" w:rsidP="00496AA8" w14:paraId="7E3D5E45" w14:textId="00B3207D">
      <w:pPr>
        <w:rPr>
          <w:rFonts w:ascii="Times New Roman" w:hAnsi="Times New Roman"/>
        </w:rPr>
      </w:pPr>
      <w:r w:rsidRPr="00496AA8">
        <w:rPr>
          <w:rFonts w:ascii="Times New Roman" w:hAnsi="Times New Roman"/>
        </w:rPr>
        <w:t>The Round 3</w:t>
      </w:r>
      <w:r w:rsidR="00FB462E">
        <w:rPr>
          <w:rFonts w:ascii="Times New Roman" w:hAnsi="Times New Roman"/>
        </w:rPr>
        <w:t>1</w:t>
      </w:r>
      <w:r w:rsidRPr="00496AA8">
        <w:rPr>
          <w:rFonts w:ascii="Times New Roman" w:hAnsi="Times New Roman"/>
        </w:rPr>
        <w:t xml:space="preserve"> questionnaire is programmed in a single computer-assisted interviewing (CAI) platform that interviewers can use for either telephone or in-person administration.  The programming of the questionnaire is highly complex and uses extensive information from prior interviews as well as different points in the current interview.  Paper and pencil administration would likely involve a high rate of error.  Using a single platform for both interviewing modes greatly improves the efficiency of questionnaire programming, data quality assurance, and post-data collection data processing activities relative to having separate platforms for different interviewing modes.</w:t>
      </w:r>
    </w:p>
    <w:p w:rsidR="00496AA8" w:rsidRPr="00496AA8" w:rsidP="00496AA8" w14:paraId="77882294" w14:textId="77777777">
      <w:pPr>
        <w:rPr>
          <w:rFonts w:ascii="Times New Roman" w:hAnsi="Times New Roman"/>
        </w:rPr>
      </w:pPr>
    </w:p>
    <w:p w:rsidR="00496AA8" w:rsidP="00496AA8" w14:paraId="13566AC4" w14:textId="1F09220A">
      <w:pPr>
        <w:rPr>
          <w:rFonts w:ascii="Times New Roman" w:hAnsi="Times New Roman"/>
        </w:rPr>
      </w:pPr>
      <w:r w:rsidRPr="00496AA8">
        <w:rPr>
          <w:rFonts w:ascii="Times New Roman" w:hAnsi="Times New Roman"/>
        </w:rPr>
        <w:t xml:space="preserve">The CAI questionnaire offers additional features for data quality assurance.  These include the </w:t>
      </w:r>
      <w:r w:rsidRPr="00496AA8">
        <w:rPr>
          <w:rFonts w:ascii="Times New Roman" w:hAnsi="Times New Roman"/>
        </w:rPr>
        <w:t>capture of item-level timings, recordings of the interviewer-respondent interaction, and the ability to monitor when the interview might have been interrupted or resumed.  The availability of these features allows the data collection team to monitor interviewer performance and inspect for data falsification with</w:t>
      </w:r>
      <w:r w:rsidR="00380BDE">
        <w:rPr>
          <w:rFonts w:ascii="Times New Roman" w:hAnsi="Times New Roman"/>
        </w:rPr>
        <w:t xml:space="preserve"> minimal </w:t>
      </w:r>
      <w:r w:rsidRPr="00496AA8">
        <w:rPr>
          <w:rFonts w:ascii="Times New Roman" w:hAnsi="Times New Roman"/>
        </w:rPr>
        <w:t>additional burden on respondents</w:t>
      </w:r>
      <w:r w:rsidRPr="00380BDE" w:rsidR="00380BDE">
        <w:rPr>
          <w:rFonts w:ascii="Times New Roman" w:hAnsi="Times New Roman"/>
        </w:rPr>
        <w:t xml:space="preserve">; as described in Section 12 below, </w:t>
      </w:r>
      <w:r w:rsidR="00F7496E">
        <w:rPr>
          <w:rFonts w:ascii="Times New Roman" w:hAnsi="Times New Roman"/>
        </w:rPr>
        <w:t>NLS</w:t>
      </w:r>
      <w:r w:rsidRPr="00380BDE" w:rsidR="00F7496E">
        <w:rPr>
          <w:rFonts w:ascii="Times New Roman" w:hAnsi="Times New Roman"/>
        </w:rPr>
        <w:t xml:space="preserve"> </w:t>
      </w:r>
      <w:r w:rsidRPr="00380BDE" w:rsidR="00380BDE">
        <w:rPr>
          <w:rFonts w:ascii="Times New Roman" w:hAnsi="Times New Roman"/>
        </w:rPr>
        <w:t>expect</w:t>
      </w:r>
      <w:r w:rsidR="00F7496E">
        <w:rPr>
          <w:rFonts w:ascii="Times New Roman" w:hAnsi="Times New Roman"/>
        </w:rPr>
        <w:t>s</w:t>
      </w:r>
      <w:r w:rsidRPr="00380BDE" w:rsidR="00380BDE">
        <w:rPr>
          <w:rFonts w:ascii="Times New Roman" w:hAnsi="Times New Roman"/>
        </w:rPr>
        <w:t xml:space="preserve"> to conduct less than 100 short validation interviews</w:t>
      </w:r>
      <w:r w:rsidRPr="00496AA8">
        <w:rPr>
          <w:rFonts w:ascii="Times New Roman" w:hAnsi="Times New Roman"/>
        </w:rPr>
        <w:t xml:space="preserve">.  Re-interviews are </w:t>
      </w:r>
      <w:r w:rsidR="00380BDE">
        <w:rPr>
          <w:rFonts w:ascii="Times New Roman" w:hAnsi="Times New Roman"/>
        </w:rPr>
        <w:t>then conducted</w:t>
      </w:r>
      <w:r w:rsidRPr="00496AA8" w:rsidR="00380BDE">
        <w:rPr>
          <w:rFonts w:ascii="Times New Roman" w:hAnsi="Times New Roman"/>
        </w:rPr>
        <w:t xml:space="preserve"> </w:t>
      </w:r>
      <w:r w:rsidRPr="00496AA8">
        <w:rPr>
          <w:rFonts w:ascii="Times New Roman" w:hAnsi="Times New Roman"/>
        </w:rPr>
        <w:t>only in the event of concerns about how an interview was conducted based on the available recordings, timings, and other data.  The NLSY79 has had need for minimal re</w:t>
      </w:r>
      <w:r w:rsidR="00380BDE">
        <w:rPr>
          <w:rFonts w:ascii="Times New Roman" w:hAnsi="Times New Roman"/>
        </w:rPr>
        <w:t>-</w:t>
      </w:r>
      <w:r w:rsidRPr="00496AA8">
        <w:rPr>
          <w:rFonts w:ascii="Times New Roman" w:hAnsi="Times New Roman"/>
        </w:rPr>
        <w:t>interviews in recent years</w:t>
      </w:r>
      <w:r w:rsidR="005D37F9">
        <w:rPr>
          <w:rFonts w:ascii="Times New Roman" w:hAnsi="Times New Roman"/>
        </w:rPr>
        <w:t xml:space="preserve"> </w:t>
      </w:r>
      <w:r w:rsidRPr="00380BDE" w:rsidR="00380BDE">
        <w:rPr>
          <w:rFonts w:ascii="Times New Roman" w:hAnsi="Times New Roman"/>
        </w:rPr>
        <w:t xml:space="preserve">– </w:t>
      </w:r>
      <w:r w:rsidRPr="00380BDE" w:rsidR="00AD12E3">
        <w:rPr>
          <w:rFonts w:ascii="Times New Roman" w:hAnsi="Times New Roman"/>
        </w:rPr>
        <w:t xml:space="preserve">it had none in the last </w:t>
      </w:r>
      <w:r w:rsidR="00AD12E3">
        <w:rPr>
          <w:rFonts w:ascii="Times New Roman" w:hAnsi="Times New Roman"/>
        </w:rPr>
        <w:t>four</w:t>
      </w:r>
      <w:r w:rsidRPr="00380BDE" w:rsidR="00AD12E3">
        <w:rPr>
          <w:rFonts w:ascii="Times New Roman" w:hAnsi="Times New Roman"/>
        </w:rPr>
        <w:t xml:space="preserve"> rounds </w:t>
      </w:r>
      <w:r w:rsidRPr="00380BDE" w:rsidR="00380BDE">
        <w:rPr>
          <w:rFonts w:ascii="Times New Roman" w:hAnsi="Times New Roman"/>
        </w:rPr>
        <w:t xml:space="preserve">– </w:t>
      </w:r>
      <w:r w:rsidRPr="00496AA8">
        <w:rPr>
          <w:rFonts w:ascii="Times New Roman" w:hAnsi="Times New Roman"/>
        </w:rPr>
        <w:t>and expects at most 1 percent of interviews to require a re-interview in Round 3</w:t>
      </w:r>
      <w:r w:rsidR="00FB462E">
        <w:rPr>
          <w:rFonts w:ascii="Times New Roman" w:hAnsi="Times New Roman"/>
        </w:rPr>
        <w:t>1</w:t>
      </w:r>
      <w:r w:rsidRPr="00496AA8">
        <w:rPr>
          <w:rFonts w:ascii="Times New Roman" w:hAnsi="Times New Roman"/>
        </w:rPr>
        <w:t>.</w:t>
      </w:r>
    </w:p>
    <w:p w:rsidR="00496AA8" w:rsidRPr="00496AA8" w:rsidP="00496AA8" w14:paraId="32DCE623" w14:textId="77777777">
      <w:pPr>
        <w:rPr>
          <w:rFonts w:ascii="Times New Roman" w:hAnsi="Times New Roman"/>
        </w:rPr>
      </w:pPr>
    </w:p>
    <w:p w:rsidR="00496AA8" w:rsidP="00496AA8" w14:paraId="33A5AD74" w14:textId="7B1933BA">
      <w:pPr>
        <w:rPr>
          <w:rFonts w:ascii="Times New Roman" w:hAnsi="Times New Roman"/>
        </w:rPr>
      </w:pPr>
      <w:r w:rsidRPr="00496AA8">
        <w:rPr>
          <w:rFonts w:ascii="Times New Roman" w:hAnsi="Times New Roman"/>
        </w:rPr>
        <w:t xml:space="preserve">The </w:t>
      </w:r>
      <w:r>
        <w:rPr>
          <w:rFonts w:ascii="Times New Roman" w:hAnsi="Times New Roman"/>
        </w:rPr>
        <w:t xml:space="preserve">questionnaire’s </w:t>
      </w:r>
      <w:r w:rsidRPr="00496AA8">
        <w:rPr>
          <w:rFonts w:ascii="Times New Roman" w:hAnsi="Times New Roman"/>
        </w:rPr>
        <w:t xml:space="preserve">consent statement indicates that the interview will be recorded for quality control purposes.  If a respondent declines to be recorded, the timings and other data quality-related </w:t>
      </w:r>
      <w:r w:rsidRPr="00496AA8">
        <w:rPr>
          <w:rFonts w:ascii="Times New Roman" w:hAnsi="Times New Roman"/>
        </w:rPr>
        <w:t>paradata</w:t>
      </w:r>
      <w:r w:rsidRPr="00496AA8">
        <w:rPr>
          <w:rFonts w:ascii="Times New Roman" w:hAnsi="Times New Roman"/>
        </w:rPr>
        <w:t xml:space="preserve"> can generally provide adequate information for data quality assurance.  If necessary, re-interviews can be conducted with a small number of respondents, included in the estimate of 1 percent of interviews above.</w:t>
      </w:r>
    </w:p>
    <w:bookmarkEnd w:id="0"/>
    <w:p w:rsidR="00690F56" w:rsidP="00B65823" w14:paraId="1EFFB376" w14:textId="03E54F9C">
      <w:pPr>
        <w:widowControl/>
        <w:rPr>
          <w:rFonts w:ascii="Times New Roman" w:hAnsi="Times New Roman"/>
        </w:rPr>
      </w:pPr>
    </w:p>
    <w:p w:rsidR="005E21FE" w:rsidRPr="006A4637" w:rsidP="00B65823" w14:paraId="0F2BD862"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B65823" w14:paraId="2693B8DC" w14:textId="77777777">
      <w:pPr>
        <w:widowControl/>
        <w:rPr>
          <w:rFonts w:ascii="Times New Roman" w:hAnsi="Times New Roman"/>
        </w:rPr>
      </w:pPr>
    </w:p>
    <w:p w:rsidR="00EB49D7" w:rsidRPr="00EB49D7" w:rsidP="00EB49D7" w14:paraId="14377192" w14:textId="77777777">
      <w:pPr>
        <w:rPr>
          <w:rFonts w:ascii="Times New Roman" w:hAnsi="Times New Roman"/>
        </w:rPr>
      </w:pPr>
      <w:r w:rsidRPr="00EB49D7">
        <w:rPr>
          <w:rFonts w:ascii="Times New Roman" w:hAnsi="Times New Roman"/>
        </w:rPr>
        <w:t xml:space="preserve">A 1982 study entitled “National Social Data Series: A Compendium of Brief Descriptions” by Richard C. </w:t>
      </w:r>
      <w:r w:rsidRPr="00EB49D7">
        <w:rPr>
          <w:rFonts w:ascii="Times New Roman" w:hAnsi="Times New Roman"/>
        </w:rPr>
        <w:t>Taeuber</w:t>
      </w:r>
      <w:r w:rsidRPr="00EB49D7">
        <w:rPr>
          <w:rFonts w:ascii="Times New Roman" w:hAnsi="Times New Roman"/>
        </w:rPr>
        <w:t xml:space="preserve"> and Richard C. Rockwell includes an exhaustive list with descriptions of the national data sets available at that time.  A careful examination of all the data sets described 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the NLSY79.  The longitudinal nature of the survey and the rich background information collected mean that no survey subsequently released can provide data to replace the NLSY79.  The expansion in the mid-1980s of the NLSY79 to incorporate information on child outcomes represents a unique intergenerational data-collection effort.</w:t>
      </w:r>
    </w:p>
    <w:p w:rsidR="00EB49D7" w:rsidRPr="00EB49D7" w:rsidP="00EB49D7" w14:paraId="2E0CBB11" w14:textId="77777777">
      <w:pPr>
        <w:rPr>
          <w:rFonts w:ascii="Times New Roman" w:hAnsi="Times New Roman"/>
        </w:rPr>
      </w:pPr>
    </w:p>
    <w:p w:rsidR="00EB49D7" w:rsidRPr="00EB49D7" w:rsidP="00EB49D7" w14:paraId="39714A87" w14:textId="77777777">
      <w:pPr>
        <w:rPr>
          <w:rFonts w:ascii="Times New Roman" w:hAnsi="Times New Roman"/>
        </w:rPr>
      </w:pPr>
      <w:r w:rsidRPr="00EB49D7">
        <w:rPr>
          <w:rFonts w:ascii="Times New Roman" w:hAnsi="Times New Roman"/>
        </w:rPr>
        <w:t>Survey staff have continued to confirm that no comparable data set exists.  An investigation into data sets related to wealth by F. Thomas Juster and Kathleen A. Kuester describes the data available in the wealth domain, showing the unique nature of the data available in the NLS.</w:t>
      </w:r>
    </w:p>
    <w:p w:rsidR="00EB49D7" w:rsidRPr="00EB49D7" w:rsidP="00EB49D7" w14:paraId="4A44DE3B" w14:textId="77777777">
      <w:pPr>
        <w:rPr>
          <w:rFonts w:ascii="Times New Roman" w:hAnsi="Times New Roman"/>
        </w:rPr>
      </w:pPr>
    </w:p>
    <w:p w:rsidR="00EB49D7" w:rsidRPr="00EB49D7" w:rsidP="00EB49D7" w14:paraId="4F0E5852" w14:textId="77777777">
      <w:pPr>
        <w:rPr>
          <w:rFonts w:ascii="Times New Roman" w:hAnsi="Times New Roman"/>
        </w:rPr>
      </w:pPr>
      <w:r w:rsidRPr="00EB49D7">
        <w:rPr>
          <w:rFonts w:ascii="Times New Roman" w:hAnsi="Times New Roman"/>
        </w:rPr>
        <w:t xml:space="preserve">The 1993 volume </w:t>
      </w:r>
      <w:r w:rsidRPr="00EB49D7">
        <w:rPr>
          <w:rFonts w:ascii="Times New Roman" w:hAnsi="Times New Roman"/>
          <w:i/>
        </w:rPr>
        <w:t>The Future of the Survey of Income and Program Participation</w:t>
      </w:r>
      <w:r w:rsidRPr="00EB49D7">
        <w:rPr>
          <w:rFonts w:ascii="Times New Roman" w:hAnsi="Times New Roman"/>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rsidR="00EB49D7" w:rsidRPr="00EB49D7" w:rsidP="00EB49D7" w14:paraId="745F284A" w14:textId="77777777">
      <w:pPr>
        <w:rPr>
          <w:rFonts w:ascii="Times New Roman" w:hAnsi="Times New Roman"/>
        </w:rPr>
      </w:pPr>
    </w:p>
    <w:p w:rsidR="00EB49D7" w:rsidRPr="00EB49D7" w:rsidP="00EB49D7" w14:paraId="01998B4F" w14:textId="77777777">
      <w:pPr>
        <w:rPr>
          <w:rFonts w:ascii="Times New Roman" w:hAnsi="Times New Roman"/>
        </w:rPr>
      </w:pPr>
      <w:r w:rsidRPr="00EB49D7">
        <w:rPr>
          <w:rFonts w:ascii="Times New Roman" w:hAnsi="Times New Roman"/>
        </w:rPr>
        <w:t xml:space="preserve">BLS convened a conference in fall 1998 to look at the design of the NLSY79 for 2002 and beyond.  In the process, external reviewers assessed the coverage, quality, and duplication of the </w:t>
      </w:r>
      <w:r w:rsidRPr="00EB49D7">
        <w:rPr>
          <w:rFonts w:ascii="Times New Roman" w:hAnsi="Times New Roman"/>
        </w:rPr>
        <w:t>survey.  In its central areas of coverage—event histories on labor supply, major demographic events, and child assessments—this conference concluded that the NLSY79 was well-designed and continued to be a unique resource, unduplicated in the national statistical inventory.</w:t>
      </w:r>
    </w:p>
    <w:p w:rsidR="00EB49D7" w:rsidRPr="00EB49D7" w:rsidP="00EB49D7" w14:paraId="7A8202E1" w14:textId="77777777">
      <w:pPr>
        <w:rPr>
          <w:rFonts w:ascii="Times New Roman" w:hAnsi="Times New Roman"/>
        </w:rPr>
      </w:pPr>
    </w:p>
    <w:p w:rsidR="00EB49D7" w:rsidRPr="00EB49D7" w:rsidP="00EB49D7" w14:paraId="68B55FE2" w14:textId="77777777">
      <w:pPr>
        <w:rPr>
          <w:rFonts w:ascii="Times New Roman" w:hAnsi="Times New Roman"/>
        </w:rPr>
      </w:pPr>
      <w:r w:rsidRPr="00EB49D7">
        <w:rPr>
          <w:rFonts w:ascii="Times New Roman" w:hAnsi="Times New Roman"/>
        </w:rPr>
        <w:t xml:space="preserve">An article by Michael </w:t>
      </w:r>
      <w:r w:rsidRPr="00EB49D7">
        <w:rPr>
          <w:rFonts w:ascii="Times New Roman" w:hAnsi="Times New Roman"/>
        </w:rPr>
        <w:t>Pergamit</w:t>
      </w:r>
      <w:r w:rsidRPr="00EB49D7">
        <w:rPr>
          <w:rFonts w:ascii="Times New Roman" w:hAnsi="Times New Roman"/>
        </w:rPr>
        <w:t xml:space="preserve">, et al. (2001) discusses the strengths of the NLSY79, and prominent research that had been done using NLSY79 data.  Many of these studies could not have been done otherwise, because the NLSY79 has such a breadth of information, along with a history of all jobs ever held and a cognitive test score.  A later paper by Aughinbaugh, et al. (2015) examines the unique strengths of the NLSY79 and NLSY97 surveys, and the resulting important research.  </w:t>
      </w:r>
    </w:p>
    <w:p w:rsidR="00EB49D7" w:rsidRPr="00EB49D7" w:rsidP="00EB49D7" w14:paraId="112C46EF" w14:textId="77777777">
      <w:pPr>
        <w:rPr>
          <w:rFonts w:ascii="Times New Roman" w:hAnsi="Times New Roman"/>
        </w:rPr>
      </w:pPr>
    </w:p>
    <w:p w:rsidR="00BF5ECE" w:rsidP="000645C3" w14:paraId="0EEA834C" w14:textId="7FC544E4">
      <w:pPr>
        <w:rPr>
          <w:rFonts w:ascii="Times New Roman" w:hAnsi="Times New Roman"/>
        </w:rPr>
      </w:pPr>
      <w:r w:rsidRPr="00EB49D7">
        <w:rPr>
          <w:rFonts w:ascii="Times New Roman" w:hAnsi="Times New Roman"/>
        </w:rPr>
        <w:t xml:space="preserve">In 2016, BLS convened a panel of aging, health, and retirement experts to give advice on the content and direction the survey needs to take in the next 10-15 years.  The Retirement Working Group, led by Professor Kathleen McGarry, provided advice on survey content, linkages to administrative data, and such, which the NLSY79 has already begun implementing.  </w:t>
      </w:r>
      <w:r w:rsidR="005542F6">
        <w:rPr>
          <w:rFonts w:ascii="Times New Roman" w:hAnsi="Times New Roman"/>
        </w:rPr>
        <w:t xml:space="preserve">In 2023, another group of experts, led by Professor Melissa McInerney, was convened to advise BLS on the relative benefits of following several different pathways as the survey sample grows older.  The </w:t>
      </w:r>
      <w:r w:rsidRPr="005542F6" w:rsidR="005542F6">
        <w:rPr>
          <w:rFonts w:ascii="Times New Roman" w:hAnsi="Times New Roman"/>
        </w:rPr>
        <w:t>Pathways Working Group</w:t>
      </w:r>
      <w:r>
        <w:rPr>
          <w:rFonts w:ascii="Times New Roman" w:hAnsi="Times New Roman"/>
        </w:rPr>
        <w:t xml:space="preserve"> </w:t>
      </w:r>
      <w:r w:rsidRPr="00BF5ECE">
        <w:rPr>
          <w:rFonts w:ascii="Times New Roman" w:hAnsi="Times New Roman"/>
        </w:rPr>
        <w:t>identified several key areas</w:t>
      </w:r>
      <w:r>
        <w:rPr>
          <w:rFonts w:ascii="Times New Roman" w:hAnsi="Times New Roman"/>
        </w:rPr>
        <w:t xml:space="preserve"> </w:t>
      </w:r>
      <w:r w:rsidRPr="00BF5ECE">
        <w:rPr>
          <w:rFonts w:ascii="Times New Roman" w:hAnsi="Times New Roman"/>
        </w:rPr>
        <w:t>of research related to aging, work (both paid and unpaid), and other productive activities</w:t>
      </w:r>
      <w:r>
        <w:rPr>
          <w:rFonts w:ascii="Times New Roman" w:hAnsi="Times New Roman"/>
        </w:rPr>
        <w:t xml:space="preserve"> in which the NLSY79 remains </w:t>
      </w:r>
      <w:r w:rsidRPr="00BF5ECE">
        <w:rPr>
          <w:rFonts w:ascii="Times New Roman" w:hAnsi="Times New Roman"/>
        </w:rPr>
        <w:t xml:space="preserve">uniquely positioned to </w:t>
      </w:r>
      <w:r>
        <w:rPr>
          <w:rFonts w:ascii="Times New Roman" w:hAnsi="Times New Roman"/>
        </w:rPr>
        <w:t>provide needed information.</w:t>
      </w:r>
      <w:r w:rsidR="000645C3">
        <w:rPr>
          <w:rFonts w:ascii="Times New Roman" w:hAnsi="Times New Roman"/>
        </w:rPr>
        <w:t xml:space="preserve">  Many of these areas were also identified in a recent</w:t>
      </w:r>
      <w:r w:rsidRPr="000645C3" w:rsidR="000645C3">
        <w:rPr>
          <w:rFonts w:ascii="Times New Roman" w:hAnsi="Times New Roman"/>
        </w:rPr>
        <w:t xml:space="preserve"> National</w:t>
      </w:r>
      <w:r w:rsidR="000645C3">
        <w:rPr>
          <w:rFonts w:ascii="Times New Roman" w:hAnsi="Times New Roman"/>
        </w:rPr>
        <w:t xml:space="preserve"> </w:t>
      </w:r>
      <w:r w:rsidRPr="000645C3" w:rsidR="000645C3">
        <w:rPr>
          <w:rFonts w:ascii="Times New Roman" w:hAnsi="Times New Roman"/>
        </w:rPr>
        <w:t xml:space="preserve">Academies </w:t>
      </w:r>
      <w:r w:rsidR="000645C3">
        <w:rPr>
          <w:rFonts w:ascii="Times New Roman" w:hAnsi="Times New Roman"/>
        </w:rPr>
        <w:t xml:space="preserve">(2022) </w:t>
      </w:r>
      <w:r w:rsidRPr="000645C3" w:rsidR="000645C3">
        <w:rPr>
          <w:rFonts w:ascii="Times New Roman" w:hAnsi="Times New Roman"/>
        </w:rPr>
        <w:t>report</w:t>
      </w:r>
      <w:r w:rsidR="000645C3">
        <w:rPr>
          <w:rFonts w:ascii="Times New Roman" w:hAnsi="Times New Roman"/>
        </w:rPr>
        <w:t xml:space="preserve"> describing needed research pertaining to the Aging workforce</w:t>
      </w:r>
      <w:r w:rsidRPr="000645C3" w:rsidR="000645C3">
        <w:rPr>
          <w:rFonts w:ascii="Times New Roman" w:hAnsi="Times New Roman"/>
        </w:rPr>
        <w:t xml:space="preserve">. </w:t>
      </w:r>
      <w:r w:rsidR="000645C3">
        <w:rPr>
          <w:rFonts w:ascii="Times New Roman" w:hAnsi="Times New Roman"/>
        </w:rPr>
        <w:t>The Pathways group</w:t>
      </w:r>
      <w:r>
        <w:rPr>
          <w:rFonts w:ascii="Times New Roman" w:hAnsi="Times New Roman"/>
        </w:rPr>
        <w:t xml:space="preserve"> emphasized the tremendous value of continuing to collect data from this cohort for several more rounds.</w:t>
      </w:r>
    </w:p>
    <w:p w:rsidR="005542F6" w:rsidP="00EB49D7" w14:paraId="5E9C7F8F" w14:textId="77777777">
      <w:pPr>
        <w:rPr>
          <w:rFonts w:ascii="Times New Roman" w:hAnsi="Times New Roman"/>
        </w:rPr>
      </w:pPr>
    </w:p>
    <w:p w:rsidR="00EB49D7" w:rsidRPr="00EB49D7" w:rsidP="00EB49D7" w14:paraId="6AA9EC87" w14:textId="1D484410">
      <w:pPr>
        <w:rPr>
          <w:rFonts w:ascii="Times New Roman" w:hAnsi="Times New Roman"/>
        </w:rPr>
      </w:pPr>
      <w:r w:rsidRPr="00EB49D7">
        <w:rPr>
          <w:rFonts w:ascii="Times New Roman" w:hAnsi="Times New Roman"/>
        </w:rPr>
        <w:t>The NLSY79 provides advantages for studying aging and retirement over other longitudinal studies, which tend to begin when respondents are much older.  The NLSY79 contains a long history of information collected as events occurred</w:t>
      </w:r>
      <w:r w:rsidR="00BF5ECE">
        <w:rPr>
          <w:rFonts w:ascii="Times New Roman" w:hAnsi="Times New Roman"/>
        </w:rPr>
        <w:t xml:space="preserve">, including </w:t>
      </w:r>
      <w:r w:rsidR="00E61AF5">
        <w:rPr>
          <w:rFonts w:ascii="Times New Roman" w:hAnsi="Times New Roman"/>
        </w:rPr>
        <w:t>extensive</w:t>
      </w:r>
      <w:r w:rsidRPr="00BF5ECE" w:rsidR="00E61AF5">
        <w:rPr>
          <w:rFonts w:ascii="Times New Roman" w:hAnsi="Times New Roman"/>
        </w:rPr>
        <w:t xml:space="preserve"> </w:t>
      </w:r>
      <w:r w:rsidRPr="00BF5ECE" w:rsidR="00BF5ECE">
        <w:rPr>
          <w:rFonts w:ascii="Times New Roman" w:hAnsi="Times New Roman"/>
        </w:rPr>
        <w:t>life course</w:t>
      </w:r>
      <w:r w:rsidR="00BF5ECE">
        <w:rPr>
          <w:rFonts w:ascii="Times New Roman" w:hAnsi="Times New Roman"/>
        </w:rPr>
        <w:t xml:space="preserve"> </w:t>
      </w:r>
      <w:r w:rsidRPr="00BF5ECE" w:rsidR="00BF5ECE">
        <w:rPr>
          <w:rFonts w:ascii="Times New Roman" w:hAnsi="Times New Roman"/>
        </w:rPr>
        <w:t>data on work, wages, and job characteristics</w:t>
      </w:r>
      <w:r w:rsidRPr="00EB49D7">
        <w:rPr>
          <w:rFonts w:ascii="Times New Roman" w:hAnsi="Times New Roman"/>
        </w:rPr>
        <w:t xml:space="preserve">.  In addition, over half of the sample members have a sibling in the sample, the NLSY79 Child/Young Adult data contains assessments and interviews with children of the female respondents, and the main survey contains data on respondents’ cognition and health over the years.   </w:t>
      </w:r>
    </w:p>
    <w:p w:rsidR="00EB49D7" w:rsidRPr="00EB49D7" w:rsidP="00EB49D7" w14:paraId="13E3EF9B" w14:textId="77777777">
      <w:pPr>
        <w:rPr>
          <w:rFonts w:ascii="Times New Roman" w:hAnsi="Times New Roman"/>
        </w:rPr>
      </w:pPr>
    </w:p>
    <w:p w:rsidR="00EB49D7" w:rsidRPr="00EB49D7" w:rsidP="00EB49D7" w14:paraId="2A6BCAC0" w14:textId="5A09A03C">
      <w:pPr>
        <w:rPr>
          <w:rFonts w:ascii="Times New Roman" w:hAnsi="Times New Roman"/>
        </w:rPr>
      </w:pPr>
      <w:r w:rsidRPr="00EB49D7">
        <w:rPr>
          <w:rFonts w:ascii="Times New Roman" w:hAnsi="Times New Roman"/>
        </w:rPr>
        <w:t xml:space="preserve">Past work shows that there is no other longitudinal data set available that can address effectively the many research topics highlighted in attachment 3.  This data set focuses specifically and in great detail on the employment, educational, demographic, and social-psychological characteristics of a nationally represented sample of younger baby boomers and their families and measures changes in these characteristics over long time periods.  The survey gathers this information for both men and women, and for relatively large samples of </w:t>
      </w:r>
      <w:r w:rsidR="00BF5ECE">
        <w:rPr>
          <w:rFonts w:ascii="Times New Roman" w:hAnsi="Times New Roman"/>
        </w:rPr>
        <w:t>B</w:t>
      </w:r>
      <w:r w:rsidRPr="00EB49D7" w:rsidR="00BF5ECE">
        <w:rPr>
          <w:rFonts w:ascii="Times New Roman" w:hAnsi="Times New Roman"/>
        </w:rPr>
        <w:t xml:space="preserve">lack </w:t>
      </w:r>
      <w:r w:rsidRPr="00EB49D7">
        <w:rPr>
          <w:rFonts w:ascii="Times New Roman" w:hAnsi="Times New Roman"/>
        </w:rPr>
        <w:t xml:space="preserve">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w:t>
      </w:r>
      <w:r w:rsidR="00BF5ECE">
        <w:rPr>
          <w:rFonts w:ascii="Times New Roman" w:hAnsi="Times New Roman"/>
        </w:rPr>
        <w:t>B</w:t>
      </w:r>
      <w:r w:rsidRPr="00EB49D7" w:rsidR="00BF5ECE">
        <w:rPr>
          <w:rFonts w:ascii="Times New Roman" w:hAnsi="Times New Roman"/>
        </w:rPr>
        <w:t xml:space="preserve">lack </w:t>
      </w:r>
      <w:r w:rsidRPr="00EB49D7">
        <w:rPr>
          <w:rFonts w:ascii="Times New Roman" w:hAnsi="Times New Roman"/>
        </w:rPr>
        <w:t>and Hispanic samples; and (4) detailed availability of education, employment and training, demographic, health, child outcome, and social-psychological variables make this data set, and its utility for social science policy-related research, unique.</w:t>
      </w:r>
    </w:p>
    <w:p w:rsidR="00EB49D7" w:rsidRPr="00EB49D7" w:rsidP="00EB49D7" w14:paraId="044DFF7F" w14:textId="77777777">
      <w:pPr>
        <w:rPr>
          <w:rFonts w:ascii="Times New Roman" w:hAnsi="Times New Roman"/>
        </w:rPr>
      </w:pPr>
    </w:p>
    <w:p w:rsidR="00EB49D7" w:rsidRPr="00EB49D7" w:rsidP="00EB49D7" w14:paraId="3F4F5326" w14:textId="3E5515FB">
      <w:pPr>
        <w:rPr>
          <w:rFonts w:ascii="Times New Roman" w:hAnsi="Times New Roman"/>
        </w:rPr>
      </w:pPr>
      <w:r w:rsidRPr="00EB49D7">
        <w:rPr>
          <w:rFonts w:ascii="Times New Roman" w:hAnsi="Times New Roman"/>
        </w:rPr>
        <w:t xml:space="preserve">In addition to the content of the interviews, the survey is also distinctive because of its coverage of the respondents’ lives for more than </w:t>
      </w:r>
      <w:r w:rsidR="00BF5ECE">
        <w:rPr>
          <w:rFonts w:ascii="Times New Roman" w:hAnsi="Times New Roman"/>
        </w:rPr>
        <w:t>40</w:t>
      </w:r>
      <w:r w:rsidRPr="00EB49D7" w:rsidR="00BF5ECE">
        <w:rPr>
          <w:rFonts w:ascii="Times New Roman" w:hAnsi="Times New Roman"/>
        </w:rPr>
        <w:t xml:space="preserve"> </w:t>
      </w:r>
      <w:r w:rsidRPr="00EB49D7">
        <w:rPr>
          <w:rFonts w:ascii="Times New Roman" w:hAnsi="Times New Roman"/>
        </w:rPr>
        <w:t>years and the linkage between data on mothers and their children.  These aspects attract the thousands of users who rely on this survey for their studies of American workers, their careers, and their families.</w:t>
      </w:r>
    </w:p>
    <w:p w:rsidR="00EB49D7" w:rsidRPr="00EB49D7" w:rsidP="00EB49D7" w14:paraId="6135B27E" w14:textId="77777777">
      <w:pPr>
        <w:rPr>
          <w:rFonts w:ascii="Times New Roman" w:hAnsi="Times New Roman"/>
        </w:rPr>
      </w:pPr>
    </w:p>
    <w:p w:rsidR="00EB49D7" w:rsidP="00EB49D7" w14:paraId="640D75DF" w14:textId="66614BE7">
      <w:pPr>
        <w:rPr>
          <w:rFonts w:ascii="Times New Roman" w:hAnsi="Times New Roman"/>
          <w:u w:val="single"/>
        </w:rPr>
      </w:pPr>
      <w:r w:rsidRPr="00386860">
        <w:rPr>
          <w:rFonts w:ascii="Times New Roman" w:hAnsi="Times New Roman"/>
          <w:i/>
          <w:iCs/>
        </w:rPr>
        <w:t>References</w:t>
      </w:r>
    </w:p>
    <w:p w:rsidR="00EB49D7" w:rsidRPr="00EB49D7" w:rsidP="00EB49D7" w14:paraId="2283E670" w14:textId="77777777">
      <w:pPr>
        <w:rPr>
          <w:rFonts w:ascii="Times New Roman" w:hAnsi="Times New Roman"/>
          <w:u w:val="single"/>
        </w:rPr>
      </w:pPr>
    </w:p>
    <w:p w:rsidR="00070C48" w:rsidRPr="00EB49D7" w:rsidP="00BF5ECE" w14:paraId="759A1640" w14:textId="0ED6A5B9">
      <w:pPr>
        <w:spacing w:after="120"/>
        <w:ind w:left="720" w:hanging="720"/>
        <w:rPr>
          <w:rFonts w:ascii="Times New Roman" w:hAnsi="Times New Roman"/>
          <w:color w:val="000000"/>
        </w:rPr>
      </w:pPr>
      <w:r w:rsidRPr="00EB49D7">
        <w:rPr>
          <w:rFonts w:ascii="Times New Roman" w:hAnsi="Times New Roman"/>
        </w:rPr>
        <w:t xml:space="preserve">Aughinbaugh, Alison, Charles R. Pierret, and Donna S. Rothstein.  “The National Longitudinal Surveys of Youth: Research Highlights.” </w:t>
      </w:r>
      <w:r w:rsidRPr="00EB49D7">
        <w:rPr>
          <w:rFonts w:ascii="Times New Roman" w:hAnsi="Times New Roman"/>
          <w:i/>
        </w:rPr>
        <w:t>Monthly Labor Review</w:t>
      </w:r>
      <w:r w:rsidRPr="00EB49D7">
        <w:rPr>
          <w:rFonts w:ascii="Times New Roman" w:hAnsi="Times New Roman"/>
          <w:color w:val="000000"/>
        </w:rPr>
        <w:t xml:space="preserve"> (September 2015). </w:t>
      </w:r>
      <w:hyperlink r:id="rId10" w:history="1">
        <w:r w:rsidRPr="00EB49D7">
          <w:rPr>
            <w:rFonts w:ascii="Times New Roman" w:hAnsi="Times New Roman"/>
            <w:color w:val="36538E"/>
            <w:u w:val="single"/>
          </w:rPr>
          <w:t>https://doi.org/10.21916/mlr.2015.34</w:t>
        </w:r>
      </w:hyperlink>
      <w:r w:rsidRPr="00EB49D7">
        <w:rPr>
          <w:rFonts w:ascii="Times New Roman" w:hAnsi="Times New Roman"/>
          <w:color w:val="000000"/>
        </w:rPr>
        <w:t xml:space="preserve">. </w:t>
      </w:r>
    </w:p>
    <w:p w:rsidR="00EB49D7" w:rsidRPr="00EB49D7" w:rsidP="00EB49D7" w14:paraId="2331006B" w14:textId="77777777">
      <w:pPr>
        <w:spacing w:after="120"/>
        <w:ind w:left="720" w:hanging="720"/>
        <w:rPr>
          <w:rFonts w:ascii="Times New Roman" w:hAnsi="Times New Roman"/>
        </w:rPr>
      </w:pPr>
      <w:r w:rsidRPr="00EB49D7">
        <w:rPr>
          <w:rFonts w:ascii="Times New Roman" w:hAnsi="Times New Roman"/>
        </w:rPr>
        <w:t xml:space="preserve">Citro, Constance C. and </w:t>
      </w:r>
      <w:r w:rsidRPr="00EB49D7">
        <w:rPr>
          <w:rFonts w:ascii="Times New Roman" w:hAnsi="Times New Roman"/>
        </w:rPr>
        <w:t>Kalton</w:t>
      </w:r>
      <w:r w:rsidRPr="00EB49D7">
        <w:rPr>
          <w:rFonts w:ascii="Times New Roman" w:hAnsi="Times New Roman"/>
        </w:rPr>
        <w:t xml:space="preserve">, Graham, eds.  </w:t>
      </w:r>
      <w:r w:rsidRPr="00EB49D7">
        <w:rPr>
          <w:rFonts w:ascii="Times New Roman" w:hAnsi="Times New Roman"/>
          <w:i/>
        </w:rPr>
        <w:t>The Future of the Survey of Income and Program Participation</w:t>
      </w:r>
      <w:r w:rsidRPr="00EB49D7">
        <w:rPr>
          <w:rFonts w:ascii="Times New Roman" w:hAnsi="Times New Roman"/>
        </w:rPr>
        <w:t>.  Washington, DC:  National Academy Press, 1993.</w:t>
      </w:r>
    </w:p>
    <w:p w:rsidR="00EB49D7" w:rsidRPr="00EB49D7" w:rsidP="00EB49D7" w14:paraId="29E9DBD2" w14:textId="77777777">
      <w:pPr>
        <w:spacing w:after="120"/>
        <w:ind w:left="720" w:hanging="720"/>
        <w:rPr>
          <w:rFonts w:ascii="Times New Roman" w:hAnsi="Times New Roman"/>
        </w:rPr>
      </w:pPr>
      <w:r w:rsidRPr="00EB49D7">
        <w:rPr>
          <w:rFonts w:ascii="Times New Roman" w:hAnsi="Times New Roman"/>
        </w:rPr>
        <w:t xml:space="preserve">Juster, F. Thomas and Kuester, Kathleen A.  “Differences in the Measurement of Wealth, Wealth Inequality and Wealth Composition Obtained from Alternative U.S. Wealth Surveys.”  </w:t>
      </w:r>
      <w:r w:rsidRPr="00EB49D7">
        <w:rPr>
          <w:rFonts w:ascii="Times New Roman" w:hAnsi="Times New Roman"/>
          <w:i/>
        </w:rPr>
        <w:t>Review of Income and Wealth</w:t>
      </w:r>
      <w:r w:rsidRPr="00EB49D7">
        <w:rPr>
          <w:rFonts w:ascii="Times New Roman" w:hAnsi="Times New Roman"/>
        </w:rPr>
        <w:t xml:space="preserve"> Series 37, Number 1 (March 1991):  33-62.</w:t>
      </w:r>
    </w:p>
    <w:p w:rsidR="000645C3" w:rsidP="000645C3" w14:paraId="1D54749F" w14:textId="7D66B6EA">
      <w:pPr>
        <w:ind w:left="720" w:hanging="720"/>
        <w:rPr>
          <w:rFonts w:ascii="Times New Roman" w:hAnsi="Times New Roman"/>
        </w:rPr>
      </w:pPr>
      <w:r w:rsidRPr="000645C3">
        <w:rPr>
          <w:rFonts w:ascii="Times New Roman" w:hAnsi="Times New Roman"/>
        </w:rPr>
        <w:t>National Academies of Sciences, Engineering, and Medicine. "Understanding the aging workforce: Defining a research Agenda." (2022).</w:t>
      </w:r>
    </w:p>
    <w:p w:rsidR="000645C3" w:rsidP="000645C3" w14:paraId="1B586F46" w14:textId="77777777">
      <w:pPr>
        <w:ind w:left="720" w:hanging="720"/>
        <w:rPr>
          <w:rFonts w:ascii="Times New Roman" w:hAnsi="Times New Roman"/>
        </w:rPr>
      </w:pPr>
    </w:p>
    <w:p w:rsidR="00EB49D7" w:rsidP="00EB49D7" w14:paraId="7D53DDD4" w14:textId="314ACAD7">
      <w:pPr>
        <w:ind w:left="720" w:hanging="720"/>
        <w:rPr>
          <w:rFonts w:ascii="Times New Roman" w:hAnsi="Times New Roman"/>
        </w:rPr>
      </w:pPr>
      <w:r w:rsidRPr="00EB49D7">
        <w:rPr>
          <w:rFonts w:ascii="Times New Roman" w:hAnsi="Times New Roman"/>
        </w:rPr>
        <w:t>Pergamit</w:t>
      </w:r>
      <w:r w:rsidRPr="00EB49D7">
        <w:rPr>
          <w:rFonts w:ascii="Times New Roman" w:hAnsi="Times New Roman"/>
        </w:rPr>
        <w:t>, Michael R., Charles R. Pierret, Donna S. Rothstein, and Jonathan R. Veum.  “Data Watch: The</w:t>
      </w:r>
      <w:r>
        <w:rPr>
          <w:rFonts w:ascii="Times New Roman" w:hAnsi="Times New Roman"/>
        </w:rPr>
        <w:t xml:space="preserve"> </w:t>
      </w:r>
      <w:r w:rsidRPr="00EB49D7">
        <w:rPr>
          <w:rFonts w:ascii="Times New Roman" w:hAnsi="Times New Roman"/>
        </w:rPr>
        <w:t xml:space="preserve">National Longitudinal Surveys.” </w:t>
      </w:r>
      <w:r w:rsidRPr="00EB49D7">
        <w:rPr>
          <w:rFonts w:ascii="Times New Roman" w:hAnsi="Times New Roman"/>
          <w:i/>
        </w:rPr>
        <w:t>Journal of Economic Perspectives</w:t>
      </w:r>
      <w:r w:rsidRPr="00EB49D7">
        <w:rPr>
          <w:rFonts w:ascii="Times New Roman" w:hAnsi="Times New Roman"/>
        </w:rPr>
        <w:t xml:space="preserve"> 15, 2 (Spring 2001): 239-253. </w:t>
      </w:r>
    </w:p>
    <w:p w:rsidR="00EB49D7" w:rsidRPr="00EB49D7" w:rsidP="00EB49D7" w14:paraId="2FA3476E" w14:textId="77777777">
      <w:pPr>
        <w:rPr>
          <w:rFonts w:ascii="Times New Roman" w:hAnsi="Times New Roman"/>
        </w:rPr>
      </w:pPr>
    </w:p>
    <w:p w:rsidR="00EB49D7" w:rsidRPr="00EB49D7" w:rsidP="00EB49D7" w14:paraId="52703956" w14:textId="6CDBD8E8">
      <w:pPr>
        <w:ind w:left="720" w:hanging="720"/>
        <w:rPr>
          <w:rFonts w:ascii="Times New Roman" w:hAnsi="Times New Roman"/>
        </w:rPr>
      </w:pPr>
      <w:r w:rsidRPr="00EB49D7">
        <w:rPr>
          <w:rFonts w:ascii="Times New Roman" w:hAnsi="Times New Roman"/>
        </w:rPr>
        <w:t>Taeuber</w:t>
      </w:r>
      <w:r w:rsidRPr="00EB49D7">
        <w:rPr>
          <w:rFonts w:ascii="Times New Roman" w:hAnsi="Times New Roman"/>
        </w:rPr>
        <w:t>, Richard C. and Rockwell, Richard C.  “National Social Data Series:  A Compendium of Brief</w:t>
      </w:r>
      <w:r>
        <w:rPr>
          <w:rFonts w:ascii="Times New Roman" w:hAnsi="Times New Roman"/>
        </w:rPr>
        <w:t xml:space="preserve"> </w:t>
      </w:r>
      <w:r w:rsidRPr="00EB49D7">
        <w:rPr>
          <w:rFonts w:ascii="Times New Roman" w:hAnsi="Times New Roman"/>
        </w:rPr>
        <w:t xml:space="preserve">Descriptions.”  </w:t>
      </w:r>
      <w:r w:rsidRPr="00EB49D7">
        <w:rPr>
          <w:rFonts w:ascii="Times New Roman" w:hAnsi="Times New Roman"/>
          <w:i/>
        </w:rPr>
        <w:t>Review of Public Data Use</w:t>
      </w:r>
      <w:r w:rsidRPr="00EB49D7">
        <w:rPr>
          <w:rFonts w:ascii="Times New Roman" w:hAnsi="Times New Roman"/>
        </w:rPr>
        <w:t xml:space="preserve"> 10, 1-2 (May 1982):  23-111.</w:t>
      </w:r>
    </w:p>
    <w:p w:rsidR="00EB49D7" w:rsidP="00B65823" w14:paraId="5A000183" w14:textId="77777777">
      <w:pPr>
        <w:widowControl/>
        <w:rPr>
          <w:rFonts w:ascii="Times New Roman" w:hAnsi="Times New Roman"/>
          <w:b/>
          <w:bCs/>
        </w:rPr>
      </w:pPr>
    </w:p>
    <w:p w:rsidR="00EB49D7" w:rsidP="00B65823" w14:paraId="32797F2B" w14:textId="77777777">
      <w:pPr>
        <w:widowControl/>
        <w:rPr>
          <w:rFonts w:ascii="Times New Roman" w:hAnsi="Times New Roman"/>
          <w:b/>
          <w:bCs/>
        </w:rPr>
      </w:pPr>
    </w:p>
    <w:p w:rsidR="00690F56" w:rsidRPr="00D53DEB" w:rsidP="00B65823" w14:paraId="686EF219" w14:textId="4D46DC2D">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0E099A9B">
      <w:pPr>
        <w:widowControl/>
        <w:rPr>
          <w:rFonts w:ascii="Times New Roman" w:hAnsi="Times New Roman"/>
        </w:rPr>
      </w:pPr>
    </w:p>
    <w:p w:rsidR="00EB49D7" w:rsidRPr="00A47DA7" w:rsidP="00B65823" w14:paraId="217CDA8B" w14:textId="7C152873">
      <w:pPr>
        <w:widowControl/>
        <w:rPr>
          <w:rFonts w:ascii="Times New Roman" w:hAnsi="Times New Roman"/>
        </w:rPr>
      </w:pPr>
      <w:r w:rsidRPr="00EB49D7">
        <w:rPr>
          <w:rFonts w:ascii="Times New Roman" w:hAnsi="Times New Roman"/>
        </w:rPr>
        <w:t>The NLSY79 is a survey of individuals in household and family units and therefore does not involve small organizations.</w:t>
      </w:r>
    </w:p>
    <w:p w:rsidR="00690F56" w:rsidP="00B65823" w14:paraId="5D56A05A" w14:textId="06F8B144">
      <w:pPr>
        <w:widowControl/>
        <w:rPr>
          <w:rFonts w:ascii="Times New Roman" w:hAnsi="Times New Roman"/>
        </w:rPr>
      </w:pPr>
    </w:p>
    <w:p w:rsidR="00EB49D7" w:rsidRPr="00A973AA" w:rsidP="00B65823" w14:paraId="0DB53FDE"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EB49D7" w:rsidP="00B65823" w14:paraId="7C4C2F67" w14:textId="77777777">
      <w:pPr>
        <w:widowControl/>
        <w:rPr>
          <w:rFonts w:ascii="Times New Roman" w:hAnsi="Times New Roman"/>
        </w:rPr>
      </w:pPr>
    </w:p>
    <w:p w:rsidR="00EB49D7" w:rsidRPr="00EB49D7" w:rsidP="00EB49D7" w14:paraId="4DB558A3" w14:textId="5278B2DB">
      <w:pPr>
        <w:rPr>
          <w:rFonts w:ascii="Times New Roman" w:hAnsi="Times New Roman"/>
        </w:rPr>
      </w:pPr>
      <w:r w:rsidRPr="00EB49D7">
        <w:rPr>
          <w:rFonts w:ascii="Times New Roman" w:hAnsi="Times New Roman"/>
        </w:rPr>
        <w:t xml:space="preserve">The core of the National Longitudinal Surveys is the focus on labor force behavior.  It is very difficult to reconstruct labor force behavior retrospectively and still maintain sufficient precision and data quality.  This is the single most important reason </w:t>
      </w:r>
      <w:r w:rsidR="00831082">
        <w:rPr>
          <w:rFonts w:ascii="Times New Roman" w:hAnsi="Times New Roman"/>
        </w:rPr>
        <w:t>the NLS</w:t>
      </w:r>
      <w:r w:rsidRPr="00EB49D7" w:rsidR="00831082">
        <w:rPr>
          <w:rFonts w:ascii="Times New Roman" w:hAnsi="Times New Roman"/>
        </w:rPr>
        <w:t xml:space="preserve"> </w:t>
      </w:r>
      <w:r w:rsidRPr="00EB49D7">
        <w:rPr>
          <w:rFonts w:ascii="Times New Roman" w:hAnsi="Times New Roman"/>
        </w:rPr>
        <w:t>strive</w:t>
      </w:r>
      <w:r w:rsidR="00831082">
        <w:rPr>
          <w:rFonts w:ascii="Times New Roman" w:hAnsi="Times New Roman"/>
        </w:rPr>
        <w:t>s</w:t>
      </w:r>
      <w:r w:rsidRPr="00EB49D7">
        <w:rPr>
          <w:rFonts w:ascii="Times New Roman" w:hAnsi="Times New Roman"/>
        </w:rPr>
        <w:t xml:space="preser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detailed occupations, job </w:t>
      </w:r>
      <w:r w:rsidRPr="00EB49D7">
        <w:rPr>
          <w:rFonts w:ascii="Times New Roman" w:hAnsi="Times New Roman"/>
        </w:rPr>
        <w:t>satisfaction, or other employment-related characteristics cannot be easily recalled.</w:t>
      </w:r>
    </w:p>
    <w:p w:rsidR="00EB49D7" w:rsidRPr="00EB49D7" w:rsidP="00EB49D7" w14:paraId="41163CCE" w14:textId="77777777">
      <w:pPr>
        <w:rPr>
          <w:rFonts w:ascii="Times New Roman" w:hAnsi="Times New Roman"/>
        </w:rPr>
      </w:pPr>
    </w:p>
    <w:p w:rsidR="00EB49D7" w:rsidRPr="00EB49D7" w:rsidP="00EB49D7" w14:paraId="0D2791A4" w14:textId="77777777">
      <w:pPr>
        <w:rPr>
          <w:rFonts w:ascii="Times New Roman" w:hAnsi="Times New Roman"/>
        </w:rPr>
      </w:pPr>
      <w:r w:rsidRPr="00EB49D7">
        <w:rPr>
          <w:rFonts w:ascii="Times New Roman" w:hAnsi="Times New Roman"/>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rsidR="00EB49D7" w:rsidRPr="00EB49D7" w:rsidP="00EB49D7" w14:paraId="420AFC25" w14:textId="77777777">
      <w:pPr>
        <w:rPr>
          <w:rFonts w:ascii="Times New Roman" w:hAnsi="Times New Roman"/>
        </w:rPr>
      </w:pPr>
    </w:p>
    <w:p w:rsidR="00EB49D7" w:rsidRPr="00EB49D7" w:rsidP="005E21FE" w14:paraId="3A7800CB" w14:textId="0B19A1D5">
      <w:pPr>
        <w:widowControl/>
        <w:rPr>
          <w:rFonts w:ascii="Times New Roman" w:hAnsi="Times New Roman"/>
        </w:rPr>
      </w:pPr>
      <w:r w:rsidRPr="00EB49D7">
        <w:rPr>
          <w:rFonts w:ascii="Times New Roman" w:hAnsi="Times New Roman"/>
        </w:rPr>
        <w:t xml:space="preserve">The precise timing and dating of demographic, socio-economic, and employment events, so crucial to most labor force analysis, is in most instances impossible to reconstruct accurately through retrospective data collection that extends very far into the past.  For example, </w:t>
      </w:r>
      <w:r w:rsidR="007A653C">
        <w:rPr>
          <w:rFonts w:ascii="Times New Roman" w:hAnsi="Times New Roman"/>
        </w:rPr>
        <w:t>there is</w:t>
      </w:r>
      <w:r w:rsidRPr="00EB49D7">
        <w:rPr>
          <w:rFonts w:ascii="Times New Roman" w:hAnsi="Times New Roman"/>
        </w:rPr>
        <w:t xml:space="preser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rsidR="00EB49D7" w:rsidRPr="00EB49D7" w:rsidP="00EB49D7" w14:paraId="28C32E0F" w14:textId="77777777">
      <w:pPr>
        <w:rPr>
          <w:rFonts w:ascii="Times New Roman" w:hAnsi="Times New Roman"/>
        </w:rPr>
      </w:pPr>
    </w:p>
    <w:p w:rsidR="00EB49D7" w:rsidRPr="00EB49D7" w:rsidP="00EB49D7" w14:paraId="62CAC5C5" w14:textId="744C98C4">
      <w:pPr>
        <w:rPr>
          <w:rFonts w:ascii="Times New Roman" w:hAnsi="Times New Roman"/>
        </w:rPr>
      </w:pPr>
      <w:r w:rsidRPr="00EB49D7">
        <w:rPr>
          <w:rFonts w:ascii="Times New Roman" w:hAnsi="Times New Roman"/>
        </w:rPr>
        <w:t xml:space="preserve">Finally, it is important to emphasize that information of a subjective nature can only be accurately reported and collected on a contemporaneous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w:t>
      </w:r>
    </w:p>
    <w:p w:rsidR="00EB49D7" w:rsidRPr="00EB49D7" w:rsidP="00EB49D7" w14:paraId="18120BFB" w14:textId="77777777">
      <w:pPr>
        <w:rPr>
          <w:rFonts w:ascii="Times New Roman" w:hAnsi="Times New Roman"/>
        </w:rPr>
      </w:pPr>
    </w:p>
    <w:p w:rsidR="00EB49D7" w:rsidRPr="00EB49D7" w:rsidP="00EB49D7" w14:paraId="076267DD" w14:textId="77777777">
      <w:pPr>
        <w:rPr>
          <w:rFonts w:ascii="Times New Roman" w:hAnsi="Times New Roman"/>
        </w:rPr>
      </w:pPr>
      <w:r w:rsidRPr="00EB49D7">
        <w:rPr>
          <w:rFonts w:ascii="Times New Roman" w:hAnsi="Times New Roman"/>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rsidR="00EB49D7" w:rsidRPr="00EB49D7" w:rsidP="00EB49D7" w14:paraId="65374E4B" w14:textId="77777777">
      <w:pPr>
        <w:rPr>
          <w:rFonts w:ascii="Times New Roman" w:hAnsi="Times New Roman"/>
        </w:rPr>
      </w:pPr>
    </w:p>
    <w:p w:rsidR="00EB49D7" w:rsidRPr="00EB49D7" w:rsidP="00EB49D7" w14:paraId="15C37841" w14:textId="6E864E03">
      <w:pPr>
        <w:rPr>
          <w:rFonts w:ascii="Times New Roman" w:hAnsi="Times New Roman"/>
        </w:rPr>
      </w:pPr>
      <w:r w:rsidRPr="00EB49D7">
        <w:rPr>
          <w:rFonts w:ascii="Times New Roman" w:hAnsi="Times New Roman"/>
        </w:rPr>
        <w:t xml:space="preserve">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t>
      </w:r>
      <w:r w:rsidR="00D1393E">
        <w:rPr>
          <w:rFonts w:ascii="Times New Roman" w:hAnsi="Times New Roman"/>
        </w:rPr>
        <w:t>NLS</w:t>
      </w:r>
      <w:r w:rsidRPr="00EB49D7" w:rsidR="00D1393E">
        <w:rPr>
          <w:rFonts w:ascii="Times New Roman" w:hAnsi="Times New Roman"/>
        </w:rPr>
        <w:t xml:space="preserve"> </w:t>
      </w:r>
      <w:r w:rsidRPr="00EB49D7">
        <w:rPr>
          <w:rFonts w:ascii="Times New Roman" w:hAnsi="Times New Roman"/>
        </w:rPr>
        <w:t xml:space="preserve">examined the respondents’ reports on experiences between the 1992 and 1993 interviews using information from their 1993 and </w:t>
      </w:r>
      <w:r w:rsidRPr="00EB49D7">
        <w:rPr>
          <w:rFonts w:ascii="Times New Roman" w:hAnsi="Times New Roman"/>
        </w:rPr>
        <w:t>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rsidR="00EB49D7" w:rsidRPr="00EB49D7" w:rsidP="00EB49D7" w14:paraId="06E90366" w14:textId="77777777">
      <w:pPr>
        <w:rPr>
          <w:rFonts w:ascii="Times New Roman" w:hAnsi="Times New Roman"/>
        </w:rPr>
      </w:pPr>
    </w:p>
    <w:p w:rsidR="00EB49D7" w:rsidRPr="00EB49D7" w:rsidP="00EB49D7" w14:paraId="343412DB" w14:textId="7B724E0D">
      <w:pPr>
        <w:rPr>
          <w:rFonts w:ascii="Times New Roman" w:hAnsi="Times New Roman"/>
        </w:rPr>
      </w:pPr>
      <w:r w:rsidRPr="00EB49D7">
        <w:rPr>
          <w:rFonts w:ascii="Times New Roman" w:hAnsi="Times New Roman"/>
        </w:rPr>
        <w:t xml:space="preserve">A second potential problem caused by the move to a biennial interview is a decline in </w:t>
      </w:r>
      <w:r w:rsidR="00831082">
        <w:rPr>
          <w:rFonts w:ascii="Times New Roman" w:hAnsi="Times New Roman"/>
        </w:rPr>
        <w:t>NLS’s</w:t>
      </w:r>
      <w:r w:rsidRPr="00EB49D7" w:rsidR="00831082">
        <w:rPr>
          <w:rFonts w:ascii="Times New Roman" w:hAnsi="Times New Roman"/>
        </w:rPr>
        <w:t xml:space="preserve"> </w:t>
      </w:r>
      <w:r w:rsidRPr="00EB49D7">
        <w:rPr>
          <w:rFonts w:ascii="Times New Roman" w:hAnsi="Times New Roman"/>
        </w:rPr>
        <w:t xml:space="preserve">ability to locate respondents who move.  </w:t>
      </w:r>
      <w:r w:rsidR="00EA5AC0">
        <w:rPr>
          <w:rFonts w:ascii="Times New Roman" w:hAnsi="Times New Roman"/>
        </w:rPr>
        <w:t>NLS has</w:t>
      </w:r>
      <w:r w:rsidRPr="00EB49D7">
        <w:rPr>
          <w:rFonts w:ascii="Times New Roman" w:hAnsi="Times New Roman"/>
        </w:rPr>
        <w:t xml:space="preserve"> been able to compensate for this so far, but a change to less frequent interviewing would likely have a more negative impact.</w:t>
      </w:r>
    </w:p>
    <w:p w:rsidR="00F55431" w:rsidP="00B65823" w14:paraId="21BDEEF7" w14:textId="7D5FEA08">
      <w:pPr>
        <w:widowControl/>
        <w:rPr>
          <w:rFonts w:ascii="Times New Roman" w:hAnsi="Times New Roman"/>
        </w:rPr>
      </w:pPr>
    </w:p>
    <w:p w:rsidR="00070C48" w:rsidRPr="00A47DA7" w:rsidP="00B65823" w14:paraId="1833E2F9"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690F56" w:rsidP="00B65823" w14:paraId="186CBA80" w14:textId="5B97657A">
      <w:pPr>
        <w:widowControl/>
        <w:rPr>
          <w:rFonts w:ascii="Times New Roman" w:hAnsi="Times New Roman"/>
        </w:rPr>
      </w:pPr>
      <w:r w:rsidRPr="00EB49D7">
        <w:rPr>
          <w:rFonts w:ascii="Times New Roman" w:hAnsi="Times New Roman"/>
        </w:rPr>
        <w:t>None of the listed special circumstances apply.</w:t>
      </w:r>
    </w:p>
    <w:p w:rsidR="00EB49D7" w:rsidP="00B65823" w14:paraId="5A1CEFEE" w14:textId="232D6BE8">
      <w:pPr>
        <w:widowControl/>
        <w:rPr>
          <w:rFonts w:ascii="Times New Roman" w:hAnsi="Times New Roman"/>
        </w:rPr>
      </w:pPr>
    </w:p>
    <w:p w:rsidR="00EB49D7" w:rsidRPr="00871CA6" w:rsidP="00B65823" w14:paraId="20917315"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D44AD1" w:rsidRPr="00820906" w:rsidP="00D44AD1" w14:paraId="215F16BA" w14:textId="0BDD5E26">
      <w:pPr>
        <w:widowControl/>
        <w:autoSpaceDE/>
        <w:autoSpaceDN/>
        <w:adjustRightInd/>
        <w:rPr>
          <w:rFonts w:ascii="Times New Roman" w:eastAsia="Calibri" w:hAnsi="Times New Roman"/>
        </w:rPr>
      </w:pPr>
      <w:r w:rsidRPr="00820906">
        <w:rPr>
          <w:rFonts w:ascii="Times New Roman" w:eastAsia="Calibri" w:hAnsi="Times New Roman"/>
        </w:rPr>
        <w:t xml:space="preserve">No public comments were received as a result of the Federal Register notice published in </w:t>
      </w:r>
      <w:r w:rsidR="00E33867">
        <w:rPr>
          <w:rFonts w:ascii="Times New Roman" w:eastAsia="Calibri" w:hAnsi="Times New Roman"/>
        </w:rPr>
        <w:t>89</w:t>
      </w:r>
      <w:r w:rsidRPr="00820906">
        <w:rPr>
          <w:rFonts w:ascii="Times New Roman" w:eastAsia="Calibri" w:hAnsi="Times New Roman"/>
        </w:rPr>
        <w:t xml:space="preserve"> FR </w:t>
      </w:r>
      <w:r w:rsidR="00E33867">
        <w:rPr>
          <w:rFonts w:ascii="Times New Roman" w:eastAsia="Calibri" w:hAnsi="Times New Roman"/>
        </w:rPr>
        <w:t>11317</w:t>
      </w:r>
      <w:r w:rsidRPr="00820906">
        <w:rPr>
          <w:rFonts w:ascii="Times New Roman" w:eastAsia="Calibri" w:hAnsi="Times New Roman"/>
        </w:rPr>
        <w:t xml:space="preserve">, on </w:t>
      </w:r>
      <w:r w:rsidR="00E33867">
        <w:rPr>
          <w:rFonts w:ascii="Times New Roman" w:eastAsia="Calibri" w:hAnsi="Times New Roman"/>
        </w:rPr>
        <w:t>February 14,</w:t>
      </w:r>
      <w:r w:rsidRPr="00820906">
        <w:rPr>
          <w:rFonts w:ascii="Times New Roman" w:eastAsia="Calibri" w:hAnsi="Times New Roman"/>
        </w:rPr>
        <w:t xml:space="preserve"> 20</w:t>
      </w:r>
      <w:r>
        <w:rPr>
          <w:rFonts w:ascii="Times New Roman" w:eastAsia="Calibri" w:hAnsi="Times New Roman"/>
        </w:rPr>
        <w:t>24</w:t>
      </w:r>
      <w:r w:rsidRPr="00820906">
        <w:rPr>
          <w:rFonts w:ascii="Times New Roman" w:eastAsia="Calibri" w:hAnsi="Times New Roman"/>
        </w:rPr>
        <w:t>.</w:t>
      </w:r>
    </w:p>
    <w:p w:rsidR="00F85F1E" w:rsidRPr="00820906" w:rsidP="00820906" w14:paraId="11D4FE18" w14:textId="77777777">
      <w:pPr>
        <w:widowControl/>
        <w:autoSpaceDE/>
        <w:autoSpaceDN/>
        <w:adjustRightInd/>
        <w:rPr>
          <w:rFonts w:ascii="Times New Roman" w:eastAsia="Calibri" w:hAnsi="Times New Roman"/>
        </w:rPr>
      </w:pPr>
    </w:p>
    <w:p w:rsidR="00820906" w:rsidRPr="00820906" w:rsidP="00820906" w14:paraId="7D8CD4FD" w14:textId="77777777">
      <w:pPr>
        <w:widowControl/>
        <w:autoSpaceDE/>
        <w:autoSpaceDN/>
        <w:adjustRightInd/>
        <w:rPr>
          <w:rFonts w:ascii="Times New Roman" w:eastAsia="Calibri" w:hAnsi="Times New Roman"/>
        </w:rPr>
      </w:pPr>
      <w:r w:rsidRPr="00820906">
        <w:rPr>
          <w:rFonts w:ascii="Times New Roman" w:eastAsia="Calibri" w:hAnsi="Times New Roman"/>
        </w:rPr>
        <w:t>There have been numerous consultations regarding the NLSY79.  Preceding the first round of the NLSY79, the Social Science Research Council (SSRC) sponsored a conference at which academic researchers from a broad spectrum of fields were invited to present their views regarding the value of initiating a longitudinal youth survey and what the content of the survey should include.  The initial survey development drew heavily on the suggestions made at this conference, which were published in a proceeding under the auspices of the SSRC.</w:t>
      </w:r>
    </w:p>
    <w:p w:rsidR="00820906" w:rsidRPr="00820906" w:rsidP="00820906" w14:paraId="1ED3DF51" w14:textId="77777777">
      <w:pPr>
        <w:widowControl/>
        <w:autoSpaceDE/>
        <w:autoSpaceDN/>
        <w:adjustRightInd/>
        <w:rPr>
          <w:rFonts w:ascii="Times New Roman" w:eastAsia="Calibri" w:hAnsi="Times New Roman"/>
        </w:rPr>
      </w:pPr>
    </w:p>
    <w:p w:rsidR="00820906" w:rsidRPr="00820906" w:rsidP="00820906" w14:paraId="412AE9C9" w14:textId="77777777">
      <w:pPr>
        <w:widowControl/>
        <w:autoSpaceDE/>
        <w:autoSpaceDN/>
        <w:adjustRightInd/>
        <w:rPr>
          <w:rFonts w:ascii="Times New Roman" w:eastAsia="Calibri" w:hAnsi="Times New Roman"/>
        </w:rPr>
      </w:pPr>
      <w:r w:rsidRPr="00820906">
        <w:rPr>
          <w:rFonts w:ascii="Times New Roman" w:eastAsia="Calibri" w:hAnsi="Times New Roman"/>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rsidR="00820906" w:rsidRPr="00820906" w:rsidP="00820906" w14:paraId="2657A92D" w14:textId="77777777">
      <w:pPr>
        <w:widowControl/>
        <w:autoSpaceDE/>
        <w:autoSpaceDN/>
        <w:adjustRightInd/>
        <w:rPr>
          <w:rFonts w:ascii="Times New Roman" w:eastAsia="Calibri" w:hAnsi="Times New Roman"/>
        </w:rPr>
      </w:pPr>
    </w:p>
    <w:p w:rsidR="00820906" w:rsidRPr="00820906" w:rsidP="00820906" w14:paraId="0C01DF12" w14:textId="75BD15D3">
      <w:pPr>
        <w:widowControl/>
        <w:autoSpaceDE/>
        <w:autoSpaceDN/>
        <w:adjustRightInd/>
        <w:rPr>
          <w:rFonts w:ascii="Times New Roman" w:eastAsia="Calibri" w:hAnsi="Times New Roman"/>
        </w:rPr>
      </w:pPr>
      <w:r w:rsidRPr="00820906">
        <w:rPr>
          <w:rFonts w:ascii="Times New Roman" w:eastAsia="Calibri" w:hAnsi="Times New Roman"/>
        </w:rPr>
        <w:t xml:space="preserve">Also, on a continuing basis, BLS and its contractors encourage NLS data users to suggest ways in which the quality of the data can be improved and to suggest additional data elements that should be considered for inclusion in subsequent rounds.  </w:t>
      </w:r>
      <w:r w:rsidR="002B6D7E">
        <w:rPr>
          <w:rFonts w:ascii="Times New Roman" w:eastAsia="Calibri" w:hAnsi="Times New Roman"/>
        </w:rPr>
        <w:t>NLS</w:t>
      </w:r>
      <w:r w:rsidRPr="00820906" w:rsidR="002B6D7E">
        <w:rPr>
          <w:rFonts w:ascii="Times New Roman" w:eastAsia="Calibri" w:hAnsi="Times New Roman"/>
        </w:rPr>
        <w:t xml:space="preserve"> </w:t>
      </w:r>
      <w:r w:rsidRPr="00820906">
        <w:rPr>
          <w:rFonts w:ascii="Times New Roman" w:eastAsia="Calibri" w:hAnsi="Times New Roman"/>
        </w:rPr>
        <w:t>encourage</w:t>
      </w:r>
      <w:r w:rsidR="002B6D7E">
        <w:rPr>
          <w:rFonts w:ascii="Times New Roman" w:eastAsia="Calibri" w:hAnsi="Times New Roman"/>
        </w:rPr>
        <w:t>s</w:t>
      </w:r>
      <w:r w:rsidRPr="00820906">
        <w:rPr>
          <w:rFonts w:ascii="Times New Roman" w:eastAsia="Calibri" w:hAnsi="Times New Roman"/>
        </w:rPr>
        <w:t xml:space="preserve"> this feedback through the public information office of each organization and through the ‘Suggested Questions for Future NLSY Surveys’ (available online at </w:t>
      </w:r>
      <w:hyperlink r:id="rId11" w:history="1">
        <w:r w:rsidRPr="00BD0DC6" w:rsidR="002D3D89">
          <w:rPr>
            <w:rStyle w:val="Hyperlink"/>
            <w:rFonts w:ascii="Times New Roman" w:eastAsia="Calibri" w:hAnsi="Times New Roman"/>
          </w:rPr>
          <w:t>https://www.nlsinfo.org/nlsy-user-initiated-questions</w:t>
        </w:r>
      </w:hyperlink>
      <w:r w:rsidRPr="00820906">
        <w:rPr>
          <w:rFonts w:ascii="Times New Roman" w:eastAsia="Calibri" w:hAnsi="Times New Roman"/>
        </w:rPr>
        <w:t>).</w:t>
      </w:r>
    </w:p>
    <w:p w:rsidR="00820906" w:rsidRPr="00820906" w:rsidP="00820906" w14:paraId="3ED76019" w14:textId="77777777">
      <w:pPr>
        <w:widowControl/>
        <w:autoSpaceDE/>
        <w:autoSpaceDN/>
        <w:adjustRightInd/>
        <w:rPr>
          <w:rFonts w:ascii="Times New Roman" w:eastAsia="Calibri" w:hAnsi="Times New Roman"/>
        </w:rPr>
      </w:pPr>
    </w:p>
    <w:p w:rsidR="00820906" w:rsidRPr="00820906" w:rsidP="00820906" w14:paraId="678E7F83" w14:textId="7F12B677">
      <w:pPr>
        <w:widowControl/>
        <w:autoSpaceDE/>
        <w:autoSpaceDN/>
        <w:adjustRightInd/>
        <w:rPr>
          <w:rFonts w:ascii="Times New Roman" w:eastAsia="Calibri" w:hAnsi="Times New Roman"/>
        </w:rPr>
      </w:pPr>
      <w:r w:rsidRPr="00820906">
        <w:rPr>
          <w:rFonts w:ascii="Times New Roman" w:eastAsia="Calibri" w:hAnsi="Times New Roman"/>
        </w:rPr>
        <w:t xml:space="preserve">Individuals from other Federal agencies who were consulted regarding the content of the </w:t>
      </w:r>
      <w:r w:rsidRPr="00820906" w:rsidR="00D44AD1">
        <w:rPr>
          <w:rFonts w:ascii="Times New Roman" w:eastAsia="Calibri" w:hAnsi="Times New Roman"/>
        </w:rPr>
        <w:t>202</w:t>
      </w:r>
      <w:r w:rsidR="00D44AD1">
        <w:rPr>
          <w:rFonts w:ascii="Times New Roman" w:eastAsia="Calibri" w:hAnsi="Times New Roman"/>
        </w:rPr>
        <w:t>4</w:t>
      </w:r>
      <w:r w:rsidRPr="00820906" w:rsidR="00D44AD1">
        <w:rPr>
          <w:rFonts w:ascii="Times New Roman" w:eastAsia="Calibri" w:hAnsi="Times New Roman"/>
        </w:rPr>
        <w:t xml:space="preserve"> </w:t>
      </w:r>
      <w:r w:rsidRPr="00820906">
        <w:rPr>
          <w:rFonts w:ascii="Times New Roman" w:eastAsia="Calibri" w:hAnsi="Times New Roman"/>
        </w:rPr>
        <w:t>survey include:</w:t>
      </w:r>
    </w:p>
    <w:p w:rsidR="00820906" w:rsidRPr="00820906" w:rsidP="00820906" w14:paraId="60BEBC06" w14:textId="77777777">
      <w:pPr>
        <w:widowControl/>
        <w:autoSpaceDE/>
        <w:autoSpaceDN/>
        <w:adjustRightInd/>
        <w:rPr>
          <w:rFonts w:ascii="Times New Roman" w:eastAsia="Calibri" w:hAnsi="Times New Roman"/>
        </w:rPr>
      </w:pPr>
    </w:p>
    <w:p w:rsidR="00820906" w:rsidRPr="00820906" w:rsidP="00820906" w14:paraId="5F5A1DBD" w14:textId="77777777">
      <w:pPr>
        <w:widowControl/>
        <w:autoSpaceDE/>
        <w:autoSpaceDN/>
        <w:adjustRightInd/>
        <w:rPr>
          <w:rFonts w:ascii="Times New Roman" w:eastAsia="Calibri" w:hAnsi="Times New Roman"/>
        </w:rPr>
      </w:pPr>
      <w:r w:rsidRPr="00820906">
        <w:rPr>
          <w:rFonts w:ascii="Times New Roman" w:eastAsia="Calibri" w:hAnsi="Times New Roman"/>
        </w:rPr>
        <w:t>John Phillips</w:t>
      </w:r>
    </w:p>
    <w:p w:rsidR="00820906" w:rsidRPr="00820906" w:rsidP="00820906" w14:paraId="1F33C2D7" w14:textId="77777777">
      <w:pPr>
        <w:widowControl/>
        <w:autoSpaceDE/>
        <w:autoSpaceDN/>
        <w:adjustRightInd/>
        <w:rPr>
          <w:rFonts w:ascii="Times New Roman" w:eastAsia="Calibri" w:hAnsi="Times New Roman"/>
        </w:rPr>
      </w:pPr>
      <w:r w:rsidRPr="00820906">
        <w:rPr>
          <w:rFonts w:ascii="Times New Roman" w:eastAsia="Calibri" w:hAnsi="Times New Roman"/>
        </w:rPr>
        <w:t>Chief, Population and Social Processes Branch</w:t>
      </w:r>
    </w:p>
    <w:p w:rsidR="00820906" w:rsidRPr="00820906" w:rsidP="00820906" w14:paraId="1FC66A27" w14:textId="77777777">
      <w:pPr>
        <w:widowControl/>
        <w:autoSpaceDE/>
        <w:autoSpaceDN/>
        <w:adjustRightInd/>
        <w:rPr>
          <w:rFonts w:ascii="Times New Roman" w:eastAsia="Calibri" w:hAnsi="Times New Roman"/>
        </w:rPr>
      </w:pPr>
      <w:r w:rsidRPr="00820906">
        <w:rPr>
          <w:rFonts w:ascii="Times New Roman" w:eastAsia="Calibri" w:hAnsi="Times New Roman"/>
        </w:rPr>
        <w:t>Division of Behavioral and Social Research</w:t>
      </w:r>
    </w:p>
    <w:p w:rsidR="00820906" w:rsidRPr="00820906" w:rsidP="00820906" w14:paraId="19E32EEA" w14:textId="77777777">
      <w:pPr>
        <w:widowControl/>
        <w:autoSpaceDE/>
        <w:autoSpaceDN/>
        <w:adjustRightInd/>
        <w:rPr>
          <w:rFonts w:ascii="Times New Roman" w:eastAsia="Calibri" w:hAnsi="Times New Roman"/>
        </w:rPr>
      </w:pPr>
      <w:r w:rsidRPr="00820906">
        <w:rPr>
          <w:rFonts w:ascii="Times New Roman" w:eastAsia="Calibri" w:hAnsi="Times New Roman"/>
        </w:rPr>
        <w:t>National Institute on Aging</w:t>
      </w:r>
    </w:p>
    <w:p w:rsidR="00820906" w:rsidP="00B65823" w14:paraId="54D9E260" w14:textId="545AFC5C">
      <w:pPr>
        <w:widowControl/>
        <w:autoSpaceDE/>
        <w:autoSpaceDN/>
        <w:adjustRightInd/>
        <w:rPr>
          <w:rFonts w:ascii="Times New Roman" w:eastAsia="Calibri" w:hAnsi="Times New Roman"/>
        </w:rPr>
      </w:pPr>
    </w:p>
    <w:p w:rsidR="0043772B" w:rsidRPr="0043772B" w:rsidP="0043772B" w14:paraId="39E8C6C2" w14:textId="77777777">
      <w:pPr>
        <w:rPr>
          <w:rFonts w:ascii="Times New Roman" w:eastAsia="Calibri" w:hAnsi="Times New Roman"/>
        </w:rPr>
      </w:pPr>
      <w:r w:rsidRPr="0043772B">
        <w:rPr>
          <w:rFonts w:ascii="Times New Roman" w:eastAsia="Calibri" w:hAnsi="Times New Roman"/>
        </w:rPr>
        <w:t>The NLS program has a Technical Review Committee that advises BLS and its contractors on questionnaire content and long-term objectives.  The committee typically meets twice a year.  Table 2 below shows the current members of the committee.</w:t>
      </w:r>
    </w:p>
    <w:p w:rsidR="0043772B" w:rsidP="00B65823" w14:paraId="777B93CD" w14:textId="2A3FD2C0">
      <w:pPr>
        <w:widowControl/>
        <w:autoSpaceDE/>
        <w:autoSpaceDN/>
        <w:adjustRightInd/>
        <w:rPr>
          <w:rFonts w:ascii="Times New Roman" w:eastAsia="Calibri" w:hAnsi="Times New Roman"/>
        </w:rPr>
      </w:pPr>
    </w:p>
    <w:p w:rsidR="0043772B" w:rsidRPr="0043772B" w:rsidP="0043772B" w14:paraId="0724D75D" w14:textId="77777777">
      <w:pPr>
        <w:widowControl/>
        <w:autoSpaceDE/>
        <w:autoSpaceDN/>
        <w:adjustRightInd/>
        <w:rPr>
          <w:rFonts w:ascii="Times New Roman" w:eastAsia="Calibri" w:hAnsi="Times New Roman"/>
          <w:b/>
        </w:rPr>
      </w:pPr>
    </w:p>
    <w:p w:rsidR="0043772B" w:rsidRPr="0043772B" w:rsidP="0043772B" w14:paraId="2B66C0A9" w14:textId="4F5BDECE">
      <w:pPr>
        <w:widowControl/>
        <w:autoSpaceDE/>
        <w:autoSpaceDN/>
        <w:adjustRightInd/>
        <w:rPr>
          <w:rFonts w:ascii="Times New Roman" w:eastAsia="Calibri" w:hAnsi="Times New Roman"/>
          <w:b/>
        </w:rPr>
      </w:pPr>
      <w:r w:rsidRPr="0043772B">
        <w:rPr>
          <w:rFonts w:ascii="Times New Roman" w:eastAsia="Calibri" w:hAnsi="Times New Roman"/>
          <w:b/>
        </w:rPr>
        <w:t>Table 2.  National Longitudinal Surveys Technical Review Committee (December 2021)</w:t>
      </w:r>
    </w:p>
    <w:p w:rsidR="0043772B" w:rsidRPr="0043772B" w:rsidP="0043772B" w14:paraId="1FF9DDE0" w14:textId="77777777">
      <w:pPr>
        <w:widowControl/>
        <w:autoSpaceDE/>
        <w:autoSpaceDN/>
        <w:adjustRightInd/>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169"/>
        <w:gridCol w:w="3126"/>
        <w:gridCol w:w="3055"/>
      </w:tblGrid>
      <w:tr w14:paraId="4401B2F6" w14:textId="77777777" w:rsidTr="00C637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Ex>
        <w:trPr>
          <w:jc w:val="center"/>
        </w:trPr>
        <w:tc>
          <w:tcPr>
            <w:tcW w:w="3169" w:type="dxa"/>
          </w:tcPr>
          <w:p w:rsidR="0043772B" w:rsidRPr="0043772B" w:rsidP="0043772B" w14:paraId="4FC1A2FB" w14:textId="77777777">
            <w:pPr>
              <w:widowControl/>
              <w:autoSpaceDE/>
              <w:autoSpaceDN/>
              <w:adjustRightInd/>
              <w:rPr>
                <w:rFonts w:ascii="Times New Roman" w:eastAsia="Calibri" w:hAnsi="Times New Roman"/>
                <w:b/>
              </w:rPr>
            </w:pPr>
            <w:r w:rsidRPr="0043772B">
              <w:rPr>
                <w:rFonts w:ascii="Times New Roman" w:eastAsia="Calibri" w:hAnsi="Times New Roman"/>
                <w:b/>
              </w:rPr>
              <w:t>Fenaba Addo</w:t>
            </w:r>
          </w:p>
          <w:p w:rsidR="0043772B" w:rsidRPr="0043772B" w:rsidP="0043772B" w14:paraId="6BBD8434" w14:textId="6E1A39B8">
            <w:pPr>
              <w:widowControl/>
              <w:autoSpaceDE/>
              <w:autoSpaceDN/>
              <w:adjustRightInd/>
              <w:rPr>
                <w:rFonts w:ascii="Times New Roman" w:eastAsia="Calibri" w:hAnsi="Times New Roman"/>
              </w:rPr>
            </w:pPr>
            <w:r w:rsidRPr="0043772B">
              <w:rPr>
                <w:rFonts w:ascii="Times New Roman" w:eastAsia="Calibri" w:hAnsi="Times New Roman"/>
              </w:rPr>
              <w:t>Department of Public Policy and</w:t>
            </w:r>
            <w:r>
              <w:rPr>
                <w:rFonts w:ascii="Times New Roman" w:eastAsia="Calibri" w:hAnsi="Times New Roman"/>
              </w:rPr>
              <w:t xml:space="preserve"> </w:t>
            </w:r>
            <w:r w:rsidRPr="0043772B">
              <w:rPr>
                <w:rFonts w:ascii="Times New Roman" w:eastAsia="Calibri" w:hAnsi="Times New Roman"/>
              </w:rPr>
              <w:t>Department of Sociology</w:t>
            </w:r>
          </w:p>
          <w:p w:rsidR="0043772B" w:rsidRPr="0043772B" w:rsidP="0043772B" w14:paraId="6085AA09" w14:textId="407E2FE5">
            <w:pPr>
              <w:widowControl/>
              <w:autoSpaceDE/>
              <w:autoSpaceDN/>
              <w:adjustRightInd/>
              <w:rPr>
                <w:rFonts w:ascii="Times New Roman" w:eastAsia="Calibri" w:hAnsi="Times New Roman"/>
              </w:rPr>
            </w:pPr>
            <w:r w:rsidRPr="0043772B">
              <w:rPr>
                <w:rFonts w:ascii="Times New Roman" w:eastAsia="Calibri" w:hAnsi="Times New Roman"/>
              </w:rPr>
              <w:t xml:space="preserve">University of North Carolina, Chapel Hill </w:t>
            </w:r>
          </w:p>
        </w:tc>
        <w:tc>
          <w:tcPr>
            <w:tcW w:w="3126" w:type="dxa"/>
          </w:tcPr>
          <w:p w:rsidR="0043772B" w:rsidRPr="0043772B" w:rsidP="0043772B" w14:paraId="02D911E3" w14:textId="77777777">
            <w:pPr>
              <w:widowControl/>
              <w:autoSpaceDE/>
              <w:autoSpaceDN/>
              <w:adjustRightInd/>
              <w:rPr>
                <w:rFonts w:ascii="Times New Roman" w:eastAsia="Calibri" w:hAnsi="Times New Roman"/>
                <w:b/>
              </w:rPr>
            </w:pPr>
            <w:r w:rsidRPr="0043772B">
              <w:rPr>
                <w:rFonts w:ascii="Times New Roman" w:eastAsia="Calibri" w:hAnsi="Times New Roman"/>
                <w:b/>
              </w:rPr>
              <w:t>Jennie Brand</w:t>
            </w:r>
          </w:p>
          <w:p w:rsidR="0043772B" w:rsidRPr="0043772B" w:rsidP="0043772B" w14:paraId="5C8FD32E"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Sociology and</w:t>
            </w:r>
          </w:p>
          <w:p w:rsidR="0043772B" w:rsidRPr="0043772B" w:rsidP="0043772B" w14:paraId="14A581E1"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Statistics</w:t>
            </w:r>
          </w:p>
          <w:p w:rsidR="0043772B" w:rsidRPr="0043772B" w:rsidP="0043772B" w14:paraId="0448348D" w14:textId="7B3C555F">
            <w:pPr>
              <w:widowControl/>
              <w:autoSpaceDE/>
              <w:autoSpaceDN/>
              <w:adjustRightInd/>
              <w:rPr>
                <w:rFonts w:ascii="Times New Roman" w:eastAsia="Calibri" w:hAnsi="Times New Roman"/>
              </w:rPr>
            </w:pPr>
            <w:r w:rsidRPr="0043772B">
              <w:rPr>
                <w:rFonts w:ascii="Times New Roman" w:eastAsia="Calibri" w:hAnsi="Times New Roman"/>
              </w:rPr>
              <w:t>University of California, Los Angele</w:t>
            </w:r>
            <w:r>
              <w:rPr>
                <w:rFonts w:ascii="Times New Roman" w:eastAsia="Calibri" w:hAnsi="Times New Roman"/>
              </w:rPr>
              <w:t>s</w:t>
            </w:r>
          </w:p>
        </w:tc>
        <w:tc>
          <w:tcPr>
            <w:tcW w:w="3055" w:type="dxa"/>
          </w:tcPr>
          <w:p w:rsidR="0043772B" w:rsidRPr="0043772B" w:rsidP="0043772B" w14:paraId="6114C86F" w14:textId="77777777">
            <w:pPr>
              <w:widowControl/>
              <w:autoSpaceDE/>
              <w:autoSpaceDN/>
              <w:adjustRightInd/>
              <w:rPr>
                <w:rFonts w:ascii="Times New Roman" w:eastAsia="Calibri" w:hAnsi="Times New Roman"/>
                <w:b/>
              </w:rPr>
            </w:pPr>
            <w:r w:rsidRPr="0043772B">
              <w:rPr>
                <w:rFonts w:ascii="Times New Roman" w:eastAsia="Calibri" w:hAnsi="Times New Roman"/>
                <w:b/>
              </w:rPr>
              <w:t>Sarah Burgard</w:t>
            </w:r>
          </w:p>
          <w:p w:rsidR="0043772B" w:rsidRPr="0043772B" w:rsidP="0043772B" w14:paraId="1DC59575" w14:textId="7F252726">
            <w:pPr>
              <w:widowControl/>
              <w:autoSpaceDE/>
              <w:autoSpaceDN/>
              <w:adjustRightInd/>
              <w:rPr>
                <w:rFonts w:ascii="Times New Roman" w:eastAsia="Calibri" w:hAnsi="Times New Roman"/>
              </w:rPr>
            </w:pPr>
            <w:r w:rsidRPr="0043772B">
              <w:rPr>
                <w:rFonts w:ascii="Times New Roman" w:eastAsia="Calibri" w:hAnsi="Times New Roman"/>
              </w:rPr>
              <w:t>Department of Sociology and Department of Epidemiology</w:t>
            </w:r>
          </w:p>
          <w:p w:rsidR="0043772B" w:rsidRPr="0043772B" w:rsidP="0043772B" w14:paraId="400379C1" w14:textId="77777777">
            <w:pPr>
              <w:widowControl/>
              <w:autoSpaceDE/>
              <w:autoSpaceDN/>
              <w:adjustRightInd/>
              <w:rPr>
                <w:rFonts w:ascii="Times New Roman" w:eastAsia="Calibri" w:hAnsi="Times New Roman"/>
              </w:rPr>
            </w:pPr>
            <w:r w:rsidRPr="0043772B">
              <w:rPr>
                <w:rFonts w:ascii="Times New Roman" w:eastAsia="Calibri" w:hAnsi="Times New Roman"/>
              </w:rPr>
              <w:t>University of Michigan</w:t>
            </w:r>
          </w:p>
          <w:p w:rsidR="0043772B" w:rsidRPr="0043772B" w:rsidP="0043772B" w14:paraId="6062A931" w14:textId="353A7CA4">
            <w:pPr>
              <w:widowControl/>
              <w:autoSpaceDE/>
              <w:autoSpaceDN/>
              <w:adjustRightInd/>
              <w:rPr>
                <w:rFonts w:ascii="Times New Roman" w:eastAsia="Calibri" w:hAnsi="Times New Roman"/>
              </w:rPr>
            </w:pPr>
          </w:p>
        </w:tc>
      </w:tr>
      <w:tr w14:paraId="19A6BF93" w14:textId="77777777" w:rsidTr="00C6376F">
        <w:tblPrEx>
          <w:tblW w:w="0" w:type="auto"/>
          <w:jc w:val="center"/>
          <w:tblCellMar>
            <w:top w:w="72" w:type="dxa"/>
            <w:left w:w="115" w:type="dxa"/>
            <w:bottom w:w="72" w:type="dxa"/>
            <w:right w:w="115" w:type="dxa"/>
          </w:tblCellMar>
          <w:tblLook w:val="01E0"/>
        </w:tblPrEx>
        <w:trPr>
          <w:jc w:val="center"/>
        </w:trPr>
        <w:tc>
          <w:tcPr>
            <w:tcW w:w="3169" w:type="dxa"/>
          </w:tcPr>
          <w:p w:rsidR="00170FD1" w:rsidP="0043772B" w14:paraId="6F8DA336" w14:textId="6DF085BF">
            <w:pPr>
              <w:widowControl/>
              <w:autoSpaceDE/>
              <w:autoSpaceDN/>
              <w:adjustRightInd/>
              <w:rPr>
                <w:rFonts w:ascii="Times New Roman" w:eastAsia="Calibri" w:hAnsi="Times New Roman"/>
                <w:bCs/>
              </w:rPr>
            </w:pPr>
            <w:r>
              <w:rPr>
                <w:rFonts w:ascii="Times New Roman" w:eastAsia="Calibri" w:hAnsi="Times New Roman"/>
                <w:b/>
              </w:rPr>
              <w:t>Allyson Holbrook</w:t>
            </w:r>
          </w:p>
          <w:p w:rsidR="00170FD1" w:rsidRPr="0021748E" w:rsidP="0043772B" w14:paraId="116A4981" w14:textId="1A4CF6C3">
            <w:pPr>
              <w:widowControl/>
              <w:autoSpaceDE/>
              <w:autoSpaceDN/>
              <w:adjustRightInd/>
              <w:rPr>
                <w:rFonts w:ascii="Times New Roman" w:eastAsia="Calibri" w:hAnsi="Times New Roman"/>
                <w:bCs/>
              </w:rPr>
            </w:pPr>
            <w:r w:rsidRPr="0021748E">
              <w:rPr>
                <w:rFonts w:ascii="Times New Roman" w:eastAsia="Calibri" w:hAnsi="Times New Roman"/>
                <w:bCs/>
              </w:rPr>
              <w:t>College of Urban Planning and Public Affairs</w:t>
            </w:r>
          </w:p>
          <w:p w:rsidR="0043772B" w:rsidRPr="0043772B" w:rsidP="00755E84" w14:paraId="193A4812" w14:textId="4D894071">
            <w:pPr>
              <w:widowControl/>
              <w:autoSpaceDE/>
              <w:autoSpaceDN/>
              <w:adjustRightInd/>
              <w:rPr>
                <w:rFonts w:ascii="Times New Roman" w:eastAsia="Calibri" w:hAnsi="Times New Roman"/>
              </w:rPr>
            </w:pPr>
            <w:r w:rsidRPr="00170FD1">
              <w:rPr>
                <w:rFonts w:ascii="Times New Roman" w:eastAsia="Calibri" w:hAnsi="Times New Roman"/>
              </w:rPr>
              <w:t>University of Illinois Chicago</w:t>
            </w:r>
            <w:r w:rsidRPr="00170FD1">
              <w:rPr>
                <w:rFonts w:ascii="Times New Roman" w:eastAsia="Calibri" w:hAnsi="Times New Roman"/>
              </w:rPr>
              <w:t xml:space="preserve"> </w:t>
            </w:r>
          </w:p>
        </w:tc>
        <w:tc>
          <w:tcPr>
            <w:tcW w:w="3126" w:type="dxa"/>
          </w:tcPr>
          <w:p w:rsidR="00170FD1" w:rsidRPr="0043772B" w:rsidP="00170FD1" w14:paraId="451A0680" w14:textId="77777777">
            <w:pPr>
              <w:widowControl/>
              <w:autoSpaceDE/>
              <w:autoSpaceDN/>
              <w:adjustRightInd/>
              <w:rPr>
                <w:rFonts w:ascii="Times New Roman" w:eastAsia="Calibri" w:hAnsi="Times New Roman"/>
                <w:b/>
              </w:rPr>
            </w:pPr>
            <w:r>
              <w:rPr>
                <w:rFonts w:ascii="Times New Roman" w:eastAsia="Calibri" w:hAnsi="Times New Roman"/>
                <w:b/>
              </w:rPr>
              <w:t>Lisa Kahn</w:t>
            </w:r>
          </w:p>
          <w:p w:rsidR="00170FD1" w:rsidRPr="0043772B" w:rsidP="00170FD1" w14:paraId="12783358" w14:textId="77777777">
            <w:pPr>
              <w:widowControl/>
              <w:autoSpaceDE/>
              <w:autoSpaceDN/>
              <w:adjustRightInd/>
              <w:rPr>
                <w:rFonts w:ascii="Times New Roman" w:eastAsia="Calibri" w:hAnsi="Times New Roman"/>
              </w:rPr>
            </w:pPr>
            <w:r w:rsidRPr="00755E84">
              <w:rPr>
                <w:rFonts w:ascii="Times New Roman" w:eastAsia="Calibri" w:hAnsi="Times New Roman"/>
              </w:rPr>
              <w:t>Department of Economics</w:t>
            </w:r>
          </w:p>
          <w:p w:rsidR="0043772B" w:rsidRPr="0043772B" w:rsidP="00170FD1" w14:paraId="56B379DE" w14:textId="28567E74">
            <w:pPr>
              <w:widowControl/>
              <w:autoSpaceDE/>
              <w:autoSpaceDN/>
              <w:adjustRightInd/>
              <w:rPr>
                <w:rFonts w:ascii="Times New Roman" w:eastAsia="Calibri" w:hAnsi="Times New Roman"/>
              </w:rPr>
            </w:pPr>
            <w:r w:rsidRPr="00755E84">
              <w:rPr>
                <w:rFonts w:ascii="Times New Roman" w:eastAsia="Calibri" w:hAnsi="Times New Roman"/>
              </w:rPr>
              <w:t>University of Rochester</w:t>
            </w:r>
          </w:p>
        </w:tc>
        <w:tc>
          <w:tcPr>
            <w:tcW w:w="3055" w:type="dxa"/>
          </w:tcPr>
          <w:p w:rsidR="00170FD1" w:rsidRPr="0043772B" w:rsidP="00170FD1" w14:paraId="328E3B2D" w14:textId="2DDF4BBB">
            <w:pPr>
              <w:widowControl/>
              <w:autoSpaceDE/>
              <w:autoSpaceDN/>
              <w:adjustRightInd/>
              <w:rPr>
                <w:rFonts w:ascii="Times New Roman" w:eastAsia="Calibri" w:hAnsi="Times New Roman"/>
                <w:b/>
              </w:rPr>
            </w:pPr>
            <w:r w:rsidRPr="0043772B">
              <w:rPr>
                <w:rFonts w:ascii="Times New Roman" w:eastAsia="Calibri" w:hAnsi="Times New Roman"/>
                <w:b/>
              </w:rPr>
              <w:t xml:space="preserve">Michael </w:t>
            </w:r>
            <w:r w:rsidRPr="0043772B">
              <w:rPr>
                <w:rFonts w:ascii="Times New Roman" w:eastAsia="Calibri" w:hAnsi="Times New Roman"/>
                <w:b/>
              </w:rPr>
              <w:t>Lovenheim</w:t>
            </w:r>
          </w:p>
          <w:p w:rsidR="00170FD1" w:rsidRPr="0043772B" w:rsidP="00170FD1" w14:paraId="1580F056"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Policy Analysis and Management</w:t>
            </w:r>
          </w:p>
          <w:p w:rsidR="00170FD1" w:rsidRPr="0043772B" w:rsidP="00170FD1" w14:paraId="0E90D58F" w14:textId="77777777">
            <w:pPr>
              <w:widowControl/>
              <w:autoSpaceDE/>
              <w:autoSpaceDN/>
              <w:adjustRightInd/>
              <w:rPr>
                <w:rFonts w:ascii="Times New Roman" w:eastAsia="Calibri" w:hAnsi="Times New Roman"/>
              </w:rPr>
            </w:pPr>
            <w:r w:rsidRPr="0043772B">
              <w:rPr>
                <w:rFonts w:ascii="Times New Roman" w:eastAsia="Calibri" w:hAnsi="Times New Roman"/>
              </w:rPr>
              <w:t>Cornell University</w:t>
            </w:r>
          </w:p>
          <w:p w:rsidR="0043772B" w:rsidRPr="0043772B" w:rsidP="0043772B" w14:paraId="144AEE5A" w14:textId="655D78E8">
            <w:pPr>
              <w:widowControl/>
              <w:autoSpaceDE/>
              <w:autoSpaceDN/>
              <w:adjustRightInd/>
              <w:rPr>
                <w:rFonts w:ascii="Times New Roman" w:eastAsia="Calibri" w:hAnsi="Times New Roman"/>
              </w:rPr>
            </w:pPr>
          </w:p>
        </w:tc>
      </w:tr>
      <w:tr w14:paraId="695DA277" w14:textId="77777777" w:rsidTr="00C6376F">
        <w:tblPrEx>
          <w:tblW w:w="0" w:type="auto"/>
          <w:jc w:val="center"/>
          <w:tblCellMar>
            <w:top w:w="72" w:type="dxa"/>
            <w:left w:w="115" w:type="dxa"/>
            <w:bottom w:w="72" w:type="dxa"/>
            <w:right w:w="115" w:type="dxa"/>
          </w:tblCellMar>
          <w:tblLook w:val="01E0"/>
        </w:tblPrEx>
        <w:trPr>
          <w:jc w:val="center"/>
        </w:trPr>
        <w:tc>
          <w:tcPr>
            <w:tcW w:w="3169" w:type="dxa"/>
          </w:tcPr>
          <w:p w:rsidR="00170FD1" w:rsidRPr="0043772B" w:rsidP="00170FD1" w14:paraId="03FF022F" w14:textId="77777777">
            <w:pPr>
              <w:widowControl/>
              <w:autoSpaceDE/>
              <w:autoSpaceDN/>
              <w:adjustRightInd/>
              <w:rPr>
                <w:rFonts w:ascii="Times New Roman" w:eastAsia="Calibri" w:hAnsi="Times New Roman"/>
                <w:b/>
                <w:lang w:val="en"/>
              </w:rPr>
            </w:pPr>
            <w:r w:rsidRPr="0043772B">
              <w:rPr>
                <w:rFonts w:ascii="Times New Roman" w:eastAsia="Calibri" w:hAnsi="Times New Roman"/>
                <w:b/>
                <w:lang w:val="en"/>
              </w:rPr>
              <w:t>Nicole Maestas</w:t>
            </w:r>
          </w:p>
          <w:p w:rsidR="00170FD1" w:rsidRPr="0043772B" w:rsidP="00170FD1" w14:paraId="690387D5" w14:textId="77777777">
            <w:pPr>
              <w:widowControl/>
              <w:autoSpaceDE/>
              <w:autoSpaceDN/>
              <w:adjustRightInd/>
              <w:rPr>
                <w:rFonts w:ascii="Times New Roman" w:eastAsia="Calibri" w:hAnsi="Times New Roman"/>
                <w:lang w:val="en"/>
              </w:rPr>
            </w:pPr>
            <w:r w:rsidRPr="0043772B">
              <w:rPr>
                <w:rFonts w:ascii="Times New Roman" w:eastAsia="Calibri" w:hAnsi="Times New Roman"/>
                <w:lang w:val="en"/>
              </w:rPr>
              <w:t>Harvard Medical School</w:t>
            </w:r>
          </w:p>
          <w:p w:rsidR="00170FD1" w:rsidRPr="0043772B" w:rsidP="00170FD1" w14:paraId="7BFEB52B" w14:textId="0CE0EF25">
            <w:pPr>
              <w:widowControl/>
              <w:autoSpaceDE/>
              <w:autoSpaceDN/>
              <w:adjustRightInd/>
              <w:rPr>
                <w:rFonts w:ascii="Times New Roman" w:eastAsia="Calibri" w:hAnsi="Times New Roman"/>
              </w:rPr>
            </w:pPr>
            <w:r w:rsidRPr="0043772B">
              <w:rPr>
                <w:rFonts w:ascii="Times New Roman" w:eastAsia="Calibri" w:hAnsi="Times New Roman"/>
              </w:rPr>
              <w:br/>
            </w:r>
          </w:p>
        </w:tc>
        <w:tc>
          <w:tcPr>
            <w:tcW w:w="3126" w:type="dxa"/>
          </w:tcPr>
          <w:p w:rsidR="00170FD1" w:rsidRPr="0043772B" w:rsidP="00170FD1" w14:paraId="33791A95" w14:textId="26D79949">
            <w:pPr>
              <w:widowControl/>
              <w:autoSpaceDE/>
              <w:autoSpaceDN/>
              <w:adjustRightInd/>
              <w:rPr>
                <w:rFonts w:ascii="Times New Roman" w:eastAsia="Calibri" w:hAnsi="Times New Roman"/>
                <w:b/>
              </w:rPr>
            </w:pPr>
            <w:r w:rsidRPr="0043772B">
              <w:rPr>
                <w:rFonts w:ascii="Times New Roman" w:eastAsia="Calibri" w:hAnsi="Times New Roman"/>
                <w:b/>
              </w:rPr>
              <w:t>Melissa McInerney (chair)</w:t>
            </w:r>
          </w:p>
          <w:p w:rsidR="00170FD1" w:rsidRPr="0043772B" w:rsidP="00170FD1" w14:paraId="47FD9900"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170FD1" w:rsidRPr="0043772B" w:rsidP="00170FD1" w14:paraId="66E36ACA" w14:textId="77777777">
            <w:pPr>
              <w:widowControl/>
              <w:autoSpaceDE/>
              <w:autoSpaceDN/>
              <w:adjustRightInd/>
              <w:rPr>
                <w:rFonts w:ascii="Times New Roman" w:eastAsia="Calibri" w:hAnsi="Times New Roman"/>
              </w:rPr>
            </w:pPr>
            <w:r w:rsidRPr="0043772B">
              <w:rPr>
                <w:rFonts w:ascii="Times New Roman" w:eastAsia="Calibri" w:hAnsi="Times New Roman"/>
              </w:rPr>
              <w:t>Tufts University</w:t>
            </w:r>
          </w:p>
          <w:p w:rsidR="00170FD1" w:rsidRPr="0043772B" w:rsidP="00170FD1" w14:paraId="3D84C6C3" w14:textId="77777777">
            <w:pPr>
              <w:widowControl/>
              <w:autoSpaceDE/>
              <w:autoSpaceDN/>
              <w:adjustRightInd/>
              <w:rPr>
                <w:rFonts w:ascii="Times New Roman" w:eastAsia="Calibri" w:hAnsi="Times New Roman"/>
              </w:rPr>
            </w:pPr>
          </w:p>
          <w:p w:rsidR="00170FD1" w:rsidRPr="0043772B" w:rsidP="00170FD1" w14:paraId="1DECBFB7" w14:textId="29C9F897">
            <w:pPr>
              <w:widowControl/>
              <w:autoSpaceDE/>
              <w:autoSpaceDN/>
              <w:adjustRightInd/>
              <w:rPr>
                <w:rFonts w:ascii="Times New Roman" w:eastAsia="Calibri" w:hAnsi="Times New Roman"/>
              </w:rPr>
            </w:pPr>
          </w:p>
        </w:tc>
        <w:tc>
          <w:tcPr>
            <w:tcW w:w="3055" w:type="dxa"/>
          </w:tcPr>
          <w:p w:rsidR="00170FD1" w:rsidRPr="0043772B" w:rsidP="00170FD1" w14:paraId="52D4F8B4" w14:textId="59CE7F90">
            <w:pPr>
              <w:widowControl/>
              <w:autoSpaceDE/>
              <w:autoSpaceDN/>
              <w:adjustRightInd/>
              <w:rPr>
                <w:rFonts w:ascii="Times New Roman" w:eastAsia="Calibri" w:hAnsi="Times New Roman"/>
                <w:b/>
              </w:rPr>
            </w:pPr>
            <w:r w:rsidRPr="0043772B">
              <w:rPr>
                <w:rFonts w:ascii="Times New Roman" w:eastAsia="Calibri" w:hAnsi="Times New Roman"/>
                <w:b/>
              </w:rPr>
              <w:t>Emily Owens</w:t>
            </w:r>
          </w:p>
          <w:p w:rsidR="00170FD1" w:rsidRPr="0043772B" w:rsidP="00170FD1" w14:paraId="4F55F6B1" w14:textId="1E440E17">
            <w:pPr>
              <w:widowControl/>
              <w:autoSpaceDE/>
              <w:autoSpaceDN/>
              <w:adjustRightInd/>
              <w:rPr>
                <w:rFonts w:ascii="Times New Roman" w:eastAsia="Calibri" w:hAnsi="Times New Roman"/>
              </w:rPr>
            </w:pPr>
            <w:r w:rsidRPr="0043772B">
              <w:rPr>
                <w:rFonts w:ascii="Times New Roman" w:eastAsia="Calibri" w:hAnsi="Times New Roman"/>
              </w:rPr>
              <w:t xml:space="preserve">Department of Criminology, Law &amp; Society and </w:t>
            </w:r>
          </w:p>
          <w:p w:rsidR="00170FD1" w:rsidRPr="0043772B" w:rsidP="00170FD1" w14:paraId="2FE5D452" w14:textId="49DFC574">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170FD1" w:rsidRPr="0043772B" w:rsidP="00170FD1" w14:paraId="4ABFAC02" w14:textId="2500C91A">
            <w:pPr>
              <w:widowControl/>
              <w:autoSpaceDE/>
              <w:autoSpaceDN/>
              <w:adjustRightInd/>
              <w:rPr>
                <w:rFonts w:ascii="Times New Roman" w:eastAsia="Calibri" w:hAnsi="Times New Roman"/>
                <w:lang w:val="fr-FR"/>
              </w:rPr>
            </w:pPr>
            <w:r w:rsidRPr="0043772B">
              <w:rPr>
                <w:rFonts w:ascii="Times New Roman" w:eastAsia="Calibri" w:hAnsi="Times New Roman"/>
              </w:rPr>
              <w:t xml:space="preserve">University of California, Irvine </w:t>
            </w:r>
          </w:p>
          <w:p w:rsidR="00170FD1" w:rsidRPr="0043772B" w:rsidP="00170FD1" w14:paraId="3636A4D0" w14:textId="77777777">
            <w:pPr>
              <w:widowControl/>
              <w:autoSpaceDE/>
              <w:autoSpaceDN/>
              <w:adjustRightInd/>
              <w:rPr>
                <w:rFonts w:ascii="Times New Roman" w:eastAsia="Calibri" w:hAnsi="Times New Roman"/>
              </w:rPr>
            </w:pPr>
          </w:p>
        </w:tc>
      </w:tr>
      <w:tr w14:paraId="0D3EB821" w14:textId="77777777" w:rsidTr="00C6376F">
        <w:tblPrEx>
          <w:tblW w:w="0" w:type="auto"/>
          <w:jc w:val="center"/>
          <w:tblCellMar>
            <w:top w:w="72" w:type="dxa"/>
            <w:left w:w="115" w:type="dxa"/>
            <w:bottom w:w="72" w:type="dxa"/>
            <w:right w:w="115" w:type="dxa"/>
          </w:tblCellMar>
          <w:tblLook w:val="01E0"/>
        </w:tblPrEx>
        <w:trPr>
          <w:jc w:val="center"/>
        </w:trPr>
        <w:tc>
          <w:tcPr>
            <w:tcW w:w="3169" w:type="dxa"/>
          </w:tcPr>
          <w:p w:rsidR="00170FD1" w:rsidRPr="0043772B" w:rsidP="00170FD1" w14:paraId="55CDFAFC" w14:textId="2791A596">
            <w:pPr>
              <w:widowControl/>
              <w:autoSpaceDE/>
              <w:autoSpaceDN/>
              <w:adjustRightInd/>
              <w:rPr>
                <w:rFonts w:ascii="Times New Roman" w:eastAsia="Calibri" w:hAnsi="Times New Roman"/>
                <w:b/>
                <w:lang w:val="fr-FR"/>
              </w:rPr>
            </w:pPr>
            <w:r w:rsidRPr="0043772B">
              <w:rPr>
                <w:rFonts w:ascii="Times New Roman" w:eastAsia="Calibri" w:hAnsi="Times New Roman"/>
                <w:b/>
                <w:lang w:val="fr-FR"/>
              </w:rPr>
              <w:t>John Phillips</w:t>
            </w:r>
          </w:p>
          <w:p w:rsidR="00170FD1" w:rsidRPr="0043772B" w:rsidP="00170FD1" w14:paraId="5A226AAA" w14:textId="65CF7F5D">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Division of </w:t>
            </w:r>
            <w:r w:rsidRPr="0043772B">
              <w:rPr>
                <w:rFonts w:ascii="Times New Roman" w:eastAsia="Calibri" w:hAnsi="Times New Roman"/>
                <w:lang w:val="fr-FR"/>
              </w:rPr>
              <w:t>Behavioral</w:t>
            </w:r>
            <w:r w:rsidRPr="0043772B">
              <w:rPr>
                <w:rFonts w:ascii="Times New Roman" w:eastAsia="Calibri" w:hAnsi="Times New Roman"/>
                <w:lang w:val="fr-FR"/>
              </w:rPr>
              <w:t xml:space="preserve"> and Social </w:t>
            </w:r>
            <w:r w:rsidRPr="0043772B">
              <w:rPr>
                <w:rFonts w:ascii="Times New Roman" w:eastAsia="Calibri" w:hAnsi="Times New Roman"/>
                <w:lang w:val="fr-FR"/>
              </w:rPr>
              <w:t>Research</w:t>
            </w:r>
          </w:p>
          <w:p w:rsidR="00170FD1" w:rsidRPr="0043772B" w:rsidP="00170FD1" w14:paraId="7562E2C8" w14:textId="51C4EC61">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National Institute on </w:t>
            </w:r>
            <w:r w:rsidRPr="0043772B">
              <w:rPr>
                <w:rFonts w:ascii="Times New Roman" w:eastAsia="Calibri" w:hAnsi="Times New Roman"/>
                <w:lang w:val="fr-FR"/>
              </w:rPr>
              <w:t>Aging</w:t>
            </w:r>
            <w:r w:rsidRPr="0043772B">
              <w:rPr>
                <w:rFonts w:ascii="Times New Roman" w:eastAsia="Calibri" w:hAnsi="Times New Roman"/>
                <w:lang w:val="fr-FR"/>
              </w:rPr>
              <w:t>/NIH</w:t>
            </w:r>
          </w:p>
          <w:p w:rsidR="00170FD1" w:rsidRPr="0043772B" w:rsidP="00170FD1" w14:paraId="57D09B25" w14:textId="44E28BC2">
            <w:pPr>
              <w:widowControl/>
              <w:autoSpaceDE/>
              <w:autoSpaceDN/>
              <w:adjustRightInd/>
              <w:rPr>
                <w:rFonts w:ascii="Times New Roman" w:eastAsia="Calibri" w:hAnsi="Times New Roman"/>
              </w:rPr>
            </w:pPr>
            <w:r w:rsidRPr="0043772B">
              <w:rPr>
                <w:rFonts w:ascii="Times New Roman" w:eastAsia="Calibri" w:hAnsi="Times New Roman"/>
              </w:rPr>
              <w:br/>
            </w:r>
          </w:p>
        </w:tc>
        <w:tc>
          <w:tcPr>
            <w:tcW w:w="3126" w:type="dxa"/>
          </w:tcPr>
          <w:p w:rsidR="000A0851" w:rsidRPr="0043772B" w:rsidP="000A0851" w14:paraId="5F915A55" w14:textId="1A2E820B">
            <w:pPr>
              <w:widowControl/>
              <w:autoSpaceDE/>
              <w:autoSpaceDN/>
              <w:adjustRightInd/>
              <w:rPr>
                <w:rFonts w:ascii="Times New Roman" w:eastAsia="Calibri" w:hAnsi="Times New Roman"/>
                <w:b/>
              </w:rPr>
            </w:pPr>
            <w:r w:rsidRPr="0043772B">
              <w:rPr>
                <w:rFonts w:ascii="Times New Roman" w:eastAsia="Calibri" w:hAnsi="Times New Roman"/>
                <w:b/>
              </w:rPr>
              <w:t xml:space="preserve">Narayan Sastry </w:t>
            </w:r>
          </w:p>
          <w:p w:rsidR="00170FD1" w:rsidRPr="0043772B" w:rsidP="000A0851" w14:paraId="49023D0A" w14:textId="6643571A">
            <w:pPr>
              <w:widowControl/>
              <w:autoSpaceDE/>
              <w:autoSpaceDN/>
              <w:adjustRightInd/>
              <w:rPr>
                <w:rFonts w:ascii="Times New Roman" w:eastAsia="Calibri" w:hAnsi="Times New Roman"/>
              </w:rPr>
            </w:pPr>
            <w:r w:rsidRPr="0043772B">
              <w:rPr>
                <w:rFonts w:ascii="Times New Roman" w:eastAsia="Calibri" w:hAnsi="Times New Roman"/>
              </w:rPr>
              <w:t>Population Studies Center University of Michigan</w:t>
            </w:r>
          </w:p>
        </w:tc>
        <w:tc>
          <w:tcPr>
            <w:tcW w:w="3055" w:type="dxa"/>
          </w:tcPr>
          <w:p w:rsidR="000A0851" w:rsidRPr="0043772B" w:rsidP="000A0851" w14:paraId="17A70D65" w14:textId="6460F085">
            <w:pPr>
              <w:widowControl/>
              <w:autoSpaceDE/>
              <w:autoSpaceDN/>
              <w:adjustRightInd/>
              <w:rPr>
                <w:rFonts w:ascii="Times New Roman" w:eastAsia="Calibri" w:hAnsi="Times New Roman"/>
                <w:b/>
              </w:rPr>
            </w:pPr>
            <w:r w:rsidRPr="0043772B">
              <w:rPr>
                <w:rFonts w:ascii="Times New Roman" w:eastAsia="Calibri" w:hAnsi="Times New Roman"/>
                <w:b/>
              </w:rPr>
              <w:t>Jeffrey Smith</w:t>
            </w:r>
          </w:p>
          <w:p w:rsidR="000A0851" w:rsidRPr="0043772B" w:rsidP="000A0851" w14:paraId="7EB99725"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0A0851" w:rsidRPr="0043772B" w:rsidP="000A0851" w14:paraId="30E85885" w14:textId="77777777">
            <w:pPr>
              <w:widowControl/>
              <w:autoSpaceDE/>
              <w:autoSpaceDN/>
              <w:adjustRightInd/>
              <w:rPr>
                <w:rFonts w:ascii="Times New Roman" w:eastAsia="Calibri" w:hAnsi="Times New Roman"/>
              </w:rPr>
            </w:pPr>
            <w:r w:rsidRPr="0043772B">
              <w:rPr>
                <w:rFonts w:ascii="Times New Roman" w:eastAsia="Calibri" w:hAnsi="Times New Roman"/>
              </w:rPr>
              <w:t>University of Wisconsin</w:t>
            </w:r>
          </w:p>
          <w:p w:rsidR="00170FD1" w:rsidRPr="0043772B" w:rsidP="00170FD1" w14:paraId="3DCA1970" w14:textId="5C98C21A">
            <w:pPr>
              <w:widowControl/>
              <w:autoSpaceDE/>
              <w:autoSpaceDN/>
              <w:adjustRightInd/>
              <w:rPr>
                <w:rFonts w:ascii="Times New Roman" w:eastAsia="Calibri" w:hAnsi="Times New Roman"/>
              </w:rPr>
            </w:pPr>
          </w:p>
        </w:tc>
      </w:tr>
      <w:tr w14:paraId="31D9A5AA" w14:textId="77777777" w:rsidTr="00C6376F">
        <w:tblPrEx>
          <w:tblW w:w="0" w:type="auto"/>
          <w:jc w:val="center"/>
          <w:tblCellMar>
            <w:top w:w="72" w:type="dxa"/>
            <w:left w:w="115" w:type="dxa"/>
            <w:bottom w:w="72" w:type="dxa"/>
            <w:right w:w="115" w:type="dxa"/>
          </w:tblCellMar>
          <w:tblLook w:val="01E0"/>
        </w:tblPrEx>
        <w:trPr>
          <w:trHeight w:val="1277"/>
          <w:jc w:val="center"/>
        </w:trPr>
        <w:tc>
          <w:tcPr>
            <w:tcW w:w="3169" w:type="dxa"/>
          </w:tcPr>
          <w:p w:rsidR="000A0851" w:rsidRPr="0043772B" w:rsidP="000A0851" w14:paraId="0D2B1714" w14:textId="16E1FA60">
            <w:pPr>
              <w:widowControl/>
              <w:autoSpaceDE/>
              <w:autoSpaceDN/>
              <w:adjustRightInd/>
              <w:rPr>
                <w:rFonts w:ascii="Times New Roman" w:eastAsia="Calibri" w:hAnsi="Times New Roman"/>
              </w:rPr>
            </w:pPr>
            <w:r w:rsidRPr="0043772B">
              <w:rPr>
                <w:rFonts w:ascii="Times New Roman" w:eastAsia="Calibri" w:hAnsi="Times New Roman"/>
                <w:b/>
              </w:rPr>
              <w:t>Owen Thompson</w:t>
            </w:r>
          </w:p>
          <w:p w:rsidR="000A0851" w:rsidRPr="0043772B" w:rsidP="000A0851" w14:paraId="49212352"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170FD1" w:rsidRPr="0043772B" w:rsidP="000A0851" w14:paraId="4A6FCADC" w14:textId="764EE6C6">
            <w:pPr>
              <w:widowControl/>
              <w:autoSpaceDE/>
              <w:autoSpaceDN/>
              <w:adjustRightInd/>
              <w:rPr>
                <w:rFonts w:ascii="Times New Roman" w:eastAsia="Calibri" w:hAnsi="Times New Roman"/>
                <w:b/>
              </w:rPr>
            </w:pPr>
            <w:r w:rsidRPr="0043772B">
              <w:rPr>
                <w:rFonts w:ascii="Times New Roman" w:eastAsia="Calibri" w:hAnsi="Times New Roman"/>
                <w:bCs/>
              </w:rPr>
              <w:t>Williams College</w:t>
            </w:r>
          </w:p>
        </w:tc>
        <w:tc>
          <w:tcPr>
            <w:tcW w:w="3126" w:type="dxa"/>
          </w:tcPr>
          <w:p w:rsidR="00170FD1" w:rsidRPr="0043772B" w:rsidP="00593DE5" w14:paraId="3DC62FDD" w14:textId="346C863D">
            <w:pPr>
              <w:widowControl/>
              <w:autoSpaceDE/>
              <w:autoSpaceDN/>
              <w:adjustRightInd/>
              <w:rPr>
                <w:rFonts w:ascii="Times New Roman" w:eastAsia="Calibri" w:hAnsi="Times New Roman"/>
                <w:b/>
              </w:rPr>
            </w:pPr>
          </w:p>
        </w:tc>
        <w:tc>
          <w:tcPr>
            <w:tcW w:w="3055" w:type="dxa"/>
          </w:tcPr>
          <w:p w:rsidR="00170FD1" w:rsidRPr="0043772B" w:rsidP="00170FD1" w14:paraId="7727183C" w14:textId="77777777">
            <w:pPr>
              <w:widowControl/>
              <w:autoSpaceDE/>
              <w:autoSpaceDN/>
              <w:adjustRightInd/>
              <w:rPr>
                <w:rFonts w:ascii="Times New Roman" w:eastAsia="Calibri" w:hAnsi="Times New Roman"/>
                <w:b/>
              </w:rPr>
            </w:pPr>
          </w:p>
        </w:tc>
      </w:tr>
    </w:tbl>
    <w:p w:rsidR="0043772B" w:rsidP="0043772B" w14:paraId="05B54BF2" w14:textId="49A43F5C">
      <w:pPr>
        <w:widowControl/>
        <w:autoSpaceDE/>
        <w:autoSpaceDN/>
        <w:adjustRightInd/>
        <w:rPr>
          <w:rFonts w:ascii="Times New Roman" w:eastAsia="Calibri" w:hAnsi="Times New Roman"/>
        </w:rPr>
      </w:pPr>
    </w:p>
    <w:p w:rsidR="00070C48" w:rsidRPr="0043772B" w:rsidP="0043772B" w14:paraId="3D1F764D" w14:textId="77777777">
      <w:pPr>
        <w:widowControl/>
        <w:autoSpaceDE/>
        <w:autoSpaceDN/>
        <w:adjustRightInd/>
        <w:rPr>
          <w:rFonts w:ascii="Times New Roman" w:eastAsia="Calibri" w:hAnsi="Times New Roman"/>
        </w:rPr>
      </w:pPr>
    </w:p>
    <w:p w:rsidR="0043772B" w:rsidRPr="0043772B" w:rsidP="0043772B" w14:paraId="172F2695" w14:textId="77777777">
      <w:pPr>
        <w:widowControl/>
        <w:autoSpaceDE/>
        <w:autoSpaceDN/>
        <w:adjustRightInd/>
        <w:rPr>
          <w:rFonts w:ascii="Times New Roman" w:eastAsia="Calibri" w:hAnsi="Times New Roman"/>
        </w:rPr>
      </w:pPr>
    </w:p>
    <w:p w:rsidR="0043772B" w:rsidP="00B65823" w14:paraId="65803314" w14:textId="5D46CD46">
      <w:pPr>
        <w:widowControl/>
        <w:autoSpaceDE/>
        <w:autoSpaceDN/>
        <w:adjustRightInd/>
        <w:rPr>
          <w:rFonts w:ascii="Times New Roman" w:eastAsia="Calibri" w:hAnsi="Times New Roman"/>
        </w:rPr>
      </w:pPr>
      <w:r w:rsidRPr="0043772B">
        <w:rPr>
          <w:rFonts w:ascii="Times New Roman" w:eastAsia="Calibri" w:hAnsi="Times New Roman"/>
        </w:rPr>
        <w:t>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Some health section modifications were introduced in 2006 (cognitive functioning model), and the 2008 and 2018 surveys included a new health module for respondents who had reached age 50 and age 60 (mirroring the age 40 module).</w:t>
      </w:r>
    </w:p>
    <w:p w:rsidR="00820906" w:rsidP="00B65823" w14:paraId="195A0B37" w14:textId="70925823">
      <w:pPr>
        <w:widowControl/>
        <w:autoSpaceDE/>
        <w:autoSpaceDN/>
        <w:adjustRightInd/>
        <w:rPr>
          <w:rFonts w:ascii="Times New Roman" w:eastAsia="Calibri" w:hAnsi="Times New Roman"/>
        </w:rPr>
      </w:pPr>
    </w:p>
    <w:p w:rsidR="00B927D0" w:rsidRPr="00A47DA7" w:rsidP="00B65823" w14:paraId="394C20E4" w14:textId="77777777">
      <w:pPr>
        <w:widowControl/>
        <w:autoSpaceDE/>
        <w:autoSpaceDN/>
        <w:adjustRightInd/>
        <w:rPr>
          <w:rFonts w:ascii="Times New Roman" w:eastAsia="Calibri" w:hAnsi="Times New Roman"/>
        </w:rPr>
      </w:pPr>
    </w:p>
    <w:p w:rsidR="00F10944" w:rsidP="00F10944" w14:paraId="56A91CC0" w14:textId="77777777">
      <w:pPr>
        <w:widowControl/>
        <w:rPr>
          <w:rFonts w:ascii="Times New Roman" w:hAnsi="Times New Roman"/>
          <w:b/>
          <w:bCs/>
        </w:rPr>
      </w:pPr>
      <w:r>
        <w:rPr>
          <w:rFonts w:ascii="Times New Roman" w:hAnsi="Times New Roman"/>
          <w:b/>
          <w:bCs/>
        </w:rPr>
        <w:t>9.  Explain any decision to provide any payments or gifts to respondents, other than remuneration of contractors or grantees.</w:t>
      </w:r>
    </w:p>
    <w:p w:rsidR="00F10944" w:rsidP="00F10944" w14:paraId="30C0E909" w14:textId="77777777">
      <w:pPr>
        <w:widowControl/>
        <w:rPr>
          <w:rFonts w:ascii="Times New Roman" w:hAnsi="Times New Roman"/>
          <w:bCs/>
        </w:rPr>
      </w:pPr>
    </w:p>
    <w:p w:rsidR="00F10944" w:rsidP="00F10944" w14:paraId="73B8DEB3" w14:textId="77777777">
      <w:pPr>
        <w:widowControl/>
        <w:rPr>
          <w:rFonts w:ascii="Times New Roman" w:hAnsi="Times New Roman"/>
        </w:rPr>
      </w:pPr>
      <w:r>
        <w:rPr>
          <w:rFonts w:ascii="Times New Roman" w:hAnsi="Times New Roman"/>
        </w:rPr>
        <w:t xml:space="preserve">The long-term nature of the NLSY79, with regular reinterviewing of subjects over 40+ years, requires that respondents be given ample financial incentive to secure their cooperation.  To determine appropriate baselines, missed round incentives, and other bonus incentives, NLS has implemented a variety of experiments over the course of the NLSY79 that have tested different incentive strategies to ensure that any incentive design is relevant. </w:t>
      </w:r>
    </w:p>
    <w:p w:rsidR="00F10944" w:rsidP="00F10944" w14:paraId="16447077" w14:textId="77777777">
      <w:pPr>
        <w:widowControl/>
        <w:rPr>
          <w:rFonts w:ascii="Times New Roman" w:hAnsi="Times New Roman"/>
        </w:rPr>
      </w:pPr>
    </w:p>
    <w:p w:rsidR="00F10944" w:rsidP="00F10944" w14:paraId="5A9B4D63" w14:textId="77777777">
      <w:pPr>
        <w:widowControl/>
        <w:rPr>
          <w:rFonts w:ascii="Times New Roman" w:hAnsi="Times New Roman"/>
        </w:rPr>
      </w:pPr>
      <w:r>
        <w:rPr>
          <w:rFonts w:ascii="Times New Roman" w:hAnsi="Times New Roman"/>
        </w:rPr>
        <w:t>Respondent incentives represent only a fraction of the total field costs, and higher incentives can be a cost-effective means of increasing response while constraining the overall budget.  Each round there is a growing pool of sample members who are reluctant to cooperate.  Therefore, the overall data collection strategy includes a set of measures to encourage cooperation beyond just offering higher respondent incentives.  NLS requests clearance for the following, integrated conversion strategy:</w:t>
      </w:r>
    </w:p>
    <w:p w:rsidR="00F10944" w:rsidP="00F10944" w14:paraId="12F4A5BC" w14:textId="77777777">
      <w:pPr>
        <w:widowControl/>
        <w:rPr>
          <w:rFonts w:ascii="Times New Roman" w:hAnsi="Times New Roman"/>
        </w:rPr>
      </w:pPr>
    </w:p>
    <w:p w:rsidR="00F10944" w:rsidP="00F10944" w14:paraId="4E86DDCF" w14:textId="0E0C5DEF">
      <w:pPr>
        <w:widowControl/>
        <w:rPr>
          <w:rFonts w:ascii="Times New Roman" w:hAnsi="Times New Roman"/>
          <w:b/>
        </w:rPr>
      </w:pPr>
      <w:r>
        <w:rPr>
          <w:rFonts w:ascii="Times New Roman" w:hAnsi="Times New Roman"/>
          <w:b/>
        </w:rPr>
        <w:t xml:space="preserve">Table </w:t>
      </w:r>
      <w:r w:rsidR="00E7318E">
        <w:rPr>
          <w:rFonts w:ascii="Times New Roman" w:hAnsi="Times New Roman"/>
          <w:b/>
        </w:rPr>
        <w:t>3</w:t>
      </w:r>
      <w:r>
        <w:rPr>
          <w:rFonts w:ascii="Times New Roman" w:hAnsi="Times New Roman"/>
          <w:b/>
        </w:rPr>
        <w:t>: Main NLSY79 incentive categories </w:t>
      </w:r>
    </w:p>
    <w:tbl>
      <w:tblPr>
        <w:tblW w:w="4427" w:type="pct"/>
        <w:tblCellMar>
          <w:left w:w="0" w:type="dxa"/>
          <w:right w:w="0" w:type="dxa"/>
        </w:tblCellMar>
        <w:tblLook w:val="04A0"/>
      </w:tblPr>
      <w:tblGrid>
        <w:gridCol w:w="3178"/>
        <w:gridCol w:w="2550"/>
        <w:gridCol w:w="2542"/>
      </w:tblGrid>
      <w:tr w14:paraId="0776CC8E" w14:textId="77777777" w:rsidTr="005E67DC">
        <w:tblPrEx>
          <w:tblW w:w="4427" w:type="pct"/>
          <w:tblCellMar>
            <w:left w:w="0" w:type="dxa"/>
            <w:right w:w="0" w:type="dxa"/>
          </w:tblCellMar>
          <w:tblLook w:val="04A0"/>
        </w:tblPrEx>
        <w:trPr>
          <w:trHeight w:val="349"/>
        </w:trPr>
        <w:tc>
          <w:tcPr>
            <w:tcW w:w="1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26F8371A" w14:textId="77777777">
            <w:pPr>
              <w:widowControl/>
              <w:rPr>
                <w:rFonts w:ascii="Times New Roman" w:hAnsi="Times New Roman"/>
              </w:rPr>
            </w:pPr>
            <w:r>
              <w:rPr>
                <w:rFonts w:ascii="Times New Roman" w:hAnsi="Times New Roman"/>
              </w:rPr>
              <w:t>Incentive Type</w:t>
            </w:r>
          </w:p>
        </w:tc>
        <w:tc>
          <w:tcPr>
            <w:tcW w:w="15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1B669F50" w14:textId="77777777">
            <w:pPr>
              <w:widowControl/>
              <w:rPr>
                <w:rFonts w:ascii="Times New Roman" w:hAnsi="Times New Roman"/>
              </w:rPr>
            </w:pPr>
            <w:r>
              <w:rPr>
                <w:rFonts w:ascii="Times New Roman" w:hAnsi="Times New Roman"/>
              </w:rPr>
              <w:t>Completed Round 30</w:t>
            </w:r>
          </w:p>
        </w:tc>
        <w:tc>
          <w:tcPr>
            <w:tcW w:w="1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4AFA82C0" w14:textId="77777777">
            <w:pPr>
              <w:widowControl/>
              <w:rPr>
                <w:rFonts w:ascii="Times New Roman" w:hAnsi="Times New Roman"/>
              </w:rPr>
            </w:pPr>
            <w:r>
              <w:rPr>
                <w:rFonts w:ascii="Times New Roman" w:hAnsi="Times New Roman"/>
              </w:rPr>
              <w:t>Missed Round 30</w:t>
            </w:r>
          </w:p>
        </w:tc>
      </w:tr>
      <w:tr w14:paraId="2EF831A4" w14:textId="77777777" w:rsidTr="005E67DC">
        <w:tblPrEx>
          <w:tblW w:w="4427" w:type="pct"/>
          <w:tblCellMar>
            <w:left w:w="0" w:type="dxa"/>
            <w:right w:w="0" w:type="dxa"/>
          </w:tblCellMar>
          <w:tblLook w:val="04A0"/>
        </w:tblPrEx>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73921E07" w14:textId="77777777">
            <w:pPr>
              <w:widowControl/>
              <w:rPr>
                <w:rFonts w:ascii="Times New Roman" w:hAnsi="Times New Roman"/>
              </w:rPr>
            </w:pPr>
            <w:r>
              <w:rPr>
                <w:rFonts w:ascii="Times New Roman" w:hAnsi="Times New Roman"/>
              </w:rPr>
              <w:t>Base</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4796E675" w14:textId="77777777">
            <w:pPr>
              <w:widowControl/>
              <w:rPr>
                <w:rFonts w:ascii="Times New Roman" w:hAnsi="Times New Roman"/>
              </w:rPr>
            </w:pPr>
            <w:r>
              <w:rPr>
                <w:rFonts w:ascii="Times New Roman" w:hAnsi="Times New Roman"/>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0313F059" w14:textId="77777777">
            <w:pPr>
              <w:widowControl/>
              <w:rPr>
                <w:rFonts w:ascii="Times New Roman" w:hAnsi="Times New Roman"/>
              </w:rPr>
            </w:pPr>
            <w:r>
              <w:rPr>
                <w:rFonts w:ascii="Times New Roman" w:hAnsi="Times New Roman"/>
              </w:rPr>
              <w:t>$70</w:t>
            </w:r>
          </w:p>
        </w:tc>
      </w:tr>
      <w:tr w14:paraId="4D9329E9" w14:textId="77777777" w:rsidTr="005E67DC">
        <w:tblPrEx>
          <w:tblW w:w="4427" w:type="pct"/>
          <w:tblCellMar>
            <w:left w:w="0" w:type="dxa"/>
            <w:right w:w="0" w:type="dxa"/>
          </w:tblCellMar>
          <w:tblLook w:val="04A0"/>
        </w:tblPrEx>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029539F9" w14:textId="77777777">
            <w:pPr>
              <w:widowControl/>
              <w:rPr>
                <w:rFonts w:ascii="Times New Roman" w:hAnsi="Times New Roman"/>
              </w:rPr>
            </w:pPr>
            <w:r>
              <w:rPr>
                <w:rFonts w:ascii="Times New Roman" w:hAnsi="Times New Roman"/>
              </w:rPr>
              <w:t>Early Bird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31DDC453" w14:textId="77777777">
            <w:pPr>
              <w:widowControl/>
              <w:rPr>
                <w:rFonts w:ascii="Times New Roman" w:hAnsi="Times New Roman"/>
              </w:rPr>
            </w:pPr>
            <w:r>
              <w:rPr>
                <w:rFonts w:ascii="Times New Roman" w:hAnsi="Times New Roman"/>
              </w:rPr>
              <w:t>$0 or $30*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23C166D8" w14:textId="77777777">
            <w:pPr>
              <w:widowControl/>
              <w:rPr>
                <w:rFonts w:ascii="Times New Roman" w:hAnsi="Times New Roman"/>
              </w:rPr>
            </w:pPr>
            <w:r>
              <w:rPr>
                <w:rFonts w:ascii="Times New Roman" w:hAnsi="Times New Roman"/>
              </w:rPr>
              <w:t>$0 or $30*</w:t>
            </w:r>
          </w:p>
        </w:tc>
      </w:tr>
      <w:tr w14:paraId="401BA558"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21BBA763" w14:textId="77777777">
            <w:pPr>
              <w:widowControl/>
              <w:rPr>
                <w:rFonts w:ascii="Times New Roman" w:hAnsi="Times New Roman"/>
              </w:rPr>
            </w:pPr>
            <w:r>
              <w:rPr>
                <w:rFonts w:ascii="Times New Roman" w:hAnsi="Times New Roman"/>
              </w:rPr>
              <w:t>Missed Rounds</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37114F57" w14:textId="77777777">
            <w:pPr>
              <w:widowControl/>
              <w:rPr>
                <w:rFonts w:ascii="Times New Roman" w:hAnsi="Times New Roman"/>
              </w:rPr>
            </w:pPr>
            <w:r>
              <w:rPr>
                <w:rFonts w:ascii="Times New Roman" w:hAnsi="Times New Roman"/>
              </w:rPr>
              <w:t> N/A</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2E1D964C" w14:textId="77777777">
            <w:pPr>
              <w:widowControl/>
              <w:rPr>
                <w:rFonts w:ascii="Times New Roman" w:hAnsi="Times New Roman"/>
              </w:rPr>
            </w:pPr>
            <w:r>
              <w:rPr>
                <w:rFonts w:ascii="Times New Roman" w:hAnsi="Times New Roman"/>
              </w:rPr>
              <w:t xml:space="preserve">$50 to $70 </w:t>
            </w:r>
          </w:p>
        </w:tc>
      </w:tr>
      <w:tr w14:paraId="6BF12E78"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7FA30299" w14:textId="77777777">
            <w:pPr>
              <w:widowControl/>
              <w:rPr>
                <w:rFonts w:ascii="Times New Roman" w:hAnsi="Times New Roman"/>
              </w:rPr>
            </w:pPr>
            <w:r>
              <w:rPr>
                <w:rFonts w:ascii="Times New Roman" w:hAnsi="Times New Roman"/>
              </w:rPr>
              <w:t>Final Push – Standard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2BA79B6C" w14:textId="77777777">
            <w:pPr>
              <w:widowControl/>
              <w:rPr>
                <w:rFonts w:ascii="Times New Roman" w:hAnsi="Times New Roman"/>
              </w:rPr>
            </w:pPr>
            <w:r>
              <w:rPr>
                <w:rFonts w:ascii="Times New Roman" w:hAnsi="Times New Roman"/>
              </w:rPr>
              <w:t>$30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5802512E" w14:textId="77777777">
            <w:pPr>
              <w:widowControl/>
              <w:rPr>
                <w:rFonts w:ascii="Times New Roman" w:hAnsi="Times New Roman"/>
              </w:rPr>
            </w:pPr>
            <w:r>
              <w:rPr>
                <w:rFonts w:ascii="Times New Roman" w:hAnsi="Times New Roman"/>
              </w:rPr>
              <w:t>$30</w:t>
            </w:r>
          </w:p>
        </w:tc>
      </w:tr>
      <w:tr w14:paraId="29A5D118"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1E90ACDA" w14:textId="77777777">
            <w:pPr>
              <w:widowControl/>
              <w:rPr>
                <w:rFonts w:ascii="Times New Roman" w:hAnsi="Times New Roman"/>
              </w:rPr>
            </w:pPr>
            <w:r>
              <w:rPr>
                <w:rFonts w:ascii="Times New Roman" w:hAnsi="Times New Roman"/>
              </w:rPr>
              <w:t>Final Push – Enhanced**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2F43F965" w14:textId="77777777">
            <w:pPr>
              <w:widowControl/>
              <w:rPr>
                <w:rFonts w:ascii="Times New Roman" w:hAnsi="Times New Roman"/>
              </w:rPr>
            </w:pPr>
            <w:r>
              <w:rPr>
                <w:rFonts w:ascii="Times New Roman" w:hAnsi="Times New Roman"/>
              </w:rPr>
              <w:t>$20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5DC35522" w14:textId="77777777">
            <w:pPr>
              <w:widowControl/>
              <w:rPr>
                <w:rFonts w:ascii="Times New Roman" w:hAnsi="Times New Roman"/>
              </w:rPr>
            </w:pPr>
            <w:r>
              <w:rPr>
                <w:rFonts w:ascii="Times New Roman" w:hAnsi="Times New Roman"/>
              </w:rPr>
              <w:t>$20</w:t>
            </w:r>
          </w:p>
        </w:tc>
      </w:tr>
      <w:tr w14:paraId="35B6E25F"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59535418" w14:textId="77777777">
            <w:pPr>
              <w:widowControl/>
              <w:rPr>
                <w:rFonts w:ascii="Times New Roman" w:hAnsi="Times New Roman"/>
              </w:rPr>
            </w:pPr>
            <w:r>
              <w:rPr>
                <w:rFonts w:ascii="Times New Roman" w:hAnsi="Times New Roman"/>
              </w:rPr>
              <w:t>In-kind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6CCDF668" w14:textId="77777777">
            <w:pPr>
              <w:widowControl/>
              <w:rPr>
                <w:rFonts w:ascii="Times New Roman" w:hAnsi="Times New Roman"/>
              </w:rPr>
            </w:pPr>
            <w:r>
              <w:rPr>
                <w:rFonts w:ascii="Times New Roman" w:hAnsi="Times New Roman"/>
              </w:rPr>
              <w:t>Up to $12</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3472DDE1" w14:textId="77777777">
            <w:pPr>
              <w:widowControl/>
              <w:rPr>
                <w:rFonts w:ascii="Times New Roman" w:hAnsi="Times New Roman"/>
              </w:rPr>
            </w:pPr>
            <w:r>
              <w:rPr>
                <w:rFonts w:ascii="Times New Roman" w:hAnsi="Times New Roman"/>
              </w:rPr>
              <w:t>Up to $12</w:t>
            </w:r>
          </w:p>
        </w:tc>
      </w:tr>
      <w:tr w14:paraId="3357628F" w14:textId="77777777" w:rsidTr="005E67DC">
        <w:tblPrEx>
          <w:tblW w:w="4427" w:type="pct"/>
          <w:tblCellMar>
            <w:left w:w="0" w:type="dxa"/>
            <w:right w:w="0" w:type="dxa"/>
          </w:tblCellMar>
          <w:tblLook w:val="04A0"/>
        </w:tblPrEx>
        <w:trPr>
          <w:trHeight w:val="43"/>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026" w:rsidP="005E67DC" w14:paraId="5F46E000" w14:textId="1DB02A41">
            <w:pPr>
              <w:widowControl/>
              <w:rPr>
                <w:rFonts w:ascii="Times New Roman" w:hAnsi="Times New Roman"/>
              </w:rPr>
            </w:pPr>
            <w:r>
              <w:rPr>
                <w:rFonts w:ascii="Times New Roman" w:hAnsi="Times New Roman"/>
              </w:rPr>
              <w:t>Gatekeeper</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tcPr>
          <w:p w:rsidR="00470026" w:rsidP="005E67DC" w14:paraId="3D0C393D" w14:textId="1DC7F88F">
            <w:pPr>
              <w:widowControl/>
              <w:rPr>
                <w:rFonts w:ascii="Times New Roman" w:hAnsi="Times New Roman"/>
              </w:rPr>
            </w:pPr>
            <w:r>
              <w:rPr>
                <w:rFonts w:ascii="Times New Roman" w:hAnsi="Times New Roman"/>
              </w:rPr>
              <w:t>About $5</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tcPr>
          <w:p w:rsidR="00470026" w:rsidP="005E67DC" w14:paraId="18FCBFD1" w14:textId="11EF36AE">
            <w:pPr>
              <w:widowControl/>
              <w:rPr>
                <w:rFonts w:ascii="Times New Roman" w:hAnsi="Times New Roman"/>
              </w:rPr>
            </w:pPr>
            <w:r>
              <w:rPr>
                <w:rFonts w:ascii="Times New Roman" w:hAnsi="Times New Roman"/>
              </w:rPr>
              <w:t>About $5</w:t>
            </w:r>
          </w:p>
        </w:tc>
      </w:tr>
      <w:tr w14:paraId="3A65CBE7" w14:textId="77777777" w:rsidTr="005E67DC">
        <w:tblPrEx>
          <w:tblW w:w="4427" w:type="pct"/>
          <w:tblCellMar>
            <w:left w:w="0" w:type="dxa"/>
            <w:right w:w="0" w:type="dxa"/>
          </w:tblCellMar>
          <w:tblLook w:val="04A0"/>
        </w:tblPrEx>
        <w:trPr>
          <w:trHeight w:val="43"/>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10944" w:rsidP="005E67DC" w14:paraId="441723FD" w14:textId="77777777">
            <w:pPr>
              <w:widowControl/>
              <w:rPr>
                <w:rFonts w:ascii="Times New Roman" w:hAnsi="Times New Roman"/>
              </w:rPr>
            </w:pP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tcPr>
          <w:p w:rsidR="00F10944" w:rsidP="005E67DC" w14:paraId="46CC73B5" w14:textId="77777777">
            <w:pPr>
              <w:widowControl/>
              <w:rPr>
                <w:rFonts w:ascii="Times New Roman" w:hAnsi="Times New Roman"/>
              </w:rPr>
            </w:pP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tcPr>
          <w:p w:rsidR="00F10944" w:rsidP="005E67DC" w14:paraId="2C7FB594" w14:textId="77777777">
            <w:pPr>
              <w:widowControl/>
              <w:rPr>
                <w:rFonts w:ascii="Times New Roman" w:hAnsi="Times New Roman"/>
              </w:rPr>
            </w:pPr>
          </w:p>
        </w:tc>
      </w:tr>
      <w:tr w14:paraId="4DAB566C"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6E4C2E4A" w14:textId="77777777">
            <w:pPr>
              <w:widowControl/>
              <w:rPr>
                <w:rFonts w:ascii="Times New Roman" w:hAnsi="Times New Roman"/>
              </w:rPr>
            </w:pPr>
            <w:r>
              <w:rPr>
                <w:rFonts w:ascii="Times New Roman" w:hAnsi="Times New Roman"/>
              </w:rPr>
              <w:t>Min</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7B98B0C2" w14:textId="77777777">
            <w:pPr>
              <w:widowControl/>
              <w:rPr>
                <w:rFonts w:ascii="Times New Roman" w:hAnsi="Times New Roman"/>
              </w:rPr>
            </w:pPr>
            <w:r>
              <w:rPr>
                <w:rFonts w:ascii="Times New Roman" w:hAnsi="Times New Roman"/>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2BC207A0" w14:textId="77777777">
            <w:pPr>
              <w:widowControl/>
              <w:rPr>
                <w:rFonts w:ascii="Times New Roman" w:hAnsi="Times New Roman"/>
              </w:rPr>
            </w:pPr>
            <w:r>
              <w:rPr>
                <w:rFonts w:ascii="Times New Roman" w:hAnsi="Times New Roman"/>
              </w:rPr>
              <w:t>$120</w:t>
            </w:r>
          </w:p>
        </w:tc>
      </w:tr>
      <w:tr w14:paraId="0B324F4A"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411F4A25" w14:textId="77777777">
            <w:pPr>
              <w:widowControl/>
              <w:rPr>
                <w:rFonts w:ascii="Times New Roman" w:hAnsi="Times New Roman"/>
              </w:rPr>
            </w:pPr>
            <w:r>
              <w:rPr>
                <w:rFonts w:ascii="Times New Roman" w:hAnsi="Times New Roman"/>
              </w:rPr>
              <w:t>Max***</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686C5045" w14:textId="7867D740">
            <w:pPr>
              <w:widowControl/>
              <w:rPr>
                <w:rFonts w:ascii="Times New Roman" w:hAnsi="Times New Roman"/>
              </w:rPr>
            </w:pPr>
            <w:r>
              <w:rPr>
                <w:rFonts w:ascii="Times New Roman" w:hAnsi="Times New Roman"/>
              </w:rPr>
              <w:t>$</w:t>
            </w:r>
            <w:r w:rsidR="00470026">
              <w:rPr>
                <w:rFonts w:ascii="Times New Roman" w:hAnsi="Times New Roman"/>
              </w:rPr>
              <w:t>132</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1E505750" w14:textId="42B9B05B">
            <w:pPr>
              <w:widowControl/>
              <w:rPr>
                <w:rFonts w:ascii="Times New Roman" w:hAnsi="Times New Roman"/>
              </w:rPr>
            </w:pPr>
            <w:r>
              <w:rPr>
                <w:rFonts w:ascii="Times New Roman" w:hAnsi="Times New Roman"/>
              </w:rPr>
              <w:t>$</w:t>
            </w:r>
            <w:r w:rsidR="00470026">
              <w:rPr>
                <w:rFonts w:ascii="Times New Roman" w:hAnsi="Times New Roman"/>
              </w:rPr>
              <w:t>202</w:t>
            </w:r>
          </w:p>
        </w:tc>
      </w:tr>
      <w:tr w14:paraId="727290CF" w14:textId="77777777" w:rsidTr="005E67DC">
        <w:tblPrEx>
          <w:tblW w:w="4427" w:type="pct"/>
          <w:tblCellMar>
            <w:left w:w="0" w:type="dxa"/>
            <w:right w:w="0" w:type="dxa"/>
          </w:tblCellMar>
          <w:tblLook w:val="04A0"/>
        </w:tblPrEx>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944" w:rsidP="005E67DC" w14:paraId="24187857" w14:textId="77777777">
            <w:pPr>
              <w:widowControl/>
              <w:rPr>
                <w:rFonts w:ascii="Times New Roman" w:hAnsi="Times New Roman"/>
              </w:rPr>
            </w:pPr>
            <w:r>
              <w:rPr>
                <w:rFonts w:ascii="Times New Roman" w:hAnsi="Times New Roman"/>
              </w:rPr>
              <w:t>Typical</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59CD6CC2" w14:textId="77777777">
            <w:pPr>
              <w:widowControl/>
              <w:rPr>
                <w:rFonts w:ascii="Times New Roman" w:hAnsi="Times New Roman"/>
              </w:rPr>
            </w:pPr>
            <w:r>
              <w:rPr>
                <w:rFonts w:ascii="Times New Roman" w:hAnsi="Times New Roman"/>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0944" w:rsidP="005E67DC" w14:paraId="38D22F6F" w14:textId="77777777">
            <w:pPr>
              <w:widowControl/>
              <w:rPr>
                <w:rFonts w:ascii="Times New Roman" w:hAnsi="Times New Roman"/>
              </w:rPr>
            </w:pPr>
            <w:r>
              <w:rPr>
                <w:rFonts w:ascii="Times New Roman" w:hAnsi="Times New Roman"/>
              </w:rPr>
              <w:t>$120</w:t>
            </w:r>
          </w:p>
        </w:tc>
      </w:tr>
    </w:tbl>
    <w:p w:rsidR="00F10944" w:rsidRPr="004D6ED0" w:rsidP="00F10944" w14:paraId="302A4D16" w14:textId="77777777">
      <w:pPr>
        <w:widowControl/>
        <w:rPr>
          <w:rFonts w:ascii="Times New Roman" w:hAnsi="Times New Roman"/>
          <w:bCs/>
          <w:sz w:val="20"/>
          <w:szCs w:val="20"/>
        </w:rPr>
      </w:pPr>
      <w:r w:rsidRPr="004D6ED0">
        <w:rPr>
          <w:rFonts w:ascii="Times New Roman" w:hAnsi="Times New Roman"/>
          <w:bCs/>
          <w:sz w:val="20"/>
          <w:szCs w:val="20"/>
        </w:rPr>
        <w:t>* Early Bird incentives are experimentally assigned as described below.</w:t>
      </w:r>
    </w:p>
    <w:p w:rsidR="00F10944" w:rsidP="00F10944" w14:paraId="61DC1071" w14:textId="77777777">
      <w:pPr>
        <w:widowControl/>
        <w:rPr>
          <w:rFonts w:ascii="Times New Roman" w:hAnsi="Times New Roman"/>
          <w:bCs/>
          <w:sz w:val="20"/>
          <w:szCs w:val="20"/>
        </w:rPr>
      </w:pPr>
      <w:r w:rsidRPr="004D6ED0">
        <w:rPr>
          <w:rFonts w:ascii="Times New Roman" w:hAnsi="Times New Roman"/>
          <w:bCs/>
          <w:sz w:val="20"/>
          <w:szCs w:val="20"/>
        </w:rPr>
        <w:t xml:space="preserve">** Enhanced final push is </w:t>
      </w:r>
      <w:r>
        <w:rPr>
          <w:rFonts w:ascii="Times New Roman" w:hAnsi="Times New Roman"/>
          <w:bCs/>
          <w:sz w:val="20"/>
          <w:szCs w:val="20"/>
        </w:rPr>
        <w:t>in addition to</w:t>
      </w:r>
      <w:r w:rsidRPr="004D6ED0">
        <w:rPr>
          <w:rFonts w:ascii="Times New Roman" w:hAnsi="Times New Roman"/>
          <w:bCs/>
          <w:sz w:val="20"/>
          <w:szCs w:val="20"/>
        </w:rPr>
        <w:t xml:space="preserve"> the standard final push</w:t>
      </w:r>
      <w:r>
        <w:rPr>
          <w:rFonts w:ascii="Times New Roman" w:hAnsi="Times New Roman"/>
          <w:bCs/>
          <w:sz w:val="20"/>
          <w:szCs w:val="20"/>
        </w:rPr>
        <w:t xml:space="preserve"> for eligible sample members</w:t>
      </w:r>
      <w:r w:rsidRPr="004D6ED0">
        <w:rPr>
          <w:rFonts w:ascii="Times New Roman" w:hAnsi="Times New Roman"/>
          <w:bCs/>
          <w:sz w:val="20"/>
          <w:szCs w:val="20"/>
        </w:rPr>
        <w:t>, so the total additional offer is $30+$20 = $50.</w:t>
      </w:r>
    </w:p>
    <w:p w:rsidR="00F10944" w:rsidRPr="004D6ED0" w:rsidP="00F10944" w14:paraId="526FBBE1" w14:textId="77777777">
      <w:pPr>
        <w:widowControl/>
        <w:rPr>
          <w:rFonts w:ascii="Times New Roman" w:hAnsi="Times New Roman"/>
          <w:bCs/>
          <w:sz w:val="20"/>
          <w:szCs w:val="20"/>
        </w:rPr>
      </w:pPr>
      <w:r>
        <w:rPr>
          <w:rFonts w:ascii="Times New Roman" w:hAnsi="Times New Roman"/>
          <w:bCs/>
          <w:sz w:val="20"/>
          <w:szCs w:val="20"/>
        </w:rPr>
        <w:t>*** Maximum does not include the in-kind bonus.</w:t>
      </w:r>
    </w:p>
    <w:p w:rsidR="00F10944" w:rsidP="00F10944" w14:paraId="2387981B" w14:textId="77777777">
      <w:pPr>
        <w:widowControl/>
        <w:rPr>
          <w:rFonts w:ascii="Times New Roman" w:hAnsi="Times New Roman"/>
          <w:bCs/>
        </w:rPr>
      </w:pPr>
    </w:p>
    <w:p w:rsidR="00F10944" w:rsidP="00F10944" w14:paraId="23E316D5" w14:textId="77777777">
      <w:pPr>
        <w:rPr>
          <w:rFonts w:ascii="Times New Roman" w:hAnsi="Times New Roman"/>
          <w:i/>
        </w:rPr>
      </w:pPr>
      <w:r>
        <w:rPr>
          <w:rFonts w:ascii="Times New Roman" w:hAnsi="Times New Roman"/>
          <w:i/>
        </w:rPr>
        <w:t>Base Incentive</w:t>
      </w:r>
    </w:p>
    <w:p w:rsidR="00F10944" w:rsidP="00F10944" w14:paraId="59EFA6BE" w14:textId="77777777">
      <w:pPr>
        <w:rPr>
          <w:rFonts w:ascii="Times New Roman" w:hAnsi="Times New Roman"/>
        </w:rPr>
      </w:pPr>
      <w:r>
        <w:rPr>
          <w:rFonts w:ascii="Times New Roman" w:hAnsi="Times New Roman"/>
        </w:rPr>
        <w:t>NLS will again offer a base respondent incentive of $70, the amount that was first introduced in Round 27 and repeated in Rounds 28-30.</w:t>
      </w:r>
    </w:p>
    <w:p w:rsidR="00F10944" w:rsidP="00F10944" w14:paraId="59DCBE28" w14:textId="77777777">
      <w:pPr>
        <w:rPr>
          <w:rFonts w:ascii="Times New Roman" w:hAnsi="Times New Roman"/>
        </w:rPr>
      </w:pPr>
    </w:p>
    <w:p w:rsidR="00F10944" w:rsidP="00F10944" w14:paraId="0477FD65" w14:textId="77777777">
      <w:pPr>
        <w:ind w:left="90" w:hanging="90"/>
        <w:jc w:val="both"/>
        <w:rPr>
          <w:rFonts w:ascii="Times New Roman" w:hAnsi="Times New Roman"/>
          <w:i/>
        </w:rPr>
      </w:pPr>
      <w:r>
        <w:rPr>
          <w:rFonts w:ascii="Times New Roman" w:hAnsi="Times New Roman"/>
          <w:i/>
        </w:rPr>
        <w:t>Early Bird Incentive</w:t>
      </w:r>
    </w:p>
    <w:p w:rsidR="00F10944" w:rsidP="00F10944" w14:paraId="0A40BEA5" w14:textId="77777777">
      <w:pPr>
        <w:widowControl/>
        <w:rPr>
          <w:rFonts w:ascii="Times New Roman" w:hAnsi="Times New Roman"/>
        </w:rPr>
      </w:pPr>
      <w:r w:rsidRPr="0043772B">
        <w:rPr>
          <w:rFonts w:ascii="Times New Roman" w:hAnsi="Times New Roman"/>
        </w:rPr>
        <w:t>In Rounds 27-</w:t>
      </w:r>
      <w:r>
        <w:rPr>
          <w:rFonts w:ascii="Times New Roman" w:hAnsi="Times New Roman"/>
        </w:rPr>
        <w:t>30 of the NLSY79</w:t>
      </w:r>
      <w:r w:rsidRPr="0043772B">
        <w:rPr>
          <w:rFonts w:ascii="Times New Roman" w:hAnsi="Times New Roman"/>
        </w:rPr>
        <w:t xml:space="preserve">, </w:t>
      </w:r>
      <w:r>
        <w:rPr>
          <w:rFonts w:ascii="Times New Roman" w:hAnsi="Times New Roman"/>
        </w:rPr>
        <w:t xml:space="preserve">all respondents were offered a $30 incentive (in addition to the base incentive) to provide their responses during the round’s Early Bird period.  The intention of this incentive has been to align payments to cooperative behavior and </w:t>
      </w:r>
      <w:r w:rsidRPr="0043772B">
        <w:rPr>
          <w:rFonts w:ascii="Times New Roman" w:hAnsi="Times New Roman"/>
        </w:rPr>
        <w:t xml:space="preserve">reduce </w:t>
      </w:r>
      <w:r>
        <w:rPr>
          <w:rFonts w:ascii="Times New Roman" w:hAnsi="Times New Roman"/>
        </w:rPr>
        <w:t>the</w:t>
      </w:r>
      <w:r w:rsidRPr="0043772B">
        <w:rPr>
          <w:rFonts w:ascii="Times New Roman" w:hAnsi="Times New Roman"/>
        </w:rPr>
        <w:t xml:space="preserve"> overall cost</w:t>
      </w:r>
      <w:r>
        <w:rPr>
          <w:rFonts w:ascii="Times New Roman" w:hAnsi="Times New Roman"/>
        </w:rPr>
        <w:t>s of the survey</w:t>
      </w:r>
      <w:r w:rsidRPr="0043772B">
        <w:rPr>
          <w:rFonts w:ascii="Times New Roman" w:hAnsi="Times New Roman"/>
        </w:rPr>
        <w:t>.</w:t>
      </w:r>
      <w:r>
        <w:rPr>
          <w:rFonts w:ascii="Times New Roman" w:hAnsi="Times New Roman"/>
        </w:rPr>
        <w:t xml:space="preserve">  In Round 31, NLS proposes an experiment designed to test the effectiveness of these early bird incentives relative to increased interviewer outreach.</w:t>
      </w:r>
    </w:p>
    <w:p w:rsidR="00F10944" w:rsidP="00F10944" w14:paraId="70DE8732" w14:textId="77777777">
      <w:pPr>
        <w:widowControl/>
        <w:rPr>
          <w:rFonts w:ascii="Times New Roman" w:hAnsi="Times New Roman"/>
        </w:rPr>
      </w:pPr>
    </w:p>
    <w:p w:rsidR="00F10944" w:rsidRPr="004D6ED0" w:rsidP="00F10944" w14:paraId="23F57F67" w14:textId="2B3C98E3">
      <w:pPr>
        <w:widowControl/>
        <w:rPr>
          <w:rFonts w:ascii="Times New Roman" w:hAnsi="Times New Roman"/>
        </w:rPr>
      </w:pPr>
      <w:r>
        <w:rPr>
          <w:rFonts w:ascii="Times New Roman" w:hAnsi="Times New Roman"/>
        </w:rPr>
        <w:t xml:space="preserve">There are several motivations for conducting this exploration. To start, early bird incentives have historically been paid to roughly half of NLSY79 respondents in a given round and represent a significant cost. Total paid early bird incentives amounted to $91,380 in Round 30 and $102,420 in Round 29. Because most early bird incentives are paid to relatively cooperative respondents, this expenditure may not be effectively targeted to increase overall response. As can be seen in Table </w:t>
      </w:r>
      <w:r w:rsidR="007D2019">
        <w:rPr>
          <w:rFonts w:ascii="Times New Roman" w:hAnsi="Times New Roman"/>
        </w:rPr>
        <w:t>4</w:t>
      </w:r>
      <w:r>
        <w:rPr>
          <w:rFonts w:ascii="Times New Roman" w:hAnsi="Times New Roman"/>
        </w:rPr>
        <w:t>, almost half of the sample that had completed in the prior round completed in the early bird period</w:t>
      </w:r>
      <w:r w:rsidR="00F66632">
        <w:rPr>
          <w:rFonts w:ascii="Times New Roman" w:hAnsi="Times New Roman"/>
        </w:rPr>
        <w:t xml:space="preserve"> (for both Round 29 and Round 30)</w:t>
      </w:r>
      <w:r>
        <w:rPr>
          <w:rFonts w:ascii="Times New Roman" w:hAnsi="Times New Roman"/>
        </w:rPr>
        <w:t>. And over 96% of early bird respondents across both rounds were cases that had completed in the prior round. Additionally, there are a sizable number of NLSY79 respondents who complete the survey with the early bird incentive in one round while completing it without early bird in a different round. For example, only 65% of the respondents who completed early bird in Round 30 also completed early bird in Round 29. Given this behavior, it is possible that many early bird respondents would have completed without the increased incentive.</w:t>
      </w:r>
    </w:p>
    <w:p w:rsidR="00F10944" w:rsidP="00F10944" w14:paraId="1C255E2C" w14:textId="77777777">
      <w:pPr>
        <w:widowControl/>
        <w:rPr>
          <w:rFonts w:ascii="Times New Roman" w:hAnsi="Times New Roman"/>
        </w:rPr>
      </w:pPr>
    </w:p>
    <w:p w:rsidR="00F10944" w:rsidRPr="004D6ED0" w:rsidP="00F10944" w14:paraId="609A89F6" w14:textId="38E54935">
      <w:pPr>
        <w:widowControl/>
        <w:rPr>
          <w:rFonts w:ascii="Times New Roman" w:hAnsi="Times New Roman"/>
          <w:b/>
          <w:bCs/>
        </w:rPr>
      </w:pPr>
      <w:bookmarkStart w:id="1" w:name="OLE_LINK6"/>
      <w:r w:rsidRPr="004D6ED0">
        <w:rPr>
          <w:rFonts w:ascii="Times New Roman" w:hAnsi="Times New Roman"/>
          <w:b/>
          <w:bCs/>
        </w:rPr>
        <w:t xml:space="preserve">Table </w:t>
      </w:r>
      <w:r w:rsidR="007D2019">
        <w:rPr>
          <w:rFonts w:ascii="Times New Roman" w:hAnsi="Times New Roman"/>
          <w:b/>
          <w:bCs/>
        </w:rPr>
        <w:t>4</w:t>
      </w:r>
      <w:r w:rsidRPr="004D6ED0">
        <w:rPr>
          <w:rFonts w:ascii="Times New Roman" w:hAnsi="Times New Roman"/>
          <w:b/>
          <w:bCs/>
        </w:rPr>
        <w:t>. Number of early bird respondents and completion rate by prior round category.</w:t>
      </w:r>
    </w:p>
    <w:tbl>
      <w:tblPr>
        <w:tblStyle w:val="TableGrid"/>
        <w:tblW w:w="0" w:type="auto"/>
        <w:tblInd w:w="0" w:type="dxa"/>
        <w:tblLook w:val="04A0"/>
      </w:tblPr>
      <w:tblGrid>
        <w:gridCol w:w="2245"/>
        <w:gridCol w:w="1710"/>
        <w:gridCol w:w="1980"/>
        <w:gridCol w:w="1530"/>
        <w:gridCol w:w="1885"/>
      </w:tblGrid>
      <w:tr w14:paraId="48E76F47" w14:textId="77777777" w:rsidTr="005E67DC">
        <w:tblPrEx>
          <w:tblW w:w="0" w:type="auto"/>
          <w:tblInd w:w="0" w:type="dxa"/>
          <w:tblLook w:val="04A0"/>
        </w:tblPrEx>
        <w:tc>
          <w:tcPr>
            <w:tcW w:w="2245" w:type="dxa"/>
          </w:tcPr>
          <w:p w:rsidR="00F10944" w:rsidRPr="004D6ED0" w:rsidP="005E67DC" w14:paraId="23AB8340" w14:textId="77777777">
            <w:pPr>
              <w:widowControl/>
              <w:rPr>
                <w:rFonts w:ascii="Times New Roman" w:hAnsi="Times New Roman"/>
                <w:b/>
                <w:bCs/>
              </w:rPr>
            </w:pPr>
            <w:r w:rsidRPr="004D6ED0">
              <w:rPr>
                <w:rFonts w:ascii="Times New Roman" w:hAnsi="Times New Roman"/>
                <w:b/>
                <w:bCs/>
              </w:rPr>
              <w:t>Prior Round Status</w:t>
            </w:r>
          </w:p>
        </w:tc>
        <w:tc>
          <w:tcPr>
            <w:tcW w:w="1710" w:type="dxa"/>
            <w:tcMar>
              <w:left w:w="29" w:type="dxa"/>
              <w:right w:w="29" w:type="dxa"/>
            </w:tcMar>
          </w:tcPr>
          <w:p w:rsidR="00F10944" w:rsidRPr="004D6ED0" w:rsidP="005E67DC" w14:paraId="05D702C6" w14:textId="77777777">
            <w:pPr>
              <w:widowControl/>
              <w:jc w:val="center"/>
              <w:rPr>
                <w:rFonts w:ascii="Times New Roman" w:hAnsi="Times New Roman"/>
                <w:b/>
                <w:bCs/>
              </w:rPr>
            </w:pPr>
            <w:r w:rsidRPr="004D6ED0">
              <w:rPr>
                <w:rFonts w:ascii="Times New Roman" w:hAnsi="Times New Roman"/>
                <w:b/>
                <w:bCs/>
              </w:rPr>
              <w:t>R29 EB N</w:t>
            </w:r>
          </w:p>
        </w:tc>
        <w:tc>
          <w:tcPr>
            <w:tcW w:w="1980" w:type="dxa"/>
            <w:tcMar>
              <w:left w:w="29" w:type="dxa"/>
              <w:right w:w="29" w:type="dxa"/>
            </w:tcMar>
          </w:tcPr>
          <w:p w:rsidR="00F10944" w:rsidRPr="004D6ED0" w:rsidP="005E67DC" w14:paraId="24921536" w14:textId="77777777">
            <w:pPr>
              <w:widowControl/>
              <w:jc w:val="center"/>
              <w:rPr>
                <w:rFonts w:ascii="Times New Roman" w:hAnsi="Times New Roman"/>
                <w:b/>
                <w:bCs/>
              </w:rPr>
            </w:pPr>
            <w:r w:rsidRPr="004D6ED0">
              <w:rPr>
                <w:rFonts w:ascii="Times New Roman" w:hAnsi="Times New Roman"/>
                <w:b/>
                <w:bCs/>
              </w:rPr>
              <w:t>R29 EB Comp %</w:t>
            </w:r>
          </w:p>
        </w:tc>
        <w:tc>
          <w:tcPr>
            <w:tcW w:w="1530" w:type="dxa"/>
            <w:tcMar>
              <w:left w:w="29" w:type="dxa"/>
              <w:right w:w="29" w:type="dxa"/>
            </w:tcMar>
          </w:tcPr>
          <w:p w:rsidR="00F10944" w:rsidRPr="004D6ED0" w:rsidP="005E67DC" w14:paraId="134483B3" w14:textId="77777777">
            <w:pPr>
              <w:widowControl/>
              <w:jc w:val="center"/>
              <w:rPr>
                <w:rFonts w:ascii="Times New Roman" w:hAnsi="Times New Roman"/>
                <w:b/>
                <w:bCs/>
              </w:rPr>
            </w:pPr>
            <w:r w:rsidRPr="004D6ED0">
              <w:rPr>
                <w:rFonts w:ascii="Times New Roman" w:hAnsi="Times New Roman"/>
                <w:b/>
                <w:bCs/>
              </w:rPr>
              <w:t>R30 EB N</w:t>
            </w:r>
          </w:p>
        </w:tc>
        <w:tc>
          <w:tcPr>
            <w:tcW w:w="1885" w:type="dxa"/>
            <w:tcMar>
              <w:left w:w="29" w:type="dxa"/>
              <w:right w:w="29" w:type="dxa"/>
            </w:tcMar>
          </w:tcPr>
          <w:p w:rsidR="00F10944" w:rsidRPr="004D6ED0" w:rsidP="005E67DC" w14:paraId="467D1DA7" w14:textId="77777777">
            <w:pPr>
              <w:widowControl/>
              <w:jc w:val="center"/>
              <w:rPr>
                <w:rFonts w:ascii="Times New Roman" w:hAnsi="Times New Roman"/>
                <w:b/>
                <w:bCs/>
              </w:rPr>
            </w:pPr>
            <w:r w:rsidRPr="004D6ED0">
              <w:rPr>
                <w:rFonts w:ascii="Times New Roman" w:hAnsi="Times New Roman"/>
                <w:b/>
                <w:bCs/>
              </w:rPr>
              <w:t>R30 EB Comp %</w:t>
            </w:r>
          </w:p>
        </w:tc>
      </w:tr>
      <w:tr w14:paraId="4486623D" w14:textId="77777777" w:rsidTr="005E67DC">
        <w:tblPrEx>
          <w:tblW w:w="0" w:type="auto"/>
          <w:tblInd w:w="0" w:type="dxa"/>
          <w:tblLook w:val="04A0"/>
        </w:tblPrEx>
        <w:tc>
          <w:tcPr>
            <w:tcW w:w="2245" w:type="dxa"/>
          </w:tcPr>
          <w:p w:rsidR="00F10944" w:rsidP="005E67DC" w14:paraId="71A4C7F0" w14:textId="77777777">
            <w:pPr>
              <w:widowControl/>
              <w:rPr>
                <w:rFonts w:ascii="Times New Roman" w:hAnsi="Times New Roman"/>
              </w:rPr>
            </w:pPr>
            <w:bookmarkStart w:id="2" w:name="_Hlk155359717"/>
            <w:r>
              <w:rPr>
                <w:rFonts w:ascii="Times New Roman" w:hAnsi="Times New Roman"/>
              </w:rPr>
              <w:t>Last Round Comp</w:t>
            </w:r>
          </w:p>
        </w:tc>
        <w:tc>
          <w:tcPr>
            <w:tcW w:w="1710" w:type="dxa"/>
            <w:tcMar>
              <w:left w:w="29" w:type="dxa"/>
              <w:right w:w="29" w:type="dxa"/>
            </w:tcMar>
          </w:tcPr>
          <w:p w:rsidR="00F10944" w:rsidP="005E67DC" w14:paraId="59973786" w14:textId="77777777">
            <w:pPr>
              <w:widowControl/>
              <w:jc w:val="center"/>
              <w:rPr>
                <w:rFonts w:ascii="Times New Roman" w:hAnsi="Times New Roman"/>
              </w:rPr>
            </w:pPr>
            <w:r>
              <w:rPr>
                <w:rFonts w:ascii="Times New Roman" w:hAnsi="Times New Roman"/>
              </w:rPr>
              <w:t>3303 (96.7%)</w:t>
            </w:r>
          </w:p>
        </w:tc>
        <w:tc>
          <w:tcPr>
            <w:tcW w:w="1980" w:type="dxa"/>
            <w:tcMar>
              <w:left w:w="29" w:type="dxa"/>
              <w:right w:w="29" w:type="dxa"/>
            </w:tcMar>
          </w:tcPr>
          <w:p w:rsidR="00F10944" w:rsidP="005E67DC" w14:paraId="1939FAE8" w14:textId="77777777">
            <w:pPr>
              <w:widowControl/>
              <w:jc w:val="center"/>
              <w:rPr>
                <w:rFonts w:ascii="Times New Roman" w:hAnsi="Times New Roman"/>
              </w:rPr>
            </w:pPr>
            <w:r>
              <w:rPr>
                <w:rFonts w:ascii="Times New Roman" w:hAnsi="Times New Roman"/>
              </w:rPr>
              <w:t>48.0%</w:t>
            </w:r>
          </w:p>
        </w:tc>
        <w:tc>
          <w:tcPr>
            <w:tcW w:w="1530" w:type="dxa"/>
            <w:tcMar>
              <w:left w:w="29" w:type="dxa"/>
              <w:right w:w="29" w:type="dxa"/>
            </w:tcMar>
          </w:tcPr>
          <w:p w:rsidR="00F10944" w:rsidP="005E67DC" w14:paraId="605B46FC" w14:textId="77777777">
            <w:pPr>
              <w:widowControl/>
              <w:jc w:val="center"/>
              <w:rPr>
                <w:rFonts w:ascii="Times New Roman" w:hAnsi="Times New Roman"/>
              </w:rPr>
            </w:pPr>
            <w:r>
              <w:rPr>
                <w:rFonts w:ascii="Times New Roman" w:hAnsi="Times New Roman"/>
              </w:rPr>
              <w:t>2969 (97.5%)</w:t>
            </w:r>
          </w:p>
        </w:tc>
        <w:tc>
          <w:tcPr>
            <w:tcW w:w="1885" w:type="dxa"/>
            <w:tcMar>
              <w:left w:w="29" w:type="dxa"/>
              <w:right w:w="29" w:type="dxa"/>
            </w:tcMar>
          </w:tcPr>
          <w:p w:rsidR="00F10944" w:rsidP="005E67DC" w14:paraId="28BF0DEF" w14:textId="77777777">
            <w:pPr>
              <w:widowControl/>
              <w:jc w:val="center"/>
              <w:rPr>
                <w:rFonts w:ascii="Times New Roman" w:hAnsi="Times New Roman"/>
              </w:rPr>
            </w:pPr>
            <w:r>
              <w:rPr>
                <w:rFonts w:ascii="Times New Roman" w:hAnsi="Times New Roman"/>
              </w:rPr>
              <w:t>45.4%</w:t>
            </w:r>
          </w:p>
        </w:tc>
      </w:tr>
      <w:tr w14:paraId="314D4152" w14:textId="77777777" w:rsidTr="005E67DC">
        <w:tblPrEx>
          <w:tblW w:w="0" w:type="auto"/>
          <w:tblInd w:w="0" w:type="dxa"/>
          <w:tblLook w:val="04A0"/>
        </w:tblPrEx>
        <w:tc>
          <w:tcPr>
            <w:tcW w:w="2245" w:type="dxa"/>
          </w:tcPr>
          <w:p w:rsidR="00F10944" w:rsidP="005E67DC" w14:paraId="7273A4E2" w14:textId="77777777">
            <w:pPr>
              <w:widowControl/>
              <w:rPr>
                <w:rFonts w:ascii="Times New Roman" w:hAnsi="Times New Roman"/>
              </w:rPr>
            </w:pPr>
            <w:bookmarkStart w:id="3" w:name="_Hlk155359903"/>
            <w:r>
              <w:rPr>
                <w:rFonts w:ascii="Times New Roman" w:hAnsi="Times New Roman"/>
              </w:rPr>
              <w:t>Out 1 Round</w:t>
            </w:r>
          </w:p>
        </w:tc>
        <w:tc>
          <w:tcPr>
            <w:tcW w:w="1710" w:type="dxa"/>
            <w:tcMar>
              <w:left w:w="29" w:type="dxa"/>
              <w:right w:w="29" w:type="dxa"/>
            </w:tcMar>
          </w:tcPr>
          <w:p w:rsidR="00F10944" w:rsidP="005E67DC" w14:paraId="5989736D" w14:textId="77777777">
            <w:pPr>
              <w:widowControl/>
              <w:jc w:val="center"/>
              <w:rPr>
                <w:rFonts w:ascii="Times New Roman" w:hAnsi="Times New Roman"/>
              </w:rPr>
            </w:pPr>
            <w:r>
              <w:rPr>
                <w:rFonts w:ascii="Times New Roman" w:hAnsi="Times New Roman"/>
              </w:rPr>
              <w:t>31 (0.9%)</w:t>
            </w:r>
          </w:p>
        </w:tc>
        <w:tc>
          <w:tcPr>
            <w:tcW w:w="1980" w:type="dxa"/>
            <w:tcMar>
              <w:left w:w="29" w:type="dxa"/>
              <w:right w:w="29" w:type="dxa"/>
            </w:tcMar>
          </w:tcPr>
          <w:p w:rsidR="00F10944" w:rsidP="005E67DC" w14:paraId="091E0A39" w14:textId="77777777">
            <w:pPr>
              <w:widowControl/>
              <w:jc w:val="center"/>
              <w:rPr>
                <w:rFonts w:ascii="Times New Roman" w:hAnsi="Times New Roman"/>
              </w:rPr>
            </w:pPr>
            <w:r>
              <w:rPr>
                <w:rFonts w:ascii="Times New Roman" w:hAnsi="Times New Roman"/>
              </w:rPr>
              <w:t>11.0%</w:t>
            </w:r>
          </w:p>
        </w:tc>
        <w:tc>
          <w:tcPr>
            <w:tcW w:w="1530" w:type="dxa"/>
            <w:tcMar>
              <w:left w:w="29" w:type="dxa"/>
              <w:right w:w="29" w:type="dxa"/>
            </w:tcMar>
          </w:tcPr>
          <w:p w:rsidR="00F10944" w:rsidP="005E67DC" w14:paraId="607AD637" w14:textId="77777777">
            <w:pPr>
              <w:widowControl/>
              <w:jc w:val="center"/>
              <w:rPr>
                <w:rFonts w:ascii="Times New Roman" w:hAnsi="Times New Roman"/>
              </w:rPr>
            </w:pPr>
            <w:r>
              <w:rPr>
                <w:rFonts w:ascii="Times New Roman" w:hAnsi="Times New Roman"/>
              </w:rPr>
              <w:t>37 (1.2%)</w:t>
            </w:r>
          </w:p>
        </w:tc>
        <w:tc>
          <w:tcPr>
            <w:tcW w:w="1885" w:type="dxa"/>
            <w:tcMar>
              <w:left w:w="29" w:type="dxa"/>
              <w:right w:w="29" w:type="dxa"/>
            </w:tcMar>
          </w:tcPr>
          <w:p w:rsidR="00F10944" w:rsidP="005E67DC" w14:paraId="6378EDF2" w14:textId="77777777">
            <w:pPr>
              <w:widowControl/>
              <w:jc w:val="center"/>
              <w:rPr>
                <w:rFonts w:ascii="Times New Roman" w:hAnsi="Times New Roman"/>
              </w:rPr>
            </w:pPr>
            <w:r>
              <w:rPr>
                <w:rFonts w:ascii="Times New Roman" w:hAnsi="Times New Roman"/>
              </w:rPr>
              <w:t>8.2%</w:t>
            </w:r>
          </w:p>
        </w:tc>
      </w:tr>
      <w:tr w14:paraId="4825A747" w14:textId="77777777" w:rsidTr="005E67DC">
        <w:tblPrEx>
          <w:tblW w:w="0" w:type="auto"/>
          <w:tblInd w:w="0" w:type="dxa"/>
          <w:tblLook w:val="04A0"/>
        </w:tblPrEx>
        <w:tc>
          <w:tcPr>
            <w:tcW w:w="2245" w:type="dxa"/>
          </w:tcPr>
          <w:p w:rsidR="00F10944" w:rsidP="005E67DC" w14:paraId="7BCFA98C" w14:textId="77777777">
            <w:pPr>
              <w:widowControl/>
              <w:rPr>
                <w:rFonts w:ascii="Times New Roman" w:hAnsi="Times New Roman"/>
              </w:rPr>
            </w:pPr>
            <w:r>
              <w:rPr>
                <w:rFonts w:ascii="Times New Roman" w:hAnsi="Times New Roman"/>
              </w:rPr>
              <w:t>Out 2 Rounds</w:t>
            </w:r>
          </w:p>
        </w:tc>
        <w:tc>
          <w:tcPr>
            <w:tcW w:w="1710" w:type="dxa"/>
            <w:tcMar>
              <w:left w:w="29" w:type="dxa"/>
              <w:right w:w="29" w:type="dxa"/>
            </w:tcMar>
          </w:tcPr>
          <w:p w:rsidR="00F10944" w:rsidP="005E67DC" w14:paraId="68A859FE" w14:textId="77777777">
            <w:pPr>
              <w:widowControl/>
              <w:jc w:val="center"/>
              <w:rPr>
                <w:rFonts w:ascii="Times New Roman" w:hAnsi="Times New Roman"/>
              </w:rPr>
            </w:pPr>
            <w:r>
              <w:rPr>
                <w:rFonts w:ascii="Times New Roman" w:hAnsi="Times New Roman"/>
              </w:rPr>
              <w:t>12 (0.4%)</w:t>
            </w:r>
          </w:p>
        </w:tc>
        <w:tc>
          <w:tcPr>
            <w:tcW w:w="1980" w:type="dxa"/>
            <w:tcMar>
              <w:left w:w="29" w:type="dxa"/>
              <w:right w:w="29" w:type="dxa"/>
            </w:tcMar>
          </w:tcPr>
          <w:p w:rsidR="00F10944" w:rsidP="005E67DC" w14:paraId="1D91421D" w14:textId="77777777">
            <w:pPr>
              <w:widowControl/>
              <w:jc w:val="center"/>
              <w:rPr>
                <w:rFonts w:ascii="Times New Roman" w:hAnsi="Times New Roman"/>
              </w:rPr>
            </w:pPr>
            <w:r>
              <w:rPr>
                <w:rFonts w:ascii="Times New Roman" w:hAnsi="Times New Roman"/>
              </w:rPr>
              <w:t>5.4%</w:t>
            </w:r>
          </w:p>
        </w:tc>
        <w:tc>
          <w:tcPr>
            <w:tcW w:w="1530" w:type="dxa"/>
            <w:tcMar>
              <w:left w:w="29" w:type="dxa"/>
              <w:right w:w="29" w:type="dxa"/>
            </w:tcMar>
          </w:tcPr>
          <w:p w:rsidR="00F10944" w:rsidP="005E67DC" w14:paraId="68A20808" w14:textId="77777777">
            <w:pPr>
              <w:widowControl/>
              <w:jc w:val="center"/>
              <w:rPr>
                <w:rFonts w:ascii="Times New Roman" w:hAnsi="Times New Roman"/>
              </w:rPr>
            </w:pPr>
            <w:r>
              <w:rPr>
                <w:rFonts w:ascii="Times New Roman" w:hAnsi="Times New Roman"/>
              </w:rPr>
              <w:t>16 (0.5%)</w:t>
            </w:r>
          </w:p>
        </w:tc>
        <w:tc>
          <w:tcPr>
            <w:tcW w:w="1885" w:type="dxa"/>
            <w:tcMar>
              <w:left w:w="29" w:type="dxa"/>
              <w:right w:w="29" w:type="dxa"/>
            </w:tcMar>
          </w:tcPr>
          <w:p w:rsidR="00F10944" w:rsidP="005E67DC" w14:paraId="2B1B0F46" w14:textId="77777777">
            <w:pPr>
              <w:widowControl/>
              <w:jc w:val="center"/>
              <w:rPr>
                <w:rFonts w:ascii="Times New Roman" w:hAnsi="Times New Roman"/>
              </w:rPr>
            </w:pPr>
            <w:r>
              <w:rPr>
                <w:rFonts w:ascii="Times New Roman" w:hAnsi="Times New Roman"/>
              </w:rPr>
              <w:t>8.7%</w:t>
            </w:r>
          </w:p>
        </w:tc>
      </w:tr>
      <w:tr w14:paraId="6520BABE" w14:textId="77777777" w:rsidTr="005E67DC">
        <w:tblPrEx>
          <w:tblW w:w="0" w:type="auto"/>
          <w:tblInd w:w="0" w:type="dxa"/>
          <w:tblLook w:val="04A0"/>
        </w:tblPrEx>
        <w:tc>
          <w:tcPr>
            <w:tcW w:w="2245" w:type="dxa"/>
          </w:tcPr>
          <w:p w:rsidR="00F10944" w:rsidP="005E67DC" w14:paraId="678F2722" w14:textId="77777777">
            <w:pPr>
              <w:widowControl/>
              <w:rPr>
                <w:rFonts w:ascii="Times New Roman" w:hAnsi="Times New Roman"/>
              </w:rPr>
            </w:pPr>
            <w:r>
              <w:rPr>
                <w:rFonts w:ascii="Times New Roman" w:hAnsi="Times New Roman"/>
              </w:rPr>
              <w:t>Out 3 Rounds</w:t>
            </w:r>
          </w:p>
        </w:tc>
        <w:tc>
          <w:tcPr>
            <w:tcW w:w="1710" w:type="dxa"/>
            <w:tcMar>
              <w:left w:w="29" w:type="dxa"/>
              <w:right w:w="29" w:type="dxa"/>
            </w:tcMar>
          </w:tcPr>
          <w:p w:rsidR="00F10944" w:rsidP="005E67DC" w14:paraId="79DD231B" w14:textId="77777777">
            <w:pPr>
              <w:widowControl/>
              <w:jc w:val="center"/>
              <w:rPr>
                <w:rFonts w:ascii="Times New Roman" w:hAnsi="Times New Roman"/>
              </w:rPr>
            </w:pPr>
            <w:r>
              <w:rPr>
                <w:rFonts w:ascii="Times New Roman" w:hAnsi="Times New Roman"/>
              </w:rPr>
              <w:t>16 (0.5%)</w:t>
            </w:r>
          </w:p>
        </w:tc>
        <w:tc>
          <w:tcPr>
            <w:tcW w:w="1980" w:type="dxa"/>
            <w:tcMar>
              <w:left w:w="29" w:type="dxa"/>
              <w:right w:w="29" w:type="dxa"/>
            </w:tcMar>
          </w:tcPr>
          <w:p w:rsidR="00F10944" w:rsidP="005E67DC" w14:paraId="3398C842" w14:textId="77777777">
            <w:pPr>
              <w:widowControl/>
              <w:jc w:val="center"/>
              <w:rPr>
                <w:rFonts w:ascii="Times New Roman" w:hAnsi="Times New Roman"/>
              </w:rPr>
            </w:pPr>
            <w:r>
              <w:rPr>
                <w:rFonts w:ascii="Times New Roman" w:hAnsi="Times New Roman"/>
              </w:rPr>
              <w:t>8.7%</w:t>
            </w:r>
          </w:p>
        </w:tc>
        <w:tc>
          <w:tcPr>
            <w:tcW w:w="1530" w:type="dxa"/>
            <w:tcMar>
              <w:left w:w="29" w:type="dxa"/>
              <w:right w:w="29" w:type="dxa"/>
            </w:tcMar>
          </w:tcPr>
          <w:p w:rsidR="00F10944" w:rsidP="005E67DC" w14:paraId="074752CA" w14:textId="77777777">
            <w:pPr>
              <w:widowControl/>
              <w:jc w:val="center"/>
              <w:rPr>
                <w:rFonts w:ascii="Times New Roman" w:hAnsi="Times New Roman"/>
              </w:rPr>
            </w:pPr>
            <w:r>
              <w:rPr>
                <w:rFonts w:ascii="Times New Roman" w:hAnsi="Times New Roman"/>
              </w:rPr>
              <w:t>8 (0.3%)</w:t>
            </w:r>
          </w:p>
        </w:tc>
        <w:tc>
          <w:tcPr>
            <w:tcW w:w="1885" w:type="dxa"/>
            <w:tcMar>
              <w:left w:w="29" w:type="dxa"/>
              <w:right w:w="29" w:type="dxa"/>
            </w:tcMar>
          </w:tcPr>
          <w:p w:rsidR="00F10944" w:rsidP="005E67DC" w14:paraId="563FB572" w14:textId="77777777">
            <w:pPr>
              <w:widowControl/>
              <w:jc w:val="center"/>
              <w:rPr>
                <w:rFonts w:ascii="Times New Roman" w:hAnsi="Times New Roman"/>
              </w:rPr>
            </w:pPr>
            <w:r>
              <w:rPr>
                <w:rFonts w:ascii="Times New Roman" w:hAnsi="Times New Roman"/>
              </w:rPr>
              <w:t>4.7%</w:t>
            </w:r>
          </w:p>
        </w:tc>
      </w:tr>
      <w:tr w14:paraId="485A0416" w14:textId="77777777" w:rsidTr="005E67DC">
        <w:tblPrEx>
          <w:tblW w:w="0" w:type="auto"/>
          <w:tblInd w:w="0" w:type="dxa"/>
          <w:tblLook w:val="04A0"/>
        </w:tblPrEx>
        <w:tc>
          <w:tcPr>
            <w:tcW w:w="2245" w:type="dxa"/>
          </w:tcPr>
          <w:p w:rsidR="00F10944" w:rsidP="005E67DC" w14:paraId="33A8ED2E" w14:textId="77777777">
            <w:pPr>
              <w:widowControl/>
              <w:rPr>
                <w:rFonts w:ascii="Times New Roman" w:hAnsi="Times New Roman"/>
              </w:rPr>
            </w:pPr>
            <w:r>
              <w:rPr>
                <w:rFonts w:ascii="Times New Roman" w:hAnsi="Times New Roman"/>
              </w:rPr>
              <w:t>Out 4 Rounds</w:t>
            </w:r>
          </w:p>
        </w:tc>
        <w:tc>
          <w:tcPr>
            <w:tcW w:w="1710" w:type="dxa"/>
            <w:tcMar>
              <w:left w:w="29" w:type="dxa"/>
              <w:right w:w="29" w:type="dxa"/>
            </w:tcMar>
          </w:tcPr>
          <w:p w:rsidR="00F10944" w:rsidP="005E67DC" w14:paraId="729FD599" w14:textId="77777777">
            <w:pPr>
              <w:widowControl/>
              <w:jc w:val="center"/>
              <w:rPr>
                <w:rFonts w:ascii="Times New Roman" w:hAnsi="Times New Roman"/>
              </w:rPr>
            </w:pPr>
            <w:r>
              <w:rPr>
                <w:rFonts w:ascii="Times New Roman" w:hAnsi="Times New Roman"/>
              </w:rPr>
              <w:t>7 (0.2%)</w:t>
            </w:r>
          </w:p>
        </w:tc>
        <w:tc>
          <w:tcPr>
            <w:tcW w:w="1980" w:type="dxa"/>
            <w:tcMar>
              <w:left w:w="29" w:type="dxa"/>
              <w:right w:w="29" w:type="dxa"/>
            </w:tcMar>
          </w:tcPr>
          <w:p w:rsidR="00F10944" w:rsidP="005E67DC" w14:paraId="78D25141" w14:textId="77777777">
            <w:pPr>
              <w:widowControl/>
              <w:jc w:val="center"/>
              <w:rPr>
                <w:rFonts w:ascii="Times New Roman" w:hAnsi="Times New Roman"/>
              </w:rPr>
            </w:pPr>
            <w:r>
              <w:rPr>
                <w:rFonts w:ascii="Times New Roman" w:hAnsi="Times New Roman"/>
              </w:rPr>
              <w:t>5.6%</w:t>
            </w:r>
          </w:p>
        </w:tc>
        <w:tc>
          <w:tcPr>
            <w:tcW w:w="1530" w:type="dxa"/>
            <w:tcMar>
              <w:left w:w="29" w:type="dxa"/>
              <w:right w:w="29" w:type="dxa"/>
            </w:tcMar>
          </w:tcPr>
          <w:p w:rsidR="00F10944" w:rsidP="005E67DC" w14:paraId="3784226D" w14:textId="77777777">
            <w:pPr>
              <w:widowControl/>
              <w:jc w:val="center"/>
              <w:rPr>
                <w:rFonts w:ascii="Times New Roman" w:hAnsi="Times New Roman"/>
              </w:rPr>
            </w:pPr>
            <w:r>
              <w:rPr>
                <w:rFonts w:ascii="Times New Roman" w:hAnsi="Times New Roman"/>
              </w:rPr>
              <w:t>3 (0.1%)</w:t>
            </w:r>
          </w:p>
        </w:tc>
        <w:tc>
          <w:tcPr>
            <w:tcW w:w="1885" w:type="dxa"/>
            <w:tcMar>
              <w:left w:w="29" w:type="dxa"/>
              <w:right w:w="29" w:type="dxa"/>
            </w:tcMar>
          </w:tcPr>
          <w:p w:rsidR="00F10944" w:rsidP="005E67DC" w14:paraId="63297428" w14:textId="77777777">
            <w:pPr>
              <w:widowControl/>
              <w:jc w:val="center"/>
              <w:rPr>
                <w:rFonts w:ascii="Times New Roman" w:hAnsi="Times New Roman"/>
              </w:rPr>
            </w:pPr>
            <w:r>
              <w:rPr>
                <w:rFonts w:ascii="Times New Roman" w:hAnsi="Times New Roman"/>
              </w:rPr>
              <w:t>2.0%</w:t>
            </w:r>
          </w:p>
        </w:tc>
      </w:tr>
      <w:tr w14:paraId="305E2D6F" w14:textId="77777777" w:rsidTr="005E67DC">
        <w:tblPrEx>
          <w:tblW w:w="0" w:type="auto"/>
          <w:tblInd w:w="0" w:type="dxa"/>
          <w:tblLook w:val="04A0"/>
        </w:tblPrEx>
        <w:tc>
          <w:tcPr>
            <w:tcW w:w="2245" w:type="dxa"/>
          </w:tcPr>
          <w:p w:rsidR="00F10944" w:rsidP="005E67DC" w14:paraId="405BACDD" w14:textId="77777777">
            <w:pPr>
              <w:widowControl/>
              <w:rPr>
                <w:rFonts w:ascii="Times New Roman" w:hAnsi="Times New Roman"/>
              </w:rPr>
            </w:pPr>
            <w:r>
              <w:rPr>
                <w:rFonts w:ascii="Times New Roman" w:hAnsi="Times New Roman"/>
              </w:rPr>
              <w:t>Out 5+ Rounds</w:t>
            </w:r>
          </w:p>
        </w:tc>
        <w:tc>
          <w:tcPr>
            <w:tcW w:w="1710" w:type="dxa"/>
            <w:tcMar>
              <w:left w:w="29" w:type="dxa"/>
              <w:right w:w="29" w:type="dxa"/>
            </w:tcMar>
          </w:tcPr>
          <w:p w:rsidR="00F10944" w:rsidP="005E67DC" w14:paraId="18037134" w14:textId="77777777">
            <w:pPr>
              <w:widowControl/>
              <w:jc w:val="center"/>
              <w:rPr>
                <w:rFonts w:ascii="Times New Roman" w:hAnsi="Times New Roman"/>
              </w:rPr>
            </w:pPr>
            <w:r>
              <w:rPr>
                <w:rFonts w:ascii="Times New Roman" w:hAnsi="Times New Roman"/>
              </w:rPr>
              <w:t>45 (1.3%)</w:t>
            </w:r>
          </w:p>
        </w:tc>
        <w:tc>
          <w:tcPr>
            <w:tcW w:w="1980" w:type="dxa"/>
            <w:tcMar>
              <w:left w:w="29" w:type="dxa"/>
              <w:right w:w="29" w:type="dxa"/>
            </w:tcMar>
          </w:tcPr>
          <w:p w:rsidR="00F10944" w:rsidP="005E67DC" w14:paraId="571AA657" w14:textId="77777777">
            <w:pPr>
              <w:widowControl/>
              <w:jc w:val="center"/>
              <w:rPr>
                <w:rFonts w:ascii="Times New Roman" w:hAnsi="Times New Roman"/>
              </w:rPr>
            </w:pPr>
            <w:r>
              <w:rPr>
                <w:rFonts w:ascii="Times New Roman" w:hAnsi="Times New Roman"/>
              </w:rPr>
              <w:t>4.3%</w:t>
            </w:r>
          </w:p>
        </w:tc>
        <w:tc>
          <w:tcPr>
            <w:tcW w:w="1530" w:type="dxa"/>
            <w:tcMar>
              <w:left w:w="29" w:type="dxa"/>
              <w:right w:w="29" w:type="dxa"/>
            </w:tcMar>
          </w:tcPr>
          <w:p w:rsidR="00F10944" w:rsidP="005E67DC" w14:paraId="346C3844" w14:textId="77777777">
            <w:pPr>
              <w:widowControl/>
              <w:jc w:val="center"/>
              <w:rPr>
                <w:rFonts w:ascii="Times New Roman" w:hAnsi="Times New Roman"/>
              </w:rPr>
            </w:pPr>
            <w:r>
              <w:rPr>
                <w:rFonts w:ascii="Times New Roman" w:hAnsi="Times New Roman"/>
              </w:rPr>
              <w:t>12 (0.4%)</w:t>
            </w:r>
          </w:p>
        </w:tc>
        <w:tc>
          <w:tcPr>
            <w:tcW w:w="1885" w:type="dxa"/>
            <w:tcMar>
              <w:left w:w="29" w:type="dxa"/>
              <w:right w:w="29" w:type="dxa"/>
            </w:tcMar>
          </w:tcPr>
          <w:p w:rsidR="00F10944" w:rsidP="005E67DC" w14:paraId="36B74851" w14:textId="77777777">
            <w:pPr>
              <w:widowControl/>
              <w:jc w:val="center"/>
              <w:rPr>
                <w:rFonts w:ascii="Times New Roman" w:hAnsi="Times New Roman"/>
              </w:rPr>
            </w:pPr>
            <w:r>
              <w:rPr>
                <w:rFonts w:ascii="Times New Roman" w:hAnsi="Times New Roman"/>
              </w:rPr>
              <w:t>1.1%</w:t>
            </w:r>
          </w:p>
        </w:tc>
      </w:tr>
      <w:bookmarkEnd w:id="2"/>
      <w:bookmarkEnd w:id="3"/>
      <w:tr w14:paraId="5775BCCC" w14:textId="77777777" w:rsidTr="005E67DC">
        <w:tblPrEx>
          <w:tblW w:w="0" w:type="auto"/>
          <w:tblInd w:w="0" w:type="dxa"/>
          <w:tblLook w:val="04A0"/>
        </w:tblPrEx>
        <w:tc>
          <w:tcPr>
            <w:tcW w:w="2245" w:type="dxa"/>
          </w:tcPr>
          <w:p w:rsidR="00F10944" w:rsidP="005E67DC" w14:paraId="2801C548" w14:textId="77777777">
            <w:pPr>
              <w:widowControl/>
              <w:jc w:val="right"/>
              <w:rPr>
                <w:rFonts w:ascii="Times New Roman" w:hAnsi="Times New Roman"/>
              </w:rPr>
            </w:pPr>
            <w:r>
              <w:rPr>
                <w:rFonts w:ascii="Times New Roman" w:hAnsi="Times New Roman"/>
              </w:rPr>
              <w:t>Total</w:t>
            </w:r>
          </w:p>
        </w:tc>
        <w:tc>
          <w:tcPr>
            <w:tcW w:w="1710" w:type="dxa"/>
            <w:tcMar>
              <w:left w:w="29" w:type="dxa"/>
              <w:right w:w="29" w:type="dxa"/>
            </w:tcMar>
          </w:tcPr>
          <w:p w:rsidR="00F10944" w:rsidP="005E67DC" w14:paraId="66FA1958" w14:textId="77777777">
            <w:pPr>
              <w:widowControl/>
              <w:jc w:val="center"/>
              <w:rPr>
                <w:rFonts w:ascii="Times New Roman" w:hAnsi="Times New Roman"/>
              </w:rPr>
            </w:pPr>
            <w:r>
              <w:rPr>
                <w:rFonts w:ascii="Times New Roman" w:hAnsi="Times New Roman"/>
              </w:rPr>
              <w:t>3414</w:t>
            </w:r>
          </w:p>
        </w:tc>
        <w:tc>
          <w:tcPr>
            <w:tcW w:w="1980" w:type="dxa"/>
            <w:tcMar>
              <w:left w:w="29" w:type="dxa"/>
              <w:right w:w="29" w:type="dxa"/>
            </w:tcMar>
          </w:tcPr>
          <w:p w:rsidR="00F10944" w:rsidP="005E67DC" w14:paraId="23AB3C08" w14:textId="77777777">
            <w:pPr>
              <w:widowControl/>
              <w:jc w:val="center"/>
              <w:rPr>
                <w:rFonts w:ascii="Times New Roman" w:hAnsi="Times New Roman"/>
              </w:rPr>
            </w:pPr>
            <w:r>
              <w:rPr>
                <w:rFonts w:ascii="Times New Roman" w:hAnsi="Times New Roman"/>
              </w:rPr>
              <w:t>39.0%</w:t>
            </w:r>
          </w:p>
        </w:tc>
        <w:tc>
          <w:tcPr>
            <w:tcW w:w="1530" w:type="dxa"/>
            <w:tcMar>
              <w:left w:w="29" w:type="dxa"/>
              <w:right w:w="29" w:type="dxa"/>
            </w:tcMar>
          </w:tcPr>
          <w:p w:rsidR="00F10944" w:rsidP="005E67DC" w14:paraId="7B2ACA6E" w14:textId="77777777">
            <w:pPr>
              <w:widowControl/>
              <w:jc w:val="center"/>
              <w:rPr>
                <w:rFonts w:ascii="Times New Roman" w:hAnsi="Times New Roman"/>
              </w:rPr>
            </w:pPr>
            <w:r>
              <w:rPr>
                <w:rFonts w:ascii="Times New Roman" w:hAnsi="Times New Roman"/>
              </w:rPr>
              <w:t>3045</w:t>
            </w:r>
          </w:p>
        </w:tc>
        <w:tc>
          <w:tcPr>
            <w:tcW w:w="1885" w:type="dxa"/>
            <w:tcMar>
              <w:left w:w="29" w:type="dxa"/>
              <w:right w:w="29" w:type="dxa"/>
            </w:tcMar>
          </w:tcPr>
          <w:p w:rsidR="00F10944" w:rsidP="005E67DC" w14:paraId="33A4E1C3" w14:textId="77777777">
            <w:pPr>
              <w:widowControl/>
              <w:jc w:val="center"/>
              <w:rPr>
                <w:rFonts w:ascii="Times New Roman" w:hAnsi="Times New Roman"/>
              </w:rPr>
            </w:pPr>
            <w:r>
              <w:rPr>
                <w:rFonts w:ascii="Times New Roman" w:hAnsi="Times New Roman"/>
              </w:rPr>
              <w:t>35.6%</w:t>
            </w:r>
          </w:p>
        </w:tc>
      </w:tr>
      <w:bookmarkEnd w:id="1"/>
    </w:tbl>
    <w:p w:rsidR="00F10944" w:rsidP="00F10944" w14:paraId="5AD8B879" w14:textId="77777777">
      <w:pPr>
        <w:widowControl/>
        <w:rPr>
          <w:rFonts w:ascii="Times New Roman" w:hAnsi="Times New Roman"/>
        </w:rPr>
      </w:pPr>
    </w:p>
    <w:p w:rsidR="00F10944" w:rsidP="00F10944" w14:paraId="4729D60B" w14:textId="77777777">
      <w:pPr>
        <w:widowControl/>
        <w:rPr>
          <w:rFonts w:ascii="Times New Roman" w:hAnsi="Times New Roman"/>
        </w:rPr>
      </w:pPr>
    </w:p>
    <w:p w:rsidR="00F10944" w:rsidP="00F10944" w14:paraId="2B0546E7" w14:textId="5C9CE062">
      <w:pPr>
        <w:widowControl/>
        <w:rPr>
          <w:rFonts w:ascii="Times New Roman" w:hAnsi="Times New Roman"/>
        </w:rPr>
      </w:pPr>
      <w:r>
        <w:rPr>
          <w:rFonts w:ascii="Times New Roman" w:hAnsi="Times New Roman"/>
        </w:rPr>
        <w:t xml:space="preserve">Despite the fact that the early bird period has been conducted without interviewer outreach to respondents, NLS may not have saved very much collection effort in recent rounds by securing their early responses. </w:t>
      </w:r>
      <w:r w:rsidR="00EB4065">
        <w:rPr>
          <w:rFonts w:ascii="Times New Roman" w:hAnsi="Times New Roman"/>
        </w:rPr>
        <w:t xml:space="preserve">NLS </w:t>
      </w:r>
      <w:r>
        <w:rPr>
          <w:rFonts w:ascii="Times New Roman" w:hAnsi="Times New Roman"/>
        </w:rPr>
        <w:t xml:space="preserve">has spent significant interviewer outreach effort scheduling and rescheduling interview times or setting up future appointments for these respondents. In Round 30, for example, early bird respondents required about 5 attempts on average. Additionally, because interviews are almost entirely completed by phone, the cost of completing an early bird interview from a labor hours perspective is similar to completing an interview at any point in the round. This is in contrast to when early bird was first introduced and more interviews were </w:t>
      </w:r>
      <w:r>
        <w:rPr>
          <w:rFonts w:ascii="Times New Roman" w:hAnsi="Times New Roman"/>
        </w:rPr>
        <w:t xml:space="preserve">conducted in person and other surveys where early respondents might complete via a less costly mode, such as web. </w:t>
      </w:r>
    </w:p>
    <w:p w:rsidR="00F10944" w:rsidP="00F10944" w14:paraId="047DDCC5" w14:textId="77777777">
      <w:pPr>
        <w:widowControl/>
        <w:rPr>
          <w:rFonts w:ascii="Times New Roman" w:hAnsi="Times New Roman"/>
        </w:rPr>
      </w:pPr>
    </w:p>
    <w:p w:rsidR="00F10944" w:rsidP="00F10944" w14:paraId="6B8B24AA" w14:textId="77777777">
      <w:pPr>
        <w:widowControl/>
        <w:rPr>
          <w:rFonts w:ascii="Times New Roman" w:hAnsi="Times New Roman"/>
        </w:rPr>
      </w:pPr>
      <w:r>
        <w:rPr>
          <w:rFonts w:ascii="Times New Roman" w:hAnsi="Times New Roman"/>
        </w:rPr>
        <w:t xml:space="preserve">Finally, the setup of the early bird incentive has limited the ability of the NLS to make changes during the fielding period and adapt to needs in data collection. Because outbound outreach to respondents has been foregone until the end of the early bird period, mitigation strategies to be deployed if early bird response lags behind projections have been limited. </w:t>
      </w:r>
    </w:p>
    <w:p w:rsidR="00F10944" w:rsidP="00F10944" w14:paraId="540A8950" w14:textId="77777777">
      <w:pPr>
        <w:widowControl/>
        <w:rPr>
          <w:rFonts w:ascii="Times New Roman" w:hAnsi="Times New Roman"/>
        </w:rPr>
      </w:pPr>
    </w:p>
    <w:p w:rsidR="00F10944" w:rsidP="00F10944" w14:paraId="3342B022" w14:textId="77777777">
      <w:pPr>
        <w:widowControl/>
        <w:rPr>
          <w:rFonts w:ascii="Times New Roman" w:hAnsi="Times New Roman"/>
        </w:rPr>
      </w:pPr>
      <w:r>
        <w:rPr>
          <w:rFonts w:ascii="Times New Roman" w:hAnsi="Times New Roman"/>
        </w:rPr>
        <w:t xml:space="preserve">An alternative to offering an early bird incentive is to have NLS interviewers conduct direct outreach to sample members early in the round.  It is possible that that this outreach will be as or more effective than the incentive in gaining completions, with lower costs.  </w:t>
      </w:r>
    </w:p>
    <w:p w:rsidR="00F10944" w:rsidP="00F10944" w14:paraId="206BDBAD" w14:textId="77777777">
      <w:pPr>
        <w:widowControl/>
        <w:rPr>
          <w:rFonts w:ascii="Times New Roman" w:hAnsi="Times New Roman"/>
        </w:rPr>
      </w:pPr>
    </w:p>
    <w:p w:rsidR="00F10944" w:rsidP="00F10944" w14:paraId="64D72EB9" w14:textId="77777777">
      <w:pPr>
        <w:widowControl/>
        <w:rPr>
          <w:rFonts w:ascii="Times New Roman" w:hAnsi="Times New Roman"/>
        </w:rPr>
      </w:pPr>
      <w:r>
        <w:rPr>
          <w:rFonts w:ascii="Times New Roman" w:hAnsi="Times New Roman"/>
        </w:rPr>
        <w:t xml:space="preserve">For these reasons, NLS proposes an experiment to examine the effectiveness of early bird incentives in Round 31. In this experiment the fielded sample will be randomly assigned into one of three groups: </w:t>
      </w:r>
    </w:p>
    <w:p w:rsidR="00F10944" w:rsidP="00F10944" w14:paraId="2E2855DC" w14:textId="77777777">
      <w:pPr>
        <w:widowControl/>
        <w:rPr>
          <w:rFonts w:ascii="Times New Roman" w:hAnsi="Times New Roman"/>
        </w:rPr>
      </w:pPr>
    </w:p>
    <w:p w:rsidR="00F10944" w:rsidP="00F10944" w14:paraId="5C72ACEA" w14:textId="77777777">
      <w:pPr>
        <w:pStyle w:val="ListParagraph"/>
        <w:widowControl/>
        <w:numPr>
          <w:ilvl w:val="0"/>
          <w:numId w:val="16"/>
        </w:numPr>
        <w:contextualSpacing/>
        <w:rPr>
          <w:rFonts w:ascii="Times New Roman" w:hAnsi="Times New Roman"/>
        </w:rPr>
      </w:pPr>
      <w:r w:rsidRPr="004D6ED0">
        <w:rPr>
          <w:rFonts w:ascii="Times New Roman" w:hAnsi="Times New Roman"/>
        </w:rPr>
        <w:t>$30 early bird incentive without interviewer outreach (control group),</w:t>
      </w:r>
    </w:p>
    <w:p w:rsidR="00F10944" w:rsidP="00F10944" w14:paraId="36607E9A" w14:textId="77777777">
      <w:pPr>
        <w:pStyle w:val="ListParagraph"/>
        <w:widowControl/>
        <w:numPr>
          <w:ilvl w:val="0"/>
          <w:numId w:val="16"/>
        </w:numPr>
        <w:contextualSpacing/>
        <w:rPr>
          <w:rFonts w:ascii="Times New Roman" w:hAnsi="Times New Roman"/>
        </w:rPr>
      </w:pPr>
      <w:r w:rsidRPr="004D6ED0">
        <w:rPr>
          <w:rFonts w:ascii="Times New Roman" w:hAnsi="Times New Roman"/>
        </w:rPr>
        <w:t xml:space="preserve">$30 early bird incentive </w:t>
      </w:r>
      <w:r>
        <w:rPr>
          <w:rFonts w:ascii="Times New Roman" w:hAnsi="Times New Roman"/>
        </w:rPr>
        <w:t>with</w:t>
      </w:r>
      <w:r w:rsidRPr="004D6ED0">
        <w:rPr>
          <w:rFonts w:ascii="Times New Roman" w:hAnsi="Times New Roman"/>
        </w:rPr>
        <w:t xml:space="preserve"> interviewer outreach (experimental group A), or </w:t>
      </w:r>
    </w:p>
    <w:p w:rsidR="00F10944" w:rsidP="00F10944" w14:paraId="2EE59B82" w14:textId="77777777">
      <w:pPr>
        <w:pStyle w:val="ListParagraph"/>
        <w:widowControl/>
        <w:numPr>
          <w:ilvl w:val="0"/>
          <w:numId w:val="16"/>
        </w:numPr>
        <w:contextualSpacing/>
        <w:rPr>
          <w:rFonts w:ascii="Times New Roman" w:hAnsi="Times New Roman"/>
        </w:rPr>
      </w:pPr>
      <w:r w:rsidRPr="004D6ED0">
        <w:rPr>
          <w:rFonts w:ascii="Times New Roman" w:hAnsi="Times New Roman"/>
        </w:rPr>
        <w:t xml:space="preserve">interviewer outreach without early bird incentive (experimental group B). </w:t>
      </w:r>
    </w:p>
    <w:p w:rsidR="00F10944" w:rsidRPr="004D6ED0" w:rsidP="00F10944" w14:paraId="398BA198" w14:textId="77777777">
      <w:pPr>
        <w:pStyle w:val="ListParagraph"/>
        <w:widowControl/>
        <w:rPr>
          <w:rFonts w:ascii="Times New Roman" w:hAnsi="Times New Roman"/>
        </w:rPr>
      </w:pPr>
    </w:p>
    <w:p w:rsidR="00F10944" w:rsidRPr="004D6ED0" w:rsidP="00F10944" w14:paraId="3CC3161E" w14:textId="77777777">
      <w:pPr>
        <w:widowControl/>
        <w:rPr>
          <w:rFonts w:ascii="Times New Roman" w:hAnsi="Times New Roman"/>
        </w:rPr>
      </w:pPr>
      <w:r w:rsidRPr="004D6ED0">
        <w:rPr>
          <w:rFonts w:ascii="Times New Roman" w:hAnsi="Times New Roman"/>
        </w:rPr>
        <w:t xml:space="preserve">Having both experimental groups allows </w:t>
      </w:r>
      <w:r>
        <w:rPr>
          <w:rFonts w:ascii="Times New Roman" w:hAnsi="Times New Roman"/>
        </w:rPr>
        <w:t>us</w:t>
      </w:r>
      <w:r w:rsidRPr="004D6ED0">
        <w:rPr>
          <w:rFonts w:ascii="Times New Roman" w:hAnsi="Times New Roman"/>
        </w:rPr>
        <w:t xml:space="preserve"> to </w:t>
      </w:r>
      <w:r>
        <w:rPr>
          <w:rFonts w:ascii="Times New Roman" w:hAnsi="Times New Roman"/>
        </w:rPr>
        <w:t>separately evaluate the effect of outbound outreach during the early bird period from the early bird incentive itself</w:t>
      </w:r>
      <w:r w:rsidRPr="004D6ED0">
        <w:rPr>
          <w:rFonts w:ascii="Times New Roman" w:hAnsi="Times New Roman"/>
        </w:rPr>
        <w:t xml:space="preserve">. </w:t>
      </w:r>
      <w:r>
        <w:rPr>
          <w:rFonts w:ascii="Times New Roman" w:hAnsi="Times New Roman"/>
        </w:rPr>
        <w:t xml:space="preserve"> O</w:t>
      </w:r>
      <w:r w:rsidRPr="004D6ED0">
        <w:rPr>
          <w:rFonts w:ascii="Times New Roman" w:hAnsi="Times New Roman"/>
        </w:rPr>
        <w:t xml:space="preserve">utreach </w:t>
      </w:r>
      <w:r>
        <w:rPr>
          <w:rFonts w:ascii="Times New Roman" w:hAnsi="Times New Roman"/>
        </w:rPr>
        <w:t>in each experimental group will</w:t>
      </w:r>
      <w:r w:rsidRPr="004D6ED0">
        <w:rPr>
          <w:rFonts w:ascii="Times New Roman" w:hAnsi="Times New Roman"/>
        </w:rPr>
        <w:t xml:space="preserve"> take a case managed approach where interviewers have an assigned set of cases for outreach</w:t>
      </w:r>
      <w:r>
        <w:rPr>
          <w:rFonts w:ascii="Times New Roman" w:hAnsi="Times New Roman"/>
        </w:rPr>
        <w:t xml:space="preserve"> and conduct </w:t>
      </w:r>
      <w:r w:rsidRPr="004D6ED0">
        <w:rPr>
          <w:rFonts w:ascii="Times New Roman" w:hAnsi="Times New Roman"/>
        </w:rPr>
        <w:t xml:space="preserve">a minimum of 5 and a maximum of 20 attempts for each respondent during the early bird period. </w:t>
      </w:r>
    </w:p>
    <w:p w:rsidR="00F10944" w:rsidP="00F10944" w14:paraId="233444D5" w14:textId="77777777">
      <w:pPr>
        <w:widowControl/>
        <w:rPr>
          <w:rFonts w:ascii="Times New Roman" w:hAnsi="Times New Roman"/>
        </w:rPr>
      </w:pPr>
    </w:p>
    <w:p w:rsidR="00F10944" w:rsidP="00F10944" w14:paraId="2741613E" w14:textId="3F8E0572">
      <w:pPr>
        <w:widowControl/>
        <w:rPr>
          <w:rFonts w:ascii="Times New Roman" w:hAnsi="Times New Roman"/>
        </w:rPr>
      </w:pPr>
      <w:r>
        <w:rPr>
          <w:rFonts w:ascii="Times New Roman" w:hAnsi="Times New Roman"/>
        </w:rPr>
        <w:t>All respondents will be randomly assigned to one of the three groups with equal probability. Randomization will be stratified by replicate group so that outreach impacts can be adequately examined at all levels of respondent cooperation.  Based on an approximate fielded sample</w:t>
      </w:r>
      <w:r w:rsidR="00A965B3">
        <w:rPr>
          <w:rFonts w:ascii="Times New Roman" w:hAnsi="Times New Roman"/>
        </w:rPr>
        <w:t xml:space="preserve"> (not including a small number of cases that have been </w:t>
      </w:r>
      <w:r w:rsidR="0023623C">
        <w:rPr>
          <w:rFonts w:ascii="Times New Roman" w:hAnsi="Times New Roman"/>
        </w:rPr>
        <w:t>excluded due to hostile refusals in prior rounds)</w:t>
      </w:r>
      <w:r>
        <w:rPr>
          <w:rFonts w:ascii="Times New Roman" w:hAnsi="Times New Roman"/>
        </w:rPr>
        <w:t xml:space="preserve"> of 8,560 respondents, NLS expects about 2,853 respondents in each of the three arms of the early bird experiment. This will give the experiment adequate power to detect moderate differences in response behavior among the groups, both at the end of the early bird period and at the end of the round. Using the average early bird completion rates from Round 29 and Round 30 combined, we would expect about 38% of the sample to complete the survey in the early bird period. Given the sample size, NLS would have 80% power (at the alpha = 0.05 level) to detect a significant difference in completion rate as small as 3.5 percentage points between groups. This difference would equate to approximately 100 additional (or fewer) completions during the early bird period in one treatment group versus another.</w:t>
      </w:r>
      <w:r w:rsidRPr="4F386762">
        <w:rPr>
          <w:rFonts w:ascii="Times New Roman" w:hAnsi="Times New Roman"/>
        </w:rPr>
        <w:t xml:space="preserve"> The average non-deceased completion rate at the end of the round for Round 29 and Round 30 was 74%. Given the same sample size for the early bird experiment, NLS would have 80% power to detect a significant difference in completion rate as small as 3.2 percentage points between groups at the end of the round. This amounts to approximately 92 additional (or fewer) completions during the entire round in one treatment group versus another.</w:t>
      </w:r>
    </w:p>
    <w:p w:rsidR="00F10944" w:rsidP="00F10944" w14:paraId="123C5467" w14:textId="77777777">
      <w:pPr>
        <w:rPr>
          <w:rFonts w:ascii="Times New Roman" w:hAnsi="Times New Roman"/>
        </w:rPr>
      </w:pPr>
    </w:p>
    <w:p w:rsidR="00F10944" w:rsidP="00F10944" w14:paraId="2F7EB4D5" w14:textId="77777777">
      <w:pPr>
        <w:rPr>
          <w:rFonts w:ascii="Times New Roman" w:hAnsi="Times New Roman"/>
          <w:i/>
        </w:rPr>
      </w:pPr>
      <w:r>
        <w:rPr>
          <w:rFonts w:ascii="Times New Roman" w:hAnsi="Times New Roman"/>
          <w:i/>
        </w:rPr>
        <w:t>Missed Round Bonus</w:t>
      </w:r>
    </w:p>
    <w:p w:rsidR="00F10944" w:rsidP="00F10944" w14:paraId="2AEC18CF" w14:textId="77777777">
      <w:pPr>
        <w:rPr>
          <w:rFonts w:ascii="Times New Roman" w:hAnsi="Times New Roman"/>
        </w:rPr>
      </w:pPr>
      <w:r>
        <w:rPr>
          <w:rFonts w:ascii="Times New Roman" w:hAnsi="Times New Roman"/>
        </w:rPr>
        <w:t xml:space="preserve">NLS proposes to offer an additional incentive payment for respondents who were not interviewed in the previous survey round(s).  This missed round incentive reflects the increased incentives that were offered in Round 30 of the NLSY and are designed to bring respondents back to the NLSY panel and reinforce the long-term success of the NLSY79. This is especially critical as participants are dying at an increasing rate, decreasing the overall number of sample members available to participate.  Anyone returning after only missing Round 30 would receive a $50 missed round incentive in Round 31.  A respondent returning after two rounds out would receive a $60 missed round incentive and a respondent returning after three or more rounds out would receive a $70 missed round incentive.  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w:t>
      </w:r>
    </w:p>
    <w:p w:rsidR="00F10944" w:rsidP="00F10944" w14:paraId="3E809757" w14:textId="77777777">
      <w:pPr>
        <w:rPr>
          <w:rFonts w:ascii="Times New Roman" w:hAnsi="Times New Roman"/>
        </w:rPr>
      </w:pPr>
    </w:p>
    <w:p w:rsidR="00F10944" w:rsidP="00F10944" w14:paraId="663AABC9" w14:textId="6806832A">
      <w:pPr>
        <w:rPr>
          <w:rFonts w:ascii="Times New Roman" w:hAnsi="Times New Roman"/>
        </w:rPr>
      </w:pPr>
      <w:r>
        <w:rPr>
          <w:rFonts w:ascii="Times New Roman" w:hAnsi="Times New Roman"/>
        </w:rPr>
        <w:t xml:space="preserve">Incentivizing completion among those who refused to respond in earlier waves has been found to be effective in several other longitudinal surveys as well as in the NLSY97. </w:t>
      </w:r>
      <w:r w:rsidRPr="0043772B">
        <w:rPr>
          <w:rFonts w:ascii="Times New Roman" w:hAnsi="Times New Roman"/>
        </w:rPr>
        <w:t xml:space="preserve">NLSY79 has implemented graduated missed round incentives in each of its last </w:t>
      </w:r>
      <w:r>
        <w:rPr>
          <w:rFonts w:ascii="Times New Roman" w:hAnsi="Times New Roman"/>
        </w:rPr>
        <w:t>eight</w:t>
      </w:r>
      <w:r w:rsidRPr="0043772B">
        <w:rPr>
          <w:rFonts w:ascii="Times New Roman" w:hAnsi="Times New Roman"/>
        </w:rPr>
        <w:t xml:space="preserve"> rounds</w:t>
      </w:r>
      <w:r>
        <w:rPr>
          <w:rFonts w:ascii="Times New Roman" w:hAnsi="Times New Roman"/>
        </w:rPr>
        <w:t xml:space="preserve">; NLS </w:t>
      </w:r>
      <w:r w:rsidRPr="0043772B">
        <w:rPr>
          <w:rFonts w:ascii="Times New Roman" w:hAnsi="Times New Roman"/>
        </w:rPr>
        <w:t>believe</w:t>
      </w:r>
      <w:r>
        <w:rPr>
          <w:rFonts w:ascii="Times New Roman" w:hAnsi="Times New Roman"/>
        </w:rPr>
        <w:t>s</w:t>
      </w:r>
      <w:r w:rsidRPr="0043772B">
        <w:rPr>
          <w:rFonts w:ascii="Times New Roman" w:hAnsi="Times New Roman"/>
        </w:rPr>
        <w:t xml:space="preserve"> that the</w:t>
      </w:r>
      <w:r>
        <w:rPr>
          <w:rFonts w:ascii="Times New Roman" w:hAnsi="Times New Roman"/>
        </w:rPr>
        <w:t>se</w:t>
      </w:r>
      <w:r w:rsidRPr="0043772B">
        <w:rPr>
          <w:rFonts w:ascii="Times New Roman" w:hAnsi="Times New Roman"/>
        </w:rPr>
        <w:t xml:space="preserve"> missed round incentives have been important contributors to </w:t>
      </w:r>
      <w:r>
        <w:rPr>
          <w:rFonts w:ascii="Times New Roman" w:hAnsi="Times New Roman"/>
        </w:rPr>
        <w:t>NLS’s</w:t>
      </w:r>
      <w:r w:rsidRPr="0043772B">
        <w:rPr>
          <w:rFonts w:ascii="Times New Roman" w:hAnsi="Times New Roman"/>
        </w:rPr>
        <w:t xml:space="preserve"> continuing high retention rates.  </w:t>
      </w:r>
      <w:r>
        <w:rPr>
          <w:rFonts w:ascii="Times New Roman" w:hAnsi="Times New Roman"/>
        </w:rPr>
        <w:t>After offering incentive i</w:t>
      </w:r>
      <w:r w:rsidRPr="0043772B">
        <w:rPr>
          <w:rFonts w:ascii="Times New Roman" w:hAnsi="Times New Roman"/>
        </w:rPr>
        <w:t xml:space="preserve">n Rounds 28 and 29 </w:t>
      </w:r>
      <w:r>
        <w:rPr>
          <w:rFonts w:ascii="Times New Roman" w:hAnsi="Times New Roman"/>
        </w:rPr>
        <w:t xml:space="preserve">of </w:t>
      </w:r>
      <w:r w:rsidRPr="0043772B">
        <w:rPr>
          <w:rFonts w:ascii="Times New Roman" w:hAnsi="Times New Roman"/>
        </w:rPr>
        <w:t>$20, $30, and $40 were given to respondents returning after one, two, or three-plus rounds, respectively</w:t>
      </w:r>
      <w:r>
        <w:rPr>
          <w:rFonts w:ascii="Times New Roman" w:hAnsi="Times New Roman"/>
        </w:rPr>
        <w:t xml:space="preserve">, NLS targeted these respondents in Round 30 by increasing these amounts to $50, $60, and $70, respectively.  The results suggest that this targeting was quite effective.  Table </w:t>
      </w:r>
      <w:r w:rsidR="005E6408">
        <w:rPr>
          <w:rFonts w:ascii="Times New Roman" w:hAnsi="Times New Roman"/>
        </w:rPr>
        <w:t xml:space="preserve">5 </w:t>
      </w:r>
      <w:r>
        <w:rPr>
          <w:rFonts w:ascii="Times New Roman" w:hAnsi="Times New Roman"/>
        </w:rPr>
        <w:t xml:space="preserve">shows that the completion rates of respondents in these groups </w:t>
      </w:r>
      <w:r w:rsidRPr="0097391C">
        <w:rPr>
          <w:rFonts w:ascii="Times New Roman" w:hAnsi="Times New Roman"/>
        </w:rPr>
        <w:t xml:space="preserve">were much higher in </w:t>
      </w:r>
      <w:r>
        <w:rPr>
          <w:rFonts w:ascii="Times New Roman" w:hAnsi="Times New Roman"/>
        </w:rPr>
        <w:t>R</w:t>
      </w:r>
      <w:r w:rsidRPr="0097391C">
        <w:rPr>
          <w:rFonts w:ascii="Times New Roman" w:hAnsi="Times New Roman"/>
        </w:rPr>
        <w:t xml:space="preserve">ound 30 </w:t>
      </w:r>
      <w:r>
        <w:rPr>
          <w:rFonts w:ascii="Times New Roman" w:hAnsi="Times New Roman"/>
        </w:rPr>
        <w:t>than in Round 29</w:t>
      </w:r>
      <w:r w:rsidRPr="0097391C">
        <w:rPr>
          <w:rFonts w:ascii="Times New Roman" w:hAnsi="Times New Roman"/>
        </w:rPr>
        <w:t xml:space="preserve">. Respondents out for one round completed at 46.1% compared to 30.0% in Round 29; respondents with 2 rounds out completed at 35.3% compared to 16.2% in </w:t>
      </w:r>
      <w:r>
        <w:rPr>
          <w:rFonts w:ascii="Times New Roman" w:hAnsi="Times New Roman"/>
        </w:rPr>
        <w:t>R</w:t>
      </w:r>
      <w:r w:rsidRPr="0097391C">
        <w:rPr>
          <w:rFonts w:ascii="Times New Roman" w:hAnsi="Times New Roman"/>
        </w:rPr>
        <w:t xml:space="preserve">ound 29; and respondents with 3 rounds out completed at 22.5% compared to 13.6% in </w:t>
      </w:r>
      <w:r>
        <w:rPr>
          <w:rFonts w:ascii="Times New Roman" w:hAnsi="Times New Roman"/>
        </w:rPr>
        <w:t>R</w:t>
      </w:r>
      <w:r w:rsidRPr="0097391C">
        <w:rPr>
          <w:rFonts w:ascii="Times New Roman" w:hAnsi="Times New Roman"/>
        </w:rPr>
        <w:t xml:space="preserve">ound 29. Overall, 123 more responses were collected from these 3 groups than would have been collected if </w:t>
      </w:r>
      <w:r>
        <w:rPr>
          <w:rFonts w:ascii="Times New Roman" w:hAnsi="Times New Roman"/>
        </w:rPr>
        <w:t>R</w:t>
      </w:r>
      <w:r w:rsidRPr="0097391C">
        <w:rPr>
          <w:rFonts w:ascii="Times New Roman" w:hAnsi="Times New Roman"/>
        </w:rPr>
        <w:t xml:space="preserve">ound 29 response rates had been observed.  </w:t>
      </w:r>
      <w:r>
        <w:rPr>
          <w:rFonts w:ascii="Times New Roman" w:hAnsi="Times New Roman"/>
        </w:rPr>
        <w:t>As the additional $30 were paid to 397 respondents for a total of $11,910, the additional 123 responses cost an average of $96.82.</w:t>
      </w:r>
    </w:p>
    <w:p w:rsidR="00F10944" w:rsidP="00F10944" w14:paraId="73DD2D49" w14:textId="77777777">
      <w:pPr>
        <w:rPr>
          <w:rFonts w:ascii="Times New Roman" w:hAnsi="Times New Roman"/>
          <w:b/>
          <w:bCs/>
        </w:rPr>
      </w:pPr>
      <w:bookmarkStart w:id="4" w:name="_Toc150781436"/>
    </w:p>
    <w:p w:rsidR="00F10944" w:rsidRPr="0012674C" w:rsidP="00F10944" w14:paraId="071F3F9C" w14:textId="5CE2CC48">
      <w:pPr>
        <w:rPr>
          <w:rFonts w:ascii="Times New Roman" w:hAnsi="Times New Roman"/>
        </w:rPr>
      </w:pPr>
      <w:r w:rsidRPr="0012674C">
        <w:rPr>
          <w:rFonts w:ascii="Times New Roman" w:hAnsi="Times New Roman"/>
          <w:b/>
          <w:bCs/>
        </w:rPr>
        <w:t xml:space="preserve">Table </w:t>
      </w:r>
      <w:r w:rsidR="007D2019">
        <w:rPr>
          <w:rFonts w:ascii="Times New Roman" w:hAnsi="Times New Roman"/>
          <w:b/>
          <w:bCs/>
        </w:rPr>
        <w:t>5</w:t>
      </w:r>
      <w:r w:rsidRPr="0012674C">
        <w:rPr>
          <w:rFonts w:ascii="Times New Roman" w:hAnsi="Times New Roman"/>
          <w:b/>
          <w:bCs/>
        </w:rPr>
        <w:t>.</w:t>
      </w:r>
      <w:r w:rsidRPr="0012674C">
        <w:rPr>
          <w:rFonts w:ascii="Times New Roman" w:hAnsi="Times New Roman"/>
          <w:b/>
          <w:bCs/>
        </w:rPr>
        <w:tab/>
      </w:r>
      <w:r w:rsidRPr="004D6ED0">
        <w:rPr>
          <w:rFonts w:ascii="Times New Roman" w:hAnsi="Times New Roman"/>
        </w:rPr>
        <w:t xml:space="preserve">NLSY79 </w:t>
      </w:r>
      <w:r w:rsidRPr="0012674C">
        <w:rPr>
          <w:rFonts w:ascii="Times New Roman" w:hAnsi="Times New Roman"/>
        </w:rPr>
        <w:t>Completion Rates by Prior Round Completion Patterns</w:t>
      </w:r>
      <w:bookmarkEnd w:id="4"/>
      <w:r>
        <w:rPr>
          <w:rFonts w:ascii="Times New Roman" w:hAnsi="Times New Roman"/>
        </w:rPr>
        <w:t>, Rounds 29-30</w:t>
      </w:r>
    </w:p>
    <w:tbl>
      <w:tblPr>
        <w:tblW w:w="9580" w:type="dxa"/>
        <w:tblLayout w:type="fixed"/>
        <w:tblLook w:val="04A0"/>
      </w:tblPr>
      <w:tblGrid>
        <w:gridCol w:w="2304"/>
        <w:gridCol w:w="1684"/>
        <w:gridCol w:w="1398"/>
        <w:gridCol w:w="1398"/>
        <w:gridCol w:w="1398"/>
        <w:gridCol w:w="1398"/>
      </w:tblGrid>
      <w:tr w14:paraId="02C9702B" w14:textId="77777777" w:rsidTr="005E67DC">
        <w:tblPrEx>
          <w:tblW w:w="9580" w:type="dxa"/>
          <w:tblLayout w:type="fixed"/>
          <w:tblLook w:val="04A0"/>
        </w:tblPrEx>
        <w:trPr>
          <w:cantSplit/>
          <w:trHeight w:val="374"/>
        </w:trPr>
        <w:tc>
          <w:tcPr>
            <w:tcW w:w="2304"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tcPr>
          <w:p w:rsidR="00F10944" w:rsidRPr="0012674C" w:rsidP="005E67DC" w14:paraId="54D80156" w14:textId="77777777">
            <w:pPr>
              <w:rPr>
                <w:rFonts w:ascii="Times New Roman" w:hAnsi="Times New Roman"/>
                <w:b/>
              </w:rPr>
            </w:pPr>
            <w:bookmarkStart w:id="5" w:name="_Hlk155286603"/>
          </w:p>
        </w:tc>
        <w:tc>
          <w:tcPr>
            <w:tcW w:w="1684"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hideMark/>
          </w:tcPr>
          <w:p w:rsidR="00F10944" w:rsidRPr="0012674C" w:rsidP="005E67DC" w14:paraId="7DB82CE3" w14:textId="77777777">
            <w:pPr>
              <w:rPr>
                <w:rFonts w:ascii="Times New Roman" w:hAnsi="Times New Roman"/>
              </w:rPr>
            </w:pPr>
            <w:r w:rsidRPr="0012674C">
              <w:rPr>
                <w:rFonts w:ascii="Times New Roman" w:hAnsi="Times New Roman"/>
                <w:b/>
                <w:bCs/>
              </w:rPr>
              <w:t>Missed Round Incentive</w:t>
            </w:r>
          </w:p>
        </w:tc>
        <w:tc>
          <w:tcPr>
            <w:tcW w:w="139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hideMark/>
          </w:tcPr>
          <w:p w:rsidR="00F10944" w:rsidRPr="0012674C" w:rsidP="005E67DC" w14:paraId="1D9EE8D8" w14:textId="77777777">
            <w:pPr>
              <w:rPr>
                <w:rFonts w:ascii="Times New Roman" w:hAnsi="Times New Roman"/>
              </w:rPr>
            </w:pPr>
            <w:r w:rsidRPr="0012674C">
              <w:rPr>
                <w:rFonts w:ascii="Times New Roman" w:hAnsi="Times New Roman"/>
                <w:b/>
                <w:bCs/>
              </w:rPr>
              <w:t>Eligible</w:t>
            </w:r>
          </w:p>
        </w:tc>
        <w:tc>
          <w:tcPr>
            <w:tcW w:w="139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hideMark/>
          </w:tcPr>
          <w:p w:rsidR="00F10944" w:rsidRPr="0012674C" w:rsidP="005E67DC" w14:paraId="74575AFE" w14:textId="77777777">
            <w:pPr>
              <w:rPr>
                <w:rFonts w:ascii="Times New Roman" w:hAnsi="Times New Roman"/>
              </w:rPr>
            </w:pPr>
            <w:r w:rsidRPr="0012674C">
              <w:rPr>
                <w:rFonts w:ascii="Times New Roman" w:hAnsi="Times New Roman"/>
                <w:b/>
                <w:bCs/>
              </w:rPr>
              <w:t>Completed</w:t>
            </w:r>
          </w:p>
        </w:tc>
        <w:tc>
          <w:tcPr>
            <w:tcW w:w="139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hideMark/>
          </w:tcPr>
          <w:p w:rsidR="00F10944" w:rsidRPr="0012674C" w:rsidP="005E67DC" w14:paraId="564AA8C6" w14:textId="77777777">
            <w:pPr>
              <w:rPr>
                <w:rFonts w:ascii="Times New Roman" w:hAnsi="Times New Roman"/>
              </w:rPr>
            </w:pPr>
            <w:r w:rsidRPr="0012674C">
              <w:rPr>
                <w:rFonts w:ascii="Times New Roman" w:hAnsi="Times New Roman"/>
                <w:b/>
              </w:rPr>
              <w:t>R30 Percent Completed</w:t>
            </w:r>
          </w:p>
        </w:tc>
        <w:tc>
          <w:tcPr>
            <w:tcW w:w="139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tcMar>
              <w:top w:w="0" w:type="dxa"/>
              <w:left w:w="115" w:type="dxa"/>
              <w:bottom w:w="0" w:type="dxa"/>
              <w:right w:w="115" w:type="dxa"/>
            </w:tcMar>
            <w:hideMark/>
          </w:tcPr>
          <w:p w:rsidR="00F10944" w:rsidRPr="0012674C" w:rsidP="005E67DC" w14:paraId="0939A05B" w14:textId="77777777">
            <w:pPr>
              <w:rPr>
                <w:rFonts w:ascii="Times New Roman" w:hAnsi="Times New Roman"/>
                <w:b/>
              </w:rPr>
            </w:pPr>
            <w:r w:rsidRPr="0012674C">
              <w:rPr>
                <w:rFonts w:ascii="Times New Roman" w:hAnsi="Times New Roman"/>
                <w:b/>
              </w:rPr>
              <w:t>R29 Percent Completed</w:t>
            </w:r>
          </w:p>
        </w:tc>
      </w:tr>
      <w:tr w14:paraId="2A285077" w14:textId="77777777" w:rsidTr="005E67DC">
        <w:tblPrEx>
          <w:tblW w:w="9580" w:type="dxa"/>
          <w:tblLayout w:type="fixed"/>
          <w:tblLook w:val="04A0"/>
        </w:tblPrEx>
        <w:trPr>
          <w:trHeight w:val="93"/>
        </w:trPr>
        <w:tc>
          <w:tcPr>
            <w:tcW w:w="2304"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4E0E270" w14:textId="77777777">
            <w:pPr>
              <w:rPr>
                <w:rFonts w:ascii="Times New Roman" w:hAnsi="Times New Roman"/>
              </w:rPr>
            </w:pPr>
            <w:bookmarkStart w:id="6" w:name="_Hlk148347089"/>
            <w:r w:rsidRPr="0012674C">
              <w:rPr>
                <w:rFonts w:ascii="Times New Roman" w:hAnsi="Times New Roman"/>
              </w:rPr>
              <w:t>Perfect Responder</w:t>
            </w:r>
          </w:p>
        </w:tc>
        <w:tc>
          <w:tcPr>
            <w:tcW w:w="1684"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25B9ABD" w14:textId="77777777">
            <w:pPr>
              <w:rPr>
                <w:rFonts w:ascii="Times New Roman" w:hAnsi="Times New Roman"/>
              </w:rPr>
            </w:pPr>
            <w:r w:rsidRPr="0012674C">
              <w:rPr>
                <w:rFonts w:ascii="Times New Roman" w:hAnsi="Times New Roman"/>
              </w:rPr>
              <w:t>$0</w:t>
            </w:r>
          </w:p>
        </w:tc>
        <w:tc>
          <w:tcPr>
            <w:tcW w:w="1398"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F4C0A09" w14:textId="77777777">
            <w:pPr>
              <w:rPr>
                <w:rFonts w:ascii="Times New Roman" w:hAnsi="Times New Roman"/>
              </w:rPr>
            </w:pPr>
            <w:r w:rsidRPr="0012674C">
              <w:rPr>
                <w:rFonts w:ascii="Times New Roman" w:hAnsi="Times New Roman"/>
              </w:rPr>
              <w:t>4239</w:t>
            </w:r>
          </w:p>
        </w:tc>
        <w:tc>
          <w:tcPr>
            <w:tcW w:w="1398"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3329CD78" w14:textId="77777777">
            <w:pPr>
              <w:rPr>
                <w:rFonts w:ascii="Times New Roman" w:hAnsi="Times New Roman"/>
              </w:rPr>
            </w:pPr>
            <w:r w:rsidRPr="0012674C">
              <w:rPr>
                <w:rFonts w:ascii="Times New Roman" w:hAnsi="Times New Roman"/>
              </w:rPr>
              <w:t>4020</w:t>
            </w:r>
          </w:p>
        </w:tc>
        <w:tc>
          <w:tcPr>
            <w:tcW w:w="1398"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65BC3208" w14:textId="77777777">
            <w:pPr>
              <w:rPr>
                <w:rFonts w:ascii="Times New Roman" w:hAnsi="Times New Roman"/>
              </w:rPr>
            </w:pPr>
            <w:r w:rsidRPr="0012674C">
              <w:rPr>
                <w:rFonts w:ascii="Times New Roman" w:hAnsi="Times New Roman"/>
              </w:rPr>
              <w:t>94.8%</w:t>
            </w:r>
          </w:p>
        </w:tc>
        <w:tc>
          <w:tcPr>
            <w:tcW w:w="1398" w:type="dxa"/>
            <w:tcBorders>
              <w:top w:val="single" w:sz="4" w:space="0" w:color="auto"/>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7FD85B02" w14:textId="77777777">
            <w:pPr>
              <w:rPr>
                <w:rFonts w:ascii="Times New Roman" w:hAnsi="Times New Roman"/>
              </w:rPr>
            </w:pPr>
            <w:r w:rsidRPr="0012674C">
              <w:rPr>
                <w:rFonts w:ascii="Times New Roman" w:hAnsi="Times New Roman"/>
              </w:rPr>
              <w:t>95.2%</w:t>
            </w:r>
          </w:p>
        </w:tc>
      </w:tr>
      <w:tr w14:paraId="75DBC94C" w14:textId="77777777" w:rsidTr="005E67DC">
        <w:tblPrEx>
          <w:tblW w:w="9580" w:type="dxa"/>
          <w:tblLayout w:type="fixed"/>
          <w:tblLook w:val="04A0"/>
        </w:tblPrEx>
        <w:trPr>
          <w:trHeight w:val="93"/>
        </w:trPr>
        <w:tc>
          <w:tcPr>
            <w:tcW w:w="230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67A3BF11" w14:textId="77777777">
            <w:pPr>
              <w:rPr>
                <w:rFonts w:ascii="Times New Roman" w:hAnsi="Times New Roman"/>
              </w:rPr>
            </w:pPr>
            <w:r w:rsidRPr="0012674C">
              <w:rPr>
                <w:rFonts w:ascii="Times New Roman" w:hAnsi="Times New Roman"/>
              </w:rPr>
              <w:t xml:space="preserve">Completed R29  </w:t>
            </w:r>
          </w:p>
        </w:tc>
        <w:tc>
          <w:tcPr>
            <w:tcW w:w="168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FE5E737" w14:textId="77777777">
            <w:pPr>
              <w:rPr>
                <w:rFonts w:ascii="Times New Roman" w:hAnsi="Times New Roman"/>
              </w:rPr>
            </w:pPr>
            <w:r w:rsidRPr="0012674C">
              <w:rPr>
                <w:rFonts w:ascii="Times New Roman" w:hAnsi="Times New Roman"/>
              </w:rPr>
              <w:t>$0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1E3DC03" w14:textId="77777777">
            <w:pPr>
              <w:rPr>
                <w:rFonts w:ascii="Times New Roman" w:hAnsi="Times New Roman"/>
              </w:rPr>
            </w:pPr>
            <w:r w:rsidRPr="0012674C">
              <w:rPr>
                <w:rFonts w:ascii="Times New Roman" w:hAnsi="Times New Roman"/>
              </w:rPr>
              <w:t>2295</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1D7C06F4" w14:textId="77777777">
            <w:pPr>
              <w:rPr>
                <w:rFonts w:ascii="Times New Roman" w:hAnsi="Times New Roman"/>
              </w:rPr>
            </w:pPr>
            <w:r w:rsidRPr="0012674C">
              <w:rPr>
                <w:rFonts w:ascii="Times New Roman" w:hAnsi="Times New Roman"/>
              </w:rPr>
              <w:t>1996</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3A238A65" w14:textId="77777777">
            <w:pPr>
              <w:rPr>
                <w:rFonts w:ascii="Times New Roman" w:hAnsi="Times New Roman"/>
              </w:rPr>
            </w:pPr>
            <w:r w:rsidRPr="0012674C">
              <w:rPr>
                <w:rFonts w:ascii="Times New Roman" w:hAnsi="Times New Roman"/>
              </w:rPr>
              <w:t>87.0%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008127AD" w14:textId="77777777">
            <w:pPr>
              <w:rPr>
                <w:rFonts w:ascii="Times New Roman" w:hAnsi="Times New Roman"/>
              </w:rPr>
            </w:pPr>
            <w:r w:rsidRPr="0012674C">
              <w:rPr>
                <w:rFonts w:ascii="Times New Roman" w:hAnsi="Times New Roman"/>
              </w:rPr>
              <w:t>85.4%</w:t>
            </w:r>
          </w:p>
        </w:tc>
      </w:tr>
      <w:tr w14:paraId="26C027AE" w14:textId="77777777" w:rsidTr="005E67DC">
        <w:tblPrEx>
          <w:tblW w:w="9580" w:type="dxa"/>
          <w:tblLayout w:type="fixed"/>
          <w:tblLook w:val="04A0"/>
        </w:tblPrEx>
        <w:trPr>
          <w:trHeight w:val="234"/>
        </w:trPr>
        <w:tc>
          <w:tcPr>
            <w:tcW w:w="230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BC66452" w14:textId="77777777">
            <w:pPr>
              <w:rPr>
                <w:rFonts w:ascii="Times New Roman" w:hAnsi="Times New Roman"/>
              </w:rPr>
            </w:pPr>
            <w:r w:rsidRPr="0012674C">
              <w:rPr>
                <w:rFonts w:ascii="Times New Roman" w:hAnsi="Times New Roman"/>
              </w:rPr>
              <w:t xml:space="preserve">1 Round Out  </w:t>
            </w:r>
          </w:p>
        </w:tc>
        <w:tc>
          <w:tcPr>
            <w:tcW w:w="168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5503589B" w14:textId="77777777">
            <w:pPr>
              <w:rPr>
                <w:rFonts w:ascii="Times New Roman" w:hAnsi="Times New Roman"/>
              </w:rPr>
            </w:pPr>
            <w:r w:rsidRPr="0012674C">
              <w:rPr>
                <w:rFonts w:ascii="Times New Roman" w:hAnsi="Times New Roman"/>
              </w:rPr>
              <w:t>$50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7C6B22B3" w14:textId="77777777">
            <w:pPr>
              <w:rPr>
                <w:rFonts w:ascii="Times New Roman" w:hAnsi="Times New Roman"/>
              </w:rPr>
            </w:pPr>
            <w:r w:rsidRPr="0012674C">
              <w:rPr>
                <w:rFonts w:ascii="Times New Roman" w:hAnsi="Times New Roman"/>
              </w:rPr>
              <w:t>451</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351F188D" w14:textId="77777777">
            <w:pPr>
              <w:rPr>
                <w:rFonts w:ascii="Times New Roman" w:hAnsi="Times New Roman"/>
              </w:rPr>
            </w:pPr>
            <w:r w:rsidRPr="0012674C">
              <w:rPr>
                <w:rFonts w:ascii="Times New Roman" w:hAnsi="Times New Roman"/>
              </w:rPr>
              <w:t>208</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4FDA5E1" w14:textId="77777777">
            <w:pPr>
              <w:rPr>
                <w:rFonts w:ascii="Times New Roman" w:hAnsi="Times New Roman"/>
              </w:rPr>
            </w:pPr>
            <w:r w:rsidRPr="0012674C">
              <w:rPr>
                <w:rFonts w:ascii="Times New Roman" w:hAnsi="Times New Roman"/>
              </w:rPr>
              <w:t>46.1%</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11D15540" w14:textId="77777777">
            <w:pPr>
              <w:rPr>
                <w:rFonts w:ascii="Times New Roman" w:hAnsi="Times New Roman"/>
              </w:rPr>
            </w:pPr>
            <w:r w:rsidRPr="0012674C">
              <w:rPr>
                <w:rFonts w:ascii="Times New Roman" w:hAnsi="Times New Roman"/>
              </w:rPr>
              <w:t>30.0%</w:t>
            </w:r>
          </w:p>
        </w:tc>
      </w:tr>
      <w:tr w14:paraId="26E3AFD1" w14:textId="77777777" w:rsidTr="005E67DC">
        <w:tblPrEx>
          <w:tblW w:w="9580" w:type="dxa"/>
          <w:tblLayout w:type="fixed"/>
          <w:tblLook w:val="04A0"/>
        </w:tblPrEx>
        <w:trPr>
          <w:trHeight w:val="234"/>
        </w:trPr>
        <w:tc>
          <w:tcPr>
            <w:tcW w:w="230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34BF173A" w14:textId="77777777">
            <w:pPr>
              <w:rPr>
                <w:rFonts w:ascii="Times New Roman" w:hAnsi="Times New Roman"/>
              </w:rPr>
            </w:pPr>
            <w:r w:rsidRPr="0012674C">
              <w:rPr>
                <w:rFonts w:ascii="Times New Roman" w:hAnsi="Times New Roman"/>
              </w:rPr>
              <w:t xml:space="preserve">2 Rounds Out  </w:t>
            </w:r>
          </w:p>
        </w:tc>
        <w:tc>
          <w:tcPr>
            <w:tcW w:w="168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21EADDD2" w14:textId="77777777">
            <w:pPr>
              <w:rPr>
                <w:rFonts w:ascii="Times New Roman" w:hAnsi="Times New Roman"/>
              </w:rPr>
            </w:pPr>
            <w:r w:rsidRPr="0012674C">
              <w:rPr>
                <w:rFonts w:ascii="Times New Roman" w:hAnsi="Times New Roman"/>
              </w:rPr>
              <w:t>$60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A4C7B49" w14:textId="77777777">
            <w:pPr>
              <w:rPr>
                <w:rFonts w:ascii="Times New Roman" w:hAnsi="Times New Roman"/>
              </w:rPr>
            </w:pPr>
            <w:r w:rsidRPr="0012674C">
              <w:rPr>
                <w:rFonts w:ascii="Times New Roman" w:hAnsi="Times New Roman"/>
              </w:rPr>
              <w:t>184</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7322699F" w14:textId="77777777">
            <w:pPr>
              <w:rPr>
                <w:rFonts w:ascii="Times New Roman" w:hAnsi="Times New Roman"/>
              </w:rPr>
            </w:pPr>
            <w:r w:rsidRPr="0012674C">
              <w:rPr>
                <w:rFonts w:ascii="Times New Roman" w:hAnsi="Times New Roman"/>
              </w:rPr>
              <w:t>65</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A3AEB41" w14:textId="77777777">
            <w:pPr>
              <w:rPr>
                <w:rFonts w:ascii="Times New Roman" w:hAnsi="Times New Roman"/>
              </w:rPr>
            </w:pPr>
            <w:r w:rsidRPr="0012674C">
              <w:rPr>
                <w:rFonts w:ascii="Times New Roman" w:hAnsi="Times New Roman"/>
              </w:rPr>
              <w:t>35.3%</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115FE512" w14:textId="77777777">
            <w:pPr>
              <w:rPr>
                <w:rFonts w:ascii="Times New Roman" w:hAnsi="Times New Roman"/>
              </w:rPr>
            </w:pPr>
            <w:r w:rsidRPr="0012674C">
              <w:rPr>
                <w:rFonts w:ascii="Times New Roman" w:hAnsi="Times New Roman"/>
              </w:rPr>
              <w:t>16.2%</w:t>
            </w:r>
          </w:p>
        </w:tc>
      </w:tr>
      <w:tr w14:paraId="797A6247" w14:textId="77777777" w:rsidTr="005E67DC">
        <w:tblPrEx>
          <w:tblW w:w="9580" w:type="dxa"/>
          <w:tblLayout w:type="fixed"/>
          <w:tblLook w:val="04A0"/>
        </w:tblPrEx>
        <w:trPr>
          <w:trHeight w:val="234"/>
        </w:trPr>
        <w:tc>
          <w:tcPr>
            <w:tcW w:w="230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7DCBB52" w14:textId="77777777">
            <w:pPr>
              <w:rPr>
                <w:rFonts w:ascii="Times New Roman" w:hAnsi="Times New Roman"/>
              </w:rPr>
            </w:pPr>
            <w:r w:rsidRPr="0012674C">
              <w:rPr>
                <w:rFonts w:ascii="Times New Roman" w:hAnsi="Times New Roman"/>
              </w:rPr>
              <w:t xml:space="preserve">3 Rounds Out  </w:t>
            </w:r>
          </w:p>
        </w:tc>
        <w:tc>
          <w:tcPr>
            <w:tcW w:w="168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3A0AFCD3" w14:textId="77777777">
            <w:pPr>
              <w:rPr>
                <w:rFonts w:ascii="Times New Roman" w:hAnsi="Times New Roman"/>
              </w:rPr>
            </w:pPr>
            <w:r w:rsidRPr="0012674C">
              <w:rPr>
                <w:rFonts w:ascii="Times New Roman" w:hAnsi="Times New Roman"/>
              </w:rPr>
              <w:t>$70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529201CB" w14:textId="77777777">
            <w:pPr>
              <w:rPr>
                <w:rFonts w:ascii="Times New Roman" w:hAnsi="Times New Roman"/>
              </w:rPr>
            </w:pPr>
            <w:r w:rsidRPr="0012674C">
              <w:rPr>
                <w:rFonts w:ascii="Times New Roman" w:hAnsi="Times New Roman"/>
              </w:rPr>
              <w:t>169</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65BAC1A" w14:textId="77777777">
            <w:pPr>
              <w:rPr>
                <w:rFonts w:ascii="Times New Roman" w:hAnsi="Times New Roman"/>
              </w:rPr>
            </w:pPr>
            <w:r w:rsidRPr="0012674C">
              <w:rPr>
                <w:rFonts w:ascii="Times New Roman" w:hAnsi="Times New Roman"/>
              </w:rPr>
              <w:t>38</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5E635BD" w14:textId="77777777">
            <w:pPr>
              <w:rPr>
                <w:rFonts w:ascii="Times New Roman" w:hAnsi="Times New Roman"/>
              </w:rPr>
            </w:pPr>
            <w:r w:rsidRPr="0012674C">
              <w:rPr>
                <w:rFonts w:ascii="Times New Roman" w:hAnsi="Times New Roman"/>
              </w:rPr>
              <w:t>22.5%</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2BA87AC3" w14:textId="77777777">
            <w:pPr>
              <w:rPr>
                <w:rFonts w:ascii="Times New Roman" w:hAnsi="Times New Roman"/>
              </w:rPr>
            </w:pPr>
            <w:r w:rsidRPr="0012674C">
              <w:rPr>
                <w:rFonts w:ascii="Times New Roman" w:hAnsi="Times New Roman"/>
              </w:rPr>
              <w:t>13.6%</w:t>
            </w:r>
          </w:p>
        </w:tc>
      </w:tr>
      <w:tr w14:paraId="79E309F3" w14:textId="77777777" w:rsidTr="005E67DC">
        <w:tblPrEx>
          <w:tblW w:w="9580" w:type="dxa"/>
          <w:tblLayout w:type="fixed"/>
          <w:tblLook w:val="04A0"/>
        </w:tblPrEx>
        <w:trPr>
          <w:trHeight w:val="234"/>
        </w:trPr>
        <w:tc>
          <w:tcPr>
            <w:tcW w:w="230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67193D05" w14:textId="77777777">
            <w:pPr>
              <w:rPr>
                <w:rFonts w:ascii="Times New Roman" w:hAnsi="Times New Roman"/>
              </w:rPr>
            </w:pPr>
            <w:r w:rsidRPr="0012674C">
              <w:rPr>
                <w:rFonts w:ascii="Times New Roman" w:hAnsi="Times New Roman"/>
              </w:rPr>
              <w:t xml:space="preserve">4 Rounds Out  </w:t>
            </w:r>
          </w:p>
        </w:tc>
        <w:tc>
          <w:tcPr>
            <w:tcW w:w="1684"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E46D324" w14:textId="77777777">
            <w:pPr>
              <w:rPr>
                <w:rFonts w:ascii="Times New Roman" w:hAnsi="Times New Roman"/>
              </w:rPr>
            </w:pPr>
            <w:r w:rsidRPr="0012674C">
              <w:rPr>
                <w:rFonts w:ascii="Times New Roman" w:hAnsi="Times New Roman"/>
              </w:rPr>
              <w:t>$70</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0E1EDC41" w14:textId="77777777">
            <w:pPr>
              <w:rPr>
                <w:rFonts w:ascii="Times New Roman" w:hAnsi="Times New Roman"/>
              </w:rPr>
            </w:pPr>
            <w:r w:rsidRPr="0012674C">
              <w:rPr>
                <w:rFonts w:ascii="Times New Roman" w:hAnsi="Times New Roman"/>
              </w:rPr>
              <w:t>149</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50F46ABA" w14:textId="77777777">
            <w:pPr>
              <w:rPr>
                <w:rFonts w:ascii="Times New Roman" w:hAnsi="Times New Roman"/>
              </w:rPr>
            </w:pPr>
            <w:r w:rsidRPr="0012674C">
              <w:rPr>
                <w:rFonts w:ascii="Times New Roman" w:hAnsi="Times New Roman"/>
              </w:rPr>
              <w:t>24</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hideMark/>
          </w:tcPr>
          <w:p w:rsidR="00F10944" w:rsidRPr="0012674C" w:rsidP="005E67DC" w14:paraId="4BAF357D" w14:textId="77777777">
            <w:pPr>
              <w:rPr>
                <w:rFonts w:ascii="Times New Roman" w:hAnsi="Times New Roman"/>
              </w:rPr>
            </w:pPr>
            <w:r w:rsidRPr="0012674C">
              <w:rPr>
                <w:rFonts w:ascii="Times New Roman" w:hAnsi="Times New Roman"/>
              </w:rPr>
              <w:t>16.1%</w:t>
            </w:r>
          </w:p>
        </w:tc>
        <w:tc>
          <w:tcPr>
            <w:tcW w:w="1398" w:type="dxa"/>
            <w:tcBorders>
              <w:top w:val="nil"/>
              <w:left w:val="single" w:sz="4" w:space="0" w:color="AEAAAA" w:themeColor="background2" w:themeShade="BF"/>
              <w:bottom w:val="nil"/>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1BA3E709" w14:textId="77777777">
            <w:pPr>
              <w:rPr>
                <w:rFonts w:ascii="Times New Roman" w:hAnsi="Times New Roman"/>
              </w:rPr>
            </w:pPr>
            <w:r w:rsidRPr="0012674C">
              <w:rPr>
                <w:rFonts w:ascii="Times New Roman" w:hAnsi="Times New Roman"/>
              </w:rPr>
              <w:t>16.7%</w:t>
            </w:r>
          </w:p>
        </w:tc>
        <w:bookmarkEnd w:id="6"/>
      </w:tr>
      <w:tr w14:paraId="62CF9809" w14:textId="77777777" w:rsidTr="005E67DC">
        <w:tblPrEx>
          <w:tblW w:w="9580" w:type="dxa"/>
          <w:tblLayout w:type="fixed"/>
          <w:tblLook w:val="04A0"/>
        </w:tblPrEx>
        <w:trPr>
          <w:trHeight w:val="234"/>
        </w:trPr>
        <w:tc>
          <w:tcPr>
            <w:tcW w:w="2304"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hideMark/>
          </w:tcPr>
          <w:p w:rsidR="00F10944" w:rsidRPr="0012674C" w:rsidP="005E67DC" w14:paraId="1601ACA3" w14:textId="77777777">
            <w:pPr>
              <w:rPr>
                <w:rFonts w:ascii="Times New Roman" w:hAnsi="Times New Roman"/>
              </w:rPr>
            </w:pPr>
            <w:r w:rsidRPr="0012674C">
              <w:rPr>
                <w:rFonts w:ascii="Times New Roman" w:hAnsi="Times New Roman"/>
              </w:rPr>
              <w:t xml:space="preserve">5+ Rounds Out  </w:t>
            </w:r>
          </w:p>
        </w:tc>
        <w:tc>
          <w:tcPr>
            <w:tcW w:w="1684"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hideMark/>
          </w:tcPr>
          <w:p w:rsidR="00F10944" w:rsidRPr="0012674C" w:rsidP="005E67DC" w14:paraId="59489858" w14:textId="77777777">
            <w:pPr>
              <w:rPr>
                <w:rFonts w:ascii="Times New Roman" w:hAnsi="Times New Roman"/>
              </w:rPr>
            </w:pPr>
            <w:r w:rsidRPr="0012674C">
              <w:rPr>
                <w:rFonts w:ascii="Times New Roman" w:hAnsi="Times New Roman"/>
              </w:rPr>
              <w:t>$70</w:t>
            </w:r>
          </w:p>
        </w:tc>
        <w:tc>
          <w:tcPr>
            <w:tcW w:w="1398"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hideMark/>
          </w:tcPr>
          <w:p w:rsidR="00F10944" w:rsidRPr="0012674C" w:rsidP="005E67DC" w14:paraId="51094B79" w14:textId="77777777">
            <w:pPr>
              <w:rPr>
                <w:rFonts w:ascii="Times New Roman" w:hAnsi="Times New Roman"/>
              </w:rPr>
            </w:pPr>
            <w:r w:rsidRPr="0012674C">
              <w:rPr>
                <w:rFonts w:ascii="Times New Roman" w:hAnsi="Times New Roman"/>
              </w:rPr>
              <w:t>1073</w:t>
            </w:r>
          </w:p>
        </w:tc>
        <w:tc>
          <w:tcPr>
            <w:tcW w:w="1398"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hideMark/>
          </w:tcPr>
          <w:p w:rsidR="00F10944" w:rsidRPr="0012674C" w:rsidP="005E67DC" w14:paraId="6CA14330" w14:textId="77777777">
            <w:pPr>
              <w:rPr>
                <w:rFonts w:ascii="Times New Roman" w:hAnsi="Times New Roman"/>
              </w:rPr>
            </w:pPr>
            <w:r w:rsidRPr="0012674C">
              <w:rPr>
                <w:rFonts w:ascii="Times New Roman" w:hAnsi="Times New Roman"/>
              </w:rPr>
              <w:t>62</w:t>
            </w:r>
          </w:p>
        </w:tc>
        <w:tc>
          <w:tcPr>
            <w:tcW w:w="1398"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hideMark/>
          </w:tcPr>
          <w:p w:rsidR="00F10944" w:rsidRPr="0012674C" w:rsidP="005E67DC" w14:paraId="019B674D" w14:textId="77777777">
            <w:pPr>
              <w:rPr>
                <w:rFonts w:ascii="Times New Roman" w:hAnsi="Times New Roman"/>
              </w:rPr>
            </w:pPr>
            <w:r w:rsidRPr="0012674C">
              <w:rPr>
                <w:rFonts w:ascii="Times New Roman" w:hAnsi="Times New Roman"/>
              </w:rPr>
              <w:t>5.8%</w:t>
            </w:r>
          </w:p>
        </w:tc>
        <w:tc>
          <w:tcPr>
            <w:tcW w:w="1398"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tcMar>
              <w:top w:w="0" w:type="dxa"/>
              <w:left w:w="115" w:type="dxa"/>
              <w:bottom w:w="0" w:type="dxa"/>
              <w:right w:w="115" w:type="dxa"/>
            </w:tcMar>
            <w:vAlign w:val="center"/>
            <w:hideMark/>
          </w:tcPr>
          <w:p w:rsidR="00F10944" w:rsidRPr="0012674C" w:rsidP="005E67DC" w14:paraId="41D6A6F3" w14:textId="77777777">
            <w:pPr>
              <w:rPr>
                <w:rFonts w:ascii="Times New Roman" w:hAnsi="Times New Roman"/>
              </w:rPr>
            </w:pPr>
            <w:r w:rsidRPr="0012674C">
              <w:rPr>
                <w:rFonts w:ascii="Times New Roman" w:hAnsi="Times New Roman"/>
              </w:rPr>
              <w:t>5.3%</w:t>
            </w:r>
          </w:p>
        </w:tc>
      </w:tr>
      <w:bookmarkEnd w:id="5"/>
    </w:tbl>
    <w:p w:rsidR="00F10944" w:rsidP="00F10944" w14:paraId="51087BD1" w14:textId="77777777">
      <w:pPr>
        <w:rPr>
          <w:rFonts w:ascii="Times New Roman" w:hAnsi="Times New Roman"/>
        </w:rPr>
      </w:pPr>
    </w:p>
    <w:p w:rsidR="00F10944" w:rsidP="00F10944" w14:paraId="4D82E601" w14:textId="77777777">
      <w:pPr>
        <w:rPr>
          <w:rFonts w:ascii="Times New Roman" w:hAnsi="Times New Roman"/>
        </w:rPr>
      </w:pPr>
      <w:r>
        <w:rPr>
          <w:rFonts w:ascii="Times New Roman" w:hAnsi="Times New Roman"/>
        </w:rPr>
        <w:t xml:space="preserve">To gauge the cost effectiveness of this incentive, assume conservatively that we would require an additional 10 attempts to complete an interview, on average (respondents in Round 30 who </w:t>
      </w:r>
      <w:r>
        <w:rPr>
          <w:rFonts w:ascii="Times New Roman" w:hAnsi="Times New Roman"/>
        </w:rPr>
        <w:t>missed 1-3 prior rounds required, on average, 18 outreach attempts to complete an interview). Using an estimate of 30 minutes per attempt, this translates to 5 hours of additional labor for these attempts, or $200 for each missed round respondent to complete the interview – well above the $96.82 cost of the incentive.</w:t>
      </w:r>
    </w:p>
    <w:p w:rsidR="00F10944" w:rsidP="00F10944" w14:paraId="31BE8F7A" w14:textId="77777777">
      <w:pPr>
        <w:rPr>
          <w:rFonts w:ascii="Times New Roman" w:hAnsi="Times New Roman"/>
        </w:rPr>
      </w:pPr>
    </w:p>
    <w:p w:rsidR="00F10944" w:rsidP="00F10944" w14:paraId="7693105C" w14:textId="2E73A5D0">
      <w:pPr>
        <w:rPr>
          <w:rFonts w:ascii="Times New Roman" w:hAnsi="Times New Roman"/>
        </w:rPr>
      </w:pPr>
      <w:r>
        <w:rPr>
          <w:rFonts w:ascii="Times New Roman" w:hAnsi="Times New Roman"/>
        </w:rPr>
        <w:t xml:space="preserve">Given this success, and the fact that the number of respondents who have missed recent rounds remains high, we propose to maintain the Round 30 levels for missed round incentives.  As shown in Table </w:t>
      </w:r>
      <w:r w:rsidR="005E6408">
        <w:rPr>
          <w:rFonts w:ascii="Times New Roman" w:hAnsi="Times New Roman"/>
        </w:rPr>
        <w:t>6</w:t>
      </w:r>
      <w:r>
        <w:rPr>
          <w:rFonts w:ascii="Times New Roman" w:hAnsi="Times New Roman"/>
        </w:rPr>
        <w:t>, if the impact on response continues at the level calculated for Round 30, the additional $30 per response compared to the R29 incentive amounts would result in 145 additional responses at an average cost of $90.33 per response.  Even if this impact is cut in half, we would still expect 73 additional responses at an average cost of $150.65 per response.  In both cases, the augmented incentive would be cost effective compared to a benchmark of $200 per response.</w:t>
      </w:r>
    </w:p>
    <w:p w:rsidR="00F10944" w:rsidP="00F10944" w14:paraId="02E79FD9" w14:textId="77777777">
      <w:pPr>
        <w:rPr>
          <w:rFonts w:ascii="Times New Roman" w:hAnsi="Times New Roman"/>
        </w:rPr>
      </w:pPr>
    </w:p>
    <w:p w:rsidR="00F10944" w:rsidP="00F10944" w14:paraId="0AEBF637" w14:textId="25ACE7F1">
      <w:pPr>
        <w:widowControl/>
        <w:rPr>
          <w:rFonts w:ascii="Times New Roman" w:hAnsi="Times New Roman"/>
          <w:b/>
          <w:bCs/>
        </w:rPr>
      </w:pPr>
      <w:r>
        <w:rPr>
          <w:rFonts w:ascii="Times New Roman" w:hAnsi="Times New Roman"/>
          <w:b/>
          <w:bCs/>
        </w:rPr>
        <w:t xml:space="preserve">Table </w:t>
      </w:r>
      <w:r w:rsidR="005E6408">
        <w:rPr>
          <w:rFonts w:ascii="Times New Roman" w:hAnsi="Times New Roman"/>
          <w:b/>
          <w:bCs/>
        </w:rPr>
        <w:t>6</w:t>
      </w:r>
      <w:r>
        <w:rPr>
          <w:rFonts w:ascii="Times New Roman" w:hAnsi="Times New Roman"/>
          <w:b/>
          <w:bCs/>
        </w:rPr>
        <w:t>. Projected costs and number of additional completes for missed round incentives in Round 31, Respondents out 1 or More Rounds.</w:t>
      </w:r>
    </w:p>
    <w:tbl>
      <w:tblPr>
        <w:tblStyle w:val="TableGrid"/>
        <w:tblW w:w="10383" w:type="dxa"/>
        <w:tblInd w:w="-1" w:type="dxa"/>
        <w:tblLayout w:type="fixed"/>
        <w:tblLook w:val="04A0"/>
      </w:tblPr>
      <w:tblGrid>
        <w:gridCol w:w="1471"/>
        <w:gridCol w:w="1114"/>
        <w:gridCol w:w="1114"/>
        <w:gridCol w:w="1114"/>
        <w:gridCol w:w="1114"/>
        <w:gridCol w:w="1114"/>
        <w:gridCol w:w="1114"/>
        <w:gridCol w:w="1114"/>
        <w:gridCol w:w="1114"/>
      </w:tblGrid>
      <w:tr w14:paraId="38F2A3DA"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4D6ED0" w:rsidP="005E67DC" w14:paraId="1951602C" w14:textId="77777777">
            <w:pPr>
              <w:widowControl/>
              <w:jc w:val="center"/>
              <w:rPr>
                <w:rFonts w:ascii="Times New Roman" w:hAnsi="Times New Roman"/>
                <w:b/>
                <w:bCs/>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61E32754" w14:textId="77777777">
            <w:pPr>
              <w:widowControl/>
              <w:jc w:val="center"/>
              <w:rPr>
                <w:rFonts w:ascii="Times New Roman" w:hAnsi="Times New Roman"/>
                <w:b/>
                <w:bCs/>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6268AAAD" w14:textId="77777777">
            <w:pPr>
              <w:widowControl/>
              <w:jc w:val="center"/>
              <w:rPr>
                <w:rFonts w:ascii="Times New Roman" w:hAnsi="Times New Roman"/>
                <w:b/>
                <w:bCs/>
                <w:sz w:val="20"/>
                <w:szCs w:val="20"/>
              </w:rPr>
            </w:pPr>
          </w:p>
        </w:tc>
        <w:tc>
          <w:tcPr>
            <w:tcW w:w="1152" w:type="dxa"/>
            <w:gridSpan w:val="3"/>
            <w:tcBorders>
              <w:top w:val="single" w:sz="4" w:space="0" w:color="auto"/>
              <w:left w:val="single" w:sz="4" w:space="0" w:color="auto"/>
              <w:bottom w:val="single" w:sz="4" w:space="0" w:color="auto"/>
              <w:right w:val="single" w:sz="4" w:space="0" w:color="auto"/>
            </w:tcBorders>
          </w:tcPr>
          <w:p w:rsidR="00F10944" w:rsidP="005E67DC" w14:paraId="6468993E" w14:textId="77777777">
            <w:pPr>
              <w:widowControl/>
              <w:jc w:val="center"/>
              <w:rPr>
                <w:rFonts w:ascii="Times New Roman" w:hAnsi="Times New Roman"/>
                <w:b/>
                <w:bCs/>
                <w:sz w:val="20"/>
                <w:szCs w:val="20"/>
              </w:rPr>
            </w:pPr>
            <w:r>
              <w:rPr>
                <w:rFonts w:ascii="Times New Roman" w:hAnsi="Times New Roman"/>
                <w:b/>
                <w:bCs/>
                <w:sz w:val="20"/>
                <w:szCs w:val="20"/>
              </w:rPr>
              <w:t>Assumed Response at R30 Level</w:t>
            </w:r>
          </w:p>
        </w:tc>
        <w:tc>
          <w:tcPr>
            <w:tcW w:w="1152" w:type="dxa"/>
            <w:gridSpan w:val="3"/>
            <w:tcBorders>
              <w:top w:val="single" w:sz="4" w:space="0" w:color="auto"/>
              <w:left w:val="single" w:sz="4" w:space="0" w:color="auto"/>
              <w:bottom w:val="single" w:sz="4" w:space="0" w:color="auto"/>
              <w:right w:val="single" w:sz="4" w:space="0" w:color="auto"/>
            </w:tcBorders>
          </w:tcPr>
          <w:p w:rsidR="00F10944" w:rsidP="005E67DC" w14:paraId="1BCBDD08" w14:textId="77777777">
            <w:pPr>
              <w:widowControl/>
              <w:jc w:val="center"/>
              <w:rPr>
                <w:rFonts w:ascii="Times New Roman" w:hAnsi="Times New Roman"/>
                <w:b/>
                <w:bCs/>
                <w:sz w:val="20"/>
                <w:szCs w:val="20"/>
              </w:rPr>
            </w:pPr>
            <w:r>
              <w:rPr>
                <w:rFonts w:ascii="Times New Roman" w:hAnsi="Times New Roman"/>
                <w:b/>
                <w:bCs/>
                <w:sz w:val="20"/>
                <w:szCs w:val="20"/>
              </w:rPr>
              <w:t>Assumed 50% of R30 Impact</w:t>
            </w:r>
          </w:p>
          <w:p w:rsidR="00F10944" w:rsidP="005E67DC" w14:paraId="76EB38E5" w14:textId="77777777">
            <w:pPr>
              <w:widowControl/>
              <w:jc w:val="center"/>
              <w:rPr>
                <w:rFonts w:ascii="Times New Roman" w:hAnsi="Times New Roman"/>
                <w:b/>
                <w:bCs/>
                <w:sz w:val="20"/>
                <w:szCs w:val="20"/>
              </w:rPr>
            </w:pPr>
          </w:p>
        </w:tc>
      </w:tr>
      <w:tr w14:paraId="24F1B649"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hideMark/>
          </w:tcPr>
          <w:p w:rsidR="00F10944" w:rsidRPr="004D6ED0" w:rsidP="005E67DC" w14:paraId="4F84A302" w14:textId="77777777">
            <w:pPr>
              <w:widowControl/>
              <w:jc w:val="center"/>
              <w:rPr>
                <w:rFonts w:ascii="Times New Roman" w:hAnsi="Times New Roman"/>
                <w:b/>
                <w:bCs/>
                <w:sz w:val="20"/>
                <w:szCs w:val="20"/>
              </w:rPr>
            </w:pPr>
            <w:r w:rsidRPr="004D6ED0">
              <w:rPr>
                <w:rFonts w:ascii="Times New Roman" w:hAnsi="Times New Roman"/>
                <w:b/>
                <w:bCs/>
                <w:sz w:val="20"/>
                <w:szCs w:val="20"/>
              </w:rPr>
              <w:t>Prior Round Status</w:t>
            </w: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2E6E6223" w14:textId="77777777">
            <w:pPr>
              <w:widowControl/>
              <w:jc w:val="center"/>
              <w:rPr>
                <w:rFonts w:ascii="Times New Roman" w:hAnsi="Times New Roman"/>
                <w:b/>
                <w:bCs/>
                <w:sz w:val="20"/>
                <w:szCs w:val="20"/>
              </w:rPr>
            </w:pPr>
            <w:r w:rsidRPr="004D6ED0">
              <w:rPr>
                <w:rFonts w:ascii="Times New Roman" w:hAnsi="Times New Roman"/>
                <w:b/>
                <w:bCs/>
                <w:sz w:val="20"/>
                <w:szCs w:val="20"/>
              </w:rPr>
              <w:t>R31 Eligible N</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5BB7AD75" w14:textId="77777777">
            <w:pPr>
              <w:widowControl/>
              <w:jc w:val="center"/>
              <w:rPr>
                <w:rFonts w:ascii="Times New Roman" w:hAnsi="Times New Roman"/>
                <w:b/>
                <w:bCs/>
                <w:sz w:val="20"/>
                <w:szCs w:val="20"/>
              </w:rPr>
            </w:pPr>
            <w:r>
              <w:rPr>
                <w:rFonts w:ascii="Times New Roman" w:hAnsi="Times New Roman"/>
                <w:b/>
                <w:bCs/>
                <w:sz w:val="20"/>
                <w:szCs w:val="20"/>
              </w:rPr>
              <w:t>R29 Response</w:t>
            </w: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30864C0E" w14:textId="77777777">
            <w:pPr>
              <w:widowControl/>
              <w:jc w:val="center"/>
              <w:rPr>
                <w:rFonts w:ascii="Times New Roman" w:hAnsi="Times New Roman"/>
                <w:b/>
                <w:bCs/>
                <w:sz w:val="20"/>
                <w:szCs w:val="20"/>
              </w:rPr>
            </w:pPr>
            <w:r>
              <w:rPr>
                <w:rFonts w:ascii="Times New Roman" w:hAnsi="Times New Roman"/>
                <w:b/>
                <w:bCs/>
                <w:sz w:val="20"/>
                <w:szCs w:val="20"/>
              </w:rPr>
              <w:t>Rate</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2B2073CD" w14:textId="77777777">
            <w:pPr>
              <w:widowControl/>
              <w:jc w:val="center"/>
              <w:rPr>
                <w:rFonts w:ascii="Times New Roman" w:hAnsi="Times New Roman"/>
                <w:b/>
                <w:bCs/>
                <w:sz w:val="20"/>
                <w:szCs w:val="20"/>
              </w:rPr>
            </w:pPr>
            <w:r>
              <w:rPr>
                <w:rFonts w:ascii="Times New Roman" w:hAnsi="Times New Roman"/>
                <w:b/>
                <w:bCs/>
                <w:sz w:val="20"/>
                <w:szCs w:val="20"/>
              </w:rPr>
              <w:t xml:space="preserve">Impact </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17075A97" w14:textId="77777777">
            <w:pPr>
              <w:widowControl/>
              <w:jc w:val="center"/>
              <w:rPr>
                <w:rFonts w:ascii="Times New Roman" w:hAnsi="Times New Roman"/>
                <w:b/>
                <w:bCs/>
                <w:sz w:val="20"/>
                <w:szCs w:val="20"/>
              </w:rPr>
            </w:pPr>
            <w:r>
              <w:rPr>
                <w:rFonts w:ascii="Times New Roman" w:hAnsi="Times New Roman"/>
                <w:b/>
                <w:bCs/>
                <w:sz w:val="20"/>
                <w:szCs w:val="20"/>
              </w:rPr>
              <w:t>Cost</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102B018A" w14:textId="77777777">
            <w:pPr>
              <w:widowControl/>
              <w:jc w:val="center"/>
              <w:rPr>
                <w:rFonts w:ascii="Times New Roman" w:hAnsi="Times New Roman"/>
                <w:b/>
                <w:bCs/>
                <w:sz w:val="20"/>
                <w:szCs w:val="20"/>
              </w:rPr>
            </w:pPr>
            <w:r>
              <w:rPr>
                <w:rFonts w:ascii="Times New Roman" w:hAnsi="Times New Roman"/>
                <w:b/>
                <w:bCs/>
                <w:sz w:val="20"/>
                <w:szCs w:val="20"/>
              </w:rPr>
              <w:t>Rate</w:t>
            </w: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5CE6C4D3" w14:textId="77777777">
            <w:pPr>
              <w:widowControl/>
              <w:jc w:val="center"/>
              <w:rPr>
                <w:rFonts w:ascii="Times New Roman" w:hAnsi="Times New Roman"/>
                <w:b/>
                <w:bCs/>
                <w:sz w:val="20"/>
                <w:szCs w:val="20"/>
              </w:rPr>
            </w:pPr>
            <w:r>
              <w:rPr>
                <w:rFonts w:ascii="Times New Roman" w:hAnsi="Times New Roman"/>
                <w:b/>
                <w:bCs/>
                <w:sz w:val="20"/>
                <w:szCs w:val="20"/>
              </w:rPr>
              <w:t xml:space="preserve">Impact </w:t>
            </w: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1C19CD9D" w14:textId="77777777">
            <w:pPr>
              <w:widowControl/>
              <w:jc w:val="center"/>
              <w:rPr>
                <w:rFonts w:ascii="Times New Roman" w:hAnsi="Times New Roman"/>
                <w:b/>
                <w:bCs/>
                <w:sz w:val="20"/>
                <w:szCs w:val="20"/>
              </w:rPr>
            </w:pPr>
            <w:r>
              <w:rPr>
                <w:rFonts w:ascii="Times New Roman" w:hAnsi="Times New Roman"/>
                <w:b/>
                <w:bCs/>
                <w:sz w:val="20"/>
                <w:szCs w:val="20"/>
              </w:rPr>
              <w:t>Cost</w:t>
            </w:r>
          </w:p>
        </w:tc>
      </w:tr>
      <w:tr w14:paraId="5CFFF929"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hideMark/>
          </w:tcPr>
          <w:p w:rsidR="00F10944" w:rsidRPr="004D6ED0" w:rsidP="005E67DC" w14:paraId="67EAD579" w14:textId="77777777">
            <w:pPr>
              <w:widowControl/>
              <w:jc w:val="center"/>
              <w:rPr>
                <w:rFonts w:ascii="Times New Roman" w:hAnsi="Times New Roman"/>
                <w:sz w:val="20"/>
                <w:szCs w:val="20"/>
              </w:rPr>
            </w:pPr>
            <w:bookmarkStart w:id="7" w:name="_Hlk156403312"/>
            <w:r w:rsidRPr="004D6ED0">
              <w:rPr>
                <w:rFonts w:ascii="Times New Roman" w:hAnsi="Times New Roman"/>
                <w:sz w:val="20"/>
                <w:szCs w:val="20"/>
              </w:rPr>
              <w:t>Out 1 Round</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370C83AF" w14:textId="77777777">
            <w:pPr>
              <w:widowControl/>
              <w:jc w:val="center"/>
              <w:rPr>
                <w:rFonts w:ascii="Times New Roman" w:hAnsi="Times New Roman"/>
                <w:sz w:val="20"/>
                <w:szCs w:val="20"/>
              </w:rPr>
            </w:pPr>
            <w:r>
              <w:rPr>
                <w:rFonts w:ascii="Times New Roman" w:hAnsi="Times New Roman"/>
                <w:sz w:val="20"/>
                <w:szCs w:val="20"/>
              </w:rPr>
              <w:t>518</w:t>
            </w:r>
          </w:p>
        </w:tc>
        <w:tc>
          <w:tcPr>
            <w:tcW w:w="1152" w:type="dxa"/>
            <w:tcBorders>
              <w:top w:val="single" w:sz="4" w:space="0" w:color="auto"/>
              <w:left w:val="single" w:sz="4" w:space="0" w:color="auto"/>
              <w:bottom w:val="single" w:sz="4" w:space="0" w:color="auto"/>
              <w:right w:val="single" w:sz="4" w:space="0" w:color="auto"/>
            </w:tcBorders>
            <w:vAlign w:val="center"/>
          </w:tcPr>
          <w:p w:rsidR="00F10944" w:rsidRPr="00A34E69" w:rsidP="005E67DC" w14:paraId="7624ACA8" w14:textId="77777777">
            <w:pPr>
              <w:widowControl/>
              <w:jc w:val="center"/>
              <w:rPr>
                <w:rFonts w:ascii="Times New Roman" w:hAnsi="Times New Roman"/>
                <w:sz w:val="20"/>
                <w:szCs w:val="20"/>
              </w:rPr>
            </w:pPr>
            <w:r w:rsidRPr="000254EC">
              <w:rPr>
                <w:rFonts w:ascii="Times New Roman" w:hAnsi="Times New Roman"/>
                <w:sz w:val="20"/>
                <w:szCs w:val="20"/>
              </w:rPr>
              <w:t>30.0%</w:t>
            </w:r>
          </w:p>
        </w:tc>
        <w:tc>
          <w:tcPr>
            <w:tcW w:w="1152" w:type="dxa"/>
            <w:tcBorders>
              <w:top w:val="single" w:sz="4" w:space="0" w:color="auto"/>
              <w:left w:val="single" w:sz="4" w:space="0" w:color="auto"/>
              <w:bottom w:val="single" w:sz="4" w:space="0" w:color="auto"/>
              <w:right w:val="single" w:sz="4" w:space="0" w:color="auto"/>
            </w:tcBorders>
            <w:hideMark/>
          </w:tcPr>
          <w:p w:rsidR="00F10944" w:rsidRPr="00A34E69" w:rsidP="005E67DC" w14:paraId="7800B24C" w14:textId="77777777">
            <w:pPr>
              <w:widowControl/>
              <w:jc w:val="center"/>
              <w:rPr>
                <w:rFonts w:ascii="Times New Roman" w:hAnsi="Times New Roman"/>
                <w:sz w:val="20"/>
                <w:szCs w:val="20"/>
              </w:rPr>
            </w:pPr>
            <w:r w:rsidRPr="000254EC">
              <w:rPr>
                <w:rFonts w:ascii="Times New Roman" w:hAnsi="Times New Roman"/>
                <w:sz w:val="20"/>
                <w:szCs w:val="20"/>
              </w:rPr>
              <w:t>46.1%</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4DC504D2" w14:textId="77777777">
            <w:pPr>
              <w:widowControl/>
              <w:jc w:val="center"/>
              <w:rPr>
                <w:rFonts w:ascii="Times New Roman" w:hAnsi="Times New Roman"/>
                <w:sz w:val="20"/>
                <w:szCs w:val="20"/>
              </w:rPr>
            </w:pPr>
            <w:r>
              <w:rPr>
                <w:rFonts w:ascii="Times New Roman" w:hAnsi="Times New Roman"/>
                <w:sz w:val="20"/>
                <w:szCs w:val="20"/>
              </w:rPr>
              <w:t>83</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1A56C5D5" w14:textId="77777777">
            <w:pPr>
              <w:widowControl/>
              <w:jc w:val="center"/>
              <w:rPr>
                <w:rFonts w:ascii="Times New Roman" w:hAnsi="Times New Roman"/>
                <w:sz w:val="20"/>
                <w:szCs w:val="20"/>
              </w:rPr>
            </w:pPr>
            <w:r>
              <w:rPr>
                <w:rFonts w:ascii="Times New Roman" w:hAnsi="Times New Roman"/>
                <w:sz w:val="20"/>
                <w:szCs w:val="20"/>
              </w:rPr>
              <w:t>$7,164</w:t>
            </w:r>
          </w:p>
        </w:tc>
        <w:tc>
          <w:tcPr>
            <w:tcW w:w="1152" w:type="dxa"/>
            <w:tcBorders>
              <w:top w:val="single" w:sz="4" w:space="0" w:color="auto"/>
              <w:left w:val="single" w:sz="4" w:space="0" w:color="auto"/>
              <w:bottom w:val="single" w:sz="4" w:space="0" w:color="auto"/>
              <w:right w:val="single" w:sz="4" w:space="0" w:color="auto"/>
            </w:tcBorders>
          </w:tcPr>
          <w:p w:rsidR="00F10944" w:rsidRPr="001E493C" w:rsidP="005E67DC" w14:paraId="0DF0322E" w14:textId="77777777">
            <w:pPr>
              <w:widowControl/>
              <w:jc w:val="center"/>
              <w:rPr>
                <w:rFonts w:ascii="Times New Roman" w:hAnsi="Times New Roman"/>
                <w:sz w:val="20"/>
                <w:szCs w:val="20"/>
              </w:rPr>
            </w:pPr>
            <w:r>
              <w:rPr>
                <w:rFonts w:ascii="Times New Roman" w:hAnsi="Times New Roman"/>
                <w:sz w:val="20"/>
                <w:szCs w:val="20"/>
              </w:rPr>
              <w:t>38.1%</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52C1D238" w14:textId="77777777">
            <w:pPr>
              <w:widowControl/>
              <w:jc w:val="center"/>
              <w:rPr>
                <w:rFonts w:ascii="Times New Roman" w:hAnsi="Times New Roman"/>
                <w:sz w:val="20"/>
                <w:szCs w:val="20"/>
              </w:rPr>
            </w:pPr>
            <w:r>
              <w:rPr>
                <w:rFonts w:ascii="Times New Roman" w:hAnsi="Times New Roman"/>
                <w:sz w:val="20"/>
                <w:szCs w:val="20"/>
              </w:rPr>
              <w:t>42</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70AAA16E" w14:textId="77777777">
            <w:pPr>
              <w:widowControl/>
              <w:jc w:val="center"/>
              <w:rPr>
                <w:rFonts w:ascii="Times New Roman" w:hAnsi="Times New Roman"/>
                <w:sz w:val="20"/>
                <w:szCs w:val="20"/>
              </w:rPr>
            </w:pPr>
            <w:r>
              <w:rPr>
                <w:rFonts w:ascii="Times New Roman" w:hAnsi="Times New Roman"/>
                <w:sz w:val="20"/>
                <w:szCs w:val="20"/>
              </w:rPr>
              <w:t>$5,913</w:t>
            </w:r>
          </w:p>
        </w:tc>
      </w:tr>
      <w:tr w14:paraId="0ACE31D7"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hideMark/>
          </w:tcPr>
          <w:p w:rsidR="00F10944" w:rsidRPr="004D6ED0" w:rsidP="005E67DC" w14:paraId="63069201" w14:textId="77777777">
            <w:pPr>
              <w:widowControl/>
              <w:jc w:val="center"/>
              <w:rPr>
                <w:rFonts w:ascii="Times New Roman" w:hAnsi="Times New Roman"/>
                <w:sz w:val="20"/>
                <w:szCs w:val="20"/>
              </w:rPr>
            </w:pPr>
            <w:r w:rsidRPr="004D6ED0">
              <w:rPr>
                <w:rFonts w:ascii="Times New Roman" w:hAnsi="Times New Roman"/>
                <w:sz w:val="20"/>
                <w:szCs w:val="20"/>
              </w:rPr>
              <w:t>Out 2 Rounds</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0E1C10B9" w14:textId="77777777">
            <w:pPr>
              <w:widowControl/>
              <w:jc w:val="center"/>
              <w:rPr>
                <w:rFonts w:ascii="Times New Roman" w:hAnsi="Times New Roman"/>
                <w:sz w:val="20"/>
                <w:szCs w:val="20"/>
              </w:rPr>
            </w:pPr>
            <w:r>
              <w:rPr>
                <w:rFonts w:ascii="Times New Roman" w:hAnsi="Times New Roman"/>
                <w:sz w:val="20"/>
                <w:szCs w:val="20"/>
              </w:rPr>
              <w:t>243</w:t>
            </w:r>
          </w:p>
        </w:tc>
        <w:tc>
          <w:tcPr>
            <w:tcW w:w="1152" w:type="dxa"/>
            <w:tcBorders>
              <w:top w:val="single" w:sz="4" w:space="0" w:color="auto"/>
              <w:left w:val="single" w:sz="4" w:space="0" w:color="auto"/>
              <w:bottom w:val="single" w:sz="4" w:space="0" w:color="auto"/>
              <w:right w:val="single" w:sz="4" w:space="0" w:color="auto"/>
            </w:tcBorders>
            <w:vAlign w:val="center"/>
          </w:tcPr>
          <w:p w:rsidR="00F10944" w:rsidRPr="00A34E69" w:rsidP="005E67DC" w14:paraId="65BA534F" w14:textId="77777777">
            <w:pPr>
              <w:widowControl/>
              <w:jc w:val="center"/>
              <w:rPr>
                <w:rFonts w:ascii="Times New Roman" w:hAnsi="Times New Roman"/>
                <w:sz w:val="20"/>
                <w:szCs w:val="20"/>
              </w:rPr>
            </w:pPr>
            <w:r w:rsidRPr="000254EC">
              <w:rPr>
                <w:rFonts w:ascii="Times New Roman" w:hAnsi="Times New Roman"/>
                <w:sz w:val="20"/>
                <w:szCs w:val="20"/>
              </w:rPr>
              <w:t>16.2%</w:t>
            </w:r>
          </w:p>
        </w:tc>
        <w:tc>
          <w:tcPr>
            <w:tcW w:w="1152" w:type="dxa"/>
            <w:tcBorders>
              <w:top w:val="single" w:sz="4" w:space="0" w:color="auto"/>
              <w:left w:val="single" w:sz="4" w:space="0" w:color="auto"/>
              <w:bottom w:val="single" w:sz="4" w:space="0" w:color="auto"/>
              <w:right w:val="single" w:sz="4" w:space="0" w:color="auto"/>
            </w:tcBorders>
            <w:hideMark/>
          </w:tcPr>
          <w:p w:rsidR="00F10944" w:rsidRPr="00A34E69" w:rsidP="005E67DC" w14:paraId="381AF031" w14:textId="77777777">
            <w:pPr>
              <w:widowControl/>
              <w:jc w:val="center"/>
              <w:rPr>
                <w:rFonts w:ascii="Times New Roman" w:hAnsi="Times New Roman"/>
                <w:sz w:val="20"/>
                <w:szCs w:val="20"/>
              </w:rPr>
            </w:pPr>
            <w:r w:rsidRPr="000254EC">
              <w:rPr>
                <w:rFonts w:ascii="Times New Roman" w:hAnsi="Times New Roman"/>
                <w:sz w:val="20"/>
                <w:szCs w:val="20"/>
              </w:rPr>
              <w:t>35.3%</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7C7D5041" w14:textId="77777777">
            <w:pPr>
              <w:widowControl/>
              <w:jc w:val="center"/>
              <w:rPr>
                <w:rFonts w:ascii="Times New Roman" w:hAnsi="Times New Roman"/>
                <w:sz w:val="20"/>
                <w:szCs w:val="20"/>
              </w:rPr>
            </w:pPr>
            <w:r>
              <w:rPr>
                <w:rFonts w:ascii="Times New Roman" w:hAnsi="Times New Roman"/>
                <w:sz w:val="20"/>
                <w:szCs w:val="20"/>
              </w:rPr>
              <w:t>46</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6E7CC040" w14:textId="77777777">
            <w:pPr>
              <w:widowControl/>
              <w:jc w:val="center"/>
              <w:rPr>
                <w:rFonts w:ascii="Times New Roman" w:hAnsi="Times New Roman"/>
                <w:sz w:val="20"/>
                <w:szCs w:val="20"/>
              </w:rPr>
            </w:pPr>
            <w:r>
              <w:rPr>
                <w:rFonts w:ascii="Times New Roman" w:hAnsi="Times New Roman"/>
                <w:sz w:val="20"/>
                <w:szCs w:val="20"/>
              </w:rPr>
              <w:t>$2,573</w:t>
            </w:r>
          </w:p>
        </w:tc>
        <w:tc>
          <w:tcPr>
            <w:tcW w:w="1152" w:type="dxa"/>
            <w:tcBorders>
              <w:top w:val="single" w:sz="4" w:space="0" w:color="auto"/>
              <w:left w:val="single" w:sz="4" w:space="0" w:color="auto"/>
              <w:bottom w:val="single" w:sz="4" w:space="0" w:color="auto"/>
              <w:right w:val="single" w:sz="4" w:space="0" w:color="auto"/>
            </w:tcBorders>
          </w:tcPr>
          <w:p w:rsidR="00F10944" w:rsidRPr="001E493C" w:rsidP="005E67DC" w14:paraId="42E85428" w14:textId="77777777">
            <w:pPr>
              <w:widowControl/>
              <w:jc w:val="center"/>
              <w:rPr>
                <w:rFonts w:ascii="Times New Roman" w:hAnsi="Times New Roman"/>
                <w:sz w:val="20"/>
                <w:szCs w:val="20"/>
              </w:rPr>
            </w:pPr>
            <w:r>
              <w:rPr>
                <w:rFonts w:ascii="Times New Roman" w:hAnsi="Times New Roman"/>
                <w:sz w:val="20"/>
                <w:szCs w:val="20"/>
              </w:rPr>
              <w:t>25</w:t>
            </w:r>
            <w:r w:rsidRPr="00F928B9">
              <w:rPr>
                <w:rFonts w:ascii="Times New Roman" w:hAnsi="Times New Roman"/>
                <w:sz w:val="20"/>
                <w:szCs w:val="20"/>
              </w:rPr>
              <w:t>.</w:t>
            </w:r>
            <w:r>
              <w:rPr>
                <w:rFonts w:ascii="Times New Roman" w:hAnsi="Times New Roman"/>
                <w:sz w:val="20"/>
                <w:szCs w:val="20"/>
              </w:rPr>
              <w:t>8</w:t>
            </w:r>
            <w:r w:rsidRPr="00F928B9">
              <w:rPr>
                <w:rFonts w:ascii="Times New Roman" w:hAnsi="Times New Roman"/>
                <w:sz w:val="20"/>
                <w:szCs w:val="20"/>
              </w:rPr>
              <w:t>%</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65F15493" w14:textId="77777777">
            <w:pPr>
              <w:widowControl/>
              <w:jc w:val="center"/>
              <w:rPr>
                <w:rFonts w:ascii="Times New Roman" w:hAnsi="Times New Roman"/>
                <w:sz w:val="20"/>
                <w:szCs w:val="20"/>
              </w:rPr>
            </w:pPr>
            <w:r>
              <w:rPr>
                <w:rFonts w:ascii="Times New Roman" w:hAnsi="Times New Roman"/>
                <w:sz w:val="20"/>
                <w:szCs w:val="20"/>
              </w:rPr>
              <w:t>23</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764687A1" w14:textId="77777777">
            <w:pPr>
              <w:widowControl/>
              <w:jc w:val="center"/>
              <w:rPr>
                <w:rFonts w:ascii="Times New Roman" w:hAnsi="Times New Roman"/>
                <w:sz w:val="20"/>
                <w:szCs w:val="20"/>
              </w:rPr>
            </w:pPr>
            <w:r>
              <w:rPr>
                <w:rFonts w:ascii="Times New Roman" w:hAnsi="Times New Roman"/>
                <w:sz w:val="20"/>
                <w:szCs w:val="20"/>
              </w:rPr>
              <w:t>$1,877</w:t>
            </w:r>
          </w:p>
        </w:tc>
      </w:tr>
      <w:tr w14:paraId="2FB35FC9"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hideMark/>
          </w:tcPr>
          <w:p w:rsidR="00F10944" w:rsidRPr="004D6ED0" w:rsidP="005E67DC" w14:paraId="235AAC72" w14:textId="77777777">
            <w:pPr>
              <w:widowControl/>
              <w:jc w:val="center"/>
              <w:rPr>
                <w:rFonts w:ascii="Times New Roman" w:hAnsi="Times New Roman"/>
                <w:sz w:val="20"/>
                <w:szCs w:val="20"/>
              </w:rPr>
            </w:pPr>
            <w:r w:rsidRPr="004D6ED0">
              <w:rPr>
                <w:rFonts w:ascii="Times New Roman" w:hAnsi="Times New Roman"/>
                <w:sz w:val="20"/>
                <w:szCs w:val="20"/>
              </w:rPr>
              <w:t>Out 3 Rounds</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689652C0" w14:textId="77777777">
            <w:pPr>
              <w:widowControl/>
              <w:jc w:val="center"/>
              <w:rPr>
                <w:rFonts w:ascii="Times New Roman" w:hAnsi="Times New Roman"/>
                <w:sz w:val="20"/>
                <w:szCs w:val="20"/>
              </w:rPr>
            </w:pPr>
            <w:r>
              <w:rPr>
                <w:rFonts w:ascii="Times New Roman" w:hAnsi="Times New Roman"/>
                <w:sz w:val="20"/>
                <w:szCs w:val="20"/>
              </w:rPr>
              <w:t>119</w:t>
            </w:r>
          </w:p>
        </w:tc>
        <w:tc>
          <w:tcPr>
            <w:tcW w:w="1152" w:type="dxa"/>
            <w:tcBorders>
              <w:top w:val="single" w:sz="4" w:space="0" w:color="auto"/>
              <w:left w:val="single" w:sz="4" w:space="0" w:color="auto"/>
              <w:bottom w:val="single" w:sz="4" w:space="0" w:color="auto"/>
              <w:right w:val="single" w:sz="4" w:space="0" w:color="auto"/>
            </w:tcBorders>
            <w:vAlign w:val="center"/>
          </w:tcPr>
          <w:p w:rsidR="00F10944" w:rsidRPr="00A34E69" w:rsidP="005E67DC" w14:paraId="69F17893" w14:textId="77777777">
            <w:pPr>
              <w:widowControl/>
              <w:jc w:val="center"/>
              <w:rPr>
                <w:rFonts w:ascii="Times New Roman" w:hAnsi="Times New Roman"/>
                <w:sz w:val="20"/>
                <w:szCs w:val="20"/>
              </w:rPr>
            </w:pPr>
            <w:r w:rsidRPr="000254EC">
              <w:rPr>
                <w:rFonts w:ascii="Times New Roman" w:hAnsi="Times New Roman"/>
                <w:sz w:val="20"/>
                <w:szCs w:val="20"/>
              </w:rPr>
              <w:t>13.6%</w:t>
            </w:r>
          </w:p>
        </w:tc>
        <w:tc>
          <w:tcPr>
            <w:tcW w:w="1152" w:type="dxa"/>
            <w:tcBorders>
              <w:top w:val="single" w:sz="4" w:space="0" w:color="auto"/>
              <w:left w:val="single" w:sz="4" w:space="0" w:color="auto"/>
              <w:bottom w:val="single" w:sz="4" w:space="0" w:color="auto"/>
              <w:right w:val="single" w:sz="4" w:space="0" w:color="auto"/>
            </w:tcBorders>
            <w:hideMark/>
          </w:tcPr>
          <w:p w:rsidR="00F10944" w:rsidRPr="00A34E69" w:rsidP="005E67DC" w14:paraId="6FAB7DA9" w14:textId="77777777">
            <w:pPr>
              <w:widowControl/>
              <w:jc w:val="center"/>
              <w:rPr>
                <w:rFonts w:ascii="Times New Roman" w:hAnsi="Times New Roman"/>
                <w:sz w:val="20"/>
                <w:szCs w:val="20"/>
              </w:rPr>
            </w:pPr>
            <w:r w:rsidRPr="000254EC">
              <w:rPr>
                <w:rFonts w:ascii="Times New Roman" w:hAnsi="Times New Roman"/>
                <w:sz w:val="20"/>
                <w:szCs w:val="20"/>
              </w:rPr>
              <w:t>22.5%</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2100A991" w14:textId="77777777">
            <w:pPr>
              <w:widowControl/>
              <w:jc w:val="center"/>
              <w:rPr>
                <w:rFonts w:ascii="Times New Roman" w:hAnsi="Times New Roman"/>
                <w:sz w:val="20"/>
                <w:szCs w:val="20"/>
              </w:rPr>
            </w:pPr>
            <w:r>
              <w:rPr>
                <w:rFonts w:ascii="Times New Roman" w:hAnsi="Times New Roman"/>
                <w:sz w:val="20"/>
                <w:szCs w:val="20"/>
              </w:rPr>
              <w:t>11</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3175EC2E" w14:textId="77777777">
            <w:pPr>
              <w:widowControl/>
              <w:jc w:val="center"/>
              <w:rPr>
                <w:rFonts w:ascii="Times New Roman" w:hAnsi="Times New Roman"/>
                <w:sz w:val="20"/>
                <w:szCs w:val="20"/>
              </w:rPr>
            </w:pPr>
            <w:r>
              <w:rPr>
                <w:rFonts w:ascii="Times New Roman" w:hAnsi="Times New Roman"/>
                <w:sz w:val="20"/>
                <w:szCs w:val="20"/>
              </w:rPr>
              <w:t>$803</w:t>
            </w:r>
          </w:p>
        </w:tc>
        <w:tc>
          <w:tcPr>
            <w:tcW w:w="1152" w:type="dxa"/>
            <w:tcBorders>
              <w:top w:val="single" w:sz="4" w:space="0" w:color="auto"/>
              <w:left w:val="single" w:sz="4" w:space="0" w:color="auto"/>
              <w:bottom w:val="single" w:sz="4" w:space="0" w:color="auto"/>
              <w:right w:val="single" w:sz="4" w:space="0" w:color="auto"/>
            </w:tcBorders>
          </w:tcPr>
          <w:p w:rsidR="00F10944" w:rsidRPr="001E493C" w:rsidP="005E67DC" w14:paraId="13F265A6" w14:textId="77777777">
            <w:pPr>
              <w:widowControl/>
              <w:jc w:val="center"/>
              <w:rPr>
                <w:rFonts w:ascii="Times New Roman" w:hAnsi="Times New Roman"/>
                <w:sz w:val="20"/>
                <w:szCs w:val="20"/>
              </w:rPr>
            </w:pPr>
            <w:r>
              <w:rPr>
                <w:rFonts w:ascii="Times New Roman" w:hAnsi="Times New Roman"/>
                <w:sz w:val="20"/>
                <w:szCs w:val="20"/>
              </w:rPr>
              <w:t>18</w:t>
            </w:r>
            <w:r w:rsidRPr="00F928B9">
              <w:rPr>
                <w:rFonts w:ascii="Times New Roman" w:hAnsi="Times New Roman"/>
                <w:sz w:val="20"/>
                <w:szCs w:val="20"/>
              </w:rPr>
              <w:t>.</w:t>
            </w:r>
            <w:r>
              <w:rPr>
                <w:rFonts w:ascii="Times New Roman" w:hAnsi="Times New Roman"/>
                <w:sz w:val="20"/>
                <w:szCs w:val="20"/>
              </w:rPr>
              <w:t>1</w:t>
            </w:r>
            <w:r w:rsidRPr="00F928B9">
              <w:rPr>
                <w:rFonts w:ascii="Times New Roman" w:hAnsi="Times New Roman"/>
                <w:sz w:val="20"/>
                <w:szCs w:val="20"/>
              </w:rPr>
              <w:t>%</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553248FA" w14:textId="77777777">
            <w:pPr>
              <w:widowControl/>
              <w:jc w:val="center"/>
              <w:rPr>
                <w:rFonts w:ascii="Times New Roman" w:hAnsi="Times New Roman"/>
                <w:sz w:val="20"/>
                <w:szCs w:val="20"/>
              </w:rPr>
            </w:pPr>
            <w:r>
              <w:rPr>
                <w:rFonts w:ascii="Times New Roman" w:hAnsi="Times New Roman"/>
                <w:sz w:val="20"/>
                <w:szCs w:val="20"/>
              </w:rPr>
              <w:t>5</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05267717" w14:textId="77777777">
            <w:pPr>
              <w:widowControl/>
              <w:jc w:val="center"/>
              <w:rPr>
                <w:rFonts w:ascii="Times New Roman" w:hAnsi="Times New Roman"/>
                <w:sz w:val="20"/>
                <w:szCs w:val="20"/>
              </w:rPr>
            </w:pPr>
            <w:r>
              <w:rPr>
                <w:rFonts w:ascii="Times New Roman" w:hAnsi="Times New Roman"/>
                <w:sz w:val="20"/>
                <w:szCs w:val="20"/>
              </w:rPr>
              <w:t>$644</w:t>
            </w:r>
          </w:p>
        </w:tc>
      </w:tr>
      <w:tr w14:paraId="4EC9531D"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9D4396" w:rsidP="005E67DC" w14:paraId="0F6E5EDD" w14:textId="77777777">
            <w:pPr>
              <w:widowControl/>
              <w:jc w:val="center"/>
              <w:rPr>
                <w:rFonts w:ascii="Times New Roman" w:hAnsi="Times New Roman"/>
                <w:sz w:val="20"/>
                <w:szCs w:val="20"/>
              </w:rPr>
            </w:pPr>
            <w:r w:rsidRPr="004D6ED0">
              <w:rPr>
                <w:rFonts w:ascii="Times New Roman" w:hAnsi="Times New Roman"/>
                <w:sz w:val="20"/>
                <w:szCs w:val="20"/>
              </w:rPr>
              <w:t xml:space="preserve">Out </w:t>
            </w:r>
            <w:r>
              <w:rPr>
                <w:rFonts w:ascii="Times New Roman" w:hAnsi="Times New Roman"/>
                <w:sz w:val="20"/>
                <w:szCs w:val="20"/>
              </w:rPr>
              <w:t>4</w:t>
            </w:r>
            <w:r w:rsidRPr="004D6ED0">
              <w:rPr>
                <w:rFonts w:ascii="Times New Roman" w:hAnsi="Times New Roman"/>
                <w:sz w:val="20"/>
                <w:szCs w:val="20"/>
              </w:rPr>
              <w:t xml:space="preserve"> Rounds</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183A0AA5" w14:textId="77777777">
            <w:pPr>
              <w:widowControl/>
              <w:jc w:val="center"/>
              <w:rPr>
                <w:rFonts w:ascii="Times New Roman" w:hAnsi="Times New Roman"/>
                <w:sz w:val="20"/>
                <w:szCs w:val="20"/>
              </w:rPr>
            </w:pPr>
            <w:r>
              <w:rPr>
                <w:rFonts w:ascii="Times New Roman" w:hAnsi="Times New Roman"/>
                <w:sz w:val="20"/>
                <w:szCs w:val="20"/>
              </w:rPr>
              <w:t>131</w:t>
            </w:r>
          </w:p>
        </w:tc>
        <w:tc>
          <w:tcPr>
            <w:tcW w:w="1152" w:type="dxa"/>
            <w:tcBorders>
              <w:top w:val="single" w:sz="4" w:space="0" w:color="auto"/>
              <w:left w:val="single" w:sz="4" w:space="0" w:color="auto"/>
              <w:bottom w:val="single" w:sz="4" w:space="0" w:color="auto"/>
              <w:right w:val="single" w:sz="4" w:space="0" w:color="auto"/>
            </w:tcBorders>
            <w:vAlign w:val="center"/>
          </w:tcPr>
          <w:p w:rsidR="00F10944" w:rsidRPr="00A34E69" w:rsidP="005E67DC" w14:paraId="05B724ED" w14:textId="77777777">
            <w:pPr>
              <w:widowControl/>
              <w:jc w:val="center"/>
              <w:rPr>
                <w:rFonts w:ascii="Times New Roman" w:hAnsi="Times New Roman"/>
                <w:sz w:val="20"/>
                <w:szCs w:val="20"/>
              </w:rPr>
            </w:pPr>
            <w:r w:rsidRPr="000254EC">
              <w:rPr>
                <w:rFonts w:ascii="Times New Roman" w:hAnsi="Times New Roman"/>
                <w:sz w:val="20"/>
                <w:szCs w:val="20"/>
              </w:rPr>
              <w:t>16.7%</w:t>
            </w:r>
          </w:p>
        </w:tc>
        <w:tc>
          <w:tcPr>
            <w:tcW w:w="1152" w:type="dxa"/>
            <w:tcBorders>
              <w:top w:val="single" w:sz="4" w:space="0" w:color="auto"/>
              <w:left w:val="single" w:sz="4" w:space="0" w:color="auto"/>
              <w:bottom w:val="single" w:sz="4" w:space="0" w:color="auto"/>
              <w:right w:val="single" w:sz="4" w:space="0" w:color="auto"/>
            </w:tcBorders>
          </w:tcPr>
          <w:p w:rsidR="00F10944" w:rsidRPr="00A34E69" w:rsidP="005E67DC" w14:paraId="5E10486D" w14:textId="77777777">
            <w:pPr>
              <w:widowControl/>
              <w:jc w:val="center"/>
              <w:rPr>
                <w:rFonts w:ascii="Times New Roman" w:hAnsi="Times New Roman"/>
                <w:sz w:val="20"/>
                <w:szCs w:val="20"/>
              </w:rPr>
            </w:pPr>
            <w:r w:rsidRPr="000254EC">
              <w:rPr>
                <w:rFonts w:ascii="Times New Roman" w:hAnsi="Times New Roman"/>
                <w:sz w:val="20"/>
                <w:szCs w:val="20"/>
              </w:rPr>
              <w:t>16.1%</w:t>
            </w:r>
          </w:p>
        </w:tc>
        <w:tc>
          <w:tcPr>
            <w:tcW w:w="1152" w:type="dxa"/>
            <w:tcBorders>
              <w:top w:val="single" w:sz="4" w:space="0" w:color="auto"/>
              <w:left w:val="single" w:sz="4" w:space="0" w:color="auto"/>
              <w:bottom w:val="single" w:sz="4" w:space="0" w:color="auto"/>
              <w:right w:val="single" w:sz="4" w:space="0" w:color="auto"/>
            </w:tcBorders>
          </w:tcPr>
          <w:p w:rsidR="00F10944" w:rsidRPr="00F928B9" w:rsidP="005E67DC" w14:paraId="31B75D82" w14:textId="77777777">
            <w:pPr>
              <w:widowControl/>
              <w:jc w:val="center"/>
              <w:rPr>
                <w:rFonts w:ascii="Times New Roman" w:hAnsi="Times New Roman"/>
                <w:sz w:val="20"/>
                <w:szCs w:val="20"/>
              </w:rPr>
            </w:pPr>
            <w:r>
              <w:rPr>
                <w:rFonts w:ascii="Times New Roman" w:hAnsi="Times New Roman"/>
                <w:sz w:val="20"/>
                <w:szCs w:val="20"/>
              </w:rPr>
              <w:t>(1)</w:t>
            </w:r>
          </w:p>
        </w:tc>
        <w:tc>
          <w:tcPr>
            <w:tcW w:w="1152" w:type="dxa"/>
            <w:tcBorders>
              <w:top w:val="single" w:sz="4" w:space="0" w:color="auto"/>
              <w:left w:val="single" w:sz="4" w:space="0" w:color="auto"/>
              <w:bottom w:val="single" w:sz="4" w:space="0" w:color="auto"/>
              <w:right w:val="single" w:sz="4" w:space="0" w:color="auto"/>
            </w:tcBorders>
          </w:tcPr>
          <w:p w:rsidR="00F10944" w:rsidRPr="00F928B9" w:rsidP="005E67DC" w14:paraId="628B0AE2" w14:textId="77777777">
            <w:pPr>
              <w:widowControl/>
              <w:jc w:val="center"/>
              <w:rPr>
                <w:rFonts w:ascii="Times New Roman" w:hAnsi="Times New Roman"/>
                <w:sz w:val="20"/>
                <w:szCs w:val="20"/>
              </w:rPr>
            </w:pPr>
            <w:r>
              <w:rPr>
                <w:rFonts w:ascii="Times New Roman" w:hAnsi="Times New Roman"/>
                <w:sz w:val="20"/>
                <w:szCs w:val="20"/>
              </w:rPr>
              <w:t>$633</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0B2D64F5" w14:textId="77777777">
            <w:pPr>
              <w:widowControl/>
              <w:jc w:val="center"/>
              <w:rPr>
                <w:rFonts w:ascii="Times New Roman" w:hAnsi="Times New Roman"/>
                <w:sz w:val="20"/>
                <w:szCs w:val="20"/>
              </w:rPr>
            </w:pPr>
            <w:r w:rsidRPr="00F928B9">
              <w:rPr>
                <w:rFonts w:ascii="Times New Roman" w:hAnsi="Times New Roman"/>
                <w:sz w:val="20"/>
                <w:szCs w:val="20"/>
              </w:rPr>
              <w:t>16.</w:t>
            </w:r>
            <w:r>
              <w:rPr>
                <w:rFonts w:ascii="Times New Roman" w:hAnsi="Times New Roman"/>
                <w:sz w:val="20"/>
                <w:szCs w:val="20"/>
              </w:rPr>
              <w:t>4</w:t>
            </w:r>
            <w:r w:rsidRPr="00F928B9">
              <w:rPr>
                <w:rFonts w:ascii="Times New Roman" w:hAnsi="Times New Roman"/>
                <w:sz w:val="20"/>
                <w:szCs w:val="20"/>
              </w:rPr>
              <w:t>%</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6786D136" w14:textId="77777777">
            <w:pPr>
              <w:widowControl/>
              <w:jc w:val="center"/>
              <w:rPr>
                <w:rFonts w:ascii="Times New Roman" w:hAnsi="Times New Roman"/>
                <w:sz w:val="20"/>
                <w:szCs w:val="20"/>
              </w:rPr>
            </w:pPr>
            <w:r>
              <w:rPr>
                <w:rFonts w:ascii="Times New Roman" w:hAnsi="Times New Roman"/>
                <w:sz w:val="20"/>
                <w:szCs w:val="20"/>
              </w:rPr>
              <w:t>(0)</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3A14E606" w14:textId="77777777">
            <w:pPr>
              <w:widowControl/>
              <w:jc w:val="center"/>
              <w:rPr>
                <w:rFonts w:ascii="Times New Roman" w:hAnsi="Times New Roman"/>
                <w:sz w:val="20"/>
                <w:szCs w:val="20"/>
              </w:rPr>
            </w:pPr>
            <w:r>
              <w:rPr>
                <w:rFonts w:ascii="Times New Roman" w:hAnsi="Times New Roman"/>
                <w:sz w:val="20"/>
                <w:szCs w:val="20"/>
              </w:rPr>
              <w:t>$645</w:t>
            </w:r>
          </w:p>
        </w:tc>
      </w:tr>
      <w:tr w14:paraId="1F205D0C"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9D4396" w:rsidP="005E67DC" w14:paraId="1C865EB2" w14:textId="77777777">
            <w:pPr>
              <w:widowControl/>
              <w:jc w:val="center"/>
              <w:rPr>
                <w:rFonts w:ascii="Times New Roman" w:hAnsi="Times New Roman"/>
                <w:sz w:val="20"/>
                <w:szCs w:val="20"/>
              </w:rPr>
            </w:pPr>
            <w:r w:rsidRPr="004D6ED0">
              <w:rPr>
                <w:rFonts w:ascii="Times New Roman" w:hAnsi="Times New Roman"/>
                <w:sz w:val="20"/>
                <w:szCs w:val="20"/>
              </w:rPr>
              <w:t xml:space="preserve">Out </w:t>
            </w:r>
            <w:r>
              <w:rPr>
                <w:rFonts w:ascii="Times New Roman" w:hAnsi="Times New Roman"/>
                <w:sz w:val="20"/>
                <w:szCs w:val="20"/>
              </w:rPr>
              <w:t>5+</w:t>
            </w:r>
            <w:r w:rsidRPr="004D6ED0">
              <w:rPr>
                <w:rFonts w:ascii="Times New Roman" w:hAnsi="Times New Roman"/>
                <w:sz w:val="20"/>
                <w:szCs w:val="20"/>
              </w:rPr>
              <w:t xml:space="preserve"> Rounds</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69EBA05D" w14:textId="77777777">
            <w:pPr>
              <w:widowControl/>
              <w:jc w:val="center"/>
              <w:rPr>
                <w:rFonts w:ascii="Times New Roman" w:hAnsi="Times New Roman"/>
                <w:sz w:val="20"/>
                <w:szCs w:val="20"/>
              </w:rPr>
            </w:pPr>
            <w:r>
              <w:rPr>
                <w:rFonts w:ascii="Times New Roman" w:hAnsi="Times New Roman"/>
                <w:sz w:val="20"/>
                <w:szCs w:val="20"/>
              </w:rPr>
              <w:t>1,136</w:t>
            </w:r>
          </w:p>
        </w:tc>
        <w:tc>
          <w:tcPr>
            <w:tcW w:w="1152" w:type="dxa"/>
            <w:tcBorders>
              <w:top w:val="single" w:sz="4" w:space="0" w:color="auto"/>
              <w:left w:val="single" w:sz="4" w:space="0" w:color="auto"/>
              <w:bottom w:val="single" w:sz="4" w:space="0" w:color="auto"/>
              <w:right w:val="single" w:sz="4" w:space="0" w:color="auto"/>
            </w:tcBorders>
            <w:vAlign w:val="center"/>
          </w:tcPr>
          <w:p w:rsidR="00F10944" w:rsidRPr="00A34E69" w:rsidP="005E67DC" w14:paraId="0F73F77D" w14:textId="77777777">
            <w:pPr>
              <w:widowControl/>
              <w:jc w:val="center"/>
              <w:rPr>
                <w:rFonts w:ascii="Times New Roman" w:hAnsi="Times New Roman"/>
                <w:sz w:val="20"/>
                <w:szCs w:val="20"/>
              </w:rPr>
            </w:pPr>
            <w:r w:rsidRPr="000254EC">
              <w:rPr>
                <w:rFonts w:ascii="Times New Roman" w:hAnsi="Times New Roman"/>
                <w:sz w:val="20"/>
                <w:szCs w:val="20"/>
              </w:rPr>
              <w:t>5.3%</w:t>
            </w:r>
          </w:p>
        </w:tc>
        <w:tc>
          <w:tcPr>
            <w:tcW w:w="1152" w:type="dxa"/>
            <w:tcBorders>
              <w:top w:val="single" w:sz="4" w:space="0" w:color="auto"/>
              <w:left w:val="single" w:sz="4" w:space="0" w:color="auto"/>
              <w:bottom w:val="single" w:sz="4" w:space="0" w:color="auto"/>
              <w:right w:val="single" w:sz="4" w:space="0" w:color="auto"/>
            </w:tcBorders>
          </w:tcPr>
          <w:p w:rsidR="00F10944" w:rsidRPr="00A34E69" w:rsidP="005E67DC" w14:paraId="6EEA38DE" w14:textId="77777777">
            <w:pPr>
              <w:widowControl/>
              <w:jc w:val="center"/>
              <w:rPr>
                <w:rFonts w:ascii="Times New Roman" w:hAnsi="Times New Roman"/>
                <w:sz w:val="20"/>
                <w:szCs w:val="20"/>
              </w:rPr>
            </w:pPr>
            <w:r w:rsidRPr="000254EC">
              <w:rPr>
                <w:rFonts w:ascii="Times New Roman" w:hAnsi="Times New Roman"/>
                <w:sz w:val="20"/>
                <w:szCs w:val="20"/>
              </w:rPr>
              <w:t>5.8%</w:t>
            </w:r>
          </w:p>
        </w:tc>
        <w:tc>
          <w:tcPr>
            <w:tcW w:w="1152" w:type="dxa"/>
            <w:tcBorders>
              <w:top w:val="single" w:sz="4" w:space="0" w:color="auto"/>
              <w:left w:val="single" w:sz="4" w:space="0" w:color="auto"/>
              <w:bottom w:val="single" w:sz="4" w:space="0" w:color="auto"/>
              <w:right w:val="single" w:sz="4" w:space="0" w:color="auto"/>
            </w:tcBorders>
          </w:tcPr>
          <w:p w:rsidR="00F10944" w:rsidRPr="00F928B9" w:rsidP="005E67DC" w14:paraId="2A94A146" w14:textId="77777777">
            <w:pPr>
              <w:widowControl/>
              <w:jc w:val="center"/>
              <w:rPr>
                <w:rFonts w:ascii="Times New Roman" w:hAnsi="Times New Roman"/>
                <w:sz w:val="20"/>
                <w:szCs w:val="20"/>
              </w:rPr>
            </w:pPr>
            <w:r>
              <w:rPr>
                <w:rFonts w:ascii="Times New Roman" w:hAnsi="Times New Roman"/>
                <w:sz w:val="20"/>
                <w:szCs w:val="20"/>
              </w:rPr>
              <w:t>6</w:t>
            </w:r>
          </w:p>
        </w:tc>
        <w:tc>
          <w:tcPr>
            <w:tcW w:w="1152" w:type="dxa"/>
            <w:tcBorders>
              <w:top w:val="single" w:sz="4" w:space="0" w:color="auto"/>
              <w:left w:val="single" w:sz="4" w:space="0" w:color="auto"/>
              <w:bottom w:val="single" w:sz="4" w:space="0" w:color="auto"/>
              <w:right w:val="single" w:sz="4" w:space="0" w:color="auto"/>
            </w:tcBorders>
          </w:tcPr>
          <w:p w:rsidR="00F10944" w:rsidRPr="00F928B9" w:rsidP="005E67DC" w14:paraId="22FBC164" w14:textId="77777777">
            <w:pPr>
              <w:widowControl/>
              <w:jc w:val="center"/>
              <w:rPr>
                <w:rFonts w:ascii="Times New Roman" w:hAnsi="Times New Roman"/>
                <w:sz w:val="20"/>
                <w:szCs w:val="20"/>
              </w:rPr>
            </w:pPr>
            <w:r>
              <w:rPr>
                <w:rFonts w:ascii="Times New Roman" w:hAnsi="Times New Roman"/>
                <w:sz w:val="20"/>
                <w:szCs w:val="20"/>
              </w:rPr>
              <w:t>$1,942</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2F36CD54" w14:textId="77777777">
            <w:pPr>
              <w:widowControl/>
              <w:jc w:val="center"/>
              <w:rPr>
                <w:rFonts w:ascii="Times New Roman" w:hAnsi="Times New Roman"/>
                <w:sz w:val="20"/>
                <w:szCs w:val="20"/>
              </w:rPr>
            </w:pPr>
            <w:r w:rsidRPr="00F928B9">
              <w:rPr>
                <w:rFonts w:ascii="Times New Roman" w:hAnsi="Times New Roman"/>
                <w:sz w:val="20"/>
                <w:szCs w:val="20"/>
              </w:rPr>
              <w:t>5.</w:t>
            </w:r>
            <w:r>
              <w:rPr>
                <w:rFonts w:ascii="Times New Roman" w:hAnsi="Times New Roman"/>
                <w:sz w:val="20"/>
                <w:szCs w:val="20"/>
              </w:rPr>
              <w:t>6</w:t>
            </w:r>
            <w:r w:rsidRPr="00F928B9">
              <w:rPr>
                <w:rFonts w:ascii="Times New Roman" w:hAnsi="Times New Roman"/>
                <w:sz w:val="20"/>
                <w:szCs w:val="20"/>
              </w:rPr>
              <w:t>%</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646FEB9A" w14:textId="77777777">
            <w:pPr>
              <w:widowControl/>
              <w:jc w:val="center"/>
              <w:rPr>
                <w:rFonts w:ascii="Times New Roman" w:hAnsi="Times New Roman"/>
                <w:sz w:val="20"/>
                <w:szCs w:val="20"/>
              </w:rPr>
            </w:pPr>
            <w:r>
              <w:rPr>
                <w:rFonts w:ascii="Times New Roman" w:hAnsi="Times New Roman"/>
                <w:sz w:val="20"/>
                <w:szCs w:val="20"/>
              </w:rPr>
              <w:t>3</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34AE55DA" w14:textId="77777777">
            <w:pPr>
              <w:widowControl/>
              <w:jc w:val="center"/>
              <w:rPr>
                <w:rFonts w:ascii="Times New Roman" w:hAnsi="Times New Roman"/>
                <w:sz w:val="20"/>
                <w:szCs w:val="20"/>
              </w:rPr>
            </w:pPr>
            <w:r>
              <w:rPr>
                <w:rFonts w:ascii="Times New Roman" w:hAnsi="Times New Roman"/>
                <w:sz w:val="20"/>
                <w:szCs w:val="20"/>
              </w:rPr>
              <w:t>$1,858</w:t>
            </w:r>
          </w:p>
        </w:tc>
      </w:tr>
      <w:bookmarkEnd w:id="7"/>
      <w:tr w14:paraId="060DF6F2"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9D4396" w:rsidP="005E67DC" w14:paraId="379E4876"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4E4EAC0F"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3B2BA972"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A34E69" w:rsidP="005E67DC" w14:paraId="151046C5"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2C77AA91"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05D73C98"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2D3C4460"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7C17D057"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38A0A606" w14:textId="77777777">
            <w:pPr>
              <w:widowControl/>
              <w:jc w:val="center"/>
              <w:rPr>
                <w:rFonts w:ascii="Times New Roman" w:hAnsi="Times New Roman"/>
                <w:sz w:val="20"/>
                <w:szCs w:val="20"/>
              </w:rPr>
            </w:pPr>
          </w:p>
        </w:tc>
      </w:tr>
      <w:tr w14:paraId="7C74B2EF"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4D6ED0" w:rsidP="005E67DC" w14:paraId="60C74F52" w14:textId="77777777">
            <w:pPr>
              <w:widowControl/>
              <w:jc w:val="center"/>
              <w:rPr>
                <w:rFonts w:ascii="Times New Roman" w:hAnsi="Times New Roman"/>
                <w:sz w:val="20"/>
                <w:szCs w:val="20"/>
              </w:rPr>
            </w:pPr>
            <w:r w:rsidRPr="004D6ED0">
              <w:rPr>
                <w:rFonts w:ascii="Times New Roman" w:hAnsi="Times New Roman"/>
                <w:sz w:val="20"/>
                <w:szCs w:val="20"/>
              </w:rPr>
              <w:t>Total</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593AD979"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41B5EB3F"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7B0EA620"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P="005E67DC" w14:paraId="7C081C72" w14:textId="77777777">
            <w:pPr>
              <w:widowControl/>
              <w:jc w:val="center"/>
              <w:rPr>
                <w:rFonts w:ascii="Times New Roman" w:hAnsi="Times New Roman"/>
                <w:sz w:val="20"/>
                <w:szCs w:val="20"/>
              </w:rPr>
            </w:pPr>
            <w:r>
              <w:rPr>
                <w:rFonts w:ascii="Times New Roman" w:hAnsi="Times New Roman"/>
                <w:sz w:val="20"/>
                <w:szCs w:val="20"/>
              </w:rPr>
              <w:t>145</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5E38474F" w14:textId="77777777">
            <w:pPr>
              <w:widowControl/>
              <w:jc w:val="center"/>
              <w:rPr>
                <w:rFonts w:ascii="Times New Roman" w:hAnsi="Times New Roman"/>
                <w:sz w:val="20"/>
                <w:szCs w:val="20"/>
              </w:rPr>
            </w:pPr>
            <w:r>
              <w:rPr>
                <w:rFonts w:ascii="Times New Roman" w:hAnsi="Times New Roman"/>
                <w:sz w:val="20"/>
                <w:szCs w:val="20"/>
              </w:rPr>
              <w:t>$13,115</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30149251"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203E077E" w14:textId="77777777">
            <w:pPr>
              <w:widowControl/>
              <w:jc w:val="center"/>
              <w:rPr>
                <w:rFonts w:ascii="Times New Roman" w:hAnsi="Times New Roman"/>
                <w:sz w:val="20"/>
                <w:szCs w:val="20"/>
              </w:rPr>
            </w:pPr>
            <w:r>
              <w:rPr>
                <w:rFonts w:ascii="Times New Roman" w:hAnsi="Times New Roman"/>
                <w:sz w:val="20"/>
                <w:szCs w:val="20"/>
              </w:rPr>
              <w:t>73</w:t>
            </w:r>
          </w:p>
        </w:tc>
        <w:tc>
          <w:tcPr>
            <w:tcW w:w="1152" w:type="dxa"/>
            <w:tcBorders>
              <w:top w:val="single" w:sz="4" w:space="0" w:color="auto"/>
              <w:left w:val="single" w:sz="4" w:space="0" w:color="auto"/>
              <w:bottom w:val="single" w:sz="4" w:space="0" w:color="auto"/>
              <w:right w:val="single" w:sz="4" w:space="0" w:color="auto"/>
            </w:tcBorders>
          </w:tcPr>
          <w:p w:rsidR="00F10944" w:rsidP="005E67DC" w14:paraId="06B22CFE" w14:textId="77777777">
            <w:pPr>
              <w:widowControl/>
              <w:jc w:val="center"/>
              <w:rPr>
                <w:rFonts w:ascii="Times New Roman" w:hAnsi="Times New Roman"/>
                <w:sz w:val="20"/>
                <w:szCs w:val="20"/>
              </w:rPr>
            </w:pPr>
            <w:r>
              <w:rPr>
                <w:rFonts w:ascii="Times New Roman" w:hAnsi="Times New Roman"/>
                <w:sz w:val="20"/>
                <w:szCs w:val="20"/>
              </w:rPr>
              <w:t>$10,937</w:t>
            </w:r>
          </w:p>
        </w:tc>
      </w:tr>
      <w:tr w14:paraId="69780D0D" w14:textId="77777777" w:rsidTr="005E67DC">
        <w:tblPrEx>
          <w:tblW w:w="10383" w:type="dxa"/>
          <w:tblInd w:w="-1" w:type="dxa"/>
          <w:tblLayout w:type="fixed"/>
          <w:tblLook w:val="04A0"/>
        </w:tblPrEx>
        <w:tc>
          <w:tcPr>
            <w:tcW w:w="1526" w:type="dxa"/>
            <w:tcBorders>
              <w:top w:val="single" w:sz="4" w:space="0" w:color="auto"/>
              <w:left w:val="single" w:sz="4" w:space="0" w:color="auto"/>
              <w:bottom w:val="single" w:sz="4" w:space="0" w:color="auto"/>
              <w:right w:val="single" w:sz="4" w:space="0" w:color="auto"/>
            </w:tcBorders>
          </w:tcPr>
          <w:p w:rsidR="00F10944" w:rsidRPr="004D6ED0" w:rsidP="005E67DC" w14:paraId="2401708A" w14:textId="77777777">
            <w:pPr>
              <w:widowControl/>
              <w:jc w:val="center"/>
              <w:rPr>
                <w:rFonts w:ascii="Times New Roman" w:hAnsi="Times New Roman"/>
                <w:sz w:val="20"/>
                <w:szCs w:val="20"/>
              </w:rPr>
            </w:pPr>
            <w:r>
              <w:rPr>
                <w:rFonts w:ascii="Times New Roman" w:hAnsi="Times New Roman"/>
                <w:sz w:val="20"/>
                <w:szCs w:val="20"/>
              </w:rPr>
              <w:t>Cost per Additional Complete</w:t>
            </w: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66471F65"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518C478C"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F10944" w:rsidRPr="004D6ED0" w:rsidP="005E67DC" w14:paraId="0DA1A83E" w14:textId="77777777">
            <w:pPr>
              <w:widowControl/>
              <w:jc w:val="center"/>
              <w:rPr>
                <w:rFonts w:ascii="Times New Roman" w:hAnsi="Times New Roman"/>
                <w:sz w:val="20"/>
                <w:szCs w:val="20"/>
              </w:rPr>
            </w:pPr>
          </w:p>
        </w:tc>
        <w:tc>
          <w:tcPr>
            <w:tcW w:w="1152" w:type="dxa"/>
            <w:gridSpan w:val="2"/>
            <w:tcBorders>
              <w:top w:val="single" w:sz="4" w:space="0" w:color="auto"/>
              <w:left w:val="single" w:sz="4" w:space="0" w:color="auto"/>
              <w:bottom w:val="single" w:sz="4" w:space="0" w:color="auto"/>
              <w:right w:val="single" w:sz="4" w:space="0" w:color="auto"/>
            </w:tcBorders>
          </w:tcPr>
          <w:p w:rsidR="00F10944" w:rsidP="005E67DC" w14:paraId="0DC018F6" w14:textId="77777777">
            <w:pPr>
              <w:widowControl/>
              <w:jc w:val="center"/>
              <w:rPr>
                <w:rFonts w:ascii="Times New Roman" w:hAnsi="Times New Roman"/>
                <w:sz w:val="20"/>
                <w:szCs w:val="20"/>
              </w:rPr>
            </w:pPr>
            <w:r>
              <w:rPr>
                <w:rFonts w:ascii="Times New Roman" w:hAnsi="Times New Roman"/>
                <w:sz w:val="20"/>
                <w:szCs w:val="20"/>
              </w:rPr>
              <w:t>$90.33</w:t>
            </w:r>
          </w:p>
        </w:tc>
        <w:tc>
          <w:tcPr>
            <w:tcW w:w="1152" w:type="dxa"/>
            <w:tcBorders>
              <w:top w:val="single" w:sz="4" w:space="0" w:color="auto"/>
              <w:left w:val="single" w:sz="4" w:space="0" w:color="auto"/>
              <w:bottom w:val="single" w:sz="4" w:space="0" w:color="auto"/>
              <w:right w:val="single" w:sz="4" w:space="0" w:color="auto"/>
            </w:tcBorders>
          </w:tcPr>
          <w:p w:rsidR="00F10944" w:rsidRPr="001E493C" w:rsidP="005E67DC" w14:paraId="1D8A3EF4"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5B9DE936" w14:textId="77777777">
            <w:pPr>
              <w:widowControl/>
              <w:jc w:val="center"/>
              <w:rPr>
                <w:rFonts w:ascii="Times New Roman" w:hAnsi="Times New Roman"/>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rsidR="00F10944" w:rsidRPr="004D6ED0" w:rsidP="005E67DC" w14:paraId="54089CE6" w14:textId="77777777">
            <w:pPr>
              <w:widowControl/>
              <w:jc w:val="center"/>
              <w:rPr>
                <w:rFonts w:ascii="Times New Roman" w:hAnsi="Times New Roman"/>
                <w:sz w:val="20"/>
                <w:szCs w:val="20"/>
              </w:rPr>
            </w:pPr>
            <w:r>
              <w:rPr>
                <w:rFonts w:ascii="Times New Roman" w:hAnsi="Times New Roman"/>
                <w:sz w:val="20"/>
                <w:szCs w:val="20"/>
              </w:rPr>
              <w:t>$150.65</w:t>
            </w:r>
          </w:p>
        </w:tc>
      </w:tr>
    </w:tbl>
    <w:p w:rsidR="00F10944" w:rsidRPr="004D6ED0" w:rsidP="00F10944" w14:paraId="3D99A256" w14:textId="77777777">
      <w:pPr>
        <w:rPr>
          <w:rFonts w:ascii="Times New Roman" w:hAnsi="Times New Roman"/>
          <w:sz w:val="20"/>
          <w:szCs w:val="20"/>
        </w:rPr>
      </w:pPr>
      <w:r w:rsidRPr="004D6ED0">
        <w:rPr>
          <w:rFonts w:ascii="Times New Roman" w:hAnsi="Times New Roman"/>
          <w:sz w:val="20"/>
          <w:szCs w:val="20"/>
        </w:rPr>
        <w:t xml:space="preserve">* </w:t>
      </w:r>
      <w:r>
        <w:rPr>
          <w:rFonts w:ascii="Times New Roman" w:hAnsi="Times New Roman"/>
          <w:sz w:val="20"/>
          <w:szCs w:val="20"/>
        </w:rPr>
        <w:t>Impacts</w:t>
      </w:r>
      <w:r w:rsidRPr="004D6ED0">
        <w:rPr>
          <w:rFonts w:ascii="Times New Roman" w:hAnsi="Times New Roman"/>
          <w:sz w:val="20"/>
          <w:szCs w:val="20"/>
        </w:rPr>
        <w:t xml:space="preserve"> are calculated as the difference in assumed completion rate in R31 and the actual completion rate in R29 multiplied by the projected number of eligible cases in R31.</w:t>
      </w:r>
      <w:r>
        <w:rPr>
          <w:rFonts w:ascii="Times New Roman" w:hAnsi="Times New Roman"/>
          <w:sz w:val="20"/>
          <w:szCs w:val="20"/>
        </w:rPr>
        <w:t xml:space="preserve">  Assumed 50% of R30 impact assumes the R31 response rate for a given group will be the average of that group’s R29 and R30 response rates.</w:t>
      </w:r>
    </w:p>
    <w:p w:rsidR="00F10944" w:rsidRPr="004D6ED0" w:rsidP="00F10944" w14:paraId="49F58553" w14:textId="77777777">
      <w:pPr>
        <w:rPr>
          <w:rFonts w:ascii="Times New Roman" w:hAnsi="Times New Roman"/>
          <w:sz w:val="20"/>
          <w:szCs w:val="20"/>
        </w:rPr>
      </w:pPr>
      <w:r w:rsidRPr="004D6ED0">
        <w:rPr>
          <w:rFonts w:ascii="Times New Roman" w:hAnsi="Times New Roman"/>
          <w:sz w:val="20"/>
          <w:szCs w:val="20"/>
        </w:rPr>
        <w:t xml:space="preserve">*Additional cost is calculated as </w:t>
      </w:r>
      <w:r>
        <w:rPr>
          <w:rFonts w:ascii="Times New Roman" w:hAnsi="Times New Roman"/>
          <w:sz w:val="20"/>
          <w:szCs w:val="20"/>
        </w:rPr>
        <w:t xml:space="preserve">$30 times </w:t>
      </w:r>
      <w:r w:rsidRPr="004D6ED0">
        <w:rPr>
          <w:rFonts w:ascii="Times New Roman" w:hAnsi="Times New Roman"/>
          <w:sz w:val="20"/>
          <w:szCs w:val="20"/>
        </w:rPr>
        <w:t xml:space="preserve">the </w:t>
      </w:r>
      <w:r>
        <w:rPr>
          <w:rFonts w:ascii="Times New Roman" w:hAnsi="Times New Roman"/>
          <w:sz w:val="20"/>
          <w:szCs w:val="20"/>
        </w:rPr>
        <w:t>number of respondents</w:t>
      </w:r>
      <w:r w:rsidRPr="004D6ED0">
        <w:rPr>
          <w:rFonts w:ascii="Times New Roman" w:hAnsi="Times New Roman"/>
          <w:sz w:val="20"/>
          <w:szCs w:val="20"/>
        </w:rPr>
        <w:t>.</w:t>
      </w:r>
    </w:p>
    <w:p w:rsidR="00F10944" w:rsidP="00F10944" w14:paraId="6B0890F3" w14:textId="77777777">
      <w:pPr>
        <w:rPr>
          <w:rFonts w:ascii="Times New Roman" w:hAnsi="Times New Roman"/>
        </w:rPr>
      </w:pPr>
    </w:p>
    <w:p w:rsidR="00F10944" w:rsidP="00F10944" w14:paraId="42ADA546" w14:textId="77777777">
      <w:pPr>
        <w:rPr>
          <w:rFonts w:ascii="Times New Roman" w:hAnsi="Times New Roman"/>
        </w:rPr>
      </w:pPr>
      <w:r w:rsidRPr="6685BBCF">
        <w:rPr>
          <w:rFonts w:ascii="Times New Roman" w:hAnsi="Times New Roman"/>
        </w:rPr>
        <w:t>Note that the positive impacts of these augmented incentives are concentrated among respondents who have not been out more than a few rounds.  Accordingly, the approach we propose is definitively more cost effective than approaches that concentrate on longer-term non-respondents.</w:t>
      </w:r>
    </w:p>
    <w:p w:rsidR="00F10944" w:rsidP="00F10944" w14:paraId="1AAA56F5" w14:textId="77777777">
      <w:pPr>
        <w:rPr>
          <w:rFonts w:ascii="Times New Roman" w:hAnsi="Times New Roman"/>
        </w:rPr>
      </w:pPr>
    </w:p>
    <w:p w:rsidR="00F10944" w:rsidP="00F10944" w14:paraId="13D6B765" w14:textId="77777777">
      <w:pPr>
        <w:widowControl/>
        <w:rPr>
          <w:rFonts w:ascii="Times New Roman" w:hAnsi="Times New Roman"/>
        </w:rPr>
      </w:pPr>
      <w:r>
        <w:rPr>
          <w:rFonts w:ascii="Times New Roman" w:hAnsi="Times New Roman"/>
        </w:rPr>
        <w:t xml:space="preserve">As with prior rounds, NLS will be careful to inform respondents that this is a one-time additional incentive in appreciation for their returning to the study after missing a previous round, and for the additional time and data needed to catch up in this interview round.  NLS would inform them that they will not receive this additional amount next round (when they will be classified as prior round respondents).  Based on prior experience in the NLSY79 and NLSY97, NLS anticipates that respondents will appreciate this premium and will understand the distinction between the base amount and the additional incentive.  NLS also notes that missed round payments are also </w:t>
      </w:r>
      <w:r>
        <w:rPr>
          <w:rFonts w:ascii="Times New Roman" w:hAnsi="Times New Roman"/>
        </w:rPr>
        <w:t xml:space="preserve">appropriate because these respondents tend to have slightly longer interviews as they catch up on reporting information from missed rounds.  </w:t>
      </w:r>
    </w:p>
    <w:p w:rsidR="00F10944" w:rsidP="00F10944" w14:paraId="2F464E9F" w14:textId="77777777">
      <w:pPr>
        <w:rPr>
          <w:rFonts w:ascii="Times New Roman" w:hAnsi="Times New Roman"/>
        </w:rPr>
      </w:pPr>
    </w:p>
    <w:p w:rsidR="00F10944" w:rsidP="00F10944" w14:paraId="2C44C28C" w14:textId="77777777">
      <w:pPr>
        <w:rPr>
          <w:rFonts w:ascii="Times New Roman" w:hAnsi="Times New Roman"/>
        </w:rPr>
      </w:pPr>
    </w:p>
    <w:p w:rsidR="00F10944" w:rsidP="00F10944" w14:paraId="64E84541" w14:textId="77777777">
      <w:pPr>
        <w:rPr>
          <w:rFonts w:ascii="Times New Roman" w:hAnsi="Times New Roman"/>
          <w:i/>
        </w:rPr>
      </w:pPr>
      <w:r>
        <w:rPr>
          <w:rFonts w:ascii="Times New Roman" w:hAnsi="Times New Roman"/>
          <w:i/>
        </w:rPr>
        <w:t>Final Push Incentive</w:t>
      </w:r>
    </w:p>
    <w:p w:rsidR="00E96796" w:rsidP="00F10944" w14:paraId="20FD8DB5" w14:textId="77777777">
      <w:pPr>
        <w:rPr>
          <w:rFonts w:ascii="Times New Roman" w:hAnsi="Times New Roman"/>
        </w:rPr>
      </w:pPr>
      <w:r w:rsidRPr="6685BBCF">
        <w:rPr>
          <w:rFonts w:ascii="Times New Roman" w:hAnsi="Times New Roman"/>
        </w:rPr>
        <w:t xml:space="preserve">Starting after the first 12 weeks of the round, NLS will make cases that have not yet refused and had at least 6 contact attempts eligible for a final push incentive of up to $30 (bringing the total incentive, including the base incentive, to $100).  Because these cases are among the most time-consuming and resource-intensive from which to gain cooperation, this impact represents a significant cost savings.  As these cases, identified after many months of non-response, are all among the hardest to complete, the additional responses obtained are especially valuable to the survey’s representativeness. NLS offered this same amount in Round 29 and Round 30.  Cases eligible for the final push are the survey’s most costly for completion and lead increasingly to elongated field periods.  If a case has refused during initial outreach attempts, the case will be eligible for the final push incentive after 12 weeks regardless of the number of contact attempts made.  </w:t>
      </w:r>
    </w:p>
    <w:p w:rsidR="00E96796" w:rsidP="00F10944" w14:paraId="32382F92" w14:textId="77777777">
      <w:pPr>
        <w:rPr>
          <w:rFonts w:ascii="Times New Roman" w:hAnsi="Times New Roman"/>
        </w:rPr>
      </w:pPr>
    </w:p>
    <w:p w:rsidR="00F10944" w:rsidP="00F10944" w14:paraId="3DB5CAFF" w14:textId="4BF83915">
      <w:pPr>
        <w:rPr>
          <w:rFonts w:ascii="Times New Roman" w:hAnsi="Times New Roman"/>
        </w:rPr>
      </w:pPr>
      <w:r w:rsidRPr="6685BBCF">
        <w:rPr>
          <w:rFonts w:ascii="Times New Roman" w:hAnsi="Times New Roman"/>
        </w:rPr>
        <w:t xml:space="preserve">To facilitate a timely close to the fielding, starting </w:t>
      </w:r>
      <w:r w:rsidR="00E96796">
        <w:rPr>
          <w:rFonts w:ascii="Times New Roman" w:hAnsi="Times New Roman"/>
        </w:rPr>
        <w:t>5</w:t>
      </w:r>
      <w:r w:rsidRPr="6685BBCF" w:rsidR="00E96796">
        <w:rPr>
          <w:rFonts w:ascii="Times New Roman" w:hAnsi="Times New Roman"/>
        </w:rPr>
        <w:t xml:space="preserve"> </w:t>
      </w:r>
      <w:r w:rsidRPr="6685BBCF">
        <w:rPr>
          <w:rFonts w:ascii="Times New Roman" w:hAnsi="Times New Roman"/>
        </w:rPr>
        <w:t>months after the start of fielding, all cases will be eligible for this incentive, after BLS and the contractors have discussed the exact timing of implementation.</w:t>
      </w:r>
      <w:r w:rsidR="00E96796">
        <w:rPr>
          <w:rFonts w:ascii="Times New Roman" w:hAnsi="Times New Roman"/>
        </w:rPr>
        <w:t xml:space="preserve"> </w:t>
      </w:r>
      <w:r w:rsidRPr="26F8D65D" w:rsidR="00E96796">
        <w:rPr>
          <w:rFonts w:ascii="Times New Roman" w:hAnsi="Times New Roman"/>
        </w:rPr>
        <w:t xml:space="preserve">This represents a change of 1 month </w:t>
      </w:r>
      <w:r w:rsidRPr="26F8D65D" w:rsidR="00E96796">
        <w:rPr>
          <w:rFonts w:ascii="Times New Roman" w:hAnsi="Times New Roman"/>
          <w:color w:val="4471C4"/>
        </w:rPr>
        <w:t>earlier</w:t>
      </w:r>
      <w:r w:rsidRPr="26F8D65D" w:rsidR="00E96796">
        <w:rPr>
          <w:rFonts w:ascii="Times New Roman" w:hAnsi="Times New Roman"/>
        </w:rPr>
        <w:t xml:space="preserve"> from the timing used in Round 30. </w:t>
      </w:r>
      <w:r w:rsidRPr="26F8D65D" w:rsidR="00E96796">
        <w:rPr>
          <w:rFonts w:ascii="Times New Roman" w:hAnsi="Times New Roman"/>
          <w:color w:val="4471C4"/>
        </w:rPr>
        <w:t xml:space="preserve">We propose this change since </w:t>
      </w:r>
      <w:r w:rsidRPr="26F8D65D" w:rsidR="00E96796">
        <w:rPr>
          <w:rFonts w:ascii="Times New Roman" w:hAnsi="Times New Roman"/>
        </w:rPr>
        <w:t xml:space="preserve">we expect the Early Bird experiment to increase completion rates early in the round </w:t>
      </w:r>
      <w:r w:rsidRPr="26F8D65D" w:rsidR="00E96796">
        <w:rPr>
          <w:rFonts w:ascii="Times New Roman" w:hAnsi="Times New Roman"/>
          <w:color w:val="4471C4"/>
        </w:rPr>
        <w:t>and to close the data collection earlier than in Round 30</w:t>
      </w:r>
      <w:r w:rsidRPr="26F8D65D" w:rsidR="00E96796">
        <w:rPr>
          <w:rFonts w:ascii="Times New Roman" w:hAnsi="Times New Roman"/>
        </w:rPr>
        <w:t xml:space="preserve">. The intent is therefore to shift completion earlier in the round so that the earlier release of the final push incentive </w:t>
      </w:r>
      <w:r w:rsidRPr="26F8D65D" w:rsidR="00E96796">
        <w:rPr>
          <w:rFonts w:ascii="Times New Roman" w:hAnsi="Times New Roman"/>
          <w:color w:val="4471C4"/>
        </w:rPr>
        <w:t>does not have a large impact on incentive costs</w:t>
      </w:r>
      <w:r w:rsidRPr="26F8D65D" w:rsidR="00E96796">
        <w:rPr>
          <w:rFonts w:ascii="Times New Roman" w:hAnsi="Times New Roman"/>
        </w:rPr>
        <w:t>.</w:t>
      </w:r>
    </w:p>
    <w:p w:rsidR="00F10944" w:rsidP="00F10944" w14:paraId="02396033" w14:textId="77777777">
      <w:pPr>
        <w:rPr>
          <w:rFonts w:ascii="Times New Roman" w:hAnsi="Times New Roman"/>
        </w:rPr>
      </w:pPr>
    </w:p>
    <w:p w:rsidR="00F10944" w:rsidP="00F10944" w14:paraId="6E2C238C" w14:textId="754AD80C">
      <w:pPr>
        <w:ind w:left="-20" w:right="-20"/>
        <w:rPr>
          <w:rFonts w:ascii="Times New Roman" w:hAnsi="Times New Roman"/>
        </w:rPr>
      </w:pPr>
      <w:r w:rsidRPr="6685BBCF">
        <w:rPr>
          <w:rFonts w:ascii="Times New Roman" w:hAnsi="Times New Roman"/>
        </w:rPr>
        <w:t xml:space="preserve">This type of incentive has been shown to be effective in the Panel Study of Income Dynamics, with little effect on noncontact rates (McGonagle and Freedman 2016).  In addition, NLS conducted an experiment in Round 29 to evaluate the effectiveness of the final push on the NLSY79 sample.  This experiment was conducted by randomly assigning interviewers into two separate groups.  The first group had their cases eligible for the final push and enhanced final push at the traditional time, while the second group had their cases eligible for the final push and enhanced final push 6 weeks later.  As shown in Table </w:t>
      </w:r>
      <w:r w:rsidR="005E6408">
        <w:rPr>
          <w:rFonts w:ascii="Times New Roman" w:hAnsi="Times New Roman"/>
        </w:rPr>
        <w:t>7</w:t>
      </w:r>
      <w:r w:rsidRPr="6685BBCF">
        <w:rPr>
          <w:rFonts w:ascii="Times New Roman" w:hAnsi="Times New Roman"/>
        </w:rPr>
        <w:t>, after the 6-week treatment period the group receiving the incentive had significantly higher completion rates than the control group.  Once the control group started receiving the incentive, their completion rates caught up.</w:t>
      </w:r>
    </w:p>
    <w:p w:rsidR="00F10944" w:rsidP="00F10944" w14:paraId="2E5C9358" w14:textId="77777777">
      <w:pPr>
        <w:ind w:left="-20" w:right="-20"/>
        <w:rPr>
          <w:rFonts w:ascii="Times New Roman" w:hAnsi="Times New Roman"/>
        </w:rPr>
      </w:pPr>
      <w:r w:rsidRPr="6685BBCF">
        <w:rPr>
          <w:rFonts w:ascii="Times New Roman" w:hAnsi="Times New Roman"/>
        </w:rPr>
        <w:t xml:space="preserve"> </w:t>
      </w:r>
    </w:p>
    <w:p w:rsidR="00F10944" w:rsidP="00F10944" w14:paraId="308D6D83" w14:textId="534F39D9">
      <w:pPr>
        <w:ind w:left="-20" w:right="-20"/>
        <w:rPr>
          <w:rFonts w:ascii="Times New Roman" w:hAnsi="Times New Roman"/>
          <w:b/>
          <w:bCs/>
        </w:rPr>
      </w:pPr>
      <w:r w:rsidRPr="6685BBCF">
        <w:rPr>
          <w:rFonts w:ascii="Times New Roman" w:hAnsi="Times New Roman"/>
          <w:b/>
          <w:bCs/>
        </w:rPr>
        <w:t xml:space="preserve">Table </w:t>
      </w:r>
      <w:r w:rsidR="005E6408">
        <w:rPr>
          <w:rFonts w:ascii="Times New Roman" w:hAnsi="Times New Roman"/>
          <w:b/>
          <w:bCs/>
        </w:rPr>
        <w:t>7</w:t>
      </w:r>
      <w:r w:rsidRPr="6685BBCF">
        <w:rPr>
          <w:rFonts w:ascii="Times New Roman" w:hAnsi="Times New Roman"/>
          <w:b/>
          <w:bCs/>
        </w:rPr>
        <w:t>:  Final Push Evaluation Results (six-week treatment period)</w:t>
      </w:r>
    </w:p>
    <w:tbl>
      <w:tblPr>
        <w:tblW w:w="0" w:type="auto"/>
        <w:tblLayout w:type="fixed"/>
        <w:tblLook w:val="04A0"/>
      </w:tblPr>
      <w:tblGrid>
        <w:gridCol w:w="1327"/>
        <w:gridCol w:w="1325"/>
        <w:gridCol w:w="1325"/>
        <w:gridCol w:w="1325"/>
        <w:gridCol w:w="1325"/>
        <w:gridCol w:w="1325"/>
      </w:tblGrid>
      <w:tr w14:paraId="232E5697" w14:textId="77777777" w:rsidTr="005E67DC">
        <w:tblPrEx>
          <w:tblW w:w="0" w:type="auto"/>
          <w:tblLayout w:type="fixed"/>
          <w:tblLook w:val="04A0"/>
        </w:tblPrEx>
        <w:trPr>
          <w:trHeight w:val="330"/>
        </w:trPr>
        <w:tc>
          <w:tcPr>
            <w:tcW w:w="1327" w:type="dxa"/>
            <w:tcBorders>
              <w:top w:val="single" w:sz="8" w:space="0" w:color="auto"/>
              <w:left w:val="single" w:sz="8" w:space="0" w:color="auto"/>
              <w:bottom w:val="single" w:sz="8" w:space="0" w:color="auto"/>
              <w:right w:val="nil"/>
            </w:tcBorders>
            <w:tcMar>
              <w:left w:w="108" w:type="dxa"/>
              <w:right w:w="108" w:type="dxa"/>
            </w:tcMar>
            <w:vAlign w:val="bottom"/>
          </w:tcPr>
          <w:p w:rsidR="00F10944" w:rsidP="005E67DC" w14:paraId="3CAF0C90"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Response Probability Group</w:t>
            </w:r>
          </w:p>
        </w:tc>
        <w:tc>
          <w:tcPr>
            <w:tcW w:w="1325" w:type="dxa"/>
            <w:tcBorders>
              <w:top w:val="single" w:sz="8" w:space="0" w:color="auto"/>
              <w:left w:val="nil"/>
              <w:bottom w:val="single" w:sz="8" w:space="0" w:color="auto"/>
              <w:right w:val="nil"/>
            </w:tcBorders>
            <w:tcMar>
              <w:left w:w="108" w:type="dxa"/>
              <w:right w:w="108" w:type="dxa"/>
            </w:tcMar>
            <w:vAlign w:val="bottom"/>
          </w:tcPr>
          <w:p w:rsidR="00F10944" w:rsidP="005E67DC" w14:paraId="2281BF37"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Final Push Experiment Group</w:t>
            </w:r>
          </w:p>
        </w:tc>
        <w:tc>
          <w:tcPr>
            <w:tcW w:w="1325" w:type="dxa"/>
            <w:tcBorders>
              <w:top w:val="single" w:sz="8" w:space="0" w:color="auto"/>
              <w:left w:val="nil"/>
              <w:bottom w:val="single" w:sz="8" w:space="0" w:color="auto"/>
              <w:right w:val="nil"/>
            </w:tcBorders>
            <w:tcMar>
              <w:left w:w="108" w:type="dxa"/>
              <w:right w:w="108" w:type="dxa"/>
            </w:tcMar>
            <w:vAlign w:val="bottom"/>
          </w:tcPr>
          <w:p w:rsidR="00F10944" w:rsidP="005E67DC" w14:paraId="66915EB8"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N</w:t>
            </w:r>
          </w:p>
        </w:tc>
        <w:tc>
          <w:tcPr>
            <w:tcW w:w="1325" w:type="dxa"/>
            <w:tcBorders>
              <w:top w:val="single" w:sz="8" w:space="0" w:color="auto"/>
              <w:left w:val="nil"/>
              <w:bottom w:val="single" w:sz="8" w:space="0" w:color="auto"/>
              <w:right w:val="nil"/>
            </w:tcBorders>
            <w:tcMar>
              <w:left w:w="108" w:type="dxa"/>
              <w:right w:w="108" w:type="dxa"/>
            </w:tcMar>
            <w:vAlign w:val="bottom"/>
          </w:tcPr>
          <w:p w:rsidR="00F10944" w:rsidP="005E67DC" w14:paraId="71EBAC75"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Completes</w:t>
            </w:r>
          </w:p>
        </w:tc>
        <w:tc>
          <w:tcPr>
            <w:tcW w:w="1325" w:type="dxa"/>
            <w:tcBorders>
              <w:top w:val="single" w:sz="8" w:space="0" w:color="auto"/>
              <w:left w:val="nil"/>
              <w:bottom w:val="single" w:sz="8" w:space="0" w:color="auto"/>
              <w:right w:val="nil"/>
            </w:tcBorders>
            <w:tcMar>
              <w:left w:w="108" w:type="dxa"/>
              <w:right w:w="108" w:type="dxa"/>
            </w:tcMar>
            <w:vAlign w:val="bottom"/>
          </w:tcPr>
          <w:p w:rsidR="00F10944" w:rsidP="005E67DC" w14:paraId="7943E8C1"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Pending</w:t>
            </w:r>
          </w:p>
        </w:tc>
        <w:tc>
          <w:tcPr>
            <w:tcW w:w="1325" w:type="dxa"/>
            <w:tcBorders>
              <w:top w:val="single" w:sz="8" w:space="0" w:color="auto"/>
              <w:left w:val="nil"/>
              <w:bottom w:val="single" w:sz="8" w:space="0" w:color="auto"/>
              <w:right w:val="single" w:sz="8" w:space="0" w:color="auto"/>
            </w:tcBorders>
            <w:tcMar>
              <w:left w:w="108" w:type="dxa"/>
              <w:right w:w="108" w:type="dxa"/>
            </w:tcMar>
            <w:vAlign w:val="bottom"/>
          </w:tcPr>
          <w:p w:rsidR="00F10944" w:rsidP="005E67DC" w14:paraId="3D4535D1" w14:textId="77777777">
            <w:pPr>
              <w:ind w:left="-20" w:right="-20"/>
              <w:jc w:val="center"/>
              <w:rPr>
                <w:rFonts w:ascii="Times New Roman" w:hAnsi="Times New Roman"/>
                <w:b/>
                <w:bCs/>
                <w:color w:val="000000" w:themeColor="text1"/>
                <w:sz w:val="20"/>
                <w:szCs w:val="20"/>
              </w:rPr>
            </w:pPr>
            <w:r w:rsidRPr="6685BBCF">
              <w:rPr>
                <w:rFonts w:ascii="Times New Roman" w:hAnsi="Times New Roman"/>
                <w:b/>
                <w:bCs/>
                <w:color w:val="000000" w:themeColor="text1"/>
                <w:sz w:val="20"/>
                <w:szCs w:val="20"/>
              </w:rPr>
              <w:t>Completion Rate</w:t>
            </w:r>
          </w:p>
        </w:tc>
      </w:tr>
      <w:tr w14:paraId="0C2FA440" w14:textId="77777777" w:rsidTr="005E67DC">
        <w:tblPrEx>
          <w:tblW w:w="0" w:type="auto"/>
          <w:tblLayout w:type="fixed"/>
          <w:tblLook w:val="04A0"/>
        </w:tblPrEx>
        <w:trPr>
          <w:trHeight w:val="330"/>
        </w:trPr>
        <w:tc>
          <w:tcPr>
            <w:tcW w:w="1327" w:type="dxa"/>
            <w:tcBorders>
              <w:top w:val="single" w:sz="8" w:space="0" w:color="auto"/>
              <w:left w:val="single" w:sz="8" w:space="0" w:color="auto"/>
              <w:bottom w:val="nil"/>
              <w:right w:val="nil"/>
            </w:tcBorders>
            <w:tcMar>
              <w:left w:w="108" w:type="dxa"/>
              <w:right w:w="108" w:type="dxa"/>
            </w:tcMar>
            <w:vAlign w:val="bottom"/>
          </w:tcPr>
          <w:p w:rsidR="00F10944" w:rsidP="005E67DC" w14:paraId="43BC932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High</w:t>
            </w:r>
          </w:p>
        </w:tc>
        <w:tc>
          <w:tcPr>
            <w:tcW w:w="1325" w:type="dxa"/>
            <w:tcBorders>
              <w:top w:val="single" w:sz="8" w:space="0" w:color="auto"/>
              <w:left w:val="nil"/>
              <w:bottom w:val="nil"/>
              <w:right w:val="nil"/>
            </w:tcBorders>
            <w:tcMar>
              <w:left w:w="108" w:type="dxa"/>
              <w:right w:w="108" w:type="dxa"/>
            </w:tcMar>
            <w:vAlign w:val="bottom"/>
          </w:tcPr>
          <w:p w:rsidR="00F10944" w:rsidP="005E67DC" w14:paraId="34663721"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 xml:space="preserve">Treatment </w:t>
            </w:r>
          </w:p>
        </w:tc>
        <w:tc>
          <w:tcPr>
            <w:tcW w:w="1325" w:type="dxa"/>
            <w:tcBorders>
              <w:top w:val="single" w:sz="8" w:space="0" w:color="auto"/>
              <w:left w:val="nil"/>
              <w:bottom w:val="nil"/>
              <w:right w:val="nil"/>
            </w:tcBorders>
            <w:tcMar>
              <w:left w:w="108" w:type="dxa"/>
              <w:right w:w="108" w:type="dxa"/>
            </w:tcMar>
            <w:vAlign w:val="bottom"/>
          </w:tcPr>
          <w:p w:rsidR="00F10944" w:rsidP="005E67DC" w14:paraId="505DBF69"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202</w:t>
            </w:r>
          </w:p>
        </w:tc>
        <w:tc>
          <w:tcPr>
            <w:tcW w:w="1325" w:type="dxa"/>
            <w:tcBorders>
              <w:top w:val="single" w:sz="8" w:space="0" w:color="auto"/>
              <w:left w:val="nil"/>
              <w:bottom w:val="nil"/>
              <w:right w:val="nil"/>
            </w:tcBorders>
            <w:tcMar>
              <w:left w:w="108" w:type="dxa"/>
              <w:right w:w="108" w:type="dxa"/>
            </w:tcMar>
            <w:vAlign w:val="bottom"/>
          </w:tcPr>
          <w:p w:rsidR="00F10944" w:rsidP="005E67DC" w14:paraId="3784F17E"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57</w:t>
            </w:r>
          </w:p>
        </w:tc>
        <w:tc>
          <w:tcPr>
            <w:tcW w:w="1325" w:type="dxa"/>
            <w:tcBorders>
              <w:top w:val="single" w:sz="8" w:space="0" w:color="auto"/>
              <w:left w:val="nil"/>
              <w:bottom w:val="nil"/>
              <w:right w:val="nil"/>
            </w:tcBorders>
            <w:tcMar>
              <w:left w:w="108" w:type="dxa"/>
              <w:right w:w="108" w:type="dxa"/>
            </w:tcMar>
            <w:vAlign w:val="bottom"/>
          </w:tcPr>
          <w:p w:rsidR="00F10944" w:rsidP="005E67DC" w14:paraId="02313A2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127</w:t>
            </w:r>
          </w:p>
        </w:tc>
        <w:tc>
          <w:tcPr>
            <w:tcW w:w="1325" w:type="dxa"/>
            <w:tcBorders>
              <w:top w:val="single" w:sz="8" w:space="0" w:color="auto"/>
              <w:left w:val="nil"/>
              <w:bottom w:val="nil"/>
              <w:right w:val="single" w:sz="8" w:space="0" w:color="auto"/>
            </w:tcBorders>
            <w:tcMar>
              <w:left w:w="108" w:type="dxa"/>
              <w:right w:w="108" w:type="dxa"/>
            </w:tcMar>
            <w:vAlign w:val="bottom"/>
          </w:tcPr>
          <w:p w:rsidR="00F10944" w:rsidP="005E67DC" w14:paraId="3590B9AB"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28.22%</w:t>
            </w:r>
          </w:p>
        </w:tc>
      </w:tr>
      <w:tr w14:paraId="0C4192C4" w14:textId="77777777" w:rsidTr="005E67DC">
        <w:tblPrEx>
          <w:tblW w:w="0" w:type="auto"/>
          <w:tblLayout w:type="fixed"/>
          <w:tblLook w:val="04A0"/>
        </w:tblPrEx>
        <w:trPr>
          <w:trHeight w:val="330"/>
        </w:trPr>
        <w:tc>
          <w:tcPr>
            <w:tcW w:w="1327" w:type="dxa"/>
            <w:tcBorders>
              <w:top w:val="nil"/>
              <w:left w:val="single" w:sz="8" w:space="0" w:color="auto"/>
              <w:bottom w:val="dotted" w:sz="8" w:space="0" w:color="auto"/>
              <w:right w:val="nil"/>
            </w:tcBorders>
            <w:tcMar>
              <w:left w:w="108" w:type="dxa"/>
              <w:right w:w="108" w:type="dxa"/>
            </w:tcMar>
            <w:vAlign w:val="bottom"/>
          </w:tcPr>
          <w:p w:rsidR="00F10944" w:rsidP="005E67DC" w14:paraId="1ABCEE8A" w14:textId="77777777"/>
        </w:tc>
        <w:tc>
          <w:tcPr>
            <w:tcW w:w="1325" w:type="dxa"/>
            <w:tcBorders>
              <w:top w:val="nil"/>
              <w:left w:val="nil"/>
              <w:bottom w:val="dotted" w:sz="8" w:space="0" w:color="auto"/>
              <w:right w:val="nil"/>
            </w:tcBorders>
            <w:tcMar>
              <w:left w:w="108" w:type="dxa"/>
              <w:right w:w="108" w:type="dxa"/>
            </w:tcMar>
            <w:vAlign w:val="bottom"/>
          </w:tcPr>
          <w:p w:rsidR="00F10944" w:rsidP="005E67DC" w14:paraId="5D17DBF4"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Control</w:t>
            </w:r>
          </w:p>
        </w:tc>
        <w:tc>
          <w:tcPr>
            <w:tcW w:w="1325" w:type="dxa"/>
            <w:tcBorders>
              <w:top w:val="nil"/>
              <w:left w:val="nil"/>
              <w:bottom w:val="dotted" w:sz="8" w:space="0" w:color="auto"/>
              <w:right w:val="nil"/>
            </w:tcBorders>
            <w:tcMar>
              <w:left w:w="108" w:type="dxa"/>
              <w:right w:w="108" w:type="dxa"/>
            </w:tcMar>
            <w:vAlign w:val="bottom"/>
          </w:tcPr>
          <w:p w:rsidR="00F10944" w:rsidP="005E67DC" w14:paraId="775E05D7"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260</w:t>
            </w:r>
          </w:p>
        </w:tc>
        <w:tc>
          <w:tcPr>
            <w:tcW w:w="1325" w:type="dxa"/>
            <w:tcBorders>
              <w:top w:val="nil"/>
              <w:left w:val="nil"/>
              <w:bottom w:val="dotted" w:sz="8" w:space="0" w:color="auto"/>
              <w:right w:val="nil"/>
            </w:tcBorders>
            <w:tcMar>
              <w:left w:w="108" w:type="dxa"/>
              <w:right w:w="108" w:type="dxa"/>
            </w:tcMar>
            <w:vAlign w:val="bottom"/>
          </w:tcPr>
          <w:p w:rsidR="00F10944" w:rsidP="005E67DC" w14:paraId="6D130004"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37</w:t>
            </w:r>
          </w:p>
        </w:tc>
        <w:tc>
          <w:tcPr>
            <w:tcW w:w="1325" w:type="dxa"/>
            <w:tcBorders>
              <w:top w:val="nil"/>
              <w:left w:val="nil"/>
              <w:bottom w:val="dotted" w:sz="8" w:space="0" w:color="auto"/>
              <w:right w:val="nil"/>
            </w:tcBorders>
            <w:tcMar>
              <w:left w:w="108" w:type="dxa"/>
              <w:right w:w="108" w:type="dxa"/>
            </w:tcMar>
            <w:vAlign w:val="bottom"/>
          </w:tcPr>
          <w:p w:rsidR="00F10944" w:rsidP="005E67DC" w14:paraId="0CF47D7C"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205</w:t>
            </w:r>
          </w:p>
        </w:tc>
        <w:tc>
          <w:tcPr>
            <w:tcW w:w="1325" w:type="dxa"/>
            <w:tcBorders>
              <w:top w:val="nil"/>
              <w:left w:val="nil"/>
              <w:bottom w:val="dotted" w:sz="8" w:space="0" w:color="auto"/>
              <w:right w:val="single" w:sz="8" w:space="0" w:color="auto"/>
            </w:tcBorders>
            <w:tcMar>
              <w:left w:w="108" w:type="dxa"/>
              <w:right w:w="108" w:type="dxa"/>
            </w:tcMar>
            <w:vAlign w:val="bottom"/>
          </w:tcPr>
          <w:p w:rsidR="00F10944" w:rsidP="005E67DC" w14:paraId="1A7EC46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14.23%</w:t>
            </w:r>
          </w:p>
        </w:tc>
      </w:tr>
      <w:tr w14:paraId="6A89AEC0" w14:textId="77777777" w:rsidTr="005E67DC">
        <w:tblPrEx>
          <w:tblW w:w="0" w:type="auto"/>
          <w:tblLayout w:type="fixed"/>
          <w:tblLook w:val="04A0"/>
        </w:tblPrEx>
        <w:trPr>
          <w:trHeight w:val="330"/>
        </w:trPr>
        <w:tc>
          <w:tcPr>
            <w:tcW w:w="1327" w:type="dxa"/>
            <w:tcBorders>
              <w:top w:val="dotted" w:sz="8" w:space="0" w:color="auto"/>
              <w:left w:val="single" w:sz="8" w:space="0" w:color="auto"/>
              <w:bottom w:val="nil"/>
              <w:right w:val="nil"/>
            </w:tcBorders>
            <w:tcMar>
              <w:left w:w="108" w:type="dxa"/>
              <w:right w:w="108" w:type="dxa"/>
            </w:tcMar>
            <w:vAlign w:val="bottom"/>
          </w:tcPr>
          <w:p w:rsidR="00F10944" w:rsidP="005E67DC" w14:paraId="4AA8198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Mid</w:t>
            </w:r>
          </w:p>
        </w:tc>
        <w:tc>
          <w:tcPr>
            <w:tcW w:w="1325" w:type="dxa"/>
            <w:tcBorders>
              <w:top w:val="dotted" w:sz="8" w:space="0" w:color="auto"/>
              <w:left w:val="nil"/>
              <w:bottom w:val="nil"/>
              <w:right w:val="nil"/>
            </w:tcBorders>
            <w:tcMar>
              <w:left w:w="108" w:type="dxa"/>
              <w:right w:w="108" w:type="dxa"/>
            </w:tcMar>
            <w:vAlign w:val="bottom"/>
          </w:tcPr>
          <w:p w:rsidR="00F10944" w:rsidP="005E67DC" w14:paraId="2DE85651"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 xml:space="preserve">Treatment </w:t>
            </w:r>
          </w:p>
        </w:tc>
        <w:tc>
          <w:tcPr>
            <w:tcW w:w="1325" w:type="dxa"/>
            <w:tcBorders>
              <w:top w:val="dotted" w:sz="8" w:space="0" w:color="auto"/>
              <w:left w:val="nil"/>
              <w:bottom w:val="nil"/>
              <w:right w:val="nil"/>
            </w:tcBorders>
            <w:tcMar>
              <w:left w:w="108" w:type="dxa"/>
              <w:right w:w="108" w:type="dxa"/>
            </w:tcMar>
            <w:vAlign w:val="bottom"/>
          </w:tcPr>
          <w:p w:rsidR="00F10944" w:rsidP="005E67DC" w14:paraId="45442815"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451</w:t>
            </w:r>
          </w:p>
        </w:tc>
        <w:tc>
          <w:tcPr>
            <w:tcW w:w="1325" w:type="dxa"/>
            <w:tcBorders>
              <w:top w:val="dotted" w:sz="8" w:space="0" w:color="auto"/>
              <w:left w:val="nil"/>
              <w:bottom w:val="nil"/>
              <w:right w:val="nil"/>
            </w:tcBorders>
            <w:tcMar>
              <w:left w:w="108" w:type="dxa"/>
              <w:right w:w="108" w:type="dxa"/>
            </w:tcMar>
            <w:vAlign w:val="bottom"/>
          </w:tcPr>
          <w:p w:rsidR="00F10944" w:rsidP="005E67DC" w14:paraId="62C2927B"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84</w:t>
            </w:r>
          </w:p>
        </w:tc>
        <w:tc>
          <w:tcPr>
            <w:tcW w:w="1325" w:type="dxa"/>
            <w:tcBorders>
              <w:top w:val="dotted" w:sz="8" w:space="0" w:color="auto"/>
              <w:left w:val="nil"/>
              <w:bottom w:val="nil"/>
              <w:right w:val="nil"/>
            </w:tcBorders>
            <w:tcMar>
              <w:left w:w="108" w:type="dxa"/>
              <w:right w:w="108" w:type="dxa"/>
            </w:tcMar>
            <w:vAlign w:val="bottom"/>
          </w:tcPr>
          <w:p w:rsidR="00F10944" w:rsidP="005E67DC" w14:paraId="5D7A6541"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321</w:t>
            </w:r>
          </w:p>
        </w:tc>
        <w:tc>
          <w:tcPr>
            <w:tcW w:w="1325" w:type="dxa"/>
            <w:tcBorders>
              <w:top w:val="dotted" w:sz="8" w:space="0" w:color="auto"/>
              <w:left w:val="nil"/>
              <w:bottom w:val="nil"/>
              <w:right w:val="single" w:sz="8" w:space="0" w:color="auto"/>
            </w:tcBorders>
            <w:tcMar>
              <w:left w:w="108" w:type="dxa"/>
              <w:right w:w="108" w:type="dxa"/>
            </w:tcMar>
            <w:vAlign w:val="bottom"/>
          </w:tcPr>
          <w:p w:rsidR="00F10944" w:rsidP="005E67DC" w14:paraId="3B8B5005"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18.63%</w:t>
            </w:r>
          </w:p>
        </w:tc>
      </w:tr>
      <w:tr w14:paraId="3EBFDEF5" w14:textId="77777777" w:rsidTr="005E67DC">
        <w:tblPrEx>
          <w:tblW w:w="0" w:type="auto"/>
          <w:tblLayout w:type="fixed"/>
          <w:tblLook w:val="04A0"/>
        </w:tblPrEx>
        <w:trPr>
          <w:trHeight w:val="330"/>
        </w:trPr>
        <w:tc>
          <w:tcPr>
            <w:tcW w:w="1327" w:type="dxa"/>
            <w:tcBorders>
              <w:top w:val="nil"/>
              <w:left w:val="single" w:sz="8" w:space="0" w:color="auto"/>
              <w:bottom w:val="dotted" w:sz="8" w:space="0" w:color="auto"/>
              <w:right w:val="nil"/>
            </w:tcBorders>
            <w:tcMar>
              <w:left w:w="108" w:type="dxa"/>
              <w:right w:w="108" w:type="dxa"/>
            </w:tcMar>
            <w:vAlign w:val="bottom"/>
          </w:tcPr>
          <w:p w:rsidR="00F10944" w:rsidP="005E67DC" w14:paraId="3F01DAE9" w14:textId="77777777"/>
        </w:tc>
        <w:tc>
          <w:tcPr>
            <w:tcW w:w="1325" w:type="dxa"/>
            <w:tcBorders>
              <w:top w:val="nil"/>
              <w:left w:val="nil"/>
              <w:bottom w:val="dotted" w:sz="8" w:space="0" w:color="auto"/>
              <w:right w:val="nil"/>
            </w:tcBorders>
            <w:tcMar>
              <w:left w:w="108" w:type="dxa"/>
              <w:right w:w="108" w:type="dxa"/>
            </w:tcMar>
            <w:vAlign w:val="bottom"/>
          </w:tcPr>
          <w:p w:rsidR="00F10944" w:rsidP="005E67DC" w14:paraId="4537EA5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Control</w:t>
            </w:r>
          </w:p>
        </w:tc>
        <w:tc>
          <w:tcPr>
            <w:tcW w:w="1325" w:type="dxa"/>
            <w:tcBorders>
              <w:top w:val="nil"/>
              <w:left w:val="nil"/>
              <w:bottom w:val="dotted" w:sz="8" w:space="0" w:color="auto"/>
              <w:right w:val="nil"/>
            </w:tcBorders>
            <w:tcMar>
              <w:left w:w="108" w:type="dxa"/>
              <w:right w:w="108" w:type="dxa"/>
            </w:tcMar>
            <w:vAlign w:val="bottom"/>
          </w:tcPr>
          <w:p w:rsidR="00F10944" w:rsidP="005E67DC" w14:paraId="0D2619AC"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479</w:t>
            </w:r>
          </w:p>
        </w:tc>
        <w:tc>
          <w:tcPr>
            <w:tcW w:w="1325" w:type="dxa"/>
            <w:tcBorders>
              <w:top w:val="nil"/>
              <w:left w:val="nil"/>
              <w:bottom w:val="dotted" w:sz="8" w:space="0" w:color="auto"/>
              <w:right w:val="nil"/>
            </w:tcBorders>
            <w:tcMar>
              <w:left w:w="108" w:type="dxa"/>
              <w:right w:w="108" w:type="dxa"/>
            </w:tcMar>
            <w:vAlign w:val="bottom"/>
          </w:tcPr>
          <w:p w:rsidR="00F10944" w:rsidP="005E67DC" w14:paraId="09B39DF3"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64</w:t>
            </w:r>
          </w:p>
        </w:tc>
        <w:tc>
          <w:tcPr>
            <w:tcW w:w="1325" w:type="dxa"/>
            <w:tcBorders>
              <w:top w:val="nil"/>
              <w:left w:val="nil"/>
              <w:bottom w:val="dotted" w:sz="8" w:space="0" w:color="auto"/>
              <w:right w:val="nil"/>
            </w:tcBorders>
            <w:tcMar>
              <w:left w:w="108" w:type="dxa"/>
              <w:right w:w="108" w:type="dxa"/>
            </w:tcMar>
            <w:vAlign w:val="bottom"/>
          </w:tcPr>
          <w:p w:rsidR="00F10944" w:rsidP="005E67DC" w14:paraId="4ABF2B2C"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355</w:t>
            </w:r>
          </w:p>
        </w:tc>
        <w:tc>
          <w:tcPr>
            <w:tcW w:w="1325" w:type="dxa"/>
            <w:tcBorders>
              <w:top w:val="nil"/>
              <w:left w:val="nil"/>
              <w:bottom w:val="dotted" w:sz="8" w:space="0" w:color="auto"/>
              <w:right w:val="single" w:sz="8" w:space="0" w:color="auto"/>
            </w:tcBorders>
            <w:tcMar>
              <w:left w:w="108" w:type="dxa"/>
              <w:right w:w="108" w:type="dxa"/>
            </w:tcMar>
            <w:vAlign w:val="bottom"/>
          </w:tcPr>
          <w:p w:rsidR="00F10944" w:rsidP="005E67DC" w14:paraId="22E8242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13.36%</w:t>
            </w:r>
          </w:p>
        </w:tc>
      </w:tr>
      <w:tr w14:paraId="2429F8F7" w14:textId="77777777" w:rsidTr="005E67DC">
        <w:tblPrEx>
          <w:tblW w:w="0" w:type="auto"/>
          <w:tblLayout w:type="fixed"/>
          <w:tblLook w:val="04A0"/>
        </w:tblPrEx>
        <w:trPr>
          <w:trHeight w:val="330"/>
        </w:trPr>
        <w:tc>
          <w:tcPr>
            <w:tcW w:w="1327" w:type="dxa"/>
            <w:tcBorders>
              <w:top w:val="dotted" w:sz="8" w:space="0" w:color="auto"/>
              <w:left w:val="single" w:sz="8" w:space="0" w:color="auto"/>
              <w:bottom w:val="nil"/>
              <w:right w:val="nil"/>
            </w:tcBorders>
            <w:tcMar>
              <w:left w:w="108" w:type="dxa"/>
              <w:right w:w="108" w:type="dxa"/>
            </w:tcMar>
            <w:vAlign w:val="bottom"/>
          </w:tcPr>
          <w:p w:rsidR="00F10944" w:rsidP="005E67DC" w14:paraId="61D94155"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Low</w:t>
            </w:r>
          </w:p>
        </w:tc>
        <w:tc>
          <w:tcPr>
            <w:tcW w:w="1325" w:type="dxa"/>
            <w:tcBorders>
              <w:top w:val="dotted" w:sz="8" w:space="0" w:color="auto"/>
              <w:left w:val="nil"/>
              <w:bottom w:val="nil"/>
              <w:right w:val="nil"/>
            </w:tcBorders>
            <w:tcMar>
              <w:left w:w="108" w:type="dxa"/>
              <w:right w:w="108" w:type="dxa"/>
            </w:tcMar>
            <w:vAlign w:val="bottom"/>
          </w:tcPr>
          <w:p w:rsidR="00F10944" w:rsidP="005E67DC" w14:paraId="66AC3C0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 xml:space="preserve">Treatment </w:t>
            </w:r>
          </w:p>
        </w:tc>
        <w:tc>
          <w:tcPr>
            <w:tcW w:w="1325" w:type="dxa"/>
            <w:tcBorders>
              <w:top w:val="dotted" w:sz="8" w:space="0" w:color="auto"/>
              <w:left w:val="nil"/>
              <w:bottom w:val="nil"/>
              <w:right w:val="nil"/>
            </w:tcBorders>
            <w:tcMar>
              <w:left w:w="108" w:type="dxa"/>
              <w:right w:w="108" w:type="dxa"/>
            </w:tcMar>
            <w:vAlign w:val="bottom"/>
          </w:tcPr>
          <w:p w:rsidR="00F10944" w:rsidP="005E67DC" w14:paraId="7887FD28"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955</w:t>
            </w:r>
          </w:p>
        </w:tc>
        <w:tc>
          <w:tcPr>
            <w:tcW w:w="1325" w:type="dxa"/>
            <w:tcBorders>
              <w:top w:val="dotted" w:sz="8" w:space="0" w:color="auto"/>
              <w:left w:val="nil"/>
              <w:bottom w:val="nil"/>
              <w:right w:val="nil"/>
            </w:tcBorders>
            <w:tcMar>
              <w:left w:w="108" w:type="dxa"/>
              <w:right w:w="108" w:type="dxa"/>
            </w:tcMar>
            <w:vAlign w:val="bottom"/>
          </w:tcPr>
          <w:p w:rsidR="00F10944" w:rsidP="005E67DC" w14:paraId="1407EA36"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29</w:t>
            </w:r>
          </w:p>
        </w:tc>
        <w:tc>
          <w:tcPr>
            <w:tcW w:w="1325" w:type="dxa"/>
            <w:tcBorders>
              <w:top w:val="dotted" w:sz="8" w:space="0" w:color="auto"/>
              <w:left w:val="nil"/>
              <w:bottom w:val="nil"/>
              <w:right w:val="nil"/>
            </w:tcBorders>
            <w:tcMar>
              <w:left w:w="108" w:type="dxa"/>
              <w:right w:w="108" w:type="dxa"/>
            </w:tcMar>
            <w:vAlign w:val="bottom"/>
          </w:tcPr>
          <w:p w:rsidR="00F10944" w:rsidP="005E67DC" w14:paraId="0EB0C4B4"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708</w:t>
            </w:r>
          </w:p>
        </w:tc>
        <w:tc>
          <w:tcPr>
            <w:tcW w:w="1325" w:type="dxa"/>
            <w:tcBorders>
              <w:top w:val="dotted" w:sz="8" w:space="0" w:color="auto"/>
              <w:left w:val="nil"/>
              <w:bottom w:val="nil"/>
              <w:right w:val="single" w:sz="8" w:space="0" w:color="auto"/>
            </w:tcBorders>
            <w:tcMar>
              <w:left w:w="108" w:type="dxa"/>
              <w:right w:w="108" w:type="dxa"/>
            </w:tcMar>
            <w:vAlign w:val="bottom"/>
          </w:tcPr>
          <w:p w:rsidR="00F10944" w:rsidP="005E67DC" w14:paraId="2E76F1E0"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3.04%</w:t>
            </w:r>
          </w:p>
        </w:tc>
      </w:tr>
      <w:tr w14:paraId="24B81B85" w14:textId="77777777" w:rsidTr="005E67DC">
        <w:tblPrEx>
          <w:tblW w:w="0" w:type="auto"/>
          <w:tblLayout w:type="fixed"/>
          <w:tblLook w:val="04A0"/>
        </w:tblPrEx>
        <w:trPr>
          <w:trHeight w:val="330"/>
        </w:trPr>
        <w:tc>
          <w:tcPr>
            <w:tcW w:w="1327" w:type="dxa"/>
            <w:tcBorders>
              <w:top w:val="nil"/>
              <w:left w:val="single" w:sz="8" w:space="0" w:color="auto"/>
              <w:bottom w:val="dotted" w:sz="8" w:space="0" w:color="auto"/>
              <w:right w:val="nil"/>
            </w:tcBorders>
            <w:tcMar>
              <w:left w:w="108" w:type="dxa"/>
              <w:right w:w="108" w:type="dxa"/>
            </w:tcMar>
            <w:vAlign w:val="bottom"/>
          </w:tcPr>
          <w:p w:rsidR="00F10944" w:rsidP="005E67DC" w14:paraId="7940E65B" w14:textId="77777777"/>
        </w:tc>
        <w:tc>
          <w:tcPr>
            <w:tcW w:w="1325" w:type="dxa"/>
            <w:tcBorders>
              <w:top w:val="nil"/>
              <w:left w:val="nil"/>
              <w:bottom w:val="dotted" w:sz="8" w:space="0" w:color="auto"/>
              <w:right w:val="nil"/>
            </w:tcBorders>
            <w:tcMar>
              <w:left w:w="108" w:type="dxa"/>
              <w:right w:w="108" w:type="dxa"/>
            </w:tcMar>
            <w:vAlign w:val="bottom"/>
          </w:tcPr>
          <w:p w:rsidR="00F10944" w:rsidP="005E67DC" w14:paraId="49D22DF7"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Control</w:t>
            </w:r>
          </w:p>
        </w:tc>
        <w:tc>
          <w:tcPr>
            <w:tcW w:w="1325" w:type="dxa"/>
            <w:tcBorders>
              <w:top w:val="nil"/>
              <w:left w:val="nil"/>
              <w:bottom w:val="dotted" w:sz="8" w:space="0" w:color="auto"/>
              <w:right w:val="nil"/>
            </w:tcBorders>
            <w:tcMar>
              <w:left w:w="108" w:type="dxa"/>
              <w:right w:w="108" w:type="dxa"/>
            </w:tcMar>
            <w:vAlign w:val="bottom"/>
          </w:tcPr>
          <w:p w:rsidR="00F10944" w:rsidP="005E67DC" w14:paraId="1F3A2EC7"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742</w:t>
            </w:r>
          </w:p>
        </w:tc>
        <w:tc>
          <w:tcPr>
            <w:tcW w:w="1325" w:type="dxa"/>
            <w:tcBorders>
              <w:top w:val="nil"/>
              <w:left w:val="nil"/>
              <w:bottom w:val="dotted" w:sz="8" w:space="0" w:color="auto"/>
              <w:right w:val="nil"/>
            </w:tcBorders>
            <w:tcMar>
              <w:left w:w="108" w:type="dxa"/>
              <w:right w:w="108" w:type="dxa"/>
            </w:tcMar>
            <w:vAlign w:val="bottom"/>
          </w:tcPr>
          <w:p w:rsidR="00F10944" w:rsidP="005E67DC" w14:paraId="16215E2A"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14</w:t>
            </w:r>
          </w:p>
        </w:tc>
        <w:tc>
          <w:tcPr>
            <w:tcW w:w="1325" w:type="dxa"/>
            <w:tcBorders>
              <w:top w:val="nil"/>
              <w:left w:val="nil"/>
              <w:bottom w:val="dotted" w:sz="8" w:space="0" w:color="auto"/>
              <w:right w:val="nil"/>
            </w:tcBorders>
            <w:tcMar>
              <w:left w:w="108" w:type="dxa"/>
              <w:right w:w="108" w:type="dxa"/>
            </w:tcMar>
            <w:vAlign w:val="bottom"/>
          </w:tcPr>
          <w:p w:rsidR="00F10944" w:rsidP="005E67DC" w14:paraId="19262AE1"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582</w:t>
            </w:r>
          </w:p>
        </w:tc>
        <w:tc>
          <w:tcPr>
            <w:tcW w:w="1325" w:type="dxa"/>
            <w:tcBorders>
              <w:top w:val="nil"/>
              <w:left w:val="nil"/>
              <w:bottom w:val="dotted" w:sz="8" w:space="0" w:color="auto"/>
              <w:right w:val="single" w:sz="8" w:space="0" w:color="auto"/>
            </w:tcBorders>
            <w:tcMar>
              <w:left w:w="108" w:type="dxa"/>
              <w:right w:w="108" w:type="dxa"/>
            </w:tcMar>
            <w:vAlign w:val="bottom"/>
          </w:tcPr>
          <w:p w:rsidR="00F10944" w:rsidP="005E67DC" w14:paraId="6847C75D"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1.89%</w:t>
            </w:r>
          </w:p>
        </w:tc>
      </w:tr>
      <w:tr w14:paraId="150F2333" w14:textId="77777777" w:rsidTr="005E67DC">
        <w:tblPrEx>
          <w:tblW w:w="0" w:type="auto"/>
          <w:tblLayout w:type="fixed"/>
          <w:tblLook w:val="04A0"/>
        </w:tblPrEx>
        <w:trPr>
          <w:trHeight w:val="330"/>
        </w:trPr>
        <w:tc>
          <w:tcPr>
            <w:tcW w:w="1327" w:type="dxa"/>
            <w:tcBorders>
              <w:top w:val="dotted" w:sz="8" w:space="0" w:color="auto"/>
              <w:left w:val="single" w:sz="8" w:space="0" w:color="auto"/>
              <w:bottom w:val="nil"/>
              <w:right w:val="nil"/>
            </w:tcBorders>
            <w:tcMar>
              <w:left w:w="108" w:type="dxa"/>
              <w:right w:w="108" w:type="dxa"/>
            </w:tcMar>
            <w:vAlign w:val="bottom"/>
          </w:tcPr>
          <w:p w:rsidR="00F10944" w:rsidP="005E67DC" w14:paraId="460483E6"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Total</w:t>
            </w:r>
          </w:p>
        </w:tc>
        <w:tc>
          <w:tcPr>
            <w:tcW w:w="1325" w:type="dxa"/>
            <w:tcBorders>
              <w:top w:val="dotted" w:sz="8" w:space="0" w:color="auto"/>
              <w:left w:val="nil"/>
              <w:bottom w:val="nil"/>
              <w:right w:val="nil"/>
            </w:tcBorders>
            <w:tcMar>
              <w:left w:w="108" w:type="dxa"/>
              <w:right w:w="108" w:type="dxa"/>
            </w:tcMar>
            <w:vAlign w:val="bottom"/>
          </w:tcPr>
          <w:p w:rsidR="00F10944" w:rsidP="005E67DC" w14:paraId="3644EC71"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Treatment</w:t>
            </w:r>
          </w:p>
        </w:tc>
        <w:tc>
          <w:tcPr>
            <w:tcW w:w="1325" w:type="dxa"/>
            <w:tcBorders>
              <w:top w:val="dotted" w:sz="8" w:space="0" w:color="auto"/>
              <w:left w:val="nil"/>
              <w:bottom w:val="nil"/>
              <w:right w:val="nil"/>
            </w:tcBorders>
            <w:tcMar>
              <w:left w:w="108" w:type="dxa"/>
              <w:right w:w="108" w:type="dxa"/>
            </w:tcMar>
            <w:vAlign w:val="bottom"/>
          </w:tcPr>
          <w:p w:rsidR="00F10944" w:rsidP="005E67DC" w14:paraId="0D2F7562"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1,608</w:t>
            </w:r>
          </w:p>
        </w:tc>
        <w:tc>
          <w:tcPr>
            <w:tcW w:w="1325" w:type="dxa"/>
            <w:tcBorders>
              <w:top w:val="dotted" w:sz="8" w:space="0" w:color="auto"/>
              <w:left w:val="nil"/>
              <w:bottom w:val="nil"/>
              <w:right w:val="nil"/>
            </w:tcBorders>
            <w:tcMar>
              <w:left w:w="108" w:type="dxa"/>
              <w:right w:w="108" w:type="dxa"/>
            </w:tcMar>
            <w:vAlign w:val="bottom"/>
          </w:tcPr>
          <w:p w:rsidR="00F10944" w:rsidP="005E67DC" w14:paraId="70B6EB45"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170</w:t>
            </w:r>
          </w:p>
        </w:tc>
        <w:tc>
          <w:tcPr>
            <w:tcW w:w="1325" w:type="dxa"/>
            <w:tcBorders>
              <w:top w:val="dotted" w:sz="8" w:space="0" w:color="auto"/>
              <w:left w:val="nil"/>
              <w:bottom w:val="nil"/>
              <w:right w:val="nil"/>
            </w:tcBorders>
            <w:tcMar>
              <w:left w:w="108" w:type="dxa"/>
              <w:right w:w="108" w:type="dxa"/>
            </w:tcMar>
            <w:vAlign w:val="bottom"/>
          </w:tcPr>
          <w:p w:rsidR="00F10944" w:rsidP="005E67DC" w14:paraId="346C9886"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1,156</w:t>
            </w:r>
          </w:p>
        </w:tc>
        <w:tc>
          <w:tcPr>
            <w:tcW w:w="1325" w:type="dxa"/>
            <w:tcBorders>
              <w:top w:val="dotted" w:sz="8" w:space="0" w:color="auto"/>
              <w:left w:val="nil"/>
              <w:bottom w:val="nil"/>
              <w:right w:val="single" w:sz="8" w:space="0" w:color="auto"/>
            </w:tcBorders>
            <w:tcMar>
              <w:left w:w="108" w:type="dxa"/>
              <w:right w:w="108" w:type="dxa"/>
            </w:tcMar>
            <w:vAlign w:val="bottom"/>
          </w:tcPr>
          <w:p w:rsidR="00F10944" w:rsidP="005E67DC" w14:paraId="45241A3B"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10.57%</w:t>
            </w:r>
          </w:p>
        </w:tc>
      </w:tr>
      <w:tr w14:paraId="46A2AE10" w14:textId="77777777" w:rsidTr="005E67DC">
        <w:tblPrEx>
          <w:tblW w:w="0" w:type="auto"/>
          <w:tblLayout w:type="fixed"/>
          <w:tblLook w:val="04A0"/>
        </w:tblPrEx>
        <w:trPr>
          <w:trHeight w:val="330"/>
        </w:trPr>
        <w:tc>
          <w:tcPr>
            <w:tcW w:w="1327" w:type="dxa"/>
            <w:tcBorders>
              <w:top w:val="nil"/>
              <w:left w:val="single" w:sz="8" w:space="0" w:color="auto"/>
              <w:bottom w:val="single" w:sz="8" w:space="0" w:color="auto"/>
              <w:right w:val="nil"/>
            </w:tcBorders>
            <w:tcMar>
              <w:left w:w="108" w:type="dxa"/>
              <w:right w:w="108" w:type="dxa"/>
            </w:tcMar>
            <w:vAlign w:val="bottom"/>
          </w:tcPr>
          <w:p w:rsidR="00F10944" w:rsidP="005E67DC" w14:paraId="00C6263C"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 xml:space="preserve"> </w:t>
            </w:r>
          </w:p>
        </w:tc>
        <w:tc>
          <w:tcPr>
            <w:tcW w:w="1325" w:type="dxa"/>
            <w:tcBorders>
              <w:top w:val="nil"/>
              <w:left w:val="nil"/>
              <w:bottom w:val="single" w:sz="8" w:space="0" w:color="auto"/>
              <w:right w:val="nil"/>
            </w:tcBorders>
            <w:tcMar>
              <w:left w:w="108" w:type="dxa"/>
              <w:right w:w="108" w:type="dxa"/>
            </w:tcMar>
            <w:vAlign w:val="bottom"/>
          </w:tcPr>
          <w:p w:rsidR="00F10944" w:rsidP="005E67DC" w14:paraId="4CB582F2"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Control</w:t>
            </w:r>
          </w:p>
        </w:tc>
        <w:tc>
          <w:tcPr>
            <w:tcW w:w="1325" w:type="dxa"/>
            <w:tcBorders>
              <w:top w:val="nil"/>
              <w:left w:val="nil"/>
              <w:bottom w:val="single" w:sz="8" w:space="0" w:color="auto"/>
              <w:right w:val="nil"/>
            </w:tcBorders>
            <w:tcMar>
              <w:left w:w="108" w:type="dxa"/>
              <w:right w:w="108" w:type="dxa"/>
            </w:tcMar>
            <w:vAlign w:val="bottom"/>
          </w:tcPr>
          <w:p w:rsidR="00F10944" w:rsidP="005E67DC" w14:paraId="6A6D4BC3"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1,481</w:t>
            </w:r>
          </w:p>
        </w:tc>
        <w:tc>
          <w:tcPr>
            <w:tcW w:w="1325" w:type="dxa"/>
            <w:tcBorders>
              <w:top w:val="nil"/>
              <w:left w:val="nil"/>
              <w:bottom w:val="single" w:sz="8" w:space="0" w:color="auto"/>
              <w:right w:val="nil"/>
            </w:tcBorders>
            <w:tcMar>
              <w:left w:w="108" w:type="dxa"/>
              <w:right w:w="108" w:type="dxa"/>
            </w:tcMar>
            <w:vAlign w:val="bottom"/>
          </w:tcPr>
          <w:p w:rsidR="00F10944" w:rsidP="005E67DC" w14:paraId="7E0078F0"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115</w:t>
            </w:r>
          </w:p>
        </w:tc>
        <w:tc>
          <w:tcPr>
            <w:tcW w:w="1325" w:type="dxa"/>
            <w:tcBorders>
              <w:top w:val="nil"/>
              <w:left w:val="nil"/>
              <w:bottom w:val="single" w:sz="8" w:space="0" w:color="auto"/>
              <w:right w:val="nil"/>
            </w:tcBorders>
            <w:tcMar>
              <w:left w:w="108" w:type="dxa"/>
              <w:right w:w="108" w:type="dxa"/>
            </w:tcMar>
            <w:vAlign w:val="bottom"/>
          </w:tcPr>
          <w:p w:rsidR="00F10944" w:rsidP="005E67DC" w14:paraId="732C8E1D"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1,142</w:t>
            </w:r>
          </w:p>
        </w:tc>
        <w:tc>
          <w:tcPr>
            <w:tcW w:w="1325" w:type="dxa"/>
            <w:tcBorders>
              <w:top w:val="nil"/>
              <w:left w:val="nil"/>
              <w:bottom w:val="single" w:sz="8" w:space="0" w:color="auto"/>
              <w:right w:val="single" w:sz="8" w:space="0" w:color="auto"/>
            </w:tcBorders>
            <w:tcMar>
              <w:left w:w="108" w:type="dxa"/>
              <w:right w:w="108" w:type="dxa"/>
            </w:tcMar>
            <w:vAlign w:val="bottom"/>
          </w:tcPr>
          <w:p w:rsidR="00F10944" w:rsidP="005E67DC" w14:paraId="0F54E35A" w14:textId="77777777">
            <w:pPr>
              <w:ind w:left="-20" w:right="-20"/>
              <w:jc w:val="center"/>
              <w:rPr>
                <w:rFonts w:ascii="Times New Roman" w:hAnsi="Times New Roman"/>
                <w:color w:val="000000" w:themeColor="text1"/>
                <w:sz w:val="20"/>
                <w:szCs w:val="20"/>
              </w:rPr>
            </w:pPr>
            <w:r w:rsidRPr="6685BBCF">
              <w:rPr>
                <w:rFonts w:ascii="Times New Roman" w:hAnsi="Times New Roman"/>
                <w:color w:val="000000" w:themeColor="text1"/>
                <w:sz w:val="20"/>
                <w:szCs w:val="20"/>
              </w:rPr>
              <w:t>7.77%</w:t>
            </w:r>
          </w:p>
        </w:tc>
      </w:tr>
    </w:tbl>
    <w:p w:rsidR="00F10944" w:rsidP="00F10944" w14:paraId="69FC88C2" w14:textId="77777777">
      <w:pPr>
        <w:ind w:left="-20" w:right="-20"/>
        <w:rPr>
          <w:rFonts w:ascii="Times New Roman" w:hAnsi="Times New Roman"/>
        </w:rPr>
      </w:pPr>
      <w:r w:rsidRPr="6685BBCF">
        <w:rPr>
          <w:rFonts w:ascii="Times New Roman" w:hAnsi="Times New Roman"/>
        </w:rPr>
        <w:t>*All statistics in the table reflect only the experimental time period from 3/29/2021-5/9/2021 when the treatment group was eligible for the final push incentive and the control group was not.</w:t>
      </w:r>
    </w:p>
    <w:p w:rsidR="00F10944" w:rsidP="00F10944" w14:paraId="1817585D" w14:textId="77777777">
      <w:pPr>
        <w:rPr>
          <w:rFonts w:ascii="Times New Roman" w:hAnsi="Times New Roman"/>
        </w:rPr>
      </w:pPr>
    </w:p>
    <w:p w:rsidR="00F10944" w:rsidP="00F10944" w14:paraId="52A5B21D" w14:textId="77777777">
      <w:pPr>
        <w:rPr>
          <w:rFonts w:ascii="Times New Roman" w:hAnsi="Times New Roman"/>
        </w:rPr>
      </w:pPr>
    </w:p>
    <w:p w:rsidR="00F10944" w:rsidRPr="00023914" w:rsidP="00F10944" w14:paraId="39AEE391" w14:textId="22CA8B93">
      <w:pPr>
        <w:rPr>
          <w:rFonts w:ascii="Times New Roman" w:hAnsi="Times New Roman"/>
        </w:rPr>
      </w:pPr>
      <w:r w:rsidRPr="6685BBCF">
        <w:rPr>
          <w:rFonts w:ascii="Times New Roman" w:hAnsi="Times New Roman"/>
        </w:rPr>
        <w:t xml:space="preserve">Non-experimental evidence from Round 30 corroborated the results of the Round 29 experiment as final push incentives increased response rates modestly. Figure </w:t>
      </w:r>
      <w:r w:rsidR="00B70AA0">
        <w:rPr>
          <w:rFonts w:ascii="Times New Roman" w:hAnsi="Times New Roman"/>
        </w:rPr>
        <w:t>1</w:t>
      </w:r>
      <w:r w:rsidRPr="6685BBCF" w:rsidR="00B70AA0">
        <w:rPr>
          <w:rFonts w:ascii="Times New Roman" w:hAnsi="Times New Roman"/>
        </w:rPr>
        <w:t xml:space="preserve"> </w:t>
      </w:r>
      <w:r w:rsidRPr="6685BBCF">
        <w:rPr>
          <w:rFonts w:ascii="Times New Roman" w:hAnsi="Times New Roman"/>
        </w:rPr>
        <w:t xml:space="preserve">shows completion rates across time during Round 30 for groups having missed different amounts of previous rounds. The vertical line denotes the 3/20/23 start of final push. The introduction of the incentive coincided with a modest increase in the slopes of each line, suggesting that final push increased response rates modestly. </w:t>
      </w:r>
    </w:p>
    <w:p w:rsidR="00F10944" w:rsidRPr="00023914" w:rsidP="00386860" w14:paraId="5EDA29C0" w14:textId="2F7DEACA">
      <w:pPr>
        <w:widowControl/>
        <w:autoSpaceDE/>
        <w:autoSpaceDN/>
        <w:adjustRightInd/>
        <w:spacing w:after="160" w:line="259" w:lineRule="auto"/>
        <w:rPr>
          <w:rFonts w:ascii="Times New Roman" w:hAnsi="Times New Roman"/>
        </w:rPr>
      </w:pPr>
      <w:bookmarkStart w:id="8" w:name="_Toc150781445"/>
      <w:r w:rsidRPr="00023914">
        <w:rPr>
          <w:rFonts w:ascii="Times New Roman" w:hAnsi="Times New Roman"/>
          <w:b/>
          <w:bCs/>
        </w:rPr>
        <w:t xml:space="preserve">Figure </w:t>
      </w:r>
      <w:r w:rsidR="00B70AA0">
        <w:rPr>
          <w:rFonts w:ascii="Times New Roman" w:hAnsi="Times New Roman"/>
          <w:b/>
          <w:bCs/>
        </w:rPr>
        <w:t>1</w:t>
      </w:r>
      <w:r w:rsidRPr="00023914">
        <w:rPr>
          <w:rFonts w:ascii="Times New Roman" w:hAnsi="Times New Roman"/>
          <w:b/>
          <w:bCs/>
        </w:rPr>
        <w:t>.</w:t>
      </w:r>
      <w:r w:rsidRPr="00023914">
        <w:rPr>
          <w:rFonts w:ascii="Times New Roman" w:hAnsi="Times New Roman"/>
          <w:b/>
          <w:bCs/>
        </w:rPr>
        <w:tab/>
      </w:r>
      <w:r w:rsidRPr="00023914">
        <w:rPr>
          <w:rFonts w:ascii="Times New Roman" w:hAnsi="Times New Roman"/>
        </w:rPr>
        <w:t>Completion Rates Before and After Start of Final Push</w:t>
      </w:r>
      <w:bookmarkEnd w:id="8"/>
      <w:r>
        <w:rPr>
          <w:rFonts w:ascii="Times New Roman" w:hAnsi="Times New Roman"/>
        </w:rPr>
        <w:t>, NLSY79 Round 30</w:t>
      </w:r>
    </w:p>
    <w:p w:rsidR="00F10944" w:rsidRPr="00023914" w:rsidP="00F10944" w14:paraId="72809CF0" w14:textId="77777777">
      <w:pPr>
        <w:rPr>
          <w:rFonts w:ascii="Times New Roman" w:hAnsi="Times New Roman"/>
        </w:rPr>
      </w:pPr>
      <w:r w:rsidRPr="00023914">
        <w:rPr>
          <w:rFonts w:ascii="Times New Roman" w:hAnsi="Times New Roman"/>
          <w:noProof/>
        </w:rPr>
        <w:drawing>
          <wp:inline distT="0" distB="0" distL="0" distR="0">
            <wp:extent cx="5943600" cy="3237230"/>
            <wp:effectExtent l="0" t="0" r="0" b="1270"/>
            <wp:docPr id="164459924"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9924" name="Picture 1478487793" descr="A graph of different colored lines&#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37230"/>
                    </a:xfrm>
                    <a:prstGeom prst="rect">
                      <a:avLst/>
                    </a:prstGeom>
                    <a:noFill/>
                    <a:ln>
                      <a:noFill/>
                    </a:ln>
                  </pic:spPr>
                </pic:pic>
              </a:graphicData>
            </a:graphic>
          </wp:inline>
        </w:drawing>
      </w:r>
    </w:p>
    <w:p w:rsidR="00F10944" w:rsidP="00F10944" w14:paraId="4B119C7F" w14:textId="77777777">
      <w:pPr>
        <w:rPr>
          <w:rFonts w:ascii="Times New Roman" w:hAnsi="Times New Roman"/>
        </w:rPr>
      </w:pPr>
    </w:p>
    <w:p w:rsidR="00F10944" w:rsidRPr="004D6ED0" w:rsidP="00F10944" w14:paraId="7DAD90F8" w14:textId="77777777">
      <w:pPr>
        <w:widowControl/>
        <w:autoSpaceDE/>
        <w:adjustRightInd/>
        <w:rPr>
          <w:rFonts w:ascii="Times New Roman" w:hAnsi="Times New Roman"/>
        </w:rPr>
      </w:pPr>
    </w:p>
    <w:p w:rsidR="00F10944" w:rsidP="00F10944" w14:paraId="069F7C53" w14:textId="77777777">
      <w:pPr>
        <w:rPr>
          <w:rFonts w:ascii="Times New Roman" w:hAnsi="Times New Roman"/>
          <w:i/>
        </w:rPr>
      </w:pPr>
      <w:r>
        <w:rPr>
          <w:rFonts w:ascii="Times New Roman" w:hAnsi="Times New Roman"/>
          <w:i/>
        </w:rPr>
        <w:t>Enhanced Final Push</w:t>
      </w:r>
    </w:p>
    <w:p w:rsidR="00F10944" w:rsidP="00F10944" w14:paraId="2F7123F1" w14:textId="77777777">
      <w:pPr>
        <w:rPr>
          <w:rFonts w:ascii="Times New Roman" w:eastAsia="Calibri" w:hAnsi="Times New Roman"/>
        </w:rPr>
      </w:pPr>
      <w:r w:rsidRPr="6685BBCF">
        <w:rPr>
          <w:rFonts w:ascii="Times New Roman" w:hAnsi="Times New Roman"/>
        </w:rPr>
        <w:t xml:space="preserve">Maintaining a sample that is balanced across demographic characteristics is essential to supporting research across the life cycle.  To the end of bolstering the representativeness of the NLSY79 sample, NLS will offer an “Enhanced Final Push” incentive that targets a </w:t>
      </w:r>
      <w:r w:rsidRPr="6685BBCF">
        <w:rPr>
          <w:rFonts w:ascii="Times New Roman" w:eastAsia="Calibri" w:hAnsi="Times New Roman"/>
        </w:rPr>
        <w:t>$50 final push amount instead of the $30 final push amount (an extra $20) for a subgroup of cases that had low response rates.  NLS offered this same amount in Round 29 and Round 30. Once extended, this offer will remain in place for the remainder of the field period (as will the traditional final push incentive).</w:t>
      </w:r>
    </w:p>
    <w:p w:rsidR="00F10944" w:rsidP="00F10944" w14:paraId="227C9956" w14:textId="77777777">
      <w:pPr>
        <w:rPr>
          <w:rFonts w:ascii="Times New Roman" w:hAnsi="Times New Roman"/>
        </w:rPr>
      </w:pPr>
    </w:p>
    <w:p w:rsidR="00F10944" w:rsidP="00F10944" w14:paraId="21134858" w14:textId="402C60F9">
      <w:pPr>
        <w:rPr>
          <w:rFonts w:ascii="Times New Roman" w:eastAsia="Calibri" w:hAnsi="Times New Roman"/>
        </w:rPr>
      </w:pPr>
      <w:r>
        <w:rPr>
          <w:rFonts w:ascii="Times New Roman" w:hAnsi="Times New Roman"/>
        </w:rPr>
        <w:t>The subgroups NLS proposes to evaluate for inclusion in the enhanced final push will be chosen to represent groups t</w:t>
      </w:r>
      <w:r>
        <w:rPr>
          <w:rFonts w:ascii="Times New Roman" w:hAnsi="Times New Roman"/>
          <w:color w:val="000000"/>
        </w:rPr>
        <w:t xml:space="preserve">hat directly concern labor market activity: </w:t>
      </w:r>
      <w:r>
        <w:rPr>
          <w:rFonts w:ascii="Times New Roman" w:eastAsia="Calibri" w:hAnsi="Times New Roman"/>
        </w:rPr>
        <w:t xml:space="preserve">educational attainment, </w:t>
      </w:r>
      <w:r w:rsidR="0003013A">
        <w:rPr>
          <w:rFonts w:ascii="Times New Roman" w:eastAsia="Calibri" w:hAnsi="Times New Roman"/>
        </w:rPr>
        <w:t>Armed Force</w:t>
      </w:r>
      <w:r w:rsidR="0014597F">
        <w:rPr>
          <w:rFonts w:ascii="Times New Roman" w:eastAsia="Calibri" w:hAnsi="Times New Roman"/>
        </w:rPr>
        <w:t xml:space="preserve"> Qualifying Test (</w:t>
      </w:r>
      <w:r>
        <w:rPr>
          <w:rFonts w:ascii="Times New Roman" w:eastAsia="Calibri" w:hAnsi="Times New Roman"/>
        </w:rPr>
        <w:t>AFQT</w:t>
      </w:r>
      <w:r w:rsidR="0014597F">
        <w:rPr>
          <w:rFonts w:ascii="Times New Roman" w:eastAsia="Calibri" w:hAnsi="Times New Roman"/>
        </w:rPr>
        <w:t>)</w:t>
      </w:r>
      <w:r>
        <w:rPr>
          <w:rFonts w:ascii="Times New Roman" w:eastAsia="Calibri" w:hAnsi="Times New Roman"/>
        </w:rPr>
        <w:t xml:space="preserve"> score, weeks worked (defined in 4 categories), presence or absence of a health condition that limits work activity, and each of these stratified by gender or race/ethnicity.  </w:t>
      </w:r>
      <w:r>
        <w:rPr>
          <w:rFonts w:ascii="Times New Roman" w:hAnsi="Times New Roman"/>
        </w:rPr>
        <w:t>For each possible subgroup, NLS will calculate the overall response rate for the subgroup</w:t>
      </w:r>
      <w:r w:rsidRPr="00E96796" w:rsidR="00E96796">
        <w:rPr>
          <w:rFonts w:ascii="Times New Roman" w:hAnsi="Times New Roman"/>
        </w:rPr>
        <w:t xml:space="preserve"> </w:t>
      </w:r>
      <w:r w:rsidRPr="44C50749" w:rsidR="00E96796">
        <w:rPr>
          <w:rFonts w:ascii="Times New Roman" w:hAnsi="Times New Roman"/>
        </w:rPr>
        <w:t xml:space="preserve">on the earliest date between a) </w:t>
      </w:r>
      <w:r w:rsidRPr="44C50749" w:rsidR="00E96796">
        <w:rPr>
          <w:rFonts w:ascii="Times New Roman" w:eastAsia="Calibri" w:hAnsi="Times New Roman"/>
        </w:rPr>
        <w:t xml:space="preserve">when the total sample completion rate is 60 percent or b) January 25, 2025. For reference, the total sample completion rate reached 60% </w:t>
      </w:r>
      <w:r w:rsidRPr="44C50749" w:rsidR="00E96796">
        <w:rPr>
          <w:rFonts w:ascii="Times New Roman" w:eastAsia="Calibri" w:hAnsi="Times New Roman"/>
        </w:rPr>
        <w:t>on  February</w:t>
      </w:r>
      <w:r w:rsidRPr="44C50749" w:rsidR="00E96796">
        <w:rPr>
          <w:rFonts w:ascii="Times New Roman" w:eastAsia="Calibri" w:hAnsi="Times New Roman"/>
        </w:rPr>
        <w:t xml:space="preserve"> 22 in Round 30</w:t>
      </w:r>
      <w:r>
        <w:rPr>
          <w:rFonts w:ascii="Times New Roman" w:eastAsia="Calibri" w:hAnsi="Times New Roman"/>
        </w:rPr>
        <w:t>.  Any subgroup having a response rate at least 7 percent below the sample average (i.e., less than 53 percent) will be offered the enhanced $50 final push amount instead of the typical $30 final push amount that is approved for all remaining cases.</w:t>
      </w:r>
    </w:p>
    <w:p w:rsidR="00F10944" w:rsidP="00F10944" w14:paraId="7BCB121C" w14:textId="77777777">
      <w:pPr>
        <w:rPr>
          <w:rFonts w:ascii="Times New Roman" w:eastAsia="Calibri" w:hAnsi="Times New Roman"/>
        </w:rPr>
      </w:pPr>
    </w:p>
    <w:p w:rsidR="00F10944" w:rsidP="00F10944" w14:paraId="3882BA94" w14:textId="0CA5026E">
      <w:pPr>
        <w:ind w:left="-20" w:right="-20"/>
        <w:rPr>
          <w:rFonts w:ascii="Times New Roman" w:hAnsi="Times New Roman"/>
        </w:rPr>
      </w:pPr>
      <w:r w:rsidRPr="6685BBCF">
        <w:rPr>
          <w:rFonts w:ascii="Times New Roman" w:hAnsi="Times New Roman"/>
        </w:rPr>
        <w:t xml:space="preserve">Results from NLSY79 Round 29, shown in Table </w:t>
      </w:r>
      <w:r w:rsidR="00AF55F6">
        <w:rPr>
          <w:rFonts w:ascii="Times New Roman" w:hAnsi="Times New Roman"/>
        </w:rPr>
        <w:t>8</w:t>
      </w:r>
      <w:r w:rsidRPr="6685BBCF">
        <w:rPr>
          <w:rFonts w:ascii="Times New Roman" w:hAnsi="Times New Roman"/>
        </w:rPr>
        <w:t>, suggest that the enhanced final push had a positive impact on survey completion.  Here, the group designated “Eligible for Enhanced Final Push” includes all individuals who would have been eligible for the enhanced final push if they had not completed the Round 29 interview as of the start of final push.  The first two sets of columns present completion rates at the 60% mark and at the start of final push, respectively.  The third set of columns presents the cumulative completion rate of these groups when fielding concluded.</w:t>
      </w:r>
    </w:p>
    <w:p w:rsidR="00F10944" w:rsidP="00F10944" w14:paraId="0A3C83BB" w14:textId="77777777">
      <w:pPr>
        <w:ind w:left="-20" w:right="-20"/>
        <w:rPr>
          <w:rFonts w:ascii="Times New Roman" w:hAnsi="Times New Roman"/>
        </w:rPr>
      </w:pPr>
      <w:r w:rsidRPr="6685BBCF">
        <w:rPr>
          <w:rFonts w:ascii="Times New Roman" w:hAnsi="Times New Roman"/>
        </w:rPr>
        <w:t xml:space="preserve"> </w:t>
      </w:r>
    </w:p>
    <w:p w:rsidR="00F10944" w:rsidRPr="003C0194" w:rsidP="00F10944" w14:paraId="4E9646BE" w14:textId="315AEE88">
      <w:pPr>
        <w:rPr>
          <w:rFonts w:ascii="Times New Roman" w:hAnsi="Times New Roman"/>
          <w:b/>
          <w:bCs/>
        </w:rPr>
      </w:pPr>
      <w:r w:rsidRPr="003C0194">
        <w:rPr>
          <w:rFonts w:ascii="Times New Roman" w:hAnsi="Times New Roman"/>
          <w:b/>
          <w:bCs/>
        </w:rPr>
        <w:t xml:space="preserve">Table </w:t>
      </w:r>
      <w:r w:rsidR="00AF55F6">
        <w:rPr>
          <w:rFonts w:ascii="Times New Roman" w:hAnsi="Times New Roman"/>
          <w:b/>
          <w:bCs/>
        </w:rPr>
        <w:t>8</w:t>
      </w:r>
      <w:r w:rsidRPr="003C0194">
        <w:rPr>
          <w:rFonts w:ascii="Times New Roman" w:hAnsi="Times New Roman"/>
          <w:b/>
          <w:bCs/>
        </w:rPr>
        <w:t xml:space="preserve">:  Round </w:t>
      </w:r>
      <w:r>
        <w:rPr>
          <w:rFonts w:ascii="Times New Roman" w:hAnsi="Times New Roman"/>
          <w:b/>
          <w:bCs/>
        </w:rPr>
        <w:t>30</w:t>
      </w:r>
      <w:r w:rsidRPr="003C0194">
        <w:rPr>
          <w:rFonts w:ascii="Times New Roman" w:hAnsi="Times New Roman"/>
          <w:b/>
          <w:bCs/>
        </w:rPr>
        <w:t xml:space="preserve"> Enhanced Final Push Results</w:t>
      </w:r>
    </w:p>
    <w:tbl>
      <w:tblPr>
        <w:tblW w:w="5061" w:type="pct"/>
        <w:jc w:val="center"/>
        <w:tblLayout w:type="fixed"/>
        <w:tblCellMar>
          <w:left w:w="58" w:type="dxa"/>
          <w:right w:w="58" w:type="dxa"/>
        </w:tblCellMar>
        <w:tblLook w:val="04A0"/>
      </w:tblPr>
      <w:tblGrid>
        <w:gridCol w:w="1951"/>
        <w:gridCol w:w="566"/>
        <w:gridCol w:w="1016"/>
        <w:gridCol w:w="912"/>
        <w:gridCol w:w="583"/>
        <w:gridCol w:w="863"/>
        <w:gridCol w:w="912"/>
        <w:gridCol w:w="658"/>
        <w:gridCol w:w="899"/>
        <w:gridCol w:w="1099"/>
      </w:tblGrid>
      <w:tr w14:paraId="566AAB27" w14:textId="77777777" w:rsidTr="005E67DC">
        <w:tblPrEx>
          <w:tblW w:w="5061" w:type="pct"/>
          <w:jc w:val="center"/>
          <w:tblLayout w:type="fixed"/>
          <w:tblCellMar>
            <w:left w:w="58" w:type="dxa"/>
            <w:right w:w="58" w:type="dxa"/>
          </w:tblCellMar>
          <w:tblLook w:val="04A0"/>
        </w:tblPrEx>
        <w:trPr>
          <w:trHeight w:val="648"/>
          <w:jc w:val="center"/>
        </w:trPr>
        <w:tc>
          <w:tcPr>
            <w:tcW w:w="103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10944" w:rsidRPr="003C0194" w:rsidP="005E67DC" w14:paraId="7624CE7F"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w:t>
            </w:r>
          </w:p>
        </w:tc>
        <w:tc>
          <w:tcPr>
            <w:tcW w:w="1318" w:type="pct"/>
            <w:gridSpan w:val="3"/>
            <w:tcBorders>
              <w:top w:val="single" w:sz="8" w:space="0" w:color="auto"/>
              <w:left w:val="single" w:sz="8" w:space="0" w:color="auto"/>
              <w:bottom w:val="nil"/>
              <w:right w:val="single" w:sz="8" w:space="0" w:color="000000"/>
            </w:tcBorders>
            <w:shd w:val="clear" w:color="000000" w:fill="FFFFFF"/>
            <w:vAlign w:val="center"/>
            <w:hideMark/>
          </w:tcPr>
          <w:p w:rsidR="00F10944" w:rsidRPr="003C0194" w:rsidP="005E67DC" w14:paraId="7D12D86B"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At 60% Completion</w:t>
            </w:r>
          </w:p>
        </w:tc>
        <w:tc>
          <w:tcPr>
            <w:tcW w:w="1246" w:type="pct"/>
            <w:gridSpan w:val="3"/>
            <w:tcBorders>
              <w:top w:val="single" w:sz="8" w:space="0" w:color="auto"/>
              <w:left w:val="nil"/>
              <w:right w:val="single" w:sz="8" w:space="0" w:color="000000"/>
            </w:tcBorders>
            <w:shd w:val="clear" w:color="000000" w:fill="FFFFFF"/>
            <w:vAlign w:val="center"/>
            <w:hideMark/>
          </w:tcPr>
          <w:p w:rsidR="00F10944" w:rsidRPr="003C0194" w:rsidP="005E67DC" w14:paraId="57056B7E"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At Start of Final Push</w:t>
            </w:r>
          </w:p>
        </w:tc>
        <w:tc>
          <w:tcPr>
            <w:tcW w:w="1404" w:type="pct"/>
            <w:gridSpan w:val="3"/>
            <w:tcBorders>
              <w:top w:val="single" w:sz="4" w:space="0" w:color="auto"/>
              <w:left w:val="single" w:sz="4" w:space="0" w:color="auto"/>
              <w:bottom w:val="nil"/>
              <w:right w:val="single" w:sz="4" w:space="0" w:color="auto"/>
            </w:tcBorders>
            <w:shd w:val="clear" w:color="000000" w:fill="FFFFFF"/>
            <w:vAlign w:val="center"/>
            <w:hideMark/>
          </w:tcPr>
          <w:p w:rsidR="00F10944" w:rsidRPr="003C0194" w:rsidP="005E67DC" w14:paraId="05F9ACE6"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Cumulative at End of Round</w:t>
            </w:r>
          </w:p>
        </w:tc>
      </w:tr>
      <w:tr w14:paraId="040447F6" w14:textId="77777777" w:rsidTr="005E67DC">
        <w:tblPrEx>
          <w:tblW w:w="5061" w:type="pct"/>
          <w:jc w:val="center"/>
          <w:tblLayout w:type="fixed"/>
          <w:tblCellMar>
            <w:left w:w="58" w:type="dxa"/>
            <w:right w:w="58" w:type="dxa"/>
          </w:tblCellMar>
          <w:tblLook w:val="04A0"/>
        </w:tblPrEx>
        <w:trPr>
          <w:trHeight w:val="648"/>
          <w:jc w:val="center"/>
        </w:trPr>
        <w:tc>
          <w:tcPr>
            <w:tcW w:w="1032" w:type="pct"/>
            <w:vMerge/>
            <w:tcBorders>
              <w:top w:val="single" w:sz="8" w:space="0" w:color="auto"/>
              <w:left w:val="single" w:sz="8" w:space="0" w:color="auto"/>
              <w:bottom w:val="single" w:sz="4" w:space="0" w:color="auto"/>
              <w:right w:val="single" w:sz="8" w:space="0" w:color="auto"/>
            </w:tcBorders>
            <w:vAlign w:val="center"/>
            <w:hideMark/>
          </w:tcPr>
          <w:p w:rsidR="00F10944" w:rsidRPr="003C0194" w:rsidP="005E67DC" w14:paraId="5534C877" w14:textId="77777777">
            <w:pPr>
              <w:widowControl/>
              <w:autoSpaceDE/>
              <w:autoSpaceDN/>
              <w:adjustRightInd/>
              <w:rPr>
                <w:rFonts w:ascii="Times New Roman" w:hAnsi="Times New Roman"/>
                <w:i/>
                <w:iCs/>
                <w:color w:val="000000"/>
                <w:sz w:val="20"/>
                <w:szCs w:val="20"/>
              </w:rPr>
            </w:pPr>
          </w:p>
        </w:tc>
        <w:tc>
          <w:tcPr>
            <w:tcW w:w="299" w:type="pct"/>
            <w:tcBorders>
              <w:top w:val="nil"/>
              <w:left w:val="nil"/>
              <w:bottom w:val="single" w:sz="4" w:space="0" w:color="auto"/>
              <w:right w:val="nil"/>
            </w:tcBorders>
            <w:shd w:val="clear" w:color="000000" w:fill="FFFFFF"/>
            <w:vAlign w:val="center"/>
            <w:hideMark/>
          </w:tcPr>
          <w:p w:rsidR="00F10944" w:rsidRPr="003C0194" w:rsidP="005E67DC" w14:paraId="64FB5A24"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537" w:type="pct"/>
            <w:tcBorders>
              <w:top w:val="nil"/>
              <w:left w:val="nil"/>
              <w:bottom w:val="single" w:sz="4" w:space="0" w:color="auto"/>
              <w:right w:val="nil"/>
            </w:tcBorders>
            <w:shd w:val="clear" w:color="000000" w:fill="FFFFFF"/>
            <w:vAlign w:val="center"/>
            <w:hideMark/>
          </w:tcPr>
          <w:p w:rsidR="00F10944" w:rsidRPr="003C0194" w:rsidP="005E67DC" w14:paraId="19BDF9E9"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482" w:type="pct"/>
            <w:tcBorders>
              <w:top w:val="nil"/>
              <w:left w:val="nil"/>
              <w:bottom w:val="single" w:sz="4" w:space="0" w:color="auto"/>
              <w:right w:val="single" w:sz="8" w:space="0" w:color="auto"/>
            </w:tcBorders>
            <w:shd w:val="clear" w:color="000000" w:fill="FFFFFF"/>
            <w:vAlign w:val="center"/>
            <w:hideMark/>
          </w:tcPr>
          <w:p w:rsidR="00F10944" w:rsidRPr="003C0194" w:rsidP="005E67DC" w14:paraId="28292987"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c>
          <w:tcPr>
            <w:tcW w:w="308" w:type="pct"/>
            <w:tcBorders>
              <w:top w:val="nil"/>
              <w:left w:val="nil"/>
              <w:bottom w:val="single" w:sz="4" w:space="0" w:color="auto"/>
              <w:right w:val="nil"/>
            </w:tcBorders>
            <w:shd w:val="clear" w:color="000000" w:fill="FFFFFF"/>
            <w:vAlign w:val="center"/>
            <w:hideMark/>
          </w:tcPr>
          <w:p w:rsidR="00F10944" w:rsidRPr="003C0194" w:rsidP="005E67DC" w14:paraId="4E2AD744"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456" w:type="pct"/>
            <w:tcBorders>
              <w:top w:val="nil"/>
              <w:left w:val="nil"/>
              <w:bottom w:val="single" w:sz="4" w:space="0" w:color="auto"/>
              <w:right w:val="nil"/>
            </w:tcBorders>
            <w:shd w:val="clear" w:color="000000" w:fill="FFFFFF"/>
            <w:vAlign w:val="center"/>
            <w:hideMark/>
          </w:tcPr>
          <w:p w:rsidR="00F10944" w:rsidRPr="003C0194" w:rsidP="005E67DC" w14:paraId="5C912085" w14:textId="77777777">
            <w:pPr>
              <w:widowControl/>
              <w:autoSpaceDE/>
              <w:autoSpaceDN/>
              <w:adjustRightInd/>
              <w:ind w:right="-96"/>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482" w:type="pct"/>
            <w:tcBorders>
              <w:top w:val="nil"/>
              <w:left w:val="nil"/>
              <w:bottom w:val="single" w:sz="4" w:space="0" w:color="auto"/>
              <w:right w:val="single" w:sz="8" w:space="0" w:color="auto"/>
            </w:tcBorders>
            <w:shd w:val="clear" w:color="000000" w:fill="FFFFFF"/>
            <w:vAlign w:val="center"/>
            <w:hideMark/>
          </w:tcPr>
          <w:p w:rsidR="00F10944" w:rsidRPr="003C0194" w:rsidP="005E67DC" w14:paraId="46997FD5"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c>
          <w:tcPr>
            <w:tcW w:w="348" w:type="pct"/>
            <w:tcBorders>
              <w:top w:val="nil"/>
              <w:left w:val="single" w:sz="4" w:space="0" w:color="auto"/>
              <w:bottom w:val="single" w:sz="4" w:space="0" w:color="auto"/>
              <w:right w:val="nil"/>
            </w:tcBorders>
            <w:shd w:val="clear" w:color="000000" w:fill="FFFFFF"/>
            <w:vAlign w:val="center"/>
            <w:hideMark/>
          </w:tcPr>
          <w:p w:rsidR="00F10944" w:rsidRPr="003C0194" w:rsidP="005E67DC" w14:paraId="09C9EF57"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475" w:type="pct"/>
            <w:tcBorders>
              <w:top w:val="nil"/>
              <w:left w:val="nil"/>
              <w:bottom w:val="single" w:sz="4" w:space="0" w:color="auto"/>
              <w:right w:val="nil"/>
            </w:tcBorders>
            <w:shd w:val="clear" w:color="000000" w:fill="FFFFFF"/>
            <w:vAlign w:val="center"/>
            <w:hideMark/>
          </w:tcPr>
          <w:p w:rsidR="00F10944" w:rsidRPr="003C0194" w:rsidP="005E67DC" w14:paraId="22EF91BB" w14:textId="77777777">
            <w:pPr>
              <w:widowControl/>
              <w:autoSpaceDE/>
              <w:autoSpaceDN/>
              <w:adjustRightInd/>
              <w:ind w:right="-162"/>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581" w:type="pct"/>
            <w:tcBorders>
              <w:top w:val="nil"/>
              <w:left w:val="nil"/>
              <w:bottom w:val="single" w:sz="4" w:space="0" w:color="auto"/>
              <w:right w:val="single" w:sz="4" w:space="0" w:color="auto"/>
            </w:tcBorders>
            <w:shd w:val="clear" w:color="000000" w:fill="FFFFFF"/>
            <w:vAlign w:val="center"/>
            <w:hideMark/>
          </w:tcPr>
          <w:p w:rsidR="00F10944" w:rsidRPr="003C0194" w:rsidP="005E67DC" w14:paraId="5BB68474"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r>
      <w:tr w14:paraId="1AC23087" w14:textId="77777777" w:rsidTr="005E67DC">
        <w:tblPrEx>
          <w:tblW w:w="5061" w:type="pct"/>
          <w:jc w:val="center"/>
          <w:tblLayout w:type="fixed"/>
          <w:tblCellMar>
            <w:left w:w="58" w:type="dxa"/>
            <w:right w:w="58" w:type="dxa"/>
          </w:tblCellMar>
          <w:tblLook w:val="04A0"/>
        </w:tblPrEx>
        <w:trPr>
          <w:trHeight w:val="529"/>
          <w:jc w:val="center"/>
        </w:trPr>
        <w:tc>
          <w:tcPr>
            <w:tcW w:w="1032" w:type="pct"/>
            <w:tcBorders>
              <w:top w:val="single" w:sz="4" w:space="0" w:color="auto"/>
              <w:left w:val="single" w:sz="8" w:space="0" w:color="auto"/>
              <w:bottom w:val="nil"/>
              <w:right w:val="single" w:sz="8" w:space="0" w:color="auto"/>
            </w:tcBorders>
            <w:shd w:val="clear" w:color="000000" w:fill="FFFFFF"/>
            <w:vAlign w:val="center"/>
            <w:hideMark/>
          </w:tcPr>
          <w:p w:rsidR="00F10944" w:rsidRPr="003C0194" w:rsidP="005E67DC" w14:paraId="33495879"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Not Eligible for Enhanced Final Push</w:t>
            </w:r>
          </w:p>
        </w:tc>
        <w:tc>
          <w:tcPr>
            <w:tcW w:w="299" w:type="pct"/>
            <w:tcBorders>
              <w:top w:val="single" w:sz="4" w:space="0" w:color="auto"/>
              <w:left w:val="nil"/>
              <w:bottom w:val="nil"/>
              <w:right w:val="nil"/>
            </w:tcBorders>
            <w:shd w:val="clear" w:color="000000" w:fill="FFFFFF"/>
            <w:vAlign w:val="center"/>
            <w:hideMark/>
          </w:tcPr>
          <w:p w:rsidR="00F10944" w:rsidRPr="003C0194" w:rsidP="005E67DC" w14:paraId="1FD3E4F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5,585</w:t>
            </w:r>
          </w:p>
        </w:tc>
        <w:tc>
          <w:tcPr>
            <w:tcW w:w="537" w:type="pct"/>
            <w:tcBorders>
              <w:top w:val="single" w:sz="4" w:space="0" w:color="auto"/>
              <w:left w:val="nil"/>
              <w:bottom w:val="nil"/>
              <w:right w:val="nil"/>
            </w:tcBorders>
            <w:shd w:val="clear" w:color="000000" w:fill="FFFFFF"/>
            <w:vAlign w:val="center"/>
            <w:hideMark/>
          </w:tcPr>
          <w:p w:rsidR="00F10944" w:rsidRPr="003C0194" w:rsidP="005E67DC" w14:paraId="1F03846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3,889 </w:t>
            </w:r>
          </w:p>
        </w:tc>
        <w:tc>
          <w:tcPr>
            <w:tcW w:w="482" w:type="pct"/>
            <w:tcBorders>
              <w:top w:val="single" w:sz="4" w:space="0" w:color="auto"/>
              <w:left w:val="nil"/>
              <w:bottom w:val="nil"/>
              <w:right w:val="single" w:sz="8" w:space="0" w:color="auto"/>
            </w:tcBorders>
            <w:shd w:val="clear" w:color="000000" w:fill="FFFFFF"/>
            <w:vAlign w:val="center"/>
            <w:hideMark/>
          </w:tcPr>
          <w:p w:rsidR="00F10944" w:rsidRPr="003C0194" w:rsidP="005E67DC" w14:paraId="64FAADB1" w14:textId="77777777">
            <w:pPr>
              <w:widowControl/>
              <w:autoSpaceDE/>
              <w:autoSpaceDN/>
              <w:adjustRightInd/>
              <w:jc w:val="center"/>
              <w:rPr>
                <w:rFonts w:ascii="Times New Roman" w:hAnsi="Times New Roman"/>
                <w:color w:val="000000"/>
                <w:sz w:val="20"/>
                <w:szCs w:val="20"/>
              </w:rPr>
            </w:pPr>
            <w:r w:rsidRPr="00FB726E">
              <w:rPr>
                <w:rFonts w:ascii="Times New Roman" w:hAnsi="Times New Roman"/>
                <w:color w:val="000000"/>
                <w:sz w:val="20"/>
                <w:szCs w:val="20"/>
              </w:rPr>
              <w:t>69.6%</w:t>
            </w:r>
          </w:p>
        </w:tc>
        <w:tc>
          <w:tcPr>
            <w:tcW w:w="308" w:type="pct"/>
            <w:tcBorders>
              <w:top w:val="single" w:sz="4" w:space="0" w:color="auto"/>
              <w:left w:val="nil"/>
              <w:bottom w:val="nil"/>
              <w:right w:val="nil"/>
            </w:tcBorders>
            <w:shd w:val="clear" w:color="000000" w:fill="FFFFFF"/>
            <w:vAlign w:val="center"/>
            <w:hideMark/>
          </w:tcPr>
          <w:p w:rsidR="00F10944" w:rsidRPr="003C0194" w:rsidP="005E67DC" w14:paraId="7FE6566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5,585</w:t>
            </w:r>
          </w:p>
        </w:tc>
        <w:tc>
          <w:tcPr>
            <w:tcW w:w="456" w:type="pct"/>
            <w:tcBorders>
              <w:top w:val="single" w:sz="4" w:space="0" w:color="auto"/>
              <w:left w:val="nil"/>
              <w:bottom w:val="nil"/>
              <w:right w:val="nil"/>
            </w:tcBorders>
            <w:shd w:val="clear" w:color="000000" w:fill="FFFFFF"/>
            <w:hideMark/>
          </w:tcPr>
          <w:p w:rsidR="00F10944" w:rsidRPr="003C0194" w:rsidP="005E67DC" w14:paraId="428ED92F" w14:textId="77777777">
            <w:pPr>
              <w:widowControl/>
              <w:autoSpaceDE/>
              <w:autoSpaceDN/>
              <w:adjustRightInd/>
              <w:jc w:val="center"/>
              <w:rPr>
                <w:rFonts w:ascii="Times New Roman" w:hAnsi="Times New Roman"/>
                <w:color w:val="000000"/>
                <w:sz w:val="20"/>
                <w:szCs w:val="20"/>
              </w:rPr>
            </w:pPr>
            <w:r w:rsidRPr="005E67DC">
              <w:rPr>
                <w:rFonts w:ascii="Times New Roman" w:hAnsi="Times New Roman"/>
                <w:sz w:val="20"/>
                <w:szCs w:val="20"/>
              </w:rPr>
              <w:t>4,104</w:t>
            </w:r>
            <w:r>
              <w:rPr>
                <w:rFonts w:ascii="Times New Roman" w:hAnsi="Times New Roman"/>
                <w:color w:val="000000"/>
                <w:sz w:val="20"/>
                <w:szCs w:val="20"/>
              </w:rPr>
              <w:t xml:space="preserve"> </w:t>
            </w:r>
          </w:p>
        </w:tc>
        <w:tc>
          <w:tcPr>
            <w:tcW w:w="482" w:type="pct"/>
            <w:tcBorders>
              <w:top w:val="single" w:sz="4" w:space="0" w:color="auto"/>
              <w:left w:val="nil"/>
              <w:bottom w:val="nil"/>
              <w:right w:val="single" w:sz="8" w:space="0" w:color="auto"/>
            </w:tcBorders>
            <w:shd w:val="clear" w:color="000000" w:fill="FFFFFF"/>
            <w:hideMark/>
          </w:tcPr>
          <w:p w:rsidR="00F10944" w:rsidRPr="00FB726E" w:rsidP="005E67DC" w14:paraId="7D2EB976" w14:textId="77777777">
            <w:pPr>
              <w:widowControl/>
              <w:autoSpaceDE/>
              <w:autoSpaceDN/>
              <w:adjustRightInd/>
              <w:jc w:val="center"/>
              <w:rPr>
                <w:rFonts w:ascii="Times New Roman" w:hAnsi="Times New Roman"/>
                <w:color w:val="000000"/>
                <w:sz w:val="20"/>
                <w:szCs w:val="20"/>
              </w:rPr>
            </w:pPr>
            <w:r w:rsidRPr="005E67DC">
              <w:rPr>
                <w:rFonts w:ascii="Times New Roman" w:hAnsi="Times New Roman"/>
                <w:sz w:val="20"/>
                <w:szCs w:val="20"/>
              </w:rPr>
              <w:t>73.4%</w:t>
            </w:r>
            <w:r>
              <w:rPr>
                <w:rFonts w:ascii="Times New Roman" w:hAnsi="Times New Roman"/>
                <w:sz w:val="20"/>
                <w:szCs w:val="20"/>
              </w:rPr>
              <w:t xml:space="preserve"> </w:t>
            </w:r>
          </w:p>
        </w:tc>
        <w:tc>
          <w:tcPr>
            <w:tcW w:w="348" w:type="pct"/>
            <w:tcBorders>
              <w:top w:val="single" w:sz="4" w:space="0" w:color="auto"/>
              <w:left w:val="single" w:sz="4" w:space="0" w:color="auto"/>
              <w:bottom w:val="nil"/>
              <w:right w:val="nil"/>
            </w:tcBorders>
            <w:shd w:val="clear" w:color="auto" w:fill="auto"/>
            <w:noWrap/>
            <w:vAlign w:val="center"/>
            <w:hideMark/>
          </w:tcPr>
          <w:p w:rsidR="00F10944" w:rsidRPr="003C0194" w:rsidP="005E67DC" w14:paraId="048DD876" w14:textId="77777777">
            <w:pPr>
              <w:widowControl/>
              <w:autoSpaceDE/>
              <w:autoSpaceDN/>
              <w:adjustRightInd/>
              <w:spacing w:line="276" w:lineRule="auto"/>
              <w:jc w:val="center"/>
              <w:rPr>
                <w:rFonts w:ascii="Times New Roman" w:hAnsi="Times New Roman"/>
                <w:color w:val="000000"/>
                <w:sz w:val="20"/>
                <w:szCs w:val="20"/>
              </w:rPr>
            </w:pPr>
            <w:r>
              <w:rPr>
                <w:rFonts w:ascii="Times New Roman" w:hAnsi="Times New Roman"/>
                <w:color w:val="000000"/>
                <w:sz w:val="20"/>
                <w:szCs w:val="20"/>
              </w:rPr>
              <w:t xml:space="preserve">5,585 </w:t>
            </w:r>
          </w:p>
        </w:tc>
        <w:tc>
          <w:tcPr>
            <w:tcW w:w="475" w:type="pct"/>
            <w:tcBorders>
              <w:top w:val="single" w:sz="4" w:space="0" w:color="auto"/>
              <w:left w:val="nil"/>
              <w:bottom w:val="nil"/>
              <w:right w:val="nil"/>
            </w:tcBorders>
            <w:shd w:val="clear" w:color="auto" w:fill="auto"/>
            <w:noWrap/>
            <w:hideMark/>
          </w:tcPr>
          <w:p w:rsidR="00F10944" w:rsidRPr="00FB726E" w:rsidP="005E67DC" w14:paraId="50B5CC41" w14:textId="77777777">
            <w:pPr>
              <w:widowControl/>
              <w:autoSpaceDE/>
              <w:autoSpaceDN/>
              <w:adjustRightInd/>
              <w:spacing w:line="276" w:lineRule="auto"/>
              <w:jc w:val="center"/>
              <w:rPr>
                <w:rFonts w:ascii="Times New Roman" w:hAnsi="Times New Roman"/>
                <w:color w:val="000000"/>
                <w:sz w:val="20"/>
                <w:szCs w:val="20"/>
              </w:rPr>
            </w:pPr>
            <w:r w:rsidRPr="005E67DC">
              <w:rPr>
                <w:rFonts w:ascii="Times New Roman" w:hAnsi="Times New Roman"/>
                <w:sz w:val="20"/>
                <w:szCs w:val="20"/>
              </w:rPr>
              <w:t>4,676</w:t>
            </w:r>
            <w:r>
              <w:rPr>
                <w:rFonts w:ascii="Times New Roman" w:hAnsi="Times New Roman"/>
                <w:sz w:val="20"/>
                <w:szCs w:val="20"/>
              </w:rPr>
              <w:t xml:space="preserve"> </w:t>
            </w:r>
          </w:p>
        </w:tc>
        <w:tc>
          <w:tcPr>
            <w:tcW w:w="581" w:type="pct"/>
            <w:tcBorders>
              <w:top w:val="single" w:sz="4" w:space="0" w:color="auto"/>
              <w:left w:val="nil"/>
              <w:bottom w:val="nil"/>
              <w:right w:val="single" w:sz="4" w:space="0" w:color="auto"/>
            </w:tcBorders>
            <w:shd w:val="clear" w:color="auto" w:fill="auto"/>
            <w:noWrap/>
            <w:hideMark/>
          </w:tcPr>
          <w:p w:rsidR="00F10944" w:rsidRPr="00FB726E" w:rsidP="005E67DC" w14:paraId="6969CBF4" w14:textId="77777777">
            <w:pPr>
              <w:widowControl/>
              <w:autoSpaceDE/>
              <w:autoSpaceDN/>
              <w:adjustRightInd/>
              <w:spacing w:line="276" w:lineRule="auto"/>
              <w:jc w:val="center"/>
              <w:rPr>
                <w:rFonts w:ascii="Times New Roman" w:hAnsi="Times New Roman"/>
                <w:color w:val="000000"/>
                <w:sz w:val="20"/>
                <w:szCs w:val="20"/>
              </w:rPr>
            </w:pPr>
            <w:r w:rsidRPr="005E67DC">
              <w:rPr>
                <w:rFonts w:ascii="Times New Roman" w:hAnsi="Times New Roman"/>
                <w:sz w:val="20"/>
                <w:szCs w:val="20"/>
              </w:rPr>
              <w:t>83.7%</w:t>
            </w:r>
            <w:r>
              <w:rPr>
                <w:rFonts w:ascii="Times New Roman" w:hAnsi="Times New Roman"/>
                <w:sz w:val="20"/>
                <w:szCs w:val="20"/>
              </w:rPr>
              <w:t xml:space="preserve"> </w:t>
            </w:r>
          </w:p>
        </w:tc>
      </w:tr>
      <w:tr w14:paraId="052F08D9" w14:textId="77777777" w:rsidTr="005E67DC">
        <w:tblPrEx>
          <w:tblW w:w="5061" w:type="pct"/>
          <w:jc w:val="center"/>
          <w:tblLayout w:type="fixed"/>
          <w:tblCellMar>
            <w:left w:w="58" w:type="dxa"/>
            <w:right w:w="58" w:type="dxa"/>
          </w:tblCellMar>
          <w:tblLook w:val="04A0"/>
        </w:tblPrEx>
        <w:trPr>
          <w:trHeight w:val="529"/>
          <w:jc w:val="center"/>
        </w:trPr>
        <w:tc>
          <w:tcPr>
            <w:tcW w:w="1032" w:type="pct"/>
            <w:tcBorders>
              <w:top w:val="nil"/>
              <w:left w:val="single" w:sz="8" w:space="0" w:color="auto"/>
              <w:bottom w:val="single" w:sz="4" w:space="0" w:color="auto"/>
              <w:right w:val="single" w:sz="8" w:space="0" w:color="auto"/>
            </w:tcBorders>
            <w:shd w:val="clear" w:color="000000" w:fill="FFFFFF"/>
            <w:vAlign w:val="center"/>
            <w:hideMark/>
          </w:tcPr>
          <w:p w:rsidR="00F10944" w:rsidRPr="003C0194" w:rsidP="005E67DC" w14:paraId="26CC5933"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Eligible for Enhanced Final Push</w:t>
            </w:r>
          </w:p>
        </w:tc>
        <w:tc>
          <w:tcPr>
            <w:tcW w:w="299" w:type="pct"/>
            <w:tcBorders>
              <w:top w:val="nil"/>
              <w:left w:val="nil"/>
              <w:bottom w:val="single" w:sz="4" w:space="0" w:color="auto"/>
              <w:right w:val="nil"/>
            </w:tcBorders>
            <w:shd w:val="clear" w:color="000000" w:fill="FFFFFF"/>
            <w:vAlign w:val="center"/>
            <w:hideMark/>
          </w:tcPr>
          <w:p w:rsidR="00F10944" w:rsidRPr="003C0194" w:rsidP="005E67DC" w14:paraId="0886CF2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2,975</w:t>
            </w:r>
          </w:p>
        </w:tc>
        <w:tc>
          <w:tcPr>
            <w:tcW w:w="537" w:type="pct"/>
            <w:tcBorders>
              <w:top w:val="nil"/>
              <w:left w:val="nil"/>
              <w:bottom w:val="single" w:sz="4" w:space="0" w:color="auto"/>
              <w:right w:val="nil"/>
            </w:tcBorders>
            <w:shd w:val="clear" w:color="000000" w:fill="FFFFFF"/>
            <w:vAlign w:val="center"/>
            <w:hideMark/>
          </w:tcPr>
          <w:p w:rsidR="00F10944" w:rsidRPr="003C0194" w:rsidP="005E67DC" w14:paraId="36C6961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1,338 </w:t>
            </w:r>
          </w:p>
        </w:tc>
        <w:tc>
          <w:tcPr>
            <w:tcW w:w="482" w:type="pct"/>
            <w:tcBorders>
              <w:top w:val="nil"/>
              <w:left w:val="nil"/>
              <w:bottom w:val="single" w:sz="4" w:space="0" w:color="auto"/>
              <w:right w:val="single" w:sz="8" w:space="0" w:color="auto"/>
            </w:tcBorders>
            <w:shd w:val="clear" w:color="000000" w:fill="FFFFFF"/>
            <w:vAlign w:val="center"/>
            <w:hideMark/>
          </w:tcPr>
          <w:p w:rsidR="00F10944" w:rsidRPr="003C0194" w:rsidP="005E67DC" w14:paraId="7B77BDCC" w14:textId="77777777">
            <w:pPr>
              <w:widowControl/>
              <w:autoSpaceDE/>
              <w:autoSpaceDN/>
              <w:adjustRightInd/>
              <w:jc w:val="center"/>
              <w:rPr>
                <w:rFonts w:ascii="Times New Roman" w:hAnsi="Times New Roman"/>
                <w:color w:val="000000"/>
                <w:sz w:val="20"/>
                <w:szCs w:val="20"/>
              </w:rPr>
            </w:pPr>
            <w:r w:rsidRPr="00FB726E">
              <w:rPr>
                <w:rFonts w:ascii="Times New Roman" w:hAnsi="Times New Roman"/>
                <w:color w:val="000000"/>
                <w:sz w:val="20"/>
                <w:szCs w:val="20"/>
              </w:rPr>
              <w:t>45.0%</w:t>
            </w:r>
          </w:p>
        </w:tc>
        <w:tc>
          <w:tcPr>
            <w:tcW w:w="308" w:type="pct"/>
            <w:tcBorders>
              <w:top w:val="nil"/>
              <w:left w:val="nil"/>
              <w:bottom w:val="single" w:sz="4" w:space="0" w:color="auto"/>
              <w:right w:val="nil"/>
            </w:tcBorders>
            <w:shd w:val="clear" w:color="000000" w:fill="FFFFFF"/>
            <w:vAlign w:val="center"/>
            <w:hideMark/>
          </w:tcPr>
          <w:p w:rsidR="00F10944" w:rsidRPr="003C0194" w:rsidP="005E67DC" w14:paraId="3BB9411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2,975</w:t>
            </w:r>
          </w:p>
        </w:tc>
        <w:tc>
          <w:tcPr>
            <w:tcW w:w="456" w:type="pct"/>
            <w:tcBorders>
              <w:top w:val="nil"/>
              <w:left w:val="nil"/>
              <w:bottom w:val="single" w:sz="4" w:space="0" w:color="auto"/>
              <w:right w:val="nil"/>
            </w:tcBorders>
            <w:shd w:val="clear" w:color="000000" w:fill="FFFFFF"/>
            <w:hideMark/>
          </w:tcPr>
          <w:p w:rsidR="00F10944" w:rsidRPr="003C0194" w:rsidP="005E67DC" w14:paraId="4D0293C7" w14:textId="77777777">
            <w:pPr>
              <w:widowControl/>
              <w:autoSpaceDE/>
              <w:autoSpaceDN/>
              <w:adjustRightInd/>
              <w:jc w:val="center"/>
              <w:rPr>
                <w:rFonts w:ascii="Times New Roman" w:hAnsi="Times New Roman"/>
                <w:color w:val="000000"/>
                <w:sz w:val="20"/>
                <w:szCs w:val="20"/>
              </w:rPr>
            </w:pPr>
            <w:r w:rsidRPr="005E67DC">
              <w:rPr>
                <w:rFonts w:ascii="Times New Roman" w:hAnsi="Times New Roman"/>
                <w:sz w:val="20"/>
                <w:szCs w:val="20"/>
              </w:rPr>
              <w:t>1,440</w:t>
            </w:r>
            <w:r>
              <w:rPr>
                <w:rFonts w:ascii="Times New Roman" w:hAnsi="Times New Roman"/>
                <w:sz w:val="20"/>
                <w:szCs w:val="20"/>
              </w:rPr>
              <w:t xml:space="preserve"> </w:t>
            </w:r>
          </w:p>
        </w:tc>
        <w:tc>
          <w:tcPr>
            <w:tcW w:w="482" w:type="pct"/>
            <w:tcBorders>
              <w:top w:val="nil"/>
              <w:left w:val="nil"/>
              <w:bottom w:val="single" w:sz="4" w:space="0" w:color="auto"/>
              <w:right w:val="single" w:sz="8" w:space="0" w:color="auto"/>
            </w:tcBorders>
            <w:shd w:val="clear" w:color="000000" w:fill="FFFFFF"/>
            <w:hideMark/>
          </w:tcPr>
          <w:p w:rsidR="00F10944" w:rsidRPr="00FB726E" w:rsidP="005E67DC" w14:paraId="76EC0844" w14:textId="77777777">
            <w:pPr>
              <w:widowControl/>
              <w:autoSpaceDE/>
              <w:autoSpaceDN/>
              <w:adjustRightInd/>
              <w:jc w:val="center"/>
              <w:rPr>
                <w:rFonts w:ascii="Times New Roman" w:hAnsi="Times New Roman"/>
                <w:color w:val="000000"/>
                <w:sz w:val="20"/>
                <w:szCs w:val="20"/>
              </w:rPr>
            </w:pPr>
            <w:r w:rsidRPr="005E67DC">
              <w:rPr>
                <w:rFonts w:ascii="Times New Roman" w:hAnsi="Times New Roman"/>
                <w:sz w:val="20"/>
                <w:szCs w:val="20"/>
              </w:rPr>
              <w:t>48.4%</w:t>
            </w:r>
            <w:r>
              <w:rPr>
                <w:rFonts w:ascii="Times New Roman" w:hAnsi="Times New Roman"/>
                <w:sz w:val="20"/>
                <w:szCs w:val="20"/>
              </w:rPr>
              <w:t xml:space="preserve"> </w:t>
            </w:r>
          </w:p>
        </w:tc>
        <w:tc>
          <w:tcPr>
            <w:tcW w:w="348" w:type="pct"/>
            <w:tcBorders>
              <w:top w:val="nil"/>
              <w:left w:val="single" w:sz="4" w:space="0" w:color="auto"/>
              <w:bottom w:val="single" w:sz="4" w:space="0" w:color="auto"/>
              <w:right w:val="nil"/>
            </w:tcBorders>
            <w:shd w:val="clear" w:color="auto" w:fill="auto"/>
            <w:noWrap/>
            <w:vAlign w:val="center"/>
            <w:hideMark/>
          </w:tcPr>
          <w:p w:rsidR="00F10944" w:rsidRPr="003C0194" w:rsidP="005E67DC" w14:paraId="580603C6" w14:textId="77777777">
            <w:pPr>
              <w:widowControl/>
              <w:autoSpaceDE/>
              <w:autoSpaceDN/>
              <w:adjustRightInd/>
              <w:spacing w:line="276" w:lineRule="auto"/>
              <w:jc w:val="center"/>
              <w:rPr>
                <w:rFonts w:ascii="Times New Roman" w:hAnsi="Times New Roman"/>
                <w:color w:val="000000"/>
                <w:sz w:val="20"/>
                <w:szCs w:val="20"/>
              </w:rPr>
            </w:pPr>
            <w:r>
              <w:rPr>
                <w:rFonts w:ascii="Times New Roman" w:hAnsi="Times New Roman"/>
                <w:color w:val="000000"/>
                <w:sz w:val="20"/>
                <w:szCs w:val="20"/>
              </w:rPr>
              <w:t xml:space="preserve">2,975 </w:t>
            </w:r>
          </w:p>
        </w:tc>
        <w:tc>
          <w:tcPr>
            <w:tcW w:w="475" w:type="pct"/>
            <w:tcBorders>
              <w:top w:val="nil"/>
              <w:left w:val="nil"/>
              <w:bottom w:val="single" w:sz="4" w:space="0" w:color="auto"/>
              <w:right w:val="nil"/>
            </w:tcBorders>
            <w:shd w:val="clear" w:color="auto" w:fill="auto"/>
            <w:noWrap/>
            <w:hideMark/>
          </w:tcPr>
          <w:p w:rsidR="00F10944" w:rsidRPr="00FB726E" w:rsidP="005E67DC" w14:paraId="79CBB27F" w14:textId="77777777">
            <w:pPr>
              <w:widowControl/>
              <w:autoSpaceDE/>
              <w:autoSpaceDN/>
              <w:adjustRightInd/>
              <w:spacing w:line="276" w:lineRule="auto"/>
              <w:jc w:val="center"/>
              <w:rPr>
                <w:rFonts w:ascii="Times New Roman" w:hAnsi="Times New Roman"/>
                <w:color w:val="000000"/>
                <w:sz w:val="20"/>
                <w:szCs w:val="20"/>
              </w:rPr>
            </w:pPr>
            <w:r w:rsidRPr="005E67DC">
              <w:rPr>
                <w:rFonts w:ascii="Times New Roman" w:hAnsi="Times New Roman"/>
                <w:sz w:val="20"/>
                <w:szCs w:val="20"/>
              </w:rPr>
              <w:t>1,737</w:t>
            </w:r>
            <w:r>
              <w:rPr>
                <w:rFonts w:ascii="Times New Roman" w:hAnsi="Times New Roman"/>
                <w:sz w:val="20"/>
                <w:szCs w:val="20"/>
              </w:rPr>
              <w:t xml:space="preserve"> </w:t>
            </w:r>
          </w:p>
        </w:tc>
        <w:tc>
          <w:tcPr>
            <w:tcW w:w="581" w:type="pct"/>
            <w:tcBorders>
              <w:top w:val="nil"/>
              <w:left w:val="nil"/>
              <w:bottom w:val="single" w:sz="4" w:space="0" w:color="auto"/>
              <w:right w:val="single" w:sz="4" w:space="0" w:color="auto"/>
            </w:tcBorders>
            <w:shd w:val="clear" w:color="auto" w:fill="auto"/>
            <w:noWrap/>
            <w:hideMark/>
          </w:tcPr>
          <w:p w:rsidR="00F10944" w:rsidRPr="00FB726E" w:rsidP="005E67DC" w14:paraId="168B9DBD" w14:textId="77777777">
            <w:pPr>
              <w:widowControl/>
              <w:autoSpaceDE/>
              <w:autoSpaceDN/>
              <w:adjustRightInd/>
              <w:spacing w:line="276" w:lineRule="auto"/>
              <w:jc w:val="center"/>
              <w:rPr>
                <w:rFonts w:ascii="Times New Roman" w:hAnsi="Times New Roman"/>
                <w:color w:val="000000"/>
                <w:sz w:val="20"/>
                <w:szCs w:val="20"/>
              </w:rPr>
            </w:pPr>
            <w:r w:rsidRPr="005E67DC">
              <w:rPr>
                <w:rFonts w:ascii="Times New Roman" w:hAnsi="Times New Roman"/>
                <w:sz w:val="20"/>
                <w:szCs w:val="20"/>
              </w:rPr>
              <w:t>58.4%</w:t>
            </w:r>
            <w:r>
              <w:rPr>
                <w:rFonts w:ascii="Times New Roman" w:hAnsi="Times New Roman"/>
                <w:sz w:val="20"/>
                <w:szCs w:val="20"/>
              </w:rPr>
              <w:t xml:space="preserve"> </w:t>
            </w:r>
          </w:p>
        </w:tc>
      </w:tr>
    </w:tbl>
    <w:p w:rsidR="00F10944" w:rsidRPr="003C0194" w:rsidP="00F10944" w14:paraId="78730E3F" w14:textId="77777777">
      <w:pPr>
        <w:widowControl/>
        <w:autoSpaceDE/>
        <w:autoSpaceDN/>
        <w:adjustRightInd/>
        <w:rPr>
          <w:rFonts w:ascii="Times New Roman" w:eastAsia="Calibri" w:hAnsi="Times New Roman"/>
        </w:rPr>
      </w:pPr>
    </w:p>
    <w:p w:rsidR="00F10944" w:rsidRPr="003C0194" w:rsidP="00F10944" w14:paraId="70F68789" w14:textId="77777777">
      <w:pPr>
        <w:widowControl/>
        <w:rPr>
          <w:rFonts w:ascii="Times New Roman" w:eastAsia="Calibri" w:hAnsi="Times New Roman"/>
        </w:rPr>
      </w:pPr>
      <w:r w:rsidRPr="003C0194">
        <w:rPr>
          <w:rFonts w:ascii="Times New Roman" w:eastAsia="Calibri" w:hAnsi="Times New Roman"/>
        </w:rPr>
        <w:t xml:space="preserve">At the start of the final push, </w:t>
      </w:r>
      <w:r w:rsidRPr="0075257B">
        <w:rPr>
          <w:rFonts w:ascii="Times New Roman" w:eastAsia="Calibri" w:hAnsi="Times New Roman"/>
        </w:rPr>
        <w:t>48.4%</w:t>
      </w:r>
      <w:r>
        <w:rPr>
          <w:rFonts w:ascii="Times New Roman" w:eastAsia="Calibri" w:hAnsi="Times New Roman"/>
        </w:rPr>
        <w:t xml:space="preserve"> </w:t>
      </w:r>
      <w:r w:rsidRPr="003C0194">
        <w:rPr>
          <w:rFonts w:ascii="Times New Roman" w:eastAsia="Calibri" w:hAnsi="Times New Roman"/>
        </w:rPr>
        <w:t xml:space="preserve">of respondents in the group eligible for the enhanced final push had completed an interview, compared to </w:t>
      </w:r>
      <w:r w:rsidRPr="0075257B">
        <w:rPr>
          <w:rFonts w:ascii="Times New Roman" w:eastAsia="Calibri" w:hAnsi="Times New Roman"/>
        </w:rPr>
        <w:t>73.4%</w:t>
      </w:r>
      <w:r>
        <w:rPr>
          <w:rFonts w:ascii="Times New Roman" w:eastAsia="Calibri" w:hAnsi="Times New Roman"/>
        </w:rPr>
        <w:t xml:space="preserve"> </w:t>
      </w:r>
      <w:r w:rsidRPr="003C0194">
        <w:rPr>
          <w:rFonts w:ascii="Times New Roman" w:eastAsia="Calibri" w:hAnsi="Times New Roman"/>
        </w:rPr>
        <w:t xml:space="preserve">of other respondents. </w:t>
      </w:r>
      <w:r>
        <w:rPr>
          <w:rFonts w:ascii="Times New Roman" w:eastAsia="Calibri" w:hAnsi="Times New Roman"/>
        </w:rPr>
        <w:t xml:space="preserve"> </w:t>
      </w:r>
      <w:r w:rsidRPr="003C0194">
        <w:rPr>
          <w:rFonts w:ascii="Times New Roman" w:eastAsia="Calibri" w:hAnsi="Times New Roman"/>
        </w:rPr>
        <w:t>After the final push went into effect, the enhanced final push group completed at a higher rate (</w:t>
      </w:r>
      <w:r>
        <w:rPr>
          <w:rFonts w:ascii="Times New Roman" w:eastAsia="Calibri" w:hAnsi="Times New Roman"/>
        </w:rPr>
        <w:t>10</w:t>
      </w:r>
      <w:r w:rsidRPr="003C0194">
        <w:rPr>
          <w:rFonts w:ascii="Times New Roman" w:eastAsia="Calibri" w:hAnsi="Times New Roman"/>
        </w:rPr>
        <w:t xml:space="preserve"> percentage point improvement in the completion rate</w:t>
      </w:r>
      <w:r>
        <w:rPr>
          <w:rFonts w:ascii="Times New Roman" w:eastAsia="Calibri" w:hAnsi="Times New Roman"/>
        </w:rPr>
        <w:t xml:space="preserve"> and 21% increase</w:t>
      </w:r>
      <w:r w:rsidRPr="003C0194">
        <w:rPr>
          <w:rFonts w:ascii="Times New Roman" w:eastAsia="Calibri" w:hAnsi="Times New Roman"/>
        </w:rPr>
        <w:t>) compared to the other respondents (</w:t>
      </w:r>
      <w:r>
        <w:rPr>
          <w:rFonts w:ascii="Times New Roman" w:eastAsia="Calibri" w:hAnsi="Times New Roman"/>
        </w:rPr>
        <w:t>10.3</w:t>
      </w:r>
      <w:r w:rsidRPr="003C0194">
        <w:rPr>
          <w:rFonts w:ascii="Times New Roman" w:eastAsia="Calibri" w:hAnsi="Times New Roman"/>
        </w:rPr>
        <w:t xml:space="preserve"> percentage point increase</w:t>
      </w:r>
      <w:r>
        <w:rPr>
          <w:rFonts w:ascii="Times New Roman" w:eastAsia="Calibri" w:hAnsi="Times New Roman"/>
        </w:rPr>
        <w:t>, a 13% increase</w:t>
      </w:r>
      <w:r w:rsidRPr="003C0194">
        <w:rPr>
          <w:rFonts w:ascii="Times New Roman" w:eastAsia="Calibri" w:hAnsi="Times New Roman"/>
        </w:rPr>
        <w:t xml:space="preserve">), providing suggestive evidence that the enhanced final push was successful.  </w:t>
      </w:r>
      <w:r>
        <w:rPr>
          <w:rFonts w:ascii="Times New Roman" w:eastAsia="Calibri" w:hAnsi="Times New Roman"/>
        </w:rPr>
        <w:t>NLS</w:t>
      </w:r>
      <w:r w:rsidRPr="003C0194">
        <w:rPr>
          <w:rFonts w:ascii="Times New Roman" w:eastAsia="Calibri" w:hAnsi="Times New Roman"/>
        </w:rPr>
        <w:t xml:space="preserve"> previously </w:t>
      </w:r>
      <w:r>
        <w:rPr>
          <w:rFonts w:ascii="Times New Roman" w:eastAsia="Calibri" w:hAnsi="Times New Roman"/>
        </w:rPr>
        <w:t xml:space="preserve">has </w:t>
      </w:r>
      <w:r w:rsidRPr="003C0194">
        <w:rPr>
          <w:rFonts w:ascii="Times New Roman" w:eastAsia="Calibri" w:hAnsi="Times New Roman"/>
        </w:rPr>
        <w:t>seen similar results when implementing a final push incentive in Round 28</w:t>
      </w:r>
      <w:r>
        <w:rPr>
          <w:rFonts w:ascii="Times New Roman" w:eastAsia="Calibri" w:hAnsi="Times New Roman"/>
        </w:rPr>
        <w:t xml:space="preserve"> and 29</w:t>
      </w:r>
      <w:r w:rsidRPr="003C0194">
        <w:rPr>
          <w:rFonts w:ascii="Times New Roman" w:eastAsia="Calibri" w:hAnsi="Times New Roman"/>
        </w:rPr>
        <w:t>, which compared favorably to the results in Round 27 (when no final push incentive was offered).</w:t>
      </w:r>
    </w:p>
    <w:p w:rsidR="00F10944" w:rsidP="00F10944" w14:paraId="3CBA8E54" w14:textId="77777777">
      <w:pPr>
        <w:rPr>
          <w:rFonts w:ascii="Times New Roman" w:eastAsia="Calibri" w:hAnsi="Times New Roman"/>
        </w:rPr>
      </w:pPr>
    </w:p>
    <w:p w:rsidR="00F10944" w:rsidP="00F10944" w14:paraId="5BF2F438" w14:textId="65F60C10">
      <w:pPr>
        <w:rPr>
          <w:rFonts w:ascii="Times New Roman" w:hAnsi="Times New Roman"/>
        </w:rPr>
      </w:pPr>
      <w:r w:rsidRPr="6685BBCF">
        <w:rPr>
          <w:rFonts w:ascii="Times New Roman" w:hAnsi="Times New Roman"/>
        </w:rPr>
        <w:t xml:space="preserve">In Round 20 of the NLSY97, NLS followed on these suggestive results by conducting an experiment in which about half of the potentially eligible respondents were randomly chosen to receive the enhanced final push incentive and the other half served as a control. The results of the experiment, shown in Figure </w:t>
      </w:r>
      <w:r w:rsidR="007668DF">
        <w:rPr>
          <w:rFonts w:ascii="Times New Roman" w:hAnsi="Times New Roman"/>
        </w:rPr>
        <w:t>2</w:t>
      </w:r>
      <w:r w:rsidRPr="6685BBCF">
        <w:rPr>
          <w:rFonts w:ascii="Times New Roman" w:hAnsi="Times New Roman"/>
        </w:rPr>
        <w:t xml:space="preserve">, indicate substantial effectiveness of the incentive. A gap in completion rates between treatment and control respondents began to emerge shortly after the introduction of the incentive and continued to grow over the rest of the round. At the end of data </w:t>
      </w:r>
      <w:r w:rsidRPr="6685BBCF">
        <w:rPr>
          <w:rFonts w:ascii="Times New Roman" w:hAnsi="Times New Roman"/>
        </w:rPr>
        <w:t xml:space="preserve">collection, the completion rate for the treatment group was 5.2 percentage points higher than the completion rate for the control group, with 47.8% in the treatment group completing compared to 42.6% in the control group. </w:t>
      </w:r>
    </w:p>
    <w:p w:rsidR="00F10944" w:rsidP="00F10944" w14:paraId="12900208" w14:textId="77777777">
      <w:pPr>
        <w:rPr>
          <w:rFonts w:ascii="Times New Roman" w:hAnsi="Times New Roman"/>
        </w:rPr>
      </w:pPr>
    </w:p>
    <w:p w:rsidR="00F10944" w:rsidP="00F10944" w14:paraId="39AA9FC9" w14:textId="59D1A660">
      <w:pPr>
        <w:rPr>
          <w:rFonts w:ascii="Times New Roman" w:hAnsi="Times New Roman"/>
          <w:b/>
          <w:bCs/>
        </w:rPr>
      </w:pPr>
      <w:r>
        <w:rPr>
          <w:rFonts w:ascii="Times New Roman" w:hAnsi="Times New Roman"/>
          <w:b/>
          <w:bCs/>
        </w:rPr>
        <w:t xml:space="preserve">Figure </w:t>
      </w:r>
      <w:r w:rsidR="007668DF">
        <w:rPr>
          <w:rFonts w:ascii="Times New Roman" w:hAnsi="Times New Roman"/>
          <w:b/>
          <w:bCs/>
        </w:rPr>
        <w:t>2</w:t>
      </w:r>
      <w:r>
        <w:rPr>
          <w:rFonts w:ascii="Times New Roman" w:hAnsi="Times New Roman"/>
          <w:b/>
          <w:bCs/>
        </w:rPr>
        <w:t>:  Results of the Round 20 Enhanced Final Push Experiment</w:t>
      </w:r>
      <w:r>
        <w:rPr>
          <w:noProof/>
        </w:rPr>
        <w:drawing>
          <wp:inline distT="0" distB="0" distL="0" distR="0">
            <wp:extent cx="4572000" cy="3324225"/>
            <wp:effectExtent l="0" t="0" r="0" b="9525"/>
            <wp:docPr id="970020299"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20299" name="Picture 454153770" descr="Chart, line chart&#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0" cy="3324225"/>
                    </a:xfrm>
                    <a:prstGeom prst="rect">
                      <a:avLst/>
                    </a:prstGeom>
                    <a:noFill/>
                    <a:ln>
                      <a:noFill/>
                    </a:ln>
                  </pic:spPr>
                </pic:pic>
              </a:graphicData>
            </a:graphic>
          </wp:inline>
        </w:drawing>
      </w:r>
    </w:p>
    <w:p w:rsidR="00F10944" w:rsidRPr="0041028D" w:rsidP="00F10944" w14:paraId="61C0A24E" w14:textId="77777777">
      <w:pPr>
        <w:rPr>
          <w:rFonts w:ascii="Times New Roman" w:hAnsi="Times New Roman"/>
          <w:b/>
          <w:bCs/>
        </w:rPr>
      </w:pPr>
    </w:p>
    <w:p w:rsidR="00F10944" w:rsidP="00F10944" w14:paraId="361F84B2" w14:textId="77777777">
      <w:pPr>
        <w:keepNext/>
        <w:rPr>
          <w:rFonts w:ascii="Times New Roman" w:hAnsi="Times New Roman"/>
          <w:i/>
        </w:rPr>
      </w:pPr>
      <w:r>
        <w:rPr>
          <w:rFonts w:ascii="Times New Roman" w:hAnsi="Times New Roman"/>
          <w:i/>
        </w:rPr>
        <w:t>In-Kind Incentives</w:t>
      </w:r>
    </w:p>
    <w:p w:rsidR="00F10944" w:rsidP="00F10944" w14:paraId="72326BE4" w14:textId="1A0686AC">
      <w:pPr>
        <w:rPr>
          <w:rFonts w:ascii="Times New Roman" w:hAnsi="Times New Roman"/>
          <w:iCs/>
        </w:rPr>
      </w:pPr>
      <w:r>
        <w:rPr>
          <w:rFonts w:ascii="Times New Roman" w:hAnsi="Times New Roman"/>
        </w:rPr>
        <w:t xml:space="preserve">NLS proposes to </w:t>
      </w:r>
      <w:r>
        <w:rPr>
          <w:rFonts w:ascii="Times New Roman" w:hAnsi="Times New Roman"/>
          <w:iCs/>
        </w:rPr>
        <w:t xml:space="preserve">offer in-kind gifts, in mailings or door hangers, for as many as 2,400 respondents.  </w:t>
      </w:r>
      <w:r>
        <w:rPr>
          <w:rFonts w:ascii="Times New Roman" w:hAnsi="Times New Roman"/>
        </w:rPr>
        <w:t xml:space="preserve">These gifts would have a </w:t>
      </w:r>
      <w:r>
        <w:rPr>
          <w:rFonts w:ascii="Times New Roman" w:hAnsi="Times New Roman"/>
          <w:iCs/>
        </w:rPr>
        <w:t>maximum value of</w:t>
      </w:r>
      <w:r>
        <w:rPr>
          <w:rFonts w:ascii="Times New Roman" w:hAnsi="Times New Roman"/>
        </w:rPr>
        <w:t xml:space="preserve"> $12 and average only $10.</w:t>
      </w:r>
      <w:r>
        <w:rPr>
          <w:rFonts w:ascii="Times New Roman" w:hAnsi="Times New Roman"/>
          <w:iCs/>
        </w:rPr>
        <w:t xml:space="preserve">  </w:t>
      </w:r>
      <w:r>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They </w:t>
      </w:r>
      <w:r>
        <w:rPr>
          <w:rFonts w:ascii="Times New Roman" w:hAnsi="Times New Roman"/>
          <w:color w:val="000000" w:themeColor="text1"/>
        </w:rPr>
        <w:t xml:space="preserve">find it useful for gaining response if they have a variety of options to respond to the particular needs, issues, and objections of the respondent.  NLS has used similar gifts in many recent rounds to strengthen the ongoing relationships between the program and its respondents.  </w:t>
      </w:r>
      <w:r>
        <w:rPr>
          <w:rFonts w:ascii="Times New Roman" w:hAnsi="Times New Roman"/>
          <w:iCs/>
        </w:rPr>
        <w:t>NLS would like to have the ability to include a token in a mailing that either makes the envelope heavier or comes in a box, and thus may induce cooperative behavior from the respondent such as opening the mail, reading the message, engaging with the project through calls to the 800 number, setting a web appointment, or responding when the interviewer calls or stops by.  Decisions for who receives the in-kind incentives would be made by NORC central office, and interviewers would not have discretion over which respondents received this incentive.</w:t>
      </w:r>
    </w:p>
    <w:p w:rsidR="00F10944" w:rsidP="00F10944" w14:paraId="1361F1C2" w14:textId="77777777">
      <w:pPr>
        <w:rPr>
          <w:rFonts w:ascii="Times New Roman" w:hAnsi="Times New Roman"/>
          <w:iCs/>
        </w:rPr>
      </w:pPr>
    </w:p>
    <w:p w:rsidR="00470026" w:rsidP="00F10944" w14:paraId="7DC180D8" w14:textId="77777777">
      <w:pPr>
        <w:rPr>
          <w:rFonts w:ascii="Times New Roman" w:hAnsi="Times New Roman"/>
          <w:iCs/>
        </w:rPr>
      </w:pPr>
      <w:r>
        <w:rPr>
          <w:rFonts w:ascii="Times New Roman" w:hAnsi="Times New Roman"/>
        </w:rPr>
        <w:t xml:space="preserve">Although the value of the in-kind offerings that NLS is proposing is small, the benefit is useful in inducing respondents to engage outreach attempts and interviewers to make outreach.  NLS’s goal will be to use these small tokens broadly across the sample.  Because the value of the proposed items is small, NLS will not prevent circumstances where a respondent may be the </w:t>
      </w:r>
      <w:r>
        <w:rPr>
          <w:rFonts w:ascii="Times New Roman" w:hAnsi="Times New Roman"/>
        </w:rPr>
        <w:t>recipient of more than 1 offer.  However, no respondents will receive all in-kind offers</w:t>
      </w:r>
      <w:r>
        <w:rPr>
          <w:rFonts w:ascii="Times New Roman" w:hAnsi="Times New Roman"/>
          <w:iCs/>
        </w:rPr>
        <w:t xml:space="preserve">. </w:t>
      </w:r>
    </w:p>
    <w:p w:rsidR="00F10944" w:rsidP="00F10944" w14:paraId="2F84508E" w14:textId="59E9E9F7">
      <w:pPr>
        <w:rPr>
          <w:rFonts w:ascii="Times New Roman" w:hAnsi="Times New Roman"/>
          <w:iCs/>
        </w:rPr>
      </w:pPr>
      <w:r>
        <w:rPr>
          <w:rFonts w:ascii="Times New Roman" w:hAnsi="Times New Roman"/>
          <w:iCs/>
        </w:rPr>
        <w:t xml:space="preserve"> </w:t>
      </w:r>
    </w:p>
    <w:p w:rsidR="00470026" w:rsidP="00470026" w14:paraId="7A43F3DC" w14:textId="77777777">
      <w:pPr>
        <w:rPr>
          <w:rFonts w:ascii="Times New Roman" w:hAnsi="Times New Roman"/>
          <w:i/>
        </w:rPr>
      </w:pPr>
      <w:r>
        <w:rPr>
          <w:rFonts w:ascii="Times New Roman" w:hAnsi="Times New Roman"/>
          <w:i/>
        </w:rPr>
        <w:t>Gatekeeper Incentives</w:t>
      </w:r>
    </w:p>
    <w:p w:rsidR="00470026" w:rsidP="00F10944" w14:paraId="7E2E699A" w14:textId="06BB5BD3">
      <w:pPr>
        <w:rPr>
          <w:rFonts w:ascii="Times New Roman" w:hAnsi="Times New Roman"/>
          <w:iCs/>
        </w:rPr>
      </w:pPr>
      <w:r w:rsidRPr="6685BBCF">
        <w:rPr>
          <w:rFonts w:ascii="Times New Roman" w:hAnsi="Times New Roman"/>
        </w:rPr>
        <w:t>Some “gatekeepers” are particularly helpful in tracking down reluctant sample members.  For example, a parent or sibling not in the survey may provide locating information or encourage a sample member to participate.  (Note that NLS never reveals the name of the survey to these gatekeepers; it is described simply as “a national survey.”)  NLS often returns to the same gatekeepers round after round.  To maintain their goodwill, NLS will offer gatekeepers who are particularly helpful a small gift worth about $5.  NLS has offered a similar incentive in Rounds 26-30 of the NLSY79 and Rounds 15-21 of the NLSY97.  It is used very infrequently but has proven effective in finding respondents and getting them to complete interviews.</w:t>
      </w:r>
    </w:p>
    <w:p w:rsidR="00F10944" w:rsidP="00F10944" w14:paraId="02133074" w14:textId="77777777">
      <w:pPr>
        <w:rPr>
          <w:rFonts w:ascii="Times New Roman" w:hAnsi="Times New Roman"/>
          <w:iCs/>
        </w:rPr>
      </w:pPr>
    </w:p>
    <w:p w:rsidR="00F10944" w:rsidP="00F10944" w14:paraId="353695F4" w14:textId="77777777">
      <w:pPr>
        <w:rPr>
          <w:rFonts w:ascii="Times New Roman" w:hAnsi="Times New Roman"/>
          <w:i/>
        </w:rPr>
      </w:pPr>
      <w:r>
        <w:rPr>
          <w:rFonts w:ascii="Times New Roman" w:hAnsi="Times New Roman"/>
          <w:i/>
        </w:rPr>
        <w:t>Incentive Costs</w:t>
      </w:r>
    </w:p>
    <w:p w:rsidR="00F10944" w:rsidP="00F10944" w14:paraId="0A2373E2" w14:textId="1F3A21D0">
      <w:pPr>
        <w:rPr>
          <w:rFonts w:ascii="Times New Roman" w:hAnsi="Times New Roman"/>
        </w:rPr>
      </w:pPr>
      <w:r>
        <w:rPr>
          <w:rFonts w:ascii="Times New Roman" w:hAnsi="Times New Roman"/>
        </w:rPr>
        <w:t>We estimate the total incentives costs for R31 to be $</w:t>
      </w:r>
      <w:r w:rsidR="00E96796">
        <w:rPr>
          <w:rFonts w:ascii="Times New Roman" w:hAnsi="Times New Roman"/>
        </w:rPr>
        <w:t>595</w:t>
      </w:r>
      <w:r>
        <w:rPr>
          <w:rFonts w:ascii="Times New Roman" w:hAnsi="Times New Roman"/>
        </w:rPr>
        <w:t>,</w:t>
      </w:r>
      <w:r w:rsidR="00E96796">
        <w:rPr>
          <w:rFonts w:ascii="Times New Roman" w:hAnsi="Times New Roman"/>
        </w:rPr>
        <w:t>929</w:t>
      </w:r>
      <w:r>
        <w:rPr>
          <w:rFonts w:ascii="Times New Roman" w:hAnsi="Times New Roman"/>
        </w:rPr>
        <w:t>, which includes $470,429 for the base and missed round incentives and $</w:t>
      </w:r>
      <w:r w:rsidR="00E96796">
        <w:rPr>
          <w:rFonts w:ascii="Times New Roman" w:hAnsi="Times New Roman"/>
        </w:rPr>
        <w:t>125</w:t>
      </w:r>
      <w:r>
        <w:rPr>
          <w:rFonts w:ascii="Times New Roman" w:hAnsi="Times New Roman"/>
        </w:rPr>
        <w:t>,</w:t>
      </w:r>
      <w:r w:rsidR="00E96796">
        <w:rPr>
          <w:rFonts w:ascii="Times New Roman" w:hAnsi="Times New Roman"/>
        </w:rPr>
        <w:t xml:space="preserve">500 </w:t>
      </w:r>
      <w:r>
        <w:rPr>
          <w:rFonts w:ascii="Times New Roman" w:hAnsi="Times New Roman"/>
        </w:rPr>
        <w:t>for the additional incentives, including early bird, final push, enhanced final push, in-kind and gatekeeper incentives. A table listing the total cost of incentives by respondent pool is provided below.</w:t>
      </w:r>
    </w:p>
    <w:p w:rsidR="00F10944" w:rsidP="00F10944" w14:paraId="0D215F19" w14:textId="77777777">
      <w:pPr>
        <w:widowControl/>
        <w:autoSpaceDE/>
        <w:adjustRightInd/>
        <w:rPr>
          <w:rFonts w:ascii="Times New Roman" w:hAnsi="Times New Roman"/>
          <w:sz w:val="22"/>
          <w:szCs w:val="22"/>
        </w:rPr>
      </w:pPr>
    </w:p>
    <w:p w:rsidR="00F10944" w:rsidP="00F10944" w14:paraId="544A0C2F" w14:textId="5AE89893">
      <w:pPr>
        <w:widowControl/>
        <w:autoSpaceDE/>
        <w:adjustRightInd/>
        <w:rPr>
          <w:rFonts w:ascii="Times New Roman" w:hAnsi="Times New Roman"/>
          <w:b/>
          <w:i/>
          <w:iCs/>
          <w:spacing w:val="5"/>
        </w:rPr>
      </w:pPr>
      <w:r>
        <w:rPr>
          <w:rFonts w:ascii="Times New Roman" w:hAnsi="Times New Roman"/>
          <w:b/>
          <w:bCs/>
          <w:spacing w:val="5"/>
        </w:rPr>
        <w:t xml:space="preserve">Table </w:t>
      </w:r>
      <w:r w:rsidR="007668DF">
        <w:rPr>
          <w:rFonts w:ascii="Times New Roman" w:hAnsi="Times New Roman"/>
          <w:b/>
          <w:bCs/>
          <w:spacing w:val="5"/>
        </w:rPr>
        <w:t>9</w:t>
      </w:r>
      <w:r>
        <w:rPr>
          <w:rFonts w:ascii="Times New Roman" w:hAnsi="Times New Roman"/>
          <w:b/>
          <w:bCs/>
          <w:spacing w:val="5"/>
        </w:rPr>
        <w:t>. Round 31 Incentive Costs for Main NLSY79 Sample</w:t>
      </w:r>
    </w:p>
    <w:tbl>
      <w:tblPr>
        <w:tblStyle w:val="TableGrid"/>
        <w:tblW w:w="9810" w:type="dxa"/>
        <w:tblInd w:w="0" w:type="dxa"/>
        <w:tblLayout w:type="fixed"/>
        <w:tblLook w:val="04A0"/>
      </w:tblPr>
      <w:tblGrid>
        <w:gridCol w:w="1706"/>
        <w:gridCol w:w="2026"/>
        <w:gridCol w:w="2026"/>
        <w:gridCol w:w="2026"/>
        <w:gridCol w:w="2026"/>
      </w:tblGrid>
      <w:tr w14:paraId="3855E1DB"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37C25991" w14:textId="77777777">
            <w:pPr>
              <w:widowControl/>
              <w:autoSpaceDE/>
              <w:adjustRightInd/>
              <w:rPr>
                <w:rFonts w:ascii="Times New Roman" w:hAnsi="Times New Roman"/>
                <w:sz w:val="20"/>
                <w:szCs w:val="20"/>
              </w:rPr>
            </w:pPr>
            <w:bookmarkStart w:id="9" w:name="OLE_LINK16"/>
            <w:r>
              <w:rPr>
                <w:rFonts w:ascii="Times New Roman" w:hAnsi="Times New Roman"/>
                <w:sz w:val="20"/>
                <w:szCs w:val="20"/>
              </w:rPr>
              <w:t>Incentive Type</w:t>
            </w:r>
          </w:p>
        </w:tc>
        <w:tc>
          <w:tcPr>
            <w:tcW w:w="2026" w:type="dxa"/>
            <w:tcBorders>
              <w:top w:val="single" w:sz="4" w:space="0" w:color="auto"/>
              <w:left w:val="single" w:sz="4" w:space="0" w:color="auto"/>
              <w:bottom w:val="single" w:sz="4" w:space="0" w:color="auto"/>
              <w:right w:val="single" w:sz="4" w:space="0" w:color="auto"/>
            </w:tcBorders>
            <w:vAlign w:val="center"/>
            <w:hideMark/>
          </w:tcPr>
          <w:p w:rsidR="00F10944" w:rsidP="005E67DC" w14:paraId="35F2D822" w14:textId="77777777">
            <w:pPr>
              <w:widowControl/>
              <w:autoSpaceDE/>
              <w:adjustRightInd/>
              <w:jc w:val="center"/>
              <w:rPr>
                <w:rFonts w:ascii="Times New Roman" w:hAnsi="Times New Roman"/>
                <w:sz w:val="20"/>
                <w:szCs w:val="20"/>
              </w:rPr>
            </w:pPr>
            <w:r>
              <w:rPr>
                <w:rFonts w:ascii="Times New Roman" w:hAnsi="Times New Roman"/>
                <w:sz w:val="20"/>
                <w:szCs w:val="20"/>
              </w:rPr>
              <w:t>R30 Completers</w:t>
            </w:r>
          </w:p>
        </w:tc>
        <w:tc>
          <w:tcPr>
            <w:tcW w:w="2026" w:type="dxa"/>
            <w:tcBorders>
              <w:top w:val="single" w:sz="4" w:space="0" w:color="auto"/>
              <w:left w:val="single" w:sz="4" w:space="0" w:color="auto"/>
              <w:bottom w:val="single" w:sz="4" w:space="0" w:color="auto"/>
              <w:right w:val="single" w:sz="4" w:space="0" w:color="auto"/>
            </w:tcBorders>
            <w:vAlign w:val="center"/>
            <w:hideMark/>
          </w:tcPr>
          <w:p w:rsidR="00F10944" w:rsidP="005E67DC" w14:paraId="405A5CA1" w14:textId="77777777">
            <w:pPr>
              <w:widowControl/>
              <w:autoSpaceDE/>
              <w:adjustRightInd/>
              <w:jc w:val="center"/>
              <w:rPr>
                <w:rFonts w:ascii="Times New Roman" w:hAnsi="Times New Roman"/>
                <w:sz w:val="20"/>
                <w:szCs w:val="20"/>
              </w:rPr>
            </w:pPr>
            <w:r>
              <w:rPr>
                <w:rFonts w:ascii="Times New Roman" w:hAnsi="Times New Roman"/>
                <w:sz w:val="20"/>
                <w:szCs w:val="20"/>
              </w:rPr>
              <w:t>Missed R30</w:t>
            </w:r>
          </w:p>
        </w:tc>
        <w:tc>
          <w:tcPr>
            <w:tcW w:w="2026" w:type="dxa"/>
            <w:tcBorders>
              <w:top w:val="single" w:sz="4" w:space="0" w:color="auto"/>
              <w:left w:val="single" w:sz="4" w:space="0" w:color="auto"/>
              <w:bottom w:val="single" w:sz="4" w:space="0" w:color="auto"/>
              <w:right w:val="single" w:sz="4" w:space="0" w:color="auto"/>
            </w:tcBorders>
            <w:vAlign w:val="center"/>
            <w:hideMark/>
          </w:tcPr>
          <w:p w:rsidR="00F10944" w:rsidP="005E67DC" w14:paraId="65A062E1" w14:textId="77777777">
            <w:pPr>
              <w:widowControl/>
              <w:autoSpaceDE/>
              <w:adjustRightInd/>
              <w:jc w:val="center"/>
              <w:rPr>
                <w:rFonts w:ascii="Times New Roman" w:hAnsi="Times New Roman"/>
                <w:sz w:val="20"/>
                <w:szCs w:val="20"/>
              </w:rPr>
            </w:pPr>
            <w:r>
              <w:rPr>
                <w:rFonts w:ascii="Times New Roman" w:hAnsi="Times New Roman"/>
                <w:sz w:val="20"/>
                <w:szCs w:val="20"/>
              </w:rPr>
              <w:t>Missed R29-R30</w:t>
            </w:r>
          </w:p>
        </w:tc>
        <w:tc>
          <w:tcPr>
            <w:tcW w:w="2026" w:type="dxa"/>
            <w:tcBorders>
              <w:top w:val="single" w:sz="4" w:space="0" w:color="auto"/>
              <w:left w:val="single" w:sz="4" w:space="0" w:color="auto"/>
              <w:bottom w:val="single" w:sz="4" w:space="0" w:color="auto"/>
              <w:right w:val="single" w:sz="4" w:space="0" w:color="auto"/>
            </w:tcBorders>
            <w:hideMark/>
          </w:tcPr>
          <w:p w:rsidR="00F10944" w:rsidP="005E67DC" w14:paraId="54FE3C23" w14:textId="77777777">
            <w:pPr>
              <w:widowControl/>
              <w:autoSpaceDE/>
              <w:adjustRightInd/>
              <w:jc w:val="center"/>
              <w:rPr>
                <w:rFonts w:ascii="Times New Roman" w:hAnsi="Times New Roman"/>
                <w:sz w:val="20"/>
                <w:szCs w:val="20"/>
              </w:rPr>
            </w:pPr>
            <w:r>
              <w:rPr>
                <w:rFonts w:ascii="Times New Roman" w:hAnsi="Times New Roman"/>
                <w:sz w:val="20"/>
                <w:szCs w:val="20"/>
              </w:rPr>
              <w:t>Missed R28-R30</w:t>
            </w:r>
          </w:p>
        </w:tc>
      </w:tr>
      <w:tr w14:paraId="0CC4B48E" w14:textId="77777777" w:rsidTr="005E67DC">
        <w:tblPrEx>
          <w:tblW w:w="9810" w:type="dxa"/>
          <w:tblInd w:w="0" w:type="dxa"/>
          <w:tblLayout w:type="fixed"/>
          <w:tblLook w:val="04A0"/>
        </w:tblPrEx>
        <w:tc>
          <w:tcPr>
            <w:tcW w:w="1706" w:type="dxa"/>
            <w:tcBorders>
              <w:top w:val="nil"/>
              <w:left w:val="single" w:sz="8" w:space="0" w:color="auto"/>
              <w:bottom w:val="single" w:sz="8" w:space="0" w:color="auto"/>
              <w:right w:val="single" w:sz="8" w:space="0" w:color="auto"/>
            </w:tcBorders>
            <w:shd w:val="clear" w:color="auto" w:fill="F2F2F2"/>
            <w:vAlign w:val="center"/>
            <w:hideMark/>
          </w:tcPr>
          <w:p w:rsidR="00F10944" w:rsidP="005E67DC" w14:paraId="51C671EA" w14:textId="77777777">
            <w:pPr>
              <w:widowControl/>
              <w:autoSpaceDE/>
              <w:adjustRightInd/>
              <w:rPr>
                <w:rFonts w:ascii="Times New Roman" w:hAnsi="Times New Roman"/>
                <w:sz w:val="20"/>
                <w:szCs w:val="20"/>
              </w:rPr>
            </w:pPr>
            <w:bookmarkStart w:id="10" w:name="_Hlk156403326"/>
            <w:bookmarkStart w:id="11" w:name="_Hlk156403649"/>
            <w:r>
              <w:rPr>
                <w:rFonts w:ascii="Times New Roman" w:hAnsi="Times New Roman"/>
                <w:iCs/>
                <w:color w:val="000000"/>
                <w:sz w:val="20"/>
                <w:szCs w:val="20"/>
              </w:rPr>
              <w:t>Sample size</w:t>
            </w:r>
            <w:r>
              <w:rPr>
                <w:rFonts w:ascii="Times New Roman" w:hAnsi="Times New Roman"/>
                <w:sz w:val="20"/>
                <w:szCs w:val="20"/>
                <w:vertAlign w:val="superscript"/>
              </w:rPr>
              <w:t>*</w:t>
            </w:r>
          </w:p>
        </w:tc>
        <w:tc>
          <w:tcPr>
            <w:tcW w:w="2026" w:type="dxa"/>
            <w:tcBorders>
              <w:top w:val="nil"/>
              <w:left w:val="nil"/>
              <w:bottom w:val="single" w:sz="8" w:space="0" w:color="auto"/>
              <w:right w:val="single" w:sz="8" w:space="0" w:color="auto"/>
            </w:tcBorders>
            <w:shd w:val="clear" w:color="auto" w:fill="F2F2F2"/>
            <w:vAlign w:val="center"/>
            <w:hideMark/>
          </w:tcPr>
          <w:p w:rsidR="00F10944" w:rsidP="005E67DC" w14:paraId="450CF24D"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6413</w:t>
            </w:r>
          </w:p>
        </w:tc>
        <w:tc>
          <w:tcPr>
            <w:tcW w:w="2026" w:type="dxa"/>
            <w:tcBorders>
              <w:top w:val="nil"/>
              <w:left w:val="nil"/>
              <w:bottom w:val="single" w:sz="8" w:space="0" w:color="auto"/>
              <w:right w:val="single" w:sz="8" w:space="0" w:color="auto"/>
            </w:tcBorders>
            <w:shd w:val="clear" w:color="auto" w:fill="F2F2F2"/>
            <w:vAlign w:val="center"/>
            <w:hideMark/>
          </w:tcPr>
          <w:p w:rsidR="00F10944" w:rsidP="005E67DC" w14:paraId="1CB85B14"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518</w:t>
            </w:r>
          </w:p>
        </w:tc>
        <w:tc>
          <w:tcPr>
            <w:tcW w:w="2026" w:type="dxa"/>
            <w:tcBorders>
              <w:top w:val="nil"/>
              <w:left w:val="nil"/>
              <w:bottom w:val="single" w:sz="8" w:space="0" w:color="auto"/>
              <w:right w:val="single" w:sz="4" w:space="0" w:color="auto"/>
            </w:tcBorders>
            <w:shd w:val="clear" w:color="auto" w:fill="F2F2F2"/>
            <w:vAlign w:val="center"/>
            <w:hideMark/>
          </w:tcPr>
          <w:p w:rsidR="00F10944" w:rsidP="005E67DC" w14:paraId="678ABF57"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243</w:t>
            </w:r>
          </w:p>
        </w:tc>
        <w:tc>
          <w:tcPr>
            <w:tcW w:w="202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10944" w:rsidP="005E67DC" w14:paraId="50DB6BD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1386</w:t>
            </w:r>
          </w:p>
        </w:tc>
      </w:tr>
      <w:bookmarkEnd w:id="10"/>
      <w:tr w14:paraId="748A4354" w14:textId="77777777" w:rsidTr="005E67DC">
        <w:tblPrEx>
          <w:tblW w:w="9810" w:type="dxa"/>
          <w:tblInd w:w="0" w:type="dxa"/>
          <w:tblLayout w:type="fixed"/>
          <w:tblLook w:val="04A0"/>
        </w:tblPrEx>
        <w:tc>
          <w:tcPr>
            <w:tcW w:w="1706" w:type="dxa"/>
            <w:tcBorders>
              <w:top w:val="nil"/>
              <w:left w:val="single" w:sz="8" w:space="0" w:color="auto"/>
              <w:bottom w:val="single" w:sz="8" w:space="0" w:color="auto"/>
              <w:right w:val="single" w:sz="8" w:space="0" w:color="auto"/>
            </w:tcBorders>
            <w:shd w:val="clear" w:color="auto" w:fill="F2F2F2"/>
            <w:vAlign w:val="center"/>
            <w:hideMark/>
          </w:tcPr>
          <w:p w:rsidR="00F10944" w:rsidP="005E67DC" w14:paraId="714F6DD2" w14:textId="77777777">
            <w:pPr>
              <w:widowControl/>
              <w:autoSpaceDE/>
              <w:adjustRightInd/>
              <w:rPr>
                <w:rFonts w:ascii="Times New Roman" w:hAnsi="Times New Roman"/>
                <w:sz w:val="20"/>
                <w:szCs w:val="20"/>
              </w:rPr>
            </w:pPr>
            <w:r>
              <w:rPr>
                <w:rFonts w:ascii="Times New Roman" w:hAnsi="Times New Roman"/>
                <w:iCs/>
                <w:color w:val="000000"/>
                <w:sz w:val="20"/>
                <w:szCs w:val="20"/>
              </w:rPr>
              <w:t>Expected completes</w:t>
            </w:r>
          </w:p>
        </w:tc>
        <w:tc>
          <w:tcPr>
            <w:tcW w:w="2026" w:type="dxa"/>
            <w:tcBorders>
              <w:top w:val="nil"/>
              <w:left w:val="nil"/>
              <w:bottom w:val="single" w:sz="8" w:space="0" w:color="auto"/>
              <w:right w:val="single" w:sz="8" w:space="0" w:color="auto"/>
            </w:tcBorders>
            <w:shd w:val="clear" w:color="auto" w:fill="F2F2F2"/>
            <w:vAlign w:val="center"/>
            <w:hideMark/>
          </w:tcPr>
          <w:p w:rsidR="00F10944" w:rsidP="005E67DC" w14:paraId="0F350103"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92.07%</w:t>
            </w:r>
          </w:p>
        </w:tc>
        <w:tc>
          <w:tcPr>
            <w:tcW w:w="2026" w:type="dxa"/>
            <w:tcBorders>
              <w:top w:val="nil"/>
              <w:left w:val="nil"/>
              <w:bottom w:val="single" w:sz="8" w:space="0" w:color="auto"/>
              <w:right w:val="single" w:sz="8" w:space="0" w:color="auto"/>
            </w:tcBorders>
            <w:shd w:val="clear" w:color="auto" w:fill="F2F2F2"/>
            <w:vAlign w:val="center"/>
            <w:hideMark/>
          </w:tcPr>
          <w:p w:rsidR="00F10944" w:rsidP="005E67DC" w14:paraId="7F747CF8"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46.12%</w:t>
            </w:r>
          </w:p>
        </w:tc>
        <w:tc>
          <w:tcPr>
            <w:tcW w:w="2026" w:type="dxa"/>
            <w:tcBorders>
              <w:top w:val="nil"/>
              <w:left w:val="nil"/>
              <w:bottom w:val="single" w:sz="8" w:space="0" w:color="auto"/>
              <w:right w:val="single" w:sz="4" w:space="0" w:color="auto"/>
            </w:tcBorders>
            <w:shd w:val="clear" w:color="auto" w:fill="F2F2F2"/>
            <w:vAlign w:val="center"/>
            <w:hideMark/>
          </w:tcPr>
          <w:p w:rsidR="00F10944" w:rsidP="005E67DC" w14:paraId="32EB2EBB"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35.33%</w:t>
            </w:r>
          </w:p>
        </w:tc>
        <w:tc>
          <w:tcPr>
            <w:tcW w:w="202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10944" w:rsidP="005E67DC" w14:paraId="036C807F"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8.91%</w:t>
            </w:r>
          </w:p>
        </w:tc>
      </w:tr>
      <w:tr w14:paraId="0199E223"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7745DA62" w14:textId="77777777">
            <w:pPr>
              <w:widowControl/>
              <w:autoSpaceDE/>
              <w:adjustRightInd/>
              <w:rPr>
                <w:rFonts w:ascii="Times New Roman" w:hAnsi="Times New Roman"/>
                <w:sz w:val="20"/>
                <w:szCs w:val="20"/>
              </w:rPr>
            </w:pPr>
            <w:r>
              <w:rPr>
                <w:rFonts w:ascii="Times New Roman" w:hAnsi="Times New Roman"/>
                <w:sz w:val="20"/>
                <w:szCs w:val="20"/>
              </w:rPr>
              <w:t>Base</w:t>
            </w:r>
          </w:p>
        </w:tc>
        <w:tc>
          <w:tcPr>
            <w:tcW w:w="2026" w:type="dxa"/>
            <w:tcBorders>
              <w:top w:val="nil"/>
              <w:left w:val="nil"/>
              <w:bottom w:val="single" w:sz="8" w:space="0" w:color="auto"/>
              <w:right w:val="single" w:sz="8" w:space="0" w:color="auto"/>
            </w:tcBorders>
            <w:hideMark/>
          </w:tcPr>
          <w:p w:rsidR="00F10944" w:rsidP="005E67DC" w14:paraId="4DD7DEF5" w14:textId="77777777">
            <w:pPr>
              <w:widowControl/>
              <w:autoSpaceDE/>
              <w:adjustRightInd/>
              <w:jc w:val="center"/>
              <w:rPr>
                <w:rFonts w:ascii="Times New Roman" w:hAnsi="Times New Roman"/>
                <w:sz w:val="20"/>
                <w:szCs w:val="20"/>
              </w:rPr>
            </w:pPr>
            <w:r>
              <w:rPr>
                <w:rFonts w:ascii="Times New Roman" w:hAnsi="Times New Roman"/>
                <w:sz w:val="20"/>
                <w:szCs w:val="20"/>
              </w:rPr>
              <w:t>$70</w:t>
            </w:r>
          </w:p>
        </w:tc>
        <w:tc>
          <w:tcPr>
            <w:tcW w:w="2026" w:type="dxa"/>
            <w:tcBorders>
              <w:top w:val="nil"/>
              <w:left w:val="nil"/>
              <w:bottom w:val="single" w:sz="8" w:space="0" w:color="auto"/>
              <w:right w:val="single" w:sz="8" w:space="0" w:color="auto"/>
            </w:tcBorders>
            <w:hideMark/>
          </w:tcPr>
          <w:p w:rsidR="00F10944" w:rsidP="005E67DC" w14:paraId="6D91327F" w14:textId="77777777">
            <w:pPr>
              <w:widowControl/>
              <w:autoSpaceDE/>
              <w:adjustRightInd/>
              <w:jc w:val="center"/>
              <w:rPr>
                <w:rFonts w:ascii="Times New Roman" w:hAnsi="Times New Roman"/>
                <w:sz w:val="20"/>
                <w:szCs w:val="20"/>
              </w:rPr>
            </w:pPr>
            <w:r>
              <w:rPr>
                <w:rFonts w:ascii="Times New Roman" w:hAnsi="Times New Roman"/>
                <w:sz w:val="20"/>
                <w:szCs w:val="20"/>
              </w:rPr>
              <w:t>$70</w:t>
            </w:r>
          </w:p>
        </w:tc>
        <w:tc>
          <w:tcPr>
            <w:tcW w:w="2026" w:type="dxa"/>
            <w:tcBorders>
              <w:top w:val="nil"/>
              <w:left w:val="nil"/>
              <w:bottom w:val="single" w:sz="8" w:space="0" w:color="auto"/>
              <w:right w:val="single" w:sz="4" w:space="0" w:color="auto"/>
            </w:tcBorders>
            <w:hideMark/>
          </w:tcPr>
          <w:p w:rsidR="00F10944" w:rsidP="005E67DC" w14:paraId="764B15A3" w14:textId="77777777">
            <w:pPr>
              <w:widowControl/>
              <w:autoSpaceDE/>
              <w:adjustRightInd/>
              <w:jc w:val="center"/>
              <w:rPr>
                <w:rFonts w:ascii="Times New Roman" w:hAnsi="Times New Roman"/>
                <w:sz w:val="20"/>
                <w:szCs w:val="20"/>
              </w:rPr>
            </w:pPr>
            <w:r>
              <w:rPr>
                <w:rFonts w:ascii="Times New Roman" w:hAnsi="Times New Roman"/>
                <w:sz w:val="20"/>
                <w:szCs w:val="20"/>
              </w:rPr>
              <w:t>$70</w:t>
            </w:r>
          </w:p>
        </w:tc>
        <w:tc>
          <w:tcPr>
            <w:tcW w:w="2026" w:type="dxa"/>
            <w:tcBorders>
              <w:top w:val="single" w:sz="4" w:space="0" w:color="auto"/>
              <w:left w:val="single" w:sz="4" w:space="0" w:color="auto"/>
              <w:bottom w:val="single" w:sz="4" w:space="0" w:color="auto"/>
              <w:right w:val="single" w:sz="4" w:space="0" w:color="auto"/>
            </w:tcBorders>
            <w:hideMark/>
          </w:tcPr>
          <w:p w:rsidR="00F10944" w:rsidP="005E67DC" w14:paraId="398A16CF" w14:textId="77777777">
            <w:pPr>
              <w:widowControl/>
              <w:autoSpaceDE/>
              <w:adjustRightInd/>
              <w:jc w:val="center"/>
              <w:rPr>
                <w:rFonts w:ascii="Times New Roman" w:hAnsi="Times New Roman"/>
                <w:sz w:val="20"/>
                <w:szCs w:val="20"/>
              </w:rPr>
            </w:pPr>
            <w:r>
              <w:rPr>
                <w:rFonts w:ascii="Times New Roman" w:hAnsi="Times New Roman"/>
                <w:sz w:val="20"/>
                <w:szCs w:val="20"/>
              </w:rPr>
              <w:t>$70</w:t>
            </w:r>
          </w:p>
        </w:tc>
      </w:tr>
      <w:tr w14:paraId="1168DFDA"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07851184" w14:textId="77777777">
            <w:pPr>
              <w:widowControl/>
              <w:autoSpaceDE/>
              <w:adjustRightInd/>
              <w:rPr>
                <w:rFonts w:ascii="Times New Roman" w:hAnsi="Times New Roman"/>
                <w:sz w:val="20"/>
                <w:szCs w:val="20"/>
              </w:rPr>
            </w:pPr>
            <w:r>
              <w:rPr>
                <w:rFonts w:ascii="Times New Roman" w:hAnsi="Times New Roman"/>
                <w:color w:val="000000"/>
                <w:sz w:val="20"/>
                <w:szCs w:val="20"/>
              </w:rPr>
              <w:t>Missed Round(s)</w:t>
            </w:r>
          </w:p>
        </w:tc>
        <w:tc>
          <w:tcPr>
            <w:tcW w:w="2026" w:type="dxa"/>
            <w:tcBorders>
              <w:top w:val="nil"/>
              <w:left w:val="nil"/>
              <w:bottom w:val="single" w:sz="8" w:space="0" w:color="auto"/>
              <w:right w:val="single" w:sz="8" w:space="0" w:color="auto"/>
            </w:tcBorders>
          </w:tcPr>
          <w:p w:rsidR="00F10944" w:rsidP="005E67DC" w14:paraId="16FD9C4B" w14:textId="77777777">
            <w:pPr>
              <w:widowControl/>
              <w:autoSpaceDE/>
              <w:adjustRightInd/>
              <w:jc w:val="center"/>
              <w:rPr>
                <w:rFonts w:ascii="Times New Roman" w:hAnsi="Times New Roman"/>
                <w:sz w:val="20"/>
                <w:szCs w:val="20"/>
              </w:rPr>
            </w:pPr>
          </w:p>
        </w:tc>
        <w:tc>
          <w:tcPr>
            <w:tcW w:w="2026" w:type="dxa"/>
            <w:tcBorders>
              <w:top w:val="nil"/>
              <w:left w:val="nil"/>
              <w:bottom w:val="single" w:sz="8" w:space="0" w:color="auto"/>
              <w:right w:val="single" w:sz="8" w:space="0" w:color="auto"/>
            </w:tcBorders>
            <w:hideMark/>
          </w:tcPr>
          <w:p w:rsidR="00F10944" w:rsidP="005E67DC" w14:paraId="1A61B616" w14:textId="77777777">
            <w:pPr>
              <w:widowControl/>
              <w:autoSpaceDE/>
              <w:adjustRightInd/>
              <w:jc w:val="center"/>
              <w:rPr>
                <w:rFonts w:ascii="Times New Roman" w:hAnsi="Times New Roman"/>
                <w:sz w:val="20"/>
                <w:szCs w:val="20"/>
              </w:rPr>
            </w:pPr>
            <w:r>
              <w:rPr>
                <w:rFonts w:ascii="Times New Roman" w:hAnsi="Times New Roman"/>
                <w:sz w:val="20"/>
                <w:szCs w:val="20"/>
              </w:rPr>
              <w:t>$50</w:t>
            </w:r>
          </w:p>
        </w:tc>
        <w:tc>
          <w:tcPr>
            <w:tcW w:w="2026" w:type="dxa"/>
            <w:tcBorders>
              <w:top w:val="nil"/>
              <w:left w:val="nil"/>
              <w:bottom w:val="single" w:sz="8" w:space="0" w:color="auto"/>
              <w:right w:val="single" w:sz="4" w:space="0" w:color="auto"/>
            </w:tcBorders>
            <w:hideMark/>
          </w:tcPr>
          <w:p w:rsidR="00F10944" w:rsidP="005E67DC" w14:paraId="31933B1A" w14:textId="77777777">
            <w:pPr>
              <w:widowControl/>
              <w:autoSpaceDE/>
              <w:adjustRightInd/>
              <w:jc w:val="center"/>
              <w:rPr>
                <w:rFonts w:ascii="Times New Roman" w:hAnsi="Times New Roman"/>
                <w:sz w:val="20"/>
                <w:szCs w:val="20"/>
              </w:rPr>
            </w:pPr>
            <w:r>
              <w:rPr>
                <w:rFonts w:ascii="Times New Roman" w:hAnsi="Times New Roman"/>
                <w:sz w:val="20"/>
                <w:szCs w:val="20"/>
              </w:rPr>
              <w:t>$60</w:t>
            </w:r>
          </w:p>
        </w:tc>
        <w:tc>
          <w:tcPr>
            <w:tcW w:w="2026" w:type="dxa"/>
            <w:tcBorders>
              <w:top w:val="single" w:sz="4" w:space="0" w:color="auto"/>
              <w:left w:val="single" w:sz="4" w:space="0" w:color="auto"/>
              <w:bottom w:val="single" w:sz="4" w:space="0" w:color="auto"/>
              <w:right w:val="single" w:sz="4" w:space="0" w:color="auto"/>
            </w:tcBorders>
            <w:hideMark/>
          </w:tcPr>
          <w:p w:rsidR="00F10944" w:rsidP="005E67DC" w14:paraId="784F331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$70</w:t>
            </w:r>
          </w:p>
        </w:tc>
      </w:tr>
      <w:tr w14:paraId="19DC96B4"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7F60773F" w14:textId="77777777">
            <w:pPr>
              <w:widowControl/>
              <w:autoSpaceDE/>
              <w:adjustRightInd/>
              <w:rPr>
                <w:rFonts w:ascii="Times New Roman" w:hAnsi="Times New Roman"/>
                <w:b/>
                <w:color w:val="000000"/>
                <w:sz w:val="20"/>
                <w:szCs w:val="20"/>
              </w:rPr>
            </w:pPr>
            <w:r>
              <w:rPr>
                <w:rFonts w:ascii="Times New Roman" w:hAnsi="Times New Roman"/>
                <w:b/>
                <w:color w:val="000000"/>
                <w:sz w:val="20"/>
                <w:szCs w:val="20"/>
              </w:rPr>
              <w:t>Total from Base and Missed Round</w:t>
            </w:r>
          </w:p>
        </w:tc>
        <w:tc>
          <w:tcPr>
            <w:tcW w:w="2026" w:type="dxa"/>
            <w:tcBorders>
              <w:top w:val="nil"/>
              <w:left w:val="nil"/>
              <w:bottom w:val="single" w:sz="8" w:space="0" w:color="auto"/>
              <w:right w:val="single" w:sz="8" w:space="0" w:color="auto"/>
            </w:tcBorders>
            <w:vAlign w:val="center"/>
            <w:hideMark/>
          </w:tcPr>
          <w:p w:rsidR="00F10944" w:rsidP="005E67DC" w14:paraId="32CBAFE9" w14:textId="77777777">
            <w:pPr>
              <w:widowControl/>
              <w:autoSpaceDE/>
              <w:adjustRightInd/>
              <w:jc w:val="center"/>
              <w:rPr>
                <w:rFonts w:ascii="Times New Roman" w:hAnsi="Times New Roman"/>
                <w:b/>
                <w:sz w:val="20"/>
                <w:szCs w:val="20"/>
              </w:rPr>
            </w:pPr>
            <w:r>
              <w:rPr>
                <w:rFonts w:ascii="Times New Roman" w:hAnsi="Times New Roman"/>
                <w:b/>
                <w:bCs/>
                <w:color w:val="000000"/>
                <w:sz w:val="20"/>
                <w:szCs w:val="20"/>
              </w:rPr>
              <w:t>$413,311</w:t>
            </w:r>
          </w:p>
        </w:tc>
        <w:tc>
          <w:tcPr>
            <w:tcW w:w="2026" w:type="dxa"/>
            <w:tcBorders>
              <w:top w:val="nil"/>
              <w:left w:val="nil"/>
              <w:bottom w:val="single" w:sz="8" w:space="0" w:color="auto"/>
              <w:right w:val="single" w:sz="8" w:space="0" w:color="auto"/>
            </w:tcBorders>
            <w:vAlign w:val="center"/>
            <w:hideMark/>
          </w:tcPr>
          <w:p w:rsidR="00F10944" w:rsidP="005E67DC" w14:paraId="4B285995" w14:textId="77777777">
            <w:pPr>
              <w:widowControl/>
              <w:autoSpaceDE/>
              <w:adjustRightInd/>
              <w:jc w:val="center"/>
              <w:rPr>
                <w:rFonts w:ascii="Times New Roman" w:hAnsi="Times New Roman"/>
                <w:b/>
                <w:sz w:val="20"/>
                <w:szCs w:val="20"/>
              </w:rPr>
            </w:pPr>
            <w:r>
              <w:rPr>
                <w:rFonts w:ascii="Times New Roman" w:hAnsi="Times New Roman"/>
                <w:b/>
                <w:bCs/>
                <w:color w:val="000000"/>
                <w:sz w:val="20"/>
                <w:szCs w:val="20"/>
              </w:rPr>
              <w:t xml:space="preserve">$28,668 </w:t>
            </w:r>
          </w:p>
        </w:tc>
        <w:tc>
          <w:tcPr>
            <w:tcW w:w="2026" w:type="dxa"/>
            <w:tcBorders>
              <w:top w:val="nil"/>
              <w:left w:val="nil"/>
              <w:bottom w:val="single" w:sz="8" w:space="0" w:color="auto"/>
              <w:right w:val="single" w:sz="4" w:space="0" w:color="auto"/>
            </w:tcBorders>
            <w:vAlign w:val="center"/>
            <w:hideMark/>
          </w:tcPr>
          <w:p w:rsidR="00F10944" w:rsidP="005E67DC" w14:paraId="66017E18" w14:textId="77777777">
            <w:pPr>
              <w:widowControl/>
              <w:autoSpaceDE/>
              <w:adjustRightInd/>
              <w:jc w:val="center"/>
              <w:rPr>
                <w:rFonts w:ascii="Times New Roman" w:hAnsi="Times New Roman"/>
                <w:b/>
                <w:sz w:val="20"/>
                <w:szCs w:val="20"/>
              </w:rPr>
            </w:pPr>
            <w:r>
              <w:rPr>
                <w:rFonts w:ascii="Times New Roman" w:hAnsi="Times New Roman"/>
                <w:b/>
                <w:bCs/>
                <w:color w:val="000000"/>
                <w:sz w:val="20"/>
                <w:szCs w:val="20"/>
              </w:rPr>
              <w:t>$11,161</w:t>
            </w:r>
          </w:p>
        </w:tc>
        <w:tc>
          <w:tcPr>
            <w:tcW w:w="2026" w:type="dxa"/>
            <w:tcBorders>
              <w:top w:val="single" w:sz="4" w:space="0" w:color="auto"/>
              <w:left w:val="single" w:sz="4" w:space="0" w:color="auto"/>
              <w:bottom w:val="single" w:sz="4" w:space="0" w:color="auto"/>
              <w:right w:val="single" w:sz="4" w:space="0" w:color="auto"/>
            </w:tcBorders>
            <w:vAlign w:val="center"/>
            <w:hideMark/>
          </w:tcPr>
          <w:p w:rsidR="00F10944" w:rsidP="005E67DC" w14:paraId="624F5E2C" w14:textId="77777777">
            <w:pPr>
              <w:widowControl/>
              <w:autoSpaceDE/>
              <w:adjustRightInd/>
              <w:jc w:val="center"/>
              <w:rPr>
                <w:rFonts w:ascii="Times New Roman" w:hAnsi="Times New Roman"/>
                <w:b/>
                <w:color w:val="000000"/>
                <w:sz w:val="20"/>
                <w:szCs w:val="20"/>
              </w:rPr>
            </w:pPr>
            <w:r>
              <w:rPr>
                <w:rFonts w:ascii="Times New Roman" w:hAnsi="Times New Roman"/>
                <w:b/>
                <w:bCs/>
                <w:color w:val="000000"/>
                <w:sz w:val="20"/>
                <w:szCs w:val="20"/>
              </w:rPr>
              <w:t>$17,289</w:t>
            </w:r>
          </w:p>
        </w:tc>
      </w:tr>
      <w:tr w14:paraId="038957AF"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3E8E2D44" w14:textId="77777777">
            <w:pPr>
              <w:widowControl/>
              <w:autoSpaceDE/>
              <w:adjustRightInd/>
              <w:rPr>
                <w:rFonts w:ascii="Times New Roman" w:hAnsi="Times New Roman"/>
                <w:b/>
                <w:color w:val="000000"/>
                <w:sz w:val="20"/>
                <w:szCs w:val="20"/>
              </w:rPr>
            </w:pPr>
            <w:r>
              <w:rPr>
                <w:rFonts w:ascii="Times New Roman" w:hAnsi="Times New Roman"/>
                <w:b/>
                <w:color w:val="000000"/>
                <w:sz w:val="20"/>
                <w:szCs w:val="20"/>
              </w:rPr>
              <w:t>Total from Above Row</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6F6B542E" w14:textId="77777777">
            <w:pPr>
              <w:widowControl/>
              <w:autoSpaceDE/>
              <w:adjustRightInd/>
              <w:jc w:val="center"/>
              <w:rPr>
                <w:rFonts w:ascii="Times New Roman" w:hAnsi="Times New Roman"/>
                <w:b/>
                <w:sz w:val="20"/>
                <w:szCs w:val="20"/>
              </w:rPr>
            </w:pPr>
            <w:r>
              <w:rPr>
                <w:rFonts w:ascii="Times New Roman" w:hAnsi="Times New Roman"/>
                <w:b/>
                <w:bCs/>
                <w:color w:val="000000"/>
                <w:sz w:val="20"/>
                <w:szCs w:val="20"/>
              </w:rPr>
              <w:t>$470,429</w:t>
            </w:r>
          </w:p>
        </w:tc>
      </w:tr>
      <w:bookmarkEnd w:id="11"/>
      <w:tr w14:paraId="54826B9E" w14:textId="77777777" w:rsidTr="005E67DC">
        <w:tblPrEx>
          <w:tblW w:w="9810" w:type="dxa"/>
          <w:tblInd w:w="0" w:type="dxa"/>
          <w:tblLayout w:type="fixed"/>
          <w:tblLook w:val="04A0"/>
        </w:tblPrEx>
        <w:tc>
          <w:tcPr>
            <w:tcW w:w="9810" w:type="dxa"/>
            <w:gridSpan w:val="5"/>
            <w:tcBorders>
              <w:top w:val="single" w:sz="4" w:space="0" w:color="auto"/>
              <w:left w:val="single" w:sz="4" w:space="0" w:color="auto"/>
              <w:bottom w:val="single" w:sz="4" w:space="0" w:color="auto"/>
              <w:right w:val="single" w:sz="4" w:space="0" w:color="auto"/>
            </w:tcBorders>
            <w:vAlign w:val="center"/>
            <w:hideMark/>
          </w:tcPr>
          <w:p w:rsidR="00F10944" w:rsidP="005E67DC" w14:paraId="46F58880" w14:textId="77777777">
            <w:pPr>
              <w:widowControl/>
              <w:autoSpaceDE/>
              <w:adjustRightInd/>
              <w:jc w:val="center"/>
              <w:rPr>
                <w:rFonts w:ascii="Times New Roman" w:hAnsi="Times New Roman"/>
                <w:sz w:val="20"/>
                <w:szCs w:val="20"/>
              </w:rPr>
            </w:pPr>
            <w:r>
              <w:rPr>
                <w:rFonts w:ascii="Times New Roman" w:hAnsi="Times New Roman"/>
                <w:sz w:val="20"/>
                <w:szCs w:val="20"/>
              </w:rPr>
              <w:t>Other Incentives</w:t>
            </w:r>
          </w:p>
        </w:tc>
      </w:tr>
      <w:tr w14:paraId="406AA886"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2A67736D"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Early Bird (Experiment)</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5DC3ED12"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$30 for an estimated 2,000 respondents = $60,000 total.</w:t>
            </w:r>
          </w:p>
        </w:tc>
      </w:tr>
      <w:tr w14:paraId="4EEE6703"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56D0067A" w14:textId="77777777">
            <w:pPr>
              <w:widowControl/>
              <w:autoSpaceDE/>
              <w:adjustRightInd/>
              <w:rPr>
                <w:rFonts w:ascii="Times New Roman" w:hAnsi="Times New Roman"/>
                <w:sz w:val="20"/>
                <w:szCs w:val="20"/>
              </w:rPr>
            </w:pPr>
            <w:r>
              <w:rPr>
                <w:rFonts w:ascii="Times New Roman" w:hAnsi="Times New Roman"/>
                <w:color w:val="000000"/>
                <w:sz w:val="20"/>
                <w:szCs w:val="20"/>
              </w:rPr>
              <w:t>Final Push</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05956272" w14:textId="0F399DC8">
            <w:pPr>
              <w:widowControl/>
              <w:autoSpaceDE/>
              <w:adjustRightInd/>
              <w:rPr>
                <w:rFonts w:ascii="Times New Roman" w:hAnsi="Times New Roman"/>
                <w:color w:val="000000"/>
                <w:sz w:val="20"/>
                <w:szCs w:val="20"/>
              </w:rPr>
            </w:pPr>
            <w:r>
              <w:rPr>
                <w:rFonts w:ascii="Times New Roman" w:hAnsi="Times New Roman"/>
                <w:color w:val="000000"/>
                <w:sz w:val="20"/>
                <w:szCs w:val="20"/>
              </w:rPr>
              <w:t>$30 for an estimated 1,</w:t>
            </w:r>
            <w:r w:rsidR="00E96796">
              <w:rPr>
                <w:rFonts w:ascii="Times New Roman" w:hAnsi="Times New Roman"/>
                <w:color w:val="000000"/>
                <w:sz w:val="20"/>
                <w:szCs w:val="20"/>
              </w:rPr>
              <w:t xml:space="preserve">150 </w:t>
            </w:r>
            <w:r>
              <w:rPr>
                <w:rFonts w:ascii="Times New Roman" w:hAnsi="Times New Roman"/>
                <w:color w:val="000000"/>
                <w:sz w:val="20"/>
                <w:szCs w:val="20"/>
              </w:rPr>
              <w:t>respondents = $</w:t>
            </w:r>
            <w:r w:rsidR="00E96796">
              <w:rPr>
                <w:rFonts w:ascii="Times New Roman" w:hAnsi="Times New Roman"/>
                <w:color w:val="000000"/>
                <w:sz w:val="20"/>
                <w:szCs w:val="20"/>
              </w:rPr>
              <w:t>34,500</w:t>
            </w:r>
            <w:r>
              <w:rPr>
                <w:rFonts w:ascii="Times New Roman" w:hAnsi="Times New Roman"/>
                <w:color w:val="000000"/>
                <w:sz w:val="20"/>
                <w:szCs w:val="20"/>
              </w:rPr>
              <w:t xml:space="preserve"> total.</w:t>
            </w:r>
          </w:p>
        </w:tc>
      </w:tr>
      <w:tr w14:paraId="05688536"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2AF2AF63"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Enhanced Final Push</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3B3F45E0" w14:textId="6F4F7A4F">
            <w:pPr>
              <w:widowControl/>
              <w:autoSpaceDE/>
              <w:adjustRightInd/>
              <w:rPr>
                <w:rFonts w:ascii="Times New Roman" w:hAnsi="Times New Roman"/>
                <w:color w:val="000000"/>
                <w:sz w:val="20"/>
                <w:szCs w:val="20"/>
              </w:rPr>
            </w:pPr>
            <w:r>
              <w:rPr>
                <w:rFonts w:ascii="Times New Roman" w:hAnsi="Times New Roman"/>
                <w:color w:val="000000"/>
                <w:sz w:val="20"/>
                <w:szCs w:val="20"/>
              </w:rPr>
              <w:t xml:space="preserve">$20 for an estimated </w:t>
            </w:r>
            <w:r w:rsidR="00E96796">
              <w:rPr>
                <w:rFonts w:ascii="Times New Roman" w:hAnsi="Times New Roman"/>
                <w:color w:val="000000"/>
                <w:sz w:val="20"/>
                <w:szCs w:val="20"/>
              </w:rPr>
              <w:t xml:space="preserve">345 </w:t>
            </w:r>
            <w:r>
              <w:rPr>
                <w:rFonts w:ascii="Times New Roman" w:hAnsi="Times New Roman"/>
                <w:color w:val="000000"/>
                <w:sz w:val="20"/>
                <w:szCs w:val="20"/>
              </w:rPr>
              <w:t>respondents = $6,</w:t>
            </w:r>
            <w:r w:rsidR="00E96796">
              <w:rPr>
                <w:rFonts w:ascii="Times New Roman" w:hAnsi="Times New Roman"/>
                <w:color w:val="000000"/>
                <w:sz w:val="20"/>
                <w:szCs w:val="20"/>
              </w:rPr>
              <w:t xml:space="preserve">900 </w:t>
            </w:r>
            <w:r>
              <w:rPr>
                <w:rFonts w:ascii="Times New Roman" w:hAnsi="Times New Roman"/>
                <w:color w:val="000000"/>
                <w:sz w:val="20"/>
                <w:szCs w:val="20"/>
              </w:rPr>
              <w:t>total.</w:t>
            </w:r>
          </w:p>
        </w:tc>
      </w:tr>
      <w:tr w14:paraId="135D3902"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15CB0C23" w14:textId="77777777">
            <w:pPr>
              <w:widowControl/>
              <w:autoSpaceDE/>
              <w:adjustRightInd/>
              <w:rPr>
                <w:rFonts w:ascii="Times New Roman" w:hAnsi="Times New Roman"/>
                <w:sz w:val="20"/>
                <w:szCs w:val="20"/>
              </w:rPr>
            </w:pPr>
            <w:r>
              <w:rPr>
                <w:rFonts w:ascii="Times New Roman" w:hAnsi="Times New Roman"/>
                <w:sz w:val="20"/>
                <w:szCs w:val="20"/>
              </w:rPr>
              <w:t>In-Kind</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299D51F0" w14:textId="77777777">
            <w:pPr>
              <w:widowControl/>
              <w:autoSpaceDE/>
              <w:adjustRightInd/>
              <w:rPr>
                <w:rFonts w:ascii="Times New Roman" w:hAnsi="Times New Roman"/>
                <w:sz w:val="20"/>
                <w:szCs w:val="20"/>
              </w:rPr>
            </w:pPr>
            <w:r>
              <w:rPr>
                <w:rFonts w:ascii="Times New Roman" w:hAnsi="Times New Roman"/>
                <w:sz w:val="20"/>
                <w:szCs w:val="20"/>
              </w:rPr>
              <w:t>$10 for an estimated 2,400 respondents = $24,000.</w:t>
            </w:r>
          </w:p>
        </w:tc>
      </w:tr>
      <w:tr w14:paraId="2640EC4E"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7A60CCE0" w14:textId="77777777">
            <w:pPr>
              <w:widowControl/>
              <w:autoSpaceDE/>
              <w:adjustRightInd/>
              <w:rPr>
                <w:rFonts w:ascii="Times New Roman" w:hAnsi="Times New Roman"/>
                <w:sz w:val="20"/>
                <w:szCs w:val="20"/>
              </w:rPr>
            </w:pPr>
            <w:r>
              <w:rPr>
                <w:rFonts w:ascii="Times New Roman" w:hAnsi="Times New Roman"/>
                <w:sz w:val="20"/>
                <w:szCs w:val="20"/>
              </w:rPr>
              <w:t xml:space="preserve">Gatekeeper </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6EA0B4B1" w14:textId="77777777">
            <w:pPr>
              <w:widowControl/>
              <w:autoSpaceDE/>
              <w:adjustRightInd/>
              <w:rPr>
                <w:rFonts w:ascii="Times New Roman" w:hAnsi="Times New Roman"/>
                <w:sz w:val="20"/>
                <w:szCs w:val="20"/>
              </w:rPr>
            </w:pPr>
            <w:r>
              <w:rPr>
                <w:rFonts w:ascii="Times New Roman" w:hAnsi="Times New Roman"/>
                <w:sz w:val="20"/>
                <w:szCs w:val="20"/>
              </w:rPr>
              <w:t>$5 for an estimated 20 respondents = $100</w:t>
            </w:r>
          </w:p>
        </w:tc>
      </w:tr>
      <w:tr w14:paraId="5E6786E0" w14:textId="77777777" w:rsidTr="005E67DC">
        <w:tblPrEx>
          <w:tblW w:w="9810" w:type="dxa"/>
          <w:tblInd w:w="0" w:type="dxa"/>
          <w:tblLayout w:type="fixed"/>
          <w:tblLook w:val="04A0"/>
        </w:tblPrEx>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23B62582" w14:textId="77777777">
            <w:pPr>
              <w:widowControl/>
              <w:autoSpaceDE/>
              <w:adjustRightInd/>
              <w:rPr>
                <w:rFonts w:ascii="Times New Roman" w:hAnsi="Times New Roman"/>
                <w:b/>
                <w:sz w:val="20"/>
                <w:szCs w:val="20"/>
              </w:rPr>
            </w:pPr>
            <w:r>
              <w:rPr>
                <w:rFonts w:ascii="Times New Roman" w:hAnsi="Times New Roman"/>
                <w:b/>
                <w:sz w:val="20"/>
                <w:szCs w:val="20"/>
              </w:rPr>
              <w:t>Total from Other Incentives</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1DC9B668" w14:textId="3ADB0E7E">
            <w:pPr>
              <w:widowControl/>
              <w:autoSpaceDE/>
              <w:adjustRightInd/>
              <w:jc w:val="center"/>
              <w:rPr>
                <w:rFonts w:ascii="Times New Roman" w:hAnsi="Times New Roman"/>
                <w:b/>
                <w:sz w:val="20"/>
                <w:szCs w:val="20"/>
              </w:rPr>
            </w:pPr>
            <w:bookmarkStart w:id="12" w:name="OLE_LINK10"/>
            <w:r>
              <w:rPr>
                <w:rFonts w:ascii="Times New Roman" w:hAnsi="Times New Roman"/>
                <w:b/>
                <w:sz w:val="20"/>
                <w:szCs w:val="20"/>
              </w:rPr>
              <w:t>$</w:t>
            </w:r>
            <w:r w:rsidR="00E96796">
              <w:rPr>
                <w:rFonts w:ascii="Times New Roman" w:hAnsi="Times New Roman"/>
                <w:b/>
                <w:sz w:val="20"/>
                <w:szCs w:val="20"/>
              </w:rPr>
              <w:t>125</w:t>
            </w:r>
            <w:r>
              <w:rPr>
                <w:rFonts w:ascii="Times New Roman" w:hAnsi="Times New Roman"/>
                <w:b/>
                <w:sz w:val="20"/>
                <w:szCs w:val="20"/>
              </w:rPr>
              <w:t>,</w:t>
            </w:r>
            <w:bookmarkEnd w:id="12"/>
            <w:r w:rsidR="00E96796">
              <w:rPr>
                <w:rFonts w:ascii="Times New Roman" w:hAnsi="Times New Roman"/>
                <w:b/>
                <w:sz w:val="20"/>
                <w:szCs w:val="20"/>
              </w:rPr>
              <w:t>500</w:t>
            </w:r>
          </w:p>
        </w:tc>
      </w:tr>
      <w:tr w14:paraId="1A100576" w14:textId="77777777" w:rsidTr="005E67DC">
        <w:tblPrEx>
          <w:tblW w:w="9810" w:type="dxa"/>
          <w:tblInd w:w="0" w:type="dxa"/>
          <w:tblLayout w:type="fixed"/>
          <w:tblLook w:val="04A0"/>
        </w:tblPrEx>
        <w:trPr>
          <w:trHeight w:val="296"/>
        </w:trPr>
        <w:tc>
          <w:tcPr>
            <w:tcW w:w="1706" w:type="dxa"/>
            <w:tcBorders>
              <w:top w:val="single" w:sz="4" w:space="0" w:color="auto"/>
              <w:left w:val="single" w:sz="4" w:space="0" w:color="auto"/>
              <w:bottom w:val="single" w:sz="4" w:space="0" w:color="auto"/>
              <w:right w:val="single" w:sz="4" w:space="0" w:color="auto"/>
            </w:tcBorders>
            <w:vAlign w:val="center"/>
            <w:hideMark/>
          </w:tcPr>
          <w:p w:rsidR="00F10944" w:rsidP="005E67DC" w14:paraId="44AE2A13" w14:textId="77777777">
            <w:pPr>
              <w:widowControl/>
              <w:autoSpaceDE/>
              <w:adjustRightInd/>
              <w:rPr>
                <w:rFonts w:ascii="Times New Roman" w:hAnsi="Times New Roman"/>
                <w:b/>
                <w:sz w:val="20"/>
                <w:szCs w:val="20"/>
              </w:rPr>
            </w:pPr>
            <w:r>
              <w:rPr>
                <w:rFonts w:ascii="Times New Roman" w:hAnsi="Times New Roman"/>
                <w:b/>
                <w:sz w:val="20"/>
                <w:szCs w:val="20"/>
              </w:rPr>
              <w:t>Grand Total</w:t>
            </w:r>
          </w:p>
        </w:tc>
        <w:tc>
          <w:tcPr>
            <w:tcW w:w="8104" w:type="dxa"/>
            <w:gridSpan w:val="4"/>
            <w:tcBorders>
              <w:top w:val="single" w:sz="4" w:space="0" w:color="auto"/>
              <w:left w:val="single" w:sz="4" w:space="0" w:color="auto"/>
              <w:bottom w:val="single" w:sz="4" w:space="0" w:color="auto"/>
              <w:right w:val="single" w:sz="4" w:space="0" w:color="auto"/>
            </w:tcBorders>
            <w:vAlign w:val="center"/>
            <w:hideMark/>
          </w:tcPr>
          <w:p w:rsidR="00F10944" w:rsidP="005E67DC" w14:paraId="6890E78D" w14:textId="0C2EAC4E">
            <w:pPr>
              <w:widowControl/>
              <w:autoSpaceDE/>
              <w:adjustRightInd/>
              <w:jc w:val="center"/>
              <w:rPr>
                <w:rFonts w:ascii="Times New Roman" w:hAnsi="Times New Roman"/>
                <w:b/>
                <w:sz w:val="20"/>
                <w:szCs w:val="20"/>
              </w:rPr>
            </w:pPr>
            <w:r>
              <w:rPr>
                <w:rFonts w:ascii="Times New Roman" w:hAnsi="Times New Roman"/>
                <w:b/>
                <w:bCs/>
                <w:color w:val="000000"/>
                <w:sz w:val="20"/>
                <w:szCs w:val="20"/>
              </w:rPr>
              <w:t>$</w:t>
            </w:r>
            <w:r w:rsidR="00E96796">
              <w:rPr>
                <w:rFonts w:ascii="Times New Roman" w:hAnsi="Times New Roman"/>
                <w:b/>
                <w:bCs/>
                <w:color w:val="000000"/>
                <w:sz w:val="20"/>
                <w:szCs w:val="20"/>
              </w:rPr>
              <w:t>595</w:t>
            </w:r>
            <w:r>
              <w:rPr>
                <w:rFonts w:ascii="Times New Roman" w:hAnsi="Times New Roman"/>
                <w:b/>
                <w:bCs/>
                <w:color w:val="000000"/>
                <w:sz w:val="20"/>
                <w:szCs w:val="20"/>
              </w:rPr>
              <w:t>,</w:t>
            </w:r>
            <w:r w:rsidR="00E96796">
              <w:rPr>
                <w:rFonts w:ascii="Times New Roman" w:hAnsi="Times New Roman"/>
                <w:b/>
                <w:bCs/>
                <w:color w:val="000000"/>
                <w:sz w:val="20"/>
                <w:szCs w:val="20"/>
              </w:rPr>
              <w:t>929</w:t>
            </w:r>
          </w:p>
        </w:tc>
      </w:tr>
    </w:tbl>
    <w:bookmarkEnd w:id="9"/>
    <w:p w:rsidR="00F10944" w:rsidP="00F10944" w14:paraId="73AE2F4B" w14:textId="77777777">
      <w:pPr>
        <w:widowControl/>
        <w:autoSpaceDE/>
        <w:adjustRightInd/>
        <w:rPr>
          <w:rFonts w:ascii="Times New Roman" w:hAnsi="Times New Roman"/>
        </w:rPr>
      </w:pPr>
      <w:r>
        <w:rPr>
          <w:rFonts w:ascii="Times New Roman" w:hAnsi="Times New Roman"/>
        </w:rPr>
        <w:t>* Note: Sample sizes exclude deceased and blocked cases. Expected completes and R31 sample size based on completion rates of similar groups in R30.</w:t>
      </w:r>
    </w:p>
    <w:p w:rsidR="00F10944" w:rsidP="00F10944" w14:paraId="7C594F9F" w14:textId="77777777">
      <w:pPr>
        <w:widowControl/>
        <w:autoSpaceDE/>
        <w:adjustRightInd/>
        <w:spacing w:after="160" w:line="254" w:lineRule="auto"/>
        <w:rPr>
          <w:rFonts w:ascii="Times New Roman" w:hAnsi="Times New Roman"/>
          <w:sz w:val="20"/>
          <w:szCs w:val="20"/>
        </w:rPr>
      </w:pPr>
    </w:p>
    <w:p w:rsidR="00F10944" w:rsidRPr="00386860" w:rsidP="00F10944" w14:paraId="09507EE0" w14:textId="77777777">
      <w:pPr>
        <w:rPr>
          <w:rFonts w:ascii="Times New Roman" w:hAnsi="Times New Roman"/>
          <w:bCs/>
          <w:i/>
          <w:iCs/>
        </w:rPr>
      </w:pPr>
      <w:bookmarkStart w:id="13" w:name="OLE_LINK4"/>
      <w:r w:rsidRPr="00386860">
        <w:rPr>
          <w:rFonts w:ascii="Times New Roman" w:hAnsi="Times New Roman"/>
          <w:bCs/>
          <w:i/>
          <w:iCs/>
        </w:rPr>
        <w:t>Electronic Payment of Incentives</w:t>
      </w:r>
    </w:p>
    <w:p w:rsidR="00F10944" w:rsidP="00F10944" w14:paraId="70201171" w14:textId="77777777">
      <w:pPr>
        <w:rPr>
          <w:rFonts w:ascii="Times New Roman" w:hAnsi="Times New Roman"/>
        </w:rPr>
      </w:pPr>
      <w:r w:rsidRPr="703F0DF8">
        <w:rPr>
          <w:rFonts w:ascii="Times New Roman" w:hAnsi="Times New Roman"/>
        </w:rPr>
        <w:t xml:space="preserve">In Rounds 27-30, NLS offered respondents the opportunity to receive their incentive payment via electronic methods (specifically, PayPal and Online Mobile Banking).  During the NLSY79 </w:t>
      </w:r>
      <w:r w:rsidRPr="703F0DF8">
        <w:rPr>
          <w:rFonts w:ascii="Times New Roman" w:hAnsi="Times New Roman"/>
        </w:rPr>
        <w:t xml:space="preserve">Round 31 main field period, NLS will continue offering this option to telephone interview respondents.  The attraction of electronic payment is large for both respondents and the NLS program.  For respondents, electronic payment will generally involve less effort to receive funds than would a paper check or money order.  Furthermore, the NLS program can save administration costs and mailing costs by making electronic payments.  The cost is also much lower if a payment needs to be tracked or a respondent does not recall having received it.  Electronic transaction options are expanding markedly, for example, PayPal, </w:t>
      </w:r>
      <w:r w:rsidRPr="703F0DF8">
        <w:rPr>
          <w:rFonts w:ascii="Times New Roman" w:hAnsi="Times New Roman"/>
        </w:rPr>
        <w:t>GoogleWallet</w:t>
      </w:r>
      <w:r w:rsidRPr="703F0DF8">
        <w:rPr>
          <w:rFonts w:ascii="Times New Roman" w:hAnsi="Times New Roman"/>
        </w:rPr>
        <w:t xml:space="preserve">, </w:t>
      </w:r>
      <w:r w:rsidRPr="703F0DF8">
        <w:rPr>
          <w:rFonts w:ascii="Times New Roman" w:hAnsi="Times New Roman"/>
        </w:rPr>
        <w:t>ApplePay</w:t>
      </w:r>
      <w:r w:rsidRPr="703F0DF8">
        <w:rPr>
          <w:rFonts w:ascii="Times New Roman" w:hAnsi="Times New Roman"/>
        </w:rPr>
        <w:t>, Zelle, etc., and NLS can expect the options during NLSY79 Round 31 main fielding to be even greater than those available today.</w:t>
      </w:r>
    </w:p>
    <w:bookmarkEnd w:id="13"/>
    <w:p w:rsidR="00F10944" w:rsidP="00F10944" w14:paraId="194A137D" w14:textId="77777777">
      <w:pPr>
        <w:rPr>
          <w:rFonts w:ascii="Times New Roman" w:hAnsi="Times New Roman"/>
        </w:rPr>
      </w:pPr>
    </w:p>
    <w:p w:rsidR="00F10944" w:rsidRPr="00386860" w:rsidP="00F10944" w14:paraId="49DA6A91" w14:textId="77777777">
      <w:pPr>
        <w:rPr>
          <w:rFonts w:ascii="Times New Roman" w:hAnsi="Times New Roman"/>
          <w:bCs/>
          <w:i/>
          <w:iCs/>
        </w:rPr>
      </w:pPr>
      <w:r w:rsidRPr="00386860">
        <w:rPr>
          <w:rFonts w:ascii="Times New Roman" w:hAnsi="Times New Roman"/>
          <w:bCs/>
          <w:i/>
          <w:iCs/>
        </w:rPr>
        <w:t>Summary</w:t>
      </w:r>
    </w:p>
    <w:p w:rsidR="00F10944" w:rsidP="00F10944" w14:paraId="5B371371" w14:textId="77777777">
      <w:pPr>
        <w:pStyle w:val="BodyText2"/>
        <w:rPr>
          <w:sz w:val="24"/>
          <w:szCs w:val="24"/>
        </w:rPr>
      </w:pPr>
      <w:r>
        <w:rPr>
          <w:sz w:val="24"/>
          <w:szCs w:val="24"/>
        </w:rPr>
        <w:t>Overall, there are about 2,500 sample members who are hard to interview in the NLSY79, either because of busy schedules or a mindset that ranges from indifference to hostility.   While there is no single strategy for reaching all respondents,</w:t>
      </w:r>
      <w:r w:rsidRPr="007E6691">
        <w:rPr>
          <w:sz w:val="24"/>
          <w:szCs w:val="24"/>
        </w:rPr>
        <w:t xml:space="preserve"> </w:t>
      </w:r>
      <w:r>
        <w:rPr>
          <w:sz w:val="24"/>
          <w:szCs w:val="24"/>
        </w:rPr>
        <w:t xml:space="preserve">the incentive plan laid out above provides a structure for engaging these respondents and provides flexibility in how NLS approaches sample members.  </w:t>
      </w:r>
    </w:p>
    <w:p w:rsidR="00F10944" w:rsidP="00F10944" w14:paraId="6AF1BCED" w14:textId="77777777">
      <w:pPr>
        <w:pStyle w:val="BodyText2"/>
        <w:rPr>
          <w:sz w:val="24"/>
          <w:szCs w:val="24"/>
        </w:rPr>
      </w:pPr>
    </w:p>
    <w:p w:rsidR="00F10944" w:rsidP="00F10944" w14:paraId="56E9B8FF" w14:textId="2B742F60">
      <w:pPr>
        <w:rPr>
          <w:rFonts w:ascii="Times New Roman" w:hAnsi="Times New Roman"/>
        </w:rPr>
      </w:pPr>
      <w:r>
        <w:rPr>
          <w:rFonts w:ascii="Times New Roman" w:hAnsi="Times New Roman"/>
        </w:rPr>
        <w:t xml:space="preserve">NLS reiterates that incentive payments are only part of the approach to encouraging response.  An equally important part of the effort is designing an effective campaign for gaining cooperation, including conversion materials that interviewers can use to respond to sample members who provide a variety of reasons for not completing the interview.  This portfolio of respondent materials backs up the interviewer, providing a variety of approaches to converting refusals.  NLS also carefully plans outreach throughout the round, encourages national teamwork among the interviewers and periodic calls among interviewers to share their successful “tricks of the trade” with each other, and uses conversion materials to help reach respondents.  With a combination of core study materials, the ability to personalize their approach to each respondent, and incentives such as in-kind bonuses that provide another selling point, interviewers will have the support they need to successfully persuade respondents. We also continue </w:t>
      </w:r>
      <w:r w:rsidR="002F3091">
        <w:rPr>
          <w:rFonts w:ascii="Times New Roman" w:hAnsi="Times New Roman"/>
        </w:rPr>
        <w:t xml:space="preserve">to </w:t>
      </w:r>
      <w:r>
        <w:rPr>
          <w:rFonts w:ascii="Times New Roman" w:hAnsi="Times New Roman"/>
        </w:rPr>
        <w:t xml:space="preserve">further refine approaches to outreach, including how case groups are released, the effort expended on groups of cases, and the sequencing and mode of contacts during the field period.  </w:t>
      </w:r>
    </w:p>
    <w:p w:rsidR="00F10944" w:rsidP="00F10944" w14:paraId="5F6AF3DD" w14:textId="77777777">
      <w:pPr>
        <w:rPr>
          <w:rFonts w:ascii="Times New Roman" w:hAnsi="Times New Roman"/>
        </w:rPr>
      </w:pPr>
    </w:p>
    <w:p w:rsidR="00F10944" w:rsidP="00F10944" w14:paraId="251A4E56" w14:textId="1C6438C6">
      <w:pPr>
        <w:rPr>
          <w:rFonts w:ascii="Times New Roman" w:hAnsi="Times New Roman"/>
        </w:rPr>
      </w:pPr>
      <w:r>
        <w:rPr>
          <w:rFonts w:ascii="Times New Roman" w:hAnsi="Times New Roman"/>
        </w:rPr>
        <w:t>NLS’s primary goal must be to continue</w:t>
      </w:r>
      <w:r w:rsidR="00BB3D49">
        <w:rPr>
          <w:rFonts w:ascii="Times New Roman" w:hAnsi="Times New Roman"/>
        </w:rPr>
        <w:t xml:space="preserve"> to</w:t>
      </w:r>
      <w:r>
        <w:rPr>
          <w:rFonts w:ascii="Times New Roman" w:hAnsi="Times New Roman"/>
        </w:rPr>
        <w:t xml:space="preserve"> value the respondents, including their time, interest, and preferences.  Angering sample members is not an option in the face of their ability to screen and reject interviewer’s calls.  NLS’s incentive efforts and contacting approach will continue NLS’s efforts to motivate sample members, assuage their concerns, and convey NLS’s interest in them as individuals, not numbers.</w:t>
      </w:r>
    </w:p>
    <w:p w:rsidR="00E748CF" w:rsidRPr="00E748CF" w:rsidP="00E748CF" w14:paraId="10ED8DC6" w14:textId="77777777">
      <w:pPr>
        <w:rPr>
          <w:rFonts w:ascii="Times New Roman" w:hAnsi="Times New Roman"/>
        </w:rPr>
      </w:pPr>
    </w:p>
    <w:p w:rsidR="00E748CF" w:rsidRPr="00386860" w:rsidP="00E748CF" w14:paraId="0464AB37" w14:textId="77777777">
      <w:pPr>
        <w:spacing w:after="160" w:line="259" w:lineRule="auto"/>
        <w:rPr>
          <w:rFonts w:ascii="Times New Roman" w:hAnsi="Times New Roman"/>
          <w:bCs/>
          <w:i/>
          <w:iCs/>
        </w:rPr>
      </w:pPr>
      <w:r w:rsidRPr="00386860">
        <w:rPr>
          <w:rFonts w:ascii="Times New Roman" w:hAnsi="Times New Roman"/>
          <w:bCs/>
          <w:i/>
          <w:iCs/>
        </w:rPr>
        <w:t>References</w:t>
      </w:r>
    </w:p>
    <w:p w:rsidR="00E748CF" w:rsidRPr="00E748CF" w:rsidP="00E748CF" w14:paraId="25091EFF" w14:textId="77777777">
      <w:pPr>
        <w:ind w:left="360" w:hanging="360"/>
        <w:rPr>
          <w:rFonts w:ascii="Times New Roman" w:hAnsi="Times New Roman"/>
        </w:rPr>
      </w:pPr>
      <w:r w:rsidRPr="00E748CF">
        <w:rPr>
          <w:rFonts w:ascii="Times New Roman" w:hAnsi="Times New Roman"/>
        </w:rPr>
        <w:t>Creighton, K. P., King, K. E., &amp; Martin, E. A. (2007). The use of monetary incentives in Census Bureau longitudinal surveys. Survey Methodology, 2.</w:t>
      </w:r>
    </w:p>
    <w:p w:rsidR="00E748CF" w:rsidRPr="00E748CF" w:rsidP="00E748CF" w14:paraId="69F6D116" w14:textId="77777777">
      <w:pPr>
        <w:ind w:left="360" w:hanging="360"/>
        <w:rPr>
          <w:rFonts w:ascii="Times New Roman" w:hAnsi="Times New Roman"/>
        </w:rPr>
      </w:pPr>
    </w:p>
    <w:p w:rsidR="00E748CF" w:rsidRPr="00E748CF" w:rsidP="00E748CF" w14:paraId="3CC01887" w14:textId="77777777">
      <w:pPr>
        <w:ind w:left="360" w:hanging="360"/>
        <w:rPr>
          <w:rFonts w:ascii="Times New Roman" w:hAnsi="Times New Roman"/>
        </w:rPr>
      </w:pPr>
      <w:r w:rsidRPr="00E748CF">
        <w:rPr>
          <w:rFonts w:ascii="Times New Roman" w:hAnsi="Times New Roman"/>
        </w:rPr>
        <w:t>Martin, E., &amp; Winters, F. (2001). Money and motive: effects of incentives on panel attrition in the survey of income and program participation. Journal of Official Statistics, 17(2), 267.</w:t>
      </w:r>
    </w:p>
    <w:p w:rsidR="00E748CF" w:rsidRPr="00E748CF" w:rsidP="00E748CF" w14:paraId="3079BD39" w14:textId="77777777">
      <w:pPr>
        <w:ind w:left="360" w:hanging="360"/>
        <w:rPr>
          <w:rFonts w:ascii="Times New Roman" w:hAnsi="Times New Roman"/>
        </w:rPr>
      </w:pPr>
    </w:p>
    <w:p w:rsidR="00E748CF" w:rsidRPr="00E748CF" w:rsidP="00E748CF" w14:paraId="495D06CD" w14:textId="77777777">
      <w:pPr>
        <w:ind w:left="360" w:hanging="360"/>
        <w:rPr>
          <w:rFonts w:ascii="Times New Roman" w:hAnsi="Times New Roman"/>
        </w:rPr>
      </w:pPr>
      <w:r w:rsidRPr="00E748CF">
        <w:rPr>
          <w:rFonts w:ascii="Times New Roman" w:hAnsi="Times New Roman"/>
        </w:rPr>
        <w:t>McGonagle, K. A., &amp; Freedman, V. A. (2017). The effects of a delayed incentive on response rates, response mode, data quality, and sample bias in a nationally representative mixed mode study. Field methods, 29(3), 221-237.</w:t>
      </w:r>
    </w:p>
    <w:p w:rsidR="00E748CF" w:rsidRPr="00E748CF" w:rsidP="00E748CF" w14:paraId="10DAD12C" w14:textId="77777777">
      <w:pPr>
        <w:ind w:left="360" w:hanging="360"/>
        <w:rPr>
          <w:rFonts w:ascii="Times New Roman" w:hAnsi="Times New Roman"/>
        </w:rPr>
      </w:pPr>
    </w:p>
    <w:p w:rsidR="00E748CF" w:rsidRPr="00E748CF" w:rsidP="00E748CF" w14:paraId="359751A3" w14:textId="77777777">
      <w:pPr>
        <w:ind w:left="360" w:hanging="360"/>
        <w:rPr>
          <w:rFonts w:ascii="Times New Roman" w:hAnsi="Times New Roman"/>
        </w:rPr>
      </w:pPr>
      <w:r w:rsidRPr="00E748CF">
        <w:rPr>
          <w:rFonts w:ascii="Times New Roman" w:hAnsi="Times New Roman"/>
        </w:rPr>
        <w:t>Rodgers, W. L. (2011). Effects of increasing the incentive size in a longitudinal study. Journal of Official Statistics, 27(2), 279.</w:t>
      </w:r>
    </w:p>
    <w:p w:rsidR="00E748CF" w:rsidP="00E748CF" w14:paraId="0923AD17" w14:textId="10EE84F4">
      <w:pPr>
        <w:rPr>
          <w:sz w:val="22"/>
          <w:szCs w:val="22"/>
        </w:rPr>
      </w:pPr>
    </w:p>
    <w:p w:rsidR="00070C48" w:rsidRPr="00877871" w:rsidP="00E748CF" w14:paraId="296F32A6" w14:textId="77777777">
      <w:pPr>
        <w:rPr>
          <w:sz w:val="22"/>
          <w:szCs w:val="22"/>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B65823" w:rsidP="00B65823" w14:paraId="41D6A133" w14:textId="77777777">
      <w:pPr>
        <w:widowControl/>
        <w:rPr>
          <w:rFonts w:ascii="Times New Roman" w:hAnsi="Times New Roman"/>
          <w:bCs/>
        </w:rPr>
      </w:pPr>
    </w:p>
    <w:p w:rsidR="009141CF" w:rsidRPr="009141CF" w:rsidP="009141CF" w14:paraId="2B53D260" w14:textId="77777777">
      <w:pPr>
        <w:pStyle w:val="Heading4"/>
        <w:rPr>
          <w:rFonts w:ascii="Times New Roman" w:hAnsi="Times New Roman" w:cs="Times New Roman"/>
          <w:color w:val="auto"/>
        </w:rPr>
      </w:pPr>
      <w:bookmarkStart w:id="14" w:name="_Toc186885072"/>
      <w:bookmarkStart w:id="15" w:name="_Toc223419817"/>
      <w:r w:rsidRPr="009141CF">
        <w:rPr>
          <w:rFonts w:ascii="Times New Roman" w:hAnsi="Times New Roman" w:cs="Times New Roman"/>
          <w:color w:val="auto"/>
        </w:rPr>
        <w:t>a. BLS Confidentiality Policy</w:t>
      </w:r>
      <w:bookmarkEnd w:id="14"/>
      <w:bookmarkEnd w:id="15"/>
    </w:p>
    <w:p w:rsidR="009141CF" w:rsidRPr="009141CF" w:rsidP="009141CF" w14:paraId="49BA72DC" w14:textId="21BA6E70">
      <w:pPr>
        <w:rPr>
          <w:rFonts w:ascii="Times New Roman" w:hAnsi="Times New Roman"/>
        </w:rPr>
      </w:pPr>
      <w:r w:rsidRPr="009141CF">
        <w:rPr>
          <w:rFonts w:ascii="Times New Roman" w:hAnsi="Times New Roman"/>
        </w:rPr>
        <w:t xml:space="preserve">The information that NLSY79 respondents provide is protected by the Privacy Act of 1974 (DOL/BLS–13, NLSY79 Database (81 FR 25788)) and the Confidential Information Protection and Statistical Efficiency Act (CIPSEA).  </w:t>
      </w:r>
    </w:p>
    <w:p w:rsidR="009141CF" w:rsidRPr="009141CF" w:rsidP="009141CF" w14:paraId="10D52E6D" w14:textId="77777777">
      <w:pPr>
        <w:rPr>
          <w:rFonts w:ascii="Times New Roman" w:hAnsi="Times New Roman"/>
        </w:rPr>
      </w:pPr>
    </w:p>
    <w:p w:rsidR="009141CF" w:rsidRPr="009141CF" w:rsidP="009141CF" w14:paraId="5D62D088" w14:textId="77777777">
      <w:pPr>
        <w:rPr>
          <w:rFonts w:ascii="Times New Roman" w:hAnsi="Times New Roman"/>
          <w:color w:val="000000"/>
        </w:rPr>
      </w:pPr>
      <w:r w:rsidRPr="009141CF">
        <w:rPr>
          <w:rFonts w:ascii="Times New Roman" w:hAnsi="Times New Roman"/>
        </w:rPr>
        <w:t>CIPSEA</w:t>
      </w:r>
      <w:r w:rsidRPr="009141CF">
        <w:rPr>
          <w:rFonts w:ascii="Times New Roman" w:hAnsi="Times New Roman"/>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9141CF" w:rsidRPr="009141CF" w:rsidP="009141CF" w14:paraId="32E6CF71" w14:textId="77777777">
      <w:pPr>
        <w:rPr>
          <w:rFonts w:ascii="Times New Roman" w:hAnsi="Times New Roman"/>
          <w:color w:val="000000"/>
        </w:rPr>
      </w:pPr>
    </w:p>
    <w:p w:rsidR="009141CF" w:rsidRPr="009141CF" w:rsidP="005E21FE" w14:paraId="5BB0FA51" w14:textId="77777777">
      <w:pPr>
        <w:widowControl/>
        <w:rPr>
          <w:rFonts w:ascii="Times New Roman" w:hAnsi="Times New Roman"/>
        </w:rPr>
      </w:pPr>
      <w:r w:rsidRPr="009141CF">
        <w:rPr>
          <w:rFonts w:ascii="Times New Roman" w:hAnsi="Times New Roman"/>
        </w:rPr>
        <w:t>Based on this law, the BLS provides respondents with the following confidentiality pledge/informed consent statement:</w:t>
      </w:r>
    </w:p>
    <w:p w:rsidR="009141CF" w:rsidRPr="009141CF" w:rsidP="009141CF" w14:paraId="5516F72F" w14:textId="77777777">
      <w:pPr>
        <w:rPr>
          <w:rFonts w:ascii="Times New Roman" w:hAnsi="Times New Roman"/>
        </w:rPr>
      </w:pPr>
    </w:p>
    <w:p w:rsidR="009141CF" w:rsidRPr="009141CF" w:rsidP="009141CF" w14:paraId="6D15B2CB" w14:textId="77777777">
      <w:pPr>
        <w:ind w:left="360"/>
        <w:rPr>
          <w:rFonts w:ascii="Times New Roman" w:hAnsi="Times New Roman"/>
        </w:rPr>
      </w:pPr>
      <w:r w:rsidRPr="009141CF">
        <w:rPr>
          <w:rFonts w:ascii="Times New Roman" w:hAnsi="Times New Roman"/>
        </w:rPr>
        <w:t xml:space="preserve">“We want to reassure you that your confidentiality is protected by law.  </w:t>
      </w:r>
      <w:r w:rsidRPr="009141CF">
        <w:rPr>
          <w:rFonts w:ascii="Times New Roman" w:hAnsi="Times New Roman"/>
          <w:color w:val="000000"/>
        </w:rPr>
        <w:t xml:space="preserve">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9141CF">
        <w:rPr>
          <w:rFonts w:ascii="Times New Roman" w:hAnsi="Times New Roman"/>
        </w:rPr>
        <w:t xml:space="preserve"> </w:t>
      </w:r>
      <w:r w:rsidRPr="00C91362">
        <w:rPr>
          <w:rFonts w:ascii="Times New Roman" w:hAnsi="Times New Roman"/>
        </w:rPr>
        <w:t>All the employees who work on the survey at the Bureau of Labor Statistics and its contractors must sign a document agreeing to protect the confidentiality of your information.</w:t>
      </w:r>
      <w:r w:rsidRPr="009141CF">
        <w:rPr>
          <w:rFonts w:ascii="Times New Roman" w:hAnsi="Times New Roman"/>
        </w:rPr>
        <w:t xml:space="preserve">  In fact, only a few people have access to information about your identity because they need that information to carry out their job duties.</w:t>
      </w:r>
    </w:p>
    <w:p w:rsidR="009141CF" w:rsidRPr="009141CF" w:rsidP="009141CF" w14:paraId="74790516" w14:textId="77777777">
      <w:pPr>
        <w:ind w:left="360"/>
        <w:rPr>
          <w:rFonts w:ascii="Times New Roman" w:hAnsi="Times New Roman"/>
        </w:rPr>
      </w:pPr>
    </w:p>
    <w:p w:rsidR="009141CF" w:rsidRPr="009141CF" w:rsidP="009141CF" w14:paraId="61C51A32" w14:textId="77777777">
      <w:pPr>
        <w:ind w:left="360"/>
        <w:rPr>
          <w:rFonts w:ascii="Times New Roman" w:hAnsi="Times New Roman"/>
        </w:rPr>
      </w:pPr>
      <w:r w:rsidRPr="009141CF">
        <w:rPr>
          <w:rFonts w:ascii="Times New Roman" w:hAnsi="Times New Roman"/>
        </w:rPr>
        <w:t xml:space="preserve">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w:t>
      </w:r>
      <w:r w:rsidRPr="009141CF">
        <w:rPr>
          <w:rFonts w:ascii="Times New Roman" w:hAnsi="Times New Roman"/>
        </w:rPr>
        <w:t>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9141CF" w:rsidRPr="009141CF" w:rsidP="009141CF" w14:paraId="618ADE15" w14:textId="77777777">
      <w:pPr>
        <w:ind w:left="360"/>
        <w:rPr>
          <w:rFonts w:ascii="Times New Roman" w:hAnsi="Times New Roman"/>
        </w:rPr>
      </w:pPr>
    </w:p>
    <w:p w:rsidR="009141CF" w:rsidRPr="009141CF" w:rsidP="009141CF" w14:paraId="2776B761" w14:textId="77777777">
      <w:pPr>
        <w:rPr>
          <w:rFonts w:ascii="Times New Roman" w:hAnsi="Times New Roman"/>
        </w:rPr>
      </w:pPr>
      <w:r w:rsidRPr="009141CF">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9141CF" w:rsidRPr="009141CF" w:rsidP="009141CF" w14:paraId="1065BF5C" w14:textId="77777777">
      <w:pPr>
        <w:ind w:left="360"/>
        <w:rPr>
          <w:rFonts w:ascii="Times New Roman" w:hAnsi="Times New Roman"/>
        </w:rPr>
      </w:pPr>
    </w:p>
    <w:p w:rsidR="009141CF" w:rsidRPr="009141CF" w:rsidP="009141CF" w14:paraId="2A6AEBF6" w14:textId="0C98D25E">
      <w:pPr>
        <w:rPr>
          <w:rFonts w:ascii="Times New Roman" w:hAnsi="Times New Roman"/>
        </w:rPr>
      </w:pPr>
      <w:r w:rsidRPr="009141CF">
        <w:rPr>
          <w:rFonts w:ascii="Times New Roman" w:hAnsi="Times New Roman"/>
        </w:rPr>
        <w:t xml:space="preserve">By signing a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Agent Agreement, all authorized agents employed by the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contractors and their subcontractors pledge to comply with the Privacy Act, CIPSEA, other applicable federal laws, and the BLS confidentiality policy.  </w:t>
      </w:r>
      <w:r w:rsidRPr="009141CF">
        <w:rPr>
          <w:rFonts w:ascii="Times New Roman" w:eastAsia="Batang" w:hAnsi="Times New Roman"/>
          <w:lang w:eastAsia="ko-KR"/>
        </w:rPr>
        <w:t xml:space="preserve">No interviewer or other staff member is allowed to see any case data until the BLS Agent Agreement, Department of Labor Rules of Conduct, BLS Confidentiality Training certification, and Department of Labor Information Systems Security Awareness training certification are on file.  </w:t>
      </w:r>
      <w:r w:rsidRPr="009141CF">
        <w:rPr>
          <w:rFonts w:ascii="Times New Roman" w:hAnsi="Times New Roman"/>
        </w:rPr>
        <w:t xml:space="preserve">Respondents will be provided a copy of the questions and answers shown in Attachment </w:t>
      </w:r>
      <w:r w:rsidRPr="009141CF">
        <w:rPr>
          <w:rStyle w:val="CommentReference"/>
          <w:rFonts w:ascii="Times New Roman" w:hAnsi="Times New Roman"/>
          <w:sz w:val="24"/>
          <w:szCs w:val="24"/>
        </w:rPr>
        <w:t xml:space="preserve">6 </w:t>
      </w:r>
      <w:r w:rsidRPr="009141CF">
        <w:rPr>
          <w:rFonts w:ascii="Times New Roman" w:hAnsi="Times New Roman"/>
        </w:rPr>
        <w:t xml:space="preserve">about uses of the data, confidentiality, and burden.  These questions and answers appear on the back of the letter that respondents will receive in advance of the Round </w:t>
      </w:r>
      <w:r>
        <w:rPr>
          <w:rFonts w:ascii="Times New Roman" w:hAnsi="Times New Roman"/>
        </w:rPr>
        <w:t>3</w:t>
      </w:r>
      <w:r w:rsidR="00FB462E">
        <w:rPr>
          <w:rFonts w:ascii="Times New Roman" w:hAnsi="Times New Roman"/>
        </w:rPr>
        <w:t>1</w:t>
      </w:r>
      <w:r w:rsidRPr="009141CF">
        <w:rPr>
          <w:rFonts w:ascii="Times New Roman" w:hAnsi="Times New Roman"/>
        </w:rPr>
        <w:t xml:space="preserve"> interviews.  </w:t>
      </w:r>
    </w:p>
    <w:p w:rsidR="009141CF" w:rsidRPr="009141CF" w:rsidP="009141CF" w14:paraId="62EB1767" w14:textId="77777777">
      <w:pPr>
        <w:rPr>
          <w:rFonts w:ascii="Times New Roman" w:hAnsi="Times New Roman"/>
        </w:rPr>
      </w:pPr>
    </w:p>
    <w:p w:rsidR="009141CF" w:rsidRPr="009141CF" w:rsidP="009141CF" w14:paraId="6FEDBEDB" w14:textId="0471A416">
      <w:pPr>
        <w:pStyle w:val="Heading4"/>
        <w:rPr>
          <w:rFonts w:ascii="Times New Roman" w:hAnsi="Times New Roman" w:cs="Times New Roman"/>
          <w:b/>
          <w:color w:val="auto"/>
        </w:rPr>
      </w:pPr>
      <w:bookmarkStart w:id="16" w:name="_Toc186885073"/>
      <w:bookmarkStart w:id="17" w:name="_Toc223419818"/>
      <w:r w:rsidRPr="009141CF">
        <w:rPr>
          <w:rFonts w:ascii="Times New Roman" w:hAnsi="Times New Roman" w:cs="Times New Roman"/>
          <w:color w:val="auto"/>
        </w:rPr>
        <w:t>b. CHRR and NOR</w:t>
      </w:r>
      <w:r w:rsidR="009756BF">
        <w:rPr>
          <w:rFonts w:ascii="Times New Roman" w:hAnsi="Times New Roman" w:cs="Times New Roman"/>
          <w:color w:val="auto"/>
        </w:rPr>
        <w:t xml:space="preserve">C Contractor </w:t>
      </w:r>
      <w:r w:rsidRPr="009141CF">
        <w:rPr>
          <w:rFonts w:ascii="Times New Roman" w:hAnsi="Times New Roman" w:cs="Times New Roman"/>
          <w:color w:val="auto"/>
        </w:rPr>
        <w:t>Confidentiality Safeguards</w:t>
      </w:r>
      <w:bookmarkEnd w:id="16"/>
      <w:bookmarkEnd w:id="17"/>
    </w:p>
    <w:p w:rsidR="009141CF" w:rsidRPr="009141CF" w:rsidP="009141CF" w14:paraId="0EBFBBBE" w14:textId="7F16070E">
      <w:pPr>
        <w:rPr>
          <w:rFonts w:ascii="Times New Roman" w:hAnsi="Times New Roman"/>
        </w:rPr>
      </w:pPr>
      <w:r>
        <w:rPr>
          <w:rFonts w:ascii="Times New Roman" w:hAnsi="Times New Roman"/>
        </w:rPr>
        <w:t>BLS contractors (</w:t>
      </w:r>
      <w:r w:rsidRPr="009141CF">
        <w:rPr>
          <w:rFonts w:ascii="Times New Roman" w:hAnsi="Times New Roman"/>
        </w:rPr>
        <w:t>CHRR and NORC</w:t>
      </w:r>
      <w:r>
        <w:rPr>
          <w:rFonts w:ascii="Times New Roman" w:hAnsi="Times New Roman"/>
        </w:rPr>
        <w:t>)</w:t>
      </w:r>
      <w:r w:rsidRPr="009141CF">
        <w:rPr>
          <w:rFonts w:ascii="Times New Roman" w:hAnsi="Times New Roman"/>
        </w:rPr>
        <w:t xml:space="preserve"> have safeguards to provide for the security of NLS data and the protection of the privacy of individuals in the sampled cohorts.  These measures are used for the NLSY79 as well as the other NLS cohorts.  Safeguards for the security of data include:</w:t>
      </w:r>
    </w:p>
    <w:p w:rsidR="009141CF" w:rsidP="009141CF" w14:paraId="6C9215F4" w14:textId="325A9138">
      <w:pPr>
        <w:rPr>
          <w:rFonts w:ascii="Times New Roman" w:hAnsi="Times New Roman"/>
        </w:rPr>
      </w:pPr>
    </w:p>
    <w:p w:rsidR="009141CF" w:rsidRPr="009141CF" w:rsidP="009141CF" w14:paraId="3B6118BE" w14:textId="77777777">
      <w:pPr>
        <w:ind w:left="432" w:hanging="259"/>
        <w:rPr>
          <w:rFonts w:ascii="Times New Roman" w:hAnsi="Times New Roman"/>
        </w:rPr>
      </w:pPr>
      <w:r w:rsidRPr="009141CF">
        <w:rPr>
          <w:rFonts w:ascii="Times New Roman" w:hAnsi="Times New Roman"/>
        </w:rPr>
        <w:t>1.  Storage of printed survey documents in locked space at NORC.</w:t>
      </w:r>
    </w:p>
    <w:p w:rsidR="009141CF" w:rsidRPr="009141CF" w:rsidP="009141CF" w14:paraId="16FF0878" w14:textId="77777777">
      <w:pPr>
        <w:ind w:left="432" w:hanging="259"/>
        <w:rPr>
          <w:rFonts w:ascii="Times New Roman" w:hAnsi="Times New Roman"/>
        </w:rPr>
      </w:pPr>
    </w:p>
    <w:p w:rsidR="009141CF" w:rsidRPr="009141CF" w:rsidP="009141CF" w14:paraId="50F49618" w14:textId="77777777">
      <w:pPr>
        <w:pStyle w:val="BodyTextIndent3"/>
        <w:ind w:left="432" w:hanging="259"/>
        <w:rPr>
          <w:rFonts w:ascii="Times New Roman" w:eastAsia="Batang" w:hAnsi="Times New Roman"/>
          <w:sz w:val="24"/>
          <w:szCs w:val="24"/>
          <w:lang w:eastAsia="ko-KR"/>
        </w:rPr>
      </w:pPr>
      <w:r w:rsidRPr="009141CF">
        <w:rPr>
          <w:rFonts w:ascii="Times New Roman" w:hAnsi="Times New Roman"/>
          <w:sz w:val="24"/>
          <w:szCs w:val="24"/>
        </w:rPr>
        <w:t xml:space="preserve">2.  Protection of computer files at CHRR and NORC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9141CF">
        <w:rPr>
          <w:rFonts w:ascii="Times New Roman" w:eastAsia="Batang" w:hAnsi="Times New Roman"/>
          <w:sz w:val="24"/>
          <w:szCs w:val="24"/>
          <w:lang w:eastAsia="ko-KR"/>
        </w:rPr>
        <w:t>Interview data are periodically removed from laptops in the field so that only information that may be needed by the interviewer is retained.  If a laptop is lost or stolen it can be wiped clean remotely.</w:t>
      </w:r>
    </w:p>
    <w:p w:rsidR="009141CF" w:rsidRPr="009141CF" w:rsidP="009141CF" w14:paraId="7042136D" w14:textId="77777777">
      <w:pPr>
        <w:ind w:left="432" w:hanging="259"/>
        <w:rPr>
          <w:rFonts w:ascii="Times New Roman" w:eastAsia="Batang" w:hAnsi="Times New Roman"/>
          <w:lang w:eastAsia="ko-KR"/>
        </w:rPr>
      </w:pPr>
      <w:r w:rsidRPr="009141CF">
        <w:rPr>
          <w:rFonts w:ascii="Times New Roman" w:hAnsi="Times New Roman"/>
        </w:rPr>
        <w:t xml:space="preserve">3.  Protection of computer files at CHRR and at NORC against access by unauthorized persons and groups.  Especially sensitive files are secured through a series of passwords to restricted users.  Access to files is strictly on a need-to-know basis.  </w:t>
      </w:r>
      <w:r w:rsidRPr="009141CF">
        <w:rPr>
          <w:rFonts w:ascii="Times New Roman" w:eastAsia="Batang" w:hAnsi="Times New Roman"/>
          <w:lang w:eastAsia="ko-KR"/>
        </w:rPr>
        <w:t>Passwords change every 90 days.</w:t>
      </w:r>
    </w:p>
    <w:p w:rsidR="009141CF" w:rsidRPr="009141CF" w:rsidP="009141CF" w14:paraId="31F02C51" w14:textId="77777777">
      <w:pPr>
        <w:ind w:left="432" w:hanging="259"/>
        <w:rPr>
          <w:rFonts w:ascii="Times New Roman" w:eastAsia="Batang" w:hAnsi="Times New Roman"/>
          <w:lang w:eastAsia="ko-KR"/>
        </w:rPr>
      </w:pPr>
    </w:p>
    <w:p w:rsidR="009141CF" w:rsidRPr="009141CF" w:rsidP="009141CF" w14:paraId="65E0F2AB" w14:textId="77777777">
      <w:pPr>
        <w:ind w:left="432" w:hanging="259"/>
        <w:rPr>
          <w:rFonts w:ascii="Times New Roman" w:hAnsi="Times New Roman"/>
        </w:rPr>
      </w:pPr>
      <w:r w:rsidRPr="009141CF">
        <w:rPr>
          <w:rFonts w:ascii="Times New Roman" w:eastAsia="Batang" w:hAnsi="Times New Roman"/>
          <w:lang w:eastAsia="ko-KR"/>
        </w:rPr>
        <w:t xml:space="preserve">4.  To assure the CHRR and its subcontractor NORC are in compliance with the Federal Information Security Modernization Act of 2014 (FISMA) and adequately monitoring all cybersecurity risks to NLS assets and data, in addition to regular self-assessments, the NLS </w:t>
      </w:r>
      <w:r w:rsidRPr="009141CF">
        <w:rPr>
          <w:rFonts w:ascii="Times New Roman" w:eastAsia="Batang" w:hAnsi="Times New Roman"/>
          <w:lang w:eastAsia="ko-KR"/>
        </w:rPr>
        <w:t xml:space="preserve">system undergoes a full NIST 800-53 audit every 3 years using an outside independent cybersecurity auditing firm.  </w:t>
      </w:r>
    </w:p>
    <w:p w:rsidR="00070C48" w:rsidRPr="009141CF" w:rsidP="009141CF" w14:paraId="2407BB41" w14:textId="77777777">
      <w:pPr>
        <w:pStyle w:val="FootnoteText"/>
        <w:rPr>
          <w:sz w:val="24"/>
          <w:szCs w:val="24"/>
        </w:rPr>
      </w:pPr>
    </w:p>
    <w:p w:rsidR="009141CF" w:rsidRPr="009141CF" w:rsidP="009141CF" w14:paraId="510710E3" w14:textId="77777777">
      <w:pPr>
        <w:rPr>
          <w:rFonts w:ascii="Times New Roman" w:hAnsi="Times New Roman"/>
        </w:rPr>
      </w:pPr>
      <w:r w:rsidRPr="009141CF">
        <w:rPr>
          <w:rFonts w:ascii="Times New Roman" w:hAnsi="Times New Roman"/>
        </w:rPr>
        <w:t>Protection of the privacy of individuals is accomplished through the following steps:</w:t>
      </w:r>
    </w:p>
    <w:p w:rsidR="009141CF" w:rsidRPr="009141CF" w:rsidP="009141CF" w14:paraId="171FA817" w14:textId="77777777">
      <w:pPr>
        <w:rPr>
          <w:rFonts w:ascii="Times New Roman" w:hAnsi="Times New Roman"/>
        </w:rPr>
      </w:pPr>
    </w:p>
    <w:p w:rsidR="009141CF" w:rsidRPr="009141CF" w:rsidP="009141CF" w14:paraId="348039BF" w14:textId="77777777">
      <w:pPr>
        <w:ind w:left="432" w:hanging="259"/>
        <w:rPr>
          <w:rFonts w:ascii="Times New Roman" w:hAnsi="Times New Roman"/>
        </w:rPr>
      </w:pPr>
      <w:r w:rsidRPr="009141CF">
        <w:rPr>
          <w:rFonts w:ascii="Times New Roman" w:hAnsi="Times New Roman"/>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confidentiality information and understands that participation is voluntary.</w:t>
      </w:r>
    </w:p>
    <w:p w:rsidR="009141CF" w:rsidRPr="009141CF" w:rsidP="009141CF" w14:paraId="3634217D" w14:textId="77777777">
      <w:pPr>
        <w:ind w:left="432" w:hanging="259"/>
        <w:rPr>
          <w:rFonts w:ascii="Times New Roman" w:hAnsi="Times New Roman"/>
        </w:rPr>
      </w:pPr>
    </w:p>
    <w:p w:rsidR="009141CF" w:rsidRPr="009141CF" w:rsidP="009141CF" w14:paraId="08F58EBB" w14:textId="77777777">
      <w:pPr>
        <w:ind w:left="432" w:hanging="259"/>
        <w:rPr>
          <w:rFonts w:ascii="Times New Roman" w:hAnsi="Times New Roman"/>
        </w:rPr>
      </w:pPr>
      <w:r w:rsidRPr="009141CF">
        <w:rPr>
          <w:rFonts w:ascii="Times New Roman" w:hAnsi="Times New Roman"/>
        </w:rPr>
        <w:t>2.  Information identifying respondents is separated from the questionnaire and placed into a non-public database.  Respondents are then linked to data through identification numbers.</w:t>
      </w:r>
    </w:p>
    <w:p w:rsidR="009141CF" w:rsidRPr="009141CF" w:rsidP="009141CF" w14:paraId="4F715900" w14:textId="77777777">
      <w:pPr>
        <w:rPr>
          <w:rFonts w:ascii="Times New Roman" w:hAnsi="Times New Roman"/>
        </w:rPr>
      </w:pPr>
    </w:p>
    <w:p w:rsidR="009141CF" w:rsidRPr="009141CF" w:rsidP="009141CF" w14:paraId="4A703043" w14:textId="77777777">
      <w:pPr>
        <w:ind w:left="432" w:hanging="259"/>
        <w:rPr>
          <w:rFonts w:ascii="Times New Roman" w:hAnsi="Times New Roman"/>
        </w:rPr>
      </w:pPr>
      <w:r w:rsidRPr="009141CF">
        <w:rPr>
          <w:rFonts w:ascii="Times New Roman" w:hAnsi="Times New Roman"/>
        </w:rPr>
        <w:t>3.  The public-use version of the data, available on the Internet, masks or removes data that are of sufficient specificity that individuals could theoretically be identified through some set of unique characteristics.</w:t>
      </w:r>
    </w:p>
    <w:p w:rsidR="009141CF" w:rsidRPr="009141CF" w:rsidP="009141CF" w14:paraId="4CF85D52" w14:textId="77777777">
      <w:pPr>
        <w:ind w:left="432" w:hanging="259"/>
        <w:rPr>
          <w:rFonts w:ascii="Times New Roman" w:hAnsi="Times New Roman"/>
        </w:rPr>
      </w:pPr>
    </w:p>
    <w:p w:rsidR="009141CF" w:rsidRPr="009141CF" w:rsidP="009141CF" w14:paraId="6F20EA9A" w14:textId="77777777">
      <w:pPr>
        <w:ind w:left="432" w:hanging="259"/>
        <w:rPr>
          <w:rFonts w:ascii="Times New Roman" w:hAnsi="Times New Roman"/>
        </w:rPr>
      </w:pPr>
      <w:r w:rsidRPr="009141CF">
        <w:rPr>
          <w:rFonts w:ascii="Times New Roman" w:hAnsi="Times New Roman"/>
        </w:rPr>
        <w:t xml:space="preserve">4.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and sign an agreement with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released to researchers without express written permission from NLS and are not available on the public use internet site.</w:t>
      </w:r>
    </w:p>
    <w:p w:rsidR="009141CF" w:rsidRPr="009141CF" w:rsidP="009141CF" w14:paraId="5CD511A7" w14:textId="77777777">
      <w:pPr>
        <w:ind w:left="432" w:hanging="259"/>
        <w:rPr>
          <w:rFonts w:ascii="Times New Roman" w:hAnsi="Times New Roman"/>
        </w:rPr>
      </w:pPr>
    </w:p>
    <w:p w:rsidR="009141CF" w:rsidRPr="009141CF" w:rsidP="009141CF" w14:paraId="7513094F" w14:textId="5DCB1E1D">
      <w:pPr>
        <w:pStyle w:val="BodyText2"/>
        <w:ind w:left="432" w:hanging="259"/>
        <w:rPr>
          <w:rFonts w:eastAsia="Batang"/>
          <w:sz w:val="24"/>
          <w:szCs w:val="24"/>
          <w:lang w:eastAsia="ko-KR"/>
        </w:rPr>
      </w:pPr>
      <w:r w:rsidRPr="009141CF">
        <w:rPr>
          <w:rFonts w:eastAsia="Batang"/>
          <w:sz w:val="24"/>
          <w:szCs w:val="24"/>
          <w:lang w:eastAsia="ko-KR"/>
        </w:rPr>
        <w:t xml:space="preserve">5.  In Round </w:t>
      </w:r>
      <w:r w:rsidR="000374C3">
        <w:rPr>
          <w:rFonts w:eastAsia="Batang"/>
          <w:sz w:val="24"/>
          <w:szCs w:val="24"/>
          <w:lang w:eastAsia="ko-KR"/>
        </w:rPr>
        <w:t>3</w:t>
      </w:r>
      <w:r w:rsidR="00FB462E">
        <w:rPr>
          <w:rFonts w:eastAsia="Batang"/>
          <w:sz w:val="24"/>
          <w:szCs w:val="24"/>
          <w:lang w:eastAsia="ko-KR"/>
        </w:rPr>
        <w:t>1</w:t>
      </w:r>
      <w:r w:rsidRPr="009141CF" w:rsidR="000374C3">
        <w:rPr>
          <w:rFonts w:eastAsia="Batang"/>
          <w:sz w:val="24"/>
          <w:szCs w:val="24"/>
          <w:lang w:eastAsia="ko-KR"/>
        </w:rPr>
        <w:t xml:space="preserve"> </w:t>
      </w:r>
      <w:r w:rsidR="004E0876">
        <w:rPr>
          <w:rFonts w:eastAsia="Batang"/>
          <w:sz w:val="24"/>
          <w:szCs w:val="24"/>
          <w:lang w:eastAsia="ko-KR"/>
        </w:rPr>
        <w:t>NLS</w:t>
      </w:r>
      <w:r w:rsidRPr="009141CF" w:rsidR="004E0876">
        <w:rPr>
          <w:rFonts w:eastAsia="Batang"/>
          <w:sz w:val="24"/>
          <w:szCs w:val="24"/>
          <w:lang w:eastAsia="ko-KR"/>
        </w:rPr>
        <w:t xml:space="preserve"> </w:t>
      </w:r>
      <w:r w:rsidRPr="009141CF">
        <w:rPr>
          <w:rFonts w:eastAsia="Batang"/>
          <w:sz w:val="24"/>
          <w:szCs w:val="24"/>
          <w:lang w:eastAsia="ko-KR"/>
        </w:rPr>
        <w:t xml:space="preserve">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and formal separation procedures when interviewers complete their project assignments.  Online and telephone respondent locating activities have been </w:t>
      </w:r>
      <w:r w:rsidR="000374C3">
        <w:rPr>
          <w:rFonts w:eastAsia="Batang"/>
          <w:sz w:val="24"/>
          <w:szCs w:val="24"/>
          <w:lang w:eastAsia="ko-KR"/>
        </w:rPr>
        <w:t>relocated</w:t>
      </w:r>
      <w:r w:rsidRPr="009141CF">
        <w:rPr>
          <w:rFonts w:eastAsia="Batang"/>
          <w:sz w:val="24"/>
          <w:szCs w:val="24"/>
          <w:lang w:eastAsia="ko-KR"/>
        </w:rPr>
        <w:t xml:space="preserve"> from NORC’s geographically dispersed field managers to locating staff in NORC’s central offices.  Respondent social security numbers were </w:t>
      </w:r>
      <w:r w:rsidR="000374C3">
        <w:rPr>
          <w:rFonts w:eastAsia="Batang"/>
          <w:sz w:val="24"/>
          <w:szCs w:val="24"/>
          <w:lang w:eastAsia="ko-KR"/>
        </w:rPr>
        <w:t>separated</w:t>
      </w:r>
      <w:r w:rsidRPr="009141CF" w:rsidR="000374C3">
        <w:rPr>
          <w:rFonts w:eastAsia="Batang"/>
          <w:sz w:val="24"/>
          <w:szCs w:val="24"/>
          <w:lang w:eastAsia="ko-KR"/>
        </w:rPr>
        <w:t xml:space="preserve"> </w:t>
      </w:r>
      <w:r w:rsidRPr="009141CF">
        <w:rPr>
          <w:rFonts w:eastAsia="Batang"/>
          <w:sz w:val="24"/>
          <w:szCs w:val="24"/>
          <w:lang w:eastAsia="ko-KR"/>
        </w:rPr>
        <w:t>from NORC and CHRR records during Round 23.</w:t>
      </w:r>
    </w:p>
    <w:p w:rsidR="009141CF" w:rsidRPr="009141CF" w:rsidP="009141CF" w14:paraId="76590D23" w14:textId="77777777">
      <w:pPr>
        <w:rPr>
          <w:rFonts w:ascii="Times New Roman" w:hAnsi="Times New Roman"/>
        </w:rPr>
      </w:pP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4A3318" w:rsidRPr="004A3318" w:rsidP="004A3318" w14:paraId="7D8DF9C1" w14:textId="772B8653">
      <w:pPr>
        <w:rPr>
          <w:rFonts w:ascii="Times New Roman" w:hAnsi="Times New Roman"/>
        </w:rPr>
      </w:pPr>
      <w:r w:rsidRPr="004A3318">
        <w:rPr>
          <w:rFonts w:ascii="Times New Roman" w:hAnsi="Times New Roman"/>
        </w:rPr>
        <w:t xml:space="preserve">Several sets of questions in the NLSY79 might be considered sensitive.  This section describes these questions and explains why they are a crucial part of the data collection.  All of these topics </w:t>
      </w:r>
      <w:r w:rsidRPr="004A3318">
        <w:rPr>
          <w:rFonts w:ascii="Times New Roman" w:hAnsi="Times New Roman"/>
        </w:rPr>
        <w:t xml:space="preserve">have been addressed in previous rounds of the surveys, and respondents generally have been willing to answer the questions.  Respondents are always free to refuse to answer any question that makes them feel uncomfortable. </w:t>
      </w:r>
    </w:p>
    <w:p w:rsidR="004A3318" w:rsidP="004A3318" w14:paraId="2AE6DE77" w14:textId="77777777">
      <w:pPr>
        <w:rPr>
          <w:rFonts w:ascii="Times New Roman" w:hAnsi="Times New Roman"/>
          <w:i/>
        </w:rPr>
      </w:pPr>
    </w:p>
    <w:p w:rsidR="004A3318" w:rsidRPr="004A3318" w:rsidP="004A3318" w14:paraId="3B7FC933" w14:textId="29ADDF1C">
      <w:pPr>
        <w:rPr>
          <w:rFonts w:ascii="Times New Roman" w:hAnsi="Times New Roman"/>
        </w:rPr>
      </w:pPr>
      <w:r w:rsidRPr="004A3318">
        <w:rPr>
          <w:rFonts w:ascii="Times New Roman" w:hAnsi="Times New Roman"/>
          <w:i/>
        </w:rPr>
        <w:t>Income, Assets, and Program Participation</w:t>
      </w:r>
      <w:r w:rsidRPr="004A3318">
        <w:rPr>
          <w:rFonts w:ascii="Times New Roman" w:hAnsi="Times New Roman"/>
        </w:rPr>
        <w:t xml:space="preserve">.  One major set of sensitive questions collects information about respondents’ income and assets.  The interviews record information about the sources and amounts of income received during the past calendar year by the respondent, his or her spouse or partner, or other family members.  Income sources identified include the respondents’ and their spouses’ or partners’ wages and salaries, income from military service, profits from a farm or business, Social Security, pensions and annuities.  These questions, or variants, have appeared in the NLSY79 since 1979.  The interviews collect information about what assets and debts the respondent and his or her spouse or partner hold, as well as the values of these assets and debts.  Variants of these questions have appeared in the NLSY79 since 1979.  While some respondents refuse to answer these questions, </w:t>
      </w:r>
      <w:r w:rsidR="00563D9B">
        <w:rPr>
          <w:rFonts w:ascii="Times New Roman" w:hAnsi="Times New Roman"/>
        </w:rPr>
        <w:t>the</w:t>
      </w:r>
      <w:r w:rsidRPr="004A3318" w:rsidR="00563D9B">
        <w:rPr>
          <w:rFonts w:ascii="Times New Roman" w:hAnsi="Times New Roman"/>
        </w:rPr>
        <w:t xml:space="preserve"> </w:t>
      </w:r>
      <w:r w:rsidRPr="004A3318">
        <w:rPr>
          <w:rFonts w:ascii="Times New Roman" w:hAnsi="Times New Roman"/>
        </w:rPr>
        <w:t xml:space="preserve">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 survey for the past 30 years.  </w:t>
      </w:r>
    </w:p>
    <w:p w:rsidR="004A3318" w:rsidRPr="004A3318" w:rsidP="004A3318" w14:paraId="30566C24" w14:textId="77777777">
      <w:pPr>
        <w:rPr>
          <w:rFonts w:ascii="Times New Roman" w:hAnsi="Times New Roman"/>
        </w:rPr>
      </w:pPr>
    </w:p>
    <w:p w:rsidR="004A3318" w:rsidRPr="004A3318" w:rsidP="004A3318" w14:paraId="7E7F66E8" w14:textId="77777777">
      <w:pPr>
        <w:rPr>
          <w:rFonts w:ascii="Times New Roman" w:hAnsi="Times New Roman"/>
        </w:rPr>
      </w:pPr>
      <w:r w:rsidRPr="004A3318">
        <w:rPr>
          <w:rFonts w:ascii="Times New Roman" w:hAnsi="Times New Roman"/>
        </w:rPr>
        <w:t>Income and assets questions are central to the usefulness of the NLSY79 data collection.  Most analyses based on the survey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rsidR="004A3318" w:rsidRPr="004A3318" w:rsidP="004A3318" w14:paraId="789BDD92" w14:textId="77777777">
      <w:pPr>
        <w:rPr>
          <w:rFonts w:ascii="Times New Roman" w:hAnsi="Times New Roman"/>
        </w:rPr>
      </w:pPr>
    </w:p>
    <w:p w:rsidR="004A3318" w:rsidRPr="004A3318" w:rsidP="00B842B8" w14:paraId="0E901DA8" w14:textId="7AA5FE30">
      <w:pPr>
        <w:pStyle w:val="BodyText2"/>
        <w:rPr>
          <w:sz w:val="24"/>
          <w:szCs w:val="24"/>
        </w:rPr>
      </w:pPr>
      <w:r w:rsidRPr="004A3318">
        <w:rPr>
          <w:sz w:val="24"/>
          <w:szCs w:val="24"/>
        </w:rPr>
        <w:t>In Round 3</w:t>
      </w:r>
      <w:r w:rsidR="00FB462E">
        <w:rPr>
          <w:sz w:val="24"/>
          <w:szCs w:val="24"/>
        </w:rPr>
        <w:t>1</w:t>
      </w:r>
      <w:r w:rsidRPr="004A3318">
        <w:rPr>
          <w:sz w:val="24"/>
          <w:szCs w:val="24"/>
        </w:rPr>
        <w:t xml:space="preserve">, </w:t>
      </w:r>
      <w:r w:rsidR="00E86A39">
        <w:rPr>
          <w:sz w:val="24"/>
          <w:szCs w:val="24"/>
        </w:rPr>
        <w:t>NLS</w:t>
      </w:r>
      <w:r w:rsidRPr="004A3318" w:rsidR="00E86A39">
        <w:rPr>
          <w:sz w:val="24"/>
          <w:szCs w:val="24"/>
        </w:rPr>
        <w:t xml:space="preserve"> </w:t>
      </w:r>
      <w:r w:rsidRPr="004A3318">
        <w:rPr>
          <w:sz w:val="24"/>
          <w:szCs w:val="24"/>
        </w:rPr>
        <w:t>plan</w:t>
      </w:r>
      <w:r w:rsidR="00E86A39">
        <w:rPr>
          <w:sz w:val="24"/>
          <w:szCs w:val="24"/>
        </w:rPr>
        <w:t>s</w:t>
      </w:r>
      <w:r w:rsidRPr="004A3318">
        <w:rPr>
          <w:sz w:val="24"/>
          <w:szCs w:val="24"/>
        </w:rPr>
        <w:t xml:space="preserve"> to continue the use of follow-up questions for respondents who answer “don’t know” or “refuse” to income and asset questions.  As described in a report submitted to OMB with the Round 22 clearance package, </w:t>
      </w:r>
      <w:r w:rsidR="00E86A39">
        <w:rPr>
          <w:sz w:val="24"/>
          <w:szCs w:val="24"/>
        </w:rPr>
        <w:t>NLS has</w:t>
      </w:r>
      <w:r w:rsidRPr="004A3318">
        <w:rPr>
          <w:sz w:val="24"/>
          <w:szCs w:val="24"/>
        </w:rPr>
        <w:t xml:space="preserve"> tested these follow-up questions to ensure that </w:t>
      </w:r>
      <w:r w:rsidR="00831082">
        <w:rPr>
          <w:sz w:val="24"/>
          <w:szCs w:val="24"/>
        </w:rPr>
        <w:t>it obtains</w:t>
      </w:r>
      <w:r w:rsidRPr="004A3318">
        <w:rPr>
          <w:sz w:val="24"/>
          <w:szCs w:val="24"/>
        </w:rPr>
        <w:t xml:space="preserve"> the best information possible.  Based on this analysis, </w:t>
      </w:r>
      <w:r w:rsidR="00E86A39">
        <w:rPr>
          <w:sz w:val="24"/>
          <w:szCs w:val="24"/>
        </w:rPr>
        <w:t>NLS</w:t>
      </w:r>
      <w:r w:rsidRPr="004A3318" w:rsidR="00E86A39">
        <w:rPr>
          <w:sz w:val="24"/>
          <w:szCs w:val="24"/>
        </w:rPr>
        <w:t xml:space="preserve"> </w:t>
      </w:r>
      <w:r w:rsidRPr="004A3318">
        <w:rPr>
          <w:sz w:val="24"/>
          <w:szCs w:val="24"/>
        </w:rPr>
        <w:t>implemented a hybrid approach beginning in Round 22 and plan</w:t>
      </w:r>
      <w:r w:rsidR="00E86A39">
        <w:rPr>
          <w:sz w:val="24"/>
          <w:szCs w:val="24"/>
        </w:rPr>
        <w:t>s</w:t>
      </w:r>
      <w:r w:rsidRPr="004A3318">
        <w:rPr>
          <w:sz w:val="24"/>
          <w:szCs w:val="24"/>
        </w:rPr>
        <w:t xml:space="preserve"> to continue using this approach in Round 3</w:t>
      </w:r>
      <w:r w:rsidR="00FB462E">
        <w:rPr>
          <w:sz w:val="24"/>
          <w:szCs w:val="24"/>
        </w:rPr>
        <w:t>1</w:t>
      </w:r>
      <w:r w:rsidRPr="004A3318">
        <w:rPr>
          <w:sz w:val="24"/>
          <w:szCs w:val="24"/>
        </w:rPr>
        <w:t xml:space="preserve">.  Briefly, respondents who answer an income or asset question with don’t know or refuse are first asked to provide a self-generated range.  Respondents who are unable to answer the self-generated intervals question then are asked unfolding bracket questions, where they are asked if the amount is more or less than a specified amount, and then more or less than a second specified amount.  These unfolding brackets are a common follow-up approach in major surveys including the Health and Retirement Study.  To limit any negative effects from using a hybrid follow-up, </w:t>
      </w:r>
      <w:r w:rsidR="00E86A39">
        <w:rPr>
          <w:sz w:val="24"/>
          <w:szCs w:val="24"/>
        </w:rPr>
        <w:t>NLS</w:t>
      </w:r>
      <w:r w:rsidRPr="004A3318" w:rsidR="00E86A39">
        <w:rPr>
          <w:sz w:val="24"/>
          <w:szCs w:val="24"/>
        </w:rPr>
        <w:t xml:space="preserve"> </w:t>
      </w:r>
      <w:r w:rsidRPr="004A3318">
        <w:rPr>
          <w:sz w:val="24"/>
          <w:szCs w:val="24"/>
        </w:rPr>
        <w:t>skip</w:t>
      </w:r>
      <w:r w:rsidR="00E86A39">
        <w:rPr>
          <w:sz w:val="24"/>
          <w:szCs w:val="24"/>
        </w:rPr>
        <w:t>s</w:t>
      </w:r>
      <w:r w:rsidRPr="004A3318">
        <w:rPr>
          <w:sz w:val="24"/>
          <w:szCs w:val="24"/>
        </w:rPr>
        <w:t xml:space="preserve"> potentially uncooperative respondents (for example, those giving at least one refusal in the income and asset section) past the hybrid follow-up to subsequent refusals.</w:t>
      </w:r>
    </w:p>
    <w:p w:rsidR="004A3318" w:rsidP="004A3318" w14:paraId="49CE73FF" w14:textId="3D4A9340">
      <w:pPr>
        <w:pStyle w:val="BodyText2"/>
        <w:rPr>
          <w:sz w:val="24"/>
          <w:szCs w:val="24"/>
        </w:rPr>
      </w:pPr>
    </w:p>
    <w:p w:rsidR="002D18FF" w:rsidRPr="009756BF" w:rsidP="00820651" w14:paraId="7CD1FE1F" w14:textId="67859286">
      <w:pPr>
        <w:widowControl/>
        <w:autoSpaceDE/>
        <w:autoSpaceDN/>
        <w:adjustRightInd/>
        <w:rPr>
          <w:rFonts w:ascii="Times New Roman" w:hAnsi="Times New Roman"/>
        </w:rPr>
      </w:pPr>
      <w:r w:rsidRPr="009756BF">
        <w:rPr>
          <w:rFonts w:ascii="Times New Roman" w:hAnsi="Times New Roman"/>
          <w:i/>
        </w:rPr>
        <w:t>Housing Insecurity</w:t>
      </w:r>
      <w:r w:rsidRPr="009756BF">
        <w:rPr>
          <w:rFonts w:ascii="Times New Roman" w:hAnsi="Times New Roman"/>
        </w:rPr>
        <w:t xml:space="preserve">.  </w:t>
      </w:r>
      <w:r w:rsidR="007B58FC">
        <w:rPr>
          <w:rFonts w:ascii="Times New Roman" w:hAnsi="Times New Roman"/>
        </w:rPr>
        <w:t>NLS has</w:t>
      </w:r>
      <w:r w:rsidRPr="009756BF" w:rsidR="009D71B1">
        <w:rPr>
          <w:rFonts w:ascii="Times New Roman" w:hAnsi="Times New Roman"/>
        </w:rPr>
        <w:t xml:space="preserve"> added a question in </w:t>
      </w:r>
      <w:r w:rsidR="00831082">
        <w:rPr>
          <w:rFonts w:ascii="Times New Roman" w:hAnsi="Times New Roman"/>
        </w:rPr>
        <w:t>the</w:t>
      </w:r>
      <w:r w:rsidRPr="009756BF" w:rsidR="00831082">
        <w:rPr>
          <w:rFonts w:ascii="Times New Roman" w:hAnsi="Times New Roman"/>
        </w:rPr>
        <w:t xml:space="preserve"> </w:t>
      </w:r>
      <w:r w:rsidRPr="009756BF" w:rsidR="009D71B1">
        <w:rPr>
          <w:rFonts w:ascii="Times New Roman" w:hAnsi="Times New Roman"/>
        </w:rPr>
        <w:t xml:space="preserve">retirement expectations section to gauge the extent to which respondents perceive that they may be vulnerable to losing their ability to </w:t>
      </w:r>
      <w:r w:rsidRPr="009756BF" w:rsidR="009D71B1">
        <w:rPr>
          <w:rFonts w:ascii="Times New Roman" w:hAnsi="Times New Roman"/>
        </w:rPr>
        <w:t xml:space="preserve">remain in their residence.  While this information has direct implications for the individual’s plans for continued work, it is also relevant to </w:t>
      </w:r>
      <w:r w:rsidRPr="009756BF" w:rsidR="00820651">
        <w:rPr>
          <w:rFonts w:ascii="Times New Roman" w:hAnsi="Times New Roman"/>
        </w:rPr>
        <w:t xml:space="preserve">broader </w:t>
      </w:r>
      <w:r w:rsidRPr="009756BF" w:rsidR="009D71B1">
        <w:rPr>
          <w:rFonts w:ascii="Times New Roman" w:hAnsi="Times New Roman"/>
        </w:rPr>
        <w:t xml:space="preserve">considerations of </w:t>
      </w:r>
      <w:r w:rsidRPr="009756BF" w:rsidR="00820651">
        <w:rPr>
          <w:rFonts w:ascii="Times New Roman" w:hAnsi="Times New Roman"/>
        </w:rPr>
        <w:t xml:space="preserve">how households respond to housing instability.  </w:t>
      </w:r>
      <w:r w:rsidRPr="009756BF">
        <w:rPr>
          <w:rFonts w:ascii="Times New Roman" w:hAnsi="Times New Roman"/>
        </w:rPr>
        <w:t>Given the widely reported adverse conditions in the U.S. housing market</w:t>
      </w:r>
      <w:r w:rsidRPr="009756BF" w:rsidR="00820651">
        <w:rPr>
          <w:rFonts w:ascii="Times New Roman" w:hAnsi="Times New Roman"/>
        </w:rPr>
        <w:t xml:space="preserve"> during the </w:t>
      </w:r>
      <w:r w:rsidR="00276E11">
        <w:rPr>
          <w:rFonts w:ascii="Times New Roman" w:hAnsi="Times New Roman"/>
        </w:rPr>
        <w:t>c</w:t>
      </w:r>
      <w:r w:rsidRPr="009756BF" w:rsidR="00820651">
        <w:rPr>
          <w:rFonts w:ascii="Times New Roman" w:hAnsi="Times New Roman"/>
        </w:rPr>
        <w:t xml:space="preserve">oronavirus pandemic, </w:t>
      </w:r>
      <w:r w:rsidRPr="009756BF">
        <w:rPr>
          <w:rFonts w:ascii="Times New Roman" w:hAnsi="Times New Roman"/>
        </w:rPr>
        <w:t xml:space="preserve">it is important from a policy standpoint to learn about the characteristics of people </w:t>
      </w:r>
      <w:r w:rsidRPr="009756BF" w:rsidR="00820651">
        <w:rPr>
          <w:rFonts w:ascii="Times New Roman" w:hAnsi="Times New Roman"/>
        </w:rPr>
        <w:t xml:space="preserve">facing such instability, as well as </w:t>
      </w:r>
      <w:r w:rsidRPr="009756BF">
        <w:rPr>
          <w:rFonts w:ascii="Times New Roman" w:hAnsi="Times New Roman"/>
        </w:rPr>
        <w:t>about</w:t>
      </w:r>
      <w:r w:rsidRPr="009756BF" w:rsidR="00820651">
        <w:rPr>
          <w:rFonts w:ascii="Times New Roman" w:hAnsi="Times New Roman"/>
        </w:rPr>
        <w:t xml:space="preserve"> its repercussions over time that can be tracked in a longitudinal study</w:t>
      </w:r>
      <w:r w:rsidRPr="009756BF">
        <w:rPr>
          <w:rFonts w:ascii="Times New Roman" w:hAnsi="Times New Roman"/>
        </w:rPr>
        <w:t>.</w:t>
      </w:r>
    </w:p>
    <w:p w:rsidR="002D18FF" w:rsidRPr="004A3318" w:rsidP="004A3318" w14:paraId="1B1B5E04" w14:textId="77777777">
      <w:pPr>
        <w:pStyle w:val="BodyText2"/>
        <w:rPr>
          <w:sz w:val="24"/>
          <w:szCs w:val="24"/>
        </w:rPr>
      </w:pPr>
    </w:p>
    <w:p w:rsidR="004A3318" w:rsidRPr="004A3318" w:rsidP="004A3318" w14:paraId="1044DFCC" w14:textId="483134D8">
      <w:pPr>
        <w:rPr>
          <w:rFonts w:ascii="Times New Roman" w:hAnsi="Times New Roman"/>
        </w:rPr>
      </w:pPr>
      <w:r w:rsidRPr="004A3318">
        <w:rPr>
          <w:rFonts w:ascii="Times New Roman" w:hAnsi="Times New Roman"/>
          <w:i/>
        </w:rPr>
        <w:t>Menopause</w:t>
      </w:r>
      <w:r w:rsidR="001E37DA">
        <w:rPr>
          <w:rFonts w:ascii="Times New Roman" w:hAnsi="Times New Roman"/>
        </w:rPr>
        <w:t>.</w:t>
      </w:r>
      <w:r w:rsidRPr="004A3318" w:rsidR="001E37DA">
        <w:rPr>
          <w:rFonts w:ascii="Times New Roman" w:hAnsi="Times New Roman"/>
        </w:rPr>
        <w:t xml:space="preserve"> </w:t>
      </w:r>
      <w:r w:rsidRPr="004A3318">
        <w:rPr>
          <w:rFonts w:ascii="Times New Roman" w:hAnsi="Times New Roman"/>
        </w:rPr>
        <w:t>The NLSY79 will ask a brief set of questions in order to date the onset of menopause.  These questions are useful in research on fertility.  Similar questions were asked in the NLS Young Women.</w:t>
      </w:r>
    </w:p>
    <w:p w:rsidR="004A3318" w:rsidRPr="004A3318" w:rsidP="004A3318" w14:paraId="3D4A46A3" w14:textId="77777777">
      <w:pPr>
        <w:rPr>
          <w:rFonts w:ascii="Times New Roman" w:hAnsi="Times New Roman"/>
        </w:rPr>
      </w:pPr>
    </w:p>
    <w:p w:rsidR="004A3318" w:rsidRPr="004A3318" w:rsidP="004A3318" w14:paraId="6584B786" w14:textId="77777777">
      <w:pPr>
        <w:rPr>
          <w:rFonts w:ascii="Times New Roman" w:hAnsi="Times New Roman"/>
        </w:rPr>
      </w:pPr>
      <w:r w:rsidRPr="004A3318">
        <w:rPr>
          <w:rFonts w:ascii="Times New Roman" w:hAnsi="Times New Roman"/>
          <w:i/>
        </w:rPr>
        <w:t>Cigarette and Alcohol Use</w:t>
      </w:r>
      <w:r w:rsidRPr="004A3318">
        <w:rPr>
          <w:rFonts w:ascii="Times New Roman" w:hAnsi="Times New Roman"/>
        </w:rPr>
        <w:t>.  Questions on smoking ask whether the respondent has smoked more than 100 cigarettes in his or her life, the age the respondent began smoking daily, whether the respondent now smokes daily, the age when the respondent quit smoking, and the number of cigarettes smoked per day.  These questions have been asked in several previous rounds of the survey with very low nonresponse rates.</w:t>
      </w:r>
    </w:p>
    <w:p w:rsidR="004A3318" w:rsidRPr="004A3318" w:rsidP="004A3318" w14:paraId="2F81877E" w14:textId="77777777">
      <w:pPr>
        <w:rPr>
          <w:rFonts w:ascii="Times New Roman" w:hAnsi="Times New Roman"/>
        </w:rPr>
      </w:pPr>
    </w:p>
    <w:p w:rsidR="004A3318" w:rsidRPr="004A3318" w:rsidP="004A3318" w14:paraId="1737B143" w14:textId="77777777">
      <w:pPr>
        <w:rPr>
          <w:rFonts w:ascii="Times New Roman" w:hAnsi="Times New Roman"/>
        </w:rPr>
      </w:pPr>
      <w:r w:rsidRPr="004A3318">
        <w:rPr>
          <w:rFonts w:ascii="Times New Roman" w:hAnsi="Times New Roman"/>
        </w:rPr>
        <w:t>The survey also 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  These questions are important for both economic and social research.  Economists are interested in the impact that alcohol use and abuse may have on employment and earnings (for example, Dooley and Prause 1998; Kenkel and Wang 1998).  Sociologists and public health researchers can use alcohol data, along with the other information collected, to examine the social and psychological impact of alcohol use and abuse.</w:t>
      </w:r>
    </w:p>
    <w:p w:rsidR="004A3318" w:rsidRPr="004A3318" w:rsidP="004A3318" w14:paraId="4E980B90" w14:textId="77777777">
      <w:pPr>
        <w:rPr>
          <w:rFonts w:ascii="Times New Roman" w:hAnsi="Times New Roman"/>
        </w:rPr>
      </w:pPr>
    </w:p>
    <w:p w:rsidR="004A3318" w:rsidP="004A3318" w14:paraId="3A00844E" w14:textId="0D822E87">
      <w:pPr>
        <w:rPr>
          <w:rFonts w:ascii="Times New Roman" w:hAnsi="Times New Roman"/>
        </w:rPr>
      </w:pPr>
      <w:r w:rsidRPr="004A3318">
        <w:rPr>
          <w:rFonts w:ascii="Times New Roman" w:hAnsi="Times New Roman"/>
        </w:rPr>
        <w:t>The set of alcohol questions has been asked previously in identical or similar form (the time reference period was different in the early surveys) in 1982–85, 1988, 1989, 1992, 1994, 2002, 2006, 2008, 2010, 2012, 2014, and 2016.  In the earlier surveys, the questions were generally part of a longer series on alcohol use and abuse.  No difficulties were encountered with these longer series in past rounds, and nonresponse is very low.  For example, for the set of four questions being included this round, the largest number of respondents who refused or answered “don’t know” in 2010 was 18.  No problems were experienced in Rounds 22-</w:t>
      </w:r>
      <w:r w:rsidR="00CF5F7F">
        <w:rPr>
          <w:rFonts w:ascii="Times New Roman" w:hAnsi="Times New Roman"/>
        </w:rPr>
        <w:t>30</w:t>
      </w:r>
      <w:r w:rsidRPr="004A3318">
        <w:rPr>
          <w:rFonts w:ascii="Times New Roman" w:hAnsi="Times New Roman"/>
        </w:rPr>
        <w:t xml:space="preserve"> with the shorter and less intrusive set of questions, and none are expected in Round 3</w:t>
      </w:r>
      <w:r w:rsidR="00FB462E">
        <w:rPr>
          <w:rFonts w:ascii="Times New Roman" w:hAnsi="Times New Roman"/>
        </w:rPr>
        <w:t>1</w:t>
      </w:r>
      <w:r w:rsidRPr="004A3318">
        <w:rPr>
          <w:rFonts w:ascii="Times New Roman" w:hAnsi="Times New Roman"/>
        </w:rPr>
        <w:t>.</w:t>
      </w:r>
    </w:p>
    <w:p w:rsidR="001E37DA" w:rsidP="004A3318" w14:paraId="2453C10D" w14:textId="3C21D841">
      <w:pPr>
        <w:rPr>
          <w:rFonts w:ascii="Times New Roman" w:hAnsi="Times New Roman"/>
        </w:rPr>
      </w:pPr>
    </w:p>
    <w:p w:rsidR="001E37DA" w:rsidRPr="004A3318" w:rsidP="004A3318" w14:paraId="797208DB" w14:textId="0A52FA52">
      <w:pPr>
        <w:rPr>
          <w:rFonts w:ascii="Times New Roman" w:hAnsi="Times New Roman"/>
        </w:rPr>
      </w:pPr>
      <w:r>
        <w:rPr>
          <w:rFonts w:ascii="Times New Roman" w:hAnsi="Times New Roman"/>
          <w:i/>
        </w:rPr>
        <w:t xml:space="preserve">Religion. </w:t>
      </w:r>
      <w:r w:rsidRPr="001E37DA">
        <w:rPr>
          <w:rFonts w:ascii="Times New Roman" w:hAnsi="Times New Roman"/>
        </w:rPr>
        <w:t xml:space="preserve"> Questions about religious beliefs ask the respondents about their present religion and how often they attend religious services. They are also asked whether they consider themselves to be evangelical and how important religion is to them. </w:t>
      </w:r>
      <w:r w:rsidR="00186724">
        <w:rPr>
          <w:rFonts w:ascii="Times New Roman" w:hAnsi="Times New Roman"/>
        </w:rPr>
        <w:t xml:space="preserve"> </w:t>
      </w:r>
      <w:r w:rsidRPr="001E37DA">
        <w:rPr>
          <w:rFonts w:ascii="Times New Roman" w:hAnsi="Times New Roman"/>
        </w:rPr>
        <w:t xml:space="preserve">Religion questions were last asked in Round 25.  Users have asked </w:t>
      </w:r>
      <w:r w:rsidR="004220F1">
        <w:rPr>
          <w:rFonts w:ascii="Times New Roman" w:hAnsi="Times New Roman"/>
        </w:rPr>
        <w:t>NLS</w:t>
      </w:r>
      <w:r w:rsidRPr="001E37DA" w:rsidR="004220F1">
        <w:rPr>
          <w:rFonts w:ascii="Times New Roman" w:hAnsi="Times New Roman"/>
        </w:rPr>
        <w:t xml:space="preserve"> </w:t>
      </w:r>
      <w:r w:rsidRPr="001E37DA">
        <w:rPr>
          <w:rFonts w:ascii="Times New Roman" w:hAnsi="Times New Roman"/>
        </w:rPr>
        <w:t xml:space="preserve">to re-field questions pertaining to religion to inform research on changing religious affiliation and church attendance over the life-course—a request that is consistent with </w:t>
      </w:r>
      <w:r w:rsidR="00831082">
        <w:rPr>
          <w:rFonts w:ascii="Times New Roman" w:hAnsi="Times New Roman"/>
        </w:rPr>
        <w:t>the</w:t>
      </w:r>
      <w:r w:rsidRPr="001E37DA" w:rsidR="00831082">
        <w:rPr>
          <w:rFonts w:ascii="Times New Roman" w:hAnsi="Times New Roman"/>
        </w:rPr>
        <w:t xml:space="preserve"> </w:t>
      </w:r>
      <w:r w:rsidRPr="001E37DA">
        <w:rPr>
          <w:rFonts w:ascii="Times New Roman" w:hAnsi="Times New Roman"/>
        </w:rPr>
        <w:t xml:space="preserve">original design plan to re-field these questions on an occasional basis. Religion can be a factor in studying the quality of parent-child interactions, child health, child delinquency, and child socio-emotional outcomes. </w:t>
      </w:r>
      <w:r w:rsidR="00186724">
        <w:rPr>
          <w:rFonts w:ascii="Times New Roman" w:hAnsi="Times New Roman"/>
        </w:rPr>
        <w:t xml:space="preserve"> </w:t>
      </w:r>
      <w:r w:rsidRPr="001E37DA">
        <w:rPr>
          <w:rFonts w:ascii="Times New Roman" w:hAnsi="Times New Roman"/>
        </w:rPr>
        <w:t xml:space="preserve">Religion can affect fertility decisions, family formation, job choice, and educational outcomes. </w:t>
      </w:r>
      <w:r w:rsidR="00186724">
        <w:rPr>
          <w:rFonts w:ascii="Times New Roman" w:hAnsi="Times New Roman"/>
        </w:rPr>
        <w:t xml:space="preserve"> </w:t>
      </w:r>
      <w:r w:rsidRPr="001E37DA">
        <w:rPr>
          <w:rFonts w:ascii="Times New Roman" w:hAnsi="Times New Roman"/>
        </w:rPr>
        <w:t>How important religion is to the respondent could help provide a measure of engagement and health, as people move into later life.</w:t>
      </w:r>
    </w:p>
    <w:p w:rsidR="00690F56" w:rsidP="00B65823" w14:paraId="27A67CE6" w14:textId="1E3FBD7D">
      <w:pPr>
        <w:widowControl/>
        <w:rPr>
          <w:rFonts w:ascii="Times New Roman" w:hAnsi="Times New Roman"/>
        </w:rPr>
      </w:pPr>
    </w:p>
    <w:p w:rsidR="00070C48" w:rsidRPr="00871CA6" w:rsidP="00B65823" w14:paraId="19216D25"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4A3318" w:rsidRPr="004A3318" w:rsidP="004A3318" w14:paraId="59DD35C0" w14:textId="039A7CA3">
      <w:pPr>
        <w:rPr>
          <w:rFonts w:ascii="Times New Roman" w:hAnsi="Times New Roman"/>
        </w:rPr>
      </w:pPr>
      <w:r>
        <w:rPr>
          <w:rFonts w:ascii="Times New Roman" w:hAnsi="Times New Roman"/>
        </w:rPr>
        <w:t xml:space="preserve">NLS </w:t>
      </w:r>
      <w:r>
        <w:rPr>
          <w:rFonts w:ascii="Times New Roman" w:hAnsi="Times New Roman"/>
        </w:rPr>
        <w:t>estimate</w:t>
      </w:r>
      <w:r>
        <w:rPr>
          <w:rFonts w:ascii="Times New Roman" w:hAnsi="Times New Roman"/>
        </w:rPr>
        <w:t>s</w:t>
      </w:r>
      <w:r>
        <w:rPr>
          <w:rFonts w:ascii="Times New Roman" w:hAnsi="Times New Roman"/>
        </w:rPr>
        <w:t xml:space="preserve"> that t</w:t>
      </w:r>
      <w:r w:rsidRPr="004A3318">
        <w:rPr>
          <w:rFonts w:ascii="Times New Roman" w:hAnsi="Times New Roman"/>
        </w:rPr>
        <w:t>he main NLSY79 interview will be administered to approximately 6,</w:t>
      </w:r>
      <w:r>
        <w:rPr>
          <w:rFonts w:ascii="Times New Roman" w:hAnsi="Times New Roman"/>
        </w:rPr>
        <w:t>35</w:t>
      </w:r>
      <w:r w:rsidR="00E848B7">
        <w:rPr>
          <w:rFonts w:ascii="Times New Roman" w:hAnsi="Times New Roman"/>
        </w:rPr>
        <w:t>3</w:t>
      </w:r>
      <w:r w:rsidRPr="004A3318">
        <w:rPr>
          <w:rFonts w:ascii="Times New Roman" w:hAnsi="Times New Roman"/>
        </w:rPr>
        <w:t xml:space="preserve"> respondents, </w:t>
      </w:r>
      <w:r>
        <w:rPr>
          <w:rFonts w:ascii="Times New Roman" w:hAnsi="Times New Roman"/>
        </w:rPr>
        <w:t>with an</w:t>
      </w:r>
      <w:r w:rsidRPr="004A3318">
        <w:rPr>
          <w:rFonts w:ascii="Times New Roman" w:hAnsi="Times New Roman"/>
        </w:rPr>
        <w:t xml:space="preserve"> average response time </w:t>
      </w:r>
      <w:r>
        <w:rPr>
          <w:rFonts w:ascii="Times New Roman" w:hAnsi="Times New Roman"/>
        </w:rPr>
        <w:t>of</w:t>
      </w:r>
      <w:r w:rsidRPr="004A3318">
        <w:rPr>
          <w:rFonts w:ascii="Times New Roman" w:hAnsi="Times New Roman"/>
        </w:rPr>
        <w:t xml:space="preserve"> about </w:t>
      </w:r>
      <w:r w:rsidR="00E848B7">
        <w:rPr>
          <w:rFonts w:ascii="Times New Roman" w:hAnsi="Times New Roman"/>
        </w:rPr>
        <w:t xml:space="preserve">73 </w:t>
      </w:r>
      <w:r w:rsidRPr="004A3318">
        <w:rPr>
          <w:rFonts w:ascii="Times New Roman" w:hAnsi="Times New Roman"/>
        </w:rPr>
        <w:t xml:space="preserve">minutes per respondent. </w:t>
      </w:r>
    </w:p>
    <w:p w:rsidR="004A3318" w:rsidRPr="004A3318" w:rsidP="004A3318" w14:paraId="1663E95C" w14:textId="77777777">
      <w:pPr>
        <w:rPr>
          <w:rFonts w:ascii="Times New Roman" w:hAnsi="Times New Roman"/>
        </w:rPr>
      </w:pPr>
    </w:p>
    <w:p w:rsidR="004A3318" w:rsidRPr="004A3318" w:rsidP="004A3318" w14:paraId="7FEC3E45" w14:textId="77777777">
      <w:pPr>
        <w:rPr>
          <w:rFonts w:ascii="Times New Roman" w:hAnsi="Times New Roman"/>
        </w:rPr>
      </w:pPr>
      <w:r w:rsidRPr="004A3318">
        <w:rPr>
          <w:rFonts w:ascii="Times New Roman" w:hAnsi="Times New Roman"/>
        </w:rPr>
        <w:t xml:space="preserve">The time required to finish an interview varies in the sample.  While women with young children take longer to answer the fertility and childcare questions, men are asked more questions about employment because they tend to hold more jobs.  The data show the standard deviation of interview time for the main survey is around 25 minutes.  </w:t>
      </w:r>
    </w:p>
    <w:p w:rsidR="004A3318" w:rsidRPr="004A3318" w:rsidP="004A3318" w14:paraId="251DD926" w14:textId="77777777">
      <w:pPr>
        <w:rPr>
          <w:rFonts w:ascii="Times New Roman" w:hAnsi="Times New Roman"/>
        </w:rPr>
      </w:pPr>
    </w:p>
    <w:p w:rsidR="004A3318" w:rsidP="004A3318" w14:paraId="052058DB" w14:textId="29F6D203">
      <w:pPr>
        <w:pStyle w:val="BodyTextIndent"/>
        <w:ind w:left="0"/>
        <w:rPr>
          <w:rFonts w:ascii="Times New Roman" w:hAnsi="Times New Roman"/>
        </w:rPr>
      </w:pPr>
      <w:bookmarkStart w:id="18" w:name="_Hlk94538064"/>
      <w:r w:rsidRPr="004A3318">
        <w:rPr>
          <w:rFonts w:ascii="Times New Roman" w:hAnsi="Times New Roman"/>
        </w:rPr>
        <w:t xml:space="preserve">During the field period, less than 100 interviews may be validated to ascertain whether the interview took place as the interviewer reported and whether the interview was done in a polite and professional manner.  These reinterviews average about 6 minutes each.  As mentioned earlier, </w:t>
      </w:r>
      <w:r w:rsidR="004220F1">
        <w:rPr>
          <w:rFonts w:ascii="Times New Roman" w:hAnsi="Times New Roman"/>
        </w:rPr>
        <w:t>NLS</w:t>
      </w:r>
      <w:r w:rsidRPr="004A3318" w:rsidR="004220F1">
        <w:rPr>
          <w:rFonts w:ascii="Times New Roman" w:hAnsi="Times New Roman"/>
        </w:rPr>
        <w:t xml:space="preserve"> </w:t>
      </w:r>
      <w:r w:rsidRPr="004A3318">
        <w:rPr>
          <w:rFonts w:ascii="Times New Roman" w:hAnsi="Times New Roman"/>
        </w:rPr>
        <w:t>employ</w:t>
      </w:r>
      <w:r w:rsidR="004220F1">
        <w:rPr>
          <w:rFonts w:ascii="Times New Roman" w:hAnsi="Times New Roman"/>
        </w:rPr>
        <w:t>s</w:t>
      </w:r>
      <w:r w:rsidRPr="004A3318">
        <w:rPr>
          <w:rFonts w:ascii="Times New Roman" w:hAnsi="Times New Roman"/>
        </w:rPr>
        <w:t xml:space="preserve"> a number of analytical techniques in order to limit the number of validation interviews required and to target these interviews to the respondents most likely to have had a problematic experience.</w:t>
      </w:r>
      <w:bookmarkEnd w:id="18"/>
    </w:p>
    <w:p w:rsidR="00070C48" w:rsidRPr="004A3318" w:rsidP="004A3318" w14:paraId="0CE7AF6C" w14:textId="77777777">
      <w:pPr>
        <w:pStyle w:val="BodyTextIndent"/>
        <w:ind w:left="0"/>
        <w:rPr>
          <w:rFonts w:ascii="Times New Roman" w:hAnsi="Times New Roman"/>
        </w:rPr>
      </w:pPr>
    </w:p>
    <w:p w:rsidR="006626FF" w:rsidRPr="00E60FB0" w:rsidP="00B65823" w14:paraId="3CD4954E" w14:textId="30F6DD4F">
      <w:pPr>
        <w:ind w:left="720"/>
        <w:jc w:val="center"/>
        <w:rPr>
          <w:rFonts w:ascii="Times New Roman" w:hAnsi="Times New Roman"/>
          <w:i/>
        </w:rPr>
      </w:pPr>
      <w:r>
        <w:rPr>
          <w:rFonts w:ascii="Times New Roman" w:hAnsi="Times New Roman"/>
          <w:b/>
        </w:rPr>
        <w:t xml:space="preserve">Table 9. </w:t>
      </w: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02"/>
        <w:gridCol w:w="1021"/>
        <w:gridCol w:w="1182"/>
        <w:gridCol w:w="1460"/>
        <w:gridCol w:w="1569"/>
        <w:gridCol w:w="889"/>
        <w:gridCol w:w="957"/>
      </w:tblGrid>
      <w:tr w14:paraId="2DF04903" w14:textId="77777777" w:rsidTr="006C1C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1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3E01F4CE">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w:t>
            </w:r>
            <w:r w:rsidRPr="00E60FB0">
              <w:rPr>
                <w:rFonts w:ascii="Times New Roman" w:hAnsi="Times New Roman"/>
                <w:b/>
                <w:sz w:val="22"/>
                <w:szCs w:val="22"/>
              </w:rPr>
              <w:t>Respon</w:t>
            </w:r>
            <w:r w:rsidR="006201DE">
              <w:rPr>
                <w:rFonts w:ascii="Times New Roman" w:hAnsi="Times New Roman"/>
                <w:b/>
                <w:sz w:val="22"/>
                <w:szCs w:val="22"/>
              </w:rPr>
              <w:t>-</w:t>
            </w:r>
            <w:r w:rsidRPr="00E60FB0">
              <w:rPr>
                <w:rFonts w:ascii="Times New Roman" w:hAnsi="Times New Roman"/>
                <w:b/>
                <w:sz w:val="22"/>
                <w:szCs w:val="22"/>
              </w:rPr>
              <w:t>dents</w:t>
            </w:r>
          </w:p>
        </w:tc>
        <w:tc>
          <w:tcPr>
            <w:tcW w:w="1021"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68D2F012">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w:t>
            </w:r>
            <w:r w:rsidRPr="00E60FB0">
              <w:rPr>
                <w:rFonts w:ascii="Times New Roman" w:hAnsi="Times New Roman"/>
                <w:b/>
                <w:sz w:val="22"/>
                <w:szCs w:val="22"/>
              </w:rPr>
              <w:t>Respon</w:t>
            </w:r>
            <w:r w:rsidR="006201DE">
              <w:rPr>
                <w:rFonts w:ascii="Times New Roman" w:hAnsi="Times New Roman"/>
                <w:b/>
                <w:sz w:val="22"/>
                <w:szCs w:val="22"/>
              </w:rPr>
              <w:t>-</w:t>
            </w:r>
            <w:r w:rsidRPr="00E60FB0">
              <w:rPr>
                <w:rFonts w:ascii="Times New Roman" w:hAnsi="Times New Roman"/>
                <w:b/>
                <w:sz w:val="22"/>
                <w:szCs w:val="22"/>
              </w:rPr>
              <w:t>ses</w:t>
            </w:r>
            <w:r w:rsidRPr="00E60FB0">
              <w:rPr>
                <w:rFonts w:ascii="Times New Roman" w:hAnsi="Times New Roman"/>
                <w:b/>
                <w:sz w:val="22"/>
                <w:szCs w:val="22"/>
              </w:rPr>
              <w:t xml:space="preserve"> </w:t>
            </w:r>
          </w:p>
          <w:p w:rsidR="006626FF" w:rsidRPr="00E60FB0" w:rsidP="00B65823" w14:paraId="7FA16DC5" w14:textId="26CBB53B">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w:t>
            </w:r>
            <w:r w:rsidR="00F935EE">
              <w:rPr>
                <w:rFonts w:ascii="Times New Roman" w:hAnsi="Times New Roman"/>
                <w:b/>
                <w:sz w:val="22"/>
                <w:szCs w:val="22"/>
              </w:rPr>
              <w:t>Respon</w:t>
            </w:r>
            <w:r w:rsidR="006201DE">
              <w:rPr>
                <w:rFonts w:ascii="Times New Roman" w:hAnsi="Times New Roman"/>
                <w:b/>
                <w:sz w:val="22"/>
                <w:szCs w:val="22"/>
              </w:rPr>
              <w:t>-</w:t>
            </w:r>
            <w:r w:rsidR="00F935EE">
              <w:rPr>
                <w:rFonts w:ascii="Times New Roman" w:hAnsi="Times New Roman"/>
                <w:b/>
                <w:sz w:val="22"/>
                <w:szCs w:val="22"/>
              </w:rPr>
              <w:t>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4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5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61E7BCF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95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6C1CA9">
        <w:tblPrEx>
          <w:tblW w:w="0" w:type="auto"/>
          <w:tblLayout w:type="fixed"/>
          <w:tblLook w:val="04A0"/>
        </w:tblPrEx>
        <w:tc>
          <w:tcPr>
            <w:tcW w:w="1170" w:type="dxa"/>
            <w:tcBorders>
              <w:top w:val="single" w:sz="4" w:space="0" w:color="auto"/>
              <w:left w:val="single" w:sz="4" w:space="0" w:color="auto"/>
              <w:bottom w:val="single" w:sz="4" w:space="0" w:color="auto"/>
              <w:right w:val="single" w:sz="4" w:space="0" w:color="auto"/>
            </w:tcBorders>
            <w:vAlign w:val="center"/>
            <w:hideMark/>
          </w:tcPr>
          <w:p w:rsidR="006626FF" w:rsidP="00B65823" w14:paraId="2B5CC9FE" w14:textId="308BB134">
            <w:pPr>
              <w:spacing w:line="276" w:lineRule="auto"/>
              <w:jc w:val="center"/>
              <w:rPr>
                <w:rFonts w:ascii="Times New Roman" w:hAnsi="Times New Roman"/>
                <w:sz w:val="22"/>
                <w:szCs w:val="22"/>
              </w:rPr>
            </w:pPr>
            <w:r w:rsidRPr="004A3318">
              <w:rPr>
                <w:rFonts w:ascii="Times New Roman" w:hAnsi="Times New Roman"/>
                <w:sz w:val="22"/>
                <w:szCs w:val="22"/>
              </w:rPr>
              <w:t xml:space="preserve">NLSY79 Round </w:t>
            </w:r>
            <w:r>
              <w:rPr>
                <w:rFonts w:ascii="Times New Roman" w:hAnsi="Times New Roman"/>
                <w:sz w:val="22"/>
                <w:szCs w:val="22"/>
              </w:rPr>
              <w:t>30</w:t>
            </w:r>
            <w:r w:rsidRPr="004A3318">
              <w:rPr>
                <w:rFonts w:ascii="Times New Roman" w:hAnsi="Times New Roman"/>
                <w:sz w:val="22"/>
                <w:szCs w:val="22"/>
              </w:rPr>
              <w:t xml:space="preserve"> Main Survey</w:t>
            </w:r>
          </w:p>
          <w:p w:rsidR="00F55431" w:rsidRPr="00E60FB0" w:rsidP="00B65823" w14:paraId="762DB321" w14:textId="77777777">
            <w:pPr>
              <w:spacing w:line="276" w:lineRule="auto"/>
              <w:jc w:val="center"/>
              <w:rPr>
                <w:rFonts w:ascii="Times New Roman" w:hAnsi="Times New Roman"/>
                <w:sz w:val="22"/>
                <w:szCs w:val="22"/>
              </w:rPr>
            </w:pPr>
          </w:p>
        </w:tc>
        <w:tc>
          <w:tcPr>
            <w:tcW w:w="1102" w:type="dxa"/>
            <w:tcBorders>
              <w:top w:val="single" w:sz="4" w:space="0" w:color="auto"/>
              <w:left w:val="single" w:sz="4" w:space="0" w:color="auto"/>
              <w:bottom w:val="single" w:sz="4" w:space="0" w:color="auto"/>
              <w:right w:val="single" w:sz="4" w:space="0" w:color="auto"/>
            </w:tcBorders>
            <w:vAlign w:val="center"/>
          </w:tcPr>
          <w:p w:rsidR="006626FF" w:rsidRPr="00E60FB0" w:rsidP="00B65823" w14:paraId="2F5115C1" w14:textId="4BFA7BFB">
            <w:pPr>
              <w:spacing w:line="276" w:lineRule="auto"/>
              <w:jc w:val="center"/>
              <w:rPr>
                <w:rFonts w:ascii="Times New Roman" w:hAnsi="Times New Roman"/>
                <w:sz w:val="22"/>
                <w:szCs w:val="22"/>
              </w:rPr>
            </w:pPr>
            <w:r>
              <w:rPr>
                <w:rFonts w:ascii="Times New Roman" w:hAnsi="Times New Roman"/>
                <w:sz w:val="22"/>
                <w:szCs w:val="22"/>
              </w:rPr>
              <w:t>6,</w:t>
            </w:r>
            <w:r w:rsidR="00910110">
              <w:rPr>
                <w:rFonts w:ascii="Times New Roman" w:hAnsi="Times New Roman"/>
                <w:sz w:val="22"/>
                <w:szCs w:val="22"/>
              </w:rPr>
              <w:t>353</w:t>
            </w:r>
          </w:p>
        </w:tc>
        <w:tc>
          <w:tcPr>
            <w:tcW w:w="1021" w:type="dxa"/>
            <w:tcBorders>
              <w:top w:val="single" w:sz="4" w:space="0" w:color="auto"/>
              <w:left w:val="single" w:sz="4" w:space="0" w:color="auto"/>
              <w:bottom w:val="single" w:sz="4" w:space="0" w:color="auto"/>
              <w:right w:val="single" w:sz="4" w:space="0" w:color="auto"/>
            </w:tcBorders>
            <w:vAlign w:val="center"/>
          </w:tcPr>
          <w:p w:rsidR="004A3318" w:rsidP="0052513D" w14:paraId="692E2DBF" w14:textId="77777777">
            <w:pPr>
              <w:spacing w:line="276" w:lineRule="auto"/>
              <w:jc w:val="center"/>
              <w:rPr>
                <w:rFonts w:ascii="Times New Roman" w:hAnsi="Times New Roman"/>
                <w:sz w:val="22"/>
                <w:szCs w:val="22"/>
              </w:rPr>
            </w:pPr>
          </w:p>
          <w:p w:rsidR="006626FF" w:rsidRPr="00E60FB0" w14:paraId="5A00193C" w14:textId="0884E761">
            <w:pPr>
              <w:spacing w:line="276" w:lineRule="auto"/>
              <w:jc w:val="center"/>
              <w:rPr>
                <w:rFonts w:ascii="Times New Roman" w:hAnsi="Times New Roman"/>
                <w:sz w:val="22"/>
                <w:szCs w:val="22"/>
              </w:rPr>
            </w:pPr>
            <w:r>
              <w:rPr>
                <w:rFonts w:ascii="Times New Roman" w:hAnsi="Times New Roman"/>
                <w:sz w:val="22"/>
                <w:szCs w:val="22"/>
              </w:rPr>
              <w:t>1</w:t>
            </w:r>
            <w:r w:rsidRPr="00E60FB0" w:rsidR="000A0A50">
              <w:rPr>
                <w:rFonts w:ascii="Times New Roman" w:hAnsi="Times New Roman"/>
                <w:sz w:val="22"/>
                <w:szCs w:val="22"/>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rsidR="006626FF" w14:paraId="50D4FBFF" w14:textId="2B9DE0EA">
            <w:pPr>
              <w:spacing w:line="276" w:lineRule="auto"/>
              <w:jc w:val="center"/>
              <w:rPr>
                <w:rFonts w:ascii="Times New Roman" w:hAnsi="Times New Roman"/>
                <w:sz w:val="22"/>
                <w:szCs w:val="22"/>
              </w:rPr>
            </w:pPr>
          </w:p>
          <w:p w:rsidR="004A3318" w:rsidRPr="00E60FB0" w14:paraId="62CA3364" w14:textId="63733708">
            <w:pPr>
              <w:spacing w:line="276" w:lineRule="auto"/>
              <w:jc w:val="center"/>
              <w:rPr>
                <w:rFonts w:ascii="Times New Roman" w:hAnsi="Times New Roman"/>
                <w:sz w:val="22"/>
                <w:szCs w:val="22"/>
              </w:rPr>
            </w:pPr>
            <w:r>
              <w:rPr>
                <w:rFonts w:ascii="Times New Roman" w:hAnsi="Times New Roman"/>
                <w:sz w:val="22"/>
                <w:szCs w:val="22"/>
              </w:rPr>
              <w:t>6,</w:t>
            </w:r>
            <w:r w:rsidR="00910110">
              <w:rPr>
                <w:rFonts w:ascii="Times New Roman" w:hAnsi="Times New Roman"/>
                <w:sz w:val="22"/>
                <w:szCs w:val="22"/>
              </w:rPr>
              <w:t>353</w:t>
            </w:r>
          </w:p>
          <w:p w:rsidR="006626FF" w:rsidRPr="00E60FB0" w14:paraId="15D44061" w14:textId="77777777">
            <w:pPr>
              <w:spacing w:line="276" w:lineRule="auto"/>
              <w:jc w:val="center"/>
              <w:rPr>
                <w:rFonts w:ascii="Times New Roman" w:hAnsi="Times New Roman"/>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6626FF" w14:paraId="0AB67B72" w14:textId="10DD5AE7">
            <w:pPr>
              <w:spacing w:line="276" w:lineRule="auto"/>
              <w:jc w:val="center"/>
              <w:rPr>
                <w:rFonts w:ascii="Times New Roman" w:hAnsi="Times New Roman"/>
                <w:sz w:val="22"/>
                <w:szCs w:val="22"/>
              </w:rPr>
            </w:pPr>
          </w:p>
          <w:p w:rsidR="006B7F5D" w14:paraId="0CCF8EAC" w14:textId="21F3B0D8">
            <w:pPr>
              <w:spacing w:line="276" w:lineRule="auto"/>
              <w:jc w:val="center"/>
              <w:rPr>
                <w:rFonts w:ascii="Times New Roman" w:hAnsi="Times New Roman"/>
                <w:sz w:val="22"/>
                <w:szCs w:val="22"/>
              </w:rPr>
            </w:pPr>
            <w:r w:rsidRPr="006B7F5D">
              <w:rPr>
                <w:rFonts w:ascii="Times New Roman" w:hAnsi="Times New Roman"/>
                <w:sz w:val="22"/>
                <w:szCs w:val="22"/>
              </w:rPr>
              <w:t>1.</w:t>
            </w:r>
            <w:r w:rsidR="003B0D62">
              <w:rPr>
                <w:rFonts w:ascii="Times New Roman" w:hAnsi="Times New Roman"/>
                <w:sz w:val="22"/>
                <w:szCs w:val="22"/>
              </w:rPr>
              <w:t>2167</w:t>
            </w:r>
            <w:r w:rsidRPr="006B7F5D" w:rsidR="003B0D62">
              <w:rPr>
                <w:rFonts w:ascii="Times New Roman" w:hAnsi="Times New Roman"/>
                <w:sz w:val="22"/>
                <w:szCs w:val="22"/>
              </w:rPr>
              <w:t xml:space="preserve"> </w:t>
            </w:r>
          </w:p>
          <w:p w:rsidR="004A3318" w:rsidRPr="00E60FB0" w14:paraId="16F50F76" w14:textId="3339BAC4">
            <w:pPr>
              <w:spacing w:line="276" w:lineRule="auto"/>
              <w:jc w:val="center"/>
              <w:rPr>
                <w:rFonts w:ascii="Times New Roman" w:hAnsi="Times New Roman"/>
                <w:sz w:val="22"/>
                <w:szCs w:val="22"/>
              </w:rPr>
            </w:pPr>
            <w:r>
              <w:rPr>
                <w:rFonts w:ascii="Times New Roman" w:hAnsi="Times New Roman"/>
                <w:sz w:val="22"/>
                <w:szCs w:val="22"/>
              </w:rPr>
              <w:t>(</w:t>
            </w:r>
            <w:r w:rsidR="00325DEE">
              <w:rPr>
                <w:rFonts w:ascii="Times New Roman" w:hAnsi="Times New Roman"/>
                <w:sz w:val="22"/>
                <w:szCs w:val="22"/>
              </w:rPr>
              <w:t xml:space="preserve">73 </w:t>
            </w:r>
            <w:r w:rsidR="000A0A50">
              <w:rPr>
                <w:rFonts w:ascii="Times New Roman" w:hAnsi="Times New Roman"/>
                <w:sz w:val="22"/>
                <w:szCs w:val="22"/>
              </w:rPr>
              <w:t>minutes</w:t>
            </w:r>
            <w:r>
              <w:rPr>
                <w:rFonts w:ascii="Times New Roman" w:hAnsi="Times New Roman"/>
                <w:sz w:val="22"/>
                <w:szCs w:val="22"/>
              </w:rPr>
              <w:t>)</w:t>
            </w:r>
          </w:p>
          <w:p w:rsidR="006626FF" w:rsidRPr="00E60FB0" w14:paraId="460B8B6B" w14:textId="77777777">
            <w:pPr>
              <w:spacing w:line="276" w:lineRule="auto"/>
              <w:jc w:val="center"/>
              <w:rPr>
                <w:rFonts w:ascii="Times New Roman" w:hAnsi="Times New Roman"/>
                <w:sz w:val="22"/>
                <w:szCs w:val="22"/>
              </w:rPr>
            </w:pPr>
          </w:p>
        </w:tc>
        <w:tc>
          <w:tcPr>
            <w:tcW w:w="1569" w:type="dxa"/>
            <w:tcBorders>
              <w:top w:val="single" w:sz="4" w:space="0" w:color="auto"/>
              <w:left w:val="single" w:sz="4" w:space="0" w:color="auto"/>
              <w:bottom w:val="single" w:sz="4" w:space="0" w:color="auto"/>
              <w:right w:val="single" w:sz="4" w:space="0" w:color="auto"/>
            </w:tcBorders>
            <w:vAlign w:val="center"/>
          </w:tcPr>
          <w:p w:rsidR="006626FF" w14:paraId="43F04FBA" w14:textId="240845FA">
            <w:pPr>
              <w:spacing w:line="276" w:lineRule="auto"/>
              <w:jc w:val="center"/>
              <w:rPr>
                <w:rFonts w:ascii="Times New Roman" w:hAnsi="Times New Roman"/>
                <w:sz w:val="22"/>
                <w:szCs w:val="22"/>
              </w:rPr>
            </w:pPr>
          </w:p>
          <w:p w:rsidR="004A3318" w:rsidRPr="00E60FB0" w14:paraId="6C71604F" w14:textId="0FD0CAC2">
            <w:pPr>
              <w:spacing w:line="276" w:lineRule="auto"/>
              <w:jc w:val="center"/>
              <w:rPr>
                <w:rFonts w:ascii="Times New Roman" w:hAnsi="Times New Roman"/>
                <w:sz w:val="22"/>
                <w:szCs w:val="22"/>
              </w:rPr>
            </w:pPr>
            <w:r>
              <w:rPr>
                <w:rFonts w:ascii="Times New Roman" w:hAnsi="Times New Roman"/>
                <w:sz w:val="22"/>
                <w:szCs w:val="22"/>
              </w:rPr>
              <w:t>7,</w:t>
            </w:r>
            <w:r w:rsidR="00432A27">
              <w:rPr>
                <w:rFonts w:ascii="Times New Roman" w:hAnsi="Times New Roman"/>
                <w:sz w:val="22"/>
                <w:szCs w:val="22"/>
              </w:rPr>
              <w:t xml:space="preserve">730 </w:t>
            </w:r>
          </w:p>
          <w:p w:rsidR="006626FF" w:rsidRPr="00E60FB0" w:rsidP="00E848B7" w14:paraId="752F73D3" w14:textId="1A1AB6B5">
            <w:pPr>
              <w:spacing w:line="276" w:lineRule="auto"/>
              <w:jc w:val="center"/>
              <w:rPr>
                <w:rFonts w:ascii="Times New Roman" w:hAnsi="Times New Roman"/>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6626FF" w14:paraId="387B5D04" w14:textId="2B43A1AE">
            <w:pPr>
              <w:spacing w:line="276" w:lineRule="auto"/>
              <w:jc w:val="center"/>
              <w:rPr>
                <w:rFonts w:ascii="Times New Roman" w:hAnsi="Times New Roman"/>
                <w:sz w:val="22"/>
                <w:szCs w:val="22"/>
              </w:rPr>
            </w:pPr>
          </w:p>
          <w:p w:rsidR="004A3318" w:rsidRPr="00E60FB0" w14:paraId="5C9E47A8" w14:textId="0461B8FD">
            <w:pPr>
              <w:spacing w:line="276" w:lineRule="auto"/>
              <w:jc w:val="center"/>
              <w:rPr>
                <w:rFonts w:ascii="Times New Roman" w:hAnsi="Times New Roman"/>
                <w:sz w:val="22"/>
                <w:szCs w:val="22"/>
              </w:rPr>
            </w:pPr>
            <w:r>
              <w:rPr>
                <w:rFonts w:ascii="Times New Roman" w:hAnsi="Times New Roman"/>
                <w:sz w:val="22"/>
                <w:szCs w:val="22"/>
              </w:rPr>
              <w:t>$7.25</w:t>
            </w:r>
          </w:p>
          <w:p w:rsidR="006626FF" w:rsidRPr="00E60FB0" w14:paraId="6FAC2390" w14:textId="77777777">
            <w:pPr>
              <w:spacing w:line="276" w:lineRule="auto"/>
              <w:jc w:val="center"/>
              <w:rPr>
                <w:rFonts w:ascii="Times New Roman" w:hAnsi="Times New Roman"/>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6626FF" w14:paraId="39DD4599" w14:textId="340283A0">
            <w:pPr>
              <w:spacing w:line="276" w:lineRule="auto"/>
              <w:jc w:val="center"/>
              <w:rPr>
                <w:rFonts w:ascii="Times New Roman" w:hAnsi="Times New Roman"/>
                <w:sz w:val="22"/>
                <w:szCs w:val="22"/>
              </w:rPr>
            </w:pPr>
          </w:p>
          <w:p w:rsidR="004A3318" w:rsidRPr="00E60FB0" w14:paraId="5F805010" w14:textId="721CD3C7">
            <w:pPr>
              <w:spacing w:line="276" w:lineRule="auto"/>
              <w:jc w:val="center"/>
              <w:rPr>
                <w:rFonts w:ascii="Times New Roman" w:hAnsi="Times New Roman"/>
                <w:sz w:val="22"/>
                <w:szCs w:val="22"/>
              </w:rPr>
            </w:pPr>
            <w:r>
              <w:rPr>
                <w:rFonts w:ascii="Times New Roman" w:hAnsi="Times New Roman"/>
                <w:sz w:val="22"/>
                <w:szCs w:val="22"/>
              </w:rPr>
              <w:t>$</w:t>
            </w:r>
            <w:r w:rsidR="00846F0E">
              <w:rPr>
                <w:rFonts w:ascii="Times New Roman" w:hAnsi="Times New Roman"/>
                <w:sz w:val="22"/>
                <w:szCs w:val="22"/>
              </w:rPr>
              <w:t>56,</w:t>
            </w:r>
            <w:r w:rsidR="00860D70">
              <w:rPr>
                <w:rFonts w:ascii="Times New Roman" w:hAnsi="Times New Roman"/>
                <w:sz w:val="22"/>
                <w:szCs w:val="22"/>
              </w:rPr>
              <w:t>042.50</w:t>
            </w:r>
          </w:p>
          <w:p w:rsidR="006626FF" w:rsidRPr="00E60FB0" w14:paraId="78C3C2D7" w14:textId="77777777">
            <w:pPr>
              <w:spacing w:line="276" w:lineRule="auto"/>
              <w:jc w:val="center"/>
              <w:rPr>
                <w:rFonts w:ascii="Times New Roman" w:hAnsi="Times New Roman"/>
                <w:sz w:val="22"/>
                <w:szCs w:val="22"/>
              </w:rPr>
            </w:pPr>
          </w:p>
        </w:tc>
      </w:tr>
      <w:tr w14:paraId="760DD9E6" w14:textId="77777777" w:rsidTr="006C1CA9">
        <w:tblPrEx>
          <w:tblW w:w="0" w:type="auto"/>
          <w:tblLayout w:type="fixed"/>
          <w:tblLook w:val="04A0"/>
        </w:tblPrEx>
        <w:tc>
          <w:tcPr>
            <w:tcW w:w="1170" w:type="dxa"/>
            <w:tcBorders>
              <w:top w:val="single" w:sz="4" w:space="0" w:color="auto"/>
              <w:left w:val="single" w:sz="4" w:space="0" w:color="auto"/>
              <w:bottom w:val="single" w:sz="4" w:space="0" w:color="auto"/>
              <w:right w:val="single" w:sz="4" w:space="0" w:color="auto"/>
            </w:tcBorders>
            <w:vAlign w:val="center"/>
          </w:tcPr>
          <w:p w:rsidR="004A3318" w:rsidRPr="00380BDE" w:rsidP="00B65823" w14:paraId="760E0F2E" w14:textId="0DE2CA33">
            <w:pPr>
              <w:spacing w:line="276" w:lineRule="auto"/>
              <w:jc w:val="center"/>
              <w:rPr>
                <w:rFonts w:ascii="Times New Roman" w:hAnsi="Times New Roman"/>
                <w:sz w:val="22"/>
                <w:szCs w:val="22"/>
              </w:rPr>
            </w:pPr>
            <w:r w:rsidRPr="00380BDE">
              <w:rPr>
                <w:rFonts w:ascii="Times New Roman" w:hAnsi="Times New Roman"/>
                <w:sz w:val="22"/>
                <w:szCs w:val="22"/>
              </w:rPr>
              <w:t>Round 30 Validation Interviews</w:t>
            </w:r>
          </w:p>
        </w:tc>
        <w:tc>
          <w:tcPr>
            <w:tcW w:w="1102" w:type="dxa"/>
            <w:tcBorders>
              <w:top w:val="single" w:sz="4" w:space="0" w:color="auto"/>
              <w:left w:val="single" w:sz="4" w:space="0" w:color="auto"/>
              <w:bottom w:val="single" w:sz="4" w:space="0" w:color="auto"/>
              <w:right w:val="single" w:sz="4" w:space="0" w:color="auto"/>
            </w:tcBorders>
            <w:vAlign w:val="center"/>
          </w:tcPr>
          <w:p w:rsidR="004A3318" w:rsidRPr="0074094E" w:rsidP="00B65823" w14:paraId="14694855" w14:textId="3DCD3AE3">
            <w:pPr>
              <w:spacing w:line="276" w:lineRule="auto"/>
              <w:jc w:val="center"/>
              <w:rPr>
                <w:rFonts w:ascii="Times New Roman" w:hAnsi="Times New Roman"/>
                <w:sz w:val="22"/>
                <w:szCs w:val="22"/>
              </w:rPr>
            </w:pPr>
            <w:r w:rsidRPr="0074094E">
              <w:rPr>
                <w:rFonts w:ascii="Times New Roman" w:hAnsi="Times New Roman"/>
                <w:sz w:val="22"/>
                <w:szCs w:val="22"/>
              </w:rPr>
              <w:t>100</w:t>
            </w:r>
          </w:p>
        </w:tc>
        <w:tc>
          <w:tcPr>
            <w:tcW w:w="1021" w:type="dxa"/>
            <w:tcBorders>
              <w:top w:val="single" w:sz="4" w:space="0" w:color="auto"/>
              <w:left w:val="single" w:sz="4" w:space="0" w:color="auto"/>
              <w:bottom w:val="single" w:sz="4" w:space="0" w:color="auto"/>
              <w:right w:val="single" w:sz="4" w:space="0" w:color="auto"/>
            </w:tcBorders>
            <w:vAlign w:val="center"/>
          </w:tcPr>
          <w:p w:rsidR="004A3318" w:rsidRPr="00213697" w:rsidP="0052513D" w14:paraId="260898A8" w14:textId="2591B7E6">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4A3318" w:rsidRPr="003202F8" w14:paraId="32D52C37" w14:textId="226FFD7F">
            <w:pPr>
              <w:spacing w:line="276" w:lineRule="auto"/>
              <w:jc w:val="center"/>
              <w:rPr>
                <w:rFonts w:ascii="Times New Roman" w:hAnsi="Times New Roman"/>
                <w:sz w:val="22"/>
                <w:szCs w:val="22"/>
              </w:rPr>
            </w:pPr>
            <w:r w:rsidRPr="003202F8">
              <w:rPr>
                <w:rFonts w:ascii="Times New Roman" w:hAnsi="Times New Roman"/>
                <w:sz w:val="22"/>
                <w:szCs w:val="22"/>
              </w:rPr>
              <w:t>100</w:t>
            </w:r>
          </w:p>
        </w:tc>
        <w:tc>
          <w:tcPr>
            <w:tcW w:w="1460" w:type="dxa"/>
            <w:tcBorders>
              <w:top w:val="single" w:sz="4" w:space="0" w:color="auto"/>
              <w:left w:val="single" w:sz="4" w:space="0" w:color="auto"/>
              <w:bottom w:val="single" w:sz="4" w:space="0" w:color="auto"/>
              <w:right w:val="single" w:sz="4" w:space="0" w:color="auto"/>
            </w:tcBorders>
            <w:vAlign w:val="center"/>
          </w:tcPr>
          <w:p w:rsidR="00322088" w14:paraId="5DAB7EF7" w14:textId="77777777">
            <w:pPr>
              <w:spacing w:line="276" w:lineRule="auto"/>
              <w:jc w:val="center"/>
              <w:rPr>
                <w:rFonts w:ascii="Times New Roman" w:hAnsi="Times New Roman"/>
                <w:sz w:val="22"/>
                <w:szCs w:val="22"/>
              </w:rPr>
            </w:pPr>
            <w:r w:rsidRPr="00322088">
              <w:rPr>
                <w:rFonts w:ascii="Times New Roman" w:hAnsi="Times New Roman"/>
                <w:sz w:val="22"/>
                <w:szCs w:val="22"/>
              </w:rPr>
              <w:t xml:space="preserve">0.1 </w:t>
            </w:r>
          </w:p>
          <w:p w:rsidR="004A3318" w:rsidRPr="0074094E" w14:paraId="370E02E3" w14:textId="456C0FEB">
            <w:pPr>
              <w:spacing w:line="276" w:lineRule="auto"/>
              <w:jc w:val="center"/>
              <w:rPr>
                <w:rFonts w:ascii="Times New Roman" w:hAnsi="Times New Roman"/>
                <w:sz w:val="22"/>
                <w:szCs w:val="22"/>
              </w:rPr>
            </w:pPr>
            <w:r>
              <w:rPr>
                <w:rFonts w:ascii="Times New Roman" w:hAnsi="Times New Roman"/>
                <w:sz w:val="22"/>
                <w:szCs w:val="22"/>
              </w:rPr>
              <w:t>(</w:t>
            </w:r>
            <w:r w:rsidRPr="0074094E" w:rsidR="000A0A50">
              <w:rPr>
                <w:rFonts w:ascii="Times New Roman" w:hAnsi="Times New Roman"/>
                <w:sz w:val="22"/>
                <w:szCs w:val="22"/>
              </w:rPr>
              <w:t>6 minutes</w:t>
            </w:r>
            <w:r>
              <w:rPr>
                <w:rFonts w:ascii="Times New Roman" w:hAnsi="Times New Roman"/>
                <w:sz w:val="22"/>
                <w:szCs w:val="22"/>
              </w:rPr>
              <w:t>)</w:t>
            </w:r>
          </w:p>
        </w:tc>
        <w:tc>
          <w:tcPr>
            <w:tcW w:w="1569" w:type="dxa"/>
            <w:tcBorders>
              <w:top w:val="single" w:sz="4" w:space="0" w:color="auto"/>
              <w:left w:val="single" w:sz="4" w:space="0" w:color="auto"/>
              <w:bottom w:val="single" w:sz="4" w:space="0" w:color="auto"/>
              <w:right w:val="single" w:sz="4" w:space="0" w:color="auto"/>
            </w:tcBorders>
            <w:vAlign w:val="center"/>
          </w:tcPr>
          <w:p w:rsidR="004A3318" w:rsidRPr="0074094E" w14:paraId="2F918E31" w14:textId="6248AF05">
            <w:pPr>
              <w:spacing w:line="276" w:lineRule="auto"/>
              <w:jc w:val="center"/>
              <w:rPr>
                <w:rFonts w:ascii="Times New Roman" w:hAnsi="Times New Roman"/>
                <w:sz w:val="22"/>
                <w:szCs w:val="22"/>
              </w:rPr>
            </w:pPr>
            <w:r w:rsidRPr="0074094E">
              <w:rPr>
                <w:rFonts w:ascii="Times New Roman" w:hAnsi="Times New Roman"/>
                <w:sz w:val="22"/>
                <w:szCs w:val="22"/>
              </w:rPr>
              <w:t>10</w:t>
            </w:r>
            <w:r w:rsidRPr="0074094E" w:rsidR="000A0A50">
              <w:rPr>
                <w:rFonts w:ascii="Times New Roman" w:hAnsi="Times New Roman"/>
                <w:sz w:val="22"/>
                <w:szCs w:val="22"/>
              </w:rPr>
              <w:t xml:space="preserve"> </w:t>
            </w:r>
          </w:p>
        </w:tc>
        <w:tc>
          <w:tcPr>
            <w:tcW w:w="889" w:type="dxa"/>
            <w:tcBorders>
              <w:top w:val="single" w:sz="4" w:space="0" w:color="auto"/>
              <w:left w:val="single" w:sz="4" w:space="0" w:color="auto"/>
              <w:bottom w:val="single" w:sz="4" w:space="0" w:color="auto"/>
              <w:right w:val="single" w:sz="4" w:space="0" w:color="auto"/>
            </w:tcBorders>
            <w:vAlign w:val="center"/>
          </w:tcPr>
          <w:p w:rsidR="004A3318" w:rsidRPr="0074094E" w:rsidP="004A3318" w14:paraId="508D2CD2" w14:textId="77777777">
            <w:pPr>
              <w:spacing w:line="276" w:lineRule="auto"/>
              <w:jc w:val="center"/>
              <w:rPr>
                <w:rFonts w:ascii="Times New Roman" w:hAnsi="Times New Roman"/>
                <w:sz w:val="22"/>
                <w:szCs w:val="22"/>
              </w:rPr>
            </w:pPr>
          </w:p>
          <w:p w:rsidR="004A3318" w:rsidRPr="0074094E" w:rsidP="004A3318" w14:paraId="019F0BCD" w14:textId="4D946255">
            <w:pPr>
              <w:spacing w:line="276" w:lineRule="auto"/>
              <w:jc w:val="center"/>
              <w:rPr>
                <w:rFonts w:ascii="Times New Roman" w:hAnsi="Times New Roman"/>
                <w:sz w:val="22"/>
                <w:szCs w:val="22"/>
              </w:rPr>
            </w:pPr>
            <w:r w:rsidRPr="0074094E">
              <w:rPr>
                <w:rFonts w:ascii="Times New Roman" w:hAnsi="Times New Roman"/>
                <w:sz w:val="22"/>
                <w:szCs w:val="22"/>
              </w:rPr>
              <w:t>$7.25</w:t>
            </w:r>
          </w:p>
          <w:p w:rsidR="004A3318" w:rsidRPr="0074094E" w14:paraId="7E08AB77" w14:textId="77777777">
            <w:pPr>
              <w:spacing w:line="276" w:lineRule="auto"/>
              <w:jc w:val="center"/>
              <w:rPr>
                <w:rFonts w:ascii="Times New Roman" w:hAnsi="Times New Roman"/>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A3318" w:rsidRPr="0074094E" w14:paraId="2DA6E0E1" w14:textId="56F560EB">
            <w:pPr>
              <w:spacing w:line="276" w:lineRule="auto"/>
              <w:jc w:val="center"/>
              <w:rPr>
                <w:rFonts w:ascii="Times New Roman" w:hAnsi="Times New Roman"/>
                <w:sz w:val="22"/>
                <w:szCs w:val="22"/>
              </w:rPr>
            </w:pPr>
            <w:r w:rsidRPr="0074094E">
              <w:rPr>
                <w:rFonts w:ascii="Times New Roman" w:hAnsi="Times New Roman"/>
                <w:sz w:val="22"/>
                <w:szCs w:val="22"/>
              </w:rPr>
              <w:t>$7</w:t>
            </w:r>
            <w:r w:rsidR="00E848B7">
              <w:rPr>
                <w:rFonts w:ascii="Times New Roman" w:hAnsi="Times New Roman"/>
                <w:sz w:val="22"/>
                <w:szCs w:val="22"/>
              </w:rPr>
              <w:t>2.50</w:t>
            </w:r>
          </w:p>
        </w:tc>
      </w:tr>
      <w:tr w14:paraId="358D5504" w14:textId="77777777" w:rsidTr="006C1CA9">
        <w:tblPrEx>
          <w:tblW w:w="0" w:type="auto"/>
          <w:tblLayout w:type="fixed"/>
          <w:tblLook w:val="04A0"/>
        </w:tblPrEx>
        <w:tc>
          <w:tcPr>
            <w:tcW w:w="1170" w:type="dxa"/>
            <w:tcBorders>
              <w:top w:val="single" w:sz="4" w:space="0" w:color="auto"/>
              <w:left w:val="single" w:sz="4" w:space="0" w:color="auto"/>
              <w:bottom w:val="single" w:sz="4" w:space="0" w:color="auto"/>
              <w:right w:val="single" w:sz="4" w:space="0" w:color="auto"/>
            </w:tcBorders>
            <w:vAlign w:val="center"/>
          </w:tcPr>
          <w:p w:rsidR="004A3318" w:rsidRPr="00380BDE" w:rsidP="004A3318" w14:paraId="7176888D" w14:textId="37F7A335">
            <w:pPr>
              <w:spacing w:line="276" w:lineRule="auto"/>
              <w:jc w:val="center"/>
              <w:rPr>
                <w:rFonts w:ascii="Times New Roman" w:hAnsi="Times New Roman"/>
                <w:sz w:val="22"/>
                <w:szCs w:val="22"/>
              </w:rPr>
            </w:pPr>
            <w:r w:rsidRPr="00380BDE">
              <w:rPr>
                <w:rFonts w:ascii="Times New Roman" w:hAnsi="Times New Roman"/>
                <w:sz w:val="22"/>
                <w:szCs w:val="22"/>
              </w:rPr>
              <w:t>TOTALS</w:t>
            </w:r>
            <w:r w:rsidR="00856A9C">
              <w:rPr>
                <w:rFonts w:ascii="Times New Roman" w:hAnsi="Times New Roman"/>
                <w:sz w:val="22"/>
                <w:szCs w:val="22"/>
              </w:rPr>
              <w:t>*</w:t>
            </w:r>
          </w:p>
        </w:tc>
        <w:tc>
          <w:tcPr>
            <w:tcW w:w="1102" w:type="dxa"/>
            <w:tcBorders>
              <w:top w:val="single" w:sz="4" w:space="0" w:color="auto"/>
              <w:left w:val="single" w:sz="4" w:space="0" w:color="auto"/>
              <w:bottom w:val="single" w:sz="4" w:space="0" w:color="auto"/>
              <w:right w:val="single" w:sz="4" w:space="0" w:color="auto"/>
            </w:tcBorders>
            <w:vAlign w:val="center"/>
          </w:tcPr>
          <w:p w:rsidR="004A3318" w:rsidRPr="00213697" w:rsidP="004A3318" w14:paraId="6B617B1D" w14:textId="65353F3C">
            <w:pPr>
              <w:spacing w:line="276" w:lineRule="auto"/>
              <w:jc w:val="center"/>
              <w:rPr>
                <w:rFonts w:ascii="Times New Roman" w:hAnsi="Times New Roman"/>
                <w:sz w:val="22"/>
                <w:szCs w:val="22"/>
              </w:rPr>
            </w:pPr>
            <w:r w:rsidRPr="0074094E">
              <w:rPr>
                <w:rFonts w:ascii="Times New Roman" w:hAnsi="Times New Roman"/>
                <w:sz w:val="22"/>
                <w:szCs w:val="22"/>
              </w:rPr>
              <w:t>6,</w:t>
            </w:r>
            <w:r w:rsidR="00910110">
              <w:rPr>
                <w:rFonts w:ascii="Times New Roman" w:hAnsi="Times New Roman"/>
                <w:sz w:val="22"/>
                <w:szCs w:val="22"/>
              </w:rPr>
              <w:t>3</w:t>
            </w:r>
            <w:r w:rsidRPr="0074094E" w:rsidR="00910110">
              <w:rPr>
                <w:rFonts w:ascii="Times New Roman" w:hAnsi="Times New Roman"/>
                <w:sz w:val="22"/>
                <w:szCs w:val="22"/>
              </w:rPr>
              <w:t>5</w:t>
            </w:r>
            <w:r w:rsidR="00910110">
              <w:rPr>
                <w:rFonts w:ascii="Times New Roman" w:hAnsi="Times New Roman"/>
                <w:sz w:val="22"/>
                <w:szCs w:val="22"/>
              </w:rPr>
              <w:t>3</w:t>
            </w:r>
            <w:r w:rsidR="005B2424">
              <w:rPr>
                <w:rFonts w:ascii="Times New Roman" w:hAnsi="Times New Roman"/>
                <w:sz w:val="22"/>
                <w:szCs w:val="22"/>
              </w:rPr>
              <w:t>**</w:t>
            </w:r>
          </w:p>
        </w:tc>
        <w:tc>
          <w:tcPr>
            <w:tcW w:w="102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A3318" w:rsidRPr="003202F8" w:rsidP="004A3318" w14:paraId="15BCE4F9" w14:textId="196F4310">
            <w:pPr>
              <w:spacing w:line="276" w:lineRule="auto"/>
              <w:jc w:val="center"/>
              <w:rPr>
                <w:rFonts w:ascii="Times New Roman" w:hAnsi="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4A3318" w:rsidRPr="0074094E" w:rsidP="004A3318" w14:paraId="0AA8EB6B" w14:textId="4678921C">
            <w:pPr>
              <w:spacing w:line="276" w:lineRule="auto"/>
              <w:jc w:val="center"/>
              <w:rPr>
                <w:rFonts w:ascii="Times New Roman" w:hAnsi="Times New Roman"/>
                <w:sz w:val="22"/>
                <w:szCs w:val="22"/>
              </w:rPr>
            </w:pPr>
            <w:r w:rsidRPr="0074094E">
              <w:rPr>
                <w:rFonts w:ascii="Times New Roman" w:hAnsi="Times New Roman"/>
                <w:sz w:val="22"/>
                <w:szCs w:val="22"/>
              </w:rPr>
              <w:t>6,45</w:t>
            </w:r>
            <w:r w:rsidR="00E848B7">
              <w:rPr>
                <w:rFonts w:ascii="Times New Roman" w:hAnsi="Times New Roman"/>
                <w:sz w:val="22"/>
                <w:szCs w:val="22"/>
              </w:rPr>
              <w:t>3</w:t>
            </w:r>
          </w:p>
        </w:tc>
        <w:tc>
          <w:tcPr>
            <w:tcW w:w="1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A3318" w:rsidRPr="0074094E" w:rsidP="004A3318" w14:paraId="0D5C1BE0" w14:textId="5C6C7409">
            <w:pPr>
              <w:spacing w:line="276" w:lineRule="auto"/>
              <w:jc w:val="center"/>
              <w:rPr>
                <w:rFonts w:ascii="Times New Roman" w:hAnsi="Times New Roman"/>
                <w:sz w:val="22"/>
                <w:szCs w:val="22"/>
              </w:rPr>
            </w:pPr>
          </w:p>
        </w:tc>
        <w:tc>
          <w:tcPr>
            <w:tcW w:w="1569" w:type="dxa"/>
            <w:tcBorders>
              <w:top w:val="single" w:sz="4" w:space="0" w:color="auto"/>
              <w:left w:val="single" w:sz="4" w:space="0" w:color="auto"/>
              <w:bottom w:val="single" w:sz="4" w:space="0" w:color="auto"/>
              <w:right w:val="single" w:sz="4" w:space="0" w:color="auto"/>
            </w:tcBorders>
            <w:vAlign w:val="center"/>
          </w:tcPr>
          <w:p w:rsidR="004A3318" w:rsidRPr="0074094E" w:rsidP="004A3318" w14:paraId="21A6161A" w14:textId="1E93F94E">
            <w:pPr>
              <w:spacing w:line="276" w:lineRule="auto"/>
              <w:jc w:val="center"/>
              <w:rPr>
                <w:rFonts w:ascii="Times New Roman" w:hAnsi="Times New Roman"/>
                <w:sz w:val="22"/>
                <w:szCs w:val="22"/>
              </w:rPr>
            </w:pPr>
            <w:r w:rsidRPr="0074094E">
              <w:rPr>
                <w:rFonts w:ascii="Times New Roman" w:hAnsi="Times New Roman"/>
                <w:sz w:val="22"/>
                <w:szCs w:val="22"/>
              </w:rPr>
              <w:t>7,</w:t>
            </w:r>
            <w:r w:rsidR="000610D9">
              <w:rPr>
                <w:rFonts w:ascii="Times New Roman" w:hAnsi="Times New Roman"/>
                <w:sz w:val="22"/>
                <w:szCs w:val="22"/>
              </w:rPr>
              <w:t xml:space="preserve">740 </w:t>
            </w:r>
            <w:r w:rsidR="005E1316">
              <w:rPr>
                <w:rFonts w:ascii="Times New Roman" w:hAnsi="Times New Roman"/>
                <w:sz w:val="22"/>
                <w:szCs w:val="22"/>
              </w:rPr>
              <w:t>(rounded)</w:t>
            </w:r>
          </w:p>
        </w:tc>
        <w:tc>
          <w:tcPr>
            <w:tcW w:w="88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A3318" w:rsidRPr="0074094E" w:rsidP="004A3318" w14:paraId="7BAA9FFC" w14:textId="77777777">
            <w:pPr>
              <w:spacing w:line="276" w:lineRule="auto"/>
              <w:jc w:val="center"/>
              <w:rPr>
                <w:rFonts w:ascii="Times New Roman" w:hAnsi="Times New Roman"/>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A3318" w:rsidRPr="0074094E" w:rsidP="004A3318" w14:paraId="5BC87DC2" w14:textId="1C107A77">
            <w:pPr>
              <w:spacing w:line="276" w:lineRule="auto"/>
              <w:jc w:val="center"/>
              <w:rPr>
                <w:rFonts w:ascii="Times New Roman" w:hAnsi="Times New Roman"/>
                <w:sz w:val="22"/>
                <w:szCs w:val="22"/>
              </w:rPr>
            </w:pPr>
            <w:r w:rsidRPr="0074094E">
              <w:rPr>
                <w:rFonts w:ascii="Times New Roman" w:hAnsi="Times New Roman"/>
                <w:sz w:val="22"/>
                <w:szCs w:val="22"/>
              </w:rPr>
              <w:t>$</w:t>
            </w:r>
            <w:r w:rsidR="00846F0E">
              <w:rPr>
                <w:rFonts w:ascii="Times New Roman" w:hAnsi="Times New Roman"/>
                <w:sz w:val="22"/>
                <w:szCs w:val="22"/>
              </w:rPr>
              <w:t>56,</w:t>
            </w:r>
            <w:r w:rsidR="004524E1">
              <w:rPr>
                <w:rFonts w:ascii="Times New Roman" w:hAnsi="Times New Roman"/>
                <w:sz w:val="22"/>
                <w:szCs w:val="22"/>
              </w:rPr>
              <w:t>115</w:t>
            </w:r>
          </w:p>
        </w:tc>
      </w:tr>
    </w:tbl>
    <w:p w:rsidR="006626FF" w:rsidRPr="00B65823" w:rsidP="00B65823" w14:paraId="43BE154F" w14:textId="20E8F6F3">
      <w:pPr>
        <w:widowControl/>
        <w:rPr>
          <w:rFonts w:ascii="Times New Roman" w:hAnsi="Times New Roman"/>
          <w:bCs/>
        </w:rPr>
      </w:pPr>
      <w:r>
        <w:rPr>
          <w:rFonts w:ascii="Times New Roman" w:hAnsi="Times New Roman"/>
          <w:bCs/>
        </w:rPr>
        <w:t xml:space="preserve">* </w:t>
      </w:r>
      <w:r w:rsidRPr="00856A9C">
        <w:rPr>
          <w:rFonts w:ascii="Times New Roman" w:hAnsi="Times New Roman"/>
          <w:bCs/>
        </w:rPr>
        <w:t>The difference between the total number of respondents (6,</w:t>
      </w:r>
      <w:r w:rsidRPr="00856A9C" w:rsidR="00910110">
        <w:rPr>
          <w:rFonts w:ascii="Times New Roman" w:hAnsi="Times New Roman"/>
          <w:bCs/>
        </w:rPr>
        <w:t>35</w:t>
      </w:r>
      <w:r w:rsidR="00910110">
        <w:rPr>
          <w:rFonts w:ascii="Times New Roman" w:hAnsi="Times New Roman"/>
          <w:bCs/>
        </w:rPr>
        <w:t>3</w:t>
      </w:r>
      <w:r w:rsidRPr="00856A9C">
        <w:rPr>
          <w:rFonts w:ascii="Times New Roman" w:hAnsi="Times New Roman"/>
          <w:bCs/>
        </w:rPr>
        <w:t>) and the total number of responses</w:t>
      </w:r>
      <w:r>
        <w:rPr>
          <w:rFonts w:ascii="Times New Roman" w:hAnsi="Times New Roman"/>
          <w:bCs/>
        </w:rPr>
        <w:t xml:space="preserve"> </w:t>
      </w:r>
      <w:r w:rsidRPr="00856A9C">
        <w:rPr>
          <w:rFonts w:ascii="Times New Roman" w:hAnsi="Times New Roman"/>
          <w:bCs/>
        </w:rPr>
        <w:t>(6,</w:t>
      </w:r>
      <w:r w:rsidRPr="00856A9C" w:rsidR="003770E7">
        <w:rPr>
          <w:rFonts w:ascii="Times New Roman" w:hAnsi="Times New Roman"/>
          <w:bCs/>
        </w:rPr>
        <w:t>45</w:t>
      </w:r>
      <w:r w:rsidR="003770E7">
        <w:rPr>
          <w:rFonts w:ascii="Times New Roman" w:hAnsi="Times New Roman"/>
          <w:bCs/>
        </w:rPr>
        <w:t>3</w:t>
      </w:r>
      <w:r w:rsidRPr="00856A9C">
        <w:rPr>
          <w:rFonts w:ascii="Times New Roman" w:hAnsi="Times New Roman"/>
          <w:bCs/>
        </w:rPr>
        <w:t>) reflects the fact that about 100 respondents will be interviewed twice, once in the main survey and a second time in the 6-minute validation interview.</w:t>
      </w:r>
    </w:p>
    <w:p w:rsidR="005B2424" w:rsidRPr="00B65823" w:rsidP="005B2424" w14:paraId="4621BD16" w14:textId="77777777">
      <w:pPr>
        <w:widowControl/>
        <w:rPr>
          <w:rFonts w:ascii="Times New Roman" w:hAnsi="Times New Roman"/>
          <w:bCs/>
        </w:rPr>
      </w:pPr>
      <w:r>
        <w:rPr>
          <w:rFonts w:ascii="Times New Roman" w:hAnsi="Times New Roman"/>
          <w:bCs/>
        </w:rPr>
        <w:t>** Not cumulative</w:t>
      </w:r>
    </w:p>
    <w:p w:rsidR="00635AA6" w:rsidP="000A0A50" w14:paraId="60B48197" w14:textId="77777777">
      <w:pPr>
        <w:widowControl/>
        <w:autoSpaceDE/>
        <w:autoSpaceDN/>
        <w:adjustRightInd/>
        <w:rPr>
          <w:rFonts w:ascii="Times New Roman" w:hAnsi="Times New Roman"/>
          <w:highlight w:val="yellow"/>
        </w:rPr>
      </w:pPr>
    </w:p>
    <w:p w:rsidR="000A0A50" w:rsidP="000A0A50" w14:paraId="3B98171D" w14:textId="77B30117">
      <w:pPr>
        <w:pStyle w:val="FootnoteText"/>
        <w:rPr>
          <w:sz w:val="24"/>
          <w:szCs w:val="24"/>
        </w:rPr>
      </w:pPr>
      <w:r>
        <w:rPr>
          <w:sz w:val="24"/>
          <w:szCs w:val="24"/>
        </w:rPr>
        <w:t>The total response burden for the survey is 7,</w:t>
      </w:r>
      <w:r w:rsidR="00412FA5">
        <w:rPr>
          <w:sz w:val="24"/>
          <w:szCs w:val="24"/>
        </w:rPr>
        <w:t>7</w:t>
      </w:r>
      <w:r w:rsidR="005B2FF8">
        <w:rPr>
          <w:sz w:val="24"/>
          <w:szCs w:val="24"/>
        </w:rPr>
        <w:t>40</w:t>
      </w:r>
      <w:r w:rsidR="00412FA5">
        <w:rPr>
          <w:sz w:val="24"/>
          <w:szCs w:val="24"/>
        </w:rPr>
        <w:t xml:space="preserve"> </w:t>
      </w:r>
      <w:r>
        <w:rPr>
          <w:sz w:val="24"/>
          <w:szCs w:val="24"/>
        </w:rPr>
        <w:t xml:space="preserve">hours.  The total annualized cost to respondents, based on burden hours and the Federal minimum wage of $7.25 per hour, is </w:t>
      </w:r>
      <w:r w:rsidRPr="00C94FEA">
        <w:rPr>
          <w:sz w:val="24"/>
          <w:szCs w:val="24"/>
        </w:rPr>
        <w:t>$</w:t>
      </w:r>
      <w:r w:rsidR="00412FA5">
        <w:rPr>
          <w:sz w:val="24"/>
          <w:szCs w:val="24"/>
        </w:rPr>
        <w:t>56,</w:t>
      </w:r>
      <w:r w:rsidR="00B434F9">
        <w:rPr>
          <w:sz w:val="24"/>
          <w:szCs w:val="24"/>
        </w:rPr>
        <w:t>115</w:t>
      </w:r>
      <w:r w:rsidR="0062540C">
        <w:rPr>
          <w:sz w:val="24"/>
          <w:szCs w:val="24"/>
        </w:rPr>
        <w:t>, rounded to the nearest dollar</w:t>
      </w:r>
      <w:r w:rsidRPr="00C94FEA">
        <w:rPr>
          <w:sz w:val="24"/>
          <w:szCs w:val="24"/>
        </w:rPr>
        <w:t>.</w:t>
      </w:r>
    </w:p>
    <w:p w:rsidR="00690F56" w:rsidP="00B65823" w14:paraId="6E445B0D" w14:textId="5FAA9D95">
      <w:pPr>
        <w:widowControl/>
        <w:autoSpaceDE/>
        <w:autoSpaceDN/>
        <w:adjustRightInd/>
        <w:rPr>
          <w:rFonts w:ascii="Times New Roman" w:hAnsi="Times New Roman"/>
          <w:highlight w:val="yellow"/>
        </w:rPr>
      </w:pPr>
    </w:p>
    <w:p w:rsidR="00226318" w:rsidP="00B65823" w14:paraId="2F6C480E" w14:textId="6814FC47">
      <w:pPr>
        <w:widowControl/>
        <w:autoSpaceDE/>
        <w:autoSpaceDN/>
        <w:adjustRightInd/>
        <w:rPr>
          <w:rFonts w:ascii="Times New Roman" w:hAnsi="Times New Roman"/>
          <w:highlight w:val="yellow"/>
        </w:rPr>
      </w:pPr>
    </w:p>
    <w:p w:rsidR="00226318" w:rsidP="00B65823" w14:paraId="081F1CAB" w14:textId="2C9B7CAD">
      <w:pPr>
        <w:widowControl/>
        <w:autoSpaceDE/>
        <w:autoSpaceDN/>
        <w:adjustRightInd/>
        <w:rPr>
          <w:rFonts w:ascii="Times New Roman" w:hAnsi="Times New Roman"/>
          <w:highlight w:val="yellow"/>
        </w:rPr>
      </w:pPr>
    </w:p>
    <w:p w:rsidR="00226318" w:rsidP="00B65823" w14:paraId="640AC74C" w14:textId="77777777">
      <w:pPr>
        <w:widowControl/>
        <w:autoSpaceDE/>
        <w:autoSpaceDN/>
        <w:adjustRightInd/>
        <w:rPr>
          <w:rFonts w:ascii="Times New Roman" w:hAnsi="Times New Roman"/>
          <w:highlight w:val="yellow"/>
        </w:rPr>
      </w:pPr>
    </w:p>
    <w:p w:rsidR="00CD215D" w:rsidRPr="00D53DEB" w:rsidP="003D5337" w14:paraId="4F65FC61" w14:textId="77777777">
      <w:pPr>
        <w:widowControl/>
        <w:autoSpaceDE/>
        <w:autoSpaceDN/>
        <w:adjustRightInd/>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CA21AC">
        <w:rPr>
          <w:rFonts w:ascii="Times New Roman" w:hAnsi="Times New Roman"/>
          <w:b/>
          <w:bCs/>
        </w:rPr>
        <w:t>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25326BF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A50" w:rsidRPr="000A0A50" w:rsidP="000A0A50" w14:paraId="1A65AAC5" w14:textId="36FD7314">
      <w:pPr>
        <w:rPr>
          <w:rFonts w:ascii="Times New Roman" w:hAnsi="Times New Roman"/>
        </w:rPr>
      </w:pPr>
      <w:r w:rsidRPr="000A0A50">
        <w:rPr>
          <w:rFonts w:ascii="Times New Roman" w:hAnsi="Times New Roman"/>
        </w:rPr>
        <w:t>Respondents for this survey will not incur any capital and start-up costs; respondents also will not incur any operation, maintenance, or purchase-of-service costs.  There are no additional costs to respondents other than their time.</w:t>
      </w:r>
    </w:p>
    <w:p w:rsidR="00690F56" w:rsidP="00690F56" w14:paraId="726D62FC" w14:textId="36F69C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1FE" w:rsidRPr="00F4518C" w:rsidP="00690F56" w14:paraId="2DCE46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B65823" w14:paraId="38EB8CFC" w14:textId="77777777">
      <w:pPr>
        <w:widowControl/>
        <w:rPr>
          <w:rFonts w:ascii="Times New Roman" w:hAnsi="Times New Roman"/>
        </w:rPr>
      </w:pPr>
    </w:p>
    <w:p w:rsidR="000A0A50" w:rsidRPr="00D53DEB" w:rsidP="000A0A50" w14:paraId="616AC36D" w14:textId="5B7EFC0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19" w:name="_Hlk92455622"/>
      <w:r w:rsidRPr="00254619">
        <w:rPr>
          <w:rFonts w:ascii="Times New Roman" w:hAnsi="Times New Roman"/>
        </w:rPr>
        <w:t xml:space="preserve">The estimated </w:t>
      </w:r>
      <w:r w:rsidR="00EE2D0C">
        <w:rPr>
          <w:rFonts w:ascii="Times New Roman" w:hAnsi="Times New Roman"/>
        </w:rPr>
        <w:t xml:space="preserve">annual </w:t>
      </w:r>
      <w:r w:rsidRPr="00254619">
        <w:rPr>
          <w:rFonts w:ascii="Times New Roman" w:hAnsi="Times New Roman"/>
        </w:rPr>
        <w:t>cost for the main NLSY</w:t>
      </w:r>
      <w:r>
        <w:rPr>
          <w:rFonts w:ascii="Times New Roman" w:hAnsi="Times New Roman"/>
        </w:rPr>
        <w:t>79</w:t>
      </w:r>
      <w:r w:rsidR="00073AB0">
        <w:rPr>
          <w:rFonts w:ascii="Times New Roman" w:hAnsi="Times New Roman"/>
        </w:rPr>
        <w:t xml:space="preserve"> R31</w:t>
      </w:r>
      <w:r w:rsidRPr="00254619">
        <w:rPr>
          <w:rFonts w:ascii="Times New Roman" w:hAnsi="Times New Roman"/>
        </w:rPr>
        <w:t xml:space="preserve"> is </w:t>
      </w:r>
      <w:r w:rsidRPr="00254619" w:rsidR="008D2B5F">
        <w:rPr>
          <w:rFonts w:ascii="Times New Roman" w:hAnsi="Times New Roman"/>
        </w:rPr>
        <w:t>$</w:t>
      </w:r>
      <w:r w:rsidR="00502037">
        <w:rPr>
          <w:rFonts w:ascii="Times New Roman" w:hAnsi="Times New Roman"/>
        </w:rPr>
        <w:t>8</w:t>
      </w:r>
      <w:r w:rsidR="00DA4F58">
        <w:rPr>
          <w:rFonts w:ascii="Times New Roman" w:hAnsi="Times New Roman"/>
        </w:rPr>
        <w:t xml:space="preserve"> </w:t>
      </w:r>
      <w:r>
        <w:rPr>
          <w:rFonts w:ascii="Times New Roman" w:hAnsi="Times New Roman"/>
        </w:rPr>
        <w:t>million</w:t>
      </w:r>
      <w:r w:rsidRPr="00254619">
        <w:rPr>
          <w:rFonts w:ascii="Times New Roman" w:hAnsi="Times New Roman"/>
        </w:rPr>
        <w:t>.  This cost includes survey management, questionnaire design, instrument development, and main data collection including incentive payments, cleaning and preparation of data files for users, and services to users of the data files.</w:t>
      </w:r>
    </w:p>
    <w:bookmarkEnd w:id="19"/>
    <w:p w:rsidR="006737DB" w:rsidRPr="00871CA6" w:rsidP="00B65823" w14:paraId="212B7249"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117A83" w:rsidP="000A0A50" w14:paraId="7F721E3E" w14:textId="77777777">
      <w:pPr>
        <w:widowControl/>
        <w:autoSpaceDE/>
        <w:autoSpaceDN/>
        <w:adjustRightInd/>
        <w:rPr>
          <w:rFonts w:ascii="Times New Roman" w:hAnsi="Times New Roman"/>
        </w:rPr>
      </w:pPr>
    </w:p>
    <w:p w:rsidR="000A0A50" w:rsidRPr="000A0A50" w:rsidP="000A0A50" w14:paraId="2BB9945C" w14:textId="1BB6128D">
      <w:pPr>
        <w:widowControl/>
        <w:autoSpaceDE/>
        <w:autoSpaceDN/>
        <w:adjustRightInd/>
        <w:rPr>
          <w:rFonts w:ascii="Times New Roman" w:hAnsi="Times New Roman"/>
        </w:rPr>
      </w:pPr>
      <w:r w:rsidRPr="000A0A50">
        <w:rPr>
          <w:rFonts w:ascii="Times New Roman" w:hAnsi="Times New Roman"/>
        </w:rPr>
        <w:t xml:space="preserve">The estimated total respondent burden of </w:t>
      </w:r>
      <w:r w:rsidRPr="00117A83">
        <w:rPr>
          <w:rFonts w:ascii="Times New Roman" w:hAnsi="Times New Roman"/>
        </w:rPr>
        <w:t>7,</w:t>
      </w:r>
      <w:r w:rsidR="00073AB0">
        <w:rPr>
          <w:rFonts w:ascii="Times New Roman" w:hAnsi="Times New Roman"/>
        </w:rPr>
        <w:t>7</w:t>
      </w:r>
      <w:r w:rsidR="00D67320">
        <w:rPr>
          <w:rFonts w:ascii="Times New Roman" w:hAnsi="Times New Roman"/>
        </w:rPr>
        <w:t>40</w:t>
      </w:r>
      <w:r w:rsidRPr="00117A83" w:rsidR="009C2442">
        <w:rPr>
          <w:rFonts w:ascii="Times New Roman" w:hAnsi="Times New Roman"/>
        </w:rPr>
        <w:t xml:space="preserve"> </w:t>
      </w:r>
      <w:r w:rsidRPr="000A0A50">
        <w:rPr>
          <w:rFonts w:ascii="Times New Roman" w:hAnsi="Times New Roman"/>
        </w:rPr>
        <w:t xml:space="preserve">hours for Round </w:t>
      </w:r>
      <w:r w:rsidRPr="00117A83">
        <w:rPr>
          <w:rFonts w:ascii="Times New Roman" w:hAnsi="Times New Roman"/>
        </w:rPr>
        <w:t>3</w:t>
      </w:r>
      <w:r w:rsidR="00FB462E">
        <w:rPr>
          <w:rFonts w:ascii="Times New Roman" w:hAnsi="Times New Roman"/>
        </w:rPr>
        <w:t>1</w:t>
      </w:r>
      <w:r w:rsidRPr="000A0A50">
        <w:rPr>
          <w:rFonts w:ascii="Times New Roman" w:hAnsi="Times New Roman"/>
        </w:rPr>
        <w:t xml:space="preserve"> is </w:t>
      </w:r>
      <w:r w:rsidR="00073AB0">
        <w:rPr>
          <w:rFonts w:ascii="Times New Roman" w:hAnsi="Times New Roman"/>
        </w:rPr>
        <w:t>higher</w:t>
      </w:r>
      <w:r w:rsidR="00A97D02">
        <w:rPr>
          <w:rFonts w:ascii="Times New Roman" w:hAnsi="Times New Roman"/>
        </w:rPr>
        <w:t xml:space="preserve"> than the estimated burden of </w:t>
      </w:r>
      <w:r w:rsidR="00073AB0">
        <w:rPr>
          <w:rFonts w:ascii="Times New Roman" w:hAnsi="Times New Roman"/>
        </w:rPr>
        <w:t>7318</w:t>
      </w:r>
      <w:r w:rsidR="00A97D02">
        <w:rPr>
          <w:rFonts w:ascii="Times New Roman" w:hAnsi="Times New Roman"/>
        </w:rPr>
        <w:t xml:space="preserve"> hours for </w:t>
      </w:r>
      <w:r w:rsidRPr="000A0A50">
        <w:rPr>
          <w:rFonts w:ascii="Times New Roman" w:hAnsi="Times New Roman"/>
        </w:rPr>
        <w:t xml:space="preserve">Round </w:t>
      </w:r>
      <w:r w:rsidR="00073AB0">
        <w:rPr>
          <w:rFonts w:ascii="Times New Roman" w:hAnsi="Times New Roman"/>
        </w:rPr>
        <w:t>30</w:t>
      </w:r>
      <w:r w:rsidRPr="000A0A50">
        <w:rPr>
          <w:rFonts w:ascii="Times New Roman" w:hAnsi="Times New Roman"/>
        </w:rPr>
        <w:t xml:space="preserve">. </w:t>
      </w:r>
      <w:r w:rsidR="00073AB0">
        <w:rPr>
          <w:rFonts w:ascii="Times New Roman" w:hAnsi="Times New Roman"/>
        </w:rPr>
        <w:t xml:space="preserve"> The increase is due to </w:t>
      </w:r>
      <w:r w:rsidR="00166BE0">
        <w:rPr>
          <w:rFonts w:ascii="Times New Roman" w:hAnsi="Times New Roman"/>
        </w:rPr>
        <w:t>an increase in the estimated</w:t>
      </w:r>
      <w:r w:rsidR="00DB17B5">
        <w:rPr>
          <w:rFonts w:ascii="Times New Roman" w:hAnsi="Times New Roman"/>
        </w:rPr>
        <w:t xml:space="preserve"> time for the </w:t>
      </w:r>
      <w:r w:rsidRPr="000A0A50">
        <w:rPr>
          <w:rFonts w:ascii="Times New Roman" w:hAnsi="Times New Roman"/>
        </w:rPr>
        <w:t xml:space="preserve">questionnaire to </w:t>
      </w:r>
      <w:r w:rsidR="00073AB0">
        <w:rPr>
          <w:rFonts w:ascii="Times New Roman" w:hAnsi="Times New Roman"/>
        </w:rPr>
        <w:t>73</w:t>
      </w:r>
      <w:r w:rsidRPr="000A0A50" w:rsidR="009C2442">
        <w:rPr>
          <w:rFonts w:ascii="Times New Roman" w:hAnsi="Times New Roman"/>
        </w:rPr>
        <w:t xml:space="preserve"> </w:t>
      </w:r>
      <w:r w:rsidRPr="000A0A50">
        <w:rPr>
          <w:rFonts w:ascii="Times New Roman" w:hAnsi="Times New Roman"/>
        </w:rPr>
        <w:t xml:space="preserve">minutes </w:t>
      </w:r>
      <w:r w:rsidR="00A635DA">
        <w:rPr>
          <w:rFonts w:ascii="Times New Roman" w:hAnsi="Times New Roman"/>
        </w:rPr>
        <w:t xml:space="preserve">from </w:t>
      </w:r>
      <w:r w:rsidR="00073AB0">
        <w:rPr>
          <w:rFonts w:ascii="Times New Roman" w:hAnsi="Times New Roman"/>
        </w:rPr>
        <w:t>69</w:t>
      </w:r>
      <w:r w:rsidRPr="000A0A50">
        <w:rPr>
          <w:rFonts w:ascii="Times New Roman" w:hAnsi="Times New Roman"/>
        </w:rPr>
        <w:t xml:space="preserve"> minutes </w:t>
      </w:r>
      <w:r w:rsidR="00A635DA">
        <w:rPr>
          <w:rFonts w:ascii="Times New Roman" w:hAnsi="Times New Roman"/>
        </w:rPr>
        <w:t>in</w:t>
      </w:r>
      <w:r w:rsidRPr="000A0A50">
        <w:rPr>
          <w:rFonts w:ascii="Times New Roman" w:hAnsi="Times New Roman"/>
        </w:rPr>
        <w:t xml:space="preserve"> </w:t>
      </w:r>
      <w:r w:rsidR="00470C69">
        <w:rPr>
          <w:rFonts w:ascii="Times New Roman" w:hAnsi="Times New Roman"/>
        </w:rPr>
        <w:t>R</w:t>
      </w:r>
      <w:r w:rsidRPr="000A0A50">
        <w:rPr>
          <w:rFonts w:ascii="Times New Roman" w:hAnsi="Times New Roman"/>
        </w:rPr>
        <w:t xml:space="preserve">ound </w:t>
      </w:r>
      <w:r w:rsidR="00073AB0">
        <w:rPr>
          <w:rFonts w:ascii="Times New Roman" w:hAnsi="Times New Roman"/>
        </w:rPr>
        <w:t>30</w:t>
      </w:r>
      <w:r w:rsidRPr="000A0A50">
        <w:rPr>
          <w:rFonts w:ascii="Times New Roman" w:hAnsi="Times New Roman"/>
        </w:rPr>
        <w:t>.</w:t>
      </w:r>
      <w:r w:rsidR="00CC5DE3">
        <w:rPr>
          <w:rFonts w:ascii="Times New Roman" w:hAnsi="Times New Roman"/>
        </w:rPr>
        <w:t xml:space="preserve">  </w:t>
      </w:r>
      <w:r w:rsidR="003B33B7">
        <w:rPr>
          <w:rFonts w:ascii="Times New Roman" w:hAnsi="Times New Roman"/>
        </w:rPr>
        <w:t xml:space="preserve">This increase is primarily </w:t>
      </w:r>
      <w:r w:rsidR="006A0D32">
        <w:rPr>
          <w:rFonts w:ascii="Times New Roman" w:hAnsi="Times New Roman"/>
        </w:rPr>
        <w:t xml:space="preserve">due to the </w:t>
      </w:r>
      <w:r w:rsidR="000649D3">
        <w:rPr>
          <w:rFonts w:ascii="Times New Roman" w:hAnsi="Times New Roman"/>
        </w:rPr>
        <w:t>re</w:t>
      </w:r>
      <w:r w:rsidR="00D7015C">
        <w:rPr>
          <w:rFonts w:ascii="Times New Roman" w:hAnsi="Times New Roman"/>
        </w:rPr>
        <w:t>introduction of the</w:t>
      </w:r>
      <w:r w:rsidRPr="00117A83" w:rsidR="006A0D32">
        <w:rPr>
          <w:rFonts w:ascii="Times New Roman" w:hAnsi="Times New Roman"/>
        </w:rPr>
        <w:t xml:space="preserve"> cognition battery </w:t>
      </w:r>
      <w:r w:rsidR="00B83C79">
        <w:rPr>
          <w:rFonts w:ascii="Times New Roman" w:hAnsi="Times New Roman"/>
        </w:rPr>
        <w:t xml:space="preserve">last </w:t>
      </w:r>
      <w:r w:rsidR="00116909">
        <w:rPr>
          <w:rFonts w:ascii="Times New Roman" w:hAnsi="Times New Roman"/>
        </w:rPr>
        <w:t xml:space="preserve">administered </w:t>
      </w:r>
      <w:r w:rsidR="00B83C79">
        <w:rPr>
          <w:rFonts w:ascii="Times New Roman" w:hAnsi="Times New Roman"/>
        </w:rPr>
        <w:t xml:space="preserve">in Round 29 </w:t>
      </w:r>
      <w:r w:rsidRPr="00117A83" w:rsidR="006A0D32">
        <w:rPr>
          <w:rFonts w:ascii="Times New Roman" w:hAnsi="Times New Roman"/>
        </w:rPr>
        <w:t xml:space="preserve">and the </w:t>
      </w:r>
      <w:r w:rsidR="00116909">
        <w:rPr>
          <w:rFonts w:ascii="Times New Roman" w:hAnsi="Times New Roman"/>
        </w:rPr>
        <w:t xml:space="preserve">rotating in of the </w:t>
      </w:r>
      <w:r w:rsidRPr="00117A83" w:rsidR="006A0D32">
        <w:rPr>
          <w:rFonts w:ascii="Times New Roman" w:hAnsi="Times New Roman"/>
        </w:rPr>
        <w:t xml:space="preserve">section on pensions, disability, support, </w:t>
      </w:r>
      <w:r w:rsidR="006A0D32">
        <w:rPr>
          <w:rFonts w:ascii="Times New Roman" w:hAnsi="Times New Roman"/>
        </w:rPr>
        <w:t xml:space="preserve">and </w:t>
      </w:r>
      <w:r w:rsidRPr="00117A83" w:rsidR="006A0D32">
        <w:rPr>
          <w:rFonts w:ascii="Times New Roman" w:hAnsi="Times New Roman"/>
        </w:rPr>
        <w:t>various types of expected income</w:t>
      </w:r>
      <w:r w:rsidR="00B6683B">
        <w:rPr>
          <w:rFonts w:ascii="Times New Roman" w:hAnsi="Times New Roman"/>
        </w:rPr>
        <w:t xml:space="preserve">, which </w:t>
      </w:r>
      <w:r w:rsidR="00E773DD">
        <w:rPr>
          <w:rFonts w:ascii="Times New Roman" w:hAnsi="Times New Roman"/>
        </w:rPr>
        <w:t>has been included every</w:t>
      </w:r>
      <w:r w:rsidR="00DC61A1">
        <w:rPr>
          <w:rFonts w:ascii="Times New Roman" w:hAnsi="Times New Roman"/>
        </w:rPr>
        <w:t xml:space="preserve"> four years since 2000</w:t>
      </w:r>
      <w:r w:rsidR="008F435F">
        <w:rPr>
          <w:rFonts w:ascii="Times New Roman" w:hAnsi="Times New Roman"/>
        </w:rPr>
        <w:t>; i</w:t>
      </w:r>
      <w:r w:rsidR="00F5767E">
        <w:rPr>
          <w:rFonts w:ascii="Times New Roman" w:hAnsi="Times New Roman"/>
        </w:rPr>
        <w:t xml:space="preserve">n addition, NLS has included several questions </w:t>
      </w:r>
      <w:r w:rsidRPr="00DF4361" w:rsidR="00DF4361">
        <w:rPr>
          <w:rFonts w:ascii="Times New Roman" w:hAnsi="Times New Roman"/>
        </w:rPr>
        <w:t>designed to measure details about the location of work</w:t>
      </w:r>
      <w:r w:rsidR="008F435F">
        <w:rPr>
          <w:rFonts w:ascii="Times New Roman" w:hAnsi="Times New Roman"/>
        </w:rPr>
        <w:t>.</w:t>
      </w:r>
      <w:r w:rsidR="00DF4361">
        <w:rPr>
          <w:rFonts w:ascii="Times New Roman" w:hAnsi="Times New Roman"/>
        </w:rPr>
        <w:t xml:space="preserve"> </w:t>
      </w:r>
      <w:r w:rsidR="008F435F">
        <w:rPr>
          <w:rFonts w:ascii="Times New Roman" w:hAnsi="Times New Roman"/>
        </w:rPr>
        <w:t xml:space="preserve"> S</w:t>
      </w:r>
      <w:r w:rsidR="00DF4361">
        <w:rPr>
          <w:rFonts w:ascii="Times New Roman" w:hAnsi="Times New Roman"/>
        </w:rPr>
        <w:t xml:space="preserve">ome of the time added </w:t>
      </w:r>
      <w:r w:rsidR="008F435F">
        <w:rPr>
          <w:rFonts w:ascii="Times New Roman" w:hAnsi="Times New Roman"/>
        </w:rPr>
        <w:t xml:space="preserve">for </w:t>
      </w:r>
      <w:r w:rsidR="00DF4361">
        <w:rPr>
          <w:rFonts w:ascii="Times New Roman" w:hAnsi="Times New Roman"/>
        </w:rPr>
        <w:t>these</w:t>
      </w:r>
      <w:r w:rsidR="008F435F">
        <w:rPr>
          <w:rFonts w:ascii="Times New Roman" w:hAnsi="Times New Roman"/>
        </w:rPr>
        <w:t xml:space="preserve"> additions is offset by</w:t>
      </w:r>
      <w:r w:rsidR="00B22F57">
        <w:rPr>
          <w:rFonts w:ascii="Times New Roman" w:hAnsi="Times New Roman"/>
        </w:rPr>
        <w:t xml:space="preserve"> the </w:t>
      </w:r>
      <w:r w:rsidR="006F4E84">
        <w:rPr>
          <w:rFonts w:ascii="Times New Roman" w:hAnsi="Times New Roman"/>
        </w:rPr>
        <w:t xml:space="preserve">deletion of questions on </w:t>
      </w:r>
      <w:r w:rsidR="00157CB6">
        <w:rPr>
          <w:rFonts w:ascii="Times New Roman" w:hAnsi="Times New Roman"/>
        </w:rPr>
        <w:t xml:space="preserve">job tasks, retirement expectations, </w:t>
      </w:r>
      <w:r w:rsidR="006F4E84">
        <w:rPr>
          <w:rFonts w:ascii="Times New Roman" w:hAnsi="Times New Roman"/>
        </w:rPr>
        <w:t>nutrition, and the coronavirus</w:t>
      </w:r>
      <w:r w:rsidR="00A918DF">
        <w:rPr>
          <w:rFonts w:ascii="Times New Roman" w:hAnsi="Times New Roman"/>
        </w:rPr>
        <w:t>, as well as the targeting of questions on</w:t>
      </w:r>
      <w:r w:rsidR="00CC4F23">
        <w:rPr>
          <w:rFonts w:ascii="Times New Roman" w:hAnsi="Times New Roman"/>
        </w:rPr>
        <w:t xml:space="preserve"> religion,</w:t>
      </w:r>
      <w:r w:rsidR="00A918DF">
        <w:rPr>
          <w:rFonts w:ascii="Times New Roman" w:hAnsi="Times New Roman"/>
        </w:rPr>
        <w:t xml:space="preserve"> </w:t>
      </w:r>
      <w:r w:rsidR="00CC4F23">
        <w:rPr>
          <w:rFonts w:ascii="Times New Roman" w:hAnsi="Times New Roman"/>
        </w:rPr>
        <w:t>perceived discrimination</w:t>
      </w:r>
      <w:r w:rsidR="00063E58">
        <w:rPr>
          <w:rFonts w:ascii="Times New Roman" w:hAnsi="Times New Roman"/>
        </w:rPr>
        <w:t xml:space="preserve">, fertility, </w:t>
      </w:r>
      <w:r w:rsidR="00E34C82">
        <w:rPr>
          <w:rFonts w:ascii="Times New Roman" w:hAnsi="Times New Roman"/>
        </w:rPr>
        <w:t xml:space="preserve">and will </w:t>
      </w:r>
      <w:r w:rsidR="00D67320">
        <w:rPr>
          <w:rFonts w:ascii="Times New Roman" w:hAnsi="Times New Roman"/>
        </w:rPr>
        <w:t xml:space="preserve">be administered </w:t>
      </w:r>
      <w:r w:rsidR="00E34C82">
        <w:rPr>
          <w:rFonts w:ascii="Times New Roman" w:hAnsi="Times New Roman"/>
        </w:rPr>
        <w:t>to only those respondents who missed the last survey.</w:t>
      </w:r>
      <w:r w:rsidRPr="000A0A50">
        <w:rPr>
          <w:rFonts w:ascii="Times New Roman" w:hAnsi="Times New Roman"/>
        </w:rPr>
        <w:t xml:space="preserve">  See Attachment 5 for a description of questionnaire changes.</w:t>
      </w:r>
    </w:p>
    <w:p w:rsidR="00690F56" w:rsidRPr="00F4518C" w:rsidP="00B65823" w14:paraId="13EF01B8"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 xml:space="preserve">For collections of information whose results will be published, outline plans for tabulations, and publication.  Address any complex analytical techniques that will be used.  </w:t>
      </w:r>
      <w:r w:rsidRPr="00D53DEB">
        <w:rPr>
          <w:rFonts w:ascii="Times New Roman" w:hAnsi="Times New Roman"/>
          <w:b/>
          <w:bCs/>
        </w:rPr>
        <w:t>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B65823" w14:paraId="510180C3" w14:textId="77777777">
      <w:pPr>
        <w:widowControl/>
        <w:rPr>
          <w:rFonts w:ascii="Times New Roman" w:hAnsi="Times New Roman"/>
        </w:rPr>
      </w:pPr>
    </w:p>
    <w:p w:rsidR="002B064A" w:rsidRPr="00D21180" w:rsidP="002B064A" w14:paraId="6F832ECA" w14:textId="09C775EF">
      <w:pPr>
        <w:pStyle w:val="BodyText2"/>
        <w:rPr>
          <w:sz w:val="24"/>
          <w:szCs w:val="24"/>
        </w:rPr>
      </w:pPr>
      <w:r w:rsidRPr="00D21180">
        <w:rPr>
          <w:sz w:val="24"/>
          <w:szCs w:val="24"/>
        </w:rPr>
        <w:t>Following transmittal of the survey data from NORC to CHRR, staff at CHRR spend approximately 14 months cleaning the data and preparing a main NLSY79 public-use data file.  The expected timing of these events is as follows:</w:t>
      </w:r>
    </w:p>
    <w:tbl>
      <w:tblPr>
        <w:tblW w:w="0" w:type="auto"/>
        <w:tblInd w:w="468" w:type="dxa"/>
        <w:tblLayout w:type="fixed"/>
        <w:tblLook w:val="0000"/>
      </w:tblPr>
      <w:tblGrid>
        <w:gridCol w:w="4050"/>
        <w:gridCol w:w="4266"/>
      </w:tblGrid>
      <w:tr w14:paraId="2AB3E986" w14:textId="77777777" w:rsidTr="00C6376F">
        <w:tblPrEx>
          <w:tblW w:w="0" w:type="auto"/>
          <w:tblInd w:w="468" w:type="dxa"/>
          <w:tblLayout w:type="fixed"/>
          <w:tblLook w:val="0000"/>
        </w:tblPrEx>
        <w:tc>
          <w:tcPr>
            <w:tcW w:w="4050" w:type="dxa"/>
          </w:tcPr>
          <w:p w:rsidR="002B064A" w:rsidRPr="001E4A58" w:rsidP="00C6376F" w14:paraId="1DD80935" w14:textId="77777777">
            <w:pPr>
              <w:keepNext/>
              <w:rPr>
                <w:rFonts w:ascii="Times New Roman" w:hAnsi="Times New Roman"/>
              </w:rPr>
            </w:pPr>
          </w:p>
        </w:tc>
        <w:tc>
          <w:tcPr>
            <w:tcW w:w="4266" w:type="dxa"/>
          </w:tcPr>
          <w:p w:rsidR="002B064A" w:rsidRPr="001E4A58" w:rsidP="00C6376F" w14:paraId="03E60755" w14:textId="77777777">
            <w:pPr>
              <w:keepNext/>
              <w:rPr>
                <w:rFonts w:ascii="Times New Roman" w:hAnsi="Times New Roman"/>
              </w:rPr>
            </w:pPr>
          </w:p>
        </w:tc>
      </w:tr>
      <w:tr w14:paraId="409CDF5F" w14:textId="77777777" w:rsidTr="00C6376F">
        <w:tblPrEx>
          <w:tblW w:w="0" w:type="auto"/>
          <w:tblInd w:w="468" w:type="dxa"/>
          <w:tblLayout w:type="fixed"/>
          <w:tblLook w:val="0000"/>
        </w:tblPrEx>
        <w:tc>
          <w:tcPr>
            <w:tcW w:w="4050" w:type="dxa"/>
          </w:tcPr>
          <w:p w:rsidR="002B064A" w:rsidRPr="001E4A58" w:rsidP="00C6376F" w14:paraId="5EBDE72B" w14:textId="77777777">
            <w:pPr>
              <w:keepNext/>
              <w:rPr>
                <w:rFonts w:ascii="Times New Roman" w:hAnsi="Times New Roman"/>
              </w:rPr>
            </w:pPr>
            <w:r w:rsidRPr="001E4A58">
              <w:rPr>
                <w:rFonts w:ascii="Times New Roman" w:hAnsi="Times New Roman"/>
              </w:rPr>
              <w:t>Main NLSY79 Interviews</w:t>
            </w:r>
          </w:p>
        </w:tc>
        <w:tc>
          <w:tcPr>
            <w:tcW w:w="4266" w:type="dxa"/>
          </w:tcPr>
          <w:p w:rsidR="002B064A" w:rsidRPr="001E4A58" w:rsidP="00C6376F" w14:paraId="365A4885" w14:textId="63424ABC">
            <w:pPr>
              <w:keepNext/>
              <w:rPr>
                <w:rFonts w:ascii="Times New Roman" w:hAnsi="Times New Roman"/>
              </w:rPr>
            </w:pPr>
            <w:r w:rsidRPr="001E4A58">
              <w:rPr>
                <w:rFonts w:ascii="Times New Roman" w:hAnsi="Times New Roman"/>
              </w:rPr>
              <w:t xml:space="preserve">September </w:t>
            </w:r>
            <w:r w:rsidRPr="001E4A58" w:rsidR="00E161FF">
              <w:rPr>
                <w:rFonts w:ascii="Times New Roman" w:hAnsi="Times New Roman"/>
              </w:rPr>
              <w:t>202</w:t>
            </w:r>
            <w:r w:rsidR="00E161FF">
              <w:rPr>
                <w:rFonts w:ascii="Times New Roman" w:hAnsi="Times New Roman"/>
              </w:rPr>
              <w:t>4</w:t>
            </w:r>
            <w:r w:rsidRPr="001E4A58">
              <w:rPr>
                <w:rFonts w:ascii="Times New Roman" w:hAnsi="Times New Roman"/>
              </w:rPr>
              <w:t>–</w:t>
            </w:r>
            <w:r w:rsidR="00DA5076">
              <w:rPr>
                <w:rFonts w:ascii="Times New Roman" w:hAnsi="Times New Roman"/>
              </w:rPr>
              <w:t>September</w:t>
            </w:r>
            <w:r w:rsidRPr="001E4A58" w:rsidR="00E161FF">
              <w:rPr>
                <w:rFonts w:ascii="Times New Roman" w:hAnsi="Times New Roman"/>
              </w:rPr>
              <w:t xml:space="preserve"> </w:t>
            </w:r>
            <w:r w:rsidRPr="001E4A58">
              <w:rPr>
                <w:rFonts w:ascii="Times New Roman" w:hAnsi="Times New Roman"/>
              </w:rPr>
              <w:t>202</w:t>
            </w:r>
            <w:r w:rsidR="00E161FF">
              <w:rPr>
                <w:rFonts w:ascii="Times New Roman" w:hAnsi="Times New Roman"/>
              </w:rPr>
              <w:t>5</w:t>
            </w:r>
          </w:p>
        </w:tc>
      </w:tr>
      <w:tr w14:paraId="230EFEF7" w14:textId="77777777" w:rsidTr="00C6376F">
        <w:tblPrEx>
          <w:tblW w:w="0" w:type="auto"/>
          <w:tblInd w:w="468" w:type="dxa"/>
          <w:tblLayout w:type="fixed"/>
          <w:tblLook w:val="0000"/>
        </w:tblPrEx>
        <w:tc>
          <w:tcPr>
            <w:tcW w:w="4050" w:type="dxa"/>
          </w:tcPr>
          <w:p w:rsidR="002B064A" w:rsidRPr="001E4A58" w:rsidP="00C6376F" w14:paraId="5D321D2C" w14:textId="77777777">
            <w:pPr>
              <w:keepNext/>
              <w:rPr>
                <w:rFonts w:ascii="Times New Roman" w:hAnsi="Times New Roman"/>
              </w:rPr>
            </w:pPr>
            <w:r w:rsidRPr="001E4A58">
              <w:rPr>
                <w:rFonts w:ascii="Times New Roman" w:hAnsi="Times New Roman"/>
              </w:rPr>
              <w:t>Data Cleaning and Coding</w:t>
            </w:r>
          </w:p>
        </w:tc>
        <w:tc>
          <w:tcPr>
            <w:tcW w:w="4266" w:type="dxa"/>
          </w:tcPr>
          <w:p w:rsidR="002B064A" w:rsidRPr="001E4A58" w:rsidP="00C6376F" w14:paraId="6695FCC5" w14:textId="530DC35C">
            <w:pPr>
              <w:keepNext/>
              <w:rPr>
                <w:rFonts w:ascii="Times New Roman" w:hAnsi="Times New Roman"/>
              </w:rPr>
            </w:pPr>
            <w:r>
              <w:rPr>
                <w:rFonts w:ascii="Times New Roman" w:hAnsi="Times New Roman"/>
              </w:rPr>
              <w:t>September</w:t>
            </w:r>
            <w:r w:rsidRPr="001E4A58" w:rsidR="00E161FF">
              <w:rPr>
                <w:rFonts w:ascii="Times New Roman" w:hAnsi="Times New Roman"/>
              </w:rPr>
              <w:t xml:space="preserve"> </w:t>
            </w:r>
            <w:r w:rsidRPr="001E4A58">
              <w:rPr>
                <w:rFonts w:ascii="Times New Roman" w:hAnsi="Times New Roman"/>
              </w:rPr>
              <w:t>202</w:t>
            </w:r>
            <w:r w:rsidR="00E161FF">
              <w:rPr>
                <w:rFonts w:ascii="Times New Roman" w:hAnsi="Times New Roman"/>
              </w:rPr>
              <w:t>5</w:t>
            </w:r>
            <w:r w:rsidRPr="001E4A58">
              <w:rPr>
                <w:rFonts w:ascii="Times New Roman" w:hAnsi="Times New Roman"/>
              </w:rPr>
              <w:t>–</w:t>
            </w:r>
            <w:r w:rsidR="00870907">
              <w:rPr>
                <w:rFonts w:ascii="Times New Roman" w:hAnsi="Times New Roman"/>
              </w:rPr>
              <w:t xml:space="preserve">January </w:t>
            </w:r>
            <w:r w:rsidRPr="001E4A58">
              <w:rPr>
                <w:rFonts w:ascii="Times New Roman" w:hAnsi="Times New Roman"/>
              </w:rPr>
              <w:t>202</w:t>
            </w:r>
            <w:r w:rsidR="00722B7C">
              <w:rPr>
                <w:rFonts w:ascii="Times New Roman" w:hAnsi="Times New Roman"/>
              </w:rPr>
              <w:t>6</w:t>
            </w:r>
          </w:p>
        </w:tc>
      </w:tr>
      <w:tr w14:paraId="70E6D98D" w14:textId="77777777" w:rsidTr="00C6376F">
        <w:tblPrEx>
          <w:tblW w:w="0" w:type="auto"/>
          <w:tblInd w:w="468" w:type="dxa"/>
          <w:tblLayout w:type="fixed"/>
          <w:tblLook w:val="0000"/>
        </w:tblPrEx>
        <w:tc>
          <w:tcPr>
            <w:tcW w:w="4050" w:type="dxa"/>
          </w:tcPr>
          <w:p w:rsidR="002B064A" w:rsidRPr="001E4A58" w:rsidP="00C6376F" w14:paraId="115804B4" w14:textId="77777777">
            <w:pPr>
              <w:keepNext/>
              <w:rPr>
                <w:rFonts w:ascii="Times New Roman" w:hAnsi="Times New Roman"/>
              </w:rPr>
            </w:pPr>
            <w:r w:rsidRPr="001E4A58">
              <w:rPr>
                <w:rFonts w:ascii="Times New Roman" w:hAnsi="Times New Roman"/>
              </w:rPr>
              <w:t>Public-Use Data File Preparation</w:t>
            </w:r>
          </w:p>
        </w:tc>
        <w:tc>
          <w:tcPr>
            <w:tcW w:w="4266" w:type="dxa"/>
          </w:tcPr>
          <w:p w:rsidR="002B064A" w:rsidRPr="001E4A58" w:rsidP="00C6376F" w14:paraId="78B91EFD" w14:textId="0E07833B">
            <w:pPr>
              <w:pStyle w:val="TOC4"/>
              <w:keepNext/>
              <w:tabs>
                <w:tab w:val="clear" w:pos="8668"/>
              </w:tabs>
              <w:ind w:left="0"/>
              <w:rPr>
                <w:sz w:val="24"/>
                <w:szCs w:val="24"/>
              </w:rPr>
            </w:pPr>
            <w:r>
              <w:rPr>
                <w:sz w:val="24"/>
                <w:szCs w:val="24"/>
              </w:rPr>
              <w:t>February</w:t>
            </w:r>
            <w:r w:rsidRPr="001E4A58">
              <w:rPr>
                <w:sz w:val="24"/>
                <w:szCs w:val="24"/>
              </w:rPr>
              <w:t xml:space="preserve"> 202</w:t>
            </w:r>
            <w:r w:rsidR="00722B7C">
              <w:rPr>
                <w:sz w:val="24"/>
                <w:szCs w:val="24"/>
              </w:rPr>
              <w:t>6</w:t>
            </w:r>
            <w:r w:rsidRPr="001E4A58">
              <w:rPr>
                <w:sz w:val="24"/>
                <w:szCs w:val="24"/>
              </w:rPr>
              <w:t>–</w:t>
            </w:r>
            <w:r>
              <w:rPr>
                <w:sz w:val="24"/>
                <w:szCs w:val="24"/>
              </w:rPr>
              <w:t xml:space="preserve">November </w:t>
            </w:r>
            <w:r w:rsidRPr="001E4A58">
              <w:rPr>
                <w:sz w:val="24"/>
                <w:szCs w:val="24"/>
              </w:rPr>
              <w:t>202</w:t>
            </w:r>
            <w:r w:rsidR="00722B7C">
              <w:rPr>
                <w:sz w:val="24"/>
                <w:szCs w:val="24"/>
              </w:rPr>
              <w:t>6</w:t>
            </w:r>
          </w:p>
        </w:tc>
      </w:tr>
      <w:tr w14:paraId="4F05B77A" w14:textId="77777777" w:rsidTr="00C6376F">
        <w:tblPrEx>
          <w:tblW w:w="0" w:type="auto"/>
          <w:tblInd w:w="468" w:type="dxa"/>
          <w:tblLayout w:type="fixed"/>
          <w:tblLook w:val="0000"/>
        </w:tblPrEx>
        <w:tc>
          <w:tcPr>
            <w:tcW w:w="4050" w:type="dxa"/>
          </w:tcPr>
          <w:p w:rsidR="002B064A" w:rsidRPr="001E4A58" w:rsidP="00C6376F" w14:paraId="6334E9FC" w14:textId="77777777">
            <w:pPr>
              <w:keepNext/>
              <w:rPr>
                <w:rFonts w:ascii="Times New Roman" w:hAnsi="Times New Roman"/>
              </w:rPr>
            </w:pPr>
            <w:r w:rsidRPr="001E4A58">
              <w:rPr>
                <w:rFonts w:ascii="Times New Roman" w:hAnsi="Times New Roman"/>
              </w:rPr>
              <w:t>Release of Main NLSY79 Public-Use Data File</w:t>
            </w:r>
          </w:p>
        </w:tc>
        <w:tc>
          <w:tcPr>
            <w:tcW w:w="4266" w:type="dxa"/>
          </w:tcPr>
          <w:p w:rsidR="002B064A" w:rsidRPr="001E4A58" w:rsidP="00C6376F" w14:paraId="00015AD1" w14:textId="72214D8C">
            <w:pPr>
              <w:keepNext/>
              <w:rPr>
                <w:rFonts w:ascii="Times New Roman" w:hAnsi="Times New Roman"/>
              </w:rPr>
            </w:pPr>
            <w:r>
              <w:rPr>
                <w:rFonts w:ascii="Times New Roman" w:hAnsi="Times New Roman"/>
              </w:rPr>
              <w:t>December</w:t>
            </w:r>
            <w:r w:rsidRPr="001E4A58">
              <w:rPr>
                <w:rFonts w:ascii="Times New Roman" w:hAnsi="Times New Roman"/>
              </w:rPr>
              <w:t xml:space="preserve"> </w:t>
            </w:r>
            <w:r w:rsidRPr="001E4A58">
              <w:rPr>
                <w:rFonts w:ascii="Times New Roman" w:hAnsi="Times New Roman"/>
              </w:rPr>
              <w:t>202</w:t>
            </w:r>
            <w:r w:rsidR="00146FDA">
              <w:rPr>
                <w:rFonts w:ascii="Times New Roman" w:hAnsi="Times New Roman"/>
              </w:rPr>
              <w:t>6</w:t>
            </w:r>
          </w:p>
        </w:tc>
      </w:tr>
    </w:tbl>
    <w:p w:rsidR="00690F56" w:rsidP="00B65823" w14:paraId="41B59CA5" w14:textId="5D669B1D">
      <w:pPr>
        <w:widowControl/>
        <w:rPr>
          <w:rFonts w:ascii="Times New Roman" w:hAnsi="Times New Roman"/>
        </w:rPr>
      </w:pPr>
    </w:p>
    <w:p w:rsidR="005E21FE" w:rsidRPr="00871CA6" w:rsidP="00B65823" w14:paraId="445989EB"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276910" w:rsidRPr="00276910" w:rsidP="00276910" w14:paraId="00CBB91F" w14:textId="77777777">
      <w:pPr>
        <w:rPr>
          <w:rFonts w:ascii="Times New Roman" w:hAnsi="Times New Roman"/>
        </w:rPr>
      </w:pPr>
      <w:r w:rsidRPr="00276910">
        <w:rPr>
          <w:rFonts w:ascii="Times New Roman" w:hAnsi="Times New Roman"/>
        </w:rPr>
        <w:t>The OMB number and expiration date will be provided in the advance letter.</w:t>
      </w:r>
    </w:p>
    <w:p w:rsidR="00276910" w:rsidP="00B65823" w14:paraId="45949258" w14:textId="3A0CC2CE">
      <w:pPr>
        <w:widowControl/>
        <w:rPr>
          <w:rFonts w:ascii="Times New Roman" w:hAnsi="Times New Roman"/>
        </w:rPr>
      </w:pPr>
    </w:p>
    <w:p w:rsidR="005E21FE" w:rsidRPr="00A973AA" w:rsidP="00B65823" w14:paraId="169A28CA"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276910" w:rsidP="00B65823" w14:paraId="641E1E6D" w14:textId="77777777">
      <w:pPr>
        <w:widowControl/>
        <w:rPr>
          <w:rFonts w:ascii="Times New Roman" w:hAnsi="Times New Roman"/>
        </w:rPr>
      </w:pPr>
    </w:p>
    <w:p w:rsidR="00332F98" w:rsidRPr="00D53DEB" w:rsidP="002F633E" w14:paraId="3E8CBCDA" w14:textId="422CF788">
      <w:pPr>
        <w:rPr>
          <w:rFonts w:ascii="Times New Roman" w:hAnsi="Times New Roman"/>
        </w:rPr>
      </w:pPr>
      <w:r>
        <w:rPr>
          <w:rFonts w:ascii="Times New Roman" w:hAnsi="Times New Roman"/>
        </w:rPr>
        <w:t>NLS</w:t>
      </w:r>
      <w:r w:rsidRPr="00276910">
        <w:rPr>
          <w:rFonts w:ascii="Times New Roman" w:hAnsi="Times New Roman"/>
        </w:rPr>
        <w:t xml:space="preserve"> </w:t>
      </w:r>
      <w:r w:rsidRPr="00276910" w:rsidR="00276910">
        <w:rPr>
          <w:rFonts w:ascii="Times New Roman" w:hAnsi="Times New Roman"/>
        </w:rPr>
        <w:t>do</w:t>
      </w:r>
      <w:r>
        <w:rPr>
          <w:rFonts w:ascii="Times New Roman" w:hAnsi="Times New Roman"/>
        </w:rPr>
        <w:t>es</w:t>
      </w:r>
      <w:r w:rsidRPr="00276910" w:rsidR="00276910">
        <w:rPr>
          <w:rFonts w:ascii="Times New Roman" w:hAnsi="Times New Roman"/>
        </w:rPr>
        <w:t xml:space="preserve"> not have any exceptions to the “Certificate for Paperwork Reduction Act Submissions” statement.</w:t>
      </w:r>
      <w:r w:rsidR="002F633E">
        <w:rPr>
          <w:rFonts w:ascii="Times New Roman" w:hAnsi="Times New Roman"/>
        </w:rPr>
        <w:t xml:space="preserve">  </w:t>
      </w:r>
    </w:p>
    <w:sectPr w:rsidSect="00D32E1D">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87ED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EBD" w:rsidRPr="006626FF" w:rsidP="00576EBD" w14:paraId="7875DBB6" w14:textId="17DF5276">
    <w:pPr>
      <w:pStyle w:val="Header"/>
      <w:rPr>
        <w:rFonts w:ascii="Times New Roman" w:hAnsi="Times New Roman"/>
        <w:bCs/>
        <w:sz w:val="20"/>
        <w:szCs w:val="20"/>
      </w:rPr>
    </w:pPr>
    <w:r>
      <w:rPr>
        <w:rFonts w:ascii="Times New Roman" w:hAnsi="Times New Roman"/>
        <w:bCs/>
        <w:sz w:val="20"/>
        <w:szCs w:val="20"/>
      </w:rPr>
      <w:t>National Longitudinal Survey of Youth 1979</w:t>
    </w:r>
  </w:p>
  <w:p w:rsidR="00576EBD" w:rsidP="00576EBD" w14:paraId="5C7AD638" w14:textId="1C4A81D4">
    <w:pPr>
      <w:pStyle w:val="Header"/>
      <w:rPr>
        <w:rFonts w:ascii="Times New Roman" w:hAnsi="Times New Roman"/>
        <w:sz w:val="20"/>
        <w:szCs w:val="20"/>
      </w:rPr>
    </w:pPr>
    <w:r>
      <w:rPr>
        <w:rFonts w:ascii="Times New Roman" w:hAnsi="Times New Roman"/>
        <w:sz w:val="20"/>
        <w:szCs w:val="20"/>
      </w:rPr>
      <w:t>OMB Control Number</w:t>
    </w:r>
    <w:r w:rsidR="005E1316">
      <w:rPr>
        <w:rFonts w:ascii="Times New Roman" w:hAnsi="Times New Roman"/>
        <w:sz w:val="20"/>
        <w:szCs w:val="20"/>
      </w:rPr>
      <w:t>:</w:t>
    </w:r>
    <w:r>
      <w:rPr>
        <w:rFonts w:ascii="Times New Roman" w:hAnsi="Times New Roman"/>
        <w:sz w:val="20"/>
        <w:szCs w:val="20"/>
      </w:rPr>
      <w:t xml:space="preserve"> 1220-0109</w:t>
    </w:r>
  </w:p>
  <w:p w:rsidR="00576EBD" w:rsidRPr="00F8164B" w:rsidP="00576EBD" w14:paraId="6F78FAFB" w14:textId="7137F6AF">
    <w:pPr>
      <w:pStyle w:val="Header"/>
      <w:rPr>
        <w:rFonts w:ascii="Times New Roman" w:hAnsi="Times New Roman"/>
        <w:sz w:val="20"/>
        <w:szCs w:val="20"/>
      </w:rPr>
    </w:pPr>
    <w:r>
      <w:rPr>
        <w:rFonts w:ascii="Times New Roman" w:hAnsi="Times New Roman"/>
        <w:sz w:val="20"/>
        <w:szCs w:val="20"/>
      </w:rPr>
      <w:t xml:space="preserve">OMB Expiration Date: </w:t>
    </w:r>
    <w:r w:rsidR="00A74494">
      <w:rPr>
        <w:rFonts w:ascii="Times New Roman" w:hAnsi="Times New Roman"/>
        <w:sz w:val="20"/>
        <w:szCs w:val="20"/>
      </w:rPr>
      <w:t>8/31/202</w:t>
    </w:r>
    <w:r w:rsidR="00C33F45">
      <w:rPr>
        <w:rFonts w:ascii="Times New Roman" w:hAnsi="Times New Roman"/>
        <w:sz w:val="20"/>
        <w:szCs w:val="20"/>
      </w:rPr>
      <w:t>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B004CE0"/>
    <w:lvl w:ilvl="0">
      <w:start w:val="1"/>
      <w:numFmt w:val="bullet"/>
      <w:pStyle w:val="ListBullet"/>
      <w:lvlText w:val="■"/>
      <w:lvlJc w:val="left"/>
      <w:pPr>
        <w:ind w:left="360" w:hanging="360"/>
      </w:pPr>
      <w:rPr>
        <w:rFonts w:ascii="Times New Roman" w:hAnsi="Times New Roman" w:cs="Times New Roman" w:hint="default"/>
        <w:color w:val="E87424"/>
        <w:sz w:val="16"/>
        <w:szCs w:val="16"/>
      </w:rPr>
    </w:lvl>
  </w:abstractNum>
  <w:abstractNum w:abstractNumId="1">
    <w:nsid w:val="FFFFFFFE"/>
    <w:multiLevelType w:val="singleLevel"/>
    <w:tmpl w:val="28DA8BC6"/>
    <w:lvl w:ilvl="0">
      <w:start w:val="0"/>
      <w:numFmt w:val="bullet"/>
      <w:lvlText w:val="*"/>
      <w:lvlJc w:val="left"/>
    </w:lvl>
  </w:abstractNum>
  <w:abstractNum w:abstractNumId="2">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F5DC2"/>
    <w:multiLevelType w:val="hybridMultilevel"/>
    <w:tmpl w:val="0A34EBEC"/>
    <w:lvl w:ilvl="0">
      <w:start w:val="1"/>
      <w:numFmt w:val="decimal"/>
      <w:lvlText w:val="%1."/>
      <w:lvlJc w:val="left"/>
      <w:pPr>
        <w:tabs>
          <w:tab w:val="num" w:pos="1080"/>
        </w:tabs>
        <w:ind w:left="108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2CF2220"/>
    <w:multiLevelType w:val="hybridMultilevel"/>
    <w:tmpl w:val="CC1CF4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2085306">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632253278">
    <w:abstractNumId w:val="1"/>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16838462">
    <w:abstractNumId w:val="4"/>
  </w:num>
  <w:num w:numId="4" w16cid:durableId="1523127762">
    <w:abstractNumId w:val="11"/>
  </w:num>
  <w:num w:numId="5" w16cid:durableId="919364949">
    <w:abstractNumId w:val="3"/>
  </w:num>
  <w:num w:numId="6" w16cid:durableId="1401949227">
    <w:abstractNumId w:val="5"/>
  </w:num>
  <w:num w:numId="7" w16cid:durableId="85461743">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11547903">
    <w:abstractNumId w:val="13"/>
  </w:num>
  <w:num w:numId="9" w16cid:durableId="893469072">
    <w:abstractNumId w:val="2"/>
  </w:num>
  <w:num w:numId="10" w16cid:durableId="1477140506">
    <w:abstractNumId w:val="12"/>
  </w:num>
  <w:num w:numId="11" w16cid:durableId="1578784345">
    <w:abstractNumId w:val="8"/>
  </w:num>
  <w:num w:numId="12" w16cid:durableId="571433377">
    <w:abstractNumId w:val="9"/>
  </w:num>
  <w:num w:numId="13" w16cid:durableId="135344226">
    <w:abstractNumId w:val="7"/>
  </w:num>
  <w:num w:numId="14" w16cid:durableId="1968972404">
    <w:abstractNumId w:val="6"/>
  </w:num>
  <w:num w:numId="15" w16cid:durableId="326514386">
    <w:abstractNumId w:val="0"/>
  </w:num>
  <w:num w:numId="16" w16cid:durableId="1210144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11B93"/>
    <w:rsid w:val="000133FD"/>
    <w:rsid w:val="00014158"/>
    <w:rsid w:val="00020F69"/>
    <w:rsid w:val="00022303"/>
    <w:rsid w:val="0002263A"/>
    <w:rsid w:val="00023914"/>
    <w:rsid w:val="000254EC"/>
    <w:rsid w:val="00026584"/>
    <w:rsid w:val="00027953"/>
    <w:rsid w:val="0003013A"/>
    <w:rsid w:val="000349FC"/>
    <w:rsid w:val="00034FA5"/>
    <w:rsid w:val="00035561"/>
    <w:rsid w:val="000374C3"/>
    <w:rsid w:val="0004107F"/>
    <w:rsid w:val="0004178B"/>
    <w:rsid w:val="00042CBD"/>
    <w:rsid w:val="000506EF"/>
    <w:rsid w:val="00052174"/>
    <w:rsid w:val="0005436A"/>
    <w:rsid w:val="000610D9"/>
    <w:rsid w:val="00061F6C"/>
    <w:rsid w:val="00063E58"/>
    <w:rsid w:val="000645C3"/>
    <w:rsid w:val="000649D3"/>
    <w:rsid w:val="00064E28"/>
    <w:rsid w:val="0006759D"/>
    <w:rsid w:val="00070C48"/>
    <w:rsid w:val="0007383F"/>
    <w:rsid w:val="00073AB0"/>
    <w:rsid w:val="00073C01"/>
    <w:rsid w:val="0007579E"/>
    <w:rsid w:val="0008246F"/>
    <w:rsid w:val="000826C3"/>
    <w:rsid w:val="0008570C"/>
    <w:rsid w:val="00087C8D"/>
    <w:rsid w:val="00094A5E"/>
    <w:rsid w:val="00095C30"/>
    <w:rsid w:val="000A0851"/>
    <w:rsid w:val="000A0A50"/>
    <w:rsid w:val="000A562A"/>
    <w:rsid w:val="000A7853"/>
    <w:rsid w:val="000B0391"/>
    <w:rsid w:val="000B204F"/>
    <w:rsid w:val="000B3E86"/>
    <w:rsid w:val="000B4875"/>
    <w:rsid w:val="000B5F76"/>
    <w:rsid w:val="000B6FB6"/>
    <w:rsid w:val="000C257C"/>
    <w:rsid w:val="000C3A92"/>
    <w:rsid w:val="000C4721"/>
    <w:rsid w:val="000C74FB"/>
    <w:rsid w:val="000D7F95"/>
    <w:rsid w:val="000E1C64"/>
    <w:rsid w:val="000E7B53"/>
    <w:rsid w:val="000F6836"/>
    <w:rsid w:val="001040D4"/>
    <w:rsid w:val="0010532D"/>
    <w:rsid w:val="001078BB"/>
    <w:rsid w:val="00112495"/>
    <w:rsid w:val="00112526"/>
    <w:rsid w:val="00116737"/>
    <w:rsid w:val="00116909"/>
    <w:rsid w:val="00116CD5"/>
    <w:rsid w:val="00117A83"/>
    <w:rsid w:val="0012674C"/>
    <w:rsid w:val="00133C47"/>
    <w:rsid w:val="0014556E"/>
    <w:rsid w:val="0014597F"/>
    <w:rsid w:val="00146FDA"/>
    <w:rsid w:val="00152F07"/>
    <w:rsid w:val="0015322B"/>
    <w:rsid w:val="0015365E"/>
    <w:rsid w:val="00157A90"/>
    <w:rsid w:val="00157CB6"/>
    <w:rsid w:val="00166BE0"/>
    <w:rsid w:val="001707F8"/>
    <w:rsid w:val="00170FD1"/>
    <w:rsid w:val="00180E5A"/>
    <w:rsid w:val="00186724"/>
    <w:rsid w:val="00192C37"/>
    <w:rsid w:val="001943D6"/>
    <w:rsid w:val="00197676"/>
    <w:rsid w:val="001A47D9"/>
    <w:rsid w:val="001C10FD"/>
    <w:rsid w:val="001C2E16"/>
    <w:rsid w:val="001C3306"/>
    <w:rsid w:val="001C4D78"/>
    <w:rsid w:val="001D10ED"/>
    <w:rsid w:val="001D2D09"/>
    <w:rsid w:val="001D5A59"/>
    <w:rsid w:val="001D63DC"/>
    <w:rsid w:val="001D67BB"/>
    <w:rsid w:val="001D69F2"/>
    <w:rsid w:val="001E0E7F"/>
    <w:rsid w:val="001E1D67"/>
    <w:rsid w:val="001E2932"/>
    <w:rsid w:val="001E3596"/>
    <w:rsid w:val="001E37DA"/>
    <w:rsid w:val="001E493C"/>
    <w:rsid w:val="001E4A58"/>
    <w:rsid w:val="001E5213"/>
    <w:rsid w:val="001F2E8E"/>
    <w:rsid w:val="001F3150"/>
    <w:rsid w:val="001F3349"/>
    <w:rsid w:val="002036A1"/>
    <w:rsid w:val="002134B4"/>
    <w:rsid w:val="00213697"/>
    <w:rsid w:val="002152AD"/>
    <w:rsid w:val="0021679E"/>
    <w:rsid w:val="00216FC2"/>
    <w:rsid w:val="0021748E"/>
    <w:rsid w:val="002203C9"/>
    <w:rsid w:val="002228D8"/>
    <w:rsid w:val="00226318"/>
    <w:rsid w:val="002275AA"/>
    <w:rsid w:val="002331B3"/>
    <w:rsid w:val="0023623C"/>
    <w:rsid w:val="00237691"/>
    <w:rsid w:val="00242CA0"/>
    <w:rsid w:val="00243432"/>
    <w:rsid w:val="00247146"/>
    <w:rsid w:val="00254619"/>
    <w:rsid w:val="002604BE"/>
    <w:rsid w:val="00261D8D"/>
    <w:rsid w:val="002666D8"/>
    <w:rsid w:val="002734AA"/>
    <w:rsid w:val="00273D58"/>
    <w:rsid w:val="00276910"/>
    <w:rsid w:val="00276E11"/>
    <w:rsid w:val="00277C1F"/>
    <w:rsid w:val="00282A49"/>
    <w:rsid w:val="002857ED"/>
    <w:rsid w:val="002866AD"/>
    <w:rsid w:val="00286BE3"/>
    <w:rsid w:val="0029135D"/>
    <w:rsid w:val="00291AC9"/>
    <w:rsid w:val="00292951"/>
    <w:rsid w:val="0029329C"/>
    <w:rsid w:val="00293CD1"/>
    <w:rsid w:val="00293FA3"/>
    <w:rsid w:val="00296BAD"/>
    <w:rsid w:val="00297083"/>
    <w:rsid w:val="002973EC"/>
    <w:rsid w:val="002A34C8"/>
    <w:rsid w:val="002A3962"/>
    <w:rsid w:val="002A5972"/>
    <w:rsid w:val="002A616C"/>
    <w:rsid w:val="002B064A"/>
    <w:rsid w:val="002B46AA"/>
    <w:rsid w:val="002B6D7E"/>
    <w:rsid w:val="002D18FF"/>
    <w:rsid w:val="002D2C50"/>
    <w:rsid w:val="002D3D89"/>
    <w:rsid w:val="002E238B"/>
    <w:rsid w:val="002E4200"/>
    <w:rsid w:val="002F2782"/>
    <w:rsid w:val="002F3091"/>
    <w:rsid w:val="002F633E"/>
    <w:rsid w:val="00300485"/>
    <w:rsid w:val="00303E11"/>
    <w:rsid w:val="00304132"/>
    <w:rsid w:val="00306F35"/>
    <w:rsid w:val="00312124"/>
    <w:rsid w:val="00312678"/>
    <w:rsid w:val="00313820"/>
    <w:rsid w:val="00314F91"/>
    <w:rsid w:val="0031509A"/>
    <w:rsid w:val="003167C1"/>
    <w:rsid w:val="003202F8"/>
    <w:rsid w:val="00322088"/>
    <w:rsid w:val="00325DEE"/>
    <w:rsid w:val="0032649A"/>
    <w:rsid w:val="00326DFF"/>
    <w:rsid w:val="00332F98"/>
    <w:rsid w:val="003430A6"/>
    <w:rsid w:val="003448FC"/>
    <w:rsid w:val="003548D8"/>
    <w:rsid w:val="00354C6B"/>
    <w:rsid w:val="0035521F"/>
    <w:rsid w:val="00363CC2"/>
    <w:rsid w:val="00365A2A"/>
    <w:rsid w:val="00366E28"/>
    <w:rsid w:val="00371EEC"/>
    <w:rsid w:val="00375EE3"/>
    <w:rsid w:val="003770E7"/>
    <w:rsid w:val="00380BDE"/>
    <w:rsid w:val="00383E35"/>
    <w:rsid w:val="00386860"/>
    <w:rsid w:val="003876F3"/>
    <w:rsid w:val="00390426"/>
    <w:rsid w:val="00394AEB"/>
    <w:rsid w:val="00394D4B"/>
    <w:rsid w:val="003A0CA0"/>
    <w:rsid w:val="003A5F9D"/>
    <w:rsid w:val="003A6353"/>
    <w:rsid w:val="003B0D62"/>
    <w:rsid w:val="003B13A8"/>
    <w:rsid w:val="003B3018"/>
    <w:rsid w:val="003B33B7"/>
    <w:rsid w:val="003C0194"/>
    <w:rsid w:val="003C13C6"/>
    <w:rsid w:val="003C1E92"/>
    <w:rsid w:val="003D2B78"/>
    <w:rsid w:val="003D463D"/>
    <w:rsid w:val="003D5012"/>
    <w:rsid w:val="003D5337"/>
    <w:rsid w:val="003D5958"/>
    <w:rsid w:val="003D6AC7"/>
    <w:rsid w:val="003E0E21"/>
    <w:rsid w:val="003E1039"/>
    <w:rsid w:val="003E4027"/>
    <w:rsid w:val="003E49A6"/>
    <w:rsid w:val="003E5E34"/>
    <w:rsid w:val="003F53FB"/>
    <w:rsid w:val="003F7A0C"/>
    <w:rsid w:val="00400B4D"/>
    <w:rsid w:val="004013BD"/>
    <w:rsid w:val="00401F18"/>
    <w:rsid w:val="004056B7"/>
    <w:rsid w:val="0041028D"/>
    <w:rsid w:val="00410AC8"/>
    <w:rsid w:val="00412FA5"/>
    <w:rsid w:val="00414664"/>
    <w:rsid w:val="00417E1F"/>
    <w:rsid w:val="004220F1"/>
    <w:rsid w:val="004247AA"/>
    <w:rsid w:val="00432A27"/>
    <w:rsid w:val="004356D6"/>
    <w:rsid w:val="0043772B"/>
    <w:rsid w:val="004401F3"/>
    <w:rsid w:val="00440AE0"/>
    <w:rsid w:val="00443460"/>
    <w:rsid w:val="004436B4"/>
    <w:rsid w:val="0044773C"/>
    <w:rsid w:val="004524E1"/>
    <w:rsid w:val="00462C76"/>
    <w:rsid w:val="004638F7"/>
    <w:rsid w:val="004672B5"/>
    <w:rsid w:val="00470026"/>
    <w:rsid w:val="004701EC"/>
    <w:rsid w:val="00470C69"/>
    <w:rsid w:val="00471C9B"/>
    <w:rsid w:val="004768B0"/>
    <w:rsid w:val="004844D1"/>
    <w:rsid w:val="0048559D"/>
    <w:rsid w:val="00487589"/>
    <w:rsid w:val="0049077C"/>
    <w:rsid w:val="004925FA"/>
    <w:rsid w:val="00494A93"/>
    <w:rsid w:val="00494D75"/>
    <w:rsid w:val="00496AA8"/>
    <w:rsid w:val="004A1763"/>
    <w:rsid w:val="004A190B"/>
    <w:rsid w:val="004A3318"/>
    <w:rsid w:val="004B1E83"/>
    <w:rsid w:val="004B1EA1"/>
    <w:rsid w:val="004B4F93"/>
    <w:rsid w:val="004B52D1"/>
    <w:rsid w:val="004C4217"/>
    <w:rsid w:val="004D1C78"/>
    <w:rsid w:val="004D2F1B"/>
    <w:rsid w:val="004D441E"/>
    <w:rsid w:val="004D46D1"/>
    <w:rsid w:val="004D6ED0"/>
    <w:rsid w:val="004E0876"/>
    <w:rsid w:val="004E1D9E"/>
    <w:rsid w:val="004E20F6"/>
    <w:rsid w:val="004F39FC"/>
    <w:rsid w:val="00501CCA"/>
    <w:rsid w:val="00502037"/>
    <w:rsid w:val="00503BCD"/>
    <w:rsid w:val="00506258"/>
    <w:rsid w:val="00512908"/>
    <w:rsid w:val="00512D07"/>
    <w:rsid w:val="005164DC"/>
    <w:rsid w:val="00517311"/>
    <w:rsid w:val="005229C0"/>
    <w:rsid w:val="0052513D"/>
    <w:rsid w:val="00530EBD"/>
    <w:rsid w:val="005319DC"/>
    <w:rsid w:val="00536D5C"/>
    <w:rsid w:val="00537777"/>
    <w:rsid w:val="00541B8B"/>
    <w:rsid w:val="00543A7B"/>
    <w:rsid w:val="0054414C"/>
    <w:rsid w:val="005542F6"/>
    <w:rsid w:val="00563D9B"/>
    <w:rsid w:val="0056704B"/>
    <w:rsid w:val="00567912"/>
    <w:rsid w:val="00567952"/>
    <w:rsid w:val="00570098"/>
    <w:rsid w:val="0057342B"/>
    <w:rsid w:val="00576EBD"/>
    <w:rsid w:val="005805E7"/>
    <w:rsid w:val="00583F5D"/>
    <w:rsid w:val="0058424C"/>
    <w:rsid w:val="00584F8D"/>
    <w:rsid w:val="00590C07"/>
    <w:rsid w:val="00593DE5"/>
    <w:rsid w:val="005955ED"/>
    <w:rsid w:val="0059723C"/>
    <w:rsid w:val="005A0350"/>
    <w:rsid w:val="005A496D"/>
    <w:rsid w:val="005A505D"/>
    <w:rsid w:val="005B1F67"/>
    <w:rsid w:val="005B2424"/>
    <w:rsid w:val="005B2FF8"/>
    <w:rsid w:val="005B5990"/>
    <w:rsid w:val="005C0A79"/>
    <w:rsid w:val="005C6147"/>
    <w:rsid w:val="005D37F9"/>
    <w:rsid w:val="005D52C5"/>
    <w:rsid w:val="005D5F8C"/>
    <w:rsid w:val="005D683E"/>
    <w:rsid w:val="005E1316"/>
    <w:rsid w:val="005E1E83"/>
    <w:rsid w:val="005E21FE"/>
    <w:rsid w:val="005E5148"/>
    <w:rsid w:val="005E6408"/>
    <w:rsid w:val="005E67DC"/>
    <w:rsid w:val="005F673B"/>
    <w:rsid w:val="0060114B"/>
    <w:rsid w:val="00606E2C"/>
    <w:rsid w:val="00611DE2"/>
    <w:rsid w:val="006201DE"/>
    <w:rsid w:val="00621B09"/>
    <w:rsid w:val="006227B3"/>
    <w:rsid w:val="00624E73"/>
    <w:rsid w:val="0062540C"/>
    <w:rsid w:val="00635AA6"/>
    <w:rsid w:val="00641FF3"/>
    <w:rsid w:val="00642220"/>
    <w:rsid w:val="00642DC6"/>
    <w:rsid w:val="006522DB"/>
    <w:rsid w:val="00652ED1"/>
    <w:rsid w:val="006576F0"/>
    <w:rsid w:val="006626FF"/>
    <w:rsid w:val="006650A8"/>
    <w:rsid w:val="006737DB"/>
    <w:rsid w:val="0067772C"/>
    <w:rsid w:val="00677858"/>
    <w:rsid w:val="00680843"/>
    <w:rsid w:val="00681896"/>
    <w:rsid w:val="00681BBC"/>
    <w:rsid w:val="00685435"/>
    <w:rsid w:val="00690F56"/>
    <w:rsid w:val="006936D2"/>
    <w:rsid w:val="00695893"/>
    <w:rsid w:val="006975E3"/>
    <w:rsid w:val="00697729"/>
    <w:rsid w:val="006A0D32"/>
    <w:rsid w:val="006A2D75"/>
    <w:rsid w:val="006A4637"/>
    <w:rsid w:val="006A7451"/>
    <w:rsid w:val="006B7F5D"/>
    <w:rsid w:val="006C0166"/>
    <w:rsid w:val="006C0BD8"/>
    <w:rsid w:val="006C1CA9"/>
    <w:rsid w:val="006C39F8"/>
    <w:rsid w:val="006C3A78"/>
    <w:rsid w:val="006D1707"/>
    <w:rsid w:val="006D3E4B"/>
    <w:rsid w:val="006E1A08"/>
    <w:rsid w:val="006E2F9B"/>
    <w:rsid w:val="006E7487"/>
    <w:rsid w:val="006F4E84"/>
    <w:rsid w:val="006F66F9"/>
    <w:rsid w:val="006F6E13"/>
    <w:rsid w:val="007010C5"/>
    <w:rsid w:val="007011F1"/>
    <w:rsid w:val="00705182"/>
    <w:rsid w:val="00710F88"/>
    <w:rsid w:val="007116DD"/>
    <w:rsid w:val="007127A1"/>
    <w:rsid w:val="00713ACE"/>
    <w:rsid w:val="00714F1F"/>
    <w:rsid w:val="00715F82"/>
    <w:rsid w:val="0071642A"/>
    <w:rsid w:val="0071749C"/>
    <w:rsid w:val="00720164"/>
    <w:rsid w:val="00722B7C"/>
    <w:rsid w:val="0072531A"/>
    <w:rsid w:val="00732BD4"/>
    <w:rsid w:val="007364DC"/>
    <w:rsid w:val="0074050E"/>
    <w:rsid w:val="0074094E"/>
    <w:rsid w:val="007412B6"/>
    <w:rsid w:val="0074268B"/>
    <w:rsid w:val="0074293E"/>
    <w:rsid w:val="00750A3C"/>
    <w:rsid w:val="0075257B"/>
    <w:rsid w:val="00755E84"/>
    <w:rsid w:val="00761F03"/>
    <w:rsid w:val="007636EC"/>
    <w:rsid w:val="00763CA8"/>
    <w:rsid w:val="007668DF"/>
    <w:rsid w:val="00767D37"/>
    <w:rsid w:val="0077093F"/>
    <w:rsid w:val="00774503"/>
    <w:rsid w:val="0077478C"/>
    <w:rsid w:val="0077522D"/>
    <w:rsid w:val="00777CD2"/>
    <w:rsid w:val="0078038F"/>
    <w:rsid w:val="007813DB"/>
    <w:rsid w:val="00785FE9"/>
    <w:rsid w:val="00786E04"/>
    <w:rsid w:val="007A653C"/>
    <w:rsid w:val="007A7F79"/>
    <w:rsid w:val="007B0FE8"/>
    <w:rsid w:val="007B4138"/>
    <w:rsid w:val="007B58FC"/>
    <w:rsid w:val="007C13D0"/>
    <w:rsid w:val="007D2019"/>
    <w:rsid w:val="007D46C2"/>
    <w:rsid w:val="007E15C1"/>
    <w:rsid w:val="007E6691"/>
    <w:rsid w:val="007E709D"/>
    <w:rsid w:val="007F034A"/>
    <w:rsid w:val="008010A9"/>
    <w:rsid w:val="00801458"/>
    <w:rsid w:val="008043E5"/>
    <w:rsid w:val="00804A1A"/>
    <w:rsid w:val="0080621E"/>
    <w:rsid w:val="0081073D"/>
    <w:rsid w:val="008153E4"/>
    <w:rsid w:val="008202FA"/>
    <w:rsid w:val="00820651"/>
    <w:rsid w:val="00820906"/>
    <w:rsid w:val="00820CAA"/>
    <w:rsid w:val="0082681E"/>
    <w:rsid w:val="008273D1"/>
    <w:rsid w:val="00830368"/>
    <w:rsid w:val="00831082"/>
    <w:rsid w:val="008323ED"/>
    <w:rsid w:val="0083486D"/>
    <w:rsid w:val="00835955"/>
    <w:rsid w:val="00846701"/>
    <w:rsid w:val="00846F0E"/>
    <w:rsid w:val="00851824"/>
    <w:rsid w:val="00856A9C"/>
    <w:rsid w:val="00860D70"/>
    <w:rsid w:val="008624D5"/>
    <w:rsid w:val="00864723"/>
    <w:rsid w:val="00870907"/>
    <w:rsid w:val="00871CA6"/>
    <w:rsid w:val="00877871"/>
    <w:rsid w:val="00882AB5"/>
    <w:rsid w:val="00882B1D"/>
    <w:rsid w:val="0088672C"/>
    <w:rsid w:val="00887CA0"/>
    <w:rsid w:val="00891A88"/>
    <w:rsid w:val="008A1F0C"/>
    <w:rsid w:val="008A40D1"/>
    <w:rsid w:val="008B238E"/>
    <w:rsid w:val="008B25AD"/>
    <w:rsid w:val="008B541B"/>
    <w:rsid w:val="008D2B5F"/>
    <w:rsid w:val="008D67CD"/>
    <w:rsid w:val="008F435F"/>
    <w:rsid w:val="00901003"/>
    <w:rsid w:val="0090158E"/>
    <w:rsid w:val="00901EF6"/>
    <w:rsid w:val="0090413E"/>
    <w:rsid w:val="00910110"/>
    <w:rsid w:val="00913560"/>
    <w:rsid w:val="009141CF"/>
    <w:rsid w:val="009219FF"/>
    <w:rsid w:val="00922FFE"/>
    <w:rsid w:val="00924336"/>
    <w:rsid w:val="00924BDD"/>
    <w:rsid w:val="009271B1"/>
    <w:rsid w:val="00931749"/>
    <w:rsid w:val="009441E2"/>
    <w:rsid w:val="00954335"/>
    <w:rsid w:val="00963680"/>
    <w:rsid w:val="00964D3F"/>
    <w:rsid w:val="009659A3"/>
    <w:rsid w:val="009700D9"/>
    <w:rsid w:val="0097391C"/>
    <w:rsid w:val="009752E5"/>
    <w:rsid w:val="009756BF"/>
    <w:rsid w:val="009846FD"/>
    <w:rsid w:val="00985C15"/>
    <w:rsid w:val="0099104E"/>
    <w:rsid w:val="009A60B4"/>
    <w:rsid w:val="009A6DCA"/>
    <w:rsid w:val="009B00FD"/>
    <w:rsid w:val="009B38D1"/>
    <w:rsid w:val="009B4116"/>
    <w:rsid w:val="009C2442"/>
    <w:rsid w:val="009C2A10"/>
    <w:rsid w:val="009C4165"/>
    <w:rsid w:val="009D08EB"/>
    <w:rsid w:val="009D1EA2"/>
    <w:rsid w:val="009D3E6C"/>
    <w:rsid w:val="009D4396"/>
    <w:rsid w:val="009D47A5"/>
    <w:rsid w:val="009D4A4E"/>
    <w:rsid w:val="009D71B1"/>
    <w:rsid w:val="009E0141"/>
    <w:rsid w:val="009E234B"/>
    <w:rsid w:val="009F0F4C"/>
    <w:rsid w:val="009F52F3"/>
    <w:rsid w:val="00A009ED"/>
    <w:rsid w:val="00A010D2"/>
    <w:rsid w:val="00A1018B"/>
    <w:rsid w:val="00A10441"/>
    <w:rsid w:val="00A109B0"/>
    <w:rsid w:val="00A14E59"/>
    <w:rsid w:val="00A15094"/>
    <w:rsid w:val="00A21F98"/>
    <w:rsid w:val="00A22B75"/>
    <w:rsid w:val="00A278EA"/>
    <w:rsid w:val="00A31CAF"/>
    <w:rsid w:val="00A34E69"/>
    <w:rsid w:val="00A41C21"/>
    <w:rsid w:val="00A47DA7"/>
    <w:rsid w:val="00A52DE7"/>
    <w:rsid w:val="00A55023"/>
    <w:rsid w:val="00A56994"/>
    <w:rsid w:val="00A56B86"/>
    <w:rsid w:val="00A61CA9"/>
    <w:rsid w:val="00A632EF"/>
    <w:rsid w:val="00A635DA"/>
    <w:rsid w:val="00A63D45"/>
    <w:rsid w:val="00A677E9"/>
    <w:rsid w:val="00A71C4F"/>
    <w:rsid w:val="00A72E3B"/>
    <w:rsid w:val="00A740AB"/>
    <w:rsid w:val="00A74494"/>
    <w:rsid w:val="00A82221"/>
    <w:rsid w:val="00A82D7A"/>
    <w:rsid w:val="00A834BF"/>
    <w:rsid w:val="00A90769"/>
    <w:rsid w:val="00A918DF"/>
    <w:rsid w:val="00A925FD"/>
    <w:rsid w:val="00A965B3"/>
    <w:rsid w:val="00A973AA"/>
    <w:rsid w:val="00A97D02"/>
    <w:rsid w:val="00AA177A"/>
    <w:rsid w:val="00AA24BE"/>
    <w:rsid w:val="00AA2AF8"/>
    <w:rsid w:val="00AA785B"/>
    <w:rsid w:val="00AB4DC3"/>
    <w:rsid w:val="00AB4F8E"/>
    <w:rsid w:val="00AB7A45"/>
    <w:rsid w:val="00AC775D"/>
    <w:rsid w:val="00AD022F"/>
    <w:rsid w:val="00AD113F"/>
    <w:rsid w:val="00AD12E3"/>
    <w:rsid w:val="00AD32F4"/>
    <w:rsid w:val="00AD43F6"/>
    <w:rsid w:val="00AD75AC"/>
    <w:rsid w:val="00AE4235"/>
    <w:rsid w:val="00AE6862"/>
    <w:rsid w:val="00AF2C11"/>
    <w:rsid w:val="00AF3788"/>
    <w:rsid w:val="00AF5262"/>
    <w:rsid w:val="00AF55F6"/>
    <w:rsid w:val="00AF7928"/>
    <w:rsid w:val="00B11FCB"/>
    <w:rsid w:val="00B1457C"/>
    <w:rsid w:val="00B17D6F"/>
    <w:rsid w:val="00B17FD6"/>
    <w:rsid w:val="00B22F57"/>
    <w:rsid w:val="00B26E3E"/>
    <w:rsid w:val="00B35DAD"/>
    <w:rsid w:val="00B42387"/>
    <w:rsid w:val="00B434F9"/>
    <w:rsid w:val="00B47443"/>
    <w:rsid w:val="00B524AD"/>
    <w:rsid w:val="00B5377A"/>
    <w:rsid w:val="00B6181C"/>
    <w:rsid w:val="00B65823"/>
    <w:rsid w:val="00B66231"/>
    <w:rsid w:val="00B6683B"/>
    <w:rsid w:val="00B70AA0"/>
    <w:rsid w:val="00B8081E"/>
    <w:rsid w:val="00B83C79"/>
    <w:rsid w:val="00B842B8"/>
    <w:rsid w:val="00B84E1A"/>
    <w:rsid w:val="00B927D0"/>
    <w:rsid w:val="00B92CE8"/>
    <w:rsid w:val="00B93208"/>
    <w:rsid w:val="00BA5C63"/>
    <w:rsid w:val="00BA6C9C"/>
    <w:rsid w:val="00BB3BEF"/>
    <w:rsid w:val="00BB3D49"/>
    <w:rsid w:val="00BB5CEB"/>
    <w:rsid w:val="00BC61F5"/>
    <w:rsid w:val="00BD0DC6"/>
    <w:rsid w:val="00BD34F2"/>
    <w:rsid w:val="00BD3772"/>
    <w:rsid w:val="00BF5ECE"/>
    <w:rsid w:val="00C02A3A"/>
    <w:rsid w:val="00C02E4A"/>
    <w:rsid w:val="00C05B88"/>
    <w:rsid w:val="00C07F7F"/>
    <w:rsid w:val="00C111EC"/>
    <w:rsid w:val="00C12530"/>
    <w:rsid w:val="00C14429"/>
    <w:rsid w:val="00C21244"/>
    <w:rsid w:val="00C21806"/>
    <w:rsid w:val="00C229EE"/>
    <w:rsid w:val="00C247D8"/>
    <w:rsid w:val="00C33F45"/>
    <w:rsid w:val="00C34009"/>
    <w:rsid w:val="00C36EFB"/>
    <w:rsid w:val="00C4763A"/>
    <w:rsid w:val="00C611CE"/>
    <w:rsid w:val="00C6376F"/>
    <w:rsid w:val="00C63D1E"/>
    <w:rsid w:val="00C667F3"/>
    <w:rsid w:val="00C66E25"/>
    <w:rsid w:val="00C712D2"/>
    <w:rsid w:val="00C75E56"/>
    <w:rsid w:val="00C7644E"/>
    <w:rsid w:val="00C77B5C"/>
    <w:rsid w:val="00C824C6"/>
    <w:rsid w:val="00C8275F"/>
    <w:rsid w:val="00C82A5C"/>
    <w:rsid w:val="00C84235"/>
    <w:rsid w:val="00C84C8D"/>
    <w:rsid w:val="00C86A81"/>
    <w:rsid w:val="00C87068"/>
    <w:rsid w:val="00C91362"/>
    <w:rsid w:val="00C9162F"/>
    <w:rsid w:val="00C923E0"/>
    <w:rsid w:val="00C94FEA"/>
    <w:rsid w:val="00C957AE"/>
    <w:rsid w:val="00CA1BBB"/>
    <w:rsid w:val="00CA21AC"/>
    <w:rsid w:val="00CA2F0A"/>
    <w:rsid w:val="00CA48C2"/>
    <w:rsid w:val="00CB0D0A"/>
    <w:rsid w:val="00CB3579"/>
    <w:rsid w:val="00CB42D3"/>
    <w:rsid w:val="00CC0731"/>
    <w:rsid w:val="00CC4F23"/>
    <w:rsid w:val="00CC5DE3"/>
    <w:rsid w:val="00CC770C"/>
    <w:rsid w:val="00CD215D"/>
    <w:rsid w:val="00CD6628"/>
    <w:rsid w:val="00CE3420"/>
    <w:rsid w:val="00CE683F"/>
    <w:rsid w:val="00CF5F7F"/>
    <w:rsid w:val="00D02C84"/>
    <w:rsid w:val="00D10553"/>
    <w:rsid w:val="00D1393E"/>
    <w:rsid w:val="00D16519"/>
    <w:rsid w:val="00D17516"/>
    <w:rsid w:val="00D21180"/>
    <w:rsid w:val="00D218C4"/>
    <w:rsid w:val="00D2331B"/>
    <w:rsid w:val="00D32E1D"/>
    <w:rsid w:val="00D34169"/>
    <w:rsid w:val="00D36BB6"/>
    <w:rsid w:val="00D402B5"/>
    <w:rsid w:val="00D42D8C"/>
    <w:rsid w:val="00D44AD1"/>
    <w:rsid w:val="00D53DEB"/>
    <w:rsid w:val="00D57DE8"/>
    <w:rsid w:val="00D67320"/>
    <w:rsid w:val="00D7015C"/>
    <w:rsid w:val="00D73AAD"/>
    <w:rsid w:val="00D75842"/>
    <w:rsid w:val="00D82A44"/>
    <w:rsid w:val="00D83FC3"/>
    <w:rsid w:val="00D86FF7"/>
    <w:rsid w:val="00D87ED3"/>
    <w:rsid w:val="00D91BF6"/>
    <w:rsid w:val="00DA4F58"/>
    <w:rsid w:val="00DA5076"/>
    <w:rsid w:val="00DB17B5"/>
    <w:rsid w:val="00DB4C1E"/>
    <w:rsid w:val="00DB7B7C"/>
    <w:rsid w:val="00DC61A1"/>
    <w:rsid w:val="00DD2740"/>
    <w:rsid w:val="00DD5D29"/>
    <w:rsid w:val="00DD6DF0"/>
    <w:rsid w:val="00DE4480"/>
    <w:rsid w:val="00DE6572"/>
    <w:rsid w:val="00DF4361"/>
    <w:rsid w:val="00E0031C"/>
    <w:rsid w:val="00E0138A"/>
    <w:rsid w:val="00E04180"/>
    <w:rsid w:val="00E06430"/>
    <w:rsid w:val="00E13B26"/>
    <w:rsid w:val="00E13E37"/>
    <w:rsid w:val="00E159C1"/>
    <w:rsid w:val="00E161FF"/>
    <w:rsid w:val="00E16A87"/>
    <w:rsid w:val="00E208C8"/>
    <w:rsid w:val="00E22463"/>
    <w:rsid w:val="00E23871"/>
    <w:rsid w:val="00E31DB1"/>
    <w:rsid w:val="00E322E9"/>
    <w:rsid w:val="00E33867"/>
    <w:rsid w:val="00E34C82"/>
    <w:rsid w:val="00E34CA3"/>
    <w:rsid w:val="00E37BF3"/>
    <w:rsid w:val="00E400EA"/>
    <w:rsid w:val="00E46EE5"/>
    <w:rsid w:val="00E55B46"/>
    <w:rsid w:val="00E56DA4"/>
    <w:rsid w:val="00E57F5E"/>
    <w:rsid w:val="00E60FB0"/>
    <w:rsid w:val="00E614A1"/>
    <w:rsid w:val="00E61AF5"/>
    <w:rsid w:val="00E700AD"/>
    <w:rsid w:val="00E7318E"/>
    <w:rsid w:val="00E748CF"/>
    <w:rsid w:val="00E74ABD"/>
    <w:rsid w:val="00E75533"/>
    <w:rsid w:val="00E765C9"/>
    <w:rsid w:val="00E76E24"/>
    <w:rsid w:val="00E773DD"/>
    <w:rsid w:val="00E80493"/>
    <w:rsid w:val="00E808B5"/>
    <w:rsid w:val="00E83023"/>
    <w:rsid w:val="00E833E4"/>
    <w:rsid w:val="00E848B7"/>
    <w:rsid w:val="00E86A39"/>
    <w:rsid w:val="00E92EED"/>
    <w:rsid w:val="00E93A0F"/>
    <w:rsid w:val="00E944C4"/>
    <w:rsid w:val="00E96796"/>
    <w:rsid w:val="00EA31F1"/>
    <w:rsid w:val="00EA3E66"/>
    <w:rsid w:val="00EA5AC0"/>
    <w:rsid w:val="00EA6842"/>
    <w:rsid w:val="00EA6FFD"/>
    <w:rsid w:val="00EB07BB"/>
    <w:rsid w:val="00EB2D2E"/>
    <w:rsid w:val="00EB4065"/>
    <w:rsid w:val="00EB49D7"/>
    <w:rsid w:val="00EC0B43"/>
    <w:rsid w:val="00ED5CB5"/>
    <w:rsid w:val="00ED705A"/>
    <w:rsid w:val="00EE0C81"/>
    <w:rsid w:val="00EE2B29"/>
    <w:rsid w:val="00EE2D0C"/>
    <w:rsid w:val="00EE4858"/>
    <w:rsid w:val="00EF2399"/>
    <w:rsid w:val="00F00BC1"/>
    <w:rsid w:val="00F10944"/>
    <w:rsid w:val="00F11AA8"/>
    <w:rsid w:val="00F14AB0"/>
    <w:rsid w:val="00F24787"/>
    <w:rsid w:val="00F2539A"/>
    <w:rsid w:val="00F27223"/>
    <w:rsid w:val="00F30909"/>
    <w:rsid w:val="00F3623C"/>
    <w:rsid w:val="00F37E27"/>
    <w:rsid w:val="00F400F8"/>
    <w:rsid w:val="00F41116"/>
    <w:rsid w:val="00F4428C"/>
    <w:rsid w:val="00F44D20"/>
    <w:rsid w:val="00F4518C"/>
    <w:rsid w:val="00F4529D"/>
    <w:rsid w:val="00F452EE"/>
    <w:rsid w:val="00F45748"/>
    <w:rsid w:val="00F5293E"/>
    <w:rsid w:val="00F53F09"/>
    <w:rsid w:val="00F55431"/>
    <w:rsid w:val="00F56B20"/>
    <w:rsid w:val="00F5767E"/>
    <w:rsid w:val="00F60ECC"/>
    <w:rsid w:val="00F6219B"/>
    <w:rsid w:val="00F64E0B"/>
    <w:rsid w:val="00F66632"/>
    <w:rsid w:val="00F72D66"/>
    <w:rsid w:val="00F7496E"/>
    <w:rsid w:val="00F771B5"/>
    <w:rsid w:val="00F8164B"/>
    <w:rsid w:val="00F85EBF"/>
    <w:rsid w:val="00F85F1E"/>
    <w:rsid w:val="00F928B9"/>
    <w:rsid w:val="00F935EE"/>
    <w:rsid w:val="00FA3676"/>
    <w:rsid w:val="00FA3D8C"/>
    <w:rsid w:val="00FA64A1"/>
    <w:rsid w:val="00FB0E88"/>
    <w:rsid w:val="00FB462E"/>
    <w:rsid w:val="00FB587F"/>
    <w:rsid w:val="00FB62D0"/>
    <w:rsid w:val="00FB726E"/>
    <w:rsid w:val="00FC2330"/>
    <w:rsid w:val="00FD038C"/>
    <w:rsid w:val="00FD55AD"/>
    <w:rsid w:val="00FD661D"/>
    <w:rsid w:val="00FF42E2"/>
    <w:rsid w:val="00FF4C58"/>
    <w:rsid w:val="00FF61D3"/>
    <w:rsid w:val="00FF6C7B"/>
    <w:rsid w:val="26F8D65D"/>
    <w:rsid w:val="44C50749"/>
    <w:rsid w:val="4F386762"/>
    <w:rsid w:val="6685BBCF"/>
    <w:rsid w:val="703F0D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EF94B0DB-E003-4239-8E55-FF29FB1D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4377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9141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BB5CEB"/>
    <w:pPr>
      <w:widowControl/>
      <w:autoSpaceDE/>
      <w:autoSpaceDN/>
      <w:adjustRightInd/>
      <w:ind w:left="720" w:right="748"/>
    </w:pPr>
    <w:rPr>
      <w:rFonts w:ascii="Times New Roman" w:hAnsi="Times New Roman"/>
      <w:i/>
      <w:sz w:val="19"/>
      <w:szCs w:val="20"/>
    </w:rPr>
  </w:style>
  <w:style w:type="paragraph" w:styleId="BodyText2">
    <w:name w:val="Body Text 2"/>
    <w:basedOn w:val="Normal"/>
    <w:link w:val="BodyText2Char"/>
    <w:rsid w:val="00BB5CEB"/>
    <w:pPr>
      <w:widowControl/>
      <w:autoSpaceDE/>
      <w:autoSpaceDN/>
      <w:adjustRightInd/>
    </w:pPr>
    <w:rPr>
      <w:rFonts w:ascii="Times New Roman" w:hAnsi="Times New Roman"/>
      <w:sz w:val="22"/>
      <w:szCs w:val="20"/>
    </w:rPr>
  </w:style>
  <w:style w:type="character" w:customStyle="1" w:styleId="BodyText2Char">
    <w:name w:val="Body Text 2 Char"/>
    <w:basedOn w:val="DefaultParagraphFont"/>
    <w:link w:val="BodyText2"/>
    <w:rsid w:val="00BB5CEB"/>
    <w:rPr>
      <w:sz w:val="22"/>
    </w:rPr>
  </w:style>
  <w:style w:type="character" w:styleId="Hyperlink">
    <w:name w:val="Hyperlink"/>
    <w:rsid w:val="0006759D"/>
    <w:rPr>
      <w:color w:val="0000FF"/>
      <w:u w:val="single"/>
    </w:rPr>
  </w:style>
  <w:style w:type="paragraph" w:styleId="BodyTextIndent">
    <w:name w:val="Body Text Indent"/>
    <w:basedOn w:val="Normal"/>
    <w:link w:val="BodyTextIndentChar"/>
    <w:rsid w:val="00EB49D7"/>
    <w:pPr>
      <w:spacing w:after="120"/>
      <w:ind w:left="360"/>
    </w:pPr>
  </w:style>
  <w:style w:type="character" w:customStyle="1" w:styleId="BodyTextIndentChar">
    <w:name w:val="Body Text Indent Char"/>
    <w:basedOn w:val="DefaultParagraphFont"/>
    <w:link w:val="BodyTextIndent"/>
    <w:rsid w:val="00EB49D7"/>
    <w:rPr>
      <w:rFonts w:ascii="Courier 12cpi" w:hAnsi="Courier 12cpi"/>
      <w:sz w:val="24"/>
      <w:szCs w:val="24"/>
    </w:rPr>
  </w:style>
  <w:style w:type="paragraph" w:styleId="BodyText">
    <w:name w:val="Body Text"/>
    <w:basedOn w:val="Normal"/>
    <w:link w:val="BodyTextChar"/>
    <w:rsid w:val="0043772B"/>
    <w:pPr>
      <w:spacing w:after="120"/>
    </w:pPr>
  </w:style>
  <w:style w:type="character" w:customStyle="1" w:styleId="BodyTextChar">
    <w:name w:val="Body Text Char"/>
    <w:basedOn w:val="DefaultParagraphFont"/>
    <w:link w:val="BodyText"/>
    <w:rsid w:val="0043772B"/>
    <w:rPr>
      <w:rFonts w:ascii="Courier 12cpi" w:hAnsi="Courier 12cpi"/>
      <w:sz w:val="24"/>
      <w:szCs w:val="24"/>
    </w:rPr>
  </w:style>
  <w:style w:type="character" w:customStyle="1" w:styleId="Heading1Char">
    <w:name w:val="Heading 1 Char"/>
    <w:basedOn w:val="DefaultParagraphFont"/>
    <w:link w:val="Heading1"/>
    <w:rsid w:val="0043772B"/>
    <w:rPr>
      <w:rFonts w:asciiTheme="majorHAnsi" w:eastAsiaTheme="majorEastAsia" w:hAnsiTheme="majorHAnsi" w:cstheme="majorBidi"/>
      <w:color w:val="2E74B5" w:themeColor="accent1" w:themeShade="BF"/>
      <w:sz w:val="32"/>
      <w:szCs w:val="32"/>
    </w:rPr>
  </w:style>
  <w:style w:type="paragraph" w:styleId="ListBullet">
    <w:name w:val="List Bullet"/>
    <w:basedOn w:val="Normal"/>
    <w:unhideWhenUsed/>
    <w:rsid w:val="003C0194"/>
    <w:pPr>
      <w:widowControl/>
      <w:numPr>
        <w:numId w:val="15"/>
      </w:numPr>
      <w:autoSpaceDE/>
      <w:autoSpaceDN/>
      <w:adjustRightInd/>
      <w:spacing w:after="60" w:line="276" w:lineRule="auto"/>
    </w:pPr>
    <w:rPr>
      <w:rFonts w:ascii="Times New Roman" w:hAnsi="Times New Roman" w:eastAsiaTheme="minorHAnsi"/>
      <w:sz w:val="22"/>
      <w:szCs w:val="22"/>
    </w:rPr>
  </w:style>
  <w:style w:type="table" w:styleId="TableGrid">
    <w:name w:val="Table Grid"/>
    <w:basedOn w:val="TableNormal"/>
    <w:uiPriority w:val="59"/>
    <w:rsid w:val="003C0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9141CF"/>
    <w:rPr>
      <w:rFonts w:asciiTheme="majorHAnsi" w:eastAsiaTheme="majorEastAsia" w:hAnsiTheme="majorHAnsi" w:cstheme="majorBidi"/>
      <w:i/>
      <w:iCs/>
      <w:color w:val="2E74B5" w:themeColor="accent1" w:themeShade="BF"/>
      <w:sz w:val="24"/>
      <w:szCs w:val="24"/>
    </w:rPr>
  </w:style>
  <w:style w:type="paragraph" w:styleId="BodyTextIndent3">
    <w:name w:val="Body Text Indent 3"/>
    <w:basedOn w:val="Normal"/>
    <w:link w:val="BodyTextIndent3Char"/>
    <w:rsid w:val="009141CF"/>
    <w:pPr>
      <w:spacing w:after="120"/>
      <w:ind w:left="360"/>
    </w:pPr>
    <w:rPr>
      <w:sz w:val="16"/>
      <w:szCs w:val="16"/>
    </w:rPr>
  </w:style>
  <w:style w:type="character" w:customStyle="1" w:styleId="BodyTextIndent3Char">
    <w:name w:val="Body Text Indent 3 Char"/>
    <w:basedOn w:val="DefaultParagraphFont"/>
    <w:link w:val="BodyTextIndent3"/>
    <w:rsid w:val="009141CF"/>
    <w:rPr>
      <w:rFonts w:ascii="Courier 12cpi" w:hAnsi="Courier 12cpi"/>
      <w:sz w:val="16"/>
      <w:szCs w:val="16"/>
    </w:rPr>
  </w:style>
  <w:style w:type="paragraph" w:styleId="FootnoteText">
    <w:name w:val="footnote text"/>
    <w:basedOn w:val="Normal"/>
    <w:link w:val="FootnoteTextChar"/>
    <w:uiPriority w:val="99"/>
    <w:rsid w:val="009141CF"/>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9141CF"/>
  </w:style>
  <w:style w:type="paragraph" w:customStyle="1" w:styleId="Normal11pt">
    <w:name w:val="Normal + 11 pt"/>
    <w:basedOn w:val="Normal"/>
    <w:link w:val="Normal11ptChar"/>
    <w:rsid w:val="004A3318"/>
    <w:pPr>
      <w:widowControl/>
      <w:autoSpaceDE/>
      <w:autoSpaceDN/>
      <w:adjustRightInd/>
    </w:pPr>
    <w:rPr>
      <w:rFonts w:ascii="Times New Roman" w:hAnsi="Times New Roman"/>
      <w:sz w:val="22"/>
      <w:szCs w:val="20"/>
    </w:rPr>
  </w:style>
  <w:style w:type="character" w:customStyle="1" w:styleId="Normal11ptChar">
    <w:name w:val="Normal + 11 pt Char"/>
    <w:link w:val="Normal11pt"/>
    <w:rsid w:val="004A3318"/>
    <w:rPr>
      <w:sz w:val="22"/>
    </w:rPr>
  </w:style>
  <w:style w:type="paragraph" w:styleId="TOC4">
    <w:name w:val="toc 4"/>
    <w:basedOn w:val="Normal"/>
    <w:next w:val="Normal"/>
    <w:rsid w:val="002B064A"/>
    <w:pPr>
      <w:widowControl/>
      <w:tabs>
        <w:tab w:val="right" w:leader="dot" w:pos="8668"/>
      </w:tabs>
      <w:autoSpaceDE/>
      <w:autoSpaceDN/>
      <w:adjustRightInd/>
      <w:ind w:left="605"/>
    </w:pPr>
    <w:rPr>
      <w:rFonts w:ascii="Times New Roman" w:hAnsi="Times New Roman"/>
      <w:sz w:val="20"/>
      <w:szCs w:val="20"/>
    </w:rPr>
  </w:style>
  <w:style w:type="character" w:styleId="UnresolvedMention">
    <w:name w:val="Unresolved Mention"/>
    <w:basedOn w:val="DefaultParagraphFont"/>
    <w:uiPriority w:val="99"/>
    <w:semiHidden/>
    <w:unhideWhenUsed/>
    <w:rsid w:val="002D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21916/mlr.2015.34" TargetMode="External" /><Relationship Id="rId11" Type="http://schemas.openxmlformats.org/officeDocument/2006/relationships/hyperlink" Target="https://www.nlsinfo.org/nlsy-user-initiated-questions"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news.release/nlsoy.nr0.htm" TargetMode="External" /><Relationship Id="rId9" Type="http://schemas.openxmlformats.org/officeDocument/2006/relationships/hyperlink" Target="http://www.nlsbibliograp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f89d26-55ee-4cff-93b5-9ce5aa8e30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1290429B4664C8A3AC3585E038B48" ma:contentTypeVersion="13" ma:contentTypeDescription="Create a new document." ma:contentTypeScope="" ma:versionID="2be9e056f699b323b27778cbb32b1ec7">
  <xsd:schema xmlns:xsd="http://www.w3.org/2001/XMLSchema" xmlns:xs="http://www.w3.org/2001/XMLSchema" xmlns:p="http://schemas.microsoft.com/office/2006/metadata/properties" xmlns:ns3="71f89d26-55ee-4cff-93b5-9ce5aa8e30df" xmlns:ns4="c026b598-9a23-498f-9496-eb9a85f58d09" targetNamespace="http://schemas.microsoft.com/office/2006/metadata/properties" ma:root="true" ma:fieldsID="3af1e7204e2db170871eb7ae8f3ce55c" ns3:_="" ns4:_="">
    <xsd:import namespace="71f89d26-55ee-4cff-93b5-9ce5aa8e30df"/>
    <xsd:import namespace="c026b598-9a23-498f-9496-eb9a85f58d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89d26-55ee-4cff-93b5-9ce5aa8e3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6b598-9a23-498f-9496-eb9a85f58d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E2FD-EB93-4610-BF26-508DA79F3363}">
  <ds:schemaRef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026b598-9a23-498f-9496-eb9a85f58d09"/>
    <ds:schemaRef ds:uri="71f89d26-55ee-4cff-93b5-9ce5aa8e30d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B7A640-FF0E-4ECD-B517-E51126BEC1ED}">
  <ds:schemaRefs>
    <ds:schemaRef ds:uri="http://schemas.microsoft.com/sharepoint/v3/contenttype/forms"/>
  </ds:schemaRefs>
</ds:datastoreItem>
</file>

<file path=customXml/itemProps3.xml><?xml version="1.0" encoding="utf-8"?>
<ds:datastoreItem xmlns:ds="http://schemas.openxmlformats.org/officeDocument/2006/customXml" ds:itemID="{9D41008E-B0B6-45C7-BBE4-787716DE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89d26-55ee-4cff-93b5-9ce5aa8e30df"/>
    <ds:schemaRef ds:uri="c026b598-9a23-498f-9496-eb9a85f58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1B0E0-1CA1-4639-B137-4062FF76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13711</Words>
  <Characters>78159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91687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Kincaid, Nora</cp:lastModifiedBy>
  <cp:revision>2</cp:revision>
  <cp:lastPrinted>2020-02-19T15:46:00Z</cp:lastPrinted>
  <dcterms:created xsi:type="dcterms:W3CDTF">2024-05-08T11:50:00Z</dcterms:created>
  <dcterms:modified xsi:type="dcterms:W3CDTF">2024-05-08T11:50:00Z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0x0101002C81290429B4664C8A3AC3585E038B48</vt:lpwstr>
  </property>
</Properties>
</file>