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C571BA" w:rsidRPr="00C571BA" w:rsidP="00C571BA" w14:paraId="19C5FA14" w14:textId="197518E0">
      <w:pPr>
        <w:widowControl/>
        <w:tabs>
          <w:tab w:val="left" w:pos="720"/>
        </w:tabs>
        <w:ind w:left="720" w:hanging="1440"/>
        <w:jc w:val="center"/>
        <w:rPr>
          <w:rFonts w:ascii="Times New Roman" w:hAnsi="Times New Roman"/>
          <w:b/>
          <w:bCs/>
        </w:rPr>
      </w:pPr>
      <w:r w:rsidRPr="00C571BA">
        <w:rPr>
          <w:rFonts w:ascii="Times New Roman" w:hAnsi="Times New Roman"/>
          <w:b/>
          <w:bCs/>
        </w:rPr>
        <w:t>Associated RIN: 12</w:t>
      </w:r>
      <w:r>
        <w:rPr>
          <w:rFonts w:ascii="Times New Roman" w:hAnsi="Times New Roman"/>
          <w:b/>
          <w:bCs/>
        </w:rPr>
        <w:t>40</w:t>
      </w:r>
      <w:r w:rsidRPr="00C571BA">
        <w:rPr>
          <w:rFonts w:ascii="Times New Roman" w:hAnsi="Times New Roman"/>
          <w:b/>
          <w:bCs/>
        </w:rPr>
        <w:t>-</w:t>
      </w:r>
      <w:r w:rsidR="00696F13">
        <w:rPr>
          <w:rFonts w:ascii="Times New Roman" w:hAnsi="Times New Roman"/>
          <w:b/>
          <w:bCs/>
        </w:rPr>
        <w:t>AA16</w:t>
      </w:r>
    </w:p>
    <w:p w:rsidR="00C571BA" w:rsidRPr="00C571BA" w:rsidP="00C571BA" w14:paraId="5B178C15" w14:textId="77777777">
      <w:pPr>
        <w:widowControl/>
        <w:tabs>
          <w:tab w:val="left" w:pos="720"/>
        </w:tabs>
        <w:ind w:left="720" w:hanging="1440"/>
        <w:jc w:val="center"/>
        <w:rPr>
          <w:rFonts w:ascii="Times New Roman" w:hAnsi="Times New Roman"/>
          <w:b/>
          <w:bCs/>
        </w:rPr>
      </w:pPr>
    </w:p>
    <w:p w:rsidR="00690F56" w:rsidRPr="00A47DA7" w:rsidP="00C571BA" w14:paraId="7E97B93F" w14:textId="242A691A">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420844" w14:paraId="35B2BDB0" w14:textId="46648472">
      <w:pPr>
        <w:widowControl/>
        <w:jc w:val="center"/>
        <w:rPr>
          <w:rFonts w:ascii="Times New Roman" w:hAnsi="Times New Roman"/>
          <w:b/>
          <w:bCs/>
        </w:rPr>
      </w:pPr>
      <w:r>
        <w:rPr>
          <w:rFonts w:ascii="Times New Roman" w:hAnsi="Times New Roman"/>
          <w:b/>
          <w:bCs/>
        </w:rPr>
        <w:t xml:space="preserve"> APPLICATION FOR SELF-INSURANCE UNDER THE BLACK LUN</w:t>
      </w:r>
      <w:r w:rsidR="00135DA1">
        <w:rPr>
          <w:rFonts w:ascii="Times New Roman" w:hAnsi="Times New Roman"/>
          <w:b/>
          <w:bCs/>
        </w:rPr>
        <w:t>G</w:t>
      </w:r>
      <w:r>
        <w:rPr>
          <w:rFonts w:ascii="Times New Roman" w:hAnsi="Times New Roman"/>
          <w:b/>
          <w:bCs/>
        </w:rPr>
        <w:t xml:space="preserve"> BENEFITS ACT</w:t>
      </w: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2208E19F">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FC32B6">
        <w:rPr>
          <w:rFonts w:ascii="Times New Roman" w:hAnsi="Times New Roman"/>
          <w:b/>
          <w:bCs/>
        </w:rPr>
        <w:t>1240-0057</w:t>
      </w:r>
    </w:p>
    <w:p w:rsidR="00530EBD" w:rsidRPr="00D53DEB" w:rsidP="00116CD5" w14:paraId="3086E90B" w14:textId="77777777">
      <w:pPr>
        <w:widowControl/>
        <w:jc w:val="center"/>
        <w:rPr>
          <w:rFonts w:ascii="Times New Roman" w:hAnsi="Times New Roman"/>
          <w:bCs/>
        </w:rPr>
      </w:pPr>
    </w:p>
    <w:p w:rsidR="006830F9" w:rsidRPr="00ED6452" w:rsidP="006830F9" w14:paraId="00DFB2BB" w14:textId="44E28D73">
      <w:pPr>
        <w:suppressAutoHyphens/>
        <w:rPr>
          <w:rFonts w:ascii="Times New Roman" w:hAnsi="Times New Roman"/>
        </w:rPr>
      </w:pPr>
      <w:r>
        <w:rPr>
          <w:rFonts w:ascii="Times New Roman" w:hAnsi="Times New Roman"/>
        </w:rPr>
        <w:t xml:space="preserve">This is a previously approved Information Collection. </w:t>
      </w:r>
      <w:r w:rsidRPr="00ED6452">
        <w:rPr>
          <w:rFonts w:ascii="Times New Roman" w:hAnsi="Times New Roman"/>
        </w:rPr>
        <w:t xml:space="preserve">The Department is submitting this </w:t>
      </w:r>
      <w:r>
        <w:rPr>
          <w:rFonts w:ascii="Times New Roman" w:hAnsi="Times New Roman"/>
        </w:rPr>
        <w:t>Information Collection Request (</w:t>
      </w:r>
      <w:r w:rsidRPr="00ED6452">
        <w:rPr>
          <w:rFonts w:ascii="Times New Roman" w:hAnsi="Times New Roman"/>
        </w:rPr>
        <w:t>ICR</w:t>
      </w:r>
      <w:r>
        <w:rPr>
          <w:rFonts w:ascii="Times New Roman" w:hAnsi="Times New Roman"/>
        </w:rPr>
        <w:t>)</w:t>
      </w:r>
      <w:r w:rsidRPr="00ED6452">
        <w:rPr>
          <w:rFonts w:ascii="Times New Roman" w:hAnsi="Times New Roman"/>
        </w:rPr>
        <w:t xml:space="preserve"> to revise the burden estimates to accompany the Final Rule</w:t>
      </w:r>
      <w:r w:rsidR="00C607FB">
        <w:rPr>
          <w:rFonts w:ascii="Times New Roman" w:hAnsi="Times New Roman"/>
        </w:rPr>
        <w:t xml:space="preserve"> – </w:t>
      </w:r>
      <w:r w:rsidR="001B0EDF">
        <w:rPr>
          <w:rFonts w:ascii="Times New Roman" w:hAnsi="Times New Roman"/>
        </w:rPr>
        <w:t>Black Lung Benefits Act</w:t>
      </w:r>
      <w:r w:rsidR="00C607FB">
        <w:rPr>
          <w:rFonts w:ascii="Times New Roman" w:hAnsi="Times New Roman"/>
        </w:rPr>
        <w:t>: Authorization of Self-Insurers</w:t>
      </w:r>
      <w:r w:rsidRPr="00ED6452">
        <w:rPr>
          <w:rFonts w:ascii="Times New Roman" w:hAnsi="Times New Roman"/>
        </w:rPr>
        <w:t>, RIN 12</w:t>
      </w:r>
      <w:r w:rsidR="00606A9F">
        <w:rPr>
          <w:rFonts w:ascii="Times New Roman" w:hAnsi="Times New Roman"/>
        </w:rPr>
        <w:t>40</w:t>
      </w:r>
      <w:r w:rsidRPr="00ED6452">
        <w:rPr>
          <w:rFonts w:ascii="Times New Roman" w:hAnsi="Times New Roman"/>
        </w:rPr>
        <w:t>-AA</w:t>
      </w:r>
      <w:r w:rsidR="00606A9F">
        <w:rPr>
          <w:rFonts w:ascii="Times New Roman" w:hAnsi="Times New Roman"/>
        </w:rPr>
        <w:t>16</w:t>
      </w:r>
      <w:r w:rsidRPr="00ED6452">
        <w:rPr>
          <w:rFonts w:ascii="Times New Roman" w:hAnsi="Times New Roman"/>
        </w:rPr>
        <w:t xml:space="preserve">. On </w:t>
      </w:r>
      <w:r w:rsidR="0083381C">
        <w:rPr>
          <w:rFonts w:ascii="Times New Roman" w:hAnsi="Times New Roman"/>
        </w:rPr>
        <w:t>January 19</w:t>
      </w:r>
      <w:r w:rsidRPr="00ED6452">
        <w:rPr>
          <w:rFonts w:ascii="Times New Roman" w:hAnsi="Times New Roman"/>
        </w:rPr>
        <w:t xml:space="preserve">, 2023, the Department published a Notice of Proposed Rulemaking (NPRM) to revise the </w:t>
      </w:r>
      <w:r w:rsidR="009A699C">
        <w:rPr>
          <w:rFonts w:ascii="Times New Roman" w:hAnsi="Times New Roman"/>
        </w:rPr>
        <w:t>regulations governing authorization of</w:t>
      </w:r>
      <w:r w:rsidR="00B80468">
        <w:rPr>
          <w:rFonts w:ascii="Times New Roman" w:hAnsi="Times New Roman"/>
        </w:rPr>
        <w:t xml:space="preserve"> self-insurers</w:t>
      </w:r>
      <w:r w:rsidRPr="00ED6452">
        <w:rPr>
          <w:rFonts w:ascii="Times New Roman" w:hAnsi="Times New Roman"/>
        </w:rPr>
        <w:t xml:space="preserve"> (88 FR </w:t>
      </w:r>
      <w:r w:rsidR="00B80468">
        <w:rPr>
          <w:rFonts w:ascii="Times New Roman" w:hAnsi="Times New Roman"/>
        </w:rPr>
        <w:t>3349</w:t>
      </w:r>
      <w:r w:rsidRPr="00ED6452">
        <w:rPr>
          <w:rFonts w:ascii="Times New Roman" w:hAnsi="Times New Roman"/>
        </w:rPr>
        <w:t xml:space="preserve">). </w:t>
      </w:r>
      <w:r>
        <w:rPr>
          <w:rFonts w:ascii="Times New Roman" w:hAnsi="Times New Roman"/>
        </w:rPr>
        <w:t>T</w:t>
      </w:r>
      <w:r w:rsidRPr="00ED6452">
        <w:rPr>
          <w:rFonts w:ascii="Times New Roman" w:hAnsi="Times New Roman"/>
        </w:rPr>
        <w:t xml:space="preserve">he Department </w:t>
      </w:r>
      <w:r>
        <w:rPr>
          <w:rFonts w:ascii="Times New Roman" w:hAnsi="Times New Roman"/>
        </w:rPr>
        <w:t xml:space="preserve">invited public comment as part of the NPRM and </w:t>
      </w:r>
      <w:r w:rsidRPr="00ED6452">
        <w:rPr>
          <w:rFonts w:ascii="Times New Roman" w:hAnsi="Times New Roman"/>
        </w:rPr>
        <w:t xml:space="preserve">submitted this collection </w:t>
      </w:r>
      <w:r>
        <w:rPr>
          <w:rFonts w:ascii="Times New Roman" w:hAnsi="Times New Roman"/>
        </w:rPr>
        <w:t>to OMB for review</w:t>
      </w:r>
      <w:r w:rsidRPr="00ED6452">
        <w:rPr>
          <w:rFonts w:ascii="Times New Roman" w:hAnsi="Times New Roman"/>
        </w:rPr>
        <w:t xml:space="preserve">. The OMB issued a Notice of Action </w:t>
      </w:r>
      <w:r>
        <w:rPr>
          <w:rFonts w:ascii="Times New Roman" w:hAnsi="Times New Roman"/>
        </w:rPr>
        <w:t xml:space="preserve">on </w:t>
      </w:r>
      <w:r w:rsidR="00B96F91">
        <w:rPr>
          <w:rFonts w:ascii="Times New Roman" w:hAnsi="Times New Roman"/>
        </w:rPr>
        <w:t>February 23</w:t>
      </w:r>
      <w:r>
        <w:rPr>
          <w:rFonts w:ascii="Times New Roman" w:hAnsi="Times New Roman"/>
        </w:rPr>
        <w:t xml:space="preserve">, 2023, </w:t>
      </w:r>
      <w:r w:rsidRPr="00ED6452">
        <w:rPr>
          <w:rFonts w:ascii="Times New Roman" w:hAnsi="Times New Roman"/>
        </w:rPr>
        <w:t>asking that the Department address any comments received during the public comment period and resubmit at the final rule stage.</w:t>
      </w:r>
    </w:p>
    <w:p w:rsidR="006830F9" w:rsidRPr="00ED6452" w:rsidP="006830F9" w14:paraId="20D86AD4" w14:textId="77777777">
      <w:pPr>
        <w:suppressAutoHyphens/>
        <w:rPr>
          <w:rFonts w:ascii="Times New Roman" w:hAnsi="Times New Roman"/>
        </w:rPr>
      </w:pPr>
    </w:p>
    <w:p w:rsidR="00530EBD" w:rsidRPr="00D53DEB" w:rsidP="006830F9" w14:paraId="42A7085D" w14:textId="73449BD8">
      <w:pPr>
        <w:widowControl/>
        <w:rPr>
          <w:rFonts w:ascii="Times New Roman" w:hAnsi="Times New Roman"/>
          <w:bCs/>
        </w:rPr>
      </w:pPr>
      <w:r w:rsidRPr="00ED6452">
        <w:rPr>
          <w:rFonts w:ascii="Times New Roman" w:hAnsi="Times New Roman"/>
        </w:rPr>
        <w:t>This ICR is being submitted as a revision</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76311" w:rsidP="00276311" w14:paraId="30822242" w14:textId="77777777">
      <w:pPr>
        <w:widowControl/>
        <w:rPr>
          <w:rFonts w:ascii="Times New Roman" w:hAnsi="Times New Roman"/>
        </w:rPr>
      </w:pPr>
    </w:p>
    <w:p w:rsidR="00276311" w:rsidRPr="00276311" w:rsidP="00276311" w14:paraId="0492A770" w14:textId="3E10AEAD">
      <w:pPr>
        <w:widowControl/>
        <w:rPr>
          <w:rFonts w:ascii="Times New Roman" w:hAnsi="Times New Roman"/>
        </w:rPr>
      </w:pPr>
      <w:r>
        <w:rPr>
          <w:rFonts w:ascii="Times New Roman" w:hAnsi="Times New Roman"/>
        </w:rPr>
        <w:t>The Office or Workers’ Compensation (</w:t>
      </w:r>
      <w:r w:rsidRPr="00276311">
        <w:rPr>
          <w:rFonts w:ascii="Times New Roman" w:hAnsi="Times New Roman"/>
        </w:rPr>
        <w:t>OWCP</w:t>
      </w:r>
      <w:r>
        <w:rPr>
          <w:rFonts w:ascii="Times New Roman" w:hAnsi="Times New Roman"/>
        </w:rPr>
        <w:t>)</w:t>
      </w:r>
      <w:r w:rsidRPr="00276311">
        <w:rPr>
          <w:rFonts w:ascii="Times New Roman" w:hAnsi="Times New Roman"/>
        </w:rPr>
        <w:t xml:space="preserve"> administers the Black Lung Benefits Act (BLBA), which provides both disability and medical benefits to coal miners who are totally disabled due to pneumoconiosis (commonly called black lung disease) arising out of coal mine employment, and survivor’s benefits to certain miners’ dependent survivors.  These benefits are generally paid by a coal mine operator who employed the miner.</w:t>
      </w:r>
    </w:p>
    <w:p w:rsidR="00276311" w:rsidRPr="00276311" w:rsidP="00276311" w14:paraId="092E382D" w14:textId="77777777">
      <w:pPr>
        <w:widowControl/>
        <w:rPr>
          <w:rFonts w:ascii="Times New Roman" w:hAnsi="Times New Roman"/>
        </w:rPr>
      </w:pPr>
    </w:p>
    <w:p w:rsidR="00276311" w:rsidRPr="00276311" w:rsidP="00276311" w14:paraId="4D2DCA92" w14:textId="07E3A9E7">
      <w:pPr>
        <w:widowControl/>
        <w:rPr>
          <w:rFonts w:ascii="Times New Roman" w:hAnsi="Times New Roman"/>
        </w:rPr>
      </w:pPr>
      <w:r w:rsidRPr="00276311">
        <w:rPr>
          <w:rFonts w:ascii="Times New Roman" w:hAnsi="Times New Roman"/>
        </w:rPr>
        <w:t>To secure benefit payments, the BLBA requires covered coal mine operators to purchase insurance from a carrier authorized</w:t>
      </w:r>
      <w:r w:rsidR="00807EC9">
        <w:rPr>
          <w:rFonts w:ascii="Times New Roman" w:hAnsi="Times New Roman"/>
        </w:rPr>
        <w:t xml:space="preserve"> under state law</w:t>
      </w:r>
      <w:r w:rsidRPr="00276311">
        <w:rPr>
          <w:rFonts w:ascii="Times New Roman" w:hAnsi="Times New Roman"/>
        </w:rPr>
        <w:t xml:space="preserve"> to write </w:t>
      </w:r>
      <w:r w:rsidR="005E7DBF">
        <w:rPr>
          <w:rFonts w:ascii="Times New Roman" w:hAnsi="Times New Roman"/>
        </w:rPr>
        <w:t xml:space="preserve">workers’ compensation </w:t>
      </w:r>
      <w:r w:rsidRPr="00276311">
        <w:rPr>
          <w:rFonts w:ascii="Times New Roman" w:hAnsi="Times New Roman"/>
        </w:rPr>
        <w:t xml:space="preserve">insurance, or to become an authorized self-insured operator in accordance with the Secretary’s regulations. 30 U.S.C. § 933.  OWCP determines whether a coal mine operator should be authorized to self-insure and, if so, the amount of any security the operator must post to guarantee payment of its BLBA liabilities. To make these determinations, OWCP </w:t>
      </w:r>
      <w:r w:rsidR="00036AAB">
        <w:rPr>
          <w:rFonts w:ascii="Times New Roman" w:hAnsi="Times New Roman"/>
        </w:rPr>
        <w:t>currently</w:t>
      </w:r>
      <w:r w:rsidRPr="00276311" w:rsidR="00036AAB">
        <w:rPr>
          <w:rFonts w:ascii="Times New Roman" w:hAnsi="Times New Roman"/>
        </w:rPr>
        <w:t xml:space="preserve"> </w:t>
      </w:r>
      <w:r w:rsidRPr="00276311">
        <w:rPr>
          <w:rFonts w:ascii="Times New Roman" w:hAnsi="Times New Roman"/>
        </w:rPr>
        <w:t>evaluate</w:t>
      </w:r>
      <w:r w:rsidR="00036AAB">
        <w:rPr>
          <w:rFonts w:ascii="Times New Roman" w:hAnsi="Times New Roman"/>
        </w:rPr>
        <w:t>s</w:t>
      </w:r>
      <w:r w:rsidRPr="00276311">
        <w:rPr>
          <w:rFonts w:ascii="Times New Roman" w:hAnsi="Times New Roman"/>
        </w:rPr>
        <w:t xml:space="preserve"> the operator’s financial capacity and potential claims liability.  This involves analyzing the nature of the operator’s business, the business’ structure, detailed financial information, actuarial predictions, historic rates of payments, and current claims information.  The regulations implementing the self-insurance provision allow OWCP to collect this information from operators applying for (or renewing) authorization to self-insure their BLBA liabilities. (20 CFR 726.102, 726.112). </w:t>
      </w:r>
      <w:bookmarkStart w:id="0" w:name="_Hlk123656540"/>
      <w:r w:rsidRPr="00276311">
        <w:rPr>
          <w:rFonts w:ascii="Times New Roman" w:hAnsi="Times New Roman"/>
        </w:rPr>
        <w:t xml:space="preserve">Under </w:t>
      </w:r>
      <w:r w:rsidR="006536E6">
        <w:rPr>
          <w:rFonts w:ascii="Times New Roman" w:hAnsi="Times New Roman"/>
        </w:rPr>
        <w:t>the final rule</w:t>
      </w:r>
      <w:r w:rsidRPr="00276311">
        <w:rPr>
          <w:rFonts w:ascii="Times New Roman" w:hAnsi="Times New Roman"/>
        </w:rPr>
        <w:t xml:space="preserve">, OWCP </w:t>
      </w:r>
      <w:r w:rsidR="006536E6">
        <w:rPr>
          <w:rFonts w:ascii="Times New Roman" w:hAnsi="Times New Roman"/>
        </w:rPr>
        <w:t>will</w:t>
      </w:r>
      <w:r w:rsidRPr="00276311" w:rsidR="006536E6">
        <w:rPr>
          <w:rFonts w:ascii="Times New Roman" w:hAnsi="Times New Roman"/>
        </w:rPr>
        <w:t xml:space="preserve"> </w:t>
      </w:r>
      <w:r w:rsidRPr="00276311">
        <w:rPr>
          <w:rFonts w:ascii="Times New Roman" w:hAnsi="Times New Roman"/>
        </w:rPr>
        <w:t xml:space="preserve">no longer collect information about assets, debt, and income because it </w:t>
      </w:r>
      <w:r w:rsidR="006536E6">
        <w:rPr>
          <w:rFonts w:ascii="Times New Roman" w:hAnsi="Times New Roman"/>
        </w:rPr>
        <w:t xml:space="preserve">will cease </w:t>
      </w:r>
      <w:r w:rsidRPr="00276311">
        <w:rPr>
          <w:rFonts w:ascii="Times New Roman" w:hAnsi="Times New Roman"/>
        </w:rPr>
        <w:t>using a financial scoring method to determine security amounts.</w:t>
      </w:r>
      <w:bookmarkEnd w:id="0"/>
    </w:p>
    <w:p w:rsidR="00276311" w:rsidRPr="00276311" w:rsidP="00276311" w14:paraId="70C13407" w14:textId="77777777">
      <w:pPr>
        <w:widowControl/>
        <w:rPr>
          <w:rFonts w:ascii="Times New Roman" w:hAnsi="Times New Roman"/>
        </w:rPr>
      </w:pPr>
    </w:p>
    <w:p w:rsidR="004E55D4" w:rsidP="00276311" w14:paraId="71EB77FC" w14:textId="3EF5ED73">
      <w:pPr>
        <w:widowControl/>
        <w:rPr>
          <w:rFonts w:ascii="Times New Roman" w:hAnsi="Times New Roman"/>
        </w:rPr>
      </w:pPr>
      <w:r w:rsidRPr="00276311">
        <w:rPr>
          <w:rFonts w:ascii="Times New Roman" w:hAnsi="Times New Roman"/>
        </w:rPr>
        <w:t>All of</w:t>
      </w:r>
      <w:r w:rsidRPr="00276311">
        <w:rPr>
          <w:rFonts w:ascii="Times New Roman" w:hAnsi="Times New Roman"/>
        </w:rPr>
        <w:t xml:space="preserve"> the information sought with this collection is in the control of the coal mine operator and, for new self-insurance applicants, its commercial insurance carriers.</w:t>
      </w:r>
    </w:p>
    <w:p w:rsidR="00690F56" w:rsidP="00690F56" w14:paraId="74744673" w14:textId="7EA6435F">
      <w:pPr>
        <w:widowControl/>
        <w:rPr>
          <w:rFonts w:ascii="Times New Roman" w:hAnsi="Times New Roman"/>
        </w:rPr>
      </w:pPr>
    </w:p>
    <w:p w:rsidR="002007B6" w:rsidP="00B559B0" w14:paraId="0BAEE2DF" w14:textId="16A8324F">
      <w:pPr>
        <w:widowControl/>
        <w:rPr>
          <w:rFonts w:ascii="Times New Roman" w:hAnsi="Times New Roman"/>
        </w:rPr>
      </w:pPr>
      <w:r w:rsidRPr="005271DD">
        <w:rPr>
          <w:rFonts w:ascii="Times New Roman" w:hAnsi="Times New Roman"/>
        </w:rPr>
        <w:t xml:space="preserve">On </w:t>
      </w:r>
      <w:r w:rsidR="00F73537">
        <w:rPr>
          <w:rFonts w:ascii="Times New Roman" w:hAnsi="Times New Roman"/>
        </w:rPr>
        <w:t>January 19, 2023</w:t>
      </w:r>
      <w:r w:rsidRPr="005271DD">
        <w:rPr>
          <w:rFonts w:ascii="Times New Roman" w:hAnsi="Times New Roman"/>
        </w:rPr>
        <w:t>, the Department published a Notice of Proposed Rulemaking (NPRM)</w:t>
      </w:r>
      <w:r w:rsidR="00B20FC3">
        <w:rPr>
          <w:rFonts w:ascii="Times New Roman" w:hAnsi="Times New Roman"/>
        </w:rPr>
        <w:t xml:space="preserve"> –</w:t>
      </w:r>
      <w:r w:rsidRPr="005271DD">
        <w:rPr>
          <w:rFonts w:ascii="Times New Roman" w:hAnsi="Times New Roman"/>
        </w:rPr>
        <w:t xml:space="preserve"> </w:t>
      </w:r>
      <w:r w:rsidR="00F73537">
        <w:rPr>
          <w:rFonts w:ascii="Times New Roman" w:hAnsi="Times New Roman"/>
        </w:rPr>
        <w:t>Black Lung Benefits Act: Authorization of Self-Insurers</w:t>
      </w:r>
      <w:r w:rsidRPr="00ED6452" w:rsidR="00F73537">
        <w:rPr>
          <w:rFonts w:ascii="Times New Roman" w:hAnsi="Times New Roman"/>
        </w:rPr>
        <w:t>, RIN 12</w:t>
      </w:r>
      <w:r w:rsidR="00F73537">
        <w:rPr>
          <w:rFonts w:ascii="Times New Roman" w:hAnsi="Times New Roman"/>
        </w:rPr>
        <w:t>40</w:t>
      </w:r>
      <w:r w:rsidRPr="00ED6452" w:rsidR="00F73537">
        <w:rPr>
          <w:rFonts w:ascii="Times New Roman" w:hAnsi="Times New Roman"/>
        </w:rPr>
        <w:t>-AA</w:t>
      </w:r>
      <w:r w:rsidR="00F73537">
        <w:rPr>
          <w:rFonts w:ascii="Times New Roman" w:hAnsi="Times New Roman"/>
        </w:rPr>
        <w:t>16</w:t>
      </w:r>
      <w:r w:rsidRPr="005271DD">
        <w:rPr>
          <w:rFonts w:ascii="Times New Roman" w:hAnsi="Times New Roman"/>
        </w:rPr>
        <w:t xml:space="preserve">. The Department’s NPRM proposed to revise the </w:t>
      </w:r>
      <w:r w:rsidR="00C9380D">
        <w:rPr>
          <w:rFonts w:ascii="Times New Roman" w:hAnsi="Times New Roman"/>
        </w:rPr>
        <w:t>regulations governing authorization of self-insurers</w:t>
      </w:r>
      <w:r w:rsidRPr="00ED6452" w:rsidR="00C9380D">
        <w:rPr>
          <w:rFonts w:ascii="Times New Roman" w:hAnsi="Times New Roman"/>
        </w:rPr>
        <w:t xml:space="preserve"> (88 FR </w:t>
      </w:r>
      <w:r w:rsidR="00C9380D">
        <w:rPr>
          <w:rFonts w:ascii="Times New Roman" w:hAnsi="Times New Roman"/>
        </w:rPr>
        <w:t>3349</w:t>
      </w:r>
      <w:r w:rsidRPr="00ED6452" w:rsidR="00C9380D">
        <w:rPr>
          <w:rFonts w:ascii="Times New Roman" w:hAnsi="Times New Roman"/>
        </w:rPr>
        <w:t>)</w:t>
      </w:r>
      <w:r w:rsidR="00D36DFF">
        <w:rPr>
          <w:rFonts w:ascii="Times New Roman" w:hAnsi="Times New Roman"/>
        </w:rPr>
        <w:t xml:space="preserve"> and the 60-day comment period ended on </w:t>
      </w:r>
      <w:r w:rsidR="000437A8">
        <w:rPr>
          <w:rFonts w:ascii="Times New Roman" w:hAnsi="Times New Roman"/>
        </w:rPr>
        <w:t xml:space="preserve">April 19, 2023, after an extension of the original </w:t>
      </w:r>
      <w:r w:rsidR="00A0059C">
        <w:rPr>
          <w:rFonts w:ascii="Times New Roman" w:hAnsi="Times New Roman"/>
        </w:rPr>
        <w:t>March 20, 2023</w:t>
      </w:r>
      <w:r w:rsidR="004A584A">
        <w:rPr>
          <w:rFonts w:ascii="Times New Roman" w:hAnsi="Times New Roman"/>
        </w:rPr>
        <w:t xml:space="preserve">, deadline.  </w:t>
      </w:r>
    </w:p>
    <w:p w:rsidR="002007B6" w:rsidP="00B559B0" w14:paraId="7FEA7742" w14:textId="77777777">
      <w:pPr>
        <w:widowControl/>
        <w:rPr>
          <w:rFonts w:ascii="Times New Roman" w:hAnsi="Times New Roman"/>
        </w:rPr>
      </w:pPr>
    </w:p>
    <w:p w:rsidR="00B559B0" w:rsidRPr="00B559B0" w:rsidP="00B559B0" w14:paraId="56EFB375" w14:textId="0D851D37">
      <w:pPr>
        <w:widowControl/>
        <w:rPr>
          <w:rFonts w:ascii="Times New Roman" w:hAnsi="Times New Roman"/>
        </w:rPr>
      </w:pPr>
      <w:r>
        <w:rPr>
          <w:rFonts w:ascii="Times New Roman" w:hAnsi="Times New Roman"/>
        </w:rPr>
        <w:t xml:space="preserve">The </w:t>
      </w:r>
      <w:r w:rsidRPr="00065E98">
        <w:rPr>
          <w:rFonts w:ascii="Times New Roman" w:hAnsi="Times New Roman"/>
        </w:rPr>
        <w:t>final</w:t>
      </w:r>
      <w:r w:rsidRPr="00065E98" w:rsidR="003F5015">
        <w:rPr>
          <w:rFonts w:ascii="Times New Roman" w:hAnsi="Times New Roman"/>
        </w:rPr>
        <w:t xml:space="preserve"> rule includes</w:t>
      </w:r>
      <w:r w:rsidRPr="00065E98" w:rsidR="0091651F">
        <w:rPr>
          <w:rFonts w:ascii="Times New Roman" w:hAnsi="Times New Roman"/>
        </w:rPr>
        <w:t xml:space="preserve"> changes that </w:t>
      </w:r>
      <w:r w:rsidR="007C2AEC">
        <w:rPr>
          <w:rFonts w:ascii="Times New Roman" w:hAnsi="Times New Roman"/>
        </w:rPr>
        <w:t>have no</w:t>
      </w:r>
      <w:r w:rsidRPr="00065E98" w:rsidR="0091651F">
        <w:rPr>
          <w:rFonts w:ascii="Times New Roman" w:hAnsi="Times New Roman"/>
        </w:rPr>
        <w:t xml:space="preserve"> </w:t>
      </w:r>
      <w:r w:rsidR="006536E6">
        <w:rPr>
          <w:rFonts w:ascii="Times New Roman" w:hAnsi="Times New Roman"/>
        </w:rPr>
        <w:t>impact</w:t>
      </w:r>
      <w:r w:rsidRPr="00065E98" w:rsidR="0091651F">
        <w:rPr>
          <w:rFonts w:ascii="Times New Roman" w:hAnsi="Times New Roman"/>
        </w:rPr>
        <w:t xml:space="preserve"> </w:t>
      </w:r>
      <w:r w:rsidR="007C2AEC">
        <w:rPr>
          <w:rFonts w:ascii="Times New Roman" w:hAnsi="Times New Roman"/>
        </w:rPr>
        <w:t xml:space="preserve">on </w:t>
      </w:r>
      <w:r w:rsidRPr="00065E98" w:rsidR="0091651F">
        <w:rPr>
          <w:rFonts w:ascii="Times New Roman" w:hAnsi="Times New Roman"/>
        </w:rPr>
        <w:t>burden</w:t>
      </w:r>
      <w:r w:rsidR="00620C2A">
        <w:rPr>
          <w:rFonts w:ascii="Times New Roman" w:hAnsi="Times New Roman"/>
        </w:rPr>
        <w:t xml:space="preserve">, </w:t>
      </w:r>
      <w:r w:rsidR="00F51BB2">
        <w:rPr>
          <w:rFonts w:ascii="Times New Roman" w:hAnsi="Times New Roman"/>
        </w:rPr>
        <w:t xml:space="preserve">have </w:t>
      </w:r>
      <w:r w:rsidR="00C0610B">
        <w:rPr>
          <w:rFonts w:ascii="Times New Roman" w:hAnsi="Times New Roman"/>
        </w:rPr>
        <w:t xml:space="preserve">only </w:t>
      </w:r>
      <w:r w:rsidR="007C2AEC">
        <w:rPr>
          <w:rFonts w:ascii="Times New Roman" w:hAnsi="Times New Roman"/>
        </w:rPr>
        <w:t xml:space="preserve">a </w:t>
      </w:r>
      <w:r w:rsidR="00C0610B">
        <w:rPr>
          <w:rFonts w:ascii="Times New Roman" w:hAnsi="Times New Roman"/>
        </w:rPr>
        <w:t>de minimis impact on burden</w:t>
      </w:r>
      <w:r w:rsidR="00620C2A">
        <w:rPr>
          <w:rFonts w:ascii="Times New Roman" w:hAnsi="Times New Roman"/>
        </w:rPr>
        <w:t xml:space="preserve">, </w:t>
      </w:r>
      <w:r w:rsidR="00DB72DC">
        <w:rPr>
          <w:rFonts w:ascii="Times New Roman" w:hAnsi="Times New Roman"/>
        </w:rPr>
        <w:t>reduce burden overall</w:t>
      </w:r>
      <w:r w:rsidR="00B66398">
        <w:rPr>
          <w:rFonts w:ascii="Times New Roman" w:hAnsi="Times New Roman"/>
        </w:rPr>
        <w:t xml:space="preserve">, and increase burden </w:t>
      </w:r>
      <w:r w:rsidR="00600F2F">
        <w:rPr>
          <w:rFonts w:ascii="Times New Roman" w:hAnsi="Times New Roman"/>
        </w:rPr>
        <w:t>for operators currently</w:t>
      </w:r>
      <w:r w:rsidR="00AA5A8C">
        <w:rPr>
          <w:rFonts w:ascii="Times New Roman" w:hAnsi="Times New Roman"/>
        </w:rPr>
        <w:t xml:space="preserve"> using section 501(c)(21) trust</w:t>
      </w:r>
      <w:r w:rsidR="005C5C52">
        <w:rPr>
          <w:rFonts w:ascii="Times New Roman" w:hAnsi="Times New Roman"/>
        </w:rPr>
        <w:t>s as security to self</w:t>
      </w:r>
      <w:r w:rsidR="000E3332">
        <w:rPr>
          <w:rFonts w:ascii="Times New Roman" w:hAnsi="Times New Roman"/>
        </w:rPr>
        <w:t>-</w:t>
      </w:r>
      <w:r w:rsidR="005C5C52">
        <w:rPr>
          <w:rFonts w:ascii="Times New Roman" w:hAnsi="Times New Roman"/>
        </w:rPr>
        <w:t>insure</w:t>
      </w:r>
      <w:r w:rsidRPr="00B559B0" w:rsidR="0091651F">
        <w:rPr>
          <w:rFonts w:ascii="Times New Roman" w:hAnsi="Times New Roman"/>
        </w:rPr>
        <w:t>. For example, proposed section 726.102 require</w:t>
      </w:r>
      <w:r w:rsidR="00686F71">
        <w:rPr>
          <w:rFonts w:ascii="Times New Roman" w:hAnsi="Times New Roman"/>
        </w:rPr>
        <w:t>s</w:t>
      </w:r>
      <w:r w:rsidRPr="00B559B0" w:rsidR="0091651F">
        <w:rPr>
          <w:rFonts w:ascii="Times New Roman" w:hAnsi="Times New Roman"/>
        </w:rPr>
        <w:t xml:space="preserve"> self-insured operators to submit a new actuarial report every three years. This is not an additional burden, however, because under Form CM-2017, self-insured operators are already required to submit an actuarial report if they haven’t in the past three years. Likewise, OWCP is already performing the function of reviewing those reports under the </w:t>
      </w:r>
      <w:r w:rsidR="009F47C9">
        <w:rPr>
          <w:rFonts w:ascii="Times New Roman" w:hAnsi="Times New Roman"/>
        </w:rPr>
        <w:t xml:space="preserve">preexisting </w:t>
      </w:r>
      <w:r w:rsidRPr="00B559B0" w:rsidR="0091651F">
        <w:rPr>
          <w:rFonts w:ascii="Times New Roman" w:hAnsi="Times New Roman"/>
        </w:rPr>
        <w:t>guidelines.</w:t>
      </w:r>
    </w:p>
    <w:p w:rsidR="00B559B0" w:rsidRPr="00B559B0" w:rsidP="00B559B0" w14:paraId="44C462AD" w14:textId="77777777">
      <w:pPr>
        <w:widowControl/>
        <w:rPr>
          <w:rFonts w:ascii="Times New Roman" w:hAnsi="Times New Roman"/>
        </w:rPr>
      </w:pPr>
    </w:p>
    <w:p w:rsidR="00B559B0" w:rsidRPr="00B559B0" w:rsidP="00B559B0" w14:paraId="3D0A5227" w14:textId="38F7D6B1">
      <w:pPr>
        <w:widowControl/>
        <w:rPr>
          <w:rFonts w:ascii="Times New Roman" w:hAnsi="Times New Roman"/>
        </w:rPr>
      </w:pPr>
      <w:r w:rsidRPr="00B559B0">
        <w:rPr>
          <w:rFonts w:ascii="Times New Roman" w:hAnsi="Times New Roman"/>
        </w:rPr>
        <w:t>Additionally, under</w:t>
      </w:r>
      <w:r w:rsidR="005271DD">
        <w:rPr>
          <w:rFonts w:ascii="Times New Roman" w:hAnsi="Times New Roman"/>
        </w:rPr>
        <w:t xml:space="preserve"> </w:t>
      </w:r>
      <w:r w:rsidRPr="00B559B0">
        <w:rPr>
          <w:rFonts w:ascii="Times New Roman" w:hAnsi="Times New Roman"/>
        </w:rPr>
        <w:t xml:space="preserve">section 726.108, if a self-insurer wishes to withdraw securities, it must submit a written request, which must include (1) an updated actuarial report using OWCP-mandated actuarial assumptions to support why the existing security levels are no longer applicable; or (2) replacement securities in the amount and form approved by OWCP. OWCP expects this to be very rare and therefore add only a de minimis burden. </w:t>
      </w:r>
    </w:p>
    <w:p w:rsidR="00B559B0" w:rsidRPr="00B559B0" w:rsidP="00B559B0" w14:paraId="4FFE6AB3" w14:textId="77777777">
      <w:pPr>
        <w:widowControl/>
        <w:rPr>
          <w:rFonts w:ascii="Times New Roman" w:hAnsi="Times New Roman"/>
        </w:rPr>
      </w:pPr>
    </w:p>
    <w:p w:rsidR="00B559B0" w:rsidP="00B559B0" w14:paraId="4B7394EA" w14:textId="3F6B7D83">
      <w:pPr>
        <w:widowControl/>
        <w:rPr>
          <w:rFonts w:ascii="Times New Roman" w:hAnsi="Times New Roman"/>
        </w:rPr>
      </w:pPr>
      <w:r w:rsidRPr="00B559B0">
        <w:rPr>
          <w:rFonts w:ascii="Times New Roman" w:hAnsi="Times New Roman"/>
        </w:rPr>
        <w:t>Similarly, section 726.110 require</w:t>
      </w:r>
      <w:r w:rsidR="00B83480">
        <w:rPr>
          <w:rFonts w:ascii="Times New Roman" w:hAnsi="Times New Roman"/>
        </w:rPr>
        <w:t>s</w:t>
      </w:r>
      <w:r w:rsidRPr="00B559B0">
        <w:rPr>
          <w:rFonts w:ascii="Times New Roman" w:hAnsi="Times New Roman"/>
        </w:rPr>
        <w:t xml:space="preserve"> any operator authorized to self-insure </w:t>
      </w:r>
      <w:r w:rsidR="00B83480">
        <w:rPr>
          <w:rFonts w:ascii="Times New Roman" w:hAnsi="Times New Roman"/>
        </w:rPr>
        <w:t xml:space="preserve">to </w:t>
      </w:r>
      <w:r w:rsidRPr="00B559B0">
        <w:rPr>
          <w:rFonts w:ascii="Times New Roman" w:hAnsi="Times New Roman"/>
        </w:rPr>
        <w:t>notif</w:t>
      </w:r>
      <w:r w:rsidR="00B83480">
        <w:rPr>
          <w:rFonts w:ascii="Times New Roman" w:hAnsi="Times New Roman"/>
        </w:rPr>
        <w:t>y</w:t>
      </w:r>
      <w:r w:rsidRPr="00B559B0">
        <w:rPr>
          <w:rFonts w:ascii="Times New Roman" w:hAnsi="Times New Roman"/>
        </w:rPr>
        <w:t xml:space="preserve"> OWCP of any changes to its business structure, including the purchase, sale, or lease of any coal mining operations, that could affect the operator’s liability for benefits under the Act. We expect such changes to be infrequent, and notifying OWCP by email as part of the operator’s process to notify all interested parties of such changes </w:t>
      </w:r>
      <w:r w:rsidR="00267F07">
        <w:rPr>
          <w:rFonts w:ascii="Times New Roman" w:hAnsi="Times New Roman"/>
        </w:rPr>
        <w:t>therefore adds</w:t>
      </w:r>
      <w:r w:rsidRPr="00B559B0">
        <w:rPr>
          <w:rFonts w:ascii="Times New Roman" w:hAnsi="Times New Roman"/>
        </w:rPr>
        <w:t xml:space="preserve"> only a de minimis burden.</w:t>
      </w:r>
    </w:p>
    <w:p w:rsidR="0011676B" w:rsidP="00B559B0" w14:paraId="35680BBB" w14:textId="77777777">
      <w:pPr>
        <w:widowControl/>
        <w:rPr>
          <w:rFonts w:ascii="Times New Roman" w:hAnsi="Times New Roman"/>
        </w:rPr>
      </w:pPr>
    </w:p>
    <w:p w:rsidR="00F045D3" w:rsidP="00B559B0" w14:paraId="65E68ED1" w14:textId="6CE3883C">
      <w:pPr>
        <w:widowControl/>
        <w:rPr>
          <w:rFonts w:ascii="Times New Roman" w:hAnsi="Times New Roman"/>
        </w:rPr>
      </w:pPr>
      <w:r>
        <w:rPr>
          <w:rFonts w:ascii="Times New Roman" w:hAnsi="Times New Roman"/>
        </w:rPr>
        <w:t xml:space="preserve">The final rule also </w:t>
      </w:r>
      <w:r w:rsidR="007E6EB4">
        <w:rPr>
          <w:rFonts w:ascii="Times New Roman" w:hAnsi="Times New Roman"/>
        </w:rPr>
        <w:t xml:space="preserve">reduces burden </w:t>
      </w:r>
      <w:r w:rsidR="000D679D">
        <w:rPr>
          <w:rFonts w:ascii="Times New Roman" w:hAnsi="Times New Roman"/>
        </w:rPr>
        <w:t>associated with this ICR as it removes the collection associated with form CM-2017a</w:t>
      </w:r>
      <w:r w:rsidR="001C417D">
        <w:rPr>
          <w:rFonts w:ascii="Times New Roman" w:hAnsi="Times New Roman"/>
        </w:rPr>
        <w:t>.</w:t>
      </w:r>
      <w:r w:rsidR="00AF6682">
        <w:rPr>
          <w:rFonts w:ascii="Times New Roman" w:hAnsi="Times New Roman"/>
        </w:rPr>
        <w:t xml:space="preserve"> </w:t>
      </w:r>
    </w:p>
    <w:p w:rsidR="00AF6682" w:rsidP="00B559B0" w14:paraId="0BC545C4" w14:textId="77777777">
      <w:pPr>
        <w:widowControl/>
        <w:rPr>
          <w:rFonts w:ascii="Times New Roman" w:hAnsi="Times New Roman"/>
        </w:rPr>
      </w:pPr>
    </w:p>
    <w:p w:rsidR="00AF6682" w:rsidRPr="00AF6682" w:rsidP="00AF6682" w14:paraId="7608C4A7" w14:textId="7AA70374">
      <w:pPr>
        <w:widowControl/>
        <w:rPr>
          <w:rFonts w:ascii="Times New Roman" w:hAnsi="Times New Roman"/>
        </w:rPr>
      </w:pPr>
      <w:r>
        <w:rPr>
          <w:rFonts w:ascii="Times New Roman" w:hAnsi="Times New Roman"/>
        </w:rPr>
        <w:t>Under 20 CFR 726.104</w:t>
      </w:r>
      <w:r w:rsidR="008F1AB0">
        <w:rPr>
          <w:rFonts w:ascii="Times New Roman" w:hAnsi="Times New Roman"/>
        </w:rPr>
        <w:t>(b)(4)</w:t>
      </w:r>
      <w:r>
        <w:rPr>
          <w:rFonts w:ascii="Times New Roman" w:hAnsi="Times New Roman"/>
        </w:rPr>
        <w:t xml:space="preserve">, </w:t>
      </w:r>
      <w:r w:rsidR="00E51079">
        <w:rPr>
          <w:rFonts w:ascii="Times New Roman" w:hAnsi="Times New Roman"/>
        </w:rPr>
        <w:t>o</w:t>
      </w:r>
      <w:r w:rsidRPr="00AF6682" w:rsidR="00E51079">
        <w:rPr>
          <w:rFonts w:ascii="Times New Roman" w:hAnsi="Times New Roman"/>
        </w:rPr>
        <w:t>perators electing to maintain existing</w:t>
      </w:r>
      <w:r w:rsidR="00E51079">
        <w:rPr>
          <w:rFonts w:ascii="Times New Roman" w:hAnsi="Times New Roman"/>
        </w:rPr>
        <w:t xml:space="preserve"> Section 501(c)(21)</w:t>
      </w:r>
      <w:r w:rsidRPr="00AF6682" w:rsidR="00E51079">
        <w:rPr>
          <w:rFonts w:ascii="Times New Roman" w:hAnsi="Times New Roman"/>
        </w:rPr>
        <w:t xml:space="preserve"> trust accounts</w:t>
      </w:r>
      <w:r w:rsidR="00E51079">
        <w:rPr>
          <w:rFonts w:ascii="Times New Roman" w:hAnsi="Times New Roman"/>
        </w:rPr>
        <w:t xml:space="preserve"> will be required to </w:t>
      </w:r>
      <w:r w:rsidR="004E0221">
        <w:rPr>
          <w:rFonts w:ascii="Times New Roman" w:hAnsi="Times New Roman"/>
        </w:rPr>
        <w:t>submit quarterly</w:t>
      </w:r>
      <w:r w:rsidR="0028604B">
        <w:rPr>
          <w:rFonts w:ascii="Times New Roman" w:hAnsi="Times New Roman"/>
        </w:rPr>
        <w:t xml:space="preserve"> bank statements</w:t>
      </w:r>
      <w:r w:rsidR="0094612E">
        <w:rPr>
          <w:rFonts w:ascii="Times New Roman" w:hAnsi="Times New Roman"/>
        </w:rPr>
        <w:t xml:space="preserve"> </w:t>
      </w:r>
      <w:r w:rsidR="00D53B31">
        <w:rPr>
          <w:rFonts w:ascii="Times New Roman" w:hAnsi="Times New Roman"/>
        </w:rPr>
        <w:t xml:space="preserve">for such </w:t>
      </w:r>
      <w:r w:rsidR="0094612E">
        <w:rPr>
          <w:rFonts w:ascii="Times New Roman" w:hAnsi="Times New Roman"/>
        </w:rPr>
        <w:t>trust</w:t>
      </w:r>
      <w:r w:rsidR="009070D2">
        <w:rPr>
          <w:rFonts w:ascii="Times New Roman" w:hAnsi="Times New Roman"/>
        </w:rPr>
        <w:t>s</w:t>
      </w:r>
      <w:r>
        <w:rPr>
          <w:rFonts w:ascii="Times New Roman" w:hAnsi="Times New Roman"/>
        </w:rPr>
        <w:t>.</w:t>
      </w:r>
      <w:r w:rsidRPr="00AF6682">
        <w:rPr>
          <w:rFonts w:ascii="Times New Roman" w:hAnsi="Times New Roman"/>
        </w:rPr>
        <w:t xml:space="preserve"> </w:t>
      </w:r>
      <w:r>
        <w:rPr>
          <w:rFonts w:ascii="Times New Roman" w:hAnsi="Times New Roman"/>
        </w:rPr>
        <w:t>Th</w:t>
      </w:r>
      <w:r w:rsidR="009012A7">
        <w:rPr>
          <w:rFonts w:ascii="Times New Roman" w:hAnsi="Times New Roman"/>
        </w:rPr>
        <w:t xml:space="preserve">is requirement </w:t>
      </w:r>
      <w:r w:rsidRPr="00AF6682">
        <w:rPr>
          <w:rFonts w:ascii="Times New Roman" w:hAnsi="Times New Roman"/>
        </w:rPr>
        <w:t xml:space="preserve"> </w:t>
      </w:r>
      <w:r w:rsidR="006E40F9">
        <w:rPr>
          <w:rFonts w:ascii="Times New Roman" w:hAnsi="Times New Roman"/>
        </w:rPr>
        <w:t>will allow OWCP to validate</w:t>
      </w:r>
      <w:r w:rsidRPr="00AF6682">
        <w:rPr>
          <w:rFonts w:ascii="Times New Roman" w:hAnsi="Times New Roman"/>
        </w:rPr>
        <w:t xml:space="preserve"> that the par amount of such account is being maintained at or above the security </w:t>
      </w:r>
      <w:r w:rsidR="009070D2">
        <w:rPr>
          <w:rFonts w:ascii="Times New Roman" w:hAnsi="Times New Roman"/>
        </w:rPr>
        <w:t>requirement</w:t>
      </w:r>
      <w:r w:rsidRPr="00AF6682">
        <w:rPr>
          <w:rFonts w:ascii="Times New Roman" w:hAnsi="Times New Roman"/>
        </w:rPr>
        <w:t xml:space="preserve"> established by OWCP to be an authorized self-insurer.  </w:t>
      </w:r>
    </w:p>
    <w:p w:rsidR="00A868CF" w:rsidP="00B559B0" w14:paraId="61BAE687" w14:textId="36546525">
      <w:pPr>
        <w:widowControl/>
        <w:rPr>
          <w:rFonts w:ascii="Times New Roman" w:hAnsi="Times New Roman"/>
        </w:rPr>
      </w:pPr>
      <w:r w:rsidRPr="00AF6682">
        <w:rPr>
          <w:rFonts w:ascii="Times New Roman" w:hAnsi="Times New Roman"/>
        </w:rPr>
        <w:t xml:space="preserve">  </w:t>
      </w:r>
    </w:p>
    <w:p w:rsidR="002007B6" w:rsidRPr="00D53DEB" w:rsidP="00B559B0" w14:paraId="18F0203B" w14:textId="77777777">
      <w:pPr>
        <w:widowControl/>
        <w:rPr>
          <w:rFonts w:ascii="Times New Roman" w:hAnsi="Times New Roman"/>
        </w:rPr>
      </w:pPr>
    </w:p>
    <w:p w:rsidR="00690F56" w:rsidRPr="00D53DEB" w:rsidP="00690F56" w14:paraId="2BBF8E2F" w14:textId="49C45E2A">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0C6A52" w:rsidP="000C6A52" w14:paraId="08C210DB" w14:textId="77777777">
      <w:pPr>
        <w:widowControl/>
        <w:rPr>
          <w:rFonts w:ascii="Times New Roman" w:hAnsi="Times New Roman"/>
        </w:rPr>
      </w:pPr>
    </w:p>
    <w:p w:rsidR="000C6A52" w:rsidRPr="000C6A52" w:rsidP="000C6A52" w14:paraId="3196862E" w14:textId="3F2B1B19">
      <w:pPr>
        <w:widowControl/>
        <w:rPr>
          <w:rFonts w:ascii="Times New Roman" w:hAnsi="Times New Roman"/>
        </w:rPr>
      </w:pPr>
      <w:r w:rsidRPr="000C6A52">
        <w:rPr>
          <w:rFonts w:ascii="Times New Roman" w:hAnsi="Times New Roman"/>
        </w:rPr>
        <w:t>The information collected will be used by OWCP staff to determine whether a coal mine operator should be authorized (or continue to be authorized) to self-insure its BLBA liabilities and to determine the amount of security an authorized self-insurer must deposit.  Form CM-2017 (Application or Renewal of Self-Insurance Authority) request</w:t>
      </w:r>
      <w:r w:rsidR="00B27EA0">
        <w:rPr>
          <w:rFonts w:ascii="Times New Roman" w:hAnsi="Times New Roman"/>
        </w:rPr>
        <w:t>s</w:t>
      </w:r>
      <w:r w:rsidRPr="000C6A52">
        <w:rPr>
          <w:rFonts w:ascii="Times New Roman" w:hAnsi="Times New Roman"/>
        </w:rPr>
        <w:t xml:space="preserve"> basic information about the applicant’s business including subsidiaries it wants to cover under its self-insurance authority, basic historical claims information, how it intends to administer claims as a self-insurer, and an actuarial analysis of projected BLBA liabilities. This information allows OWCP to evaluate the operator’s qualifications to self-insure and estimate its future liabilities.  If this information were not collected, self-insurance authorizations could not be granted (or renewed) as required by the statute.</w:t>
      </w:r>
    </w:p>
    <w:p w:rsidR="000C6A52" w:rsidRPr="000C6A52" w:rsidP="000C6A52" w14:paraId="76A65CAA" w14:textId="77777777">
      <w:pPr>
        <w:widowControl/>
        <w:rPr>
          <w:rFonts w:ascii="Times New Roman" w:hAnsi="Times New Roman"/>
        </w:rPr>
      </w:pPr>
    </w:p>
    <w:p w:rsidR="00690F56" w:rsidRPr="000C6A52" w:rsidP="000C6A52" w14:paraId="6EBE63D5" w14:textId="673DCA4F">
      <w:pPr>
        <w:widowControl/>
        <w:rPr>
          <w:rFonts w:ascii="Times New Roman" w:hAnsi="Times New Roman"/>
        </w:rPr>
      </w:pPr>
      <w:r w:rsidRPr="000C6A52">
        <w:rPr>
          <w:rFonts w:ascii="Times New Roman" w:hAnsi="Times New Roman"/>
        </w:rPr>
        <w:t>Form CM-2017b (Report of Claims Information for Self-Insured Operators) requests a report showing all outstanding claims against the applicant and its subsidiaries, and the particulars of each case.  OWCP sets the operator’s security deposit amount relative to its outstanding liabilities.  If the information were not collected, there would be no way to set a new self-insurer’s security deposit amount or determine whether a current self-insurer’s security deposit was adequate to provide for the continued payment of benefits if the self-insurer were to become insolvent or bankrupt.</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FE4AF3" w:rsidP="00690F56" w14:paraId="394AB1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4006A6E" w14:textId="3AF7C93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t>In accordance with the Government Paperwork Elimination Act, Forms CM-2017</w:t>
      </w:r>
      <w:r w:rsidR="00FE7E7E">
        <w:rPr>
          <w:rFonts w:ascii="Times New Roman" w:hAnsi="Times New Roman"/>
        </w:rPr>
        <w:t xml:space="preserve"> </w:t>
      </w:r>
      <w:r w:rsidRPr="00FE4AF3">
        <w:rPr>
          <w:rFonts w:ascii="Times New Roman" w:hAnsi="Times New Roman"/>
        </w:rPr>
        <w:t xml:space="preserve">and CM-2017b will be available in an electronically interactive format on OWCP’s website. Once completed and executed, the operator </w:t>
      </w:r>
      <w:r w:rsidRPr="00FE4AF3" w:rsidR="00BF60C9">
        <w:rPr>
          <w:rFonts w:ascii="Times New Roman" w:hAnsi="Times New Roman"/>
        </w:rPr>
        <w:t>will e-mail</w:t>
      </w:r>
      <w:r w:rsidRPr="00FE4AF3">
        <w:rPr>
          <w:rFonts w:ascii="Times New Roman" w:hAnsi="Times New Roman"/>
        </w:rPr>
        <w:t xml:space="preserve"> the forms and required attachments to OWCP.  The instructions for each form specify </w:t>
      </w:r>
      <w:r w:rsidR="004915DC">
        <w:rPr>
          <w:rFonts w:ascii="Times New Roman" w:hAnsi="Times New Roman"/>
        </w:rPr>
        <w:t xml:space="preserve">the electronic submission process. </w:t>
      </w:r>
      <w:r w:rsidRPr="00FE4AF3">
        <w:rPr>
          <w:rFonts w:ascii="Times New Roman" w:hAnsi="Times New Roman"/>
        </w:rP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FE4AF3" w:rsidP="00690F56" w14:paraId="030599B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7A6EAD9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t xml:space="preserve">The information requested in this ICR is not duplicative of any information available elsewhere.  </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FE4AF3" w:rsidP="00690F56" w14:paraId="742694A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34A882C" w14:textId="0D5D3D1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t xml:space="preserve">This information collection contains only that information required for OWCP to make a self-insurer or security-deposit decision.  Generally, the respondents are large coal mine operators.  In any event, this collection does not impose additional burdens on small businesses or other small entities because coal mine operators routinely maintain the information requested in the normal course of business as part of their usual business practices or as part of self-insuring </w:t>
      </w:r>
      <w:r w:rsidR="005F36F6">
        <w:rPr>
          <w:rFonts w:ascii="Times New Roman" w:hAnsi="Times New Roman"/>
        </w:rPr>
        <w:t>their</w:t>
      </w:r>
      <w:r w:rsidRPr="00FE4AF3" w:rsidR="005F36F6">
        <w:rPr>
          <w:rFonts w:ascii="Times New Roman" w:hAnsi="Times New Roman"/>
        </w:rPr>
        <w:t xml:space="preserve"> </w:t>
      </w:r>
      <w:r w:rsidRPr="00FE4AF3">
        <w:rPr>
          <w:rFonts w:ascii="Times New Roman" w:hAnsi="Times New Roman"/>
        </w:rPr>
        <w:t xml:space="preserve">liabilities.  </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FE4AF3" w:rsidP="00690F56" w14:paraId="66DEFD1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743C7C3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t>Please refer to No</w:t>
      </w:r>
      <w:r w:rsidR="002A60A6">
        <w:rPr>
          <w:rFonts w:ascii="Times New Roman" w:hAnsi="Times New Roman"/>
        </w:rPr>
        <w:t>’</w:t>
      </w:r>
      <w:r w:rsidRPr="00FE4AF3">
        <w:rPr>
          <w:rFonts w:ascii="Times New Roman" w:hAnsi="Times New Roman"/>
        </w:rPr>
        <w:t xml:space="preserve">s. 1 and 2 (see pages 1 &amp; 2).  If this information were not collected, OWCP would be unable to determine whether a coal mine operator </w:t>
      </w:r>
      <w:r w:rsidR="001E1000">
        <w:rPr>
          <w:rFonts w:ascii="Times New Roman" w:hAnsi="Times New Roman"/>
        </w:rPr>
        <w:t>should</w:t>
      </w:r>
      <w:r w:rsidRPr="00FE4AF3">
        <w:rPr>
          <w:rFonts w:ascii="Times New Roman" w:hAnsi="Times New Roman"/>
        </w:rPr>
        <w:t xml:space="preserve"> qualify as a self-insurer or to determine the amount of security an operator must deposit to assure prompt payment of its BLBA obligations if the operator defaults or becomes insolvent. Because a coal mine operator’s BLBA obligations change from year-to-year (e.g., new claims are filed, previously filed claims are paid in full)</w:t>
      </w:r>
      <w:r w:rsidR="005F36F6">
        <w:rPr>
          <w:rFonts w:ascii="Times New Roman" w:hAnsi="Times New Roman"/>
        </w:rPr>
        <w:t>,</w:t>
      </w:r>
      <w:r w:rsidRPr="00FE4AF3">
        <w:rPr>
          <w:rFonts w:ascii="Times New Roman" w:hAnsi="Times New Roman"/>
        </w:rPr>
        <w:t xml:space="preserve"> annual evaluation of the required security deposit amount is necessary.</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report information to the agency more often than </w:t>
      </w:r>
      <w:r w:rsidRPr="697D91AD">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prepare a written response to a collection of information in fewer than 30 days after receipt of </w:t>
      </w:r>
      <w:r w:rsidRPr="697D91AD">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submit more than an original and two copies of any </w:t>
      </w:r>
      <w:r w:rsidRPr="697D91AD">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retain records, other than health, medical, government contract, grant-in-aid, or tax records for more than three </w:t>
      </w:r>
      <w:r w:rsidRPr="697D91AD">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in connection with a statistical survey, that is not designed to produce valid and reliable results that can be generalized to the universe of </w:t>
      </w:r>
      <w:r w:rsidRPr="697D91AD">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the use of statistical data classification that has not been reviewed and approved by </w:t>
      </w:r>
      <w:r w:rsidRPr="697D91AD">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5E103738">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w:t>
      </w:r>
      <w:r w:rsidRPr="697D91AD" w:rsidR="2BD1465E">
        <w:rPr>
          <w:b/>
          <w:bCs/>
        </w:rPr>
        <w:t xml:space="preserve"> confidentiality</w:t>
      </w:r>
      <w:r w:rsidRPr="697D91AD">
        <w:rPr>
          <w:b/>
          <w:bCs/>
        </w:rPr>
        <w:t xml:space="preserve"> to the extent permitted by law.</w:t>
      </w:r>
    </w:p>
    <w:p w:rsidR="00FE4AF3" w:rsidP="00642220" w14:paraId="1296111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7044985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FE4AF3">
        <w:t>There are no special circumstances for the collection of this information.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5D0D3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EF2430" w:rsidP="0060114B" w14:paraId="6478DDB8" w14:textId="78FC5195">
      <w:pPr>
        <w:widowControl/>
        <w:autoSpaceDE/>
        <w:autoSpaceDN/>
        <w:adjustRightInd/>
        <w:rPr>
          <w:rFonts w:ascii="Times New Roman" w:eastAsia="Calibri" w:hAnsi="Times New Roman"/>
        </w:rPr>
      </w:pPr>
    </w:p>
    <w:p w:rsidR="00BC67FB" w:rsidP="0077440E" w14:paraId="505F3636" w14:textId="46B7FE1C">
      <w:pPr>
        <w:widowControl/>
        <w:rPr>
          <w:rFonts w:ascii="Times New Roman" w:hAnsi="Times New Roman"/>
        </w:rPr>
      </w:pPr>
      <w:r w:rsidRPr="00A12590">
        <w:rPr>
          <w:rFonts w:ascii="Times New Roman" w:hAnsi="Times New Roman"/>
        </w:rPr>
        <w:t xml:space="preserve">On </w:t>
      </w:r>
      <w:r>
        <w:rPr>
          <w:rFonts w:ascii="Times New Roman" w:hAnsi="Times New Roman"/>
        </w:rPr>
        <w:t>January 19, 2023</w:t>
      </w:r>
      <w:r w:rsidRPr="00A12590">
        <w:rPr>
          <w:rFonts w:ascii="Times New Roman" w:hAnsi="Times New Roman"/>
        </w:rPr>
        <w:t xml:space="preserve">, the Department published a Notice of Proposed Rulemaking (NPRM): </w:t>
      </w:r>
      <w:r>
        <w:rPr>
          <w:rFonts w:ascii="Times New Roman" w:hAnsi="Times New Roman"/>
        </w:rPr>
        <w:t>Black Lung Benefits Act: Authorization of Self-Insurers</w:t>
      </w:r>
      <w:r w:rsidRPr="00ED6452">
        <w:rPr>
          <w:rFonts w:ascii="Times New Roman" w:hAnsi="Times New Roman"/>
        </w:rPr>
        <w:t>, RIN 12</w:t>
      </w:r>
      <w:r>
        <w:rPr>
          <w:rFonts w:ascii="Times New Roman" w:hAnsi="Times New Roman"/>
        </w:rPr>
        <w:t>40</w:t>
      </w:r>
      <w:r w:rsidRPr="00ED6452">
        <w:rPr>
          <w:rFonts w:ascii="Times New Roman" w:hAnsi="Times New Roman"/>
        </w:rPr>
        <w:t>-AA</w:t>
      </w:r>
      <w:r>
        <w:rPr>
          <w:rFonts w:ascii="Times New Roman" w:hAnsi="Times New Roman"/>
        </w:rPr>
        <w:t>16</w:t>
      </w:r>
      <w:r w:rsidRPr="00A12590">
        <w:rPr>
          <w:rFonts w:ascii="Times New Roman" w:hAnsi="Times New Roman"/>
        </w:rPr>
        <w:t xml:space="preserve">. The Department’s NPRM proposed to revise the </w:t>
      </w:r>
      <w:r>
        <w:rPr>
          <w:rFonts w:ascii="Times New Roman" w:hAnsi="Times New Roman"/>
        </w:rPr>
        <w:t>regulations governing authorization of self-insurers</w:t>
      </w:r>
      <w:r w:rsidRPr="00ED6452">
        <w:rPr>
          <w:rFonts w:ascii="Times New Roman" w:hAnsi="Times New Roman"/>
        </w:rPr>
        <w:t xml:space="preserve"> (88 FR </w:t>
      </w:r>
      <w:r>
        <w:rPr>
          <w:rFonts w:ascii="Times New Roman" w:hAnsi="Times New Roman"/>
        </w:rPr>
        <w:t>3349</w:t>
      </w:r>
      <w:r w:rsidRPr="00ED6452">
        <w:rPr>
          <w:rFonts w:ascii="Times New Roman" w:hAnsi="Times New Roman"/>
        </w:rPr>
        <w:t>)</w:t>
      </w:r>
      <w:r>
        <w:rPr>
          <w:rFonts w:ascii="Times New Roman" w:hAnsi="Times New Roman"/>
        </w:rPr>
        <w:t xml:space="preserve"> and the 60-day comment period ended on April 19, 2023, after an extension of the original March 20, 2023, deadline. Burden</w:t>
      </w:r>
      <w:r w:rsidR="00DF7A18">
        <w:rPr>
          <w:rFonts w:ascii="Times New Roman" w:hAnsi="Times New Roman"/>
        </w:rPr>
        <w:t>s</w:t>
      </w:r>
      <w:r>
        <w:rPr>
          <w:rFonts w:ascii="Times New Roman" w:hAnsi="Times New Roman"/>
        </w:rPr>
        <w:t xml:space="preserve"> associated with this rulemaking impact this collection.</w:t>
      </w:r>
    </w:p>
    <w:p w:rsidR="00884472" w:rsidP="0077440E" w14:paraId="0F9D900E" w14:textId="77777777">
      <w:pPr>
        <w:widowControl/>
        <w:rPr>
          <w:rFonts w:ascii="Times New Roman" w:hAnsi="Times New Roman"/>
        </w:rPr>
      </w:pPr>
    </w:p>
    <w:p w:rsidR="001452B6" w:rsidRPr="001452B6" w:rsidP="001452B6" w14:paraId="0EC72A37" w14:textId="1167B163">
      <w:pPr>
        <w:widowControl/>
        <w:rPr>
          <w:rFonts w:ascii="Times New Roman" w:hAnsi="Times New Roman"/>
        </w:rPr>
      </w:pPr>
      <w:r w:rsidRPr="005271DD">
        <w:rPr>
          <w:rFonts w:ascii="Times New Roman" w:hAnsi="Times New Roman"/>
          <w:color w:val="000000" w:themeColor="text1"/>
        </w:rPr>
        <w:t xml:space="preserve">This final rule removes the collection associated with form CM-2017a and does not change </w:t>
      </w:r>
      <w:r w:rsidRPr="005271DD">
        <w:rPr>
          <w:rFonts w:ascii="Times New Roman" w:hAnsi="Times New Roman"/>
        </w:rPr>
        <w:t>the information collected on forms CM-2017 and 2017</w:t>
      </w:r>
      <w:r w:rsidRPr="001452B6" w:rsidR="00471DB9">
        <w:rPr>
          <w:rFonts w:ascii="Times New Roman" w:hAnsi="Times New Roman"/>
        </w:rPr>
        <w:t>b, nor change the requirement that they be completed</w:t>
      </w:r>
      <w:r w:rsidRPr="005271DD">
        <w:rPr>
          <w:rFonts w:ascii="Times New Roman" w:hAnsi="Times New Roman"/>
        </w:rPr>
        <w:t>.</w:t>
      </w:r>
      <w:r>
        <w:rPr>
          <w:rStyle w:val="FootnoteReference"/>
          <w:rFonts w:ascii="Times New Roman" w:hAnsi="Times New Roman"/>
        </w:rPr>
        <w:footnoteReference w:id="2"/>
      </w:r>
      <w:r w:rsidR="007C2AEC">
        <w:rPr>
          <w:rStyle w:val="FootnoteReference"/>
          <w:rFonts w:ascii="Times New Roman" w:hAnsi="Times New Roman"/>
        </w:rPr>
        <w:t xml:space="preserve"> </w:t>
      </w:r>
      <w:r w:rsidRPr="001452B6" w:rsidR="004F4EE0">
        <w:rPr>
          <w:rFonts w:ascii="Times New Roman" w:hAnsi="Times New Roman"/>
        </w:rPr>
        <w:t xml:space="preserve">Thus </w:t>
      </w:r>
      <w:r w:rsidRPr="001452B6" w:rsidR="002D2A0A">
        <w:rPr>
          <w:rFonts w:ascii="Times New Roman" w:hAnsi="Times New Roman"/>
        </w:rPr>
        <w:t xml:space="preserve">the </w:t>
      </w:r>
      <w:r w:rsidRPr="001452B6" w:rsidR="00EF5C92">
        <w:rPr>
          <w:rFonts w:ascii="Times New Roman" w:hAnsi="Times New Roman"/>
        </w:rPr>
        <w:t>Department</w:t>
      </w:r>
      <w:r w:rsidRPr="001452B6" w:rsidR="00ED0E21">
        <w:rPr>
          <w:rFonts w:ascii="Times New Roman" w:hAnsi="Times New Roman"/>
        </w:rPr>
        <w:t>’s NPRM estimated</w:t>
      </w:r>
      <w:r w:rsidRPr="001452B6" w:rsidR="00296E1D">
        <w:rPr>
          <w:rFonts w:ascii="Times New Roman" w:hAnsi="Times New Roman"/>
        </w:rPr>
        <w:t xml:space="preserve"> that </w:t>
      </w:r>
      <w:r w:rsidRPr="001452B6" w:rsidR="00BC1C4C">
        <w:rPr>
          <w:rFonts w:ascii="Times New Roman" w:hAnsi="Times New Roman"/>
        </w:rPr>
        <w:t xml:space="preserve">overall burden for this ICR would be reduced by the </w:t>
      </w:r>
      <w:r w:rsidRPr="001452B6" w:rsidR="000A3464">
        <w:rPr>
          <w:rFonts w:ascii="Times New Roman" w:hAnsi="Times New Roman"/>
        </w:rPr>
        <w:t xml:space="preserve">amount of </w:t>
      </w:r>
      <w:r w:rsidRPr="001452B6" w:rsidR="00BC1C4C">
        <w:rPr>
          <w:rFonts w:ascii="Times New Roman" w:hAnsi="Times New Roman"/>
        </w:rPr>
        <w:t xml:space="preserve">burden </w:t>
      </w:r>
      <w:r w:rsidRPr="001452B6" w:rsidR="004D51F3">
        <w:rPr>
          <w:rFonts w:ascii="Times New Roman" w:hAnsi="Times New Roman"/>
        </w:rPr>
        <w:t>related to</w:t>
      </w:r>
      <w:r w:rsidRPr="001452B6" w:rsidR="00BC1C4C">
        <w:rPr>
          <w:rFonts w:ascii="Times New Roman" w:hAnsi="Times New Roman"/>
        </w:rPr>
        <w:t xml:space="preserve"> CM-2017a and that the rulemaking did not impact the burden associated with forms CM-2017 and 2017</w:t>
      </w:r>
      <w:r w:rsidRPr="001452B6" w:rsidR="00654DC4">
        <w:rPr>
          <w:rFonts w:ascii="Times New Roman" w:hAnsi="Times New Roman"/>
        </w:rPr>
        <w:t>b</w:t>
      </w:r>
      <w:r w:rsidRPr="001452B6" w:rsidR="00BC1C4C">
        <w:rPr>
          <w:rFonts w:ascii="Times New Roman" w:hAnsi="Times New Roman"/>
        </w:rPr>
        <w:t>.</w:t>
      </w:r>
      <w:r w:rsidRPr="001452B6" w:rsidR="00654DC4">
        <w:rPr>
          <w:rFonts w:ascii="Times New Roman" w:hAnsi="Times New Roman"/>
        </w:rPr>
        <w:t xml:space="preserve"> The Department received </w:t>
      </w:r>
      <w:r w:rsidRPr="00E260E2" w:rsidR="00654DC4">
        <w:rPr>
          <w:rFonts w:ascii="Times New Roman" w:hAnsi="Times New Roman"/>
        </w:rPr>
        <w:t>one</w:t>
      </w:r>
      <w:r w:rsidRPr="001452B6" w:rsidR="00654DC4">
        <w:rPr>
          <w:rFonts w:ascii="Times New Roman" w:hAnsi="Times New Roman"/>
        </w:rPr>
        <w:t xml:space="preserve"> comment related to </w:t>
      </w:r>
      <w:r w:rsidRPr="001452B6" w:rsidR="004D51F3">
        <w:rPr>
          <w:rFonts w:ascii="Times New Roman" w:hAnsi="Times New Roman"/>
        </w:rPr>
        <w:t>this burden estimate.</w:t>
      </w:r>
      <w:r w:rsidRPr="001452B6" w:rsidR="00655BF3">
        <w:rPr>
          <w:rFonts w:ascii="Times New Roman" w:hAnsi="Times New Roman"/>
        </w:rPr>
        <w:t xml:space="preserve"> </w:t>
      </w:r>
      <w:r w:rsidRPr="001452B6" w:rsidR="0077440E">
        <w:rPr>
          <w:rFonts w:ascii="Times New Roman" w:hAnsi="Times New Roman"/>
        </w:rPr>
        <w:t xml:space="preserve"> </w:t>
      </w:r>
    </w:p>
    <w:p w:rsidR="00A00A32" w:rsidP="001452B6" w14:paraId="464B2506" w14:textId="77777777">
      <w:pPr>
        <w:rPr>
          <w:rFonts w:ascii="Times New Roman" w:hAnsi="Times New Roman"/>
        </w:rPr>
      </w:pPr>
    </w:p>
    <w:p w:rsidR="001452B6" w:rsidRPr="005271DD" w:rsidP="005271DD" w14:paraId="48B3CC65" w14:textId="6E72FC51">
      <w:pPr>
        <w:rPr>
          <w:rStyle w:val="eop"/>
          <w:rFonts w:ascii="Times New Roman" w:hAnsi="Times New Roman"/>
          <w:color w:val="000000"/>
          <w:shd w:val="clear" w:color="auto" w:fill="FFFFFF"/>
        </w:rPr>
      </w:pPr>
      <w:r>
        <w:rPr>
          <w:rFonts w:ascii="Times New Roman" w:hAnsi="Times New Roman"/>
        </w:rPr>
        <w:t xml:space="preserve">The </w:t>
      </w:r>
      <w:r w:rsidRPr="005271DD">
        <w:rPr>
          <w:rStyle w:val="normaltextrun"/>
          <w:rFonts w:ascii="Times New Roman" w:hAnsi="Times New Roman"/>
          <w:color w:val="000000"/>
          <w:shd w:val="clear" w:color="auto" w:fill="FFFFFF"/>
        </w:rPr>
        <w:t xml:space="preserve">commenter argued that an operator’s information collection burden would increase under the new regulation’s requirement to submit actuarial reports with OWCP-mandated actuarial assumptions. The Department disagrees with this contention. OWCP has required applicants to submit actuarial reports with OWCP-mandated actuarial assumptions for years. Further, OWCP already considered, and OMB already approved, the information collection burden of producing these actuarial reports. </w:t>
      </w:r>
      <w:r w:rsidR="00830555">
        <w:rPr>
          <w:rStyle w:val="normaltextrun"/>
          <w:rFonts w:ascii="Times New Roman" w:hAnsi="Times New Roman"/>
          <w:color w:val="000000"/>
          <w:shd w:val="clear" w:color="auto" w:fill="FFFFFF"/>
        </w:rPr>
        <w:t>With the last renewal package for 1240-0057,</w:t>
      </w:r>
      <w:r w:rsidRPr="005271DD">
        <w:rPr>
          <w:rStyle w:val="normaltextrun"/>
          <w:rFonts w:ascii="Times New Roman" w:hAnsi="Times New Roman"/>
          <w:color w:val="000000"/>
          <w:shd w:val="clear" w:color="auto" w:fill="FFFFFF"/>
        </w:rPr>
        <w:t xml:space="preserve"> OWCP submitted to OMB a Supporting Statement</w:t>
      </w:r>
      <w:r w:rsidR="00DA3DAE">
        <w:rPr>
          <w:rStyle w:val="normaltextrun"/>
          <w:rFonts w:ascii="Times New Roman" w:hAnsi="Times New Roman"/>
          <w:color w:val="000000"/>
          <w:shd w:val="clear" w:color="auto" w:fill="FFFFFF"/>
        </w:rPr>
        <w:t xml:space="preserve">, </w:t>
      </w:r>
      <w:r w:rsidRPr="005271DD">
        <w:rPr>
          <w:rStyle w:val="normaltextrun"/>
          <w:rFonts w:ascii="Times New Roman" w:hAnsi="Times New Roman"/>
          <w:color w:val="000000"/>
          <w:shd w:val="clear" w:color="auto" w:fill="FFFFFF"/>
        </w:rPr>
        <w:t>explain</w:t>
      </w:r>
      <w:r w:rsidR="00DA3DAE">
        <w:rPr>
          <w:rStyle w:val="normaltextrun"/>
          <w:rFonts w:ascii="Times New Roman" w:hAnsi="Times New Roman"/>
          <w:color w:val="000000"/>
          <w:shd w:val="clear" w:color="auto" w:fill="FFFFFF"/>
        </w:rPr>
        <w:t>ing</w:t>
      </w:r>
      <w:r w:rsidRPr="005271DD">
        <w:rPr>
          <w:rStyle w:val="normaltextrun"/>
          <w:rFonts w:ascii="Times New Roman" w:hAnsi="Times New Roman"/>
          <w:color w:val="000000"/>
          <w:shd w:val="clear" w:color="auto" w:fill="FFFFFF"/>
        </w:rPr>
        <w:t xml:space="preserve"> that applicants would need to submit actuarial reports </w:t>
      </w:r>
      <w:r w:rsidR="007C2AEC">
        <w:rPr>
          <w:rStyle w:val="normaltextrun"/>
          <w:rFonts w:ascii="Times New Roman" w:hAnsi="Times New Roman"/>
          <w:color w:val="000000"/>
          <w:shd w:val="clear" w:color="auto" w:fill="FFFFFF"/>
        </w:rPr>
        <w:t xml:space="preserve">along with the self-insurance applications forms </w:t>
      </w:r>
      <w:r w:rsidRPr="005271DD">
        <w:rPr>
          <w:rStyle w:val="normaltextrun"/>
          <w:rFonts w:ascii="Times New Roman" w:hAnsi="Times New Roman"/>
          <w:color w:val="000000"/>
          <w:shd w:val="clear" w:color="auto" w:fill="FFFFFF"/>
        </w:rPr>
        <w:t>and estimat</w:t>
      </w:r>
      <w:r w:rsidR="00DA3DAE">
        <w:rPr>
          <w:rStyle w:val="normaltextrun"/>
          <w:rFonts w:ascii="Times New Roman" w:hAnsi="Times New Roman"/>
          <w:color w:val="000000"/>
          <w:shd w:val="clear" w:color="auto" w:fill="FFFFFF"/>
        </w:rPr>
        <w:t>ing</w:t>
      </w:r>
      <w:r w:rsidRPr="005271DD">
        <w:rPr>
          <w:rStyle w:val="normaltextrun"/>
          <w:rFonts w:ascii="Times New Roman" w:hAnsi="Times New Roman"/>
          <w:color w:val="000000"/>
          <w:shd w:val="clear" w:color="auto" w:fill="FFFFFF"/>
        </w:rPr>
        <w:t xml:space="preserve"> that twenty operators would have to submit actuarial reports they did not otherwise prepare </w:t>
      </w:r>
      <w:r w:rsidRPr="005271DD">
        <w:rPr>
          <w:rStyle w:val="normaltextrun"/>
          <w:rFonts w:ascii="Times New Roman" w:hAnsi="Times New Roman"/>
          <w:color w:val="000000"/>
          <w:shd w:val="clear" w:color="auto" w:fill="FFFFFF"/>
        </w:rPr>
        <w:t>in the course of</w:t>
      </w:r>
      <w:r w:rsidRPr="005271DD">
        <w:rPr>
          <w:rStyle w:val="normaltextrun"/>
          <w:rFonts w:ascii="Times New Roman" w:hAnsi="Times New Roman"/>
          <w:color w:val="000000"/>
          <w:shd w:val="clear" w:color="auto" w:fill="FFFFFF"/>
        </w:rPr>
        <w:t xml:space="preserve"> business. OMB also reviewed the instructions for the main application form, CM-2017, which provide that applicants’ actuarial reports “must comply with the standards specified by OWCP, which are </w:t>
      </w:r>
      <w:r w:rsidRPr="005271DD">
        <w:rPr>
          <w:rStyle w:val="normaltextrun"/>
          <w:rFonts w:ascii="Times New Roman" w:hAnsi="Times New Roman"/>
          <w:color w:val="000000"/>
          <w:shd w:val="clear" w:color="auto" w:fill="FFFFFF"/>
        </w:rPr>
        <w:t xml:space="preserve">posted on the black lung program’s website: </w:t>
      </w:r>
      <w:r w:rsidRPr="005271DD">
        <w:rPr>
          <w:rStyle w:val="normaltextrun"/>
          <w:rFonts w:ascii="Times New Roman" w:hAnsi="Times New Roman"/>
          <w:color w:val="0000FF"/>
          <w:u w:val="single"/>
          <w:shd w:val="clear" w:color="auto" w:fill="E1E3E6"/>
        </w:rPr>
        <w:t>https://www.dol.gov/agencies/owcp/dcmwc/operators-insurers</w:t>
      </w:r>
      <w:r w:rsidRPr="005271DD">
        <w:rPr>
          <w:rStyle w:val="normaltextrun"/>
          <w:rFonts w:ascii="Times New Roman" w:hAnsi="Times New Roman"/>
          <w:color w:val="000000"/>
          <w:shd w:val="clear" w:color="auto" w:fill="FFFFFF"/>
        </w:rPr>
        <w:t xml:space="preserve">.” The website, in turn, provides OWCP’s current actuarial assumptions. </w:t>
      </w:r>
      <w:bookmarkStart w:id="1" w:name="_Hlk163746417"/>
      <w:r w:rsidRPr="005271DD">
        <w:rPr>
          <w:rStyle w:val="normaltextrun"/>
          <w:rFonts w:ascii="Times New Roman" w:hAnsi="Times New Roman"/>
          <w:color w:val="000000"/>
          <w:shd w:val="clear" w:color="auto" w:fill="FFFFFF"/>
        </w:rPr>
        <w:t>Because applicants’ burden associated with forms CM-2017 and CM-2017b remain</w:t>
      </w:r>
      <w:r w:rsidR="00EC0FAF">
        <w:rPr>
          <w:rStyle w:val="normaltextrun"/>
          <w:rFonts w:ascii="Times New Roman" w:hAnsi="Times New Roman"/>
          <w:color w:val="000000"/>
          <w:shd w:val="clear" w:color="auto" w:fill="FFFFFF"/>
        </w:rPr>
        <w:t>s</w:t>
      </w:r>
      <w:r w:rsidRPr="005271DD">
        <w:rPr>
          <w:rStyle w:val="normaltextrun"/>
          <w:rFonts w:ascii="Times New Roman" w:hAnsi="Times New Roman"/>
          <w:color w:val="000000"/>
          <w:shd w:val="clear" w:color="auto" w:fill="FFFFFF"/>
        </w:rPr>
        <w:t xml:space="preserve"> unchanged under this regulation, </w:t>
      </w:r>
      <w:r w:rsidR="009C05C8">
        <w:rPr>
          <w:rStyle w:val="normaltextrun"/>
          <w:rFonts w:ascii="Times New Roman" w:hAnsi="Times New Roman"/>
          <w:color w:val="000000"/>
          <w:shd w:val="clear" w:color="auto" w:fill="FFFFFF"/>
        </w:rPr>
        <w:t>OWCP will move forward with its burden estimates</w:t>
      </w:r>
      <w:r w:rsidRPr="005271DD">
        <w:rPr>
          <w:rStyle w:val="normaltextrun"/>
          <w:rFonts w:ascii="Times New Roman" w:hAnsi="Times New Roman"/>
          <w:color w:val="000000"/>
          <w:shd w:val="clear" w:color="auto" w:fill="FFFFFF"/>
        </w:rPr>
        <w:t xml:space="preserve">. </w:t>
      </w:r>
      <w:bookmarkEnd w:id="1"/>
      <w:r w:rsidRPr="005271DD">
        <w:rPr>
          <w:rStyle w:val="eop"/>
          <w:rFonts w:ascii="Times New Roman" w:hAnsi="Times New Roman"/>
          <w:color w:val="000000"/>
          <w:shd w:val="clear" w:color="auto" w:fill="FFFFFF"/>
        </w:rPr>
        <w:t> </w:t>
      </w:r>
    </w:p>
    <w:p w:rsidR="0077440E" w:rsidRPr="001452B6" w:rsidP="001452B6" w14:paraId="7C0AD78C" w14:textId="47228E08">
      <w:pPr>
        <w:widowControl/>
        <w:rPr>
          <w:rFonts w:ascii="Times New Roman" w:hAnsi="Times New Roman"/>
        </w:rPr>
      </w:pPr>
      <w:r w:rsidRPr="001452B6">
        <w:rPr>
          <w:rFonts w:ascii="Times New Roman" w:hAnsi="Times New Roman"/>
        </w:rPr>
        <w:t xml:space="preserve"> </w:t>
      </w:r>
    </w:p>
    <w:p w:rsidR="00EA4299" w:rsidRPr="00A47DA7" w:rsidP="0060114B" w14:paraId="1D820EEA"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F5776F" w:rsidP="00690F56" w14:paraId="4F689E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0F56" w:rsidRPr="00F5776F" w:rsidP="00690F56" w14:paraId="3EC59954" w14:textId="36FE2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5776F">
        <w:rPr>
          <w:rFonts w:ascii="Times New Roman" w:hAnsi="Times New Roman"/>
          <w:bCs/>
        </w:rPr>
        <w:t>No payments or gifts are made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F5776F" w:rsidP="00690F56" w14:paraId="50459D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0F56" w:rsidRPr="00F5776F" w:rsidP="00690F56" w14:paraId="41D6A133" w14:textId="073B2C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5776F">
        <w:rPr>
          <w:rFonts w:ascii="Times New Roman" w:hAnsi="Times New Roman"/>
          <w:bCs/>
        </w:rPr>
        <w:t>The information collected from respondents is exempt from public disclosure to the extent provided in 5 U.S.C. § 552(b) and the Department of Labor’s implementing regulations.  20 CFR 726.113.  OWCP may share the information with contractors it employs to manage data or analyze the information collected for purposes of determining whether a coal mine operator should be authorized to self-insure or the amount of the required security deposit.</w:t>
      </w:r>
      <w:r w:rsidRPr="00244E02" w:rsidR="00244E02">
        <w:t xml:space="preserve"> </w:t>
      </w:r>
      <w:r w:rsidR="00244E02">
        <w:rPr>
          <w:rFonts w:ascii="Times New Roman" w:hAnsi="Times New Roman"/>
          <w:bCs/>
        </w:rPr>
        <w:t>T</w:t>
      </w:r>
      <w:r w:rsidRPr="00244E02" w:rsidR="00244E02">
        <w:rPr>
          <w:rFonts w:ascii="Times New Roman" w:hAnsi="Times New Roman"/>
          <w:bCs/>
        </w:rPr>
        <w:t>he information collected is covered by the Privacy Act System of Records, DOL/OWCP-2, published at 81 Federal Register 25765, 25858 (April 29, 2016), or as updated and republished.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F5776F" w:rsidP="00690F56" w14:paraId="3A5DC6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0F56" w:rsidRPr="00F5776F" w:rsidP="00690F56" w14:paraId="02AFA701" w14:textId="1F0268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5776F">
        <w:rPr>
          <w:rFonts w:ascii="Times New Roman" w:hAnsi="Times New Roman"/>
          <w:bCs/>
        </w:rPr>
        <w:t>There are no questions of a sensitive nature in this information collection.</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2763BB78">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5271DD" w14:paraId="3CD4954E" w14:textId="77777777">
      <w:pPr>
        <w:jc w:val="center"/>
        <w:rPr>
          <w:rFonts w:ascii="Times New Roman" w:hAnsi="Times New Roman"/>
          <w:i/>
        </w:rPr>
      </w:pPr>
      <w:r w:rsidRPr="00E60FB0">
        <w:rPr>
          <w:rFonts w:ascii="Times New Roman" w:hAnsi="Times New Roman"/>
          <w:b/>
        </w:rPr>
        <w:t>Estimated Annualized Respondent Cost and Hour Burden</w:t>
      </w:r>
    </w:p>
    <w:p w:rsidR="00F5776F" w:rsidRPr="00F5776F" w:rsidP="00F5776F" w14:paraId="128953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Style w:val="TableGrid"/>
        <w:tblW w:w="9990" w:type="dxa"/>
        <w:tblInd w:w="-185" w:type="dxa"/>
        <w:tblLayout w:type="fixed"/>
        <w:tblLook w:val="04A0"/>
      </w:tblPr>
      <w:tblGrid>
        <w:gridCol w:w="1620"/>
        <w:gridCol w:w="1530"/>
        <w:gridCol w:w="1260"/>
        <w:gridCol w:w="1170"/>
        <w:gridCol w:w="1170"/>
        <w:gridCol w:w="990"/>
        <w:gridCol w:w="990"/>
        <w:gridCol w:w="1260"/>
      </w:tblGrid>
      <w:tr w14:paraId="0CAE8932" w14:textId="77777777" w:rsidTr="005271DD">
        <w:tblPrEx>
          <w:tblW w:w="9990" w:type="dxa"/>
          <w:tblInd w:w="-185" w:type="dxa"/>
          <w:tblLayout w:type="fixed"/>
          <w:tblLook w:val="04A0"/>
        </w:tblPrEx>
        <w:trPr>
          <w:trHeight w:val="1093"/>
        </w:trPr>
        <w:tc>
          <w:tcPr>
            <w:tcW w:w="1620" w:type="dxa"/>
          </w:tcPr>
          <w:p w:rsidR="00A31041" w:rsidRPr="005271DD" w:rsidP="00A31041" w14:paraId="7382A566" w14:textId="609D20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p>
          <w:p w:rsidR="00532029" w:rsidRPr="005271DD" w:rsidP="00A31041" w14:paraId="1DE594A0" w14:textId="46CB88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Collection</w:t>
            </w:r>
          </w:p>
        </w:tc>
        <w:tc>
          <w:tcPr>
            <w:tcW w:w="1530" w:type="dxa"/>
          </w:tcPr>
          <w:p w:rsidR="00A31041" w:rsidRPr="005271DD" w:rsidP="00A31041" w14:paraId="0B838263" w14:textId="5C131F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Number of Respondents</w:t>
            </w:r>
            <w:r w:rsidRPr="005271DD" w:rsidR="00532029">
              <w:rPr>
                <w:rFonts w:ascii="Times New Roman" w:hAnsi="Times New Roman"/>
                <w:bCs/>
                <w:sz w:val="22"/>
                <w:szCs w:val="22"/>
              </w:rPr>
              <w:t>*</w:t>
            </w:r>
            <w:r w:rsidRPr="005271DD">
              <w:rPr>
                <w:rFonts w:ascii="Times New Roman" w:hAnsi="Times New Roman"/>
                <w:bCs/>
                <w:sz w:val="22"/>
                <w:szCs w:val="22"/>
              </w:rPr>
              <w:t xml:space="preserve"> </w:t>
            </w:r>
          </w:p>
        </w:tc>
        <w:tc>
          <w:tcPr>
            <w:tcW w:w="1260" w:type="dxa"/>
          </w:tcPr>
          <w:p w:rsidR="00A31041" w:rsidRPr="005271DD" w:rsidP="00A31041" w14:paraId="4F2DD5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Number of Responses per Respondent</w:t>
            </w:r>
          </w:p>
        </w:tc>
        <w:tc>
          <w:tcPr>
            <w:tcW w:w="1170" w:type="dxa"/>
          </w:tcPr>
          <w:p w:rsidR="00A31041" w:rsidRPr="005271DD" w:rsidP="00A31041" w14:paraId="2C6A184C" w14:textId="23B512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 xml:space="preserve">Number of Responses </w:t>
            </w:r>
          </w:p>
        </w:tc>
        <w:tc>
          <w:tcPr>
            <w:tcW w:w="1170" w:type="dxa"/>
          </w:tcPr>
          <w:p w:rsidR="00A31041" w:rsidRPr="005271DD" w:rsidP="00A31041" w14:paraId="7D32F1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 xml:space="preserve">Avg. Burden per Response </w:t>
            </w:r>
          </w:p>
          <w:p w:rsidR="00A31041" w:rsidRPr="005271DD" w:rsidP="00A31041" w14:paraId="265576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 xml:space="preserve">(In Hrs.) </w:t>
            </w:r>
          </w:p>
        </w:tc>
        <w:tc>
          <w:tcPr>
            <w:tcW w:w="990" w:type="dxa"/>
          </w:tcPr>
          <w:p w:rsidR="00A31041" w:rsidRPr="005271DD" w:rsidP="00A31041" w14:paraId="379FC3B2" w14:textId="22A605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 xml:space="preserve">Burden Hours </w:t>
            </w:r>
          </w:p>
        </w:tc>
        <w:tc>
          <w:tcPr>
            <w:tcW w:w="990" w:type="dxa"/>
          </w:tcPr>
          <w:p w:rsidR="00A31041" w:rsidRPr="005271DD" w:rsidP="00A31041" w14:paraId="072342C2" w14:textId="5F005F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Hourly Wage Rate*</w:t>
            </w:r>
            <w:r w:rsidRPr="005271DD" w:rsidR="00F472D0">
              <w:rPr>
                <w:rFonts w:ascii="Times New Roman" w:hAnsi="Times New Roman"/>
                <w:bCs/>
                <w:sz w:val="22"/>
                <w:szCs w:val="22"/>
              </w:rPr>
              <w:t>*</w:t>
            </w:r>
            <w:r w:rsidRPr="005271DD">
              <w:rPr>
                <w:rFonts w:ascii="Times New Roman" w:hAnsi="Times New Roman"/>
                <w:bCs/>
                <w:sz w:val="22"/>
                <w:szCs w:val="22"/>
              </w:rPr>
              <w:t xml:space="preserve"> </w:t>
            </w:r>
          </w:p>
        </w:tc>
        <w:tc>
          <w:tcPr>
            <w:tcW w:w="1260" w:type="dxa"/>
          </w:tcPr>
          <w:p w:rsidR="00A31041" w:rsidRPr="005271DD" w:rsidP="00A31041" w14:paraId="6EC4BDB4" w14:textId="658465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 xml:space="preserve">Monetized Value of Time </w:t>
            </w:r>
          </w:p>
        </w:tc>
      </w:tr>
      <w:tr w14:paraId="18F02641" w14:textId="77777777" w:rsidTr="005271DD">
        <w:tblPrEx>
          <w:tblW w:w="9990" w:type="dxa"/>
          <w:tblInd w:w="-185" w:type="dxa"/>
          <w:tblLayout w:type="fixed"/>
          <w:tblLook w:val="04A0"/>
        </w:tblPrEx>
        <w:trPr>
          <w:trHeight w:val="819"/>
        </w:trPr>
        <w:tc>
          <w:tcPr>
            <w:tcW w:w="1620" w:type="dxa"/>
          </w:tcPr>
          <w:p w:rsidR="00A31041" w:rsidRPr="005271DD" w:rsidP="00A31041" w14:paraId="1ED1FE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CM-2017</w:t>
            </w:r>
          </w:p>
          <w:p w:rsidR="00CE61DD" w:rsidRPr="005271DD" w:rsidP="00A31041" w14:paraId="39F559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Application/</w:t>
            </w:r>
          </w:p>
          <w:p w:rsidR="00A31041" w:rsidRPr="005271DD" w:rsidP="00A31041" w14:paraId="79263548" w14:textId="1DED76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Renewal</w:t>
            </w:r>
          </w:p>
        </w:tc>
        <w:tc>
          <w:tcPr>
            <w:tcW w:w="1530" w:type="dxa"/>
          </w:tcPr>
          <w:p w:rsidR="00A31041" w:rsidRPr="00A31041" w:rsidP="00A31041" w14:paraId="49D6F3D5" w14:textId="223ACF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61</w:t>
            </w:r>
          </w:p>
        </w:tc>
        <w:tc>
          <w:tcPr>
            <w:tcW w:w="1260" w:type="dxa"/>
          </w:tcPr>
          <w:p w:rsidR="00A31041" w:rsidRPr="00A31041" w:rsidP="00A31041" w14:paraId="565502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1</w:t>
            </w:r>
          </w:p>
        </w:tc>
        <w:tc>
          <w:tcPr>
            <w:tcW w:w="1170" w:type="dxa"/>
          </w:tcPr>
          <w:p w:rsidR="00A31041" w:rsidRPr="00A31041" w:rsidP="00A31041" w14:paraId="16586250" w14:textId="27D6D1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61</w:t>
            </w:r>
          </w:p>
        </w:tc>
        <w:tc>
          <w:tcPr>
            <w:tcW w:w="1170" w:type="dxa"/>
          </w:tcPr>
          <w:p w:rsidR="00A31041" w:rsidRPr="00A31041" w:rsidP="00A31041" w14:paraId="57C05E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2</w:t>
            </w:r>
          </w:p>
        </w:tc>
        <w:tc>
          <w:tcPr>
            <w:tcW w:w="990" w:type="dxa"/>
          </w:tcPr>
          <w:p w:rsidR="00A31041" w:rsidRPr="00A31041" w:rsidP="00A31041" w14:paraId="09FABF26" w14:textId="1C85F1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122</w:t>
            </w:r>
          </w:p>
        </w:tc>
        <w:tc>
          <w:tcPr>
            <w:tcW w:w="990" w:type="dxa"/>
          </w:tcPr>
          <w:p w:rsidR="00D35E96" w:rsidP="00A31041" w14:paraId="6F09E11C" w14:textId="0ED19B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Pr>
                <w:rFonts w:ascii="Times New Roman" w:hAnsi="Times New Roman"/>
                <w:bCs/>
              </w:rPr>
              <w:t>40.</w:t>
            </w:r>
            <w:r w:rsidR="00217B7D">
              <w:rPr>
                <w:rFonts w:ascii="Times New Roman" w:hAnsi="Times New Roman"/>
                <w:bCs/>
              </w:rPr>
              <w:t>37</w:t>
            </w:r>
          </w:p>
          <w:p w:rsidR="00A31041" w:rsidRPr="00A31041" w:rsidP="00A31041" w14:paraId="7383CFEC" w14:textId="253673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260" w:type="dxa"/>
          </w:tcPr>
          <w:p w:rsidR="00A31041" w:rsidRPr="00EF3FC4" w:rsidP="00A31041" w14:paraId="22CC76A4" w14:textId="17DD82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EF3FC4">
              <w:rPr>
                <w:rFonts w:ascii="Times New Roman" w:hAnsi="Times New Roman"/>
                <w:bCs/>
                <w:sz w:val="22"/>
                <w:szCs w:val="22"/>
              </w:rPr>
              <w:t>$</w:t>
            </w:r>
            <w:r w:rsidRPr="00EF3FC4" w:rsidR="001C419B">
              <w:rPr>
                <w:rFonts w:ascii="Times New Roman" w:hAnsi="Times New Roman"/>
                <w:bCs/>
                <w:sz w:val="22"/>
                <w:szCs w:val="22"/>
              </w:rPr>
              <w:t>4,</w:t>
            </w:r>
            <w:r w:rsidR="00217B7D">
              <w:rPr>
                <w:rFonts w:ascii="Times New Roman" w:hAnsi="Times New Roman"/>
                <w:bCs/>
                <w:sz w:val="22"/>
                <w:szCs w:val="22"/>
              </w:rPr>
              <w:t>925.14</w:t>
            </w:r>
          </w:p>
        </w:tc>
      </w:tr>
      <w:tr w14:paraId="7298A1E9" w14:textId="77777777" w:rsidTr="005271DD">
        <w:tblPrEx>
          <w:tblW w:w="9990" w:type="dxa"/>
          <w:tblInd w:w="-185" w:type="dxa"/>
          <w:tblLayout w:type="fixed"/>
          <w:tblLook w:val="04A0"/>
        </w:tblPrEx>
        <w:trPr>
          <w:trHeight w:val="1081"/>
        </w:trPr>
        <w:tc>
          <w:tcPr>
            <w:tcW w:w="1620" w:type="dxa"/>
          </w:tcPr>
          <w:p w:rsidR="00A31041" w:rsidRPr="005271DD" w:rsidP="00A31041" w14:paraId="0F475D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CM-2017b</w:t>
            </w:r>
          </w:p>
          <w:p w:rsidR="00A31041" w:rsidRPr="005271DD" w:rsidP="00A31041" w14:paraId="3FCD8A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5271DD">
              <w:rPr>
                <w:rFonts w:ascii="Times New Roman" w:hAnsi="Times New Roman"/>
                <w:bCs/>
                <w:sz w:val="22"/>
                <w:szCs w:val="22"/>
              </w:rPr>
              <w:t>Report of Claims Information</w:t>
            </w:r>
          </w:p>
        </w:tc>
        <w:tc>
          <w:tcPr>
            <w:tcW w:w="1530" w:type="dxa"/>
          </w:tcPr>
          <w:p w:rsidR="00A31041" w:rsidRPr="00A31041" w:rsidP="00A31041" w14:paraId="4B53521C" w14:textId="106D19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61</w:t>
            </w:r>
          </w:p>
        </w:tc>
        <w:tc>
          <w:tcPr>
            <w:tcW w:w="1260" w:type="dxa"/>
          </w:tcPr>
          <w:p w:rsidR="00A31041" w:rsidRPr="00A31041" w:rsidP="00A31041" w14:paraId="5681E2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1</w:t>
            </w:r>
          </w:p>
        </w:tc>
        <w:tc>
          <w:tcPr>
            <w:tcW w:w="1170" w:type="dxa"/>
          </w:tcPr>
          <w:p w:rsidR="00A31041" w:rsidRPr="00A31041" w:rsidP="00A31041" w14:paraId="4FD64D6C" w14:textId="661909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61</w:t>
            </w:r>
          </w:p>
        </w:tc>
        <w:tc>
          <w:tcPr>
            <w:tcW w:w="1170" w:type="dxa"/>
          </w:tcPr>
          <w:p w:rsidR="00A31041" w:rsidRPr="00A31041" w:rsidP="00A31041" w14:paraId="6B650C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2</w:t>
            </w:r>
          </w:p>
        </w:tc>
        <w:tc>
          <w:tcPr>
            <w:tcW w:w="990" w:type="dxa"/>
          </w:tcPr>
          <w:p w:rsidR="00A31041" w:rsidRPr="00A31041" w:rsidP="00A31041" w14:paraId="1E91731E" w14:textId="4E7A5A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122</w:t>
            </w:r>
          </w:p>
        </w:tc>
        <w:tc>
          <w:tcPr>
            <w:tcW w:w="990" w:type="dxa"/>
          </w:tcPr>
          <w:p w:rsidR="00CD0636" w:rsidP="00A31041" w14:paraId="4B3EAC60" w14:textId="67B34A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00534589">
              <w:rPr>
                <w:rFonts w:ascii="Times New Roman" w:hAnsi="Times New Roman"/>
                <w:bCs/>
              </w:rPr>
              <w:t>7</w:t>
            </w:r>
            <w:r w:rsidR="00817E91">
              <w:rPr>
                <w:rFonts w:ascii="Times New Roman" w:hAnsi="Times New Roman"/>
                <w:bCs/>
              </w:rPr>
              <w:t>3.78</w:t>
            </w:r>
          </w:p>
          <w:p w:rsidR="00A31041" w:rsidRPr="00A31041" w:rsidP="00A31041" w14:paraId="4CFA0C1B" w14:textId="3E67AD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260" w:type="dxa"/>
          </w:tcPr>
          <w:p w:rsidR="00A31041" w:rsidRPr="00A31041" w:rsidP="00A31041" w14:paraId="2FAF4937" w14:textId="29011B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00817E91">
              <w:rPr>
                <w:rFonts w:ascii="Times New Roman" w:hAnsi="Times New Roman"/>
                <w:bCs/>
                <w:sz w:val="22"/>
                <w:szCs w:val="22"/>
              </w:rPr>
              <w:t>9,001.16</w:t>
            </w:r>
          </w:p>
        </w:tc>
      </w:tr>
      <w:tr w14:paraId="1A196CAF" w14:textId="77777777" w:rsidTr="007366CD">
        <w:tblPrEx>
          <w:tblW w:w="9990" w:type="dxa"/>
          <w:tblInd w:w="-185" w:type="dxa"/>
          <w:tblLayout w:type="fixed"/>
          <w:tblLook w:val="04A0"/>
        </w:tblPrEx>
        <w:trPr>
          <w:trHeight w:val="546"/>
        </w:trPr>
        <w:tc>
          <w:tcPr>
            <w:tcW w:w="1620" w:type="dxa"/>
          </w:tcPr>
          <w:p w:rsidR="00570A4E" w:rsidRPr="007366CD" w:rsidP="00A31041" w14:paraId="30BA8737" w14:textId="4BFAA2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7366CD">
              <w:rPr>
                <w:rFonts w:ascii="Times New Roman" w:hAnsi="Times New Roman"/>
                <w:bCs/>
                <w:sz w:val="22"/>
                <w:szCs w:val="22"/>
              </w:rPr>
              <w:t>Quarterly Financial Reports</w:t>
            </w:r>
            <w:r w:rsidR="004E43D2">
              <w:rPr>
                <w:rFonts w:ascii="Times New Roman" w:hAnsi="Times New Roman"/>
                <w:bCs/>
                <w:sz w:val="22"/>
                <w:szCs w:val="22"/>
              </w:rPr>
              <w:t xml:space="preserve"> on Section 501(c)(21) Trusts</w:t>
            </w:r>
          </w:p>
        </w:tc>
        <w:tc>
          <w:tcPr>
            <w:tcW w:w="1530" w:type="dxa"/>
          </w:tcPr>
          <w:p w:rsidR="00570A4E" w:rsidRPr="007366CD" w:rsidP="00A31041" w14:paraId="7EE20392" w14:textId="343ADF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5</w:t>
            </w:r>
          </w:p>
        </w:tc>
        <w:tc>
          <w:tcPr>
            <w:tcW w:w="1260" w:type="dxa"/>
            <w:shd w:val="clear" w:color="auto" w:fill="FFFFFF" w:themeFill="background1"/>
          </w:tcPr>
          <w:p w:rsidR="00570A4E" w:rsidRPr="007366CD" w:rsidP="00A31041" w14:paraId="3FAFF9E4" w14:textId="6CDF45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4</w:t>
            </w:r>
          </w:p>
        </w:tc>
        <w:tc>
          <w:tcPr>
            <w:tcW w:w="1170" w:type="dxa"/>
          </w:tcPr>
          <w:p w:rsidR="00570A4E" w:rsidRPr="007366CD" w:rsidP="00A31041" w14:paraId="5D12716C" w14:textId="1A3E1C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20</w:t>
            </w:r>
          </w:p>
        </w:tc>
        <w:tc>
          <w:tcPr>
            <w:tcW w:w="1170" w:type="dxa"/>
          </w:tcPr>
          <w:p w:rsidR="00570A4E" w:rsidRPr="007366CD" w:rsidP="00A31041" w14:paraId="27963505" w14:textId="463964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0.0833</w:t>
            </w:r>
          </w:p>
        </w:tc>
        <w:tc>
          <w:tcPr>
            <w:tcW w:w="990" w:type="dxa"/>
          </w:tcPr>
          <w:p w:rsidR="00570A4E" w:rsidRPr="007366CD" w:rsidP="00A31041" w14:paraId="487CD32A" w14:textId="0AB713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1.67</w:t>
            </w:r>
          </w:p>
        </w:tc>
        <w:tc>
          <w:tcPr>
            <w:tcW w:w="990" w:type="dxa"/>
            <w:shd w:val="clear" w:color="auto" w:fill="FFFFFF" w:themeFill="background1"/>
          </w:tcPr>
          <w:p w:rsidR="00570A4E" w:rsidRPr="007366CD" w:rsidP="00A31041" w14:paraId="77BDBDA2" w14:textId="15DDCC2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highlight w:val="yellow"/>
              </w:rPr>
            </w:pPr>
            <w:r w:rsidRPr="00F51A9E">
              <w:rPr>
                <w:rFonts w:ascii="Times New Roman" w:hAnsi="Times New Roman"/>
                <w:bCs/>
              </w:rPr>
              <w:t>$73.78</w:t>
            </w:r>
          </w:p>
        </w:tc>
        <w:tc>
          <w:tcPr>
            <w:tcW w:w="1260" w:type="dxa"/>
            <w:shd w:val="clear" w:color="auto" w:fill="FFFFFF" w:themeFill="background1"/>
          </w:tcPr>
          <w:p w:rsidR="00570A4E" w:rsidRPr="007366CD" w:rsidP="00A31041" w14:paraId="4520E5B7" w14:textId="30CC5D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Pr>
                <w:rFonts w:ascii="Times New Roman" w:hAnsi="Times New Roman"/>
                <w:bCs/>
                <w:sz w:val="22"/>
                <w:szCs w:val="22"/>
              </w:rPr>
              <w:t>$123.21</w:t>
            </w:r>
          </w:p>
        </w:tc>
      </w:tr>
      <w:tr w14:paraId="4A7235C2" w14:textId="77777777" w:rsidTr="005F5879">
        <w:tblPrEx>
          <w:tblW w:w="9990" w:type="dxa"/>
          <w:tblInd w:w="-185" w:type="dxa"/>
          <w:tblLayout w:type="fixed"/>
          <w:tblLook w:val="04A0"/>
        </w:tblPrEx>
        <w:trPr>
          <w:trHeight w:val="546"/>
        </w:trPr>
        <w:tc>
          <w:tcPr>
            <w:tcW w:w="1620" w:type="dxa"/>
          </w:tcPr>
          <w:p w:rsidR="005476BF" w:rsidRPr="005271DD" w:rsidP="00A31041" w14:paraId="1871B9B2" w14:textId="16D5F8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2"/>
                <w:szCs w:val="22"/>
              </w:rPr>
            </w:pPr>
            <w:r w:rsidRPr="005271DD">
              <w:rPr>
                <w:rFonts w:ascii="Times New Roman" w:hAnsi="Times New Roman"/>
                <w:b/>
                <w:sz w:val="22"/>
                <w:szCs w:val="22"/>
              </w:rPr>
              <w:t>Unduplicated Total</w:t>
            </w:r>
          </w:p>
        </w:tc>
        <w:tc>
          <w:tcPr>
            <w:tcW w:w="1530" w:type="dxa"/>
          </w:tcPr>
          <w:p w:rsidR="005476BF" w:rsidP="00A31041" w14:paraId="5DEDA865" w14:textId="5B4502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61</w:t>
            </w:r>
          </w:p>
        </w:tc>
        <w:tc>
          <w:tcPr>
            <w:tcW w:w="1260" w:type="dxa"/>
            <w:shd w:val="clear" w:color="auto" w:fill="000000" w:themeFill="text1"/>
          </w:tcPr>
          <w:p w:rsidR="005476BF" w:rsidRPr="005F5879" w:rsidP="00A31041" w14:paraId="016216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tc>
        <w:tc>
          <w:tcPr>
            <w:tcW w:w="1170" w:type="dxa"/>
          </w:tcPr>
          <w:p w:rsidR="005476BF" w:rsidP="00A31041" w14:paraId="2B06880B" w14:textId="6C1ADB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5476BF">
              <w:rPr>
                <w:rFonts w:ascii="Times New Roman" w:hAnsi="Times New Roman"/>
                <w:b/>
              </w:rPr>
              <w:t>1</w:t>
            </w:r>
            <w:r w:rsidR="00FA4478">
              <w:rPr>
                <w:rFonts w:ascii="Times New Roman" w:hAnsi="Times New Roman"/>
                <w:b/>
              </w:rPr>
              <w:t>42</w:t>
            </w:r>
          </w:p>
        </w:tc>
        <w:tc>
          <w:tcPr>
            <w:tcW w:w="1170" w:type="dxa"/>
          </w:tcPr>
          <w:p w:rsidR="005476BF" w:rsidP="00A31041" w14:paraId="349DC96B" w14:textId="7BBE17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5</w:t>
            </w:r>
          </w:p>
        </w:tc>
        <w:tc>
          <w:tcPr>
            <w:tcW w:w="990" w:type="dxa"/>
          </w:tcPr>
          <w:p w:rsidR="005476BF" w:rsidP="00A31041" w14:paraId="2444CE6D" w14:textId="4EFD80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24</w:t>
            </w:r>
            <w:r w:rsidR="007366CD">
              <w:rPr>
                <w:rFonts w:ascii="Times New Roman" w:hAnsi="Times New Roman"/>
                <w:b/>
              </w:rPr>
              <w:t>6</w:t>
            </w:r>
          </w:p>
        </w:tc>
        <w:tc>
          <w:tcPr>
            <w:tcW w:w="990" w:type="dxa"/>
            <w:shd w:val="clear" w:color="auto" w:fill="000000" w:themeFill="text1"/>
          </w:tcPr>
          <w:p w:rsidR="005476BF" w:rsidRPr="005476BF" w:rsidP="00A31041" w14:paraId="7EAFDE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highlight w:val="yellow"/>
              </w:rPr>
            </w:pPr>
          </w:p>
        </w:tc>
        <w:tc>
          <w:tcPr>
            <w:tcW w:w="1260" w:type="dxa"/>
            <w:shd w:val="clear" w:color="auto" w:fill="FFFFFF" w:themeFill="background1"/>
          </w:tcPr>
          <w:p w:rsidR="005476BF" w:rsidRPr="007551EF" w:rsidP="00A31041" w14:paraId="3BF53EAD" w14:textId="018CF8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2"/>
                <w:szCs w:val="22"/>
              </w:rPr>
            </w:pPr>
            <w:r>
              <w:rPr>
                <w:rFonts w:ascii="Times New Roman" w:hAnsi="Times New Roman"/>
                <w:b/>
                <w:sz w:val="22"/>
                <w:szCs w:val="22"/>
              </w:rPr>
              <w:t>$1</w:t>
            </w:r>
            <w:r w:rsidR="002216E2">
              <w:rPr>
                <w:rFonts w:ascii="Times New Roman" w:hAnsi="Times New Roman"/>
                <w:b/>
                <w:sz w:val="22"/>
                <w:szCs w:val="22"/>
              </w:rPr>
              <w:t>4,049.51</w:t>
            </w:r>
          </w:p>
        </w:tc>
      </w:tr>
    </w:tbl>
    <w:p w:rsidR="009E502D" w:rsidP="00532029" w14:paraId="7EC59B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532029" w:rsidP="00532029" w14:paraId="41A343B8" w14:textId="0F1BDF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 xml:space="preserve">* </w:t>
      </w:r>
      <w:r w:rsidRPr="00F5776F">
        <w:rPr>
          <w:rFonts w:ascii="Times New Roman" w:hAnsi="Times New Roman"/>
          <w:bCs/>
        </w:rPr>
        <w:t>To calculate the burdens</w:t>
      </w:r>
      <w:r w:rsidR="007F7690">
        <w:rPr>
          <w:rFonts w:ascii="Times New Roman" w:hAnsi="Times New Roman"/>
          <w:bCs/>
        </w:rPr>
        <w:t xml:space="preserve"> for forms CM-2017 and CM-2017b</w:t>
      </w:r>
      <w:r w:rsidRPr="00F5776F">
        <w:rPr>
          <w:rFonts w:ascii="Times New Roman" w:hAnsi="Times New Roman"/>
          <w:bCs/>
        </w:rPr>
        <w:t xml:space="preserve">, OWCP has used </w:t>
      </w:r>
      <w:r w:rsidRPr="00F5776F">
        <w:rPr>
          <w:rFonts w:ascii="Times New Roman" w:hAnsi="Times New Roman"/>
          <w:bCs/>
        </w:rPr>
        <w:t>a number of</w:t>
      </w:r>
      <w:r w:rsidRPr="00F5776F">
        <w:rPr>
          <w:rFonts w:ascii="Times New Roman" w:hAnsi="Times New Roman"/>
          <w:bCs/>
        </w:rPr>
        <w:t xml:space="preserve"> respondents that is larger than </w:t>
      </w:r>
      <w:r>
        <w:rPr>
          <w:rFonts w:ascii="Times New Roman" w:hAnsi="Times New Roman"/>
          <w:bCs/>
        </w:rPr>
        <w:t>the expected number of applicants</w:t>
      </w:r>
      <w:r w:rsidRPr="00F5776F">
        <w:rPr>
          <w:rFonts w:ascii="Times New Roman" w:hAnsi="Times New Roman"/>
          <w:bCs/>
        </w:rPr>
        <w:t xml:space="preserve">. </w:t>
      </w:r>
      <w:r>
        <w:rPr>
          <w:rFonts w:ascii="Times New Roman" w:hAnsi="Times New Roman"/>
          <w:bCs/>
        </w:rPr>
        <w:t xml:space="preserve"> While OWCP has records for 61</w:t>
      </w:r>
      <w:r w:rsidRPr="00F5776F">
        <w:rPr>
          <w:rFonts w:ascii="Times New Roman" w:hAnsi="Times New Roman"/>
          <w:bCs/>
        </w:rPr>
        <w:t xml:space="preserve"> s</w:t>
      </w:r>
      <w:r>
        <w:rPr>
          <w:rFonts w:ascii="Times New Roman" w:hAnsi="Times New Roman"/>
          <w:bCs/>
        </w:rPr>
        <w:t>elf-insured operators, only 18</w:t>
      </w:r>
      <w:r w:rsidRPr="00F5776F">
        <w:rPr>
          <w:rFonts w:ascii="Times New Roman" w:hAnsi="Times New Roman"/>
          <w:bCs/>
        </w:rPr>
        <w:t xml:space="preserve"> are currently engaged in coal production.  Others have left the mining business (but still exist and </w:t>
      </w:r>
      <w:r>
        <w:rPr>
          <w:rFonts w:ascii="Times New Roman" w:hAnsi="Times New Roman"/>
          <w:bCs/>
        </w:rPr>
        <w:t>would be expected to apply for renewal of their self-insurance authorization</w:t>
      </w:r>
      <w:r w:rsidRPr="00F5776F">
        <w:rPr>
          <w:rFonts w:ascii="Times New Roman" w:hAnsi="Times New Roman"/>
          <w:bCs/>
        </w:rPr>
        <w:t>) or have gone out of business entirely. OWCP does not expect those companies that have gone out of business to respond.  OWCP has used this number only to be sure the burdens are not</w:t>
      </w:r>
      <w:r>
        <w:rPr>
          <w:rFonts w:ascii="Times New Roman" w:hAnsi="Times New Roman"/>
          <w:bCs/>
        </w:rPr>
        <w:t xml:space="preserve"> underestimated. </w:t>
      </w:r>
    </w:p>
    <w:p w:rsidR="008665BE" w:rsidP="00A31041" w14:paraId="7C7929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A31041" w:rsidRPr="00A31041" w:rsidP="00A31041" w14:paraId="6BB136C3" w14:textId="381BBC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w:t>
      </w:r>
      <w:r w:rsidRPr="00A31041">
        <w:rPr>
          <w:rFonts w:ascii="Times New Roman" w:hAnsi="Times New Roman"/>
          <w:bCs/>
        </w:rPr>
        <w:t>*</w:t>
      </w:r>
      <w:r w:rsidR="0007026D">
        <w:rPr>
          <w:rFonts w:ascii="Times New Roman" w:hAnsi="Times New Roman"/>
          <w:bCs/>
        </w:rPr>
        <w:t>For the CM-2017</w:t>
      </w:r>
      <w:r w:rsidR="002F633A">
        <w:rPr>
          <w:rFonts w:ascii="Times New Roman" w:hAnsi="Times New Roman"/>
          <w:bCs/>
        </w:rPr>
        <w:t>,</w:t>
      </w:r>
      <w:r w:rsidR="0007026D">
        <w:rPr>
          <w:rFonts w:ascii="Times New Roman" w:hAnsi="Times New Roman"/>
          <w:bCs/>
        </w:rPr>
        <w:t xml:space="preserve"> </w:t>
      </w:r>
      <w:r w:rsidR="00AB2AB7">
        <w:rPr>
          <w:rFonts w:ascii="Times New Roman" w:hAnsi="Times New Roman"/>
          <w:bCs/>
        </w:rPr>
        <w:t>t</w:t>
      </w:r>
      <w:r w:rsidRPr="00A31041">
        <w:rPr>
          <w:rFonts w:ascii="Times New Roman" w:hAnsi="Times New Roman"/>
          <w:bCs/>
        </w:rPr>
        <w:t>he hourly wage of $</w:t>
      </w:r>
      <w:r w:rsidR="00534589">
        <w:rPr>
          <w:rFonts w:ascii="Times New Roman" w:hAnsi="Times New Roman"/>
          <w:bCs/>
        </w:rPr>
        <w:t>40.</w:t>
      </w:r>
      <w:r w:rsidR="008D2AD4">
        <w:rPr>
          <w:rFonts w:ascii="Times New Roman" w:hAnsi="Times New Roman"/>
          <w:bCs/>
        </w:rPr>
        <w:t>37</w:t>
      </w:r>
      <w:r w:rsidRPr="00A31041">
        <w:rPr>
          <w:rFonts w:ascii="Times New Roman" w:hAnsi="Times New Roman"/>
          <w:bCs/>
        </w:rPr>
        <w:t xml:space="preserve"> for accountants</w:t>
      </w:r>
      <w:r w:rsidR="00532029">
        <w:rPr>
          <w:rFonts w:ascii="Times New Roman" w:hAnsi="Times New Roman"/>
          <w:bCs/>
        </w:rPr>
        <w:t xml:space="preserve"> is</w:t>
      </w:r>
      <w:r w:rsidRPr="00A31041">
        <w:rPr>
          <w:rFonts w:ascii="Times New Roman" w:hAnsi="Times New Roman"/>
          <w:bCs/>
        </w:rPr>
        <w:t xml:space="preserve"> taken from the May 20</w:t>
      </w:r>
      <w:r w:rsidR="00534589">
        <w:rPr>
          <w:rFonts w:ascii="Times New Roman" w:hAnsi="Times New Roman"/>
          <w:bCs/>
        </w:rPr>
        <w:t>2</w:t>
      </w:r>
      <w:r w:rsidR="00C81EB6">
        <w:rPr>
          <w:rFonts w:ascii="Times New Roman" w:hAnsi="Times New Roman"/>
          <w:bCs/>
        </w:rPr>
        <w:t>1</w:t>
      </w:r>
      <w:r w:rsidRPr="00A31041">
        <w:rPr>
          <w:rFonts w:ascii="Times New Roman" w:hAnsi="Times New Roman"/>
          <w:bCs/>
        </w:rPr>
        <w:t xml:space="preserve"> National Occupational Employment and Wage Estimates, published by the Bureau of Labor Statistics at </w:t>
      </w:r>
      <w:hyperlink r:id="rId9" w:history="1">
        <w:r w:rsidRPr="00A31041">
          <w:rPr>
            <w:rStyle w:val="Hyperlink"/>
            <w:rFonts w:ascii="Times New Roman" w:hAnsi="Times New Roman"/>
            <w:bCs/>
          </w:rPr>
          <w:t>https://www.bls.gov/oes/current/oes132011.htm</w:t>
        </w:r>
      </w:hyperlink>
      <w:r w:rsidR="00AB2AB7">
        <w:rPr>
          <w:rStyle w:val="Hyperlink"/>
          <w:rFonts w:ascii="Times New Roman" w:hAnsi="Times New Roman"/>
          <w:bCs/>
        </w:rPr>
        <w:t>.</w:t>
      </w:r>
      <w:r w:rsidRPr="00A31041">
        <w:rPr>
          <w:rFonts w:ascii="Times New Roman" w:hAnsi="Times New Roman"/>
          <w:bCs/>
        </w:rPr>
        <w:t xml:space="preserve"> </w:t>
      </w:r>
      <w:hyperlink w:history="1"/>
    </w:p>
    <w:p w:rsidR="008665BE" w:rsidP="00A31041" w14:paraId="576CA5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A31041" w:rsidRPr="00A31041" w:rsidP="00A31041" w14:paraId="088EC6B6" w14:textId="619813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w:t>
      </w:r>
      <w:r w:rsidRPr="00A31041">
        <w:rPr>
          <w:rFonts w:ascii="Times New Roman" w:hAnsi="Times New Roman"/>
          <w:bCs/>
        </w:rPr>
        <w:t>*</w:t>
      </w:r>
      <w:r w:rsidR="00E7149D">
        <w:rPr>
          <w:rFonts w:ascii="Times New Roman" w:hAnsi="Times New Roman"/>
          <w:bCs/>
        </w:rPr>
        <w:t>For the CM-2017b</w:t>
      </w:r>
      <w:r w:rsidR="00FA4478">
        <w:rPr>
          <w:rFonts w:ascii="Times New Roman" w:hAnsi="Times New Roman"/>
          <w:bCs/>
        </w:rPr>
        <w:t xml:space="preserve"> and the quarterly financial reports</w:t>
      </w:r>
      <w:r w:rsidR="002F633A">
        <w:rPr>
          <w:rFonts w:ascii="Times New Roman" w:hAnsi="Times New Roman"/>
          <w:bCs/>
        </w:rPr>
        <w:t>,</w:t>
      </w:r>
      <w:r w:rsidR="00E7149D">
        <w:rPr>
          <w:rFonts w:ascii="Times New Roman" w:hAnsi="Times New Roman"/>
          <w:bCs/>
        </w:rPr>
        <w:t xml:space="preserve"> </w:t>
      </w:r>
      <w:r w:rsidR="00AB2AB7">
        <w:rPr>
          <w:rFonts w:ascii="Times New Roman" w:hAnsi="Times New Roman"/>
          <w:bCs/>
        </w:rPr>
        <w:t>t</w:t>
      </w:r>
      <w:r w:rsidRPr="00A31041">
        <w:rPr>
          <w:rFonts w:ascii="Times New Roman" w:hAnsi="Times New Roman"/>
          <w:bCs/>
        </w:rPr>
        <w:t>he hourly wage of $</w:t>
      </w:r>
      <w:r w:rsidR="00534589">
        <w:rPr>
          <w:rFonts w:ascii="Times New Roman" w:hAnsi="Times New Roman"/>
          <w:bCs/>
        </w:rPr>
        <w:t>7</w:t>
      </w:r>
      <w:r w:rsidR="008D2AD4">
        <w:rPr>
          <w:rFonts w:ascii="Times New Roman" w:hAnsi="Times New Roman"/>
          <w:bCs/>
        </w:rPr>
        <w:t>3.78</w:t>
      </w:r>
      <w:r w:rsidRPr="00A31041">
        <w:rPr>
          <w:rFonts w:ascii="Times New Roman" w:hAnsi="Times New Roman"/>
          <w:bCs/>
        </w:rPr>
        <w:t xml:space="preserve"> for Financial Managers</w:t>
      </w:r>
      <w:r w:rsidR="00532029">
        <w:rPr>
          <w:rFonts w:ascii="Times New Roman" w:hAnsi="Times New Roman"/>
          <w:bCs/>
        </w:rPr>
        <w:t xml:space="preserve"> is</w:t>
      </w:r>
      <w:r w:rsidRPr="00A31041">
        <w:rPr>
          <w:rFonts w:ascii="Times New Roman" w:hAnsi="Times New Roman"/>
          <w:bCs/>
        </w:rPr>
        <w:t xml:space="preserve"> taken from the May 20</w:t>
      </w:r>
      <w:r w:rsidR="00534589">
        <w:rPr>
          <w:rFonts w:ascii="Times New Roman" w:hAnsi="Times New Roman"/>
          <w:bCs/>
        </w:rPr>
        <w:t>2</w:t>
      </w:r>
      <w:r w:rsidR="008D2AD4">
        <w:rPr>
          <w:rFonts w:ascii="Times New Roman" w:hAnsi="Times New Roman"/>
          <w:bCs/>
        </w:rPr>
        <w:t>1</w:t>
      </w:r>
      <w:r w:rsidRPr="00A31041">
        <w:rPr>
          <w:rFonts w:ascii="Times New Roman" w:hAnsi="Times New Roman"/>
          <w:bCs/>
        </w:rPr>
        <w:t xml:space="preserve"> National Occupational Employment and Wage Estimates, published by the Bureau of Labor Statistics at </w:t>
      </w:r>
      <w:hyperlink r:id="rId10" w:history="1">
        <w:r w:rsidRPr="00A31041">
          <w:rPr>
            <w:rStyle w:val="Hyperlink"/>
            <w:rFonts w:ascii="Times New Roman" w:hAnsi="Times New Roman"/>
            <w:bCs/>
          </w:rPr>
          <w:t>https://www.bls.gov/oes/current/oes113031.htm</w:t>
        </w:r>
      </w:hyperlink>
      <w:hyperlink w:history="1"/>
      <w:r w:rsidRPr="00A31041">
        <w:rPr>
          <w:rFonts w:ascii="Times New Roman" w:hAnsi="Times New Roman"/>
          <w:bCs/>
        </w:rPr>
        <w:t>.</w:t>
      </w:r>
    </w:p>
    <w:p w:rsidR="00A31041" w:rsidRPr="00A31041" w:rsidP="00A31041" w14:paraId="6869EE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276311" w:rsidP="00276311" w14:paraId="3F4897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56F6C" w:rsidP="00690F56" w14:paraId="4DD339CC" w14:textId="27A0BE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U</w:t>
      </w:r>
      <w:r w:rsidR="0011676B">
        <w:rPr>
          <w:rFonts w:ascii="Times New Roman" w:hAnsi="Times New Roman"/>
        </w:rPr>
        <w:t xml:space="preserve">nder the </w:t>
      </w:r>
      <w:r w:rsidR="00002985">
        <w:rPr>
          <w:rFonts w:ascii="Times New Roman" w:hAnsi="Times New Roman"/>
        </w:rPr>
        <w:t xml:space="preserve">final </w:t>
      </w:r>
      <w:r w:rsidR="0011676B">
        <w:rPr>
          <w:rFonts w:ascii="Times New Roman" w:hAnsi="Times New Roman"/>
        </w:rPr>
        <w:t xml:space="preserve">rule, OWCP would continue to require that the operator submit with the form </w:t>
      </w:r>
      <w:r w:rsidR="00EF55EF">
        <w:rPr>
          <w:rFonts w:ascii="Times New Roman" w:hAnsi="Times New Roman"/>
          <w:bCs/>
        </w:rPr>
        <w:t xml:space="preserve">CM-2017 </w:t>
      </w:r>
      <w:r w:rsidR="0011676B">
        <w:rPr>
          <w:rFonts w:ascii="Times New Roman" w:hAnsi="Times New Roman"/>
        </w:rPr>
        <w:t>an actuarial report on their projected BLBA liabilities once every three years (unless special circumstances require a report sooner).</w:t>
      </w:r>
      <w:r>
        <w:rPr>
          <w:rStyle w:val="FootnoteReference"/>
          <w:rFonts w:ascii="Times New Roman" w:hAnsi="Times New Roman"/>
        </w:rPr>
        <w:footnoteReference w:id="3"/>
      </w:r>
      <w:r w:rsidR="0011676B">
        <w:rPr>
          <w:rFonts w:ascii="Times New Roman" w:hAnsi="Times New Roman"/>
        </w:rPr>
        <w:t xml:space="preserve">  </w:t>
      </w:r>
    </w:p>
    <w:p w:rsidR="00056F6C" w:rsidP="00690F56" w14:paraId="036A97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1676B" w:rsidP="00690F56" w14:paraId="76E06A5C" w14:textId="55A30C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As explained above in the response to question 12, t</w:t>
      </w:r>
      <w:r w:rsidRPr="00F5776F">
        <w:rPr>
          <w:rFonts w:ascii="Times New Roman" w:hAnsi="Times New Roman"/>
          <w:bCs/>
        </w:rPr>
        <w:t xml:space="preserve">o calculate the burdens, OWCP has used </w:t>
      </w:r>
      <w:r w:rsidRPr="00F5776F">
        <w:rPr>
          <w:rFonts w:ascii="Times New Roman" w:hAnsi="Times New Roman"/>
          <w:bCs/>
        </w:rPr>
        <w:t>a number of</w:t>
      </w:r>
      <w:r w:rsidRPr="00F5776F">
        <w:rPr>
          <w:rFonts w:ascii="Times New Roman" w:hAnsi="Times New Roman"/>
          <w:bCs/>
        </w:rPr>
        <w:t xml:space="preserve"> respondents that is larger than </w:t>
      </w:r>
      <w:r>
        <w:rPr>
          <w:rFonts w:ascii="Times New Roman" w:hAnsi="Times New Roman"/>
          <w:bCs/>
        </w:rPr>
        <w:t>the expected number of applicants</w:t>
      </w:r>
      <w:r w:rsidR="00735C57">
        <w:rPr>
          <w:rFonts w:ascii="Times New Roman" w:hAnsi="Times New Roman"/>
          <w:bCs/>
        </w:rPr>
        <w:t xml:space="preserve">. Fewer than a third </w:t>
      </w:r>
      <w:r w:rsidR="00735C57">
        <w:rPr>
          <w:rFonts w:ascii="Times New Roman" w:hAnsi="Times New Roman"/>
          <w:bCs/>
        </w:rPr>
        <w:t xml:space="preserve">of </w:t>
      </w:r>
      <w:r w:rsidRPr="00F5776F">
        <w:rPr>
          <w:rFonts w:ascii="Times New Roman" w:hAnsi="Times New Roman"/>
          <w:bCs/>
        </w:rPr>
        <w:t>s</w:t>
      </w:r>
      <w:r>
        <w:rPr>
          <w:rFonts w:ascii="Times New Roman" w:hAnsi="Times New Roman"/>
          <w:bCs/>
        </w:rPr>
        <w:t>elf-insured operators</w:t>
      </w:r>
      <w:r w:rsidR="00735C57">
        <w:rPr>
          <w:rFonts w:ascii="Times New Roman" w:hAnsi="Times New Roman"/>
          <w:bCs/>
        </w:rPr>
        <w:t xml:space="preserve"> </w:t>
      </w:r>
      <w:r w:rsidRPr="00F5776F">
        <w:rPr>
          <w:rFonts w:ascii="Times New Roman" w:hAnsi="Times New Roman"/>
          <w:bCs/>
        </w:rPr>
        <w:t xml:space="preserve">are currently engaged in coal production. </w:t>
      </w:r>
      <w:r w:rsidR="00735C57">
        <w:rPr>
          <w:rFonts w:ascii="Times New Roman" w:hAnsi="Times New Roman"/>
          <w:bCs/>
        </w:rPr>
        <w:t>Some have gone out of business entirely while others still exist but have</w:t>
      </w:r>
      <w:r w:rsidRPr="00F5776F">
        <w:rPr>
          <w:rFonts w:ascii="Times New Roman" w:hAnsi="Times New Roman"/>
          <w:bCs/>
        </w:rPr>
        <w:t xml:space="preserve"> left the mining business. </w:t>
      </w:r>
      <w:r w:rsidR="00735C57">
        <w:rPr>
          <w:rFonts w:ascii="Times New Roman" w:hAnsi="Times New Roman"/>
        </w:rPr>
        <w:t>Some already prepare these actuarial reports in the normal course of business. OWCP therefore estimates that o</w:t>
      </w:r>
      <w:r w:rsidR="00735C57">
        <w:rPr>
          <w:rFonts w:ascii="Times New Roman" w:hAnsi="Times New Roman"/>
          <w:bCs/>
        </w:rPr>
        <w:t xml:space="preserve">f the 61 self-insured operators, approximately one third, or 20 respondents, will incur the cost burden of obtaining an actuarial report. </w:t>
      </w:r>
    </w:p>
    <w:p w:rsidR="0011676B" w:rsidP="00690F56" w14:paraId="567846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B4D07" w:rsidP="00690F56" w14:paraId="53432AA6" w14:textId="2AF6B5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OWCP estimates, based on the charges it has recently incurred for actuarial reports (which range from approximately $4,000 to $6,000), that a coal-mine operator would pay an average of $5,000 per report. Since submission of a report would only be required once every three years, the annual cost is an average of $1,667. Thus, OWCP estimates the annual burden at $34,000 (20 x $1,667 = $</w:t>
      </w:r>
      <w:r w:rsidRPr="00F87FD8">
        <w:rPr>
          <w:rFonts w:ascii="Times New Roman" w:hAnsi="Times New Roman"/>
          <w:b/>
          <w:bCs/>
        </w:rPr>
        <w:t>34,000</w:t>
      </w:r>
      <w:r>
        <w:rPr>
          <w:rFonts w:ascii="Times New Roman" w:hAnsi="Times New Roman"/>
        </w:rPr>
        <w:t>)</w:t>
      </w:r>
      <w:r w:rsidR="00735C57">
        <w:rPr>
          <w:rFonts w:ascii="Times New Roman" w:hAnsi="Times New Roman"/>
        </w:rPr>
        <w:t>.</w:t>
      </w:r>
    </w:p>
    <w:p w:rsidR="00764741" w:rsidP="00690F56" w14:paraId="4917FE4A" w14:textId="232AB4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64741" w:rsidP="00690F56" w14:paraId="27702A69" w14:textId="681429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mailing cost associated with the submission of the forms has been accounted for, since the </w:t>
      </w:r>
      <w:r w:rsidR="00AF4117">
        <w:rPr>
          <w:rFonts w:ascii="Times New Roman" w:hAnsi="Times New Roman"/>
        </w:rPr>
        <w:t xml:space="preserve">final </w:t>
      </w:r>
      <w:r>
        <w:rPr>
          <w:rFonts w:ascii="Times New Roman" w:hAnsi="Times New Roman"/>
        </w:rPr>
        <w:t xml:space="preserve">rule </w:t>
      </w:r>
      <w:r w:rsidR="000365D9">
        <w:rPr>
          <w:rFonts w:ascii="Times New Roman" w:hAnsi="Times New Roman"/>
        </w:rPr>
        <w:t>require</w:t>
      </w:r>
      <w:r w:rsidR="00AF4117">
        <w:rPr>
          <w:rFonts w:ascii="Times New Roman" w:hAnsi="Times New Roman"/>
        </w:rPr>
        <w:t>s</w:t>
      </w:r>
      <w:r w:rsidR="000365D9">
        <w:rPr>
          <w:rFonts w:ascii="Times New Roman" w:hAnsi="Times New Roman"/>
        </w:rPr>
        <w:t xml:space="preserve"> </w:t>
      </w:r>
      <w:r>
        <w:rPr>
          <w:rFonts w:ascii="Times New Roman" w:hAnsi="Times New Roman"/>
        </w:rPr>
        <w:t>the operators</w:t>
      </w:r>
      <w:r w:rsidRPr="00764741">
        <w:rPr>
          <w:rFonts w:ascii="Times New Roman" w:hAnsi="Times New Roman"/>
        </w:rPr>
        <w:t xml:space="preserve"> to </w:t>
      </w:r>
      <w:r w:rsidR="004B270F">
        <w:rPr>
          <w:rFonts w:ascii="Times New Roman" w:hAnsi="Times New Roman"/>
        </w:rPr>
        <w:t xml:space="preserve">electronically </w:t>
      </w:r>
      <w:r w:rsidRPr="00764741">
        <w:rPr>
          <w:rFonts w:ascii="Times New Roman" w:hAnsi="Times New Roman"/>
        </w:rPr>
        <w:t xml:space="preserve">file </w:t>
      </w:r>
      <w:r w:rsidR="004B270F">
        <w:rPr>
          <w:rFonts w:ascii="Times New Roman" w:hAnsi="Times New Roman"/>
        </w:rPr>
        <w:t>their responses</w:t>
      </w:r>
      <w:r>
        <w:rPr>
          <w:rFonts w:ascii="Times New Roman" w:hAnsi="Times New Roman"/>
        </w:rPr>
        <w:t>.</w:t>
      </w:r>
    </w:p>
    <w:p w:rsidR="00764741" w:rsidP="00690F56" w14:paraId="3506D1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97B43F9" w14:textId="7F4E4D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 xml:space="preserve">14. </w:t>
      </w:r>
      <w:r w:rsidRPr="00D53DEB">
        <w:rPr>
          <w:rFonts w:ascii="Times New Roman" w:hAnsi="Times New Roman"/>
          <w:b/>
          <w:bCs/>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66FC3" w:rsidP="00966FC3" w14:paraId="3E43C236" w14:textId="77777777">
      <w:pPr>
        <w:widowControl/>
        <w:tabs>
          <w:tab w:val="left" w:pos="-720"/>
          <w:tab w:val="left" w:pos="0"/>
          <w:tab w:val="left" w:pos="720"/>
          <w:tab w:val="left" w:pos="1440"/>
        </w:tabs>
        <w:suppressAutoHyphens/>
        <w:autoSpaceDE/>
        <w:autoSpaceDN/>
        <w:adjustRightInd/>
        <w:rPr>
          <w:rFonts w:ascii="Courier New" w:eastAsia="Calibri" w:hAnsi="Courier New" w:cs="Courier New"/>
        </w:rPr>
      </w:pPr>
    </w:p>
    <w:p w:rsidR="00966FC3" w:rsidRPr="00966FC3" w:rsidP="00966FC3" w14:paraId="42E15DAF" w14:textId="266AD2B7">
      <w:pPr>
        <w:widowControl/>
        <w:tabs>
          <w:tab w:val="left" w:pos="-720"/>
          <w:tab w:val="left" w:pos="0"/>
          <w:tab w:val="left" w:pos="720"/>
          <w:tab w:val="left" w:pos="1440"/>
        </w:tabs>
        <w:suppressAutoHyphens/>
        <w:autoSpaceDE/>
        <w:autoSpaceDN/>
        <w:adjustRightInd/>
        <w:rPr>
          <w:rFonts w:ascii="Times New Roman" w:eastAsia="Calibri" w:hAnsi="Times New Roman"/>
        </w:rPr>
      </w:pPr>
      <w:r w:rsidRPr="00966FC3">
        <w:rPr>
          <w:rFonts w:ascii="Times New Roman" w:eastAsia="Calibri" w:hAnsi="Times New Roman"/>
        </w:rPr>
        <w:t>The total Federal cost estimate for the t</w:t>
      </w:r>
      <w:r w:rsidR="00663D56">
        <w:rPr>
          <w:rFonts w:ascii="Times New Roman" w:eastAsia="Calibri" w:hAnsi="Times New Roman"/>
        </w:rPr>
        <w:t>wo</w:t>
      </w:r>
      <w:r w:rsidRPr="00966FC3">
        <w:rPr>
          <w:rFonts w:ascii="Times New Roman" w:eastAsia="Calibri" w:hAnsi="Times New Roman"/>
        </w:rPr>
        <w:t xml:space="preserve"> forms is estimated </w:t>
      </w:r>
      <w:r w:rsidRPr="00966FC3" w:rsidR="00276311">
        <w:rPr>
          <w:rFonts w:ascii="Times New Roman" w:eastAsia="Calibri" w:hAnsi="Times New Roman"/>
        </w:rPr>
        <w:t xml:space="preserve">at </w:t>
      </w:r>
      <w:r w:rsidR="00276311">
        <w:rPr>
          <w:rFonts w:ascii="Times New Roman" w:eastAsia="Calibri" w:hAnsi="Times New Roman"/>
        </w:rPr>
        <w:t>$</w:t>
      </w:r>
      <w:r w:rsidR="005E7BFF">
        <w:rPr>
          <w:rFonts w:ascii="Times New Roman" w:eastAsia="Calibri" w:hAnsi="Times New Roman"/>
        </w:rPr>
        <w:t>15,6</w:t>
      </w:r>
      <w:r w:rsidR="005F22C1">
        <w:rPr>
          <w:rFonts w:ascii="Times New Roman" w:eastAsia="Calibri" w:hAnsi="Times New Roman"/>
        </w:rPr>
        <w:t>95</w:t>
      </w:r>
      <w:r w:rsidR="005E7BFF">
        <w:rPr>
          <w:rFonts w:ascii="Times New Roman" w:eastAsia="Calibri" w:hAnsi="Times New Roman"/>
        </w:rPr>
        <w:t>.00</w:t>
      </w:r>
      <w:r w:rsidR="00377229">
        <w:rPr>
          <w:rFonts w:ascii="Times New Roman" w:eastAsia="Calibri" w:hAnsi="Times New Roman"/>
        </w:rPr>
        <w:t>.</w:t>
      </w:r>
      <w:r w:rsidR="005E7BFF">
        <w:rPr>
          <w:rFonts w:ascii="Times New Roman" w:eastAsia="Calibri" w:hAnsi="Times New Roman"/>
        </w:rPr>
        <w:t xml:space="preserve">  </w:t>
      </w:r>
    </w:p>
    <w:p w:rsidR="00966FC3" w:rsidRPr="00966FC3" w:rsidP="00966FC3" w14:paraId="5AD3D093" w14:textId="77777777">
      <w:pPr>
        <w:widowControl/>
        <w:tabs>
          <w:tab w:val="left" w:pos="-720"/>
        </w:tabs>
        <w:suppressAutoHyphens/>
        <w:autoSpaceDE/>
        <w:autoSpaceDN/>
        <w:adjustRightInd/>
        <w:rPr>
          <w:rFonts w:ascii="Times New Roman" w:eastAsia="Calibri" w:hAnsi="Times New Roman"/>
        </w:rPr>
      </w:pPr>
    </w:p>
    <w:p w:rsidR="00966FC3" w:rsidRPr="00DB7A38" w:rsidP="00966FC3" w14:paraId="0AF5749E" w14:textId="181CE3EC">
      <w:pPr>
        <w:widowControl/>
        <w:suppressAutoHyphens/>
        <w:autoSpaceDE/>
        <w:autoSpaceDN/>
        <w:adjustRightInd/>
        <w:ind w:left="720" w:hanging="720"/>
        <w:rPr>
          <w:rFonts w:ascii="Times New Roman" w:eastAsia="Calibri" w:hAnsi="Times New Roman"/>
          <w:b/>
          <w:bCs/>
        </w:rPr>
      </w:pPr>
      <w:r w:rsidRPr="00DB7A38">
        <w:rPr>
          <w:rFonts w:ascii="Times New Roman" w:eastAsia="Calibri" w:hAnsi="Times New Roman"/>
          <w:b/>
          <w:bCs/>
        </w:rPr>
        <w:t>CM-2017</w:t>
      </w:r>
      <w:r w:rsidRPr="00DB7A38" w:rsidR="00E41A3C">
        <w:rPr>
          <w:rFonts w:ascii="Times New Roman" w:eastAsia="Calibri" w:hAnsi="Times New Roman"/>
          <w:b/>
          <w:bCs/>
        </w:rPr>
        <w:t xml:space="preserve"> Form</w:t>
      </w:r>
    </w:p>
    <w:p w:rsidR="00966FC3" w:rsidRPr="00966FC3" w:rsidP="00966FC3" w14:paraId="05878361" w14:textId="647DAB8A">
      <w:pPr>
        <w:widowControl/>
        <w:tabs>
          <w:tab w:val="left" w:pos="-720"/>
          <w:tab w:val="left" w:pos="0"/>
        </w:tabs>
        <w:suppressAutoHyphens/>
        <w:autoSpaceDE/>
        <w:autoSpaceDN/>
        <w:adjustRightInd/>
        <w:rPr>
          <w:rFonts w:ascii="Times New Roman" w:eastAsia="Calibri" w:hAnsi="Times New Roman"/>
          <w:highlight w:val="yellow"/>
        </w:rPr>
      </w:pPr>
      <w:r w:rsidRPr="00966FC3">
        <w:rPr>
          <w:rFonts w:ascii="Times New Roman" w:eastAsia="Calibri" w:hAnsi="Times New Roman"/>
        </w:rPr>
        <w:t>The Federal cost estimate of $</w:t>
      </w:r>
      <w:r w:rsidR="003A7483">
        <w:rPr>
          <w:rFonts w:ascii="Times New Roman" w:eastAsia="Calibri" w:hAnsi="Times New Roman"/>
        </w:rPr>
        <w:t>9,365.94</w:t>
      </w:r>
      <w:r w:rsidRPr="00966FC3">
        <w:rPr>
          <w:rFonts w:ascii="Times New Roman" w:eastAsia="Calibri" w:hAnsi="Times New Roman"/>
        </w:rPr>
        <w:t xml:space="preserve"> was determined for an average annual usage of </w:t>
      </w:r>
      <w:r w:rsidR="00EB4D07">
        <w:rPr>
          <w:rFonts w:ascii="Times New Roman" w:eastAsia="Calibri" w:hAnsi="Times New Roman"/>
        </w:rPr>
        <w:t>61</w:t>
      </w:r>
      <w:r w:rsidRPr="00966FC3">
        <w:rPr>
          <w:rFonts w:ascii="Times New Roman" w:eastAsia="Calibri" w:hAnsi="Times New Roman"/>
        </w:rPr>
        <w:t xml:space="preserve"> forms as follows:</w:t>
      </w:r>
    </w:p>
    <w:p w:rsidR="00966FC3" w:rsidRPr="00966FC3" w:rsidP="00966FC3" w14:paraId="3AC7D9A2" w14:textId="77777777">
      <w:pPr>
        <w:widowControl/>
        <w:tabs>
          <w:tab w:val="left" w:pos="-720"/>
        </w:tabs>
        <w:suppressAutoHyphens/>
        <w:autoSpaceDE/>
        <w:autoSpaceDN/>
        <w:adjustRightInd/>
        <w:rPr>
          <w:rFonts w:ascii="Times New Roman" w:eastAsia="Calibri" w:hAnsi="Times New Roman"/>
        </w:rPr>
      </w:pPr>
    </w:p>
    <w:p w:rsidR="00966FC3" w:rsidRPr="00966FC3" w:rsidP="00CD48F4" w14:paraId="3CC5FF08" w14:textId="6E2F1105">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eastAsia="Calibri" w:hAnsi="Times New Roman"/>
          <w:highlight w:val="yellow"/>
        </w:rPr>
      </w:pPr>
      <w:r w:rsidRPr="00966FC3">
        <w:rPr>
          <w:rFonts w:ascii="Times New Roman" w:eastAsia="Calibri" w:hAnsi="Times New Roman"/>
        </w:rPr>
        <w:tab/>
      </w:r>
    </w:p>
    <w:p w:rsidR="00966FC3" w:rsidRPr="00966FC3" w:rsidP="00966FC3" w14:paraId="12D5B152" w14:textId="554DCD2B">
      <w:pPr>
        <w:widowControl/>
        <w:suppressAutoHyphens/>
        <w:autoSpaceDE/>
        <w:autoSpaceDN/>
        <w:adjustRightInd/>
        <w:ind w:left="2880" w:hanging="2160"/>
        <w:rPr>
          <w:rFonts w:ascii="Times New Roman" w:eastAsia="Calibri" w:hAnsi="Times New Roman"/>
        </w:rPr>
      </w:pPr>
      <w:r w:rsidRPr="00966FC3">
        <w:rPr>
          <w:rFonts w:ascii="Times New Roman" w:eastAsia="Calibri" w:hAnsi="Times New Roman"/>
        </w:rPr>
        <w:t>processing</w:t>
      </w:r>
      <w:r w:rsidRPr="00966FC3">
        <w:rPr>
          <w:rFonts w:ascii="Times New Roman" w:eastAsia="Calibri" w:hAnsi="Times New Roman"/>
        </w:rPr>
        <w:tab/>
        <w:t>A GS-13/1 ($</w:t>
      </w:r>
      <w:r w:rsidR="00FC3982">
        <w:rPr>
          <w:rFonts w:ascii="Times New Roman" w:eastAsia="Calibri" w:hAnsi="Times New Roman"/>
        </w:rPr>
        <w:t>51.18</w:t>
      </w:r>
      <w:r w:rsidRPr="00966FC3">
        <w:rPr>
          <w:rFonts w:ascii="Times New Roman" w:eastAsia="Calibri" w:hAnsi="Times New Roman"/>
        </w:rPr>
        <w:t xml:space="preserve"> per hour) spends 180 minutes processing each </w:t>
      </w:r>
      <w:r w:rsidR="00FC3982">
        <w:rPr>
          <w:rFonts w:ascii="Times New Roman" w:eastAsia="Calibri" w:hAnsi="Times New Roman"/>
        </w:rPr>
        <w:t xml:space="preserve">of the </w:t>
      </w:r>
      <w:r w:rsidR="00EB4D07">
        <w:rPr>
          <w:rFonts w:ascii="Times New Roman" w:eastAsia="Calibri" w:hAnsi="Times New Roman"/>
        </w:rPr>
        <w:t>61</w:t>
      </w:r>
      <w:r w:rsidRPr="00966FC3">
        <w:rPr>
          <w:rFonts w:ascii="Times New Roman" w:eastAsia="Calibri" w:hAnsi="Times New Roman"/>
        </w:rPr>
        <w:t xml:space="preserve"> forms.</w:t>
      </w:r>
    </w:p>
    <w:p w:rsidR="00966FC3" w:rsidRPr="00966FC3" w:rsidP="00966FC3" w14:paraId="2B006158" w14:textId="1934109F">
      <w:pPr>
        <w:widowControl/>
        <w:tabs>
          <w:tab w:val="left" w:pos="-720"/>
          <w:tab w:val="left" w:pos="0"/>
          <w:tab w:val="left" w:pos="720"/>
          <w:tab w:val="left" w:pos="1440"/>
          <w:tab w:val="left" w:pos="2160"/>
          <w:tab w:val="left" w:pos="2880"/>
        </w:tabs>
        <w:suppressAutoHyphens/>
        <w:autoSpaceDE/>
        <w:autoSpaceDN/>
        <w:adjustRightInd/>
        <w:ind w:left="2880" w:hanging="2880"/>
        <w:rPr>
          <w:rFonts w:ascii="Times New Roman" w:eastAsia="Calibri" w:hAnsi="Times New Roman"/>
        </w:rPr>
      </w:pPr>
      <w:r w:rsidRPr="00966FC3">
        <w:rPr>
          <w:rFonts w:ascii="Times New Roman" w:hAnsi="Times New Roman"/>
          <w:szCs w:val="20"/>
        </w:rPr>
        <w:tab/>
      </w:r>
      <w:r w:rsidRPr="00966FC3">
        <w:rPr>
          <w:rFonts w:ascii="Times New Roman" w:hAnsi="Times New Roman"/>
          <w:szCs w:val="20"/>
        </w:rPr>
        <w:tab/>
      </w:r>
      <w:r w:rsidRPr="00966FC3">
        <w:rPr>
          <w:rFonts w:ascii="Times New Roman" w:hAnsi="Times New Roman"/>
          <w:szCs w:val="20"/>
        </w:rPr>
        <w:tab/>
      </w:r>
      <w:r w:rsidRPr="00966FC3">
        <w:rPr>
          <w:rFonts w:ascii="Times New Roman" w:hAnsi="Times New Roman"/>
          <w:szCs w:val="20"/>
        </w:rPr>
        <w:tab/>
      </w:r>
      <w:hyperlink r:id="rId11" w:history="1">
        <w:r w:rsidRPr="00B81195">
          <w:rPr>
            <w:rStyle w:val="Hyperlink"/>
            <w:rFonts w:ascii="Times New Roman" w:eastAsia="Calibri" w:hAnsi="Times New Roman"/>
          </w:rPr>
          <w:t>https://www.opm.gov/policy-data-oversight/pay-leave/salaries-wages/salary-tables/pdf/2022/DCB_h.pdf</w:t>
        </w:r>
      </w:hyperlink>
    </w:p>
    <w:p w:rsidR="00966FC3" w:rsidRPr="00966FC3" w:rsidP="00966FC3" w14:paraId="48A33C8B" w14:textId="169E54B0">
      <w:pPr>
        <w:widowControl/>
        <w:tabs>
          <w:tab w:val="left" w:pos="-720"/>
          <w:tab w:val="left" w:pos="0"/>
          <w:tab w:val="left" w:pos="720"/>
          <w:tab w:val="left" w:pos="1440"/>
          <w:tab w:val="left" w:pos="2160"/>
          <w:tab w:val="left" w:pos="2880"/>
        </w:tabs>
        <w:suppressAutoHyphens/>
        <w:autoSpaceDE/>
        <w:autoSpaceDN/>
        <w:adjustRightInd/>
        <w:rPr>
          <w:rFonts w:ascii="Times New Roman" w:eastAsia="Calibri" w:hAnsi="Times New Roman"/>
          <w:highlight w:val="yellow"/>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00EB4D07">
        <w:rPr>
          <w:rFonts w:ascii="Times New Roman" w:eastAsia="Calibri" w:hAnsi="Times New Roman"/>
        </w:rPr>
        <w:t>61</w:t>
      </w:r>
      <w:r w:rsidRPr="00966FC3">
        <w:rPr>
          <w:rFonts w:ascii="Times New Roman" w:eastAsia="Calibri" w:hAnsi="Times New Roman"/>
        </w:rPr>
        <w:t xml:space="preserve"> X 180 = </w:t>
      </w:r>
      <w:r w:rsidR="00FC3982">
        <w:rPr>
          <w:rFonts w:ascii="Times New Roman" w:eastAsia="Calibri" w:hAnsi="Times New Roman"/>
        </w:rPr>
        <w:t>1</w:t>
      </w:r>
      <w:r w:rsidR="003A7483">
        <w:rPr>
          <w:rFonts w:ascii="Times New Roman" w:eastAsia="Calibri" w:hAnsi="Times New Roman"/>
        </w:rPr>
        <w:t>83</w:t>
      </w:r>
      <w:r w:rsidR="00FC3982">
        <w:rPr>
          <w:rFonts w:ascii="Times New Roman" w:eastAsia="Calibri" w:hAnsi="Times New Roman"/>
        </w:rPr>
        <w:t xml:space="preserve"> </w:t>
      </w:r>
      <w:r w:rsidRPr="00966FC3">
        <w:rPr>
          <w:rFonts w:ascii="Times New Roman" w:eastAsia="Calibri" w:hAnsi="Times New Roman"/>
        </w:rPr>
        <w:t>hours</w:t>
      </w:r>
      <w:r w:rsidR="00FC3982">
        <w:rPr>
          <w:rFonts w:ascii="Times New Roman" w:eastAsia="Calibri" w:hAnsi="Times New Roman"/>
        </w:rPr>
        <w:t xml:space="preserve"> </w:t>
      </w:r>
      <w:r w:rsidR="00A05CBF">
        <w:rPr>
          <w:rFonts w:ascii="Times New Roman" w:eastAsia="Calibri" w:hAnsi="Times New Roman"/>
        </w:rPr>
        <w:t>x</w:t>
      </w:r>
      <w:r w:rsidR="00FC3982">
        <w:rPr>
          <w:rFonts w:ascii="Times New Roman" w:eastAsia="Calibri" w:hAnsi="Times New Roman"/>
        </w:rPr>
        <w:t xml:space="preserve"> $51.18</w:t>
      </w:r>
      <w:r w:rsidRPr="00966FC3">
        <w:rPr>
          <w:rFonts w:ascii="Times New Roman" w:eastAsia="Calibri" w:hAnsi="Times New Roman"/>
        </w:rPr>
        <w:t xml:space="preserve"> = </w:t>
      </w:r>
      <w:r w:rsidR="00FC3982">
        <w:rPr>
          <w:rFonts w:ascii="Times New Roman" w:eastAsia="Calibri" w:hAnsi="Times New Roman"/>
        </w:rPr>
        <w:t>$</w:t>
      </w:r>
      <w:r w:rsidR="003A7483">
        <w:rPr>
          <w:rFonts w:ascii="Times New Roman" w:eastAsia="Calibri" w:hAnsi="Times New Roman"/>
        </w:rPr>
        <w:t>9,365.94</w:t>
      </w:r>
    </w:p>
    <w:p w:rsidR="00966FC3" w:rsidRPr="00966FC3" w:rsidP="00CD48F4" w14:paraId="39567697" w14:textId="77777777">
      <w:pPr>
        <w:widowControl/>
        <w:suppressAutoHyphens/>
        <w:autoSpaceDE/>
        <w:autoSpaceDN/>
        <w:adjustRightInd/>
        <w:rPr>
          <w:rFonts w:ascii="Times New Roman" w:eastAsia="Calibri" w:hAnsi="Times New Roman"/>
        </w:rPr>
      </w:pPr>
    </w:p>
    <w:p w:rsidR="00966FC3" w:rsidRPr="00966FC3" w:rsidP="00966FC3" w14:paraId="7CF50451" w14:textId="77777777">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eastAsia="Calibri" w:hAnsi="Times New Roman"/>
        </w:rPr>
      </w:pPr>
    </w:p>
    <w:p w:rsidR="00966FC3" w:rsidRPr="00DB7A38" w:rsidP="00966FC3" w14:paraId="5EB3906F" w14:textId="18168C5A">
      <w:pPr>
        <w:widowControl/>
        <w:tabs>
          <w:tab w:val="left" w:pos="-720"/>
        </w:tabs>
        <w:suppressAutoHyphens/>
        <w:autoSpaceDE/>
        <w:autoSpaceDN/>
        <w:adjustRightInd/>
        <w:rPr>
          <w:rFonts w:ascii="Times New Roman" w:eastAsia="Calibri" w:hAnsi="Times New Roman"/>
          <w:b/>
          <w:bCs/>
        </w:rPr>
      </w:pPr>
      <w:r w:rsidRPr="00DB7A38">
        <w:rPr>
          <w:rFonts w:ascii="Times New Roman" w:eastAsia="Calibri" w:hAnsi="Times New Roman"/>
          <w:b/>
          <w:bCs/>
        </w:rPr>
        <w:t>CM-2017b</w:t>
      </w:r>
      <w:r w:rsidRPr="00DB7A38" w:rsidR="00E41A3C">
        <w:rPr>
          <w:rFonts w:ascii="Times New Roman" w:eastAsia="Calibri" w:hAnsi="Times New Roman"/>
          <w:b/>
          <w:bCs/>
        </w:rPr>
        <w:t xml:space="preserve"> Form</w:t>
      </w:r>
    </w:p>
    <w:p w:rsidR="00966FC3" w:rsidRPr="00966FC3" w:rsidP="00966FC3" w14:paraId="29B8D9A7" w14:textId="5F84A439">
      <w:pPr>
        <w:widowControl/>
        <w:tabs>
          <w:tab w:val="left" w:pos="-720"/>
          <w:tab w:val="left" w:pos="0"/>
        </w:tabs>
        <w:suppressAutoHyphens/>
        <w:autoSpaceDE/>
        <w:autoSpaceDN/>
        <w:adjustRightInd/>
        <w:rPr>
          <w:rFonts w:ascii="Times New Roman" w:eastAsia="Calibri" w:hAnsi="Times New Roman"/>
        </w:rPr>
      </w:pPr>
      <w:bookmarkStart w:id="2" w:name="_Hlk173848760"/>
      <w:r w:rsidRPr="00966FC3">
        <w:rPr>
          <w:rFonts w:ascii="Times New Roman" w:eastAsia="Calibri" w:hAnsi="Times New Roman"/>
        </w:rPr>
        <w:t xml:space="preserve">The Federal cost estimate of </w:t>
      </w:r>
      <w:r w:rsidRPr="003A7483" w:rsidR="003A7483">
        <w:rPr>
          <w:rFonts w:ascii="Times New Roman" w:eastAsia="Calibri" w:hAnsi="Times New Roman"/>
        </w:rPr>
        <w:t>$6,243.96</w:t>
      </w:r>
      <w:r w:rsidRPr="00966FC3">
        <w:rPr>
          <w:rFonts w:ascii="Times New Roman" w:eastAsia="Calibri" w:hAnsi="Times New Roman"/>
        </w:rPr>
        <w:t xml:space="preserve"> was determined for an average annual usage of </w:t>
      </w:r>
      <w:r w:rsidR="003A7483">
        <w:rPr>
          <w:rFonts w:ascii="Times New Roman" w:eastAsia="Calibri" w:hAnsi="Times New Roman"/>
        </w:rPr>
        <w:t>61</w:t>
      </w:r>
      <w:r w:rsidRPr="00966FC3">
        <w:rPr>
          <w:rFonts w:ascii="Times New Roman" w:eastAsia="Calibri" w:hAnsi="Times New Roman"/>
        </w:rPr>
        <w:t xml:space="preserve"> forms as follows:</w:t>
      </w:r>
    </w:p>
    <w:p w:rsidR="00966FC3" w:rsidRPr="00966FC3" w:rsidP="00CD48F4" w14:paraId="09D2DB0D" w14:textId="2300C6DA">
      <w:pPr>
        <w:widowControl/>
        <w:tabs>
          <w:tab w:val="left" w:pos="-720"/>
          <w:tab w:val="left" w:pos="0"/>
          <w:tab w:val="left" w:pos="720"/>
          <w:tab w:val="left" w:pos="1440"/>
          <w:tab w:val="left" w:pos="2160"/>
          <w:tab w:val="left" w:pos="2880"/>
        </w:tabs>
        <w:suppressAutoHyphens/>
        <w:autoSpaceDE/>
        <w:autoSpaceDN/>
        <w:adjustRightInd/>
        <w:rPr>
          <w:rFonts w:ascii="Times New Roman" w:eastAsia="Calibri" w:hAnsi="Times New Roman"/>
        </w:rPr>
      </w:pPr>
    </w:p>
    <w:p w:rsidR="00966FC3" w:rsidRPr="00966FC3" w:rsidP="00966FC3" w14:paraId="792A3425" w14:textId="77777777">
      <w:pPr>
        <w:widowControl/>
        <w:tabs>
          <w:tab w:val="left" w:pos="-720"/>
        </w:tabs>
        <w:suppressAutoHyphens/>
        <w:autoSpaceDE/>
        <w:autoSpaceDN/>
        <w:adjustRightInd/>
        <w:rPr>
          <w:rFonts w:ascii="Times New Roman" w:eastAsia="Calibri" w:hAnsi="Times New Roman"/>
        </w:rPr>
      </w:pPr>
    </w:p>
    <w:p w:rsidR="00966FC3" w:rsidRPr="00966FC3" w:rsidP="00966FC3" w14:paraId="631F7902" w14:textId="6C64B185">
      <w:pPr>
        <w:widowControl/>
        <w:autoSpaceDE/>
        <w:autoSpaceDN/>
        <w:adjustRightInd/>
        <w:rPr>
          <w:rFonts w:ascii="Times New Roman" w:eastAsia="Calibri" w:hAnsi="Times New Roman"/>
        </w:rPr>
      </w:pPr>
      <w:r>
        <w:rPr>
          <w:rFonts w:ascii="Times New Roman" w:eastAsia="Calibri" w:hAnsi="Times New Roman"/>
        </w:rPr>
        <w:tab/>
      </w:r>
      <w:r w:rsidRPr="00966FC3">
        <w:rPr>
          <w:rFonts w:ascii="Times New Roman" w:eastAsia="Calibri" w:hAnsi="Times New Roman"/>
        </w:rPr>
        <w:t xml:space="preserve"> processing</w:t>
      </w:r>
      <w:r w:rsidRPr="00966FC3">
        <w:rPr>
          <w:rFonts w:ascii="Times New Roman" w:eastAsia="Calibri" w:hAnsi="Times New Roman"/>
        </w:rPr>
        <w:tab/>
        <w:t>A GS-13/1 ($</w:t>
      </w:r>
      <w:r>
        <w:rPr>
          <w:rFonts w:ascii="Times New Roman" w:eastAsia="Calibri" w:hAnsi="Times New Roman"/>
        </w:rPr>
        <w:t>51.18</w:t>
      </w:r>
      <w:r w:rsidRPr="00966FC3">
        <w:rPr>
          <w:rFonts w:ascii="Times New Roman" w:eastAsia="Calibri" w:hAnsi="Times New Roman"/>
        </w:rPr>
        <w:t xml:space="preserve"> per hour)</w:t>
      </w:r>
      <w:r w:rsidR="002946A5">
        <w:rPr>
          <w:rFonts w:ascii="Times New Roman" w:eastAsia="Calibri" w:hAnsi="Times New Roman"/>
        </w:rPr>
        <w:t xml:space="preserve"> </w:t>
      </w:r>
      <w:r w:rsidRPr="00966FC3">
        <w:rPr>
          <w:rFonts w:ascii="Times New Roman" w:eastAsia="Calibri" w:hAnsi="Times New Roman"/>
        </w:rPr>
        <w:t>spends 120</w:t>
      </w:r>
    </w:p>
    <w:p w:rsidR="00966FC3" w:rsidRPr="00966FC3" w:rsidP="00966FC3" w14:paraId="49722E72" w14:textId="01B52225">
      <w:pPr>
        <w:widowControl/>
        <w:autoSpaceDE/>
        <w:autoSpaceDN/>
        <w:adjustRightInd/>
        <w:ind w:left="2880"/>
        <w:rPr>
          <w:rFonts w:ascii="Times New Roman" w:eastAsia="Calibri" w:hAnsi="Times New Roman"/>
        </w:rPr>
      </w:pPr>
      <w:r w:rsidRPr="00966FC3">
        <w:rPr>
          <w:rFonts w:ascii="Times New Roman" w:eastAsia="Calibri" w:hAnsi="Times New Roman"/>
        </w:rPr>
        <w:t xml:space="preserve">minutes processing each of the </w:t>
      </w:r>
      <w:r w:rsidR="003A7483">
        <w:rPr>
          <w:rFonts w:ascii="Times New Roman" w:eastAsia="Calibri" w:hAnsi="Times New Roman"/>
        </w:rPr>
        <w:t>61</w:t>
      </w:r>
      <w:r w:rsidRPr="00966FC3">
        <w:rPr>
          <w:rFonts w:ascii="Times New Roman" w:eastAsia="Calibri" w:hAnsi="Times New Roman"/>
        </w:rPr>
        <w:t xml:space="preserve"> forms.</w:t>
      </w:r>
    </w:p>
    <w:p w:rsidR="00966FC3" w:rsidRPr="00966FC3" w:rsidP="00966FC3" w14:paraId="3C6CBAC2" w14:textId="10F2C6F2">
      <w:pPr>
        <w:widowControl/>
        <w:autoSpaceDE/>
        <w:autoSpaceDN/>
        <w:adjustRightInd/>
        <w:ind w:left="2880"/>
        <w:rPr>
          <w:rFonts w:ascii="Times New Roman" w:eastAsia="Calibri" w:hAnsi="Times New Roman"/>
        </w:rPr>
      </w:pPr>
      <w:hyperlink r:id="rId11" w:history="1">
        <w:r w:rsidRPr="00B81195" w:rsidR="00AD3588">
          <w:rPr>
            <w:rStyle w:val="Hyperlink"/>
            <w:rFonts w:ascii="Times New Roman" w:eastAsia="Calibri" w:hAnsi="Times New Roman"/>
          </w:rPr>
          <w:t>https://www.opm.gov/policy-data-oversight/pay-leave/salaries-wages/salary-tables/pdf/2022/DCB_h.pdf</w:t>
        </w:r>
      </w:hyperlink>
    </w:p>
    <w:p w:rsidR="00966FC3" w:rsidRPr="00966FC3" w:rsidP="00966FC3" w14:paraId="32457B2B" w14:textId="36FBCD0D">
      <w:pPr>
        <w:widowControl/>
        <w:autoSpaceDE/>
        <w:autoSpaceDN/>
        <w:adjustRightInd/>
        <w:ind w:left="2880"/>
        <w:rPr>
          <w:rFonts w:ascii="Times New Roman" w:eastAsia="Calibri" w:hAnsi="Times New Roman"/>
        </w:rPr>
      </w:pPr>
      <w:r>
        <w:rPr>
          <w:rFonts w:ascii="Times New Roman" w:eastAsia="Calibri" w:hAnsi="Times New Roman"/>
        </w:rPr>
        <w:t>61</w:t>
      </w:r>
      <w:r w:rsidR="00AD3588">
        <w:rPr>
          <w:rFonts w:ascii="Times New Roman" w:eastAsia="Calibri" w:hAnsi="Times New Roman"/>
        </w:rPr>
        <w:t xml:space="preserve"> X 12</w:t>
      </w:r>
      <w:r>
        <w:rPr>
          <w:rFonts w:ascii="Times New Roman" w:eastAsia="Calibri" w:hAnsi="Times New Roman"/>
        </w:rPr>
        <w:t>0</w:t>
      </w:r>
      <w:r w:rsidR="00AD3588">
        <w:rPr>
          <w:rFonts w:ascii="Times New Roman" w:eastAsia="Calibri" w:hAnsi="Times New Roman"/>
        </w:rPr>
        <w:t xml:space="preserve"> = </w:t>
      </w:r>
      <w:r>
        <w:rPr>
          <w:rFonts w:ascii="Times New Roman" w:eastAsia="Calibri" w:hAnsi="Times New Roman"/>
        </w:rPr>
        <w:t>122</w:t>
      </w:r>
      <w:r w:rsidR="00AD3588">
        <w:rPr>
          <w:rFonts w:ascii="Times New Roman" w:eastAsia="Calibri" w:hAnsi="Times New Roman"/>
        </w:rPr>
        <w:t xml:space="preserve"> hours </w:t>
      </w:r>
      <w:r w:rsidR="00425657">
        <w:rPr>
          <w:rFonts w:ascii="Times New Roman" w:eastAsia="Calibri" w:hAnsi="Times New Roman"/>
        </w:rPr>
        <w:t>x</w:t>
      </w:r>
      <w:r w:rsidR="00AD3588">
        <w:rPr>
          <w:rFonts w:ascii="Times New Roman" w:eastAsia="Calibri" w:hAnsi="Times New Roman"/>
        </w:rPr>
        <w:t xml:space="preserve"> $51.18</w:t>
      </w:r>
      <w:r w:rsidRPr="00966FC3">
        <w:rPr>
          <w:rFonts w:ascii="Times New Roman" w:eastAsia="Calibri" w:hAnsi="Times New Roman"/>
        </w:rPr>
        <w:t xml:space="preserve"> = $</w:t>
      </w:r>
      <w:r>
        <w:rPr>
          <w:rFonts w:ascii="Times New Roman" w:eastAsia="Calibri" w:hAnsi="Times New Roman"/>
        </w:rPr>
        <w:t>6,243.96</w:t>
      </w:r>
    </w:p>
    <w:bookmarkEnd w:id="2"/>
    <w:p w:rsidR="00966FC3" w:rsidP="00966FC3" w14:paraId="2E930088" w14:textId="77777777">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eastAsia="Calibri" w:hAnsi="Times New Roman"/>
        </w:rPr>
      </w:pPr>
    </w:p>
    <w:p w:rsidR="00F51A9E" w:rsidP="00966FC3" w14:paraId="20081E6D" w14:textId="77777777">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eastAsia="Calibri" w:hAnsi="Times New Roman"/>
        </w:rPr>
      </w:pPr>
    </w:p>
    <w:p w:rsidR="00B04151" w:rsidRPr="005D2C0F" w:rsidP="00966FC3" w14:paraId="3C10C95D" w14:textId="5AD96784">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eastAsia="Calibri" w:hAnsi="Times New Roman"/>
          <w:b/>
          <w:bCs/>
        </w:rPr>
      </w:pPr>
      <w:r w:rsidRPr="005D2C0F">
        <w:rPr>
          <w:rFonts w:ascii="Times New Roman" w:eastAsia="Calibri" w:hAnsi="Times New Roman"/>
          <w:b/>
          <w:bCs/>
        </w:rPr>
        <w:t>Quarterly Financial Statements</w:t>
      </w:r>
      <w:r w:rsidR="00AF408B">
        <w:rPr>
          <w:rFonts w:ascii="Times New Roman" w:eastAsia="Calibri" w:hAnsi="Times New Roman"/>
          <w:b/>
          <w:bCs/>
        </w:rPr>
        <w:t xml:space="preserve"> for </w:t>
      </w:r>
      <w:r w:rsidR="00040CFD">
        <w:rPr>
          <w:rFonts w:ascii="Times New Roman" w:eastAsia="Calibri" w:hAnsi="Times New Roman"/>
          <w:b/>
          <w:bCs/>
        </w:rPr>
        <w:t xml:space="preserve">Section </w:t>
      </w:r>
      <w:r w:rsidRPr="00D07BA4" w:rsidR="00AF408B">
        <w:rPr>
          <w:rFonts w:ascii="Times New Roman" w:eastAsia="Calibri" w:hAnsi="Times New Roman"/>
          <w:b/>
          <w:bCs/>
        </w:rPr>
        <w:t>501(c)(21) Trusts</w:t>
      </w:r>
    </w:p>
    <w:p w:rsidR="00FF71B9" w:rsidRPr="00592D80" w:rsidP="005D2C0F" w14:paraId="089F7C8C" w14:textId="77C4A882">
      <w:pPr>
        <w:widowControl/>
        <w:tabs>
          <w:tab w:val="right" w:pos="5760"/>
        </w:tabs>
        <w:suppressAutoHyphens/>
        <w:autoSpaceDE/>
        <w:autoSpaceDN/>
        <w:adjustRightInd/>
        <w:rPr>
          <w:rFonts w:ascii="Times New Roman" w:eastAsia="Calibri" w:hAnsi="Times New Roman"/>
          <w:b/>
          <w:u w:val="single"/>
        </w:rPr>
      </w:pPr>
    </w:p>
    <w:p w:rsidR="00F51A9E" w:rsidRPr="00966FC3" w:rsidP="00F51A9E" w14:paraId="17D8AB60" w14:textId="56E2D2C2">
      <w:pPr>
        <w:widowControl/>
        <w:tabs>
          <w:tab w:val="left" w:pos="-720"/>
          <w:tab w:val="left" w:pos="0"/>
        </w:tabs>
        <w:suppressAutoHyphens/>
        <w:autoSpaceDE/>
        <w:autoSpaceDN/>
        <w:adjustRightInd/>
        <w:rPr>
          <w:rFonts w:ascii="Times New Roman" w:eastAsia="Calibri" w:hAnsi="Times New Roman"/>
        </w:rPr>
      </w:pPr>
      <w:r w:rsidRPr="00966FC3">
        <w:rPr>
          <w:rFonts w:ascii="Times New Roman" w:eastAsia="Calibri" w:hAnsi="Times New Roman"/>
        </w:rPr>
        <w:t xml:space="preserve">The Federal cost estimate of </w:t>
      </w:r>
      <w:r w:rsidRPr="005F22C1">
        <w:rPr>
          <w:rFonts w:ascii="Times New Roman" w:eastAsia="Calibri" w:hAnsi="Times New Roman"/>
        </w:rPr>
        <w:t>$</w:t>
      </w:r>
      <w:r w:rsidRPr="005D2C0F" w:rsidR="005F22C1">
        <w:rPr>
          <w:rFonts w:ascii="Times New Roman" w:eastAsia="Calibri" w:hAnsi="Times New Roman"/>
        </w:rPr>
        <w:t>85.47</w:t>
      </w:r>
      <w:r w:rsidRPr="00966FC3">
        <w:rPr>
          <w:rFonts w:ascii="Times New Roman" w:eastAsia="Calibri" w:hAnsi="Times New Roman"/>
        </w:rPr>
        <w:t xml:space="preserve"> was determined for</w:t>
      </w:r>
      <w:r>
        <w:rPr>
          <w:rFonts w:ascii="Times New Roman" w:eastAsia="Calibri" w:hAnsi="Times New Roman"/>
        </w:rPr>
        <w:t xml:space="preserve"> 20 quarterly financial reports potentially submitted</w:t>
      </w:r>
      <w:r w:rsidRPr="00966FC3">
        <w:rPr>
          <w:rFonts w:ascii="Times New Roman" w:eastAsia="Calibri" w:hAnsi="Times New Roman"/>
        </w:rPr>
        <w:t xml:space="preserve"> as follows:</w:t>
      </w:r>
    </w:p>
    <w:p w:rsidR="00F51A9E" w:rsidRPr="00966FC3" w:rsidP="00F51A9E" w14:paraId="6E333C3E" w14:textId="77777777">
      <w:pPr>
        <w:widowControl/>
        <w:tabs>
          <w:tab w:val="left" w:pos="-720"/>
          <w:tab w:val="left" w:pos="0"/>
          <w:tab w:val="left" w:pos="720"/>
          <w:tab w:val="left" w:pos="1440"/>
          <w:tab w:val="left" w:pos="2160"/>
          <w:tab w:val="left" w:pos="2880"/>
        </w:tabs>
        <w:suppressAutoHyphens/>
        <w:autoSpaceDE/>
        <w:autoSpaceDN/>
        <w:adjustRightInd/>
        <w:rPr>
          <w:rFonts w:ascii="Times New Roman" w:eastAsia="Calibri" w:hAnsi="Times New Roman"/>
        </w:rPr>
      </w:pPr>
    </w:p>
    <w:p w:rsidR="00F51A9E" w:rsidRPr="00966FC3" w:rsidP="00F51A9E" w14:paraId="3E9B0378" w14:textId="77777777">
      <w:pPr>
        <w:widowControl/>
        <w:tabs>
          <w:tab w:val="left" w:pos="-720"/>
        </w:tabs>
        <w:suppressAutoHyphens/>
        <w:autoSpaceDE/>
        <w:autoSpaceDN/>
        <w:adjustRightInd/>
        <w:rPr>
          <w:rFonts w:ascii="Times New Roman" w:eastAsia="Calibri" w:hAnsi="Times New Roman"/>
        </w:rPr>
      </w:pPr>
    </w:p>
    <w:p w:rsidR="00F51A9E" w:rsidRPr="00966FC3" w:rsidP="00F51A9E" w14:paraId="5BE0F0A1" w14:textId="6A9D27F0">
      <w:pPr>
        <w:widowControl/>
        <w:autoSpaceDE/>
        <w:autoSpaceDN/>
        <w:adjustRightInd/>
        <w:rPr>
          <w:rFonts w:ascii="Times New Roman" w:eastAsia="Calibri" w:hAnsi="Times New Roman"/>
        </w:rPr>
      </w:pPr>
      <w:r>
        <w:rPr>
          <w:rFonts w:ascii="Times New Roman" w:eastAsia="Calibri" w:hAnsi="Times New Roman"/>
        </w:rPr>
        <w:tab/>
      </w:r>
      <w:r w:rsidRPr="00966FC3">
        <w:rPr>
          <w:rFonts w:ascii="Times New Roman" w:eastAsia="Calibri" w:hAnsi="Times New Roman"/>
        </w:rPr>
        <w:t xml:space="preserve"> processing</w:t>
      </w:r>
      <w:r w:rsidRPr="00966FC3">
        <w:rPr>
          <w:rFonts w:ascii="Times New Roman" w:eastAsia="Calibri" w:hAnsi="Times New Roman"/>
        </w:rPr>
        <w:tab/>
      </w:r>
      <w:r>
        <w:rPr>
          <w:rFonts w:ascii="Times New Roman" w:eastAsia="Calibri" w:hAnsi="Times New Roman"/>
        </w:rPr>
        <w:t xml:space="preserve">            </w:t>
      </w:r>
      <w:r w:rsidRPr="00966FC3">
        <w:rPr>
          <w:rFonts w:ascii="Times New Roman" w:eastAsia="Calibri" w:hAnsi="Times New Roman"/>
        </w:rPr>
        <w:t>A GS-13/1 ($</w:t>
      </w:r>
      <w:r>
        <w:rPr>
          <w:rFonts w:ascii="Times New Roman" w:eastAsia="Calibri" w:hAnsi="Times New Roman"/>
        </w:rPr>
        <w:t>51.18</w:t>
      </w:r>
      <w:r w:rsidRPr="00966FC3">
        <w:rPr>
          <w:rFonts w:ascii="Times New Roman" w:eastAsia="Calibri" w:hAnsi="Times New Roman"/>
        </w:rPr>
        <w:t xml:space="preserve"> per hour)</w:t>
      </w:r>
      <w:r>
        <w:rPr>
          <w:rFonts w:ascii="Times New Roman" w:eastAsia="Calibri" w:hAnsi="Times New Roman"/>
        </w:rPr>
        <w:t xml:space="preserve"> </w:t>
      </w:r>
      <w:r w:rsidRPr="00966FC3">
        <w:rPr>
          <w:rFonts w:ascii="Times New Roman" w:eastAsia="Calibri" w:hAnsi="Times New Roman"/>
        </w:rPr>
        <w:t xml:space="preserve">spends </w:t>
      </w:r>
      <w:r>
        <w:rPr>
          <w:rFonts w:ascii="Times New Roman" w:eastAsia="Calibri" w:hAnsi="Times New Roman"/>
        </w:rPr>
        <w:t>5</w:t>
      </w:r>
    </w:p>
    <w:p w:rsidR="00F51A9E" w:rsidRPr="00966FC3" w:rsidP="00F51A9E" w14:paraId="5F7C28C1" w14:textId="757D4216">
      <w:pPr>
        <w:widowControl/>
        <w:autoSpaceDE/>
        <w:autoSpaceDN/>
        <w:adjustRightInd/>
        <w:ind w:left="2880"/>
        <w:rPr>
          <w:rFonts w:ascii="Times New Roman" w:eastAsia="Calibri" w:hAnsi="Times New Roman"/>
        </w:rPr>
      </w:pPr>
      <w:r w:rsidRPr="00966FC3">
        <w:rPr>
          <w:rFonts w:ascii="Times New Roman" w:eastAsia="Calibri" w:hAnsi="Times New Roman"/>
        </w:rPr>
        <w:t xml:space="preserve">minutes processing each of the </w:t>
      </w:r>
      <w:r>
        <w:rPr>
          <w:rFonts w:ascii="Times New Roman" w:eastAsia="Calibri" w:hAnsi="Times New Roman"/>
        </w:rPr>
        <w:t>20</w:t>
      </w:r>
      <w:r w:rsidRPr="00966FC3">
        <w:rPr>
          <w:rFonts w:ascii="Times New Roman" w:eastAsia="Calibri" w:hAnsi="Times New Roman"/>
        </w:rPr>
        <w:t xml:space="preserve"> </w:t>
      </w:r>
      <w:r>
        <w:rPr>
          <w:rFonts w:ascii="Times New Roman" w:eastAsia="Calibri" w:hAnsi="Times New Roman"/>
        </w:rPr>
        <w:t>quarterly financial reports</w:t>
      </w:r>
      <w:r w:rsidRPr="00966FC3">
        <w:rPr>
          <w:rFonts w:ascii="Times New Roman" w:eastAsia="Calibri" w:hAnsi="Times New Roman"/>
        </w:rPr>
        <w:t>.</w:t>
      </w:r>
    </w:p>
    <w:p w:rsidR="00F51A9E" w:rsidRPr="00966FC3" w:rsidP="00F51A9E" w14:paraId="39344CE7" w14:textId="77777777">
      <w:pPr>
        <w:widowControl/>
        <w:autoSpaceDE/>
        <w:autoSpaceDN/>
        <w:adjustRightInd/>
        <w:ind w:left="2880"/>
        <w:rPr>
          <w:rFonts w:ascii="Times New Roman" w:eastAsia="Calibri" w:hAnsi="Times New Roman"/>
        </w:rPr>
      </w:pPr>
      <w:hyperlink r:id="rId11" w:history="1">
        <w:r w:rsidRPr="00B81195">
          <w:rPr>
            <w:rStyle w:val="Hyperlink"/>
            <w:rFonts w:ascii="Times New Roman" w:eastAsia="Calibri" w:hAnsi="Times New Roman"/>
          </w:rPr>
          <w:t>https://www.opm.gov/policy-data-oversight/pay-leave/salaries-wages/salary-tables/pdf/2022/DCB_h.pdf</w:t>
        </w:r>
      </w:hyperlink>
    </w:p>
    <w:p w:rsidR="00F51A9E" w:rsidRPr="00966FC3" w:rsidP="00F51A9E" w14:paraId="26771D20" w14:textId="62056199">
      <w:pPr>
        <w:widowControl/>
        <w:autoSpaceDE/>
        <w:autoSpaceDN/>
        <w:adjustRightInd/>
        <w:ind w:left="2880"/>
        <w:rPr>
          <w:rFonts w:ascii="Times New Roman" w:eastAsia="Calibri" w:hAnsi="Times New Roman"/>
        </w:rPr>
      </w:pPr>
      <w:r>
        <w:rPr>
          <w:rFonts w:ascii="Times New Roman" w:eastAsia="Calibri" w:hAnsi="Times New Roman"/>
        </w:rPr>
        <w:t xml:space="preserve">20 X </w:t>
      </w:r>
      <w:r w:rsidR="005F22C1">
        <w:rPr>
          <w:rFonts w:ascii="Times New Roman" w:eastAsia="Calibri" w:hAnsi="Times New Roman"/>
        </w:rPr>
        <w:t>0.0833</w:t>
      </w:r>
      <w:r>
        <w:rPr>
          <w:rFonts w:ascii="Times New Roman" w:eastAsia="Calibri" w:hAnsi="Times New Roman"/>
        </w:rPr>
        <w:t xml:space="preserve"> = 1</w:t>
      </w:r>
      <w:r w:rsidR="005F22C1">
        <w:rPr>
          <w:rFonts w:ascii="Times New Roman" w:eastAsia="Calibri" w:hAnsi="Times New Roman"/>
        </w:rPr>
        <w:t>.67</w:t>
      </w:r>
      <w:r>
        <w:rPr>
          <w:rFonts w:ascii="Times New Roman" w:eastAsia="Calibri" w:hAnsi="Times New Roman"/>
        </w:rPr>
        <w:t xml:space="preserve"> hours x $51.18</w:t>
      </w:r>
      <w:r w:rsidRPr="00966FC3">
        <w:rPr>
          <w:rFonts w:ascii="Times New Roman" w:eastAsia="Calibri" w:hAnsi="Times New Roman"/>
        </w:rPr>
        <w:t xml:space="preserve"> = $</w:t>
      </w:r>
      <w:r w:rsidR="005F22C1">
        <w:rPr>
          <w:rFonts w:ascii="Times New Roman" w:eastAsia="Calibri" w:hAnsi="Times New Roman"/>
        </w:rPr>
        <w:t>85.47</w:t>
      </w:r>
    </w:p>
    <w:p w:rsidR="00FF71B9" w:rsidP="00966FC3" w14:paraId="23402029" w14:textId="77777777">
      <w:pPr>
        <w:widowControl/>
        <w:tabs>
          <w:tab w:val="right" w:pos="5760"/>
        </w:tabs>
        <w:suppressAutoHyphens/>
        <w:autoSpaceDE/>
        <w:autoSpaceDN/>
        <w:adjustRightInd/>
        <w:ind w:left="720"/>
        <w:rPr>
          <w:rFonts w:ascii="Times New Roman" w:eastAsia="Calibri" w:hAnsi="Times New Roman"/>
          <w:b/>
        </w:rPr>
      </w:pPr>
    </w:p>
    <w:p w:rsidR="00966FC3" w:rsidRPr="00966FC3" w:rsidP="005D2C0F" w14:paraId="05EE878B" w14:textId="546859E9">
      <w:pPr>
        <w:widowControl/>
        <w:tabs>
          <w:tab w:val="right" w:pos="5760"/>
        </w:tabs>
        <w:suppressAutoHyphens/>
        <w:autoSpaceDE/>
        <w:autoSpaceDN/>
        <w:adjustRightInd/>
        <w:rPr>
          <w:rFonts w:ascii="Times New Roman" w:eastAsia="Calibri" w:hAnsi="Times New Roman"/>
        </w:rPr>
      </w:pPr>
      <w:r w:rsidRPr="00966FC3">
        <w:rPr>
          <w:rFonts w:ascii="Times New Roman" w:eastAsia="Calibri" w:hAnsi="Times New Roman"/>
          <w:b/>
        </w:rPr>
        <w:t>Total Federal Cost</w:t>
      </w:r>
      <w:r w:rsidR="00BF20F6">
        <w:rPr>
          <w:rFonts w:ascii="Times New Roman" w:eastAsia="Calibri" w:hAnsi="Times New Roman"/>
          <w:b/>
        </w:rPr>
        <w:t xml:space="preserve">: </w:t>
      </w:r>
      <w:r w:rsidR="00AB2AB7">
        <w:rPr>
          <w:rFonts w:ascii="Times New Roman" w:eastAsia="Calibri" w:hAnsi="Times New Roman"/>
          <w:b/>
        </w:rPr>
        <w:t xml:space="preserve"> </w:t>
      </w:r>
      <w:r w:rsidRPr="00966FC3">
        <w:rPr>
          <w:rFonts w:ascii="Times New Roman" w:eastAsia="Calibri" w:hAnsi="Times New Roman"/>
          <w:b/>
        </w:rPr>
        <w:tab/>
      </w:r>
      <w:r w:rsidRPr="00966FC3">
        <w:rPr>
          <w:rFonts w:ascii="Times New Roman" w:eastAsia="Calibri" w:hAnsi="Times New Roman"/>
        </w:rPr>
        <w:t>$</w:t>
      </w:r>
      <w:r w:rsidR="00276311">
        <w:rPr>
          <w:rFonts w:ascii="Times New Roman" w:eastAsia="Calibri" w:hAnsi="Times New Roman"/>
        </w:rPr>
        <w:t>15,6</w:t>
      </w:r>
      <w:r w:rsidR="005F22C1">
        <w:rPr>
          <w:rFonts w:ascii="Times New Roman" w:eastAsia="Calibri" w:hAnsi="Times New Roman"/>
        </w:rPr>
        <w:t>95</w:t>
      </w:r>
      <w:r w:rsidR="00276311">
        <w:rPr>
          <w:rFonts w:ascii="Times New Roman" w:eastAsia="Calibri" w:hAnsi="Times New Roman"/>
        </w:rPr>
        <w:t xml:space="preserve"> (</w:t>
      </w:r>
      <w:r w:rsidR="00BF20F6">
        <w:rPr>
          <w:rFonts w:ascii="Times New Roman" w:eastAsia="Calibri" w:hAnsi="Times New Roman"/>
        </w:rPr>
        <w:t xml:space="preserve">$9,365.94 </w:t>
      </w:r>
      <w:r w:rsidRPr="005D2C0F" w:rsidR="00BF20F6">
        <w:rPr>
          <w:rFonts w:ascii="Times New Roman" w:eastAsia="Calibri" w:hAnsi="Times New Roman"/>
          <w:vertAlign w:val="subscript"/>
        </w:rPr>
        <w:t>CM-2017</w:t>
      </w:r>
      <w:r w:rsidR="00BF20F6">
        <w:rPr>
          <w:rFonts w:ascii="Times New Roman" w:eastAsia="Calibri" w:hAnsi="Times New Roman"/>
        </w:rPr>
        <w:t xml:space="preserve"> + </w:t>
      </w:r>
      <w:r w:rsidRPr="00966FC3" w:rsidR="00BF20F6">
        <w:rPr>
          <w:rFonts w:ascii="Times New Roman" w:eastAsia="Calibri" w:hAnsi="Times New Roman"/>
        </w:rPr>
        <w:t>$</w:t>
      </w:r>
      <w:r w:rsidR="00BF20F6">
        <w:rPr>
          <w:rFonts w:ascii="Times New Roman" w:eastAsia="Calibri" w:hAnsi="Times New Roman"/>
        </w:rPr>
        <w:t xml:space="preserve">6,243.96 </w:t>
      </w:r>
      <w:r w:rsidRPr="005D2C0F" w:rsidR="00BF20F6">
        <w:rPr>
          <w:rFonts w:ascii="Times New Roman" w:eastAsia="Calibri" w:hAnsi="Times New Roman"/>
          <w:vertAlign w:val="subscript"/>
        </w:rPr>
        <w:t>CM-2017b</w:t>
      </w:r>
      <w:r w:rsidR="00BF20F6">
        <w:rPr>
          <w:rFonts w:ascii="Times New Roman" w:eastAsia="Calibri" w:hAnsi="Times New Roman"/>
        </w:rPr>
        <w:t xml:space="preserve"> + $85.47 </w:t>
      </w:r>
      <w:r w:rsidRPr="005D2C0F" w:rsidR="00BF20F6">
        <w:rPr>
          <w:rFonts w:ascii="Times New Roman" w:eastAsia="Calibri" w:hAnsi="Times New Roman"/>
          <w:vertAlign w:val="subscript"/>
        </w:rPr>
        <w:t>Quarterly Statements</w:t>
      </w:r>
      <w:r w:rsidR="00BF20F6">
        <w:rPr>
          <w:rFonts w:ascii="Times New Roman" w:eastAsia="Calibri" w:hAnsi="Times New Roman"/>
        </w:rPr>
        <w:t xml:space="preserve"> = $15,695.37 or </w:t>
      </w:r>
      <w:r w:rsidR="004E1AF3">
        <w:rPr>
          <w:rFonts w:ascii="Times New Roman" w:eastAsia="Calibri" w:hAnsi="Times New Roman"/>
        </w:rPr>
        <w:t>$15,</w:t>
      </w:r>
      <w:r w:rsidR="005E7BFF">
        <w:rPr>
          <w:rFonts w:ascii="Times New Roman" w:eastAsia="Calibri" w:hAnsi="Times New Roman"/>
        </w:rPr>
        <w:t>6</w:t>
      </w:r>
      <w:r w:rsidR="005F22C1">
        <w:rPr>
          <w:rFonts w:ascii="Times New Roman" w:eastAsia="Calibri" w:hAnsi="Times New Roman"/>
        </w:rPr>
        <w:t>95</w:t>
      </w:r>
      <w:r w:rsidR="005E7BFF">
        <w:rPr>
          <w:rFonts w:ascii="Times New Roman" w:eastAsia="Calibri" w:hAnsi="Times New Roman"/>
        </w:rPr>
        <w:t xml:space="preserve"> </w:t>
      </w:r>
      <w:r w:rsidR="004E1AF3">
        <w:rPr>
          <w:rFonts w:ascii="Times New Roman" w:eastAsia="Calibri" w:hAnsi="Times New Roman"/>
        </w:rPr>
        <w:t>rounded)</w:t>
      </w:r>
    </w:p>
    <w:p w:rsidR="00690F56" w:rsidRPr="00871CA6" w:rsidP="00690F56" w14:paraId="3F8C7E1B" w14:textId="0A5559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E7BFF" w:rsidP="00690F56" w14:paraId="330260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5E7BFF" w:rsidP="00690F56" w14:paraId="504984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A47DA7" w:rsidP="00690F56" w14:paraId="0BCEB47E" w14:textId="15F418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290E01" w:rsidP="00690F56" w14:paraId="63CDA8C9" w14:textId="74F538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530AA" w:rsidP="00690F56" w14:paraId="7E7BA186" w14:textId="1A4139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w:t>
      </w:r>
      <w:r w:rsidRPr="002530AA">
        <w:rPr>
          <w:rFonts w:ascii="Times New Roman" w:hAnsi="Times New Roman"/>
        </w:rPr>
        <w:t xml:space="preserve">he </w:t>
      </w:r>
      <w:r w:rsidR="00002985">
        <w:rPr>
          <w:rFonts w:ascii="Times New Roman" w:hAnsi="Times New Roman"/>
        </w:rPr>
        <w:t xml:space="preserve">final </w:t>
      </w:r>
      <w:r w:rsidRPr="002530AA">
        <w:rPr>
          <w:rFonts w:ascii="Times New Roman" w:hAnsi="Times New Roman"/>
        </w:rPr>
        <w:t xml:space="preserve">rule </w:t>
      </w:r>
      <w:r w:rsidRPr="002530AA" w:rsidR="001A1658">
        <w:rPr>
          <w:rFonts w:ascii="Times New Roman" w:hAnsi="Times New Roman"/>
        </w:rPr>
        <w:t>contains</w:t>
      </w:r>
      <w:r w:rsidRPr="002530AA">
        <w:rPr>
          <w:rFonts w:ascii="Times New Roman" w:hAnsi="Times New Roman"/>
        </w:rPr>
        <w:t xml:space="preserve"> information collections within the meaning of the PRA, </w:t>
      </w:r>
      <w:r w:rsidR="00DF0ED5">
        <w:rPr>
          <w:rFonts w:ascii="Times New Roman" w:hAnsi="Times New Roman"/>
        </w:rPr>
        <w:t xml:space="preserve">but </w:t>
      </w:r>
      <w:r w:rsidRPr="002530AA">
        <w:rPr>
          <w:rFonts w:ascii="Times New Roman" w:hAnsi="Times New Roman"/>
        </w:rPr>
        <w:t xml:space="preserve">the collections </w:t>
      </w:r>
      <w:r w:rsidR="00355E56">
        <w:rPr>
          <w:rFonts w:ascii="Times New Roman" w:hAnsi="Times New Roman"/>
        </w:rPr>
        <w:t xml:space="preserve">in forms CM-2017 and CM-2017b </w:t>
      </w:r>
      <w:r w:rsidRPr="002530AA">
        <w:rPr>
          <w:rFonts w:ascii="Times New Roman" w:hAnsi="Times New Roman"/>
        </w:rPr>
        <w:t>are not new. Aside from the removal of the collection associated with</w:t>
      </w:r>
      <w:r w:rsidR="00735C57">
        <w:rPr>
          <w:rFonts w:ascii="Times New Roman" w:hAnsi="Times New Roman"/>
        </w:rPr>
        <w:t xml:space="preserve"> submitting</w:t>
      </w:r>
      <w:r w:rsidRPr="002530AA">
        <w:rPr>
          <w:rFonts w:ascii="Times New Roman" w:hAnsi="Times New Roman"/>
        </w:rPr>
        <w:t xml:space="preserve"> form CM-2017a</w:t>
      </w:r>
      <w:r w:rsidR="00735C57">
        <w:rPr>
          <w:rFonts w:ascii="Times New Roman" w:hAnsi="Times New Roman"/>
        </w:rPr>
        <w:t xml:space="preserve"> to OWCP</w:t>
      </w:r>
      <w:r w:rsidRPr="002530AA">
        <w:rPr>
          <w:rFonts w:ascii="Times New Roman" w:hAnsi="Times New Roman"/>
        </w:rPr>
        <w:t xml:space="preserve">, the requirements for completion of the forms and the information collected on the forms </w:t>
      </w:r>
      <w:r w:rsidR="00002985">
        <w:rPr>
          <w:rFonts w:ascii="Times New Roman" w:hAnsi="Times New Roman"/>
        </w:rPr>
        <w:t>have</w:t>
      </w:r>
      <w:r w:rsidRPr="002530AA" w:rsidR="00002985">
        <w:rPr>
          <w:rFonts w:ascii="Times New Roman" w:hAnsi="Times New Roman"/>
        </w:rPr>
        <w:t xml:space="preserve"> </w:t>
      </w:r>
      <w:r w:rsidRPr="002530AA">
        <w:rPr>
          <w:rFonts w:ascii="Times New Roman" w:hAnsi="Times New Roman"/>
        </w:rPr>
        <w:t>not change</w:t>
      </w:r>
      <w:r w:rsidR="00002985">
        <w:rPr>
          <w:rFonts w:ascii="Times New Roman" w:hAnsi="Times New Roman"/>
        </w:rPr>
        <w:t>d</w:t>
      </w:r>
      <w:r w:rsidRPr="002530AA">
        <w:rPr>
          <w:rFonts w:ascii="Times New Roman" w:hAnsi="Times New Roman"/>
        </w:rPr>
        <w:t xml:space="preserve"> </w:t>
      </w:r>
      <w:r w:rsidR="00002985">
        <w:rPr>
          <w:rFonts w:ascii="Times New Roman" w:hAnsi="Times New Roman"/>
        </w:rPr>
        <w:t>with this final rule</w:t>
      </w:r>
      <w:r w:rsidR="001A1658">
        <w:rPr>
          <w:rFonts w:ascii="Times New Roman" w:hAnsi="Times New Roman"/>
        </w:rPr>
        <w:t xml:space="preserve">. </w:t>
      </w:r>
    </w:p>
    <w:p w:rsidR="00F37D6E" w:rsidP="00690F56" w14:paraId="2BA638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A1658" w:rsidP="00690F56" w14:paraId="7809293C" w14:textId="5354A8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final rule requires</w:t>
      </w:r>
      <w:r w:rsidR="00447DFA">
        <w:rPr>
          <w:rFonts w:ascii="Times New Roman" w:hAnsi="Times New Roman"/>
        </w:rPr>
        <w:t xml:space="preserve"> that operators continuing to use Section 501(c)(21) trusts as security</w:t>
      </w:r>
      <w:r w:rsidR="00926021">
        <w:rPr>
          <w:rFonts w:ascii="Times New Roman" w:hAnsi="Times New Roman"/>
        </w:rPr>
        <w:t xml:space="preserve"> must submit</w:t>
      </w:r>
      <w:r>
        <w:rPr>
          <w:rFonts w:ascii="Times New Roman" w:hAnsi="Times New Roman"/>
        </w:rPr>
        <w:t xml:space="preserve"> quarterly financial </w:t>
      </w:r>
      <w:r w:rsidR="00926021">
        <w:rPr>
          <w:rFonts w:ascii="Times New Roman" w:hAnsi="Times New Roman"/>
        </w:rPr>
        <w:t>statements to OWCP document</w:t>
      </w:r>
      <w:r w:rsidR="00BC121B">
        <w:rPr>
          <w:rFonts w:ascii="Times New Roman" w:hAnsi="Times New Roman"/>
        </w:rPr>
        <w:t xml:space="preserve">ing </w:t>
      </w:r>
      <w:r w:rsidR="00926021">
        <w:rPr>
          <w:rFonts w:ascii="Times New Roman" w:hAnsi="Times New Roman"/>
        </w:rPr>
        <w:t>the value of the trusts.</w:t>
      </w:r>
      <w:r w:rsidR="00BC121B">
        <w:rPr>
          <w:rFonts w:ascii="Times New Roman" w:hAnsi="Times New Roman"/>
        </w:rPr>
        <w:t xml:space="preserve"> The value of such </w:t>
      </w:r>
      <w:r w:rsidR="00BA4516">
        <w:rPr>
          <w:rFonts w:ascii="Times New Roman" w:hAnsi="Times New Roman"/>
        </w:rPr>
        <w:t>trusts</w:t>
      </w:r>
      <w:r w:rsidR="00BC121B">
        <w:rPr>
          <w:rFonts w:ascii="Times New Roman" w:hAnsi="Times New Roman"/>
        </w:rPr>
        <w:t xml:space="preserve"> may decrease between annual reviews. </w:t>
      </w:r>
      <w:r w:rsidR="00BA4516">
        <w:rPr>
          <w:rFonts w:ascii="Times New Roman" w:hAnsi="Times New Roman"/>
        </w:rPr>
        <w:t xml:space="preserve">Receiving quarterly reports on the trust values will </w:t>
      </w:r>
      <w:r w:rsidR="00926021">
        <w:rPr>
          <w:rFonts w:ascii="Times New Roman" w:hAnsi="Times New Roman"/>
        </w:rPr>
        <w:t xml:space="preserve">allow OWCP to ensure that operators are </w:t>
      </w:r>
      <w:r w:rsidR="005A5E04">
        <w:rPr>
          <w:rFonts w:ascii="Times New Roman" w:hAnsi="Times New Roman"/>
        </w:rPr>
        <w:t>continuing to meet</w:t>
      </w:r>
      <w:r w:rsidR="00926021">
        <w:rPr>
          <w:rFonts w:ascii="Times New Roman" w:hAnsi="Times New Roman"/>
        </w:rPr>
        <w:t xml:space="preserve"> their security requirements</w:t>
      </w:r>
      <w:r w:rsidR="00F617A4">
        <w:rPr>
          <w:rFonts w:ascii="Times New Roman" w:hAnsi="Times New Roman"/>
        </w:rPr>
        <w:t>.</w:t>
      </w:r>
    </w:p>
    <w:p w:rsidR="00D643B2" w:rsidP="00690F56" w14:paraId="6808BBC5" w14:textId="7B5EB7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B559B0" w:rsidP="00B559B0" w14:paraId="7B0C93F9" w14:textId="77777777">
      <w:pPr>
        <w:rPr>
          <w:rFonts w:ascii="Times New Roman" w:hAnsi="Times New Roman"/>
          <w:iCs/>
          <w:color w:val="000000"/>
          <w:u w:val="single"/>
        </w:rPr>
      </w:pPr>
    </w:p>
    <w:p w:rsidR="00B559B0" w:rsidRPr="00950F70" w:rsidP="00B559B0" w14:paraId="4D73DAC2" w14:textId="51A9D2E6">
      <w:pPr>
        <w:rPr>
          <w:rFonts w:ascii="Times New Roman" w:hAnsi="Times New Roman"/>
          <w:iCs/>
          <w:color w:val="000000"/>
        </w:rPr>
      </w:pPr>
      <w:r w:rsidRPr="00950F70">
        <w:rPr>
          <w:rFonts w:ascii="Times New Roman" w:hAnsi="Times New Roman"/>
          <w:iCs/>
          <w:color w:val="000000"/>
          <w:u w:val="single"/>
        </w:rPr>
        <w:t>EXPLANATION OF CHANGE TOTALS</w:t>
      </w:r>
    </w:p>
    <w:p w:rsidR="000F4D5D" w:rsidRPr="00950F70" w:rsidP="00B559B0" w14:paraId="4073855A" w14:textId="77777777">
      <w:pPr>
        <w:rPr>
          <w:rFonts w:ascii="Times New Roman" w:hAnsi="Times New Roman"/>
          <w:iCs/>
          <w:color w:val="000000"/>
        </w:rPr>
      </w:pPr>
    </w:p>
    <w:p w:rsidR="0006278C" w:rsidRPr="0006278C" w:rsidP="0006278C" w14:paraId="1E0D30C9" w14:textId="6298FA8F">
      <w:pPr>
        <w:rPr>
          <w:rFonts w:ascii="Times New Roman" w:hAnsi="Times New Roman"/>
          <w:iCs/>
          <w:color w:val="000000"/>
        </w:rPr>
      </w:pPr>
      <w:r w:rsidRPr="00950F70">
        <w:rPr>
          <w:rFonts w:ascii="Times New Roman" w:hAnsi="Times New Roman"/>
          <w:b/>
          <w:bCs/>
          <w:i/>
          <w:iCs/>
          <w:color w:val="000000"/>
          <w:u w:val="single"/>
        </w:rPr>
        <w:t>Respondents</w:t>
      </w:r>
      <w:r w:rsidRPr="00950F70">
        <w:rPr>
          <w:rFonts w:ascii="Times New Roman" w:hAnsi="Times New Roman"/>
          <w:iCs/>
          <w:color w:val="000000"/>
        </w:rPr>
        <w:t xml:space="preserve">:  </w:t>
      </w:r>
      <w:r w:rsidRPr="00276311" w:rsidR="00EE7A5B">
        <w:rPr>
          <w:rFonts w:ascii="Times New Roman" w:hAnsi="Times New Roman"/>
        </w:rPr>
        <w:t>The estimated number of self-insure</w:t>
      </w:r>
      <w:r w:rsidR="00EE7A5B">
        <w:rPr>
          <w:rFonts w:ascii="Times New Roman" w:hAnsi="Times New Roman"/>
        </w:rPr>
        <w:t>d</w:t>
      </w:r>
      <w:r w:rsidRPr="00276311" w:rsidR="00EE7A5B">
        <w:rPr>
          <w:rFonts w:ascii="Times New Roman" w:hAnsi="Times New Roman"/>
        </w:rPr>
        <w:t xml:space="preserve"> </w:t>
      </w:r>
      <w:r w:rsidR="00EE7A5B">
        <w:rPr>
          <w:rFonts w:ascii="Times New Roman" w:hAnsi="Times New Roman"/>
        </w:rPr>
        <w:t>operators</w:t>
      </w:r>
      <w:r w:rsidRPr="00276311" w:rsidR="00EE7A5B">
        <w:rPr>
          <w:rFonts w:ascii="Times New Roman" w:hAnsi="Times New Roman"/>
        </w:rPr>
        <w:t xml:space="preserve"> has </w:t>
      </w:r>
      <w:r w:rsidR="00EE7A5B">
        <w:rPr>
          <w:rFonts w:ascii="Times New Roman" w:hAnsi="Times New Roman"/>
        </w:rPr>
        <w:t>increased</w:t>
      </w:r>
      <w:r w:rsidRPr="00276311" w:rsidR="00EE7A5B">
        <w:rPr>
          <w:rFonts w:ascii="Times New Roman" w:hAnsi="Times New Roman"/>
        </w:rPr>
        <w:t xml:space="preserve"> from </w:t>
      </w:r>
      <w:r w:rsidR="00EE7A5B">
        <w:rPr>
          <w:rFonts w:ascii="Times New Roman" w:hAnsi="Times New Roman"/>
        </w:rPr>
        <w:t>49</w:t>
      </w:r>
      <w:r w:rsidRPr="00276311" w:rsidR="00EE7A5B">
        <w:rPr>
          <w:rFonts w:ascii="Times New Roman" w:hAnsi="Times New Roman"/>
        </w:rPr>
        <w:t xml:space="preserve"> to </w:t>
      </w:r>
      <w:r w:rsidR="00EE7A5B">
        <w:rPr>
          <w:rFonts w:ascii="Times New Roman" w:hAnsi="Times New Roman"/>
        </w:rPr>
        <w:t>61</w:t>
      </w:r>
      <w:r w:rsidRPr="00276311" w:rsidR="00EE7A5B">
        <w:rPr>
          <w:rFonts w:ascii="Times New Roman" w:hAnsi="Times New Roman"/>
        </w:rPr>
        <w:t xml:space="preserve">. </w:t>
      </w:r>
      <w:r w:rsidRPr="0006278C">
        <w:rPr>
          <w:rFonts w:ascii="Times New Roman" w:hAnsi="Times New Roman"/>
          <w:iCs/>
          <w:color w:val="000000"/>
        </w:rPr>
        <w:t xml:space="preserve">This is because OWCP has records for 61 self-insured operators and, even though it does not expect all to apply for authorization, </w:t>
      </w:r>
      <w:r w:rsidR="00632C4E">
        <w:rPr>
          <w:rFonts w:ascii="Times New Roman" w:hAnsi="Times New Roman"/>
          <w:iCs/>
          <w:color w:val="000000"/>
        </w:rPr>
        <w:t>OWCP</w:t>
      </w:r>
      <w:r w:rsidRPr="0006278C">
        <w:rPr>
          <w:rFonts w:ascii="Times New Roman" w:hAnsi="Times New Roman"/>
          <w:iCs/>
          <w:color w:val="000000"/>
        </w:rPr>
        <w:t xml:space="preserve"> wants to avoid underestimating the burdens.</w:t>
      </w:r>
    </w:p>
    <w:p w:rsidR="00B559B0" w:rsidRPr="00950F70" w:rsidP="00B559B0" w14:paraId="31748D64" w14:textId="3EB32710">
      <w:pPr>
        <w:rPr>
          <w:rFonts w:ascii="Times New Roman" w:hAnsi="Times New Roman"/>
          <w:iCs/>
          <w:color w:val="000000"/>
        </w:rPr>
      </w:pPr>
    </w:p>
    <w:p w:rsidR="00B559B0" w:rsidRPr="00950F70" w:rsidP="00B559B0" w14:paraId="2934D2F1" w14:textId="21B4237C">
      <w:pPr>
        <w:widowControl/>
        <w:spacing w:after="120"/>
        <w:rPr>
          <w:rFonts w:ascii="Times New Roman" w:hAnsi="Times New Roman"/>
          <w:i/>
          <w:color w:val="000000"/>
          <w:u w:val="single"/>
        </w:rPr>
      </w:pPr>
    </w:p>
    <w:p w:rsidR="00480BAF" w:rsidP="00B559B0" w14:paraId="2F8A68A7" w14:textId="4A603933">
      <w:pPr>
        <w:widowControl/>
        <w:spacing w:after="120"/>
        <w:rPr>
          <w:rFonts w:ascii="Times New Roman" w:hAnsi="Times New Roman"/>
        </w:rPr>
      </w:pPr>
      <w:r>
        <w:rPr>
          <w:rFonts w:ascii="Times New Roman" w:hAnsi="Times New Roman"/>
        </w:rPr>
        <w:t xml:space="preserve">Despite </w:t>
      </w:r>
      <w:r w:rsidR="00127DC1">
        <w:rPr>
          <w:rFonts w:ascii="Times New Roman" w:hAnsi="Times New Roman"/>
        </w:rPr>
        <w:t>the</w:t>
      </w:r>
      <w:r w:rsidR="004448FC">
        <w:rPr>
          <w:rFonts w:ascii="Times New Roman" w:hAnsi="Times New Roman"/>
        </w:rPr>
        <w:t xml:space="preserve"> </w:t>
      </w:r>
      <w:r w:rsidR="00127DC1">
        <w:rPr>
          <w:rFonts w:ascii="Times New Roman" w:hAnsi="Times New Roman"/>
        </w:rPr>
        <w:t xml:space="preserve">estimated </w:t>
      </w:r>
      <w:r w:rsidR="00E83FD5">
        <w:rPr>
          <w:rFonts w:ascii="Times New Roman" w:hAnsi="Times New Roman"/>
        </w:rPr>
        <w:t>increase</w:t>
      </w:r>
      <w:r w:rsidR="00127DC1">
        <w:rPr>
          <w:rFonts w:ascii="Times New Roman" w:hAnsi="Times New Roman"/>
        </w:rPr>
        <w:t xml:space="preserve"> in</w:t>
      </w:r>
      <w:r w:rsidR="00007729">
        <w:rPr>
          <w:rFonts w:ascii="Times New Roman" w:hAnsi="Times New Roman"/>
        </w:rPr>
        <w:t xml:space="preserve"> CM-2017</w:t>
      </w:r>
      <w:r w:rsidR="00260EC8">
        <w:rPr>
          <w:rFonts w:ascii="Times New Roman" w:hAnsi="Times New Roman"/>
        </w:rPr>
        <w:t xml:space="preserve"> </w:t>
      </w:r>
      <w:r w:rsidR="00D2734C">
        <w:rPr>
          <w:rFonts w:ascii="Times New Roman" w:hAnsi="Times New Roman"/>
        </w:rPr>
        <w:t>and</w:t>
      </w:r>
      <w:r w:rsidR="00260EC8">
        <w:rPr>
          <w:rFonts w:ascii="Times New Roman" w:hAnsi="Times New Roman"/>
        </w:rPr>
        <w:t xml:space="preserve"> CM-2017b response</w:t>
      </w:r>
      <w:r w:rsidR="00675379">
        <w:rPr>
          <w:rFonts w:ascii="Times New Roman" w:hAnsi="Times New Roman"/>
        </w:rPr>
        <w:t>s</w:t>
      </w:r>
      <w:r w:rsidR="0070379C">
        <w:rPr>
          <w:rFonts w:ascii="Times New Roman" w:hAnsi="Times New Roman"/>
        </w:rPr>
        <w:t>, and</w:t>
      </w:r>
      <w:r w:rsidR="00BB7DF3">
        <w:rPr>
          <w:rFonts w:ascii="Times New Roman" w:hAnsi="Times New Roman"/>
        </w:rPr>
        <w:t xml:space="preserve"> the new</w:t>
      </w:r>
      <w:r w:rsidR="0070379C">
        <w:rPr>
          <w:rFonts w:ascii="Times New Roman" w:hAnsi="Times New Roman"/>
        </w:rPr>
        <w:t xml:space="preserve"> </w:t>
      </w:r>
      <w:r w:rsidR="006F3A45">
        <w:rPr>
          <w:rFonts w:ascii="Times New Roman" w:hAnsi="Times New Roman"/>
        </w:rPr>
        <w:t xml:space="preserve">responses for </w:t>
      </w:r>
      <w:r w:rsidR="00364C8C">
        <w:rPr>
          <w:rFonts w:ascii="Times New Roman" w:hAnsi="Times New Roman"/>
        </w:rPr>
        <w:t>quarterly</w:t>
      </w:r>
      <w:r w:rsidR="0070379C">
        <w:rPr>
          <w:rFonts w:ascii="Times New Roman" w:hAnsi="Times New Roman"/>
        </w:rPr>
        <w:t>-</w:t>
      </w:r>
      <w:r w:rsidR="00364C8C">
        <w:rPr>
          <w:rFonts w:ascii="Times New Roman" w:hAnsi="Times New Roman"/>
        </w:rPr>
        <w:t>financial</w:t>
      </w:r>
      <w:r w:rsidR="0070379C">
        <w:rPr>
          <w:rFonts w:ascii="Times New Roman" w:hAnsi="Times New Roman"/>
        </w:rPr>
        <w:t>-</w:t>
      </w:r>
      <w:r w:rsidR="00364C8C">
        <w:rPr>
          <w:rFonts w:ascii="Times New Roman" w:hAnsi="Times New Roman"/>
        </w:rPr>
        <w:t>report</w:t>
      </w:r>
      <w:r w:rsidR="0070379C">
        <w:rPr>
          <w:rFonts w:ascii="Times New Roman" w:hAnsi="Times New Roman"/>
        </w:rPr>
        <w:t xml:space="preserve"> filings </w:t>
      </w:r>
      <w:r w:rsidR="00A72C5F">
        <w:rPr>
          <w:rFonts w:ascii="Times New Roman" w:hAnsi="Times New Roman"/>
        </w:rPr>
        <w:t>on</w:t>
      </w:r>
      <w:r w:rsidR="00275044">
        <w:rPr>
          <w:rFonts w:ascii="Times New Roman" w:hAnsi="Times New Roman"/>
        </w:rPr>
        <w:t xml:space="preserve"> </w:t>
      </w:r>
      <w:r w:rsidR="0070379C">
        <w:rPr>
          <w:rFonts w:ascii="Times New Roman" w:hAnsi="Times New Roman"/>
        </w:rPr>
        <w:t>Section 501(c)(21) trusts</w:t>
      </w:r>
      <w:r w:rsidR="00364C8C">
        <w:rPr>
          <w:rFonts w:ascii="Times New Roman" w:hAnsi="Times New Roman"/>
        </w:rPr>
        <w:t xml:space="preserve">, </w:t>
      </w:r>
      <w:r w:rsidR="00BB4132">
        <w:rPr>
          <w:rFonts w:ascii="Times New Roman" w:hAnsi="Times New Roman"/>
        </w:rPr>
        <w:t>t</w:t>
      </w:r>
      <w:r w:rsidRPr="00276311" w:rsidR="00BB4132">
        <w:rPr>
          <w:rFonts w:ascii="Times New Roman" w:hAnsi="Times New Roman"/>
        </w:rPr>
        <w:t>he</w:t>
      </w:r>
      <w:r w:rsidR="00BB4132">
        <w:rPr>
          <w:rFonts w:ascii="Times New Roman" w:hAnsi="Times New Roman"/>
        </w:rPr>
        <w:t xml:space="preserve"> </w:t>
      </w:r>
      <w:r w:rsidRPr="00276311" w:rsidR="00BB4132">
        <w:rPr>
          <w:rFonts w:ascii="Times New Roman" w:hAnsi="Times New Roman"/>
        </w:rPr>
        <w:t xml:space="preserve">estimated annualized </w:t>
      </w:r>
      <w:r w:rsidR="0085108D">
        <w:rPr>
          <w:rFonts w:ascii="Times New Roman" w:hAnsi="Times New Roman"/>
        </w:rPr>
        <w:t xml:space="preserve">number of </w:t>
      </w:r>
      <w:r w:rsidR="00BB4132">
        <w:rPr>
          <w:rFonts w:ascii="Times New Roman" w:hAnsi="Times New Roman"/>
        </w:rPr>
        <w:t>responses</w:t>
      </w:r>
      <w:r w:rsidRPr="00276311" w:rsidR="00BB4132">
        <w:rPr>
          <w:rFonts w:ascii="Times New Roman" w:hAnsi="Times New Roman"/>
        </w:rPr>
        <w:t xml:space="preserve"> </w:t>
      </w:r>
      <w:r w:rsidR="00BB4132">
        <w:rPr>
          <w:rFonts w:ascii="Times New Roman" w:hAnsi="Times New Roman"/>
        </w:rPr>
        <w:t xml:space="preserve">and </w:t>
      </w:r>
      <w:r w:rsidRPr="00276311" w:rsidR="00BB4132">
        <w:rPr>
          <w:rFonts w:ascii="Times New Roman" w:hAnsi="Times New Roman"/>
        </w:rPr>
        <w:t>burden hours</w:t>
      </w:r>
      <w:r w:rsidR="00881A04">
        <w:rPr>
          <w:rFonts w:ascii="Times New Roman" w:hAnsi="Times New Roman"/>
        </w:rPr>
        <w:t xml:space="preserve"> </w:t>
      </w:r>
      <w:r w:rsidRPr="00276311" w:rsidR="00BB4132">
        <w:rPr>
          <w:rFonts w:ascii="Times New Roman" w:hAnsi="Times New Roman"/>
        </w:rPr>
        <w:t>h</w:t>
      </w:r>
      <w:r w:rsidR="00BB4132">
        <w:rPr>
          <w:rFonts w:ascii="Times New Roman" w:hAnsi="Times New Roman"/>
        </w:rPr>
        <w:t>ave</w:t>
      </w:r>
      <w:r w:rsidRPr="00276311" w:rsidR="00BB4132">
        <w:rPr>
          <w:rFonts w:ascii="Times New Roman" w:hAnsi="Times New Roman"/>
        </w:rPr>
        <w:t xml:space="preserve"> </w:t>
      </w:r>
      <w:r w:rsidR="00BB4132">
        <w:rPr>
          <w:rFonts w:ascii="Times New Roman" w:hAnsi="Times New Roman"/>
        </w:rPr>
        <w:t>decreased</w:t>
      </w:r>
      <w:r w:rsidR="00910940">
        <w:rPr>
          <w:rFonts w:ascii="Times New Roman" w:hAnsi="Times New Roman"/>
        </w:rPr>
        <w:t xml:space="preserve"> </w:t>
      </w:r>
      <w:r w:rsidRPr="00276311" w:rsidR="00BB4132">
        <w:rPr>
          <w:rFonts w:ascii="Times New Roman" w:hAnsi="Times New Roman"/>
        </w:rPr>
        <w:t xml:space="preserve">due to the </w:t>
      </w:r>
      <w:r w:rsidR="00BB4132">
        <w:rPr>
          <w:rFonts w:ascii="Times New Roman" w:hAnsi="Times New Roman"/>
        </w:rPr>
        <w:t>removal of the CM-2017a</w:t>
      </w:r>
      <w:r w:rsidR="00A56EB3">
        <w:rPr>
          <w:rFonts w:ascii="Times New Roman" w:hAnsi="Times New Roman"/>
        </w:rPr>
        <w:t xml:space="preserve"> form</w:t>
      </w:r>
      <w:r w:rsidR="00EE2E49">
        <w:rPr>
          <w:rFonts w:ascii="Times New Roman" w:hAnsi="Times New Roman"/>
        </w:rPr>
        <w:t xml:space="preserve">. </w:t>
      </w:r>
      <w:r w:rsidR="00BB4132">
        <w:rPr>
          <w:rFonts w:ascii="Times New Roman" w:hAnsi="Times New Roman"/>
        </w:rPr>
        <w:t xml:space="preserve"> </w:t>
      </w:r>
      <w:r w:rsidRPr="002530AA" w:rsidR="00BB4132">
        <w:rPr>
          <w:rFonts w:ascii="Times New Roman" w:hAnsi="Times New Roman"/>
        </w:rPr>
        <w:t xml:space="preserve">  </w:t>
      </w:r>
    </w:p>
    <w:p w:rsidR="00480BAF" w:rsidP="00B559B0" w14:paraId="3A74CAB9" w14:textId="77777777">
      <w:pPr>
        <w:widowControl/>
        <w:spacing w:after="120"/>
        <w:rPr>
          <w:rFonts w:ascii="Times New Roman" w:hAnsi="Times New Roman"/>
        </w:rPr>
      </w:pPr>
    </w:p>
    <w:p w:rsidR="00B559B0" w:rsidRPr="00950F70" w:rsidP="00B559B0" w14:paraId="6A8D3613" w14:textId="51B8D82E">
      <w:pPr>
        <w:widowControl/>
        <w:spacing w:after="120"/>
        <w:rPr>
          <w:rFonts w:ascii="Times New Roman" w:hAnsi="Times New Roman"/>
          <w:color w:val="000000"/>
        </w:rPr>
      </w:pPr>
      <w:r w:rsidRPr="00950F70">
        <w:rPr>
          <w:rFonts w:ascii="Times New Roman" w:hAnsi="Times New Roman"/>
          <w:b/>
          <w:bCs/>
          <w:i/>
          <w:color w:val="000000"/>
          <w:u w:val="single"/>
        </w:rPr>
        <w:t>Responses</w:t>
      </w:r>
      <w:r w:rsidRPr="00950F70">
        <w:rPr>
          <w:rFonts w:ascii="Times New Roman" w:hAnsi="Times New Roman"/>
          <w:color w:val="000000"/>
        </w:rPr>
        <w:t xml:space="preserve">:  Responses have </w:t>
      </w:r>
      <w:r w:rsidR="00753A97">
        <w:rPr>
          <w:rFonts w:ascii="Times New Roman" w:hAnsi="Times New Roman"/>
          <w:color w:val="000000"/>
        </w:rPr>
        <w:t>decreased</w:t>
      </w:r>
      <w:r w:rsidRPr="00950F70">
        <w:rPr>
          <w:rFonts w:ascii="Times New Roman" w:hAnsi="Times New Roman"/>
          <w:color w:val="000000"/>
        </w:rPr>
        <w:t xml:space="preserve"> from </w:t>
      </w:r>
      <w:bookmarkStart w:id="3" w:name="_Hlk124940599"/>
      <w:r>
        <w:rPr>
          <w:rFonts w:ascii="Times New Roman" w:hAnsi="Times New Roman"/>
          <w:color w:val="000000"/>
        </w:rPr>
        <w:t>2</w:t>
      </w:r>
      <w:r w:rsidR="00EA7688">
        <w:rPr>
          <w:rFonts w:ascii="Times New Roman" w:hAnsi="Times New Roman"/>
          <w:color w:val="000000"/>
        </w:rPr>
        <w:t>9</w:t>
      </w:r>
      <w:r>
        <w:rPr>
          <w:rFonts w:ascii="Times New Roman" w:hAnsi="Times New Roman"/>
          <w:color w:val="000000"/>
        </w:rPr>
        <w:t>4</w:t>
      </w:r>
      <w:r w:rsidRPr="00950F70">
        <w:rPr>
          <w:rFonts w:ascii="Times New Roman" w:hAnsi="Times New Roman"/>
          <w:color w:val="000000"/>
        </w:rPr>
        <w:t xml:space="preserve"> to </w:t>
      </w:r>
      <w:r w:rsidR="00753A97">
        <w:rPr>
          <w:rFonts w:ascii="Times New Roman" w:hAnsi="Times New Roman"/>
          <w:color w:val="000000"/>
        </w:rPr>
        <w:t>1</w:t>
      </w:r>
      <w:r w:rsidR="00D65D66">
        <w:rPr>
          <w:rFonts w:ascii="Times New Roman" w:hAnsi="Times New Roman"/>
          <w:color w:val="000000"/>
        </w:rPr>
        <w:t>42</w:t>
      </w:r>
      <w:r w:rsidRPr="00950F70">
        <w:rPr>
          <w:rFonts w:ascii="Times New Roman" w:hAnsi="Times New Roman"/>
          <w:color w:val="000000"/>
        </w:rPr>
        <w:t>.</w:t>
      </w:r>
      <w:bookmarkEnd w:id="3"/>
    </w:p>
    <w:p w:rsidR="00B559B0" w:rsidRPr="00950F70" w:rsidP="00B559B0" w14:paraId="46605E87" w14:textId="77777777">
      <w:pPr>
        <w:widowControl/>
        <w:spacing w:after="120"/>
        <w:rPr>
          <w:rFonts w:ascii="Times New Roman" w:hAnsi="Times New Roman"/>
          <w:color w:val="000000"/>
        </w:rPr>
      </w:pPr>
    </w:p>
    <w:p w:rsidR="00B559B0" w:rsidRPr="00950F70" w:rsidP="00B559B0" w14:paraId="7A1742E5" w14:textId="655C85C4">
      <w:pPr>
        <w:spacing w:after="120"/>
        <w:rPr>
          <w:rFonts w:ascii="Times New Roman" w:hAnsi="Times New Roman"/>
          <w:color w:val="000000"/>
        </w:rPr>
      </w:pPr>
      <w:r w:rsidRPr="00950F70">
        <w:rPr>
          <w:rFonts w:ascii="Times New Roman" w:hAnsi="Times New Roman"/>
          <w:b/>
          <w:bCs/>
          <w:i/>
          <w:color w:val="000000"/>
          <w:u w:val="single"/>
        </w:rPr>
        <w:t>Burden Hours</w:t>
      </w:r>
      <w:r w:rsidRPr="00950F70">
        <w:rPr>
          <w:rFonts w:ascii="Times New Roman" w:hAnsi="Times New Roman"/>
          <w:color w:val="000000"/>
        </w:rPr>
        <w:t xml:space="preserve">:  Burden hours have </w:t>
      </w:r>
      <w:r w:rsidR="00753A97">
        <w:rPr>
          <w:rFonts w:ascii="Times New Roman" w:hAnsi="Times New Roman"/>
          <w:color w:val="000000"/>
        </w:rPr>
        <w:t>decreased</w:t>
      </w:r>
      <w:r w:rsidRPr="00950F70">
        <w:rPr>
          <w:rFonts w:ascii="Times New Roman" w:hAnsi="Times New Roman"/>
          <w:color w:val="000000"/>
        </w:rPr>
        <w:t xml:space="preserve"> from </w:t>
      </w:r>
      <w:r w:rsidR="00753A97">
        <w:rPr>
          <w:rFonts w:ascii="Times New Roman" w:hAnsi="Times New Roman"/>
          <w:color w:val="000000"/>
        </w:rPr>
        <w:t>261</w:t>
      </w:r>
      <w:r w:rsidRPr="00950F70">
        <w:rPr>
          <w:rFonts w:ascii="Times New Roman" w:hAnsi="Times New Roman"/>
          <w:color w:val="000000"/>
        </w:rPr>
        <w:t xml:space="preserve"> to </w:t>
      </w:r>
      <w:r w:rsidR="00753A97">
        <w:rPr>
          <w:rFonts w:ascii="Times New Roman" w:hAnsi="Times New Roman"/>
          <w:color w:val="000000"/>
        </w:rPr>
        <w:t>24</w:t>
      </w:r>
      <w:r w:rsidR="00D65D66">
        <w:rPr>
          <w:rFonts w:ascii="Times New Roman" w:hAnsi="Times New Roman"/>
          <w:color w:val="000000"/>
        </w:rPr>
        <w:t>6</w:t>
      </w:r>
      <w:r w:rsidRPr="00950F70">
        <w:rPr>
          <w:rFonts w:ascii="Times New Roman" w:hAnsi="Times New Roman"/>
          <w:color w:val="000000"/>
        </w:rPr>
        <w:t>.</w:t>
      </w:r>
      <w:r w:rsidRPr="00480BAF" w:rsidR="00480BAF">
        <w:rPr>
          <w:rFonts w:ascii="Times New Roman" w:hAnsi="Times New Roman"/>
        </w:rPr>
        <w:t xml:space="preserve"> </w:t>
      </w:r>
    </w:p>
    <w:p w:rsidR="00B559B0" w:rsidRPr="00950F70" w:rsidP="00B559B0" w14:paraId="696E53EF" w14:textId="77777777">
      <w:pPr>
        <w:spacing w:after="120"/>
        <w:rPr>
          <w:rFonts w:ascii="Times New Roman" w:hAnsi="Times New Roman"/>
          <w:color w:val="000000"/>
        </w:rPr>
      </w:pPr>
    </w:p>
    <w:p w:rsidR="00B559B0" w:rsidRPr="00950F70" w:rsidP="00B559B0" w14:paraId="4896E4B2" w14:textId="7EC3ED04">
      <w:pPr>
        <w:rPr>
          <w:rFonts w:ascii="Times New Roman" w:hAnsi="Times New Roman"/>
          <w:iCs/>
          <w:color w:val="000000"/>
        </w:rPr>
      </w:pPr>
      <w:r w:rsidRPr="00950F70">
        <w:rPr>
          <w:rFonts w:ascii="Times New Roman" w:hAnsi="Times New Roman"/>
          <w:b/>
          <w:bCs/>
          <w:i/>
          <w:color w:val="000000"/>
          <w:u w:val="single"/>
        </w:rPr>
        <w:t>Costs</w:t>
      </w:r>
      <w:r w:rsidRPr="00950F70">
        <w:rPr>
          <w:rFonts w:ascii="Times New Roman" w:hAnsi="Times New Roman"/>
          <w:color w:val="000000"/>
        </w:rPr>
        <w:t xml:space="preserve">:  Annual burden costs have </w:t>
      </w:r>
      <w:r w:rsidR="00753A97">
        <w:rPr>
          <w:rFonts w:ascii="Times New Roman" w:hAnsi="Times New Roman"/>
          <w:color w:val="000000"/>
        </w:rPr>
        <w:t>decreased</w:t>
      </w:r>
      <w:r w:rsidRPr="00950F70">
        <w:rPr>
          <w:rFonts w:ascii="Times New Roman" w:hAnsi="Times New Roman"/>
          <w:color w:val="000000"/>
        </w:rPr>
        <w:t xml:space="preserve"> from $</w:t>
      </w:r>
      <w:r w:rsidR="005E7BCE">
        <w:rPr>
          <w:rFonts w:ascii="Times New Roman" w:hAnsi="Times New Roman"/>
          <w:color w:val="000000"/>
        </w:rPr>
        <w:t>34,080</w:t>
      </w:r>
      <w:r w:rsidRPr="00950F70">
        <w:rPr>
          <w:rFonts w:ascii="Times New Roman" w:hAnsi="Times New Roman"/>
          <w:color w:val="000000"/>
        </w:rPr>
        <w:t xml:space="preserve"> to $</w:t>
      </w:r>
      <w:r w:rsidR="005E7BCE">
        <w:rPr>
          <w:rFonts w:ascii="Times New Roman" w:hAnsi="Times New Roman"/>
          <w:color w:val="000000"/>
        </w:rPr>
        <w:t>34,000</w:t>
      </w:r>
      <w:r w:rsidR="00480BAF">
        <w:rPr>
          <w:rFonts w:ascii="Times New Roman" w:hAnsi="Times New Roman"/>
          <w:color w:val="000000"/>
        </w:rPr>
        <w:t xml:space="preserve"> due to the removal of </w:t>
      </w:r>
      <w:r w:rsidR="00480BAF">
        <w:rPr>
          <w:rFonts w:ascii="Times New Roman" w:hAnsi="Times New Roman"/>
        </w:rPr>
        <w:t>the associated mailing costs</w:t>
      </w:r>
      <w:r w:rsidR="00CB0C9E">
        <w:rPr>
          <w:rFonts w:ascii="Times New Roman" w:hAnsi="Times New Roman"/>
        </w:rPr>
        <w:t xml:space="preserve">. </w:t>
      </w:r>
    </w:p>
    <w:p w:rsidR="00276311" w:rsidP="00690F56" w14:paraId="2C35CE4C" w14:textId="2DF5B6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04188" w:rsidRPr="00F4518C" w:rsidP="00690F56" w14:paraId="428FE0A4" w14:textId="7B34E7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376C01" w:rsidP="00690F56" w14:paraId="26652C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1B6C57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6C01">
        <w:rPr>
          <w:rFonts w:ascii="Times New Roman" w:hAnsi="Times New Roman"/>
        </w:rPr>
        <w:t>There are no plans to publish data collected under this request.</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376C01" w:rsidP="00690F56" w14:paraId="16FD35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60CADD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6C01">
        <w:rPr>
          <w:rFonts w:ascii="Times New Roman" w:hAnsi="Times New Roman"/>
        </w:rPr>
        <w:t>This information collection request does not seek a waiver from the requirement to display the expiration date</w:t>
      </w:r>
      <w:r w:rsidR="00470802">
        <w:rPr>
          <w:rFonts w:ascii="Times New Roman" w:hAnsi="Times New Roman"/>
        </w:rPr>
        <w:t>.</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376C01" w:rsidP="000C3A92" w14:paraId="5EE359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3C59DF9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6C01">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376C01" w:rsidP="00376C01" w14:paraId="077F6D32" w14:textId="3E24C4F2">
      <w:pPr>
        <w:pStyle w:val="ListParagraph"/>
        <w:widowControl/>
        <w:numPr>
          <w:ilvl w:val="0"/>
          <w:numId w:val="9"/>
        </w:numPr>
        <w:autoSpaceDE/>
        <w:autoSpaceDN/>
        <w:adjustRightInd/>
        <w:spacing w:after="200" w:line="276" w:lineRule="auto"/>
        <w:rPr>
          <w:rFonts w:ascii="Times New Roman" w:hAnsi="Times New Roman"/>
          <w:b/>
          <w:bCs/>
        </w:rPr>
      </w:pPr>
      <w:r w:rsidRPr="00376C01">
        <w:rPr>
          <w:rFonts w:ascii="Times New Roman" w:hAnsi="Times New Roman"/>
          <w:b/>
          <w:bCs/>
        </w:rPr>
        <w:t>COLLECTIONS OF INFORMATON EMPLOYING STATISTICAL METHODS.</w:t>
      </w:r>
    </w:p>
    <w:p w:rsidR="00376C01" w:rsidRPr="00CD48F4" w:rsidP="00CD48F4" w14:paraId="26DC325C" w14:textId="3F79D622">
      <w:pPr>
        <w:widowControl/>
        <w:autoSpaceDE/>
        <w:autoSpaceDN/>
        <w:adjustRightInd/>
        <w:spacing w:after="200" w:line="276" w:lineRule="auto"/>
        <w:rPr>
          <w:rFonts w:ascii="Times New Roman" w:hAnsi="Times New Roman"/>
        </w:rPr>
      </w:pPr>
      <w:r w:rsidRPr="00CD48F4">
        <w:rPr>
          <w:rFonts w:ascii="Times New Roman" w:hAnsi="Times New Roman"/>
        </w:rPr>
        <w:t>Statistical methods are not used in these collections of information.</w:t>
      </w:r>
    </w:p>
    <w:p w:rsidR="00332F98" w:rsidRPr="00D53DEB" w14:paraId="3E8CBCDA" w14:textId="77777777">
      <w:pPr>
        <w:rPr>
          <w:rFonts w:ascii="Times New Roman" w:hAnsi="Times New Roman"/>
        </w:rPr>
      </w:pPr>
    </w:p>
    <w:sectPr w:rsidSect="00731987">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206D2A">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23CC266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F2430">
      <w:rPr>
        <w:rStyle w:val="PageNumber"/>
        <w:rFonts w:ascii="Times New Roman" w:hAnsi="Times New Roman"/>
        <w:noProof/>
      </w:rPr>
      <w:t>9</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6D20" w14:paraId="389C5B03" w14:textId="77777777">
      <w:r>
        <w:separator/>
      </w:r>
    </w:p>
  </w:footnote>
  <w:footnote w:type="continuationSeparator" w:id="1">
    <w:p w:rsidR="00696D20" w14:paraId="2F95C741" w14:textId="77777777">
      <w:r>
        <w:continuationSeparator/>
      </w:r>
    </w:p>
  </w:footnote>
  <w:footnote w:id="2">
    <w:p w:rsidR="007C2AEC" w14:paraId="135CD3C9" w14:textId="6FEFE07E">
      <w:pPr>
        <w:pStyle w:val="FootnoteText"/>
      </w:pPr>
      <w:r>
        <w:rPr>
          <w:rStyle w:val="FootnoteReference"/>
        </w:rPr>
        <w:footnoteRef/>
      </w:r>
      <w:r>
        <w:t xml:space="preserve"> </w:t>
      </w:r>
      <w:r>
        <w:rPr>
          <w:rFonts w:ascii="Times New Roman" w:hAnsi="Times New Roman"/>
        </w:rPr>
        <w:t>The minimal changes made to the instructions for applying or renewing self-insurance authority under the BLBA do not impact the burden estimates for forms CM-2017 and 2017b.</w:t>
      </w:r>
    </w:p>
  </w:footnote>
  <w:footnote w:id="3">
    <w:p w:rsidR="00A008F5" w14:paraId="3588009F" w14:textId="2EC09060">
      <w:pPr>
        <w:pStyle w:val="FootnoteText"/>
      </w:pPr>
      <w:r>
        <w:rPr>
          <w:rStyle w:val="FootnoteReference"/>
        </w:rPr>
        <w:footnoteRef/>
      </w:r>
      <w:r>
        <w:t xml:space="preserve"> </w:t>
      </w:r>
      <w:r>
        <w:rPr>
          <w:rFonts w:ascii="Times New Roman" w:hAnsi="Times New Roman"/>
        </w:rPr>
        <w:t xml:space="preserve">In an earlier Supporting Statement, OWCP associated this cost with form CM-2017a, which the proposed rule would eliminate. However, it is a separate </w:t>
      </w:r>
      <w:r>
        <w:rPr>
          <w:rFonts w:ascii="Times New Roman" w:hAnsi="Times New Roman"/>
        </w:rPr>
        <w:t>requirement</w:t>
      </w:r>
      <w:r>
        <w:rPr>
          <w:rFonts w:ascii="Times New Roman" w:hAnsi="Times New Roman"/>
        </w:rPr>
        <w:t xml:space="preserve"> and operators would still be required to produce an actuarial report every three years under the </w:t>
      </w:r>
      <w:r w:rsidR="00002985">
        <w:rPr>
          <w:rFonts w:ascii="Times New Roman" w:hAnsi="Times New Roman"/>
        </w:rPr>
        <w:t xml:space="preserve">final </w:t>
      </w:r>
      <w:r>
        <w:rPr>
          <w:rFonts w:ascii="Times New Roman" w:hAnsi="Times New Roman"/>
        </w:rPr>
        <w:t xml:space="preserve">rule, so OWCP continues to account for this cost here.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0EDD00D2">
    <w:pPr>
      <w:pStyle w:val="Header"/>
      <w:rPr>
        <w:rFonts w:ascii="Times New Roman" w:hAnsi="Times New Roman"/>
        <w:bCs/>
        <w:sz w:val="20"/>
        <w:szCs w:val="20"/>
      </w:rPr>
    </w:pPr>
    <w:r>
      <w:rPr>
        <w:rFonts w:ascii="Times New Roman" w:hAnsi="Times New Roman"/>
        <w:bCs/>
        <w:sz w:val="20"/>
        <w:szCs w:val="20"/>
      </w:rPr>
      <w:t>Application for Self-Insurance Under Black Lung Benefits Act</w:t>
    </w:r>
  </w:p>
  <w:p w:rsidR="00EC0B43" w14:paraId="52F50703" w14:textId="1B9AEF1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BC760E">
      <w:rPr>
        <w:rFonts w:ascii="Times New Roman" w:hAnsi="Times New Roman"/>
        <w:sz w:val="20"/>
        <w:szCs w:val="20"/>
      </w:rPr>
      <w:t>:</w:t>
    </w:r>
    <w:r w:rsidR="00215C4C">
      <w:rPr>
        <w:rFonts w:ascii="Times New Roman" w:hAnsi="Times New Roman"/>
        <w:sz w:val="20"/>
        <w:szCs w:val="20"/>
      </w:rPr>
      <w:t xml:space="preserve"> 1240-0057</w:t>
    </w:r>
  </w:p>
  <w:p w:rsidR="00E60FB0" w:rsidRPr="001A1658" w14:paraId="1D1AD862" w14:textId="5303E707">
    <w:pPr>
      <w:pStyle w:val="Header"/>
      <w:rPr>
        <w:rFonts w:ascii="Times New Roman" w:hAnsi="Times New Roman"/>
        <w:caps/>
        <w:sz w:val="20"/>
        <w:szCs w:val="20"/>
      </w:rPr>
    </w:pPr>
    <w:r>
      <w:rPr>
        <w:rFonts w:ascii="Times New Roman" w:hAnsi="Times New Roman"/>
        <w:sz w:val="20"/>
        <w:szCs w:val="20"/>
      </w:rPr>
      <w:t xml:space="preserve">OMB Expiration Date: </w:t>
    </w:r>
    <w:r w:rsidR="00524EFE">
      <w:rPr>
        <w:rFonts w:ascii="Times New Roman" w:hAnsi="Times New Roman"/>
        <w:caps/>
        <w:sz w:val="20"/>
        <w:szCs w:val="20"/>
      </w:rPr>
      <w:t xml:space="preserve">11/30/2025 </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7117639">
    <w:abstractNumId w:val="8"/>
  </w:num>
  <w:num w:numId="2" w16cid:durableId="93540724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152024073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981500765">
    <w:abstractNumId w:val="3"/>
  </w:num>
  <w:num w:numId="5" w16cid:durableId="1967004094">
    <w:abstractNumId w:val="9"/>
  </w:num>
  <w:num w:numId="6" w16cid:durableId="2014599012">
    <w:abstractNumId w:val="2"/>
  </w:num>
  <w:num w:numId="7" w16cid:durableId="1810005639">
    <w:abstractNumId w:val="4"/>
  </w:num>
  <w:num w:numId="8" w16cid:durableId="182931860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424422936">
    <w:abstractNumId w:val="11"/>
  </w:num>
  <w:num w:numId="10" w16cid:durableId="1130324188">
    <w:abstractNumId w:val="1"/>
  </w:num>
  <w:num w:numId="11" w16cid:durableId="1528250270">
    <w:abstractNumId w:val="10"/>
  </w:num>
  <w:num w:numId="12" w16cid:durableId="154608062">
    <w:abstractNumId w:val="6"/>
  </w:num>
  <w:num w:numId="13" w16cid:durableId="487937924">
    <w:abstractNumId w:val="7"/>
  </w:num>
  <w:num w:numId="14" w16cid:durableId="1446653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D19"/>
    <w:rsid w:val="000015E2"/>
    <w:rsid w:val="000027D4"/>
    <w:rsid w:val="00002985"/>
    <w:rsid w:val="0000314D"/>
    <w:rsid w:val="00003FF3"/>
    <w:rsid w:val="00007729"/>
    <w:rsid w:val="00012D22"/>
    <w:rsid w:val="000133FD"/>
    <w:rsid w:val="00014158"/>
    <w:rsid w:val="000177EF"/>
    <w:rsid w:val="00020E48"/>
    <w:rsid w:val="00020F69"/>
    <w:rsid w:val="00022303"/>
    <w:rsid w:val="000300A8"/>
    <w:rsid w:val="00030CC9"/>
    <w:rsid w:val="00031FAD"/>
    <w:rsid w:val="000365D9"/>
    <w:rsid w:val="00036AAB"/>
    <w:rsid w:val="000377AD"/>
    <w:rsid w:val="00040CFD"/>
    <w:rsid w:val="0004107F"/>
    <w:rsid w:val="00042CBD"/>
    <w:rsid w:val="000437A8"/>
    <w:rsid w:val="00051578"/>
    <w:rsid w:val="00052174"/>
    <w:rsid w:val="000527FE"/>
    <w:rsid w:val="000540C8"/>
    <w:rsid w:val="00054EE1"/>
    <w:rsid w:val="00056F6C"/>
    <w:rsid w:val="00060C8F"/>
    <w:rsid w:val="00061F6C"/>
    <w:rsid w:val="0006278C"/>
    <w:rsid w:val="00064658"/>
    <w:rsid w:val="00064E28"/>
    <w:rsid w:val="00065E08"/>
    <w:rsid w:val="00065E98"/>
    <w:rsid w:val="00066017"/>
    <w:rsid w:val="000662A7"/>
    <w:rsid w:val="00066AF9"/>
    <w:rsid w:val="0007026D"/>
    <w:rsid w:val="0007383F"/>
    <w:rsid w:val="00074B3F"/>
    <w:rsid w:val="000876C7"/>
    <w:rsid w:val="00094A5E"/>
    <w:rsid w:val="00095C30"/>
    <w:rsid w:val="000A08D5"/>
    <w:rsid w:val="000A3464"/>
    <w:rsid w:val="000A54DE"/>
    <w:rsid w:val="000A57C9"/>
    <w:rsid w:val="000A70F0"/>
    <w:rsid w:val="000A7853"/>
    <w:rsid w:val="000B0391"/>
    <w:rsid w:val="000B4875"/>
    <w:rsid w:val="000B6FB6"/>
    <w:rsid w:val="000C1401"/>
    <w:rsid w:val="000C257C"/>
    <w:rsid w:val="000C3A92"/>
    <w:rsid w:val="000C6A52"/>
    <w:rsid w:val="000C7382"/>
    <w:rsid w:val="000C74FB"/>
    <w:rsid w:val="000D0274"/>
    <w:rsid w:val="000D4D83"/>
    <w:rsid w:val="000D679D"/>
    <w:rsid w:val="000D7F95"/>
    <w:rsid w:val="000E1C64"/>
    <w:rsid w:val="000E1E86"/>
    <w:rsid w:val="000E32CB"/>
    <w:rsid w:val="000E3332"/>
    <w:rsid w:val="000E4629"/>
    <w:rsid w:val="000E7BE9"/>
    <w:rsid w:val="000F0F02"/>
    <w:rsid w:val="000F3B3A"/>
    <w:rsid w:val="000F4D5D"/>
    <w:rsid w:val="000F6168"/>
    <w:rsid w:val="000F6836"/>
    <w:rsid w:val="001040D4"/>
    <w:rsid w:val="001049E1"/>
    <w:rsid w:val="00104E07"/>
    <w:rsid w:val="001078BB"/>
    <w:rsid w:val="001125F8"/>
    <w:rsid w:val="0011676B"/>
    <w:rsid w:val="00116CD5"/>
    <w:rsid w:val="00125204"/>
    <w:rsid w:val="00127DC1"/>
    <w:rsid w:val="0013294F"/>
    <w:rsid w:val="00133C47"/>
    <w:rsid w:val="00135DA1"/>
    <w:rsid w:val="0014215B"/>
    <w:rsid w:val="001439DA"/>
    <w:rsid w:val="001452B6"/>
    <w:rsid w:val="0014556E"/>
    <w:rsid w:val="00145A86"/>
    <w:rsid w:val="0015322B"/>
    <w:rsid w:val="0015365E"/>
    <w:rsid w:val="00156616"/>
    <w:rsid w:val="00157A90"/>
    <w:rsid w:val="00161D20"/>
    <w:rsid w:val="00162C97"/>
    <w:rsid w:val="00172F68"/>
    <w:rsid w:val="001746F8"/>
    <w:rsid w:val="00180E5A"/>
    <w:rsid w:val="0018653A"/>
    <w:rsid w:val="00195485"/>
    <w:rsid w:val="001958C0"/>
    <w:rsid w:val="00195AA1"/>
    <w:rsid w:val="00197E4B"/>
    <w:rsid w:val="001A1658"/>
    <w:rsid w:val="001A3152"/>
    <w:rsid w:val="001A3729"/>
    <w:rsid w:val="001A47D9"/>
    <w:rsid w:val="001B0EDF"/>
    <w:rsid w:val="001B252C"/>
    <w:rsid w:val="001B5AC9"/>
    <w:rsid w:val="001B671B"/>
    <w:rsid w:val="001C1253"/>
    <w:rsid w:val="001C25E9"/>
    <w:rsid w:val="001C417D"/>
    <w:rsid w:val="001C419B"/>
    <w:rsid w:val="001C740D"/>
    <w:rsid w:val="001D10ED"/>
    <w:rsid w:val="001D2D09"/>
    <w:rsid w:val="001D3851"/>
    <w:rsid w:val="001D4AA9"/>
    <w:rsid w:val="001D67BB"/>
    <w:rsid w:val="001E0E7F"/>
    <w:rsid w:val="001E1000"/>
    <w:rsid w:val="001E2932"/>
    <w:rsid w:val="001E3596"/>
    <w:rsid w:val="001E5213"/>
    <w:rsid w:val="001E719E"/>
    <w:rsid w:val="001F0CE6"/>
    <w:rsid w:val="001F2E8E"/>
    <w:rsid w:val="001F5EF1"/>
    <w:rsid w:val="001F6796"/>
    <w:rsid w:val="002007B6"/>
    <w:rsid w:val="00202911"/>
    <w:rsid w:val="002036A1"/>
    <w:rsid w:val="00206D2A"/>
    <w:rsid w:val="002077FD"/>
    <w:rsid w:val="002134B4"/>
    <w:rsid w:val="00215C4C"/>
    <w:rsid w:val="00216042"/>
    <w:rsid w:val="00217B7D"/>
    <w:rsid w:val="002203C9"/>
    <w:rsid w:val="002216E2"/>
    <w:rsid w:val="00227A3A"/>
    <w:rsid w:val="00232F2D"/>
    <w:rsid w:val="002331CB"/>
    <w:rsid w:val="00237691"/>
    <w:rsid w:val="00242CA0"/>
    <w:rsid w:val="00243432"/>
    <w:rsid w:val="00244E02"/>
    <w:rsid w:val="00245D49"/>
    <w:rsid w:val="00247146"/>
    <w:rsid w:val="00247E0A"/>
    <w:rsid w:val="002505E9"/>
    <w:rsid w:val="00253054"/>
    <w:rsid w:val="002530AA"/>
    <w:rsid w:val="00260EC8"/>
    <w:rsid w:val="002622AB"/>
    <w:rsid w:val="00263D9E"/>
    <w:rsid w:val="00267F07"/>
    <w:rsid w:val="002723B2"/>
    <w:rsid w:val="002739E4"/>
    <w:rsid w:val="00273D58"/>
    <w:rsid w:val="00275044"/>
    <w:rsid w:val="00276311"/>
    <w:rsid w:val="00277C1F"/>
    <w:rsid w:val="00282D86"/>
    <w:rsid w:val="0028604B"/>
    <w:rsid w:val="002866AD"/>
    <w:rsid w:val="00286BE3"/>
    <w:rsid w:val="00290E01"/>
    <w:rsid w:val="0029135D"/>
    <w:rsid w:val="00292951"/>
    <w:rsid w:val="00293169"/>
    <w:rsid w:val="00293CD1"/>
    <w:rsid w:val="002946A5"/>
    <w:rsid w:val="00296E1D"/>
    <w:rsid w:val="00297EA1"/>
    <w:rsid w:val="002A3962"/>
    <w:rsid w:val="002A4644"/>
    <w:rsid w:val="002A5972"/>
    <w:rsid w:val="002A60A6"/>
    <w:rsid w:val="002A6AA9"/>
    <w:rsid w:val="002B14B4"/>
    <w:rsid w:val="002C72BF"/>
    <w:rsid w:val="002D2A0A"/>
    <w:rsid w:val="002D44E0"/>
    <w:rsid w:val="002E072F"/>
    <w:rsid w:val="002E238B"/>
    <w:rsid w:val="002E4200"/>
    <w:rsid w:val="002F0A16"/>
    <w:rsid w:val="002F1C6E"/>
    <w:rsid w:val="002F3D13"/>
    <w:rsid w:val="002F633A"/>
    <w:rsid w:val="002F7E53"/>
    <w:rsid w:val="00304132"/>
    <w:rsid w:val="00305D0D"/>
    <w:rsid w:val="00311687"/>
    <w:rsid w:val="00312124"/>
    <w:rsid w:val="00313820"/>
    <w:rsid w:val="00317CD1"/>
    <w:rsid w:val="0032516D"/>
    <w:rsid w:val="0032649A"/>
    <w:rsid w:val="00331ADC"/>
    <w:rsid w:val="00332A1E"/>
    <w:rsid w:val="00332F98"/>
    <w:rsid w:val="003430A6"/>
    <w:rsid w:val="003448FC"/>
    <w:rsid w:val="00345518"/>
    <w:rsid w:val="00354436"/>
    <w:rsid w:val="003548D8"/>
    <w:rsid w:val="00355E56"/>
    <w:rsid w:val="0036289A"/>
    <w:rsid w:val="00363CC2"/>
    <w:rsid w:val="00364C8C"/>
    <w:rsid w:val="0036647D"/>
    <w:rsid w:val="00371EEC"/>
    <w:rsid w:val="00375D8C"/>
    <w:rsid w:val="003768FC"/>
    <w:rsid w:val="00376C01"/>
    <w:rsid w:val="00377229"/>
    <w:rsid w:val="00382F49"/>
    <w:rsid w:val="00384FA0"/>
    <w:rsid w:val="003876F3"/>
    <w:rsid w:val="00390426"/>
    <w:rsid w:val="00394AEB"/>
    <w:rsid w:val="003A19E5"/>
    <w:rsid w:val="003A6353"/>
    <w:rsid w:val="003A7483"/>
    <w:rsid w:val="003B04E0"/>
    <w:rsid w:val="003B1DEF"/>
    <w:rsid w:val="003C1152"/>
    <w:rsid w:val="003C13C6"/>
    <w:rsid w:val="003C70F8"/>
    <w:rsid w:val="003D5958"/>
    <w:rsid w:val="003D6AC7"/>
    <w:rsid w:val="003E49A6"/>
    <w:rsid w:val="003E5E34"/>
    <w:rsid w:val="003F3D16"/>
    <w:rsid w:val="003F5015"/>
    <w:rsid w:val="003F50FB"/>
    <w:rsid w:val="003F53FB"/>
    <w:rsid w:val="00400B4D"/>
    <w:rsid w:val="00401F18"/>
    <w:rsid w:val="004056B7"/>
    <w:rsid w:val="00407E29"/>
    <w:rsid w:val="00410AC8"/>
    <w:rsid w:val="00410E69"/>
    <w:rsid w:val="00412929"/>
    <w:rsid w:val="00414664"/>
    <w:rsid w:val="00420844"/>
    <w:rsid w:val="00424B39"/>
    <w:rsid w:val="00425657"/>
    <w:rsid w:val="00430137"/>
    <w:rsid w:val="004304A7"/>
    <w:rsid w:val="00431279"/>
    <w:rsid w:val="0043242B"/>
    <w:rsid w:val="0043519A"/>
    <w:rsid w:val="00435269"/>
    <w:rsid w:val="00443460"/>
    <w:rsid w:val="004448FC"/>
    <w:rsid w:val="00445FBA"/>
    <w:rsid w:val="00447367"/>
    <w:rsid w:val="0044773C"/>
    <w:rsid w:val="00447DFA"/>
    <w:rsid w:val="00453065"/>
    <w:rsid w:val="00453903"/>
    <w:rsid w:val="0046099C"/>
    <w:rsid w:val="00464655"/>
    <w:rsid w:val="00466632"/>
    <w:rsid w:val="004672B5"/>
    <w:rsid w:val="00470802"/>
    <w:rsid w:val="004717DF"/>
    <w:rsid w:val="00471DB9"/>
    <w:rsid w:val="00480BAF"/>
    <w:rsid w:val="004818AE"/>
    <w:rsid w:val="004844D1"/>
    <w:rsid w:val="00484D25"/>
    <w:rsid w:val="0048559D"/>
    <w:rsid w:val="004915DC"/>
    <w:rsid w:val="00491BF5"/>
    <w:rsid w:val="00494A93"/>
    <w:rsid w:val="00494D75"/>
    <w:rsid w:val="00495055"/>
    <w:rsid w:val="00496B03"/>
    <w:rsid w:val="004978E6"/>
    <w:rsid w:val="004A1763"/>
    <w:rsid w:val="004A3B8A"/>
    <w:rsid w:val="004A584A"/>
    <w:rsid w:val="004A78EB"/>
    <w:rsid w:val="004A7F0D"/>
    <w:rsid w:val="004B0345"/>
    <w:rsid w:val="004B1E83"/>
    <w:rsid w:val="004B270F"/>
    <w:rsid w:val="004B4137"/>
    <w:rsid w:val="004B493F"/>
    <w:rsid w:val="004B6F4C"/>
    <w:rsid w:val="004C2F6C"/>
    <w:rsid w:val="004C40DE"/>
    <w:rsid w:val="004C4CCA"/>
    <w:rsid w:val="004D124C"/>
    <w:rsid w:val="004D1C78"/>
    <w:rsid w:val="004D2528"/>
    <w:rsid w:val="004D293C"/>
    <w:rsid w:val="004D441E"/>
    <w:rsid w:val="004D46D1"/>
    <w:rsid w:val="004D4CA5"/>
    <w:rsid w:val="004D51F3"/>
    <w:rsid w:val="004D68C1"/>
    <w:rsid w:val="004D70D4"/>
    <w:rsid w:val="004E0221"/>
    <w:rsid w:val="004E1AF3"/>
    <w:rsid w:val="004E1D9E"/>
    <w:rsid w:val="004E383C"/>
    <w:rsid w:val="004E43D2"/>
    <w:rsid w:val="004E55D4"/>
    <w:rsid w:val="004F41D1"/>
    <w:rsid w:val="004F4EE0"/>
    <w:rsid w:val="004F72A0"/>
    <w:rsid w:val="004F73C4"/>
    <w:rsid w:val="00501483"/>
    <w:rsid w:val="0050305B"/>
    <w:rsid w:val="0050338F"/>
    <w:rsid w:val="005039EF"/>
    <w:rsid w:val="00510AF2"/>
    <w:rsid w:val="00513A70"/>
    <w:rsid w:val="00515E43"/>
    <w:rsid w:val="005164DC"/>
    <w:rsid w:val="00520342"/>
    <w:rsid w:val="005247DF"/>
    <w:rsid w:val="00524EFE"/>
    <w:rsid w:val="005271DD"/>
    <w:rsid w:val="00530EBD"/>
    <w:rsid w:val="00532029"/>
    <w:rsid w:val="00534589"/>
    <w:rsid w:val="0053777F"/>
    <w:rsid w:val="00541312"/>
    <w:rsid w:val="00542C93"/>
    <w:rsid w:val="005476BF"/>
    <w:rsid w:val="00551E3B"/>
    <w:rsid w:val="00552EF4"/>
    <w:rsid w:val="0055307F"/>
    <w:rsid w:val="00555BB0"/>
    <w:rsid w:val="00562C04"/>
    <w:rsid w:val="00567912"/>
    <w:rsid w:val="00570098"/>
    <w:rsid w:val="00570A4E"/>
    <w:rsid w:val="00572734"/>
    <w:rsid w:val="005738B0"/>
    <w:rsid w:val="00574D98"/>
    <w:rsid w:val="005805E7"/>
    <w:rsid w:val="00583F5D"/>
    <w:rsid w:val="0058424C"/>
    <w:rsid w:val="00584F8D"/>
    <w:rsid w:val="00592D80"/>
    <w:rsid w:val="005A01EB"/>
    <w:rsid w:val="005A0350"/>
    <w:rsid w:val="005A0CEE"/>
    <w:rsid w:val="005A5E04"/>
    <w:rsid w:val="005A6C52"/>
    <w:rsid w:val="005B0213"/>
    <w:rsid w:val="005B4B03"/>
    <w:rsid w:val="005B4C26"/>
    <w:rsid w:val="005B5990"/>
    <w:rsid w:val="005C3551"/>
    <w:rsid w:val="005C519B"/>
    <w:rsid w:val="005C5C52"/>
    <w:rsid w:val="005C6147"/>
    <w:rsid w:val="005C72FC"/>
    <w:rsid w:val="005D1C8D"/>
    <w:rsid w:val="005D2C0F"/>
    <w:rsid w:val="005D2E45"/>
    <w:rsid w:val="005D5F8C"/>
    <w:rsid w:val="005D6DC1"/>
    <w:rsid w:val="005E225E"/>
    <w:rsid w:val="005E5148"/>
    <w:rsid w:val="005E7BCE"/>
    <w:rsid w:val="005E7BFF"/>
    <w:rsid w:val="005E7DBF"/>
    <w:rsid w:val="005F22C1"/>
    <w:rsid w:val="005F2841"/>
    <w:rsid w:val="005F36F6"/>
    <w:rsid w:val="005F5879"/>
    <w:rsid w:val="00600F2F"/>
    <w:rsid w:val="0060114B"/>
    <w:rsid w:val="00603259"/>
    <w:rsid w:val="00606292"/>
    <w:rsid w:val="00606A9F"/>
    <w:rsid w:val="00611C28"/>
    <w:rsid w:val="00611DE2"/>
    <w:rsid w:val="00613370"/>
    <w:rsid w:val="00620B4A"/>
    <w:rsid w:val="00620C2A"/>
    <w:rsid w:val="006227B3"/>
    <w:rsid w:val="00622D53"/>
    <w:rsid w:val="00632C4E"/>
    <w:rsid w:val="00636C81"/>
    <w:rsid w:val="00636D15"/>
    <w:rsid w:val="006378D9"/>
    <w:rsid w:val="006417E3"/>
    <w:rsid w:val="00642220"/>
    <w:rsid w:val="00646EDF"/>
    <w:rsid w:val="006478AC"/>
    <w:rsid w:val="00652ED1"/>
    <w:rsid w:val="006536E6"/>
    <w:rsid w:val="00654DC4"/>
    <w:rsid w:val="00655BF3"/>
    <w:rsid w:val="00655ED5"/>
    <w:rsid w:val="006626FF"/>
    <w:rsid w:val="00663D56"/>
    <w:rsid w:val="006650A8"/>
    <w:rsid w:val="006731F9"/>
    <w:rsid w:val="00673A44"/>
    <w:rsid w:val="0067489C"/>
    <w:rsid w:val="00675379"/>
    <w:rsid w:val="0067772C"/>
    <w:rsid w:val="00680A9C"/>
    <w:rsid w:val="006830F9"/>
    <w:rsid w:val="00684849"/>
    <w:rsid w:val="00685435"/>
    <w:rsid w:val="00686F71"/>
    <w:rsid w:val="00690F56"/>
    <w:rsid w:val="00696465"/>
    <w:rsid w:val="00696D20"/>
    <w:rsid w:val="00696F13"/>
    <w:rsid w:val="006A4637"/>
    <w:rsid w:val="006A62A6"/>
    <w:rsid w:val="006A6EA2"/>
    <w:rsid w:val="006C39F8"/>
    <w:rsid w:val="006C3DEB"/>
    <w:rsid w:val="006C3E36"/>
    <w:rsid w:val="006D7624"/>
    <w:rsid w:val="006E0F2B"/>
    <w:rsid w:val="006E1A08"/>
    <w:rsid w:val="006E40F9"/>
    <w:rsid w:val="006F0707"/>
    <w:rsid w:val="006F3A45"/>
    <w:rsid w:val="006F66F9"/>
    <w:rsid w:val="006F6887"/>
    <w:rsid w:val="006F6E13"/>
    <w:rsid w:val="00700A47"/>
    <w:rsid w:val="007010C5"/>
    <w:rsid w:val="007011F1"/>
    <w:rsid w:val="0070379C"/>
    <w:rsid w:val="007127A1"/>
    <w:rsid w:val="00713ACE"/>
    <w:rsid w:val="00715F82"/>
    <w:rsid w:val="0071749C"/>
    <w:rsid w:val="00723D2C"/>
    <w:rsid w:val="00731987"/>
    <w:rsid w:val="00735B27"/>
    <w:rsid w:val="00735C57"/>
    <w:rsid w:val="007366CD"/>
    <w:rsid w:val="007412B6"/>
    <w:rsid w:val="0075343D"/>
    <w:rsid w:val="00753A97"/>
    <w:rsid w:val="007551EF"/>
    <w:rsid w:val="007636EC"/>
    <w:rsid w:val="00763D26"/>
    <w:rsid w:val="00764741"/>
    <w:rsid w:val="00767D37"/>
    <w:rsid w:val="0077440E"/>
    <w:rsid w:val="00774503"/>
    <w:rsid w:val="00777CD2"/>
    <w:rsid w:val="0078038F"/>
    <w:rsid w:val="00785FE9"/>
    <w:rsid w:val="00786E04"/>
    <w:rsid w:val="00787BE8"/>
    <w:rsid w:val="00792B1C"/>
    <w:rsid w:val="00792D74"/>
    <w:rsid w:val="007A7F79"/>
    <w:rsid w:val="007B24D8"/>
    <w:rsid w:val="007B4CFF"/>
    <w:rsid w:val="007B7926"/>
    <w:rsid w:val="007C004C"/>
    <w:rsid w:val="007C0BA1"/>
    <w:rsid w:val="007C2AEC"/>
    <w:rsid w:val="007C3428"/>
    <w:rsid w:val="007D46C2"/>
    <w:rsid w:val="007D4902"/>
    <w:rsid w:val="007D492B"/>
    <w:rsid w:val="007D632A"/>
    <w:rsid w:val="007E1FC9"/>
    <w:rsid w:val="007E2AC5"/>
    <w:rsid w:val="007E6955"/>
    <w:rsid w:val="007E6EB4"/>
    <w:rsid w:val="007F2B6F"/>
    <w:rsid w:val="007F6775"/>
    <w:rsid w:val="007F7690"/>
    <w:rsid w:val="008043E5"/>
    <w:rsid w:val="00804A1A"/>
    <w:rsid w:val="00807EC9"/>
    <w:rsid w:val="0081073D"/>
    <w:rsid w:val="0081350A"/>
    <w:rsid w:val="00814C4D"/>
    <w:rsid w:val="008167D9"/>
    <w:rsid w:val="00817E91"/>
    <w:rsid w:val="00830555"/>
    <w:rsid w:val="00830D42"/>
    <w:rsid w:val="00831528"/>
    <w:rsid w:val="008323ED"/>
    <w:rsid w:val="0083381C"/>
    <w:rsid w:val="00835955"/>
    <w:rsid w:val="00837759"/>
    <w:rsid w:val="00846701"/>
    <w:rsid w:val="0085108D"/>
    <w:rsid w:val="008530AD"/>
    <w:rsid w:val="0086081B"/>
    <w:rsid w:val="008624D5"/>
    <w:rsid w:val="00862B7C"/>
    <w:rsid w:val="008665BE"/>
    <w:rsid w:val="00871CA6"/>
    <w:rsid w:val="00871FB4"/>
    <w:rsid w:val="00881A04"/>
    <w:rsid w:val="00882AB5"/>
    <w:rsid w:val="00882B1D"/>
    <w:rsid w:val="00884472"/>
    <w:rsid w:val="0088672C"/>
    <w:rsid w:val="00895457"/>
    <w:rsid w:val="00896712"/>
    <w:rsid w:val="00897FD8"/>
    <w:rsid w:val="008A1F0C"/>
    <w:rsid w:val="008A40D1"/>
    <w:rsid w:val="008A4D0E"/>
    <w:rsid w:val="008B3A55"/>
    <w:rsid w:val="008B541B"/>
    <w:rsid w:val="008D0D30"/>
    <w:rsid w:val="008D2AD4"/>
    <w:rsid w:val="008D5FC2"/>
    <w:rsid w:val="008F1AB0"/>
    <w:rsid w:val="008F5308"/>
    <w:rsid w:val="008F5C8F"/>
    <w:rsid w:val="008F72D1"/>
    <w:rsid w:val="008F79A4"/>
    <w:rsid w:val="00901003"/>
    <w:rsid w:val="009012A7"/>
    <w:rsid w:val="0090158E"/>
    <w:rsid w:val="009016F4"/>
    <w:rsid w:val="00901EF6"/>
    <w:rsid w:val="00903035"/>
    <w:rsid w:val="0090413E"/>
    <w:rsid w:val="00906CFE"/>
    <w:rsid w:val="009070D2"/>
    <w:rsid w:val="00907A02"/>
    <w:rsid w:val="00910940"/>
    <w:rsid w:val="0091651F"/>
    <w:rsid w:val="00917E6C"/>
    <w:rsid w:val="009207A4"/>
    <w:rsid w:val="00920B2D"/>
    <w:rsid w:val="0092122F"/>
    <w:rsid w:val="009238B8"/>
    <w:rsid w:val="00925800"/>
    <w:rsid w:val="00926021"/>
    <w:rsid w:val="009271B1"/>
    <w:rsid w:val="0092739B"/>
    <w:rsid w:val="00932FDC"/>
    <w:rsid w:val="00934DF8"/>
    <w:rsid w:val="009351F7"/>
    <w:rsid w:val="009441E2"/>
    <w:rsid w:val="00945C35"/>
    <w:rsid w:val="0094612E"/>
    <w:rsid w:val="00946653"/>
    <w:rsid w:val="009467CD"/>
    <w:rsid w:val="00950F70"/>
    <w:rsid w:val="00963680"/>
    <w:rsid w:val="00964D3F"/>
    <w:rsid w:val="00966FC3"/>
    <w:rsid w:val="00967644"/>
    <w:rsid w:val="009700D9"/>
    <w:rsid w:val="009720FC"/>
    <w:rsid w:val="00974182"/>
    <w:rsid w:val="00975B56"/>
    <w:rsid w:val="009802C9"/>
    <w:rsid w:val="00980389"/>
    <w:rsid w:val="009833FF"/>
    <w:rsid w:val="0098357A"/>
    <w:rsid w:val="0098503E"/>
    <w:rsid w:val="009855A1"/>
    <w:rsid w:val="00985C15"/>
    <w:rsid w:val="00994C19"/>
    <w:rsid w:val="00995C62"/>
    <w:rsid w:val="009A4715"/>
    <w:rsid w:val="009A693E"/>
    <w:rsid w:val="009A699C"/>
    <w:rsid w:val="009A6DCA"/>
    <w:rsid w:val="009B00FD"/>
    <w:rsid w:val="009B0BE1"/>
    <w:rsid w:val="009B38D1"/>
    <w:rsid w:val="009B3EF6"/>
    <w:rsid w:val="009B4116"/>
    <w:rsid w:val="009C02F1"/>
    <w:rsid w:val="009C05C8"/>
    <w:rsid w:val="009C2A10"/>
    <w:rsid w:val="009D1EA2"/>
    <w:rsid w:val="009D2FEB"/>
    <w:rsid w:val="009D3E77"/>
    <w:rsid w:val="009E0141"/>
    <w:rsid w:val="009E18A7"/>
    <w:rsid w:val="009E234B"/>
    <w:rsid w:val="009E502D"/>
    <w:rsid w:val="009E5AF5"/>
    <w:rsid w:val="009F47C9"/>
    <w:rsid w:val="009F52F3"/>
    <w:rsid w:val="00A0059C"/>
    <w:rsid w:val="00A008F5"/>
    <w:rsid w:val="00A00A32"/>
    <w:rsid w:val="00A05CBF"/>
    <w:rsid w:val="00A06CBB"/>
    <w:rsid w:val="00A10441"/>
    <w:rsid w:val="00A10AD6"/>
    <w:rsid w:val="00A12590"/>
    <w:rsid w:val="00A13133"/>
    <w:rsid w:val="00A1506B"/>
    <w:rsid w:val="00A15094"/>
    <w:rsid w:val="00A211A8"/>
    <w:rsid w:val="00A21F98"/>
    <w:rsid w:val="00A224BA"/>
    <w:rsid w:val="00A2372C"/>
    <w:rsid w:val="00A23945"/>
    <w:rsid w:val="00A2633B"/>
    <w:rsid w:val="00A31041"/>
    <w:rsid w:val="00A41C21"/>
    <w:rsid w:val="00A43484"/>
    <w:rsid w:val="00A44C66"/>
    <w:rsid w:val="00A46B91"/>
    <w:rsid w:val="00A47DA7"/>
    <w:rsid w:val="00A52491"/>
    <w:rsid w:val="00A52DE7"/>
    <w:rsid w:val="00A543C9"/>
    <w:rsid w:val="00A55023"/>
    <w:rsid w:val="00A559CC"/>
    <w:rsid w:val="00A56B86"/>
    <w:rsid w:val="00A56EB3"/>
    <w:rsid w:val="00A61C1F"/>
    <w:rsid w:val="00A632EF"/>
    <w:rsid w:val="00A647FB"/>
    <w:rsid w:val="00A677E9"/>
    <w:rsid w:val="00A72C5F"/>
    <w:rsid w:val="00A740AB"/>
    <w:rsid w:val="00A75FBB"/>
    <w:rsid w:val="00A834BF"/>
    <w:rsid w:val="00A868CF"/>
    <w:rsid w:val="00A90769"/>
    <w:rsid w:val="00A973AA"/>
    <w:rsid w:val="00AA177A"/>
    <w:rsid w:val="00AA3363"/>
    <w:rsid w:val="00AA5A8C"/>
    <w:rsid w:val="00AB1AED"/>
    <w:rsid w:val="00AB2AB7"/>
    <w:rsid w:val="00AB48FA"/>
    <w:rsid w:val="00AB4DC3"/>
    <w:rsid w:val="00AC775D"/>
    <w:rsid w:val="00AD022F"/>
    <w:rsid w:val="00AD113F"/>
    <w:rsid w:val="00AD3588"/>
    <w:rsid w:val="00AD63E6"/>
    <w:rsid w:val="00AD75AC"/>
    <w:rsid w:val="00AE415F"/>
    <w:rsid w:val="00AE46BE"/>
    <w:rsid w:val="00AE7414"/>
    <w:rsid w:val="00AF035C"/>
    <w:rsid w:val="00AF2C11"/>
    <w:rsid w:val="00AF31D9"/>
    <w:rsid w:val="00AF3788"/>
    <w:rsid w:val="00AF408B"/>
    <w:rsid w:val="00AF4117"/>
    <w:rsid w:val="00AF5262"/>
    <w:rsid w:val="00AF6682"/>
    <w:rsid w:val="00AF7928"/>
    <w:rsid w:val="00B029D1"/>
    <w:rsid w:val="00B04151"/>
    <w:rsid w:val="00B20FC3"/>
    <w:rsid w:val="00B22CD9"/>
    <w:rsid w:val="00B26E3E"/>
    <w:rsid w:val="00B27EA0"/>
    <w:rsid w:val="00B324F2"/>
    <w:rsid w:val="00B35DAD"/>
    <w:rsid w:val="00B36674"/>
    <w:rsid w:val="00B41393"/>
    <w:rsid w:val="00B41A08"/>
    <w:rsid w:val="00B42AF3"/>
    <w:rsid w:val="00B47443"/>
    <w:rsid w:val="00B47CD4"/>
    <w:rsid w:val="00B50801"/>
    <w:rsid w:val="00B5154E"/>
    <w:rsid w:val="00B5377A"/>
    <w:rsid w:val="00B547F7"/>
    <w:rsid w:val="00B559B0"/>
    <w:rsid w:val="00B6181C"/>
    <w:rsid w:val="00B618AF"/>
    <w:rsid w:val="00B61C72"/>
    <w:rsid w:val="00B6290E"/>
    <w:rsid w:val="00B66231"/>
    <w:rsid w:val="00B66398"/>
    <w:rsid w:val="00B7637C"/>
    <w:rsid w:val="00B80468"/>
    <w:rsid w:val="00B81195"/>
    <w:rsid w:val="00B83480"/>
    <w:rsid w:val="00B91F60"/>
    <w:rsid w:val="00B96F91"/>
    <w:rsid w:val="00BA4516"/>
    <w:rsid w:val="00BA62A4"/>
    <w:rsid w:val="00BA6C9C"/>
    <w:rsid w:val="00BB253F"/>
    <w:rsid w:val="00BB3BEF"/>
    <w:rsid w:val="00BB4132"/>
    <w:rsid w:val="00BB4DF4"/>
    <w:rsid w:val="00BB7DF3"/>
    <w:rsid w:val="00BC0B9A"/>
    <w:rsid w:val="00BC121B"/>
    <w:rsid w:val="00BC1C4C"/>
    <w:rsid w:val="00BC4B05"/>
    <w:rsid w:val="00BC4CB5"/>
    <w:rsid w:val="00BC67FB"/>
    <w:rsid w:val="00BC760E"/>
    <w:rsid w:val="00BD228C"/>
    <w:rsid w:val="00BD34F2"/>
    <w:rsid w:val="00BD585B"/>
    <w:rsid w:val="00BD6428"/>
    <w:rsid w:val="00BE1F28"/>
    <w:rsid w:val="00BF20F6"/>
    <w:rsid w:val="00BF60C9"/>
    <w:rsid w:val="00BF611B"/>
    <w:rsid w:val="00C018CE"/>
    <w:rsid w:val="00C026AB"/>
    <w:rsid w:val="00C02AD5"/>
    <w:rsid w:val="00C02E4A"/>
    <w:rsid w:val="00C0306C"/>
    <w:rsid w:val="00C04820"/>
    <w:rsid w:val="00C05B88"/>
    <w:rsid w:val="00C0610B"/>
    <w:rsid w:val="00C0779E"/>
    <w:rsid w:val="00C07F7F"/>
    <w:rsid w:val="00C12268"/>
    <w:rsid w:val="00C12530"/>
    <w:rsid w:val="00C14429"/>
    <w:rsid w:val="00C247D8"/>
    <w:rsid w:val="00C2511B"/>
    <w:rsid w:val="00C34009"/>
    <w:rsid w:val="00C4370E"/>
    <w:rsid w:val="00C4763A"/>
    <w:rsid w:val="00C571BA"/>
    <w:rsid w:val="00C600E2"/>
    <w:rsid w:val="00C607FB"/>
    <w:rsid w:val="00C60DF6"/>
    <w:rsid w:val="00C61C41"/>
    <w:rsid w:val="00C63232"/>
    <w:rsid w:val="00C63D1E"/>
    <w:rsid w:val="00C667F3"/>
    <w:rsid w:val="00C712D2"/>
    <w:rsid w:val="00C77B5C"/>
    <w:rsid w:val="00C81EB6"/>
    <w:rsid w:val="00C824C6"/>
    <w:rsid w:val="00C8275F"/>
    <w:rsid w:val="00C84ABE"/>
    <w:rsid w:val="00C87068"/>
    <w:rsid w:val="00C9162F"/>
    <w:rsid w:val="00C9380D"/>
    <w:rsid w:val="00CA0A42"/>
    <w:rsid w:val="00CA2F0A"/>
    <w:rsid w:val="00CA66A7"/>
    <w:rsid w:val="00CB0C9E"/>
    <w:rsid w:val="00CB3579"/>
    <w:rsid w:val="00CC0731"/>
    <w:rsid w:val="00CC7654"/>
    <w:rsid w:val="00CC770C"/>
    <w:rsid w:val="00CD0636"/>
    <w:rsid w:val="00CD215D"/>
    <w:rsid w:val="00CD3B44"/>
    <w:rsid w:val="00CD48F4"/>
    <w:rsid w:val="00CD6628"/>
    <w:rsid w:val="00CE29D9"/>
    <w:rsid w:val="00CE61DD"/>
    <w:rsid w:val="00CE6950"/>
    <w:rsid w:val="00CF28FA"/>
    <w:rsid w:val="00D04A96"/>
    <w:rsid w:val="00D07BA4"/>
    <w:rsid w:val="00D11132"/>
    <w:rsid w:val="00D12597"/>
    <w:rsid w:val="00D15459"/>
    <w:rsid w:val="00D15FFF"/>
    <w:rsid w:val="00D16BB7"/>
    <w:rsid w:val="00D16CDF"/>
    <w:rsid w:val="00D22870"/>
    <w:rsid w:val="00D2331B"/>
    <w:rsid w:val="00D2734C"/>
    <w:rsid w:val="00D30AD4"/>
    <w:rsid w:val="00D32269"/>
    <w:rsid w:val="00D32C91"/>
    <w:rsid w:val="00D332EA"/>
    <w:rsid w:val="00D35AF8"/>
    <w:rsid w:val="00D35E96"/>
    <w:rsid w:val="00D36BB6"/>
    <w:rsid w:val="00D36DFF"/>
    <w:rsid w:val="00D4636B"/>
    <w:rsid w:val="00D52485"/>
    <w:rsid w:val="00D53B31"/>
    <w:rsid w:val="00D53DEB"/>
    <w:rsid w:val="00D57DE8"/>
    <w:rsid w:val="00D6260C"/>
    <w:rsid w:val="00D643B2"/>
    <w:rsid w:val="00D65C73"/>
    <w:rsid w:val="00D65D66"/>
    <w:rsid w:val="00D73AAD"/>
    <w:rsid w:val="00D75842"/>
    <w:rsid w:val="00D86FF7"/>
    <w:rsid w:val="00D870D6"/>
    <w:rsid w:val="00D87298"/>
    <w:rsid w:val="00D92691"/>
    <w:rsid w:val="00DA1CDC"/>
    <w:rsid w:val="00DA225B"/>
    <w:rsid w:val="00DA3DAE"/>
    <w:rsid w:val="00DA6309"/>
    <w:rsid w:val="00DB72DC"/>
    <w:rsid w:val="00DB7A38"/>
    <w:rsid w:val="00DB7B7C"/>
    <w:rsid w:val="00DB7D37"/>
    <w:rsid w:val="00DC18D4"/>
    <w:rsid w:val="00DC331E"/>
    <w:rsid w:val="00DC593E"/>
    <w:rsid w:val="00DC7430"/>
    <w:rsid w:val="00DD44EF"/>
    <w:rsid w:val="00DD6647"/>
    <w:rsid w:val="00DD6DF0"/>
    <w:rsid w:val="00DE2CC8"/>
    <w:rsid w:val="00DE3180"/>
    <w:rsid w:val="00DF0ED5"/>
    <w:rsid w:val="00DF5BF0"/>
    <w:rsid w:val="00DF7A18"/>
    <w:rsid w:val="00E0031C"/>
    <w:rsid w:val="00E0138A"/>
    <w:rsid w:val="00E04188"/>
    <w:rsid w:val="00E06430"/>
    <w:rsid w:val="00E21289"/>
    <w:rsid w:val="00E22463"/>
    <w:rsid w:val="00E23871"/>
    <w:rsid w:val="00E260E2"/>
    <w:rsid w:val="00E26A5A"/>
    <w:rsid w:val="00E318E1"/>
    <w:rsid w:val="00E32071"/>
    <w:rsid w:val="00E322E9"/>
    <w:rsid w:val="00E32F1B"/>
    <w:rsid w:val="00E37074"/>
    <w:rsid w:val="00E371D0"/>
    <w:rsid w:val="00E400EA"/>
    <w:rsid w:val="00E41A3C"/>
    <w:rsid w:val="00E426FB"/>
    <w:rsid w:val="00E46EE5"/>
    <w:rsid w:val="00E51079"/>
    <w:rsid w:val="00E57563"/>
    <w:rsid w:val="00E57F5E"/>
    <w:rsid w:val="00E60586"/>
    <w:rsid w:val="00E60C79"/>
    <w:rsid w:val="00E60FB0"/>
    <w:rsid w:val="00E614A1"/>
    <w:rsid w:val="00E657B1"/>
    <w:rsid w:val="00E66265"/>
    <w:rsid w:val="00E6764F"/>
    <w:rsid w:val="00E67D80"/>
    <w:rsid w:val="00E70030"/>
    <w:rsid w:val="00E700AD"/>
    <w:rsid w:val="00E7149D"/>
    <w:rsid w:val="00E74ABD"/>
    <w:rsid w:val="00E7681D"/>
    <w:rsid w:val="00E77129"/>
    <w:rsid w:val="00E81473"/>
    <w:rsid w:val="00E83023"/>
    <w:rsid w:val="00E833E4"/>
    <w:rsid w:val="00E83FD5"/>
    <w:rsid w:val="00E84604"/>
    <w:rsid w:val="00E86667"/>
    <w:rsid w:val="00E90044"/>
    <w:rsid w:val="00E9171E"/>
    <w:rsid w:val="00E92EED"/>
    <w:rsid w:val="00E93A0F"/>
    <w:rsid w:val="00E946C0"/>
    <w:rsid w:val="00E9687C"/>
    <w:rsid w:val="00EA3E66"/>
    <w:rsid w:val="00EA4299"/>
    <w:rsid w:val="00EA7688"/>
    <w:rsid w:val="00EB4D07"/>
    <w:rsid w:val="00EB76A7"/>
    <w:rsid w:val="00EC0B43"/>
    <w:rsid w:val="00EC0FAF"/>
    <w:rsid w:val="00EC114D"/>
    <w:rsid w:val="00EC6C5E"/>
    <w:rsid w:val="00ED0E21"/>
    <w:rsid w:val="00ED2885"/>
    <w:rsid w:val="00ED6452"/>
    <w:rsid w:val="00ED653C"/>
    <w:rsid w:val="00EE1149"/>
    <w:rsid w:val="00EE2E49"/>
    <w:rsid w:val="00EE4A34"/>
    <w:rsid w:val="00EE7A5B"/>
    <w:rsid w:val="00EF2430"/>
    <w:rsid w:val="00EF3FC4"/>
    <w:rsid w:val="00EF55EF"/>
    <w:rsid w:val="00EF57CB"/>
    <w:rsid w:val="00EF5C92"/>
    <w:rsid w:val="00EF7B78"/>
    <w:rsid w:val="00F01EC9"/>
    <w:rsid w:val="00F045D3"/>
    <w:rsid w:val="00F11AA8"/>
    <w:rsid w:val="00F204AA"/>
    <w:rsid w:val="00F206D7"/>
    <w:rsid w:val="00F207EB"/>
    <w:rsid w:val="00F2212B"/>
    <w:rsid w:val="00F24787"/>
    <w:rsid w:val="00F26AEF"/>
    <w:rsid w:val="00F27223"/>
    <w:rsid w:val="00F327E2"/>
    <w:rsid w:val="00F34C3B"/>
    <w:rsid w:val="00F3623C"/>
    <w:rsid w:val="00F37D6E"/>
    <w:rsid w:val="00F41116"/>
    <w:rsid w:val="00F41D89"/>
    <w:rsid w:val="00F44D20"/>
    <w:rsid w:val="00F45172"/>
    <w:rsid w:val="00F45188"/>
    <w:rsid w:val="00F4518C"/>
    <w:rsid w:val="00F4527E"/>
    <w:rsid w:val="00F4529D"/>
    <w:rsid w:val="00F472D0"/>
    <w:rsid w:val="00F47CE1"/>
    <w:rsid w:val="00F51A9E"/>
    <w:rsid w:val="00F51BB2"/>
    <w:rsid w:val="00F53F09"/>
    <w:rsid w:val="00F56B20"/>
    <w:rsid w:val="00F5776F"/>
    <w:rsid w:val="00F57DE0"/>
    <w:rsid w:val="00F612D6"/>
    <w:rsid w:val="00F617A4"/>
    <w:rsid w:val="00F6219B"/>
    <w:rsid w:val="00F635C5"/>
    <w:rsid w:val="00F63B9E"/>
    <w:rsid w:val="00F642F9"/>
    <w:rsid w:val="00F64E0B"/>
    <w:rsid w:val="00F70228"/>
    <w:rsid w:val="00F705D9"/>
    <w:rsid w:val="00F72D66"/>
    <w:rsid w:val="00F73537"/>
    <w:rsid w:val="00F74F23"/>
    <w:rsid w:val="00F77DAE"/>
    <w:rsid w:val="00F81047"/>
    <w:rsid w:val="00F8164B"/>
    <w:rsid w:val="00F87FD8"/>
    <w:rsid w:val="00F935EE"/>
    <w:rsid w:val="00FA09B5"/>
    <w:rsid w:val="00FA199C"/>
    <w:rsid w:val="00FA1D7D"/>
    <w:rsid w:val="00FA3D8C"/>
    <w:rsid w:val="00FA4478"/>
    <w:rsid w:val="00FB0721"/>
    <w:rsid w:val="00FB2F4C"/>
    <w:rsid w:val="00FB587F"/>
    <w:rsid w:val="00FC05E0"/>
    <w:rsid w:val="00FC32B6"/>
    <w:rsid w:val="00FC3982"/>
    <w:rsid w:val="00FC74AF"/>
    <w:rsid w:val="00FD29B7"/>
    <w:rsid w:val="00FE466A"/>
    <w:rsid w:val="00FE4AF3"/>
    <w:rsid w:val="00FE7E7E"/>
    <w:rsid w:val="00FF1217"/>
    <w:rsid w:val="00FF1FD4"/>
    <w:rsid w:val="00FF42E2"/>
    <w:rsid w:val="00FF4C58"/>
    <w:rsid w:val="00FF61D3"/>
    <w:rsid w:val="00FF6C7B"/>
    <w:rsid w:val="00FF71B9"/>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1A9E"/>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966FC3"/>
    <w:rPr>
      <w:color w:val="0563C1" w:themeColor="hyperlink"/>
      <w:u w:val="single"/>
    </w:rPr>
  </w:style>
  <w:style w:type="table" w:styleId="TableGrid">
    <w:name w:val="Table Grid"/>
    <w:basedOn w:val="TableNormal"/>
    <w:rsid w:val="00A31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1041"/>
    <w:rPr>
      <w:color w:val="605E5C"/>
      <w:shd w:val="clear" w:color="auto" w:fill="E1DFDD"/>
    </w:rPr>
  </w:style>
  <w:style w:type="character" w:customStyle="1" w:styleId="FootnoteTextChar1">
    <w:name w:val="Footnote Text Char1"/>
    <w:uiPriority w:val="99"/>
    <w:locked/>
    <w:rsid w:val="001452B6"/>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1452B6"/>
  </w:style>
  <w:style w:type="character" w:customStyle="1" w:styleId="eop">
    <w:name w:val="eop"/>
    <w:basedOn w:val="DefaultParagraphFont"/>
    <w:rsid w:val="0014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3031.htm" TargetMode="External" /><Relationship Id="rId11" Type="http://schemas.openxmlformats.org/officeDocument/2006/relationships/hyperlink" Target="https://www.opm.gov/policy-data-oversight/pay-leave/salaries-wages/salary-tables/pdf/2022/DCB_h.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32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3.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AE1B9-B842-4840-9F48-D7672A4C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~WRL0005.tmp</Template>
  <TotalTime>2</TotalTime>
  <Pages>11</Pages>
  <Words>3921</Words>
  <Characters>23140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2024-08-19T14:26:00Z</dcterms:created>
  <dcterms:modified xsi:type="dcterms:W3CDTF">2024-08-19T14:26:00Z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