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50EE" w:rsidR="00FC50EE" w:rsidP="00FC50EE" w:rsidRDefault="00FC50EE">
      <w:pPr>
        <w:shd w:val="clear" w:color="auto" w:fill="FFFFFF"/>
        <w:spacing w:before="150" w:after="0" w:line="240" w:lineRule="auto"/>
        <w:outlineLvl w:val="0"/>
        <w:rPr>
          <w:rFonts w:ascii="Times New Roman" w:hAnsi="Times New Roman" w:eastAsia="Times New Roman" w:cs="Times New Roman"/>
          <w:b/>
          <w:bCs/>
          <w:color w:val="1B1B1B"/>
          <w:kern w:val="36"/>
          <w:sz w:val="60"/>
          <w:szCs w:val="60"/>
        </w:rPr>
      </w:pPr>
      <w:r w:rsidRPr="00FC50EE">
        <w:rPr>
          <w:rFonts w:ascii="Times New Roman" w:hAnsi="Times New Roman" w:eastAsia="Times New Roman" w:cs="Times New Roman"/>
          <w:b/>
          <w:bCs/>
          <w:color w:val="1B1B1B"/>
          <w:kern w:val="36"/>
          <w:sz w:val="60"/>
          <w:szCs w:val="60"/>
        </w:rPr>
        <w:t>DOL/GOVT-1</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SYSTEM NAME: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Office of Workers' Compensation Programs, Federal Employees' Compensation Act File.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SECURITY CLASSIFICATION:</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SYSTEM LOCATION:</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The central database for DOL/GOVT-1 is located at the DOL National office and the offices of </w:t>
      </w:r>
      <w:proofErr w:type="spellStart"/>
      <w:r w:rsidRPr="00FC50EE">
        <w:rPr>
          <w:rFonts w:ascii="Helvetica" w:hAnsi="Helvetica" w:eastAsia="Times New Roman" w:cs="Helvetica"/>
          <w:sz w:val="26"/>
          <w:szCs w:val="26"/>
        </w:rPr>
        <w:t>OWCP's</w:t>
      </w:r>
      <w:proofErr w:type="spellEnd"/>
      <w:r w:rsidRPr="00FC50EE">
        <w:rPr>
          <w:rFonts w:ascii="Helvetica" w:hAnsi="Helvetica" w:eastAsia="Times New Roman" w:cs="Helvetica"/>
          <w:sz w:val="26"/>
          <w:szCs w:val="26"/>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may also be maintained by the employing agency (and where the forms were transmitted to OWCP electronically, the original forms are maintained by the employing agency). In addition, records relating to third-party claims of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beneficiaries are maintained in the Division of Federal Employees' and Energy Workers' Compensation, Office of the Solicitor, United States Department of Labor, </w:t>
      </w:r>
      <w:proofErr w:type="gramStart"/>
      <w:r w:rsidRPr="00FC50EE">
        <w:rPr>
          <w:rFonts w:ascii="Helvetica" w:hAnsi="Helvetica" w:eastAsia="Times New Roman" w:cs="Helvetica"/>
          <w:sz w:val="26"/>
          <w:szCs w:val="26"/>
        </w:rPr>
        <w:t>200</w:t>
      </w:r>
      <w:proofErr w:type="gramEnd"/>
      <w:r w:rsidRPr="00FC50EE">
        <w:rPr>
          <w:rFonts w:ascii="Helvetica" w:hAnsi="Helvetica" w:eastAsia="Times New Roman" w:cs="Helvetica"/>
          <w:sz w:val="26"/>
          <w:szCs w:val="26"/>
        </w:rPr>
        <w:t xml:space="preserve"> Constitution Avenue NW, Washington, DC 20210.</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CATEGORIES OF INDIVIDUALS COVERED BY THE SYSTEM:</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Individuals and/or their survivors who file claims seeking benefits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by reason of injuries sustained while in the performance of duty.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CATEGORIES OF RECORDS IN THE SYSTEM:</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lastRenderedPageBreak/>
        <w:t xml:space="preserve">This system may contain the following kinds of records: Reports of injury by the employee and/or employing agency; claim forms filed by or on behalf of injured Federal employees or their survivors seeking benefits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p>
    <w:p w:rsidRPr="00FC50EE" w:rsidR="00FC50EE" w:rsidP="00FC50EE" w:rsidRDefault="00FC50EE">
      <w:pPr>
        <w:spacing w:after="240" w:line="240" w:lineRule="auto"/>
        <w:rPr>
          <w:rFonts w:ascii="Helvetica" w:hAnsi="Helvetica" w:eastAsia="Times New Roman" w:cs="Helvetica"/>
          <w:sz w:val="26"/>
          <w:szCs w:val="26"/>
        </w:rPr>
      </w:pPr>
      <w:proofErr w:type="gramStart"/>
      <w:r w:rsidRPr="00FC50EE">
        <w:rPr>
          <w:rFonts w:ascii="Helvetica" w:hAnsi="Helvetica" w:eastAsia="Times New Roman" w:cs="Helvetica"/>
          <w:sz w:val="26"/>
          <w:szCs w:val="26"/>
        </w:rPr>
        <w:t>information</w:t>
      </w:r>
      <w:proofErr w:type="gramEnd"/>
      <w:r w:rsidRPr="00FC50EE">
        <w:rPr>
          <w:rFonts w:ascii="Helvetica" w:hAnsi="Helvetica" w:eastAsia="Times New Roman" w:cs="Helvetica"/>
          <w:sz w:val="26"/>
          <w:szCs w:val="26"/>
        </w:rPr>
        <w:t xml:space="preserve">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proofErr w:type="spellStart"/>
      <w:r w:rsidRPr="00FC50EE">
        <w:rPr>
          <w:rFonts w:ascii="Helvetica" w:hAnsi="Helvetica" w:eastAsia="Times New Roman" w:cs="Helvetica"/>
          <w:sz w:val="26"/>
          <w:szCs w:val="26"/>
        </w:rPr>
        <w:t>WHCA</w:t>
      </w:r>
      <w:proofErr w:type="spellEnd"/>
      <w:r w:rsidRPr="00FC50EE">
        <w:rPr>
          <w:rFonts w:ascii="Helvetica" w:hAnsi="Helvetica" w:eastAsia="Times New Roman" w:cs="Helvetica"/>
          <w:sz w:val="26"/>
          <w:szCs w:val="26"/>
        </w:rPr>
        <w: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AUTHORITY FOR MAINTENANCE OF THE SYSTEM:</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8101 et seq., 20 CFR 1.1 et seq.</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PURPOSE(S):</w:t>
      </w:r>
    </w:p>
    <w:p w:rsidRPr="00FC50EE" w:rsidR="00FC50EE" w:rsidP="00FC50EE" w:rsidRDefault="00FC50EE">
      <w:pPr>
        <w:spacing w:after="240" w:line="240" w:lineRule="auto"/>
        <w:rPr>
          <w:rFonts w:ascii="Helvetica" w:hAnsi="Helvetica" w:eastAsia="Times New Roman" w:cs="Helvetica"/>
          <w:sz w:val="26"/>
          <w:szCs w:val="26"/>
        </w:rPr>
      </w:pP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must be based.</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lastRenderedPageBreak/>
        <w:t>ROUTINE USES OF RECORDS MAINTAINED IN THE SYSTEM, INCLUDING CATEGORIES OF USERS AND THE PURPOSES OF SUCH USES: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a. To any attorney or other representative of a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beneficiary for the purpose of assisting in a claim or litigation against a third party or parties potentially liable to pay damages as a result of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beneficiary's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-covered injury and for the purpose of administering the provisions of Sections 8131-8132 of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Any such</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third party, or a representative acting on that third party's behalf, may be provided information or documents concerning the existence of a record and the amount and nature of compensation paid to or on behalf of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beneficiary for the purpose of assisting in the resolution of the claim or litigation against that party or administering the provisions of Sections 8131-8132 of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b. To Federal agencies that employed the claimant at the time of the occurrence or recurrence of the injury or occupational illness in order to verify billing, to assist in administering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w:t>
      </w:r>
      <w:proofErr w:type="spellStart"/>
      <w:r w:rsidRPr="00FC50EE">
        <w:rPr>
          <w:rFonts w:ascii="Helvetica" w:hAnsi="Helvetica" w:eastAsia="Times New Roman" w:cs="Helvetica"/>
          <w:sz w:val="26"/>
          <w:szCs w:val="26"/>
        </w:rPr>
        <w:t>FECA's</w:t>
      </w:r>
      <w:proofErr w:type="spellEnd"/>
      <w:r w:rsidRPr="00FC50EE">
        <w:rPr>
          <w:rFonts w:ascii="Helvetica" w:hAnsi="Helvetica" w:eastAsia="Times New Roman" w:cs="Helvetica"/>
          <w:sz w:val="26"/>
          <w:szCs w:val="26"/>
        </w:rPr>
        <w:t xml:space="preserve"> exclusive remedy provision to an administrative claim or to litigation filed under the Federal Tort Claims Act.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Pr="00FC50EE" w:rsidR="00FC50EE" w:rsidP="00FC50EE" w:rsidRDefault="00FC50EE">
      <w:pPr>
        <w:spacing w:after="240" w:line="240" w:lineRule="auto"/>
        <w:rPr>
          <w:rFonts w:ascii="Helvetica" w:hAnsi="Helvetica" w:eastAsia="Times New Roman" w:cs="Helvetica"/>
          <w:sz w:val="26"/>
          <w:szCs w:val="26"/>
        </w:rPr>
      </w:pPr>
      <w:proofErr w:type="gramStart"/>
      <w:r w:rsidRPr="00FC50EE">
        <w:rPr>
          <w:rFonts w:ascii="Helvetica" w:hAnsi="Helvetica" w:eastAsia="Times New Roman" w:cs="Helvetica"/>
          <w:sz w:val="26"/>
          <w:szCs w:val="26"/>
        </w:rPr>
        <w:t>d</w:t>
      </w:r>
      <w:proofErr w:type="gramEnd"/>
      <w:r w:rsidRPr="00FC50EE">
        <w:rPr>
          <w:rFonts w:ascii="Helvetica" w:hAnsi="Helvetica" w:eastAsia="Times New Roman" w:cs="Helvetica"/>
          <w:sz w:val="26"/>
          <w:szCs w:val="26"/>
        </w:rPr>
        <w:t>. To Federal, State or private rehabilitation agencies and individuals to whom the claimant has been referred for evaluation of rehabilitation and possible reemployment.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f. To medical insurance or health and welfare plans (or their designees) that cover the claimant in instances where OWCP has paid for treatment of a medical condition that is not compensable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or where a medical insurance plan or health and welfare plan has paid for treatment of a medical condition that may be compensable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for the purpose of resolving the appropriate source of payment in such circumstances.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g. To labor unions and other voluntary employee associations from whom the claimant has requested assistance for the purpose of providing such assistance to the claimant.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h. To a Federal, State or local agency for the purpose of obtaining information relevant to a determination concerning initial or continuing eligibility for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compensation and debts otherwise related to the payment of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benefits.</w:t>
      </w:r>
    </w:p>
    <w:p w:rsidRPr="00FC50EE" w:rsidR="00FC50EE" w:rsidP="00FC50EE" w:rsidRDefault="00FC50EE">
      <w:pPr>
        <w:spacing w:after="240" w:line="240" w:lineRule="auto"/>
        <w:rPr>
          <w:rFonts w:ascii="Helvetica" w:hAnsi="Helvetica" w:eastAsia="Times New Roman" w:cs="Helvetica"/>
          <w:sz w:val="26"/>
          <w:szCs w:val="26"/>
        </w:rPr>
      </w:pPr>
      <w:proofErr w:type="spellStart"/>
      <w:r w:rsidRPr="00FC50EE">
        <w:rPr>
          <w:rFonts w:ascii="Helvetica" w:hAnsi="Helvetica" w:eastAsia="Times New Roman" w:cs="Helvetica"/>
          <w:sz w:val="26"/>
          <w:szCs w:val="26"/>
        </w:rPr>
        <w:t>i</w:t>
      </w:r>
      <w:proofErr w:type="spellEnd"/>
      <w:r w:rsidRPr="00FC50EE">
        <w:rPr>
          <w:rFonts w:ascii="Helvetica" w:hAnsi="Helvetica" w:eastAsia="Times New Roman" w:cs="Helvetica"/>
          <w:sz w:val="26"/>
          <w:szCs w:val="26"/>
        </w:rPr>
        <w:t>.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j. To the Occupational Safety and Health Administration (OSHA) for purpose of using injury reports filed by Federal agencies pursuant to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k. To contractors providing services to the Department or any other Federal agency or any other individual or entity specified in any of these routine uses or in the Department's General Prefatory Statement who require the data to perform </w:t>
      </w:r>
      <w:r w:rsidRPr="00FC50EE">
        <w:rPr>
          <w:rFonts w:ascii="Helvetica" w:hAnsi="Helvetica" w:eastAsia="Times New Roman" w:cs="Helvetica"/>
          <w:sz w:val="26"/>
          <w:szCs w:val="26"/>
        </w:rPr>
        <w:lastRenderedPageBreak/>
        <w:t>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m. To a credit bureau for the purpose of obtaining consumer credit reports identifying the assets, liabilities, expenses, and income of a debtor in order to ascertain the debtor's ability to repay a debt incurred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to collect the debt, or to establish a payment schedule.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n. To consumer reporting agencies as defined by Sec. 603(f) of the Fair Credit Reporting Act (15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1681a(f)) or in accordance with Sec. 3(d)(4)(A)(ii) of the Federal Claims Collection Act of 1966 as amended (31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552a(b)(12).</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o. To a Member of Congress or to a Congressional staff member in response to an inquiry made by an individual seeking assistance who is the subject of the record being disclosed for the purpose of providing such assistance.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or for the purpose of denying the existence of funds subject to such legal obligation.</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lastRenderedPageBreak/>
        <w:t>q. To the National Institute for Occupational Safety and Health (</w:t>
      </w:r>
      <w:proofErr w:type="spellStart"/>
      <w:r w:rsidRPr="00FC50EE">
        <w:rPr>
          <w:rFonts w:ascii="Helvetica" w:hAnsi="Helvetica" w:eastAsia="Times New Roman" w:cs="Helvetica"/>
          <w:sz w:val="26"/>
          <w:szCs w:val="26"/>
        </w:rPr>
        <w:t>NIOSH</w:t>
      </w:r>
      <w:proofErr w:type="spellEnd"/>
      <w:r w:rsidRPr="00FC50EE">
        <w:rPr>
          <w:rFonts w:ascii="Helvetica" w:hAnsi="Helvetica" w:eastAsia="Times New Roman" w:cs="Helvetica"/>
          <w:sz w:val="26"/>
          <w:szCs w:val="26"/>
        </w:rPr>
        <w:t xml:space="preserve">), for the purpose of performing statistical analyses of injury and illness patterns to identify patterns and locations of high incidence, help devise safety and return-to-work interventions, and guide worker safety and health research. The statistical analyses performed by </w:t>
      </w:r>
      <w:proofErr w:type="spellStart"/>
      <w:r w:rsidRPr="00FC50EE">
        <w:rPr>
          <w:rFonts w:ascii="Helvetica" w:hAnsi="Helvetica" w:eastAsia="Times New Roman" w:cs="Helvetica"/>
          <w:sz w:val="26"/>
          <w:szCs w:val="26"/>
        </w:rPr>
        <w:t>NIOSH</w:t>
      </w:r>
      <w:proofErr w:type="spellEnd"/>
      <w:r w:rsidRPr="00FC50EE">
        <w:rPr>
          <w:rFonts w:ascii="Helvetica" w:hAnsi="Helvetica" w:eastAsia="Times New Roman" w:cs="Helvetica"/>
          <w:sz w:val="26"/>
          <w:szCs w:val="26"/>
        </w:rPr>
        <w:t xml:space="preserve"> will assist OWCP and OSHA in their efforts to reduce the occurrence of employment injuries, assist employees in achieving a smooth transition and return to work following employment injuries, and improve Federal employee safety and health.</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r. To the General Services Administration (GSA), for the purpose of permitting GSA and its investigators to evaluate information about potential exposures to hazardous substances to non-GSA federal employees in buildings or complexes managed by GSA.</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s. To investigators in employing agency Offices of Inspector General, for the purpose of assisting in the investigation of potential fraud by recipients of compensation benefits under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for their agencies, and for the purpose of assisting in evaluation of compliance by employing agencies with timely filing requirements under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and its implementing regulations as well as for audits related to the employing agencies' handling of their portion of the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claims process.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t. To a Federal, State or local agency charged with the responsibility for investigating compliance with laws relating to health and safety, for the purpose of assisting such agency in fulfilling its statutory or regulatory responsibilities.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u. For claims arising under 42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Sections 1701 and 1704 of the </w:t>
      </w:r>
      <w:proofErr w:type="spellStart"/>
      <w:r w:rsidRPr="00FC50EE">
        <w:rPr>
          <w:rFonts w:ascii="Helvetica" w:hAnsi="Helvetica" w:eastAsia="Times New Roman" w:cs="Helvetica"/>
          <w:sz w:val="26"/>
          <w:szCs w:val="26"/>
        </w:rPr>
        <w:t>WHCA</w:t>
      </w:r>
      <w:proofErr w:type="spellEnd"/>
      <w:r w:rsidRPr="00FC50EE">
        <w:rPr>
          <w:rFonts w:ascii="Helvetica" w:hAnsi="Helvetica" w:eastAsia="Times New Roman" w:cs="Helvetica"/>
          <w:sz w:val="26"/>
          <w:szCs w:val="26"/>
        </w:rPr>
        <w:t>, to insurance carriers or self-insured employers and their attorneys, for the purpose of assisting in administering the claim, and for the purpose of verifying eligibility for payments to claimants and reimbursements of amounts already paid.</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Note:</w:t>
      </w:r>
      <w:r w:rsidRPr="00FC50EE">
        <w:rPr>
          <w:rFonts w:ascii="Helvetica" w:hAnsi="Helvetica" w:eastAsia="Times New Roman" w:cs="Helvetica"/>
          <w:sz w:val="26"/>
          <w:szCs w:val="26"/>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proofErr w:type="spellStart"/>
      <w:r w:rsidRPr="00FC50EE">
        <w:rPr>
          <w:rFonts w:ascii="Helvetica" w:hAnsi="Helvetica" w:eastAsia="Times New Roman" w:cs="Helvetica"/>
          <w:sz w:val="26"/>
          <w:szCs w:val="26"/>
        </w:rPr>
        <w:t>FECA</w:t>
      </w:r>
      <w:proofErr w:type="spellEnd"/>
      <w:r w:rsidRPr="00FC50EE">
        <w:rPr>
          <w:rFonts w:ascii="Helvetica" w:hAnsi="Helvetica" w:eastAsia="Times New Roman" w:cs="Helvetica"/>
          <w:sz w:val="26"/>
          <w:szCs w:val="26"/>
        </w:rPr>
        <w:t xml:space="preserve">. Pursuant to 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lastRenderedPageBreak/>
        <w:t>DISCLOSURE TO CONSUMER REPORTING AGENCIES: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552a(b)(12) to consumer reporting agencies as defined by Sec. 603(f) of the Fair Credit Reporting Act (15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1681a(f)) or in accordance with Sec. 3(d)(4)(A)(ii) of the Federal Claims Collection Act of 1966 as amended (31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3711(f)) for the purpose of encouraging the repayment of an overdue debt.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POLICIES AND PRACTICES FOR STORING, RETRIEVING, ACCESSING, RETAINING AND DISPOSING OF RECORDS IN THE SYSTEM:</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STORAGE: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Files are stored electronically and/or on paper.</w:t>
      </w:r>
    </w:p>
    <w:p w:rsidRPr="00FC50EE" w:rsidR="00FC50EE" w:rsidP="00FC50EE" w:rsidRDefault="00FC50EE">
      <w:pPr>
        <w:spacing w:after="240" w:line="240" w:lineRule="auto"/>
        <w:rPr>
          <w:rFonts w:ascii="Helvetica" w:hAnsi="Helvetica" w:eastAsia="Times New Roman" w:cs="Helvetica"/>
          <w:sz w:val="26"/>
          <w:szCs w:val="26"/>
        </w:rPr>
      </w:pPr>
      <w:proofErr w:type="spellStart"/>
      <w:r w:rsidRPr="00FC50EE">
        <w:rPr>
          <w:rFonts w:ascii="Helvetica" w:hAnsi="Helvetica" w:eastAsia="Times New Roman" w:cs="Helvetica"/>
          <w:b/>
          <w:bCs/>
          <w:sz w:val="26"/>
          <w:szCs w:val="26"/>
        </w:rPr>
        <w:t>RETRIEVABILITY</w:t>
      </w:r>
      <w:proofErr w:type="spellEnd"/>
      <w:r w:rsidRPr="00FC50EE">
        <w:rPr>
          <w:rFonts w:ascii="Helvetica" w:hAnsi="Helvetica" w:eastAsia="Times New Roman" w:cs="Helvetica"/>
          <w:b/>
          <w:bCs/>
          <w:sz w:val="26"/>
          <w:szCs w:val="26"/>
        </w:rPr>
        <w: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SAFEGUARDS: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Access by authorized personnel only. Computer security safeguards are used for electronically stored data and locked locations for paper files. Only personnel having an appropriate security clearance may handle or process security files.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RETENTION AND DISPOSAL:</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lastRenderedPageBreak/>
        <w:t>SYSTEM MANAGER(S) AND ADDRESS: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Director for Federal Employees' Compensation, Office of Workers' Compensation Programs, 200 Constitution Avenue NW, Washington, DC 20210.</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NOTIFICATION PROCEDURE:</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RECORD ACCESS PROCEDURES: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CONTESTING RECORD PROCEDURES: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w:t>
      </w:r>
      <w:bookmarkStart w:name="_GoBack" w:id="0"/>
      <w:bookmarkEnd w:id="0"/>
      <w:r w:rsidRPr="00FC50EE">
        <w:rPr>
          <w:rFonts w:ascii="Helvetica" w:hAnsi="Helvetica" w:eastAsia="Times New Roman" w:cs="Helvetica"/>
          <w:sz w:val="26"/>
          <w:szCs w:val="26"/>
        </w:rPr>
        <w:t>at 20 CFR 10.12.</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t>RECORD SOURCE CATEGORIES: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b/>
          <w:bCs/>
          <w:sz w:val="26"/>
          <w:szCs w:val="26"/>
        </w:rPr>
        <w:lastRenderedPageBreak/>
        <w:t>SYSTEMS EXEMPTED FROM CERTAIN PROVISIONS OF THE ACT:</w:t>
      </w:r>
    </w:p>
    <w:p w:rsidRPr="00FC50EE" w:rsidR="00FC50EE" w:rsidP="00FC50EE" w:rsidRDefault="00FC50EE">
      <w:pPr>
        <w:spacing w:after="240" w:line="240" w:lineRule="auto"/>
        <w:rPr>
          <w:rFonts w:ascii="Helvetica" w:hAnsi="Helvetica" w:eastAsia="Times New Roman" w:cs="Helvetica"/>
          <w:sz w:val="26"/>
          <w:szCs w:val="26"/>
        </w:rPr>
      </w:pPr>
      <w:r w:rsidRPr="00FC50EE">
        <w:rPr>
          <w:rFonts w:ascii="Helvetica" w:hAnsi="Helvetica" w:eastAsia="Times New Roman" w:cs="Helvetica"/>
          <w:sz w:val="26"/>
          <w:szCs w:val="26"/>
        </w:rPr>
        <w:t xml:space="preserve">In accordance with 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xml:space="preserve">. 552a(k)(2), investigative material in this system of records compiled for law enforcement purposes is exempt from subsections (c)(3), (d), (e)(1), (e)(4)(G), (H) and (I), and (f) of 5 </w:t>
      </w:r>
      <w:proofErr w:type="spellStart"/>
      <w:r w:rsidRPr="00FC50EE">
        <w:rPr>
          <w:rFonts w:ascii="Helvetica" w:hAnsi="Helvetica" w:eastAsia="Times New Roman" w:cs="Helvetica"/>
          <w:sz w:val="26"/>
          <w:szCs w:val="26"/>
        </w:rPr>
        <w:t>U.S.C</w:t>
      </w:r>
      <w:proofErr w:type="spellEnd"/>
      <w:r w:rsidRPr="00FC50EE">
        <w:rPr>
          <w:rFonts w:ascii="Helvetica" w:hAnsi="Helvetica" w:eastAsia="Times New Roman" w:cs="Helvetica"/>
          <w:sz w:val="26"/>
          <w:szCs w:val="26"/>
        </w:rPr>
        <w:t>.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Pr="00FC50EE" w:rsidR="00FC50EE" w:rsidP="00FC50EE" w:rsidRDefault="00FC50EE">
      <w:pPr>
        <w:spacing w:after="0" w:line="240" w:lineRule="auto"/>
        <w:rPr>
          <w:rFonts w:ascii="Helvetica" w:hAnsi="Helvetica" w:eastAsia="Times New Roman" w:cs="Helvetica"/>
          <w:sz w:val="26"/>
          <w:szCs w:val="26"/>
        </w:rPr>
      </w:pPr>
      <w:r w:rsidRPr="00FC50EE">
        <w:rPr>
          <w:rFonts w:ascii="Helvetica" w:hAnsi="Helvetica" w:eastAsia="Times New Roman" w:cs="Helvetica"/>
          <w:sz w:val="26"/>
          <w:szCs w:val="26"/>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304CC0" w:rsidRDefault="00304CC0"/>
    <w:sectPr w:rsidR="0030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EE"/>
    <w:rsid w:val="00304CC0"/>
    <w:rsid w:val="00FC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15BC5-34C8-4FCF-8FAE-DE546262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77128">
      <w:bodyDiv w:val="1"/>
      <w:marLeft w:val="0"/>
      <w:marRight w:val="0"/>
      <w:marTop w:val="0"/>
      <w:marBottom w:val="0"/>
      <w:divBdr>
        <w:top w:val="none" w:sz="0" w:space="0" w:color="auto"/>
        <w:left w:val="none" w:sz="0" w:space="0" w:color="auto"/>
        <w:bottom w:val="none" w:sz="0" w:space="0" w:color="auto"/>
        <w:right w:val="none" w:sz="0" w:space="0" w:color="auto"/>
      </w:divBdr>
      <w:divsChild>
        <w:div w:id="1321351557">
          <w:marLeft w:val="0"/>
          <w:marRight w:val="0"/>
          <w:marTop w:val="0"/>
          <w:marBottom w:val="0"/>
          <w:divBdr>
            <w:top w:val="none" w:sz="0" w:space="0" w:color="auto"/>
            <w:left w:val="none" w:sz="0" w:space="0" w:color="auto"/>
            <w:bottom w:val="none" w:sz="0" w:space="0" w:color="auto"/>
            <w:right w:val="none" w:sz="0" w:space="0" w:color="auto"/>
          </w:divBdr>
          <w:divsChild>
            <w:div w:id="360399345">
              <w:marLeft w:val="0"/>
              <w:marRight w:val="0"/>
              <w:marTop w:val="0"/>
              <w:marBottom w:val="0"/>
              <w:divBdr>
                <w:top w:val="none" w:sz="0" w:space="0" w:color="auto"/>
                <w:left w:val="none" w:sz="0" w:space="0" w:color="auto"/>
                <w:bottom w:val="none" w:sz="0" w:space="0" w:color="auto"/>
                <w:right w:val="none" w:sz="0" w:space="0" w:color="auto"/>
              </w:divBdr>
            </w:div>
          </w:divsChild>
        </w:div>
        <w:div w:id="536435155">
          <w:marLeft w:val="0"/>
          <w:marRight w:val="0"/>
          <w:marTop w:val="0"/>
          <w:marBottom w:val="0"/>
          <w:divBdr>
            <w:top w:val="none" w:sz="0" w:space="0" w:color="auto"/>
            <w:left w:val="none" w:sz="0" w:space="0" w:color="auto"/>
            <w:bottom w:val="none" w:sz="0" w:space="0" w:color="auto"/>
            <w:right w:val="none" w:sz="0" w:space="0" w:color="auto"/>
          </w:divBdr>
          <w:divsChild>
            <w:div w:id="1688166754">
              <w:marLeft w:val="0"/>
              <w:marRight w:val="0"/>
              <w:marTop w:val="0"/>
              <w:marBottom w:val="0"/>
              <w:divBdr>
                <w:top w:val="none" w:sz="0" w:space="0" w:color="auto"/>
                <w:left w:val="none" w:sz="0" w:space="0" w:color="auto"/>
                <w:bottom w:val="none" w:sz="0" w:space="0" w:color="auto"/>
                <w:right w:val="none" w:sz="0" w:space="0" w:color="auto"/>
              </w:divBdr>
              <w:divsChild>
                <w:div w:id="2104258190">
                  <w:marLeft w:val="0"/>
                  <w:marRight w:val="0"/>
                  <w:marTop w:val="0"/>
                  <w:marBottom w:val="0"/>
                  <w:divBdr>
                    <w:top w:val="none" w:sz="0" w:space="0" w:color="auto"/>
                    <w:left w:val="none" w:sz="0" w:space="0" w:color="auto"/>
                    <w:bottom w:val="none" w:sz="0" w:space="0" w:color="auto"/>
                    <w:right w:val="none" w:sz="0" w:space="0" w:color="auto"/>
                  </w:divBdr>
                  <w:divsChild>
                    <w:div w:id="1677419020">
                      <w:marLeft w:val="0"/>
                      <w:marRight w:val="0"/>
                      <w:marTop w:val="0"/>
                      <w:marBottom w:val="0"/>
                      <w:divBdr>
                        <w:top w:val="none" w:sz="0" w:space="0" w:color="auto"/>
                        <w:left w:val="none" w:sz="0" w:space="0" w:color="auto"/>
                        <w:bottom w:val="none" w:sz="0" w:space="0" w:color="auto"/>
                        <w:right w:val="none" w:sz="0" w:space="0" w:color="auto"/>
                      </w:divBdr>
                      <w:divsChild>
                        <w:div w:id="54478258">
                          <w:marLeft w:val="0"/>
                          <w:marRight w:val="0"/>
                          <w:marTop w:val="0"/>
                          <w:marBottom w:val="0"/>
                          <w:divBdr>
                            <w:top w:val="none" w:sz="0" w:space="0" w:color="auto"/>
                            <w:left w:val="none" w:sz="0" w:space="0" w:color="auto"/>
                            <w:bottom w:val="none" w:sz="0" w:space="0" w:color="auto"/>
                            <w:right w:val="none" w:sz="0" w:space="0" w:color="auto"/>
                          </w:divBdr>
                          <w:divsChild>
                            <w:div w:id="1924874738">
                              <w:marLeft w:val="0"/>
                              <w:marRight w:val="0"/>
                              <w:marTop w:val="0"/>
                              <w:marBottom w:val="0"/>
                              <w:divBdr>
                                <w:top w:val="none" w:sz="0" w:space="0" w:color="auto"/>
                                <w:left w:val="none" w:sz="0" w:space="0" w:color="auto"/>
                                <w:bottom w:val="none" w:sz="0" w:space="0" w:color="auto"/>
                                <w:right w:val="none" w:sz="0" w:space="0" w:color="auto"/>
                              </w:divBdr>
                              <w:divsChild>
                                <w:div w:id="1601180980">
                                  <w:marLeft w:val="-225"/>
                                  <w:marRight w:val="-225"/>
                                  <w:marTop w:val="0"/>
                                  <w:marBottom w:val="0"/>
                                  <w:divBdr>
                                    <w:top w:val="none" w:sz="0" w:space="0" w:color="auto"/>
                                    <w:left w:val="none" w:sz="0" w:space="0" w:color="auto"/>
                                    <w:bottom w:val="none" w:sz="0" w:space="0" w:color="auto"/>
                                    <w:right w:val="none" w:sz="0" w:space="0" w:color="auto"/>
                                  </w:divBdr>
                                  <w:divsChild>
                                    <w:div w:id="2024629995">
                                      <w:marLeft w:val="0"/>
                                      <w:marRight w:val="0"/>
                                      <w:marTop w:val="0"/>
                                      <w:marBottom w:val="0"/>
                                      <w:divBdr>
                                        <w:top w:val="none" w:sz="0" w:space="0" w:color="auto"/>
                                        <w:left w:val="none" w:sz="0" w:space="0" w:color="auto"/>
                                        <w:bottom w:val="none" w:sz="0" w:space="0" w:color="auto"/>
                                        <w:right w:val="none" w:sz="0" w:space="0" w:color="auto"/>
                                      </w:divBdr>
                                      <w:divsChild>
                                        <w:div w:id="1485392294">
                                          <w:marLeft w:val="0"/>
                                          <w:marRight w:val="0"/>
                                          <w:marTop w:val="0"/>
                                          <w:marBottom w:val="0"/>
                                          <w:divBdr>
                                            <w:top w:val="none" w:sz="0" w:space="0" w:color="auto"/>
                                            <w:left w:val="none" w:sz="0" w:space="0" w:color="auto"/>
                                            <w:bottom w:val="none" w:sz="0" w:space="0" w:color="auto"/>
                                            <w:right w:val="none" w:sz="0" w:space="0" w:color="auto"/>
                                          </w:divBdr>
                                          <w:divsChild>
                                            <w:div w:id="1886524546">
                                              <w:marLeft w:val="0"/>
                                              <w:marRight w:val="0"/>
                                              <w:marTop w:val="0"/>
                                              <w:marBottom w:val="0"/>
                                              <w:divBdr>
                                                <w:top w:val="none" w:sz="0" w:space="0" w:color="auto"/>
                                                <w:left w:val="none" w:sz="0" w:space="0" w:color="auto"/>
                                                <w:bottom w:val="none" w:sz="0" w:space="0" w:color="auto"/>
                                                <w:right w:val="none" w:sz="0" w:space="0" w:color="auto"/>
                                              </w:divBdr>
                                              <w:divsChild>
                                                <w:div w:id="9675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1</cp:revision>
  <dcterms:created xsi:type="dcterms:W3CDTF">2021-11-15T15:42:00Z</dcterms:created>
  <dcterms:modified xsi:type="dcterms:W3CDTF">2021-11-15T15:45:00Z</dcterms:modified>
</cp:coreProperties>
</file>