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2456" w:rsidP="00152689" w14:paraId="3E59FDB1" w14:textId="5B72CFA8">
      <w:pPr>
        <w:pStyle w:val="NoSpacing"/>
        <w:jc w:val="center"/>
      </w:pPr>
      <w:r>
        <w:t>Justification</w:t>
      </w:r>
    </w:p>
    <w:p w:rsidR="00152689" w:rsidP="00152689" w14:paraId="1E838A0E" w14:textId="2B8A31D9">
      <w:pPr>
        <w:pStyle w:val="NoSpacing"/>
        <w:jc w:val="center"/>
      </w:pPr>
      <w:r>
        <w:t>No material/Non-substantive Change Request</w:t>
      </w:r>
    </w:p>
    <w:p w:rsidR="00152689" w:rsidRPr="00152689" w:rsidP="00152689" w14:paraId="08036278" w14:textId="77777777">
      <w:pPr>
        <w:pStyle w:val="NoSpacing"/>
        <w:jc w:val="center"/>
        <w:rPr>
          <w:i/>
          <w:iCs/>
        </w:rPr>
      </w:pPr>
      <w:r w:rsidRPr="00152689">
        <w:rPr>
          <w:i/>
          <w:iCs/>
        </w:rPr>
        <w:t>“Authorization request form and Certification/Letter of Medical Necessity for Compounded Drugs”</w:t>
      </w:r>
    </w:p>
    <w:p w:rsidR="00152689" w:rsidP="00152689" w14:paraId="66F53DE8" w14:textId="03149248">
      <w:pPr>
        <w:pStyle w:val="NoSpacing"/>
        <w:jc w:val="center"/>
      </w:pPr>
      <w:r>
        <w:t>(CA-26)</w:t>
      </w:r>
    </w:p>
    <w:p w:rsidR="00152689" w:rsidRPr="003B39FA" w14:paraId="17318103" w14:textId="77777777">
      <w:pPr>
        <w:rPr>
          <w:rFonts w:cstheme="minorHAnsi"/>
        </w:rPr>
      </w:pPr>
    </w:p>
    <w:p w:rsidR="00B0077C" w:rsidP="00BC3E7B" w14:paraId="25953C96" w14:textId="7244BFE4">
      <w:pPr>
        <w:rPr>
          <w:rFonts w:cstheme="minorHAnsi"/>
          <w:color w:val="333333"/>
          <w:lang w:val="en"/>
        </w:rPr>
      </w:pPr>
      <w:r w:rsidRPr="00BC3E7B">
        <w:rPr>
          <w:rFonts w:cstheme="minorHAnsi"/>
        </w:rPr>
        <w:t xml:space="preserve">The Office of Workers’ Compensation Programs (OWCP) is the primary agency responsible for the administration of the Federal Employees’ Compensation Act (FECA) and the Energy Employees Occupational Illness Compensation Program Act of 2000, as amended (EEOICPA).  Both </w:t>
      </w:r>
      <w:r w:rsidRPr="00BC3E7B" w:rsidR="006F5A19">
        <w:rPr>
          <w:rFonts w:cstheme="minorHAnsi"/>
        </w:rPr>
        <w:t xml:space="preserve">the </w:t>
      </w:r>
      <w:r w:rsidRPr="00BC3E7B">
        <w:rPr>
          <w:rFonts w:cstheme="minorHAnsi"/>
        </w:rPr>
        <w:t xml:space="preserve">FECA </w:t>
      </w:r>
      <w:r w:rsidRPr="00BC3E7B" w:rsidR="00B45C60">
        <w:rPr>
          <w:rFonts w:cstheme="minorHAnsi"/>
          <w:color w:val="333333"/>
          <w:lang w:val="en"/>
        </w:rPr>
        <w:t>and EEOICPA statutes mandate OWCP provide medically necessary supplies and services to treat work related injuries</w:t>
      </w:r>
      <w:r w:rsidRPr="00BC3E7B" w:rsidR="00EB678C">
        <w:rPr>
          <w:rFonts w:cstheme="minorHAnsi"/>
          <w:color w:val="333333"/>
          <w:lang w:val="en"/>
        </w:rPr>
        <w:t xml:space="preserve"> and </w:t>
      </w:r>
      <w:r w:rsidRPr="00BC3E7B" w:rsidR="00B45C60">
        <w:rPr>
          <w:rFonts w:cstheme="minorHAnsi"/>
          <w:color w:val="333333"/>
          <w:lang w:val="en"/>
        </w:rPr>
        <w:t>give OWCP broad discretionary authority to determine the medical necessity of supplies and services used to treat work related injuries or illnesses.</w:t>
      </w:r>
      <w:r w:rsidRPr="00BC3E7B" w:rsidR="003A73BB">
        <w:rPr>
          <w:rFonts w:cstheme="minorHAnsi"/>
          <w:color w:val="333333"/>
          <w:lang w:val="en"/>
        </w:rPr>
        <w:t xml:space="preserve">  5 U.S.C. </w:t>
      </w:r>
      <w:r w:rsidRPr="003214B4" w:rsidR="00637B2B">
        <w:rPr>
          <w:rFonts w:cstheme="minorHAnsi"/>
          <w:lang w:val="en"/>
        </w:rPr>
        <w:t>§ 814</w:t>
      </w:r>
      <w:r w:rsidRPr="003214B4" w:rsidR="00637B2B">
        <w:rPr>
          <w:rFonts w:cstheme="minorHAnsi"/>
          <w:lang w:val="en"/>
        </w:rPr>
        <w:t xml:space="preserve">5; </w:t>
      </w:r>
      <w:r w:rsidRPr="00BC3E7B" w:rsidR="005F434E">
        <w:rPr>
          <w:rFonts w:cstheme="minorHAnsi"/>
        </w:rPr>
        <w:t>42 U.S.C. § 7384t</w:t>
      </w:r>
      <w:r w:rsidRPr="00BC3E7B" w:rsidR="005F434E">
        <w:rPr>
          <w:rFonts w:cstheme="minorHAnsi"/>
        </w:rPr>
        <w:t>.</w:t>
      </w:r>
    </w:p>
    <w:p w:rsidR="00B52933" w:rsidRPr="003214B4" w14:paraId="62546E13" w14:textId="1C1F45C5">
      <w:pPr>
        <w:rPr>
          <w:rFonts w:cstheme="minorHAnsi"/>
          <w:color w:val="333333"/>
          <w:lang w:val="en"/>
        </w:rPr>
      </w:pPr>
      <w:r w:rsidRPr="00BC3E7B">
        <w:rPr>
          <w:rFonts w:cstheme="minorHAnsi"/>
          <w:color w:val="333333"/>
          <w:lang w:val="en"/>
        </w:rPr>
        <w:t xml:space="preserve">In recent years, the FECA program has seen a dramatic reduction in the number of compounded drug prescriptions being submitted for payment in workers’ compensation claims since the initiation of the CA-26 form, whereas the EEOICPA program has seen a steady increase without the ability to utilize the CA-26 form.  A greater number of EEOCIPA claimants are receiving these medications and are receiving them more frequently, increasing concern about the efficacy and safety of these prescriptions.  </w:t>
      </w:r>
      <w:r w:rsidRPr="00BC3E7B">
        <w:rPr>
          <w:rFonts w:cstheme="minorHAnsi"/>
        </w:rPr>
        <w:t>These major health care issues have encroached upon the OWCP with escalation in program costs and with the use of compounded medications.</w:t>
      </w:r>
      <w:r w:rsidR="00B0077C">
        <w:rPr>
          <w:rFonts w:cstheme="minorHAnsi"/>
          <w:color w:val="333333"/>
          <w:lang w:val="en"/>
        </w:rPr>
        <w:t xml:space="preserve">  </w:t>
      </w:r>
      <w:r w:rsidRPr="00BC3E7B" w:rsidR="00E708E5">
        <w:rPr>
          <w:rFonts w:cstheme="minorHAnsi"/>
          <w:color w:val="333333"/>
          <w:lang w:val="en"/>
        </w:rPr>
        <w:t>T</w:t>
      </w:r>
      <w:r w:rsidRPr="00BC3E7B" w:rsidR="00A629DA">
        <w:rPr>
          <w:rFonts w:cstheme="minorHAnsi"/>
          <w:color w:val="333333"/>
          <w:lang w:val="en"/>
        </w:rPr>
        <w:t xml:space="preserve">he Department of Labor </w:t>
      </w:r>
      <w:r w:rsidRPr="00BC3E7B" w:rsidR="00E708E5">
        <w:rPr>
          <w:rFonts w:cstheme="minorHAnsi"/>
          <w:color w:val="333333"/>
          <w:lang w:val="en"/>
        </w:rPr>
        <w:t xml:space="preserve">thus </w:t>
      </w:r>
      <w:r w:rsidRPr="00BC3E7B" w:rsidR="00A629DA">
        <w:rPr>
          <w:rFonts w:cstheme="minorHAnsi"/>
          <w:color w:val="333333"/>
          <w:lang w:val="en"/>
        </w:rPr>
        <w:t xml:space="preserve">deems it necessary to </w:t>
      </w:r>
      <w:r w:rsidRPr="00BC3E7B" w:rsidR="00A629DA">
        <w:rPr>
          <w:rFonts w:cstheme="minorHAnsi"/>
          <w:color w:val="333333"/>
          <w:lang w:val="en"/>
        </w:rPr>
        <w:t>more closely review the medical necessity of these medications</w:t>
      </w:r>
      <w:r w:rsidRPr="00BC3E7B" w:rsidR="00A629DA">
        <w:rPr>
          <w:rFonts w:cstheme="minorHAnsi"/>
          <w:color w:val="333333"/>
          <w:lang w:val="en"/>
        </w:rPr>
        <w:t xml:space="preserve"> in EEOICPA </w:t>
      </w:r>
      <w:r w:rsidRPr="00BC3E7B" w:rsidR="00C13295">
        <w:rPr>
          <w:rFonts w:cstheme="minorHAnsi"/>
          <w:color w:val="333333"/>
          <w:lang w:val="en"/>
        </w:rPr>
        <w:t>claims.</w:t>
      </w:r>
    </w:p>
    <w:p w:rsidR="008D567E" w:rsidRPr="00BC3E7B" w14:paraId="4A4F4612" w14:textId="64A60681">
      <w:pPr>
        <w:rPr>
          <w:rFonts w:cstheme="minorHAnsi"/>
        </w:rPr>
      </w:pPr>
      <w:r w:rsidRPr="00BC3E7B">
        <w:rPr>
          <w:rFonts w:cstheme="minorHAnsi"/>
        </w:rPr>
        <w:t xml:space="preserve">OWCP’s request is to allow physicians prescribing compounded drugs for claimants covered under </w:t>
      </w:r>
      <w:r w:rsidRPr="00BC3E7B">
        <w:rPr>
          <w:rFonts w:cstheme="minorHAnsi"/>
        </w:rPr>
        <w:t>the</w:t>
      </w:r>
      <w:r w:rsidRPr="00BC3E7B" w:rsidR="000438F5">
        <w:rPr>
          <w:rFonts w:cstheme="minorHAnsi"/>
        </w:rPr>
        <w:t xml:space="preserve">  EEOICPA</w:t>
      </w:r>
      <w:r w:rsidRPr="00BC3E7B" w:rsidR="000438F5">
        <w:rPr>
          <w:rFonts w:cstheme="minorHAnsi"/>
        </w:rPr>
        <w:t xml:space="preserve"> </w:t>
      </w:r>
      <w:r w:rsidRPr="00BC3E7B">
        <w:rPr>
          <w:rFonts w:cstheme="minorHAnsi"/>
        </w:rPr>
        <w:t>the opportunity to request prior authorization</w:t>
      </w:r>
      <w:r w:rsidRPr="00BC3E7B" w:rsidR="003C2625">
        <w:rPr>
          <w:rFonts w:cstheme="minorHAnsi"/>
        </w:rPr>
        <w:t xml:space="preserve">.  Specifically, OWCP asks to expand </w:t>
      </w:r>
      <w:r w:rsidRPr="00BC3E7B" w:rsidR="00B818E5">
        <w:rPr>
          <w:rFonts w:cstheme="minorHAnsi"/>
        </w:rPr>
        <w:t>application of</w:t>
      </w:r>
      <w:r w:rsidRPr="00BC3E7B" w:rsidR="00E17726">
        <w:rPr>
          <w:rFonts w:cstheme="minorHAnsi"/>
        </w:rPr>
        <w:t xml:space="preserve"> the </w:t>
      </w:r>
      <w:r w:rsidRPr="00BC3E7B" w:rsidR="00B818E5">
        <w:rPr>
          <w:rFonts w:cstheme="minorHAnsi"/>
        </w:rPr>
        <w:t xml:space="preserve">FECA program’s </w:t>
      </w:r>
      <w:r w:rsidRPr="00BC3E7B" w:rsidR="00E17726">
        <w:rPr>
          <w:rFonts w:cstheme="minorHAnsi"/>
        </w:rPr>
        <w:t>CA-26 form</w:t>
      </w:r>
      <w:r w:rsidRPr="00BC3E7B" w:rsidR="00B818E5">
        <w:rPr>
          <w:rFonts w:cstheme="minorHAnsi"/>
        </w:rPr>
        <w:t xml:space="preserve"> to the </w:t>
      </w:r>
      <w:r w:rsidRPr="00BC3E7B" w:rsidR="0038124B">
        <w:rPr>
          <w:rFonts w:cstheme="minorHAnsi"/>
        </w:rPr>
        <w:t>EEOICPA program</w:t>
      </w:r>
      <w:r w:rsidRPr="00BC3E7B">
        <w:rPr>
          <w:rFonts w:cstheme="minorHAnsi"/>
        </w:rPr>
        <w:t>.</w:t>
      </w:r>
      <w:r>
        <w:rPr>
          <w:rStyle w:val="FootnoteReference"/>
          <w:rFonts w:cstheme="minorHAnsi"/>
        </w:rPr>
        <w:footnoteReference w:id="2"/>
      </w:r>
      <w:r w:rsidRPr="00BC3E7B" w:rsidR="000438F5">
        <w:rPr>
          <w:rFonts w:cstheme="minorHAnsi"/>
        </w:rPr>
        <w:t xml:space="preserve">  </w:t>
      </w:r>
      <w:r w:rsidRPr="00BC3E7B">
        <w:rPr>
          <w:rFonts w:cstheme="minorHAnsi"/>
        </w:rPr>
        <w:t>This request does not increase the prior burden assessment previously submitted</w:t>
      </w:r>
      <w:r w:rsidRPr="00BC3E7B">
        <w:rPr>
          <w:rFonts w:cstheme="minorHAnsi"/>
        </w:rPr>
        <w:t xml:space="preserve"> for </w:t>
      </w:r>
      <w:r w:rsidRPr="00BC3E7B" w:rsidR="00AC6FC6">
        <w:rPr>
          <w:rFonts w:cstheme="minorHAnsi"/>
        </w:rPr>
        <w:t xml:space="preserve">the </w:t>
      </w:r>
      <w:r w:rsidRPr="00BC3E7B">
        <w:rPr>
          <w:rFonts w:cstheme="minorHAnsi"/>
        </w:rPr>
        <w:t>CA-26</w:t>
      </w:r>
      <w:r w:rsidRPr="00BC3E7B" w:rsidR="00AC6FC6">
        <w:rPr>
          <w:rFonts w:cstheme="minorHAnsi"/>
        </w:rPr>
        <w:t xml:space="preserve"> form</w:t>
      </w:r>
      <w:r w:rsidRPr="00BC3E7B" w:rsidR="005443D6">
        <w:rPr>
          <w:rFonts w:cstheme="minorHAnsi"/>
        </w:rPr>
        <w:t>.</w:t>
      </w:r>
      <w:r w:rsidRPr="00BC3E7B" w:rsidR="006C7BCA">
        <w:rPr>
          <w:rStyle w:val="FootnoteReference"/>
          <w:rFonts w:cstheme="minorHAnsi"/>
        </w:rPr>
        <w:t xml:space="preserve"> </w:t>
      </w:r>
      <w:r>
        <w:rPr>
          <w:rStyle w:val="FootnoteReference"/>
          <w:rFonts w:cstheme="minorHAnsi"/>
        </w:rPr>
        <w:footnoteReference w:id="3"/>
      </w:r>
    </w:p>
    <w:p w:rsidR="00152689" w:rsidRPr="00BC3E7B" w:rsidP="00152689" w14:paraId="493BB662" w14:textId="531BC529">
      <w:pPr>
        <w:rPr>
          <w:rFonts w:cstheme="minorHAnsi"/>
        </w:rPr>
      </w:pPr>
      <w:r w:rsidRPr="00BC3E7B">
        <w:rPr>
          <w:rFonts w:cstheme="minorHAnsi"/>
        </w:rPr>
        <w:t xml:space="preserve">OWCP </w:t>
      </w:r>
      <w:r w:rsidRPr="00BC3E7B" w:rsidR="00422277">
        <w:rPr>
          <w:rFonts w:cstheme="minorHAnsi"/>
        </w:rPr>
        <w:t xml:space="preserve">also </w:t>
      </w:r>
      <w:r w:rsidRPr="00BC3E7B">
        <w:rPr>
          <w:rFonts w:cstheme="minorHAnsi"/>
        </w:rPr>
        <w:t xml:space="preserve">requests the following changes to the </w:t>
      </w:r>
      <w:r w:rsidRPr="00BC3E7B" w:rsidR="00AC6FC6">
        <w:rPr>
          <w:rFonts w:cstheme="minorHAnsi"/>
        </w:rPr>
        <w:t xml:space="preserve">CA-26 </w:t>
      </w:r>
      <w:r w:rsidRPr="00BC3E7B">
        <w:rPr>
          <w:rFonts w:cstheme="minorHAnsi"/>
        </w:rPr>
        <w:t>form</w:t>
      </w:r>
      <w:r w:rsidRPr="00BC3E7B" w:rsidR="006C7BCA">
        <w:rPr>
          <w:rFonts w:cstheme="minorHAnsi"/>
        </w:rPr>
        <w:t xml:space="preserve"> which</w:t>
      </w:r>
      <w:r w:rsidRPr="00BC3E7B" w:rsidR="004517D9">
        <w:rPr>
          <w:rFonts w:cstheme="minorHAnsi"/>
        </w:rPr>
        <w:t xml:space="preserve"> do not affect </w:t>
      </w:r>
      <w:r w:rsidRPr="00BC3E7B" w:rsidR="008719A5">
        <w:rPr>
          <w:rFonts w:cstheme="minorHAnsi"/>
        </w:rPr>
        <w:t>respondent time burden</w:t>
      </w:r>
      <w:r w:rsidRPr="00BC3E7B">
        <w:rPr>
          <w:rFonts w:cstheme="minorHAnsi"/>
        </w:rPr>
        <w:t>:</w:t>
      </w:r>
    </w:p>
    <w:p w:rsidR="00152689" w:rsidRPr="00BC3E7B" w:rsidP="00152689" w14:paraId="12D0A904" w14:textId="2C05B939">
      <w:pPr>
        <w:rPr>
          <w:rFonts w:cstheme="minorHAnsi"/>
        </w:rPr>
      </w:pPr>
      <w:r w:rsidRPr="00BC3E7B">
        <w:rPr>
          <w:rFonts w:cstheme="minorHAnsi"/>
        </w:rPr>
        <w:t xml:space="preserve">Page 1: “Division of Federal Employees’ Compensation” </w:t>
      </w:r>
      <w:r w:rsidRPr="00BC3E7B" w:rsidR="00AC6FC6">
        <w:rPr>
          <w:rFonts w:cstheme="minorHAnsi"/>
        </w:rPr>
        <w:t>to be</w:t>
      </w:r>
      <w:r w:rsidRPr="00BC3E7B">
        <w:rPr>
          <w:rFonts w:cstheme="minorHAnsi"/>
        </w:rPr>
        <w:t xml:space="preserve"> deleted</w:t>
      </w:r>
      <w:r w:rsidRPr="00BC3E7B" w:rsidR="005C5B88">
        <w:rPr>
          <w:rFonts w:cstheme="minorHAnsi"/>
        </w:rPr>
        <w:t>.</w:t>
      </w:r>
    </w:p>
    <w:p w:rsidR="005C5B88" w:rsidRPr="00BC3E7B" w:rsidP="005C5B88" w14:paraId="6D70FCF2" w14:textId="270D1DB7">
      <w:pPr>
        <w:pStyle w:val="ListParagraph"/>
        <w:numPr>
          <w:ilvl w:val="0"/>
          <w:numId w:val="1"/>
        </w:numPr>
        <w:rPr>
          <w:rFonts w:cstheme="minorHAnsi"/>
        </w:rPr>
      </w:pPr>
      <w:r w:rsidRPr="00BC3E7B">
        <w:rPr>
          <w:rFonts w:cstheme="minorHAnsi"/>
        </w:rPr>
        <w:t>This change would indicate that the form is not exclusively for the FECA program.</w:t>
      </w:r>
    </w:p>
    <w:p w:rsidR="00152689" w:rsidRPr="00BC3E7B" w:rsidP="00152689" w14:paraId="69F0C901" w14:textId="5F1AB0FF">
      <w:pPr>
        <w:rPr>
          <w:rFonts w:cstheme="minorHAnsi"/>
        </w:rPr>
      </w:pPr>
      <w:r w:rsidRPr="00BC3E7B">
        <w:rPr>
          <w:rFonts w:cstheme="minorHAnsi"/>
        </w:rPr>
        <w:t xml:space="preserve">Page 3: Under number 2: “9-digit number” </w:t>
      </w:r>
      <w:r w:rsidRPr="00BC3E7B" w:rsidR="00AC6FC6">
        <w:rPr>
          <w:rFonts w:cstheme="minorHAnsi"/>
        </w:rPr>
        <w:t xml:space="preserve">to be </w:t>
      </w:r>
      <w:r w:rsidRPr="00BC3E7B">
        <w:rPr>
          <w:rFonts w:cstheme="minorHAnsi"/>
        </w:rPr>
        <w:t>deleted.</w:t>
      </w:r>
    </w:p>
    <w:p w:rsidR="005C5B88" w:rsidRPr="00BC3E7B" w:rsidP="005C5B88" w14:paraId="694CE294" w14:textId="278D9C34">
      <w:pPr>
        <w:pStyle w:val="ListParagraph"/>
        <w:numPr>
          <w:ilvl w:val="0"/>
          <w:numId w:val="1"/>
        </w:numPr>
        <w:rPr>
          <w:rFonts w:cstheme="minorHAnsi"/>
        </w:rPr>
      </w:pPr>
      <w:r w:rsidRPr="00BC3E7B">
        <w:rPr>
          <w:rFonts w:cstheme="minorHAnsi"/>
        </w:rPr>
        <w:t>This change in the instructions would reduce confusion as the EEOICPA program does not have a 9-digit case number.</w:t>
      </w:r>
    </w:p>
    <w:p w:rsidR="00152689" w:rsidRPr="00BC3E7B" w:rsidP="00152689" w14:paraId="555C214D" w14:textId="27CDDB62">
      <w:pPr>
        <w:rPr>
          <w:rFonts w:cstheme="minorHAnsi"/>
        </w:rPr>
      </w:pPr>
      <w:r w:rsidRPr="00BC3E7B">
        <w:rPr>
          <w:rFonts w:cstheme="minorHAnsi"/>
        </w:rPr>
        <w:t>Page 3: Under number 20: “14,400” to</w:t>
      </w:r>
      <w:r w:rsidRPr="00BC3E7B" w:rsidR="00AC6FC6">
        <w:rPr>
          <w:rFonts w:cstheme="minorHAnsi"/>
        </w:rPr>
        <w:t xml:space="preserve"> be changed to</w:t>
      </w:r>
      <w:r w:rsidRPr="00BC3E7B">
        <w:rPr>
          <w:rFonts w:cstheme="minorHAnsi"/>
        </w:rPr>
        <w:t xml:space="preserve"> “68,000”</w:t>
      </w:r>
      <w:r w:rsidRPr="00BC3E7B" w:rsidR="00AC6FC6">
        <w:rPr>
          <w:rFonts w:cstheme="minorHAnsi"/>
        </w:rPr>
        <w:t>.</w:t>
      </w:r>
    </w:p>
    <w:p w:rsidR="005C5B88" w:rsidRPr="00BC3E7B" w:rsidP="00152689" w14:paraId="3BDBEFAE" w14:textId="77777777">
      <w:pPr>
        <w:pStyle w:val="ListParagraph"/>
        <w:numPr>
          <w:ilvl w:val="0"/>
          <w:numId w:val="1"/>
        </w:numPr>
        <w:autoSpaceDE w:val="0"/>
        <w:autoSpaceDN w:val="0"/>
        <w:adjustRightInd w:val="0"/>
        <w:spacing w:after="0" w:line="240" w:lineRule="auto"/>
        <w:rPr>
          <w:rFonts w:cstheme="minorHAnsi"/>
        </w:rPr>
      </w:pPr>
      <w:r w:rsidRPr="00BC3E7B">
        <w:rPr>
          <w:rFonts w:cstheme="minorHAnsi"/>
        </w:rPr>
        <w:t>This change in the instructions updates the number of International Statistical Classification of Diseases and Related Health Problems 10</w:t>
      </w:r>
      <w:r w:rsidRPr="00BC3E7B">
        <w:rPr>
          <w:rFonts w:cstheme="minorHAnsi"/>
          <w:vertAlign w:val="superscript"/>
        </w:rPr>
        <w:t>th</w:t>
      </w:r>
      <w:r w:rsidRPr="00BC3E7B">
        <w:rPr>
          <w:rFonts w:cstheme="minorHAnsi"/>
        </w:rPr>
        <w:t xml:space="preserve"> Revision (ICD-10) codes currently in use in the medical field today.</w:t>
      </w:r>
    </w:p>
    <w:p w:rsidR="005C5B88" w:rsidRPr="00BC3E7B" w:rsidP="005C5B88" w14:paraId="2FC9B5D0" w14:textId="77777777">
      <w:pPr>
        <w:autoSpaceDE w:val="0"/>
        <w:autoSpaceDN w:val="0"/>
        <w:adjustRightInd w:val="0"/>
        <w:spacing w:after="0" w:line="240" w:lineRule="auto"/>
        <w:rPr>
          <w:rFonts w:cstheme="minorHAnsi"/>
        </w:rPr>
      </w:pPr>
    </w:p>
    <w:p w:rsidR="00152689" w:rsidRPr="00BC3E7B" w:rsidP="005C5B88" w14:paraId="4A765D11" w14:textId="0464F2F8">
      <w:pPr>
        <w:autoSpaceDE w:val="0"/>
        <w:autoSpaceDN w:val="0"/>
        <w:adjustRightInd w:val="0"/>
        <w:spacing w:after="0" w:line="240" w:lineRule="auto"/>
        <w:rPr>
          <w:rFonts w:cstheme="minorHAnsi"/>
        </w:rPr>
      </w:pPr>
      <w:r w:rsidRPr="00BC3E7B">
        <w:rPr>
          <w:rFonts w:cstheme="minorHAnsi"/>
        </w:rPr>
        <w:t xml:space="preserve">Page 4: </w:t>
      </w:r>
      <w:r w:rsidRPr="00BC3E7B" w:rsidR="00AC6FC6">
        <w:rPr>
          <w:rFonts w:cstheme="minorHAnsi"/>
        </w:rPr>
        <w:t xml:space="preserve">Room </w:t>
      </w:r>
      <w:r w:rsidRPr="00BC3E7B">
        <w:rPr>
          <w:rFonts w:cstheme="minorHAnsi"/>
        </w:rPr>
        <w:t xml:space="preserve">“S3524” </w:t>
      </w:r>
      <w:r w:rsidRPr="00BC3E7B" w:rsidR="00AC6FC6">
        <w:rPr>
          <w:rFonts w:cstheme="minorHAnsi"/>
        </w:rPr>
        <w:t>to be changed</w:t>
      </w:r>
      <w:r w:rsidRPr="00BC3E7B">
        <w:rPr>
          <w:rFonts w:cstheme="minorHAnsi"/>
        </w:rPr>
        <w:t xml:space="preserve"> to “S3229”</w:t>
      </w:r>
      <w:r w:rsidRPr="00BC3E7B" w:rsidR="00AC6FC6">
        <w:rPr>
          <w:rFonts w:cstheme="minorHAnsi"/>
        </w:rPr>
        <w:t>.</w:t>
      </w:r>
    </w:p>
    <w:p w:rsidR="005C5B88" w:rsidRPr="00BC3E7B" w:rsidP="005C5B88" w14:paraId="1BB49885" w14:textId="77777777">
      <w:pPr>
        <w:autoSpaceDE w:val="0"/>
        <w:autoSpaceDN w:val="0"/>
        <w:adjustRightInd w:val="0"/>
        <w:spacing w:after="0" w:line="240" w:lineRule="auto"/>
        <w:rPr>
          <w:rFonts w:cstheme="minorHAnsi"/>
        </w:rPr>
      </w:pPr>
    </w:p>
    <w:p w:rsidR="005C5B88" w:rsidRPr="00BC3E7B" w:rsidP="005C5B88" w14:paraId="4B98AACA" w14:textId="02246893">
      <w:pPr>
        <w:pStyle w:val="ListParagraph"/>
        <w:numPr>
          <w:ilvl w:val="0"/>
          <w:numId w:val="1"/>
        </w:numPr>
        <w:autoSpaceDE w:val="0"/>
        <w:autoSpaceDN w:val="0"/>
        <w:adjustRightInd w:val="0"/>
        <w:spacing w:after="0" w:line="240" w:lineRule="auto"/>
        <w:rPr>
          <w:rFonts w:cstheme="minorHAnsi"/>
        </w:rPr>
      </w:pPr>
      <w:r w:rsidRPr="00BC3E7B">
        <w:rPr>
          <w:rFonts w:cstheme="minorHAnsi"/>
        </w:rPr>
        <w:t>This change in the instructions updates the room number location under the public burden statement.</w:t>
      </w:r>
    </w:p>
    <w:p w:rsidR="005C5B88" w:rsidRPr="00BC3E7B" w:rsidP="005C5B88" w14:paraId="7714A574" w14:textId="77777777">
      <w:pPr>
        <w:pStyle w:val="ListParagraph"/>
        <w:autoSpaceDE w:val="0"/>
        <w:autoSpaceDN w:val="0"/>
        <w:adjustRightInd w:val="0"/>
        <w:spacing w:after="0" w:line="240" w:lineRule="auto"/>
        <w:rPr>
          <w:rFonts w:cstheme="minorHAnsi"/>
        </w:rPr>
      </w:pPr>
    </w:p>
    <w:p w:rsidR="00152689" w:rsidRPr="00BC3E7B" w:rsidP="00152689" w14:paraId="39DD23B4" w14:textId="3B1AD432">
      <w:pPr>
        <w:rPr>
          <w:rFonts w:cstheme="minorHAnsi"/>
        </w:rPr>
      </w:pPr>
      <w:r w:rsidRPr="00BC3E7B">
        <w:rPr>
          <w:rFonts w:cstheme="minorHAnsi"/>
        </w:rPr>
        <w:t xml:space="preserve">Page 4: The privacy act statement </w:t>
      </w:r>
      <w:r w:rsidRPr="00BC3E7B" w:rsidR="00AC6FC6">
        <w:rPr>
          <w:rFonts w:cstheme="minorHAnsi"/>
        </w:rPr>
        <w:t>to be</w:t>
      </w:r>
      <w:r w:rsidRPr="00BC3E7B">
        <w:rPr>
          <w:rFonts w:cstheme="minorHAnsi"/>
        </w:rPr>
        <w:t xml:space="preserve"> updated to </w:t>
      </w:r>
      <w:r w:rsidRPr="00BC3E7B" w:rsidR="00CB61FC">
        <w:rPr>
          <w:rFonts w:cstheme="minorHAnsi"/>
        </w:rPr>
        <w:t xml:space="preserve">include the EEOICPA program.  </w:t>
      </w:r>
    </w:p>
    <w:p w:rsidR="005C5B88" w:rsidRPr="00BC3E7B" w:rsidP="005C5B88" w14:paraId="2BEDEDFC" w14:textId="77777777">
      <w:pPr>
        <w:pStyle w:val="ListParagraph"/>
        <w:numPr>
          <w:ilvl w:val="0"/>
          <w:numId w:val="1"/>
        </w:numPr>
        <w:rPr>
          <w:rFonts w:cstheme="minorHAnsi"/>
        </w:rPr>
      </w:pPr>
      <w:r w:rsidRPr="00BC3E7B">
        <w:rPr>
          <w:rFonts w:cstheme="minorHAnsi"/>
        </w:rPr>
        <w:t>This change in the instructions would indicate that the form is not exclusively for the FECA program.</w:t>
      </w:r>
    </w:p>
    <w:p w:rsidR="00152689" w:rsidRPr="00BC3E7B" w:rsidP="00152689" w14:paraId="73AF71A6" w14:textId="5A7AC54D">
      <w:pPr>
        <w:rPr>
          <w:rFonts w:cstheme="minorHAnsi"/>
        </w:rPr>
      </w:pPr>
      <w:r w:rsidRPr="00BC3E7B">
        <w:rPr>
          <w:rFonts w:cstheme="minorHAnsi"/>
        </w:rPr>
        <w:t xml:space="preserve">Page 5: “DFEC” </w:t>
      </w:r>
      <w:r w:rsidRPr="00BC3E7B" w:rsidR="00AC6FC6">
        <w:rPr>
          <w:rFonts w:cstheme="minorHAnsi"/>
        </w:rPr>
        <w:t>to be</w:t>
      </w:r>
      <w:r w:rsidRPr="00BC3E7B">
        <w:rPr>
          <w:rFonts w:cstheme="minorHAnsi"/>
        </w:rPr>
        <w:t xml:space="preserve"> deleted in three areas under the notice statement.</w:t>
      </w:r>
    </w:p>
    <w:p w:rsidR="005C5B88" w:rsidRPr="00BC3E7B" w:rsidP="005C5B88" w14:paraId="4C2C5E23" w14:textId="3CC0E7EF">
      <w:pPr>
        <w:pStyle w:val="ListParagraph"/>
        <w:numPr>
          <w:ilvl w:val="0"/>
          <w:numId w:val="1"/>
        </w:numPr>
        <w:rPr>
          <w:rFonts w:cstheme="minorHAnsi"/>
        </w:rPr>
      </w:pPr>
      <w:r w:rsidRPr="00BC3E7B">
        <w:rPr>
          <w:rFonts w:cstheme="minorHAnsi"/>
        </w:rPr>
        <w:t>This change in the instructions would indicate that the form is not exclusively for the FECA program.</w:t>
      </w:r>
    </w:p>
    <w:p w:rsidR="00152689" w:rsidRPr="00BC3E7B" w:rsidP="005C5B88" w14:paraId="0D00FCD3" w14:textId="5FBC0C2F">
      <w:pPr>
        <w:pStyle w:val="ListParagraph"/>
        <w:rPr>
          <w:rFonts w:cs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B1F28" w:rsidP="00343E8F" w14:paraId="6DC5A11B" w14:textId="77777777">
      <w:pPr>
        <w:spacing w:after="0" w:line="240" w:lineRule="auto"/>
      </w:pPr>
      <w:r>
        <w:separator/>
      </w:r>
    </w:p>
  </w:footnote>
  <w:footnote w:type="continuationSeparator" w:id="1">
    <w:p w:rsidR="00DB1F28" w:rsidP="00343E8F" w14:paraId="2E908F87" w14:textId="77777777">
      <w:pPr>
        <w:spacing w:after="0" w:line="240" w:lineRule="auto"/>
      </w:pPr>
      <w:r>
        <w:continuationSeparator/>
      </w:r>
    </w:p>
  </w:footnote>
  <w:footnote w:id="2">
    <w:p w:rsidR="004B6509" w:rsidRPr="003214B4" w:rsidP="003214B4" w14:paraId="508D9ADA" w14:textId="77777777">
      <w:pPr>
        <w:rPr>
          <w:rFonts w:ascii="Calibri" w:hAnsi="Calibri" w:cs="Calibri"/>
        </w:rPr>
      </w:pPr>
      <w:r w:rsidRPr="003214B4">
        <w:rPr>
          <w:rStyle w:val="FootnoteReference"/>
          <w:rFonts w:ascii="Calibri" w:hAnsi="Calibri" w:cs="Calibri"/>
        </w:rPr>
        <w:footnoteRef/>
      </w:r>
      <w:r w:rsidRPr="003214B4">
        <w:rPr>
          <w:rFonts w:ascii="Calibri" w:hAnsi="Calibri" w:cs="Calibri"/>
        </w:rPr>
        <w:t xml:space="preserve"> </w:t>
      </w:r>
      <w:r w:rsidRPr="003214B4" w:rsidR="0018335E">
        <w:rPr>
          <w:rFonts w:ascii="Calibri" w:hAnsi="Calibri" w:cs="Calibri"/>
        </w:rPr>
        <w:t>We note the information collected by the CA-26 in</w:t>
      </w:r>
      <w:r w:rsidRPr="003214B4" w:rsidR="007562FF">
        <w:rPr>
          <w:rFonts w:ascii="Calibri" w:hAnsi="Calibri" w:cs="Calibri"/>
        </w:rPr>
        <w:t xml:space="preserve"> </w:t>
      </w:r>
      <w:r w:rsidRPr="003214B4" w:rsidR="002D7481">
        <w:rPr>
          <w:rFonts w:ascii="Calibri" w:hAnsi="Calibri" w:cs="Calibri"/>
        </w:rPr>
        <w:t xml:space="preserve">the </w:t>
      </w:r>
      <w:r w:rsidRPr="003214B4" w:rsidR="007562FF">
        <w:rPr>
          <w:rFonts w:ascii="Calibri" w:hAnsi="Calibri" w:cs="Calibri"/>
        </w:rPr>
        <w:t xml:space="preserve">EEOICPA program </w:t>
      </w:r>
      <w:r w:rsidRPr="003214B4" w:rsidR="002D7481">
        <w:rPr>
          <w:rFonts w:ascii="Calibri" w:hAnsi="Calibri" w:cs="Calibri"/>
        </w:rPr>
        <w:t xml:space="preserve">will be </w:t>
      </w:r>
      <w:r w:rsidRPr="003214B4" w:rsidR="00C06F4B">
        <w:rPr>
          <w:rFonts w:ascii="Calibri" w:hAnsi="Calibri" w:cs="Calibri"/>
        </w:rPr>
        <w:t xml:space="preserve">maintained in the program </w:t>
      </w:r>
      <w:r w:rsidRPr="003214B4" w:rsidR="007562FF">
        <w:rPr>
          <w:rFonts w:ascii="Calibri" w:hAnsi="Calibri" w:cs="Calibri"/>
        </w:rPr>
        <w:t>claim files, which are fully protected under the Privacy Act, and the form contains a Privacy Act statement detailing the uses of the information a respon</w:t>
      </w:r>
      <w:r w:rsidRPr="003214B4" w:rsidR="002D7481">
        <w:rPr>
          <w:rFonts w:ascii="Calibri" w:hAnsi="Calibri" w:cs="Calibri"/>
        </w:rPr>
        <w:t>ded provides when information might be disclosed to others.  The applicable P</w:t>
      </w:r>
      <w:r w:rsidRPr="003214B4" w:rsidR="00C06F4B">
        <w:rPr>
          <w:rFonts w:ascii="Calibri" w:hAnsi="Calibri" w:cs="Calibri"/>
        </w:rPr>
        <w:t xml:space="preserve">rivacy Act system of records is: </w:t>
      </w:r>
      <w:hyperlink r:id="rId1" w:history="1">
        <w:r w:rsidRPr="003214B4">
          <w:rPr>
            <w:rStyle w:val="Hyperlink"/>
            <w:rFonts w:ascii="Calibri" w:hAnsi="Calibri" w:cs="Calibri"/>
          </w:rPr>
          <w:t>https://www.dol.gov/agencies/sol/privacy/owcp-11</w:t>
        </w:r>
      </w:hyperlink>
    </w:p>
    <w:p w:rsidR="00521435" w:rsidRPr="003214B4" w14:paraId="36B5CBBB" w14:textId="637A7A8E">
      <w:pPr>
        <w:pStyle w:val="FootnoteText"/>
        <w:rPr>
          <w:rFonts w:ascii="Calibri" w:hAnsi="Calibri" w:cs="Calibri"/>
          <w:sz w:val="22"/>
          <w:szCs w:val="22"/>
        </w:rPr>
      </w:pPr>
    </w:p>
  </w:footnote>
  <w:footnote w:id="3">
    <w:p w:rsidR="006C7BCA" w:rsidRPr="003214B4" w:rsidP="006C7BCA" w14:paraId="3548F490" w14:textId="1D0BC305">
      <w:pPr>
        <w:pStyle w:val="FootnoteText"/>
        <w:rPr>
          <w:rFonts w:ascii="Calibri" w:hAnsi="Calibri" w:cs="Calibri"/>
          <w:sz w:val="22"/>
          <w:szCs w:val="22"/>
        </w:rPr>
      </w:pPr>
      <w:r w:rsidRPr="003214B4">
        <w:rPr>
          <w:rStyle w:val="FootnoteReference"/>
          <w:rFonts w:ascii="Calibri" w:hAnsi="Calibri" w:cs="Calibri"/>
          <w:sz w:val="22"/>
          <w:szCs w:val="22"/>
        </w:rPr>
        <w:footnoteRef/>
      </w:r>
      <w:r w:rsidRPr="003214B4">
        <w:rPr>
          <w:rFonts w:ascii="Calibri" w:hAnsi="Calibri" w:cs="Calibri"/>
          <w:sz w:val="22"/>
          <w:szCs w:val="22"/>
        </w:rPr>
        <w:t xml:space="preserve"> Although we </w:t>
      </w:r>
      <w:r w:rsidRPr="003214B4" w:rsidR="000B6E19">
        <w:rPr>
          <w:rFonts w:ascii="Calibri" w:hAnsi="Calibri" w:cs="Calibri"/>
          <w:sz w:val="22"/>
          <w:szCs w:val="22"/>
        </w:rPr>
        <w:t xml:space="preserve">seek to </w:t>
      </w:r>
      <w:r w:rsidRPr="003214B4" w:rsidR="00BE29D7">
        <w:rPr>
          <w:rFonts w:ascii="Calibri" w:hAnsi="Calibri" w:cs="Calibri"/>
          <w:sz w:val="22"/>
          <w:szCs w:val="22"/>
        </w:rPr>
        <w:t>implement</w:t>
      </w:r>
      <w:r w:rsidRPr="003214B4">
        <w:rPr>
          <w:rFonts w:ascii="Calibri" w:hAnsi="Calibri" w:cs="Calibri"/>
          <w:sz w:val="22"/>
          <w:szCs w:val="22"/>
        </w:rPr>
        <w:t xml:space="preserve"> the CA-26 form </w:t>
      </w:r>
      <w:r w:rsidRPr="003214B4" w:rsidR="00BE29D7">
        <w:rPr>
          <w:rFonts w:ascii="Calibri" w:hAnsi="Calibri" w:cs="Calibri"/>
          <w:sz w:val="22"/>
          <w:szCs w:val="22"/>
        </w:rPr>
        <w:t>within</w:t>
      </w:r>
      <w:r w:rsidRPr="003214B4" w:rsidR="00F83094">
        <w:rPr>
          <w:rFonts w:ascii="Calibri" w:hAnsi="Calibri" w:cs="Calibri"/>
          <w:sz w:val="22"/>
          <w:szCs w:val="22"/>
        </w:rPr>
        <w:t xml:space="preserve"> </w:t>
      </w:r>
      <w:r w:rsidRPr="003214B4">
        <w:rPr>
          <w:rFonts w:ascii="Calibri" w:hAnsi="Calibri" w:cs="Calibri"/>
          <w:sz w:val="22"/>
          <w:szCs w:val="22"/>
        </w:rPr>
        <w:t xml:space="preserve">the EEOICPA program </w:t>
      </w:r>
      <w:r w:rsidRPr="003214B4" w:rsidR="000B6E19">
        <w:rPr>
          <w:rFonts w:ascii="Calibri" w:hAnsi="Calibri" w:cs="Calibri"/>
          <w:sz w:val="22"/>
          <w:szCs w:val="22"/>
        </w:rPr>
        <w:t>(</w:t>
      </w:r>
      <w:r w:rsidRPr="003214B4" w:rsidR="00DB017A">
        <w:rPr>
          <w:rFonts w:ascii="Calibri" w:hAnsi="Calibri" w:cs="Calibri"/>
          <w:sz w:val="22"/>
          <w:szCs w:val="22"/>
        </w:rPr>
        <w:t>while maintaining its use in the</w:t>
      </w:r>
      <w:r w:rsidRPr="003214B4">
        <w:rPr>
          <w:rFonts w:ascii="Calibri" w:hAnsi="Calibri" w:cs="Calibri"/>
          <w:sz w:val="22"/>
          <w:szCs w:val="22"/>
        </w:rPr>
        <w:t xml:space="preserve"> FECA</w:t>
      </w:r>
      <w:r w:rsidRPr="003214B4" w:rsidR="000B6E19">
        <w:rPr>
          <w:rFonts w:ascii="Calibri" w:hAnsi="Calibri" w:cs="Calibri"/>
          <w:sz w:val="22"/>
          <w:szCs w:val="22"/>
        </w:rPr>
        <w:t xml:space="preserve"> program)</w:t>
      </w:r>
      <w:r w:rsidRPr="003214B4">
        <w:rPr>
          <w:rFonts w:ascii="Calibri" w:hAnsi="Calibri" w:cs="Calibri"/>
          <w:sz w:val="22"/>
          <w:szCs w:val="22"/>
        </w:rPr>
        <w:t xml:space="preserve">, we </w:t>
      </w:r>
      <w:r w:rsidRPr="003214B4" w:rsidR="00521609">
        <w:rPr>
          <w:rFonts w:ascii="Calibri" w:hAnsi="Calibri" w:cs="Calibri"/>
          <w:sz w:val="22"/>
          <w:szCs w:val="22"/>
        </w:rPr>
        <w:t xml:space="preserve">previously </w:t>
      </w:r>
      <w:r w:rsidRPr="003214B4">
        <w:rPr>
          <w:rFonts w:ascii="Calibri" w:hAnsi="Calibri" w:cs="Calibri"/>
          <w:sz w:val="22"/>
          <w:szCs w:val="22"/>
        </w:rPr>
        <w:t xml:space="preserve">estimated there would be 500 </w:t>
      </w:r>
      <w:r w:rsidRPr="003214B4" w:rsidR="00DB017A">
        <w:rPr>
          <w:rFonts w:ascii="Calibri" w:hAnsi="Calibri" w:cs="Calibri"/>
          <w:sz w:val="22"/>
          <w:szCs w:val="22"/>
        </w:rPr>
        <w:t xml:space="preserve">CA-26 </w:t>
      </w:r>
      <w:r w:rsidRPr="003214B4">
        <w:rPr>
          <w:rFonts w:ascii="Calibri" w:hAnsi="Calibri" w:cs="Calibri"/>
          <w:sz w:val="22"/>
          <w:szCs w:val="22"/>
        </w:rPr>
        <w:t xml:space="preserve">responses annually </w:t>
      </w:r>
      <w:r w:rsidRPr="003214B4" w:rsidR="00DB017A">
        <w:rPr>
          <w:rFonts w:ascii="Calibri" w:hAnsi="Calibri" w:cs="Calibri"/>
          <w:sz w:val="22"/>
          <w:szCs w:val="22"/>
        </w:rPr>
        <w:t>within</w:t>
      </w:r>
      <w:r w:rsidRPr="003214B4">
        <w:rPr>
          <w:rFonts w:ascii="Calibri" w:hAnsi="Calibri" w:cs="Calibri"/>
          <w:sz w:val="22"/>
          <w:szCs w:val="22"/>
        </w:rPr>
        <w:t xml:space="preserve"> FECA.  However, in FY-2023, </w:t>
      </w:r>
      <w:r w:rsidRPr="003214B4" w:rsidR="00BE29D7">
        <w:rPr>
          <w:rFonts w:ascii="Calibri" w:hAnsi="Calibri" w:cs="Calibri"/>
          <w:sz w:val="22"/>
          <w:szCs w:val="22"/>
        </w:rPr>
        <w:t>the FECA program</w:t>
      </w:r>
      <w:r w:rsidRPr="003214B4">
        <w:rPr>
          <w:rFonts w:ascii="Calibri" w:hAnsi="Calibri" w:cs="Calibri"/>
          <w:sz w:val="22"/>
          <w:szCs w:val="22"/>
        </w:rPr>
        <w:t xml:space="preserve"> received only 7 CA-26 forms.  </w:t>
      </w:r>
      <w:r w:rsidRPr="003214B4" w:rsidR="001D4779">
        <w:rPr>
          <w:rFonts w:ascii="Calibri" w:hAnsi="Calibri" w:cs="Calibri"/>
          <w:sz w:val="22"/>
          <w:szCs w:val="22"/>
        </w:rPr>
        <w:t xml:space="preserve">Further, </w:t>
      </w:r>
      <w:r w:rsidRPr="003214B4">
        <w:rPr>
          <w:rFonts w:ascii="Calibri" w:hAnsi="Calibri" w:cs="Calibri"/>
          <w:sz w:val="22"/>
          <w:szCs w:val="22"/>
        </w:rPr>
        <w:t>we anticipate receiving</w:t>
      </w:r>
      <w:r w:rsidRPr="003214B4" w:rsidR="001D4779">
        <w:rPr>
          <w:rFonts w:ascii="Calibri" w:hAnsi="Calibri" w:cs="Calibri"/>
          <w:sz w:val="22"/>
          <w:szCs w:val="22"/>
        </w:rPr>
        <w:t xml:space="preserve"> </w:t>
      </w:r>
      <w:r w:rsidRPr="003214B4" w:rsidR="00F93721">
        <w:rPr>
          <w:rFonts w:ascii="Calibri" w:hAnsi="Calibri" w:cs="Calibri"/>
          <w:sz w:val="22"/>
          <w:szCs w:val="22"/>
        </w:rPr>
        <w:t>only</w:t>
      </w:r>
      <w:r w:rsidRPr="003214B4">
        <w:rPr>
          <w:rFonts w:ascii="Calibri" w:hAnsi="Calibri" w:cs="Calibri"/>
          <w:sz w:val="22"/>
          <w:szCs w:val="22"/>
        </w:rPr>
        <w:t xml:space="preserve"> 476 CA-26 forms in our EEOICPA program</w:t>
      </w:r>
      <w:r w:rsidRPr="003214B4" w:rsidR="00F93721">
        <w:rPr>
          <w:rFonts w:ascii="Calibri" w:hAnsi="Calibri" w:cs="Calibri"/>
          <w:sz w:val="22"/>
          <w:szCs w:val="22"/>
        </w:rPr>
        <w:t xml:space="preserve"> given the prescription data from calendar year 2023</w:t>
      </w:r>
      <w:r w:rsidRPr="003214B4">
        <w:rPr>
          <w:rFonts w:ascii="Calibri" w:hAnsi="Calibri" w:cs="Calibri"/>
          <w:sz w:val="22"/>
          <w:szCs w:val="22"/>
        </w:rPr>
        <w:t>.  Thus, we anticipate 483 responses total between both programs (7 + 476 = 483).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521DB"/>
    <w:multiLevelType w:val="hybridMultilevel"/>
    <w:tmpl w:val="3AAAD4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48630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89"/>
    <w:rsid w:val="00007D43"/>
    <w:rsid w:val="000438F5"/>
    <w:rsid w:val="000746E1"/>
    <w:rsid w:val="000A357C"/>
    <w:rsid w:val="000B22D5"/>
    <w:rsid w:val="000B6E19"/>
    <w:rsid w:val="00110659"/>
    <w:rsid w:val="00152689"/>
    <w:rsid w:val="0016337B"/>
    <w:rsid w:val="0018335E"/>
    <w:rsid w:val="001913DE"/>
    <w:rsid w:val="001D107C"/>
    <w:rsid w:val="001D4779"/>
    <w:rsid w:val="001E0D05"/>
    <w:rsid w:val="002553C0"/>
    <w:rsid w:val="002D26AA"/>
    <w:rsid w:val="002D7481"/>
    <w:rsid w:val="002E590B"/>
    <w:rsid w:val="002F02F2"/>
    <w:rsid w:val="002F107E"/>
    <w:rsid w:val="003214B4"/>
    <w:rsid w:val="00343E8F"/>
    <w:rsid w:val="0038124B"/>
    <w:rsid w:val="003A73BB"/>
    <w:rsid w:val="003B39FA"/>
    <w:rsid w:val="003C2625"/>
    <w:rsid w:val="00422277"/>
    <w:rsid w:val="004517D9"/>
    <w:rsid w:val="004B6509"/>
    <w:rsid w:val="00512B2F"/>
    <w:rsid w:val="00521435"/>
    <w:rsid w:val="00521609"/>
    <w:rsid w:val="00524380"/>
    <w:rsid w:val="005443D6"/>
    <w:rsid w:val="00590935"/>
    <w:rsid w:val="005C5B88"/>
    <w:rsid w:val="005F434E"/>
    <w:rsid w:val="00612E4B"/>
    <w:rsid w:val="00637B2B"/>
    <w:rsid w:val="006B05DF"/>
    <w:rsid w:val="006C7BCA"/>
    <w:rsid w:val="006F5A19"/>
    <w:rsid w:val="007022FA"/>
    <w:rsid w:val="00722649"/>
    <w:rsid w:val="007562FF"/>
    <w:rsid w:val="007E5AB9"/>
    <w:rsid w:val="00863E41"/>
    <w:rsid w:val="008719A5"/>
    <w:rsid w:val="008D567E"/>
    <w:rsid w:val="00915DE6"/>
    <w:rsid w:val="00964B27"/>
    <w:rsid w:val="009669D7"/>
    <w:rsid w:val="00A16963"/>
    <w:rsid w:val="00A629DA"/>
    <w:rsid w:val="00AC6FC6"/>
    <w:rsid w:val="00B0077C"/>
    <w:rsid w:val="00B45C60"/>
    <w:rsid w:val="00B52933"/>
    <w:rsid w:val="00B818E5"/>
    <w:rsid w:val="00B976B5"/>
    <w:rsid w:val="00BC3E7B"/>
    <w:rsid w:val="00BE29D7"/>
    <w:rsid w:val="00BF1696"/>
    <w:rsid w:val="00C06F4B"/>
    <w:rsid w:val="00C13295"/>
    <w:rsid w:val="00C22587"/>
    <w:rsid w:val="00C3667C"/>
    <w:rsid w:val="00C56FDE"/>
    <w:rsid w:val="00CA7762"/>
    <w:rsid w:val="00CB61FC"/>
    <w:rsid w:val="00CE110E"/>
    <w:rsid w:val="00CF0884"/>
    <w:rsid w:val="00CF47ED"/>
    <w:rsid w:val="00D0133C"/>
    <w:rsid w:val="00D35365"/>
    <w:rsid w:val="00DB017A"/>
    <w:rsid w:val="00DB1F28"/>
    <w:rsid w:val="00DE2456"/>
    <w:rsid w:val="00DF2F4C"/>
    <w:rsid w:val="00E17726"/>
    <w:rsid w:val="00E52AF1"/>
    <w:rsid w:val="00E708E5"/>
    <w:rsid w:val="00EA7634"/>
    <w:rsid w:val="00EB678C"/>
    <w:rsid w:val="00ED7CE7"/>
    <w:rsid w:val="00EF1D4D"/>
    <w:rsid w:val="00F47795"/>
    <w:rsid w:val="00F8018E"/>
    <w:rsid w:val="00F83094"/>
    <w:rsid w:val="00F93721"/>
    <w:rsid w:val="00FC3026"/>
    <w:rsid w:val="00FC5A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B82249"/>
  <w15:chartTrackingRefBased/>
  <w15:docId w15:val="{9D55D698-3380-46A8-8719-7C95AF45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689"/>
    <w:pPr>
      <w:spacing w:after="0" w:line="240" w:lineRule="auto"/>
    </w:pPr>
  </w:style>
  <w:style w:type="paragraph" w:styleId="ListParagraph">
    <w:name w:val="List Paragraph"/>
    <w:basedOn w:val="Normal"/>
    <w:uiPriority w:val="34"/>
    <w:qFormat/>
    <w:rsid w:val="005C5B88"/>
    <w:pPr>
      <w:ind w:left="720"/>
      <w:contextualSpacing/>
    </w:pPr>
  </w:style>
  <w:style w:type="paragraph" w:styleId="FootnoteText">
    <w:name w:val="footnote text"/>
    <w:basedOn w:val="Normal"/>
    <w:link w:val="FootnoteTextChar"/>
    <w:uiPriority w:val="99"/>
    <w:semiHidden/>
    <w:unhideWhenUsed/>
    <w:rsid w:val="00343E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3E8F"/>
    <w:rPr>
      <w:sz w:val="20"/>
      <w:szCs w:val="20"/>
    </w:rPr>
  </w:style>
  <w:style w:type="character" w:styleId="FootnoteReference">
    <w:name w:val="footnote reference"/>
    <w:basedOn w:val="DefaultParagraphFont"/>
    <w:uiPriority w:val="99"/>
    <w:semiHidden/>
    <w:unhideWhenUsed/>
    <w:rsid w:val="00343E8F"/>
    <w:rPr>
      <w:vertAlign w:val="superscript"/>
    </w:rPr>
  </w:style>
  <w:style w:type="paragraph" w:styleId="Revision">
    <w:name w:val="Revision"/>
    <w:hidden/>
    <w:uiPriority w:val="99"/>
    <w:semiHidden/>
    <w:rsid w:val="006C7BCA"/>
    <w:pPr>
      <w:spacing w:after="0" w:line="240" w:lineRule="auto"/>
    </w:pPr>
  </w:style>
  <w:style w:type="character" w:styleId="CommentReference">
    <w:name w:val="annotation reference"/>
    <w:rsid w:val="00A629DA"/>
    <w:rPr>
      <w:rFonts w:cs="Times New Roman"/>
      <w:sz w:val="16"/>
      <w:szCs w:val="16"/>
    </w:rPr>
  </w:style>
  <w:style w:type="paragraph" w:styleId="CommentText">
    <w:name w:val="annotation text"/>
    <w:basedOn w:val="Normal"/>
    <w:link w:val="CommentTextChar"/>
    <w:rsid w:val="00A629DA"/>
    <w:pPr>
      <w:widowControl w:val="0"/>
      <w:spacing w:after="0" w:line="240" w:lineRule="auto"/>
    </w:pPr>
    <w:rPr>
      <w:rFonts w:ascii="Courier New" w:eastAsia="Times New Roman" w:hAnsi="Courier New" w:cs="Times New Roman"/>
      <w:sz w:val="20"/>
      <w:szCs w:val="20"/>
    </w:rPr>
  </w:style>
  <w:style w:type="character" w:customStyle="1" w:styleId="CommentTextChar">
    <w:name w:val="Comment Text Char"/>
    <w:basedOn w:val="DefaultParagraphFont"/>
    <w:link w:val="CommentText"/>
    <w:rsid w:val="00A629DA"/>
    <w:rPr>
      <w:rFonts w:ascii="Courier New" w:eastAsia="Times New Roman" w:hAnsi="Courier New" w:cs="Times New Roman"/>
      <w:sz w:val="20"/>
      <w:szCs w:val="20"/>
    </w:rPr>
  </w:style>
  <w:style w:type="character" w:styleId="Hyperlink">
    <w:name w:val="Hyperlink"/>
    <w:uiPriority w:val="99"/>
    <w:rsid w:val="004B650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dol.gov/agencies/sol/privacy/owcp-1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4B786-4E87-4C67-BD2E-F412D01C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Elliott - OWCP</dc:creator>
  <cp:lastModifiedBy>Neary, Michelle - OASAM OCIO</cp:lastModifiedBy>
  <cp:revision>3</cp:revision>
  <dcterms:created xsi:type="dcterms:W3CDTF">2024-04-26T20:35:00Z</dcterms:created>
  <dcterms:modified xsi:type="dcterms:W3CDTF">2024-04-26T20:36:00Z</dcterms:modified>
</cp:coreProperties>
</file>