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940" w:rsidRPr="00095EC6" w:rsidP="00095EC6" w14:paraId="4B316C91" w14:textId="77777777">
      <w:pPr>
        <w:pStyle w:val="PlainText"/>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Supporting</w:t>
      </w:r>
      <w:r w:rsidRPr="00095EC6">
        <w:rPr>
          <w:rFonts w:ascii="Times New Roman" w:eastAsia="MS Mincho" w:hAnsi="Times New Roman" w:cs="Times New Roman"/>
          <w:sz w:val="24"/>
          <w:u w:val="single"/>
        </w:rPr>
        <w:t xml:space="preserve"> Statement</w:t>
      </w:r>
    </w:p>
    <w:p w:rsidR="00095EC6" w:rsidRPr="00095EC6" w:rsidP="00095EC6" w14:paraId="421EE100" w14:textId="77777777">
      <w:pPr>
        <w:pStyle w:val="PlainText"/>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OMB Control Number 1506-0070</w:t>
      </w:r>
    </w:p>
    <w:p w:rsidR="00095EC6" w:rsidRPr="00095EC6" w:rsidP="00095EC6" w14:paraId="35AA8D2D" w14:textId="77777777">
      <w:pPr>
        <w:autoSpaceDE w:val="0"/>
        <w:autoSpaceDN w:val="0"/>
        <w:adjustRightInd w:val="0"/>
        <w:jc w:val="center"/>
        <w:rPr>
          <w:color w:val="000000"/>
          <w:u w:val="single"/>
        </w:rPr>
      </w:pPr>
    </w:p>
    <w:p w:rsidR="0039447D" w:rsidRPr="00095EC6" w:rsidP="00095EC6" w14:paraId="6AF6B875" w14:textId="77777777">
      <w:pPr>
        <w:autoSpaceDE w:val="0"/>
        <w:autoSpaceDN w:val="0"/>
        <w:adjustRightInd w:val="0"/>
        <w:jc w:val="center"/>
        <w:rPr>
          <w:color w:val="000000"/>
          <w:u w:val="single"/>
        </w:rPr>
      </w:pPr>
      <w:r w:rsidRPr="00095EC6">
        <w:rPr>
          <w:color w:val="000000"/>
          <w:u w:val="single"/>
        </w:rPr>
        <w:t>Beneficial Ownership Requirements for Legal Entity Customers</w:t>
      </w:r>
    </w:p>
    <w:p w:rsidR="00600940" w:rsidP="00721692" w14:paraId="160F5ACA" w14:textId="77777777">
      <w:pPr>
        <w:pStyle w:val="PlainText"/>
        <w:rPr>
          <w:rFonts w:ascii="Times New Roman" w:eastAsia="MS Mincho" w:hAnsi="Times New Roman" w:cs="Times New Roman"/>
          <w:sz w:val="24"/>
        </w:rPr>
      </w:pPr>
    </w:p>
    <w:p w:rsidR="00600940" w:rsidP="00721692" w14:paraId="661ABBA4" w14:textId="3A9C160A">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 xml:space="preserve">Circumstances </w:t>
      </w:r>
      <w:r w:rsidR="009A056C">
        <w:rPr>
          <w:rFonts w:ascii="Times New Roman" w:hAnsi="Times New Roman" w:cs="Times New Roman"/>
          <w:sz w:val="24"/>
          <w:szCs w:val="22"/>
          <w:u w:val="single"/>
        </w:rPr>
        <w:t>n</w:t>
      </w:r>
      <w:r>
        <w:rPr>
          <w:rFonts w:ascii="Times New Roman" w:hAnsi="Times New Roman" w:cs="Times New Roman"/>
          <w:sz w:val="24"/>
          <w:szCs w:val="22"/>
          <w:u w:val="single"/>
        </w:rPr>
        <w:t xml:space="preserve">ecessitating </w:t>
      </w:r>
      <w:r w:rsidR="009A056C">
        <w:rPr>
          <w:rFonts w:ascii="Times New Roman" w:hAnsi="Times New Roman" w:cs="Times New Roman"/>
          <w:sz w:val="24"/>
          <w:szCs w:val="22"/>
          <w:u w:val="single"/>
        </w:rPr>
        <w:t>c</w:t>
      </w:r>
      <w:r>
        <w:rPr>
          <w:rFonts w:ascii="Times New Roman" w:hAnsi="Times New Roman" w:cs="Times New Roman"/>
          <w:sz w:val="24"/>
          <w:szCs w:val="22"/>
          <w:u w:val="single"/>
        </w:rPr>
        <w:t xml:space="preserve">ollection of </w:t>
      </w:r>
      <w:r w:rsidR="005E2DA9">
        <w:rPr>
          <w:rFonts w:ascii="Times New Roman" w:hAnsi="Times New Roman" w:cs="Times New Roman"/>
          <w:sz w:val="24"/>
          <w:szCs w:val="22"/>
          <w:u w:val="single"/>
        </w:rPr>
        <w:t>i</w:t>
      </w:r>
      <w:r>
        <w:rPr>
          <w:rFonts w:ascii="Times New Roman" w:hAnsi="Times New Roman" w:cs="Times New Roman"/>
          <w:sz w:val="24"/>
          <w:szCs w:val="22"/>
          <w:u w:val="single"/>
        </w:rPr>
        <w:t>nformation.</w:t>
      </w:r>
      <w:r>
        <w:rPr>
          <w:rFonts w:ascii="Times New Roman" w:eastAsia="MS Mincho" w:hAnsi="Times New Roman" w:cs="Times New Roman"/>
          <w:sz w:val="24"/>
        </w:rPr>
        <w:tab/>
      </w:r>
    </w:p>
    <w:p w:rsidR="00600940" w:rsidP="00721692" w14:paraId="2A9D6EA0" w14:textId="77777777">
      <w:pPr>
        <w:pStyle w:val="PlainText"/>
        <w:rPr>
          <w:rFonts w:ascii="Times New Roman" w:eastAsia="MS Mincho" w:hAnsi="Times New Roman" w:cs="Times New Roman"/>
          <w:sz w:val="24"/>
        </w:rPr>
      </w:pPr>
    </w:p>
    <w:p w:rsidR="009A056C" w:rsidRPr="009A056C" w:rsidP="008314C7" w14:paraId="382FC370" w14:textId="2BB26E47">
      <w:pPr>
        <w:pStyle w:val="BodyTextIndent"/>
        <w:ind w:left="0" w:firstLine="720"/>
        <w:rPr>
          <w:color w:val="000000"/>
        </w:rPr>
      </w:pPr>
      <w:r w:rsidRPr="009A056C">
        <w:rPr>
          <w:color w:val="000000"/>
        </w:rPr>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color w:val="000000"/>
        </w:rPr>
        <w:footnoteReference w:id="3"/>
      </w:r>
      <w:r w:rsidRPr="009A056C">
        <w:rPr>
          <w:color w:val="000000"/>
        </w:rPr>
        <w:t xml:space="preserve"> and other legislation, including the Anti-Money Laundering Act of 2020 (AML Act).</w:t>
      </w:r>
      <w:r>
        <w:rPr>
          <w:rStyle w:val="FootnoteReference"/>
          <w:color w:val="000000"/>
        </w:rPr>
        <w:footnoteReference w:id="4"/>
      </w:r>
      <w:r w:rsidRPr="009A056C">
        <w:rPr>
          <w:color w:val="000000"/>
          <w:vertAlign w:val="superscript"/>
        </w:rPr>
        <w:t xml:space="preserve"> </w:t>
      </w:r>
      <w:r w:rsidRPr="009A056C">
        <w:rPr>
          <w:color w:val="000000"/>
        </w:rPr>
        <w:t xml:space="preserve"> The BSA is codified at 12 U.S.C. 1829b and 1951–1960 and 31 U.S.C. 5311–5314 and 5316–5336, and notes thereto, with implementing regulations at 31 CFR Chapter X.   </w:t>
      </w:r>
    </w:p>
    <w:p w:rsidR="009A056C" w:rsidP="009A056C" w14:paraId="1B6963F3" w14:textId="77777777">
      <w:pPr>
        <w:ind w:firstLine="720"/>
      </w:pPr>
      <w:r w:rsidRPr="001827C0">
        <w:t xml:space="preserve">The BSA authorizes the Secretary of the Treasury (Secretary) to, </w:t>
      </w:r>
      <w:r w:rsidRPr="001827C0">
        <w:rPr>
          <w:i/>
        </w:rPr>
        <w:t>inter alia</w:t>
      </w:r>
      <w:r w:rsidRPr="001827C0">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 (AML) programs and compliance procedures.</w:t>
      </w:r>
      <w:r>
        <w:rPr>
          <w:rStyle w:val="FootnoteReference"/>
        </w:rPr>
        <w:footnoteReference w:id="5"/>
      </w:r>
      <w:r w:rsidRPr="001827C0">
        <w:rPr>
          <w:vertAlign w:val="superscript"/>
        </w:rPr>
        <w:t xml:space="preserve"> </w:t>
      </w:r>
      <w:r w:rsidRPr="001827C0">
        <w:t xml:space="preserve"> The authority of the Secretary to administer the BSA has been delegated to the Director of FinCEN.</w:t>
      </w:r>
      <w:r>
        <w:rPr>
          <w:rStyle w:val="FootnoteReference"/>
        </w:rPr>
        <w:footnoteReference w:id="6"/>
      </w:r>
    </w:p>
    <w:p w:rsidR="009A056C" w:rsidP="009A056C" w14:paraId="79B057CD" w14:textId="77777777">
      <w:pPr>
        <w:ind w:firstLine="720"/>
      </w:pPr>
    </w:p>
    <w:p w:rsidR="009A056C" w:rsidP="009A056C" w14:paraId="21B24007" w14:textId="77777777">
      <w:pPr>
        <w:autoSpaceDE w:val="0"/>
        <w:autoSpaceDN w:val="0"/>
        <w:adjustRightInd w:val="0"/>
        <w:ind w:firstLine="720"/>
      </w:pPr>
      <w:r>
        <w:t xml:space="preserve">Subject to certain exclusions and exemptions, </w:t>
      </w:r>
      <w:r w:rsidRPr="00CD4AE1">
        <w:t>31 CFR 1010.230 requires covered financial institutions</w:t>
      </w:r>
      <w:r>
        <w:rPr>
          <w:rStyle w:val="FootnoteReference"/>
        </w:rPr>
        <w:footnoteReference w:id="7"/>
      </w:r>
      <w:r w:rsidRPr="00CD4AE1">
        <w:t xml:space="preserve"> to establish and maintain written procedures that are reasonably designed to identify and verify beneficial owners of new accounts opened by legal entity customers and to include such procedures in their AML programs.  Covered financial institutions may obtain the required identifying information by either obtaining a prescribed certification form from the individual opening the account on behalf of </w:t>
      </w:r>
      <w:r>
        <w:t>the</w:t>
      </w:r>
      <w:r w:rsidRPr="00CD4AE1">
        <w:t xml:space="preserve"> legal entity customer, or by obtaining from the individual the information required by the form by another means, provided the individual certifies</w:t>
      </w:r>
      <w:r>
        <w:t xml:space="preserve"> to the best of the individual’s knowledge</w:t>
      </w:r>
      <w:r w:rsidRPr="00CD4AE1">
        <w:t xml:space="preserve"> the accuracy of the information.  </w:t>
      </w:r>
      <w:r>
        <w:t xml:space="preserve">Covered financial institutions must verify the identity of each beneficial owner identified according to risk-based procedures and may rely on the information supplied by the legal entity customer regarding the identity of its beneficial owner or owners, </w:t>
      </w:r>
      <w:r>
        <w:t>provided that</w:t>
      </w:r>
      <w:r>
        <w:t xml:space="preserve"> it has no knowledge of facts that would reasonably call into question the reliability of such information.</w:t>
      </w:r>
    </w:p>
    <w:p w:rsidR="009A056C" w:rsidP="009A056C" w14:paraId="17D1B406" w14:textId="77777777">
      <w:pPr>
        <w:autoSpaceDE w:val="0"/>
        <w:autoSpaceDN w:val="0"/>
        <w:adjustRightInd w:val="0"/>
        <w:ind w:firstLine="720"/>
      </w:pPr>
    </w:p>
    <w:p w:rsidR="009A056C" w:rsidP="009A056C" w14:paraId="32045D59" w14:textId="77777777">
      <w:pPr>
        <w:autoSpaceDE w:val="0"/>
        <w:autoSpaceDN w:val="0"/>
        <w:adjustRightInd w:val="0"/>
        <w:ind w:firstLine="720"/>
      </w:pPr>
      <w:r w:rsidRPr="00CD4AE1">
        <w:t>Covered financial institutions must also maintain a record of the identifying information obtained, and a description of any document relied on</w:t>
      </w:r>
      <w:r>
        <w:t xml:space="preserve"> for verification, including a description </w:t>
      </w:r>
      <w:r w:rsidRPr="00CD4AE1">
        <w:t>of any non-documentary methods and results of any measures undertaken, and the resolutions of substantive discrepancies.</w:t>
      </w:r>
      <w:r>
        <w:t xml:space="preserve">  Covered financial institutions must retain records used to identify each beneficial owner for five years after the date the account is closed and must also retain records used to verify the identity of each beneficial owner for five years after the record is made.  </w:t>
      </w:r>
    </w:p>
    <w:p w:rsidR="009A056C" w:rsidP="009A056C" w14:paraId="4E4F1E37" w14:textId="0194516C">
      <w:pPr>
        <w:autoSpaceDE w:val="0"/>
        <w:autoSpaceDN w:val="0"/>
        <w:adjustRightInd w:val="0"/>
        <w:ind w:firstLine="720"/>
      </w:pPr>
      <w:r w:rsidRPr="00CD4AE1">
        <w:t xml:space="preserve"> </w:t>
      </w:r>
    </w:p>
    <w:p w:rsidR="009A056C" w:rsidRPr="00CD4AE1" w:rsidP="009A056C" w14:paraId="4C46FD5F" w14:textId="04C0826B">
      <w:pPr>
        <w:autoSpaceDE w:val="0"/>
        <w:autoSpaceDN w:val="0"/>
        <w:adjustRightInd w:val="0"/>
        <w:ind w:firstLine="720"/>
      </w:pPr>
      <w:r>
        <w:t>As required by section 6403(d) of the Corporate Transparency Act (CTA),</w:t>
      </w:r>
      <w:r w:rsidRPr="00A742A2" w:rsidR="00A742A2">
        <w:rPr>
          <w:rStyle w:val="FootnoteReference"/>
        </w:rPr>
        <w:t xml:space="preserve"> </w:t>
      </w:r>
      <w:r>
        <w:rPr>
          <w:rStyle w:val="FootnoteReference"/>
        </w:rPr>
        <w:footnoteReference w:id="8"/>
      </w:r>
      <w:r w:rsidR="00A742A2">
        <w:t xml:space="preserve"> </w:t>
      </w:r>
      <w:r>
        <w:t xml:space="preserve"> which was enacted as part of the AML Act, FinCEN intends to </w:t>
      </w:r>
      <w:r w:rsidR="0065233F">
        <w:t xml:space="preserve">engage in a future rulemaking to </w:t>
      </w:r>
      <w:r>
        <w:t xml:space="preserve">revise the requirements of </w:t>
      </w:r>
      <w:r w:rsidRPr="00447E1F">
        <w:t>31 CFR 1010.230</w:t>
      </w:r>
      <w:r>
        <w:t xml:space="preserve"> to bring them into conformance with the CTA and address other considerations that FinCEN is required to </w:t>
      </w:r>
      <w:r>
        <w:t>take into account</w:t>
      </w:r>
      <w:r>
        <w:t xml:space="preserve">. </w:t>
      </w:r>
      <w:r w:rsidR="00BC1C31">
        <w:t xml:space="preserve"> </w:t>
      </w:r>
      <w:r>
        <w:t>As part of the</w:t>
      </w:r>
      <w:r w:rsidR="001A2AFC">
        <w:t>se</w:t>
      </w:r>
      <w:r>
        <w:t xml:space="preserve"> revisions to 31 CFR 1010.230, FinCEN intends to further assess the </w:t>
      </w:r>
      <w:r w:rsidR="00A742A2">
        <w:t>Paperwork Reduction Act (PRA)</w:t>
      </w:r>
      <w:r>
        <w:t xml:space="preserve"> burden of these requirements.</w:t>
      </w:r>
    </w:p>
    <w:p w:rsidR="0071061F" w:rsidP="00721692" w14:paraId="30489F51" w14:textId="77777777"/>
    <w:p w:rsidR="00600940" w:rsidRPr="00781ED2" w:rsidP="00721692" w14:paraId="6D14C2F6" w14:textId="7E443A33">
      <w:pPr>
        <w:rPr>
          <w:u w:val="single"/>
        </w:rPr>
      </w:pPr>
      <w:r>
        <w:t xml:space="preserve">2. </w:t>
      </w:r>
      <w:r>
        <w:rPr>
          <w:u w:val="single"/>
        </w:rPr>
        <w:t xml:space="preserve">Method of </w:t>
      </w:r>
      <w:r w:rsidR="009A056C">
        <w:rPr>
          <w:u w:val="single"/>
        </w:rPr>
        <w:t>c</w:t>
      </w:r>
      <w:r>
        <w:rPr>
          <w:u w:val="single"/>
        </w:rPr>
        <w:t xml:space="preserve">ollection and </w:t>
      </w:r>
      <w:r w:rsidR="009A056C">
        <w:rPr>
          <w:u w:val="single"/>
        </w:rPr>
        <w:t>u</w:t>
      </w:r>
      <w:r>
        <w:rPr>
          <w:u w:val="single"/>
        </w:rPr>
        <w:t xml:space="preserve">se of </w:t>
      </w:r>
      <w:r w:rsidR="009A056C">
        <w:rPr>
          <w:u w:val="single"/>
        </w:rPr>
        <w:t>d</w:t>
      </w:r>
      <w:r w:rsidRPr="000272F8">
        <w:rPr>
          <w:u w:val="single"/>
        </w:rPr>
        <w:t>ata</w:t>
      </w:r>
      <w:r w:rsidRPr="00781ED2">
        <w:rPr>
          <w:u w:val="single"/>
        </w:rPr>
        <w:t xml:space="preserve">. </w:t>
      </w:r>
    </w:p>
    <w:p w:rsidR="00600940" w:rsidP="00721692" w14:paraId="50883DB8" w14:textId="77777777">
      <w:pPr>
        <w:pStyle w:val="BodyTextIndent"/>
        <w:spacing w:after="0"/>
        <w:ind w:left="0"/>
      </w:pPr>
    </w:p>
    <w:p w:rsidR="00AA5834" w:rsidRPr="00995D5E" w:rsidP="00721692" w14:paraId="15B49A7B" w14:textId="55FF4AAF">
      <w:pPr>
        <w:ind w:firstLine="720"/>
        <w:rPr>
          <w:i/>
          <w:iCs/>
        </w:rPr>
      </w:pPr>
      <w:r>
        <w:t>As noted above, c</w:t>
      </w:r>
      <w:r>
        <w:t>overed financial institutions may obtain the required identifying information by either obtaining from the individual opening the account on behalf of a legal entity customer</w:t>
      </w:r>
      <w:r w:rsidR="004603BB">
        <w:t xml:space="preserve"> (</w:t>
      </w:r>
      <w:r w:rsidR="004603BB">
        <w:t>i</w:t>
      </w:r>
      <w:r w:rsidR="004603BB">
        <w:t xml:space="preserve">) a </w:t>
      </w:r>
      <w:r w:rsidR="00A14450">
        <w:t xml:space="preserve">standard </w:t>
      </w:r>
      <w:r w:rsidRPr="00FA2FC7" w:rsidR="004603BB">
        <w:t>certification form</w:t>
      </w:r>
      <w:r>
        <w:t xml:space="preserve">, or </w:t>
      </w:r>
      <w:r w:rsidR="004603BB">
        <w:t xml:space="preserve">(ii) </w:t>
      </w:r>
      <w:r>
        <w:t xml:space="preserve">the information required by the form by another means, provided the individual certifies the accuracy of the information.  Covered financial institutions must also maintain a record of the identifying information obtained, and a description of </w:t>
      </w:r>
      <w:r w:rsidR="004603BB">
        <w:t>(</w:t>
      </w:r>
      <w:r w:rsidR="004603BB">
        <w:t>i</w:t>
      </w:r>
      <w:r w:rsidR="004603BB">
        <w:t xml:space="preserve">) </w:t>
      </w:r>
      <w:r>
        <w:t>any document relied on</w:t>
      </w:r>
      <w:r w:rsidR="00DF11F7">
        <w:t xml:space="preserve"> (</w:t>
      </w:r>
      <w:r w:rsidRPr="00DF11F7" w:rsidR="00DF11F7">
        <w:t>noting the type, any identification number, place of issuance and, if any, date of issuance and expiration</w:t>
      </w:r>
      <w:r w:rsidR="00DF11F7">
        <w:t>)</w:t>
      </w:r>
      <w:r>
        <w:t xml:space="preserve">, </w:t>
      </w:r>
      <w:r w:rsidR="004603BB">
        <w:t xml:space="preserve">(ii) </w:t>
      </w:r>
      <w:r>
        <w:t>any non-documentary methods</w:t>
      </w:r>
      <w:r w:rsidR="00DF11F7">
        <w:t xml:space="preserve"> and </w:t>
      </w:r>
      <w:r w:rsidR="004603BB">
        <w:t xml:space="preserve">the </w:t>
      </w:r>
      <w:r>
        <w:t xml:space="preserve">results of any measures undertaken, and </w:t>
      </w:r>
      <w:r w:rsidR="004603BB">
        <w:t>(</w:t>
      </w:r>
      <w:r w:rsidR="00DF11F7">
        <w:t>iii</w:t>
      </w:r>
      <w:r w:rsidR="004603BB">
        <w:t xml:space="preserve">) </w:t>
      </w:r>
      <w:r>
        <w:t xml:space="preserve">the resolutions of substantive discrepancies. </w:t>
      </w:r>
    </w:p>
    <w:p w:rsidR="00AA5834" w:rsidP="00721692" w14:paraId="4C9723F8" w14:textId="77777777">
      <w:pPr>
        <w:autoSpaceDE w:val="0"/>
        <w:autoSpaceDN w:val="0"/>
        <w:adjustRightInd w:val="0"/>
        <w:ind w:firstLine="720"/>
        <w:rPr>
          <w:rFonts w:eastAsia="MS Mincho"/>
        </w:rPr>
      </w:pPr>
    </w:p>
    <w:p w:rsidR="00293331" w:rsidP="00721692" w14:paraId="5D4BBF47" w14:textId="1379401B">
      <w:pPr>
        <w:autoSpaceDE w:val="0"/>
        <w:autoSpaceDN w:val="0"/>
        <w:adjustRightInd w:val="0"/>
        <w:ind w:firstLine="720"/>
        <w:rPr>
          <w:szCs w:val="22"/>
        </w:rPr>
      </w:pPr>
      <w:r>
        <w:rPr>
          <w:rFonts w:eastAsia="MS Mincho"/>
        </w:rPr>
        <w:t xml:space="preserve">These requirements will assist law enforcement in financial investigations, </w:t>
      </w:r>
      <w:r w:rsidR="00C53AED">
        <w:rPr>
          <w:rFonts w:eastAsia="MS Mincho"/>
        </w:rPr>
        <w:t>protect against terrorism and strengthen national security</w:t>
      </w:r>
      <w:r w:rsidR="006243CA">
        <w:rPr>
          <w:rFonts w:eastAsia="MS Mincho"/>
        </w:rPr>
        <w:t>,</w:t>
      </w:r>
      <w:r>
        <w:rPr>
          <w:rFonts w:eastAsia="MS Mincho"/>
        </w:rPr>
        <w:t xml:space="preserve"> improve financial institutions’ ability to assess and mitigate risk, help prevent evasion of financial sanctions, facilitate tax compliance, enhance financial transparency of legal entities, and advance U.S. compliance with international standards and commitments.</w:t>
      </w:r>
      <w:r>
        <w:t xml:space="preserve"> </w:t>
      </w:r>
      <w:r w:rsidR="0089028F">
        <w:t xml:space="preserve"> </w:t>
      </w:r>
      <w:r>
        <w:t>Compliance with these requirements</w:t>
      </w:r>
      <w:r w:rsidR="00600940">
        <w:t xml:space="preserve"> will be reviewed by </w:t>
      </w:r>
      <w:r w:rsidR="00963D27">
        <w:t>F</w:t>
      </w:r>
      <w:r w:rsidR="00600940">
        <w:t xml:space="preserve">ederal agencies </w:t>
      </w:r>
      <w:r w:rsidR="00036266">
        <w:t>during</w:t>
      </w:r>
      <w:r w:rsidR="00600940">
        <w:t xml:space="preserve"> BSA examinations.</w:t>
      </w:r>
    </w:p>
    <w:p w:rsidR="00600940" w14:paraId="3DF5ECFF" w14:textId="64D1BB31">
      <w:pPr>
        <w:spacing w:before="273"/>
        <w:rPr>
          <w:szCs w:val="22"/>
        </w:rPr>
      </w:pPr>
      <w:r>
        <w:rPr>
          <w:szCs w:val="22"/>
        </w:rPr>
        <w:t xml:space="preserve">3. </w:t>
      </w:r>
      <w:r>
        <w:rPr>
          <w:szCs w:val="22"/>
          <w:u w:val="single"/>
        </w:rPr>
        <w:t xml:space="preserve">Use of </w:t>
      </w:r>
      <w:r w:rsidR="009A056C">
        <w:rPr>
          <w:szCs w:val="22"/>
          <w:u w:val="single"/>
        </w:rPr>
        <w:t>i</w:t>
      </w:r>
      <w:r>
        <w:rPr>
          <w:szCs w:val="22"/>
          <w:u w:val="single"/>
        </w:rPr>
        <w:t xml:space="preserve">mproved </w:t>
      </w:r>
      <w:r w:rsidR="009A056C">
        <w:rPr>
          <w:szCs w:val="22"/>
          <w:u w:val="single"/>
        </w:rPr>
        <w:t>i</w:t>
      </w:r>
      <w:r>
        <w:rPr>
          <w:szCs w:val="22"/>
          <w:u w:val="single"/>
        </w:rPr>
        <w:t xml:space="preserve">nformation </w:t>
      </w:r>
      <w:r w:rsidR="009A056C">
        <w:rPr>
          <w:szCs w:val="22"/>
          <w:u w:val="single"/>
        </w:rPr>
        <w:t>t</w:t>
      </w:r>
      <w:r>
        <w:rPr>
          <w:szCs w:val="22"/>
          <w:u w:val="single"/>
        </w:rPr>
        <w:t xml:space="preserve">echnology to </w:t>
      </w:r>
      <w:r w:rsidR="009A056C">
        <w:rPr>
          <w:szCs w:val="22"/>
          <w:u w:val="single"/>
        </w:rPr>
        <w:t>r</w:t>
      </w:r>
      <w:r>
        <w:rPr>
          <w:szCs w:val="22"/>
          <w:u w:val="single"/>
        </w:rPr>
        <w:t xml:space="preserve">educe </w:t>
      </w:r>
      <w:r w:rsidR="009A056C">
        <w:rPr>
          <w:szCs w:val="22"/>
          <w:u w:val="single"/>
        </w:rPr>
        <w:t>b</w:t>
      </w:r>
      <w:r>
        <w:rPr>
          <w:szCs w:val="22"/>
          <w:u w:val="single"/>
        </w:rPr>
        <w:t>urden.</w:t>
      </w:r>
      <w:r>
        <w:rPr>
          <w:szCs w:val="22"/>
        </w:rPr>
        <w:t xml:space="preserve"> </w:t>
      </w:r>
    </w:p>
    <w:p w:rsidR="00600940" w14:paraId="1E91C330" w14:textId="77777777">
      <w:pPr>
        <w:spacing w:before="273"/>
        <w:ind w:firstLine="720"/>
        <w:rPr>
          <w:szCs w:val="22"/>
        </w:rPr>
      </w:pPr>
      <w:r>
        <w:rPr>
          <w:szCs w:val="22"/>
        </w:rPr>
        <w:t xml:space="preserve">Financial institutions are permitted to automate their </w:t>
      </w:r>
      <w:r w:rsidR="008567ED">
        <w:rPr>
          <w:szCs w:val="22"/>
        </w:rPr>
        <w:t xml:space="preserve">AML </w:t>
      </w:r>
      <w:r>
        <w:rPr>
          <w:szCs w:val="22"/>
        </w:rPr>
        <w:t>program to meet their requirements</w:t>
      </w:r>
      <w:r w:rsidR="00A93FF8">
        <w:rPr>
          <w:szCs w:val="22"/>
        </w:rPr>
        <w:t>, including the requirement to collect beneficial ownership information for legal entity cust</w:t>
      </w:r>
      <w:r w:rsidR="00023164">
        <w:rPr>
          <w:szCs w:val="22"/>
        </w:rPr>
        <w:t>o</w:t>
      </w:r>
      <w:r w:rsidR="00A93FF8">
        <w:rPr>
          <w:szCs w:val="22"/>
        </w:rPr>
        <w:t>mers</w:t>
      </w:r>
      <w:r>
        <w:rPr>
          <w:szCs w:val="22"/>
        </w:rPr>
        <w:t xml:space="preserve">.  There is no specific government mandate to do so.  </w:t>
      </w:r>
    </w:p>
    <w:p w:rsidR="00600940" w14:paraId="58F9C607" w14:textId="76E07536">
      <w:pPr>
        <w:spacing w:before="283"/>
        <w:rPr>
          <w:szCs w:val="22"/>
          <w:u w:val="single"/>
        </w:rPr>
      </w:pPr>
      <w:r>
        <w:rPr>
          <w:szCs w:val="22"/>
        </w:rPr>
        <w:t xml:space="preserve">4. </w:t>
      </w:r>
      <w:r>
        <w:rPr>
          <w:szCs w:val="22"/>
          <w:u w:val="single"/>
        </w:rPr>
        <w:t xml:space="preserve">Efforts to </w:t>
      </w:r>
      <w:r w:rsidR="009A056C">
        <w:rPr>
          <w:szCs w:val="22"/>
          <w:u w:val="single"/>
        </w:rPr>
        <w:t>i</w:t>
      </w:r>
      <w:r>
        <w:rPr>
          <w:szCs w:val="22"/>
          <w:u w:val="single"/>
        </w:rPr>
        <w:t xml:space="preserve">dentify </w:t>
      </w:r>
      <w:r w:rsidR="009A056C">
        <w:rPr>
          <w:szCs w:val="22"/>
          <w:u w:val="single"/>
        </w:rPr>
        <w:t>d</w:t>
      </w:r>
      <w:r>
        <w:rPr>
          <w:szCs w:val="22"/>
          <w:u w:val="single"/>
        </w:rPr>
        <w:t>uplication</w:t>
      </w:r>
      <w:r w:rsidR="00384B9B">
        <w:rPr>
          <w:szCs w:val="22"/>
          <w:u w:val="single"/>
        </w:rPr>
        <w:t>.</w:t>
      </w:r>
      <w:r>
        <w:rPr>
          <w:szCs w:val="22"/>
          <w:u w:val="single"/>
        </w:rPr>
        <w:t xml:space="preserve"> </w:t>
      </w:r>
    </w:p>
    <w:p w:rsidR="00D70E5C" w:rsidP="00D70E5C" w14:paraId="54852861" w14:textId="77777777">
      <w:pPr>
        <w:spacing w:before="283"/>
        <w:ind w:firstLine="720"/>
        <w:rPr>
          <w:szCs w:val="22"/>
        </w:rPr>
      </w:pPr>
      <w:r w:rsidRPr="00D70E5C">
        <w:rPr>
          <w:szCs w:val="22"/>
        </w:rPr>
        <w:t xml:space="preserve">There is no similar information available; </w:t>
      </w:r>
      <w:r w:rsidRPr="00D70E5C" w:rsidR="00A65B99">
        <w:rPr>
          <w:szCs w:val="22"/>
        </w:rPr>
        <w:t>thus,</w:t>
      </w:r>
      <w:r w:rsidRPr="00D70E5C">
        <w:rPr>
          <w:szCs w:val="22"/>
        </w:rPr>
        <w:t xml:space="preserve"> there is no duplication. </w:t>
      </w:r>
    </w:p>
    <w:p w:rsidR="00600940" w14:paraId="7E5CB0D6" w14:textId="3281DE70">
      <w:pPr>
        <w:spacing w:before="283"/>
        <w:rPr>
          <w:szCs w:val="22"/>
          <w:u w:val="single"/>
        </w:rPr>
      </w:pPr>
      <w:r>
        <w:rPr>
          <w:szCs w:val="22"/>
        </w:rPr>
        <w:t xml:space="preserve">5. </w:t>
      </w:r>
      <w:r>
        <w:rPr>
          <w:szCs w:val="22"/>
          <w:u w:val="single"/>
        </w:rPr>
        <w:t xml:space="preserve">Methods to </w:t>
      </w:r>
      <w:r w:rsidR="009A056C">
        <w:rPr>
          <w:szCs w:val="22"/>
          <w:u w:val="single"/>
        </w:rPr>
        <w:t>m</w:t>
      </w:r>
      <w:r>
        <w:rPr>
          <w:szCs w:val="22"/>
          <w:u w:val="single"/>
        </w:rPr>
        <w:t xml:space="preserve">inimize </w:t>
      </w:r>
      <w:r w:rsidR="009A056C">
        <w:rPr>
          <w:szCs w:val="22"/>
          <w:u w:val="single"/>
        </w:rPr>
        <w:t>b</w:t>
      </w:r>
      <w:r>
        <w:rPr>
          <w:szCs w:val="22"/>
          <w:u w:val="single"/>
        </w:rPr>
        <w:t xml:space="preserve">urden on </w:t>
      </w:r>
      <w:r w:rsidR="009A056C">
        <w:rPr>
          <w:szCs w:val="22"/>
          <w:u w:val="single"/>
        </w:rPr>
        <w:t>s</w:t>
      </w:r>
      <w:r>
        <w:rPr>
          <w:szCs w:val="22"/>
          <w:u w:val="single"/>
        </w:rPr>
        <w:t xml:space="preserve">mall </w:t>
      </w:r>
      <w:r w:rsidR="009A056C">
        <w:rPr>
          <w:szCs w:val="22"/>
          <w:u w:val="single"/>
        </w:rPr>
        <w:t>b</w:t>
      </w:r>
      <w:r>
        <w:rPr>
          <w:szCs w:val="22"/>
          <w:u w:val="single"/>
        </w:rPr>
        <w:t xml:space="preserve">usinesses or </w:t>
      </w:r>
      <w:r w:rsidR="009A056C">
        <w:rPr>
          <w:szCs w:val="22"/>
          <w:u w:val="single"/>
        </w:rPr>
        <w:t>o</w:t>
      </w:r>
      <w:r>
        <w:rPr>
          <w:szCs w:val="22"/>
          <w:u w:val="single"/>
        </w:rPr>
        <w:t xml:space="preserve">ther </w:t>
      </w:r>
      <w:r w:rsidR="009A056C">
        <w:rPr>
          <w:szCs w:val="22"/>
          <w:u w:val="single"/>
        </w:rPr>
        <w:t>s</w:t>
      </w:r>
      <w:r>
        <w:rPr>
          <w:szCs w:val="22"/>
          <w:u w:val="single"/>
        </w:rPr>
        <w:t xml:space="preserve">mall </w:t>
      </w:r>
      <w:r w:rsidR="009A056C">
        <w:rPr>
          <w:szCs w:val="22"/>
          <w:u w:val="single"/>
        </w:rPr>
        <w:t>e</w:t>
      </w:r>
      <w:r>
        <w:rPr>
          <w:szCs w:val="22"/>
          <w:u w:val="single"/>
        </w:rPr>
        <w:t>ntities</w:t>
      </w:r>
      <w:r w:rsidR="00384B9B">
        <w:rPr>
          <w:szCs w:val="22"/>
          <w:u w:val="single"/>
        </w:rPr>
        <w:t>.</w:t>
      </w:r>
    </w:p>
    <w:p w:rsidR="00023164" w:rsidRPr="00023164" w:rsidP="00023164" w14:paraId="44F9028C" w14:textId="77777777">
      <w:pPr>
        <w:autoSpaceDE w:val="0"/>
        <w:autoSpaceDN w:val="0"/>
        <w:adjustRightInd w:val="0"/>
        <w:ind w:firstLine="720"/>
      </w:pPr>
    </w:p>
    <w:p w:rsidR="00D04B12" w:rsidP="00236D3F" w14:paraId="7ECC3CF6" w14:textId="213B2605">
      <w:pPr>
        <w:autoSpaceDE w:val="0"/>
        <w:autoSpaceDN w:val="0"/>
        <w:adjustRightInd w:val="0"/>
        <w:ind w:firstLine="720"/>
        <w:rPr>
          <w:rFonts w:ascii="Melior" w:hAnsi="Melior" w:cs="Melior"/>
          <w:sz w:val="18"/>
          <w:szCs w:val="18"/>
        </w:rPr>
      </w:pPr>
      <w:r>
        <w:t xml:space="preserve">As noted in the Regulatory </w:t>
      </w:r>
      <w:r w:rsidR="00A65B99">
        <w:t>Flexibility</w:t>
      </w:r>
      <w:r>
        <w:t xml:space="preserve"> Analysis of the final </w:t>
      </w:r>
      <w:r w:rsidR="00493658">
        <w:t xml:space="preserve">CDD </w:t>
      </w:r>
      <w:r>
        <w:t>rule</w:t>
      </w:r>
      <w:r w:rsidR="00EF7E3D">
        <w:t xml:space="preserve"> (“</w:t>
      </w:r>
      <w:r w:rsidR="00493658">
        <w:t xml:space="preserve">CDD </w:t>
      </w:r>
      <w:r w:rsidR="00EF7E3D">
        <w:t>Rule”)</w:t>
      </w:r>
      <w:r>
        <w:t>,</w:t>
      </w:r>
      <w:r w:rsidRPr="008D1A63" w:rsidR="008D1A63">
        <w:rPr>
          <w:rStyle w:val="FootnoteReference"/>
        </w:rPr>
        <w:t xml:space="preserve"> </w:t>
      </w:r>
      <w:r>
        <w:rPr>
          <w:rStyle w:val="FootnoteReference"/>
        </w:rPr>
        <w:footnoteReference w:id="9"/>
      </w:r>
      <w:r>
        <w:t xml:space="preserve"> FinCEN</w:t>
      </w:r>
      <w:r w:rsidRPr="00023164">
        <w:t xml:space="preserve"> took</w:t>
      </w:r>
      <w:r w:rsidRPr="00023164" w:rsidR="00EA1E54">
        <w:t xml:space="preserve"> </w:t>
      </w:r>
      <w:r w:rsidRPr="00023164" w:rsidR="00EA1E54">
        <w:t>a number of</w:t>
      </w:r>
      <w:r w:rsidRPr="00023164" w:rsidR="00EA1E54">
        <w:t xml:space="preserve"> steps</w:t>
      </w:r>
      <w:r w:rsidR="00EA1E54">
        <w:t xml:space="preserve"> </w:t>
      </w:r>
      <w:r w:rsidRPr="00023164" w:rsidR="00EA1E54">
        <w:t xml:space="preserve">in the </w:t>
      </w:r>
      <w:r w:rsidR="008D1A63">
        <w:t>R</w:t>
      </w:r>
      <w:r w:rsidRPr="00023164" w:rsidR="00EA1E54">
        <w:t>ule in response to</w:t>
      </w:r>
      <w:r w:rsidR="00EA1E54">
        <w:t xml:space="preserve"> </w:t>
      </w:r>
      <w:r w:rsidRPr="00023164" w:rsidR="00EA1E54">
        <w:t>comments to minimize the economic</w:t>
      </w:r>
      <w:r w:rsidR="00EA1E54">
        <w:t xml:space="preserve"> </w:t>
      </w:r>
      <w:r w:rsidRPr="00023164" w:rsidR="00EA1E54">
        <w:t>impact on small entities subject to the</w:t>
      </w:r>
      <w:r w:rsidR="00EA1E54">
        <w:t xml:space="preserve"> </w:t>
      </w:r>
      <w:r w:rsidR="00493658">
        <w:t xml:space="preserve">CDD </w:t>
      </w:r>
      <w:r w:rsidR="00B30025">
        <w:t>R</w:t>
      </w:r>
      <w:r w:rsidRPr="00023164" w:rsidR="00EA1E54">
        <w:t>ule.</w:t>
      </w:r>
      <w:r w:rsidR="00294E57">
        <w:t xml:space="preserve"> </w:t>
      </w:r>
      <w:r w:rsidR="00036266">
        <w:t xml:space="preserve"> </w:t>
      </w:r>
      <w:r w:rsidRPr="00023164" w:rsidR="00EA1E54">
        <w:t xml:space="preserve">These </w:t>
      </w:r>
      <w:r w:rsidR="008567ED">
        <w:t xml:space="preserve">steps </w:t>
      </w:r>
      <w:r w:rsidRPr="00023164" w:rsidR="00EA1E54">
        <w:t>include</w:t>
      </w:r>
      <w:r w:rsidR="00721692">
        <w:t>d</w:t>
      </w:r>
      <w:r w:rsidRPr="00023164" w:rsidR="00EA1E54">
        <w:t xml:space="preserve"> </w:t>
      </w:r>
      <w:r w:rsidR="00222832">
        <w:t>(</w:t>
      </w:r>
      <w:r w:rsidR="00222832">
        <w:t>i</w:t>
      </w:r>
      <w:r w:rsidR="00222832">
        <w:t xml:space="preserve">) </w:t>
      </w:r>
      <w:r w:rsidRPr="00023164" w:rsidR="00EA1E54">
        <w:t>clarifying the</w:t>
      </w:r>
      <w:r w:rsidR="00EA1E54">
        <w:t xml:space="preserve"> </w:t>
      </w:r>
      <w:r w:rsidRPr="00023164" w:rsidR="00EA1E54">
        <w:t>definition of ‘‘legal entity customer,’’</w:t>
      </w:r>
      <w:r w:rsidR="00EA1E54">
        <w:t xml:space="preserve"> </w:t>
      </w:r>
      <w:r w:rsidR="00222832">
        <w:t xml:space="preserve">(ii) </w:t>
      </w:r>
      <w:r w:rsidRPr="00023164" w:rsidR="00EA1E54">
        <w:t xml:space="preserve">extending the </w:t>
      </w:r>
      <w:r w:rsidR="00781ED2">
        <w:t xml:space="preserve">effective </w:t>
      </w:r>
      <w:r w:rsidR="008D1A63">
        <w:t xml:space="preserve">date </w:t>
      </w:r>
      <w:r w:rsidR="00781ED2">
        <w:t xml:space="preserve">of </w:t>
      </w:r>
      <w:r w:rsidR="008D1A63">
        <w:t xml:space="preserve">the </w:t>
      </w:r>
      <w:r w:rsidR="00B30025">
        <w:t>R</w:t>
      </w:r>
      <w:r w:rsidR="008D1A63">
        <w:t>ule</w:t>
      </w:r>
      <w:r w:rsidRPr="00023164" w:rsidR="00EA1E54">
        <w:t xml:space="preserve"> from one</w:t>
      </w:r>
      <w:r w:rsidR="00EA1E54">
        <w:t xml:space="preserve"> </w:t>
      </w:r>
      <w:r w:rsidRPr="00023164" w:rsidR="00EA1E54">
        <w:t>year to two years</w:t>
      </w:r>
      <w:r w:rsidR="008567ED">
        <w:t>,</w:t>
      </w:r>
      <w:r w:rsidR="00222832">
        <w:t xml:space="preserve"> (iii)</w:t>
      </w:r>
      <w:r w:rsidRPr="00023164" w:rsidR="008567ED">
        <w:t xml:space="preserve"> </w:t>
      </w:r>
      <w:r w:rsidRPr="00023164" w:rsidR="00EA1E54">
        <w:t>eliminating the</w:t>
      </w:r>
      <w:r w:rsidR="00EA1E54">
        <w:t xml:space="preserve"> </w:t>
      </w:r>
      <w:r w:rsidRPr="00023164" w:rsidR="00EA1E54">
        <w:t>requirement that financial institutions</w:t>
      </w:r>
      <w:r w:rsidR="00EA1E54">
        <w:t xml:space="preserve"> </w:t>
      </w:r>
      <w:r w:rsidRPr="00023164" w:rsidR="00EA1E54">
        <w:t>use the Certification Form to obtain the</w:t>
      </w:r>
      <w:r w:rsidR="00EA1E54">
        <w:t xml:space="preserve"> </w:t>
      </w:r>
      <w:r w:rsidRPr="00023164" w:rsidR="00EA1E54">
        <w:t>beneficial ownership information</w:t>
      </w:r>
      <w:r w:rsidR="008567ED">
        <w:t>,</w:t>
      </w:r>
      <w:r w:rsidR="00222832">
        <w:t xml:space="preserve"> (iv)</w:t>
      </w:r>
      <w:r w:rsidR="008567ED">
        <w:t xml:space="preserve"> </w:t>
      </w:r>
      <w:r w:rsidRPr="00023164" w:rsidR="00EA1E54">
        <w:t>expanding the categories of excluded</w:t>
      </w:r>
      <w:r w:rsidR="00EA1E54">
        <w:t xml:space="preserve"> </w:t>
      </w:r>
      <w:r w:rsidRPr="00023164" w:rsidR="00EA1E54">
        <w:t>legal entities not subject to the</w:t>
      </w:r>
      <w:r w:rsidR="00EA1E54">
        <w:t xml:space="preserve"> </w:t>
      </w:r>
      <w:r w:rsidRPr="00023164" w:rsidR="00EA1E54">
        <w:t>requirement</w:t>
      </w:r>
      <w:r w:rsidR="008567ED">
        <w:t>,</w:t>
      </w:r>
      <w:r w:rsidRPr="00023164" w:rsidR="008567ED">
        <w:t xml:space="preserve"> </w:t>
      </w:r>
      <w:r w:rsidR="00222832">
        <w:t xml:space="preserve">(v) </w:t>
      </w:r>
      <w:r w:rsidRPr="00023164" w:rsidR="00EA1E54">
        <w:t>simplifying the</w:t>
      </w:r>
      <w:r w:rsidR="00EA1E54">
        <w:t xml:space="preserve"> </w:t>
      </w:r>
      <w:r w:rsidRPr="00023164" w:rsidR="00EA1E54">
        <w:t>requirements related to the charity and</w:t>
      </w:r>
      <w:r w:rsidR="00EA1E54">
        <w:t xml:space="preserve"> </w:t>
      </w:r>
      <w:r w:rsidRPr="00023164" w:rsidR="00EA1E54">
        <w:t>nonprofit exemption</w:t>
      </w:r>
      <w:r w:rsidR="008567ED">
        <w:t>,</w:t>
      </w:r>
      <w:r w:rsidRPr="00023164" w:rsidR="008567ED">
        <w:t xml:space="preserve"> </w:t>
      </w:r>
      <w:r w:rsidRPr="00023164" w:rsidR="00EA1E54">
        <w:t>an</w:t>
      </w:r>
      <w:r w:rsidRPr="00023164">
        <w:t>d</w:t>
      </w:r>
      <w:r w:rsidR="00DE67BF">
        <w:t xml:space="preserve"> (vi</w:t>
      </w:r>
      <w:r w:rsidR="00222832">
        <w:t>)</w:t>
      </w:r>
      <w:r w:rsidRPr="00023164" w:rsidR="00EA1E54">
        <w:t xml:space="preserve"> clarifying that financial</w:t>
      </w:r>
      <w:r w:rsidR="00EA1E54">
        <w:t xml:space="preserve"> </w:t>
      </w:r>
      <w:r w:rsidRPr="00023164" w:rsidR="00EA1E54">
        <w:t xml:space="preserve">institutions are </w:t>
      </w:r>
      <w:r w:rsidR="00222832">
        <w:t xml:space="preserve">only </w:t>
      </w:r>
      <w:r w:rsidRPr="00023164" w:rsidR="00EA1E54">
        <w:t>required to update</w:t>
      </w:r>
      <w:r w:rsidR="00EA1E54">
        <w:t xml:space="preserve"> </w:t>
      </w:r>
      <w:r w:rsidRPr="00023164" w:rsidR="00EA1E54">
        <w:t>beneficial ownership information on</w:t>
      </w:r>
      <w:r w:rsidR="00EA1E54">
        <w:t xml:space="preserve"> </w:t>
      </w:r>
      <w:r w:rsidRPr="00023164" w:rsidR="00EA1E54">
        <w:t>an event-driven basis, when in the</w:t>
      </w:r>
      <w:r w:rsidR="00EA1E54">
        <w:t xml:space="preserve"> </w:t>
      </w:r>
      <w:r w:rsidRPr="00023164" w:rsidR="00EA1E54">
        <w:t>course of their normal monitoring they</w:t>
      </w:r>
      <w:r w:rsidR="00EA1E54">
        <w:t xml:space="preserve"> </w:t>
      </w:r>
      <w:r w:rsidRPr="00023164" w:rsidR="00EA1E54">
        <w:t>detect information about the customer</w:t>
      </w:r>
      <w:r w:rsidR="00EA1E54">
        <w:t xml:space="preserve"> </w:t>
      </w:r>
      <w:r w:rsidRPr="00023164" w:rsidR="00EA1E54">
        <w:t>that may be relevant to assessing the</w:t>
      </w:r>
      <w:r w:rsidR="00EA1E54">
        <w:t xml:space="preserve"> </w:t>
      </w:r>
      <w:r w:rsidRPr="00023164" w:rsidR="00EA1E54">
        <w:t>risk posed by the customer.</w:t>
      </w:r>
      <w:r w:rsidR="00294E57">
        <w:t xml:space="preserve"> </w:t>
      </w:r>
      <w:r w:rsidRPr="00023164" w:rsidR="00EA1E54">
        <w:t xml:space="preserve"> Such</w:t>
      </w:r>
      <w:r w:rsidR="00EA1E54">
        <w:t xml:space="preserve"> </w:t>
      </w:r>
      <w:r w:rsidRPr="00023164" w:rsidR="00EA1E54">
        <w:t>information could include a change in</w:t>
      </w:r>
      <w:r>
        <w:t xml:space="preserve"> </w:t>
      </w:r>
      <w:r w:rsidRPr="00023164" w:rsidR="00EA1E54">
        <w:t>the customer’s beneficial ownership</w:t>
      </w:r>
      <w:r w:rsidR="00EA1E54">
        <w:rPr>
          <w:rFonts w:ascii="Melior" w:hAnsi="Melior" w:cs="Melior"/>
          <w:sz w:val="18"/>
          <w:szCs w:val="18"/>
        </w:rPr>
        <w:t>.</w:t>
      </w:r>
      <w:r>
        <w:rPr>
          <w:rFonts w:ascii="Melior" w:hAnsi="Melior" w:cs="Melior"/>
          <w:sz w:val="18"/>
          <w:szCs w:val="18"/>
        </w:rPr>
        <w:t xml:space="preserve"> </w:t>
      </w:r>
    </w:p>
    <w:p w:rsidR="00600940" w14:paraId="754598F5" w14:textId="6AF8F876">
      <w:pPr>
        <w:spacing w:before="283"/>
        <w:rPr>
          <w:szCs w:val="22"/>
        </w:rPr>
      </w:pPr>
      <w:r>
        <w:rPr>
          <w:szCs w:val="22"/>
        </w:rPr>
        <w:t xml:space="preserve">6. </w:t>
      </w:r>
      <w:r>
        <w:rPr>
          <w:szCs w:val="22"/>
          <w:u w:val="single"/>
        </w:rPr>
        <w:t xml:space="preserve">Consequences to the Federal </w:t>
      </w:r>
      <w:r w:rsidR="006A6EBB">
        <w:rPr>
          <w:szCs w:val="22"/>
          <w:u w:val="single"/>
        </w:rPr>
        <w:t>g</w:t>
      </w:r>
      <w:r>
        <w:rPr>
          <w:szCs w:val="22"/>
          <w:u w:val="single"/>
        </w:rPr>
        <w:t xml:space="preserve">overnment of </w:t>
      </w:r>
      <w:r w:rsidR="006A6EBB">
        <w:rPr>
          <w:szCs w:val="22"/>
          <w:u w:val="single"/>
        </w:rPr>
        <w:t>n</w:t>
      </w:r>
      <w:r>
        <w:rPr>
          <w:szCs w:val="22"/>
          <w:u w:val="single"/>
        </w:rPr>
        <w:t xml:space="preserve">ot </w:t>
      </w:r>
      <w:r w:rsidR="006A6EBB">
        <w:rPr>
          <w:szCs w:val="22"/>
          <w:u w:val="single"/>
        </w:rPr>
        <w:t>c</w:t>
      </w:r>
      <w:r>
        <w:rPr>
          <w:szCs w:val="22"/>
          <w:u w:val="single"/>
        </w:rPr>
        <w:t xml:space="preserve">ollecting the </w:t>
      </w:r>
      <w:r w:rsidR="006A6EBB">
        <w:rPr>
          <w:szCs w:val="22"/>
          <w:u w:val="single"/>
        </w:rPr>
        <w:t>i</w:t>
      </w:r>
      <w:r>
        <w:rPr>
          <w:szCs w:val="22"/>
          <w:u w:val="single"/>
        </w:rPr>
        <w:t>nformation.</w:t>
      </w:r>
      <w:r>
        <w:rPr>
          <w:szCs w:val="22"/>
        </w:rPr>
        <w:t xml:space="preserve"> </w:t>
      </w:r>
    </w:p>
    <w:p w:rsidR="00600940" w:rsidP="005C32C5" w14:paraId="0A09F401" w14:textId="77777777">
      <w:pPr>
        <w:spacing w:before="283"/>
        <w:ind w:firstLine="720"/>
        <w:rPr>
          <w:szCs w:val="22"/>
        </w:rPr>
      </w:pPr>
      <w:r>
        <w:rPr>
          <w:szCs w:val="22"/>
        </w:rPr>
        <w:t xml:space="preserve">To help the Federal government fight financial crime, these regulations require certain financial institutions to </w:t>
      </w:r>
      <w:r w:rsidR="00E447CE">
        <w:rPr>
          <w:szCs w:val="22"/>
        </w:rPr>
        <w:t>obtain, verify, and record information about beneficial ownership of legal entity customers.  Legal entities can be abused to disguise involvement in terrorist financing, money laundering, tax evasion, corruption, fraud</w:t>
      </w:r>
      <w:r w:rsidR="00EF7E3D">
        <w:rPr>
          <w:szCs w:val="22"/>
        </w:rPr>
        <w:t>,</w:t>
      </w:r>
      <w:r w:rsidR="00E447CE">
        <w:rPr>
          <w:szCs w:val="22"/>
        </w:rPr>
        <w:t xml:space="preserve"> and other financial crimes.  Requiring the disclosure of </w:t>
      </w:r>
      <w:r w:rsidR="009113EC">
        <w:rPr>
          <w:szCs w:val="22"/>
        </w:rPr>
        <w:t xml:space="preserve">certain </w:t>
      </w:r>
      <w:r w:rsidR="00E447CE">
        <w:rPr>
          <w:szCs w:val="22"/>
        </w:rPr>
        <w:t>individuals who own or control a legal entity (i.e., the beneficial owners) helps law enforcement investigate and prosecute these crimes.</w:t>
      </w:r>
      <w:r>
        <w:rPr>
          <w:szCs w:val="22"/>
        </w:rPr>
        <w:t xml:space="preserve"> </w:t>
      </w:r>
    </w:p>
    <w:p w:rsidR="00600940" w:rsidP="00D70E5C" w14:paraId="2063D75D" w14:textId="0428E239">
      <w:pPr>
        <w:spacing w:before="288"/>
        <w:rPr>
          <w:szCs w:val="22"/>
        </w:rPr>
      </w:pPr>
      <w:r>
        <w:rPr>
          <w:szCs w:val="22"/>
        </w:rPr>
        <w:t xml:space="preserve">7. </w:t>
      </w:r>
      <w:r>
        <w:rPr>
          <w:szCs w:val="22"/>
          <w:u w:val="single"/>
        </w:rPr>
        <w:t xml:space="preserve">Special </w:t>
      </w:r>
      <w:r w:rsidR="006A6EBB">
        <w:rPr>
          <w:szCs w:val="22"/>
          <w:u w:val="single"/>
        </w:rPr>
        <w:t>c</w:t>
      </w:r>
      <w:r>
        <w:rPr>
          <w:szCs w:val="22"/>
          <w:u w:val="single"/>
        </w:rPr>
        <w:t xml:space="preserve">ircumstances </w:t>
      </w:r>
      <w:r w:rsidR="006A6EBB">
        <w:rPr>
          <w:szCs w:val="22"/>
          <w:u w:val="single"/>
        </w:rPr>
        <w:t>r</w:t>
      </w:r>
      <w:r>
        <w:rPr>
          <w:szCs w:val="22"/>
          <w:u w:val="single"/>
        </w:rPr>
        <w:t xml:space="preserve">equiring </w:t>
      </w:r>
      <w:r w:rsidR="006A6EBB">
        <w:rPr>
          <w:szCs w:val="22"/>
          <w:u w:val="single"/>
        </w:rPr>
        <w:t>d</w:t>
      </w:r>
      <w:r>
        <w:rPr>
          <w:szCs w:val="22"/>
          <w:u w:val="single"/>
        </w:rPr>
        <w:t xml:space="preserve">ata </w:t>
      </w:r>
      <w:r w:rsidR="006A6EBB">
        <w:rPr>
          <w:szCs w:val="22"/>
          <w:u w:val="single"/>
        </w:rPr>
        <w:t>c</w:t>
      </w:r>
      <w:r>
        <w:rPr>
          <w:szCs w:val="22"/>
          <w:u w:val="single"/>
        </w:rPr>
        <w:t xml:space="preserve">ollection </w:t>
      </w:r>
      <w:r w:rsidR="006A6EBB">
        <w:rPr>
          <w:szCs w:val="22"/>
          <w:u w:val="single"/>
        </w:rPr>
        <w:t>i</w:t>
      </w:r>
      <w:r>
        <w:rPr>
          <w:szCs w:val="22"/>
          <w:u w:val="single"/>
        </w:rPr>
        <w:t xml:space="preserve">nconsistent with </w:t>
      </w:r>
      <w:r w:rsidR="006A6EBB">
        <w:rPr>
          <w:szCs w:val="22"/>
          <w:u w:val="single"/>
        </w:rPr>
        <w:t>g</w:t>
      </w:r>
      <w:r>
        <w:rPr>
          <w:szCs w:val="22"/>
          <w:u w:val="single"/>
        </w:rPr>
        <w:t>uidelines</w:t>
      </w:r>
      <w:r w:rsidR="006100FA">
        <w:rPr>
          <w:szCs w:val="22"/>
          <w:u w:val="single"/>
        </w:rPr>
        <w:t xml:space="preserve"> in 5 CFR 1320.5(d)(2)</w:t>
      </w:r>
      <w:r>
        <w:rPr>
          <w:szCs w:val="22"/>
          <w:u w:val="single"/>
        </w:rPr>
        <w:t>.</w:t>
      </w:r>
    </w:p>
    <w:p w:rsidR="00600940" w:rsidRPr="00236D3F" w:rsidP="00236D3F" w14:paraId="765113C8" w14:textId="752E4BC7">
      <w:pPr>
        <w:pStyle w:val="pf0"/>
        <w:ind w:firstLine="720"/>
        <w:rPr>
          <w:color w:val="000000" w:themeColor="text1"/>
        </w:rPr>
      </w:pPr>
      <w:r w:rsidRPr="00927FE5">
        <w:t>Under 31 CFR 10</w:t>
      </w:r>
      <w:r w:rsidRPr="00927FE5" w:rsidR="007246A3">
        <w:t>10</w:t>
      </w:r>
      <w:r w:rsidRPr="00927FE5">
        <w:t>.</w:t>
      </w:r>
      <w:r w:rsidR="00F75382">
        <w:t>230(</w:t>
      </w:r>
      <w:r w:rsidR="00F75382">
        <w:t>i</w:t>
      </w:r>
      <w:r w:rsidR="00F75382">
        <w:t>)(2) a covered financial institution must retain records made under 31 CFR 1010.230(</w:t>
      </w:r>
      <w:r w:rsidR="00F75382">
        <w:t>i</w:t>
      </w:r>
      <w:r w:rsidR="00F75382">
        <w:t>)(1)(</w:t>
      </w:r>
      <w:r w:rsidR="00F75382">
        <w:t>i</w:t>
      </w:r>
      <w:r w:rsidR="00F75382">
        <w:t>) for five years after the date the account is closed, and</w:t>
      </w:r>
      <w:r w:rsidR="00263173">
        <w:t xml:space="preserve"> retain</w:t>
      </w:r>
      <w:r w:rsidR="00F75382">
        <w:t xml:space="preserve"> records made under 31 CFR 1010.230(</w:t>
      </w:r>
      <w:r w:rsidR="00F75382">
        <w:t>i</w:t>
      </w:r>
      <w:r w:rsidR="00F75382">
        <w:t>)(1)(ii) for five years after the record is made.</w:t>
      </w:r>
      <w:r w:rsidRPr="00927FE5">
        <w:t xml:space="preserve">  </w:t>
      </w:r>
      <w:r w:rsidRPr="00927FE5" w:rsidR="00927FE5">
        <w:rPr>
          <w:lang w:val="en"/>
        </w:rPr>
        <w:t>Th</w:t>
      </w:r>
      <w:r w:rsidR="00F75382">
        <w:rPr>
          <w:lang w:val="en"/>
        </w:rPr>
        <w:t>ese</w:t>
      </w:r>
      <w:r w:rsidRPr="00927FE5" w:rsidR="00927FE5">
        <w:rPr>
          <w:lang w:val="en"/>
        </w:rPr>
        <w:t xml:space="preserve"> retention period</w:t>
      </w:r>
      <w:r w:rsidR="00F75382">
        <w:rPr>
          <w:lang w:val="en"/>
        </w:rPr>
        <w:t>s</w:t>
      </w:r>
      <w:r w:rsidRPr="00927FE5" w:rsidR="00927FE5">
        <w:rPr>
          <w:lang w:val="en"/>
        </w:rPr>
        <w:t xml:space="preserve"> </w:t>
      </w:r>
      <w:r w:rsidR="00F75382">
        <w:rPr>
          <w:lang w:val="en"/>
        </w:rPr>
        <w:t>are</w:t>
      </w:r>
      <w:r w:rsidRPr="00927FE5" w:rsidR="00927FE5">
        <w:rPr>
          <w:lang w:val="en"/>
        </w:rPr>
        <w:t xml:space="preserve"> necessary </w:t>
      </w:r>
      <w:r w:rsidRPr="00927FE5" w:rsidR="00927FE5">
        <w:t>to allow for verification of compliance with the re</w:t>
      </w:r>
      <w:r w:rsidR="00F75382">
        <w:t>cordkeeping</w:t>
      </w:r>
      <w:r w:rsidRPr="00927FE5" w:rsidR="00927FE5">
        <w:t xml:space="preserve"> requirement</w:t>
      </w:r>
      <w:r w:rsidR="00F75382">
        <w:t>s</w:t>
      </w:r>
      <w:r w:rsidRPr="00927FE5" w:rsidR="00927FE5">
        <w:t xml:space="preserve"> and </w:t>
      </w:r>
      <w:r w:rsidRPr="00927FE5" w:rsidR="00927FE5">
        <w:rPr>
          <w:rStyle w:val="cf01"/>
          <w:rFonts w:ascii="Times New Roman" w:hAnsi="Times New Roman" w:cs="Times New Roman"/>
          <w:i w:val="0"/>
          <w:iCs w:val="0"/>
          <w:color w:val="000000" w:themeColor="text1"/>
          <w:sz w:val="24"/>
          <w:szCs w:val="24"/>
        </w:rPr>
        <w:t>because such records may relate to substantive violations of law that are subject to statutes of limitation longer than three years.</w:t>
      </w:r>
    </w:p>
    <w:p w:rsidR="00600940" w:rsidP="006B5A1E" w14:paraId="1F70E674" w14:textId="74A4BA5E">
      <w:pPr>
        <w:rPr>
          <w:szCs w:val="22"/>
        </w:rPr>
      </w:pPr>
      <w:r>
        <w:rPr>
          <w:szCs w:val="22"/>
        </w:rPr>
        <w:t xml:space="preserve">8. </w:t>
      </w:r>
      <w:r>
        <w:rPr>
          <w:szCs w:val="22"/>
          <w:u w:val="single"/>
        </w:rPr>
        <w:t xml:space="preserve">Consultation with </w:t>
      </w:r>
      <w:r w:rsidR="006A6EBB">
        <w:rPr>
          <w:szCs w:val="22"/>
          <w:u w:val="single"/>
        </w:rPr>
        <w:t>i</w:t>
      </w:r>
      <w:r>
        <w:rPr>
          <w:szCs w:val="22"/>
          <w:u w:val="single"/>
        </w:rPr>
        <w:t xml:space="preserve">ndividuals </w:t>
      </w:r>
      <w:r w:rsidR="006A6EBB">
        <w:rPr>
          <w:szCs w:val="22"/>
          <w:u w:val="single"/>
        </w:rPr>
        <w:t>o</w:t>
      </w:r>
      <w:r>
        <w:rPr>
          <w:szCs w:val="22"/>
          <w:u w:val="single"/>
        </w:rPr>
        <w:t xml:space="preserve">utside of the </w:t>
      </w:r>
      <w:r w:rsidR="006A6EBB">
        <w:rPr>
          <w:szCs w:val="22"/>
          <w:u w:val="single"/>
        </w:rPr>
        <w:t>a</w:t>
      </w:r>
      <w:r>
        <w:rPr>
          <w:szCs w:val="22"/>
          <w:u w:val="single"/>
        </w:rPr>
        <w:t xml:space="preserve">gency on </w:t>
      </w:r>
      <w:r w:rsidR="006A6EBB">
        <w:rPr>
          <w:szCs w:val="22"/>
          <w:u w:val="single"/>
        </w:rPr>
        <w:t>a</w:t>
      </w:r>
      <w:r>
        <w:rPr>
          <w:szCs w:val="22"/>
          <w:u w:val="single"/>
        </w:rPr>
        <w:t xml:space="preserve">vailability of </w:t>
      </w:r>
      <w:r w:rsidR="006A6EBB">
        <w:rPr>
          <w:szCs w:val="22"/>
          <w:u w:val="single"/>
        </w:rPr>
        <w:t>d</w:t>
      </w:r>
      <w:r>
        <w:rPr>
          <w:szCs w:val="22"/>
          <w:u w:val="single"/>
        </w:rPr>
        <w:t>ata</w:t>
      </w:r>
      <w:r w:rsidR="006A6EBB">
        <w:rPr>
          <w:szCs w:val="22"/>
          <w:u w:val="single"/>
        </w:rPr>
        <w:t>, f</w:t>
      </w:r>
      <w:r>
        <w:rPr>
          <w:szCs w:val="22"/>
          <w:u w:val="single"/>
        </w:rPr>
        <w:t xml:space="preserve">requency of </w:t>
      </w:r>
      <w:r w:rsidR="006A6EBB">
        <w:rPr>
          <w:szCs w:val="22"/>
          <w:u w:val="single"/>
        </w:rPr>
        <w:t>c</w:t>
      </w:r>
      <w:r>
        <w:rPr>
          <w:szCs w:val="22"/>
          <w:u w:val="single"/>
        </w:rPr>
        <w:t xml:space="preserve">ollection, </w:t>
      </w:r>
      <w:r w:rsidR="006A6EBB">
        <w:rPr>
          <w:szCs w:val="22"/>
          <w:u w:val="single"/>
        </w:rPr>
        <w:t>c</w:t>
      </w:r>
      <w:r>
        <w:rPr>
          <w:szCs w:val="22"/>
          <w:u w:val="single"/>
        </w:rPr>
        <w:t xml:space="preserve">larity of </w:t>
      </w:r>
      <w:r w:rsidR="006A6EBB">
        <w:rPr>
          <w:szCs w:val="22"/>
          <w:u w:val="single"/>
        </w:rPr>
        <w:t>i</w:t>
      </w:r>
      <w:r>
        <w:rPr>
          <w:szCs w:val="22"/>
          <w:u w:val="single"/>
        </w:rPr>
        <w:t xml:space="preserve">nstructions and </w:t>
      </w:r>
      <w:r w:rsidR="006A6EBB">
        <w:rPr>
          <w:szCs w:val="22"/>
          <w:u w:val="single"/>
        </w:rPr>
        <w:t>f</w:t>
      </w:r>
      <w:r>
        <w:rPr>
          <w:szCs w:val="22"/>
          <w:u w:val="single"/>
        </w:rPr>
        <w:t xml:space="preserve">orms, and </w:t>
      </w:r>
      <w:r w:rsidR="006A6EBB">
        <w:rPr>
          <w:szCs w:val="22"/>
          <w:u w:val="single"/>
        </w:rPr>
        <w:t>d</w:t>
      </w:r>
      <w:r>
        <w:rPr>
          <w:szCs w:val="22"/>
          <w:u w:val="single"/>
        </w:rPr>
        <w:t xml:space="preserve">ata </w:t>
      </w:r>
      <w:r w:rsidR="006A6EBB">
        <w:rPr>
          <w:szCs w:val="22"/>
          <w:u w:val="single"/>
        </w:rPr>
        <w:t>e</w:t>
      </w:r>
      <w:r>
        <w:rPr>
          <w:szCs w:val="22"/>
          <w:u w:val="single"/>
        </w:rPr>
        <w:t>lements.</w:t>
      </w:r>
      <w:r>
        <w:rPr>
          <w:szCs w:val="22"/>
        </w:rPr>
        <w:t xml:space="preserve"> </w:t>
      </w:r>
    </w:p>
    <w:p w:rsidR="00600940" w:rsidP="008B329F" w14:paraId="4945C14A" w14:textId="77777777">
      <w:pPr>
        <w:rPr>
          <w:szCs w:val="22"/>
        </w:rPr>
      </w:pPr>
    </w:p>
    <w:p w:rsidR="00600940" w:rsidP="008E3AE6" w14:paraId="2935DC79" w14:textId="49C30545">
      <w:pPr>
        <w:ind w:firstLine="720"/>
      </w:pPr>
      <w:r w:rsidRPr="00027525">
        <w:t xml:space="preserve">On </w:t>
      </w:r>
      <w:r w:rsidR="006A6EBB">
        <w:t>February 26, 2024</w:t>
      </w:r>
      <w:r w:rsidRPr="00EC233D" w:rsidR="00B44F21">
        <w:t xml:space="preserve">, </w:t>
      </w:r>
      <w:r w:rsidRPr="00EC233D" w:rsidR="006C17A7">
        <w:t xml:space="preserve">FinCEN published in the Federal Register a notice </w:t>
      </w:r>
      <w:r w:rsidR="006A6EBB">
        <w:t xml:space="preserve">and request for comments concerning its intention </w:t>
      </w:r>
      <w:r w:rsidRPr="00EC233D" w:rsidR="006C17A7">
        <w:t>to renew</w:t>
      </w:r>
      <w:r w:rsidR="006A6EBB">
        <w:t>,</w:t>
      </w:r>
      <w:r w:rsidRPr="00EC233D" w:rsidR="006C17A7">
        <w:t xml:space="preserve"> without chang</w:t>
      </w:r>
      <w:r w:rsidRPr="00857D1C" w:rsidR="006C17A7">
        <w:t>e</w:t>
      </w:r>
      <w:r w:rsidRPr="0064726A" w:rsidR="00EF7E3D">
        <w:t>,</w:t>
      </w:r>
      <w:r w:rsidRPr="0064726A" w:rsidR="006C17A7">
        <w:t xml:space="preserve"> information collection requirements</w:t>
      </w:r>
      <w:r w:rsidRPr="00C82B45" w:rsidR="00293331">
        <w:t xml:space="preserve"> </w:t>
      </w:r>
      <w:r w:rsidR="006A6EBB">
        <w:t xml:space="preserve">related to </w:t>
      </w:r>
      <w:r w:rsidRPr="00A4424A" w:rsidR="002E5188">
        <w:t>beneficial ownership requireme</w:t>
      </w:r>
      <w:r w:rsidRPr="00A4424A" w:rsidR="00293331">
        <w:t>nts</w:t>
      </w:r>
      <w:r w:rsidRPr="00A4424A" w:rsidR="002E5188">
        <w:t xml:space="preserve"> for legal entity </w:t>
      </w:r>
      <w:r w:rsidRPr="00A4424A" w:rsidR="002E5188">
        <w:t>customers</w:t>
      </w:r>
      <w:r w:rsidR="001E6187">
        <w:t xml:space="preserve"> regulations.</w:t>
      </w:r>
      <w:r>
        <w:rPr>
          <w:rStyle w:val="FootnoteReference"/>
        </w:rPr>
        <w:footnoteReference w:id="10"/>
      </w:r>
      <w:r w:rsidRPr="00A4424A">
        <w:t xml:space="preserve"> </w:t>
      </w:r>
      <w:r w:rsidRPr="00A4424A" w:rsidR="005C32C5">
        <w:t xml:space="preserve"> </w:t>
      </w:r>
      <w:r w:rsidRPr="00A4424A" w:rsidR="006C17A7">
        <w:t xml:space="preserve">The comment period </w:t>
      </w:r>
      <w:r w:rsidR="001E6187">
        <w:t xml:space="preserve">closed on April 26, 2024.  FinCEN received </w:t>
      </w:r>
      <w:r w:rsidR="001A4D5A">
        <w:t>one</w:t>
      </w:r>
      <w:r w:rsidR="006243CA">
        <w:t xml:space="preserve"> relevant</w:t>
      </w:r>
      <w:r w:rsidR="001A4D5A">
        <w:t xml:space="preserve"> </w:t>
      </w:r>
      <w:r w:rsidR="001E6187">
        <w:t xml:space="preserve">public comment </w:t>
      </w:r>
      <w:r w:rsidR="002D57BA">
        <w:t xml:space="preserve">from a trade association </w:t>
      </w:r>
      <w:r w:rsidR="001E6187">
        <w:t xml:space="preserve">in response to the notice. </w:t>
      </w:r>
    </w:p>
    <w:p w:rsidR="00FA6DB7" w:rsidP="008E3AE6" w14:paraId="004A2042" w14:textId="77777777">
      <w:pPr>
        <w:ind w:firstLine="720"/>
      </w:pPr>
    </w:p>
    <w:p w:rsidR="00FA6DB7" w:rsidP="00FA6DB7" w14:paraId="042A6010" w14:textId="5FEFFE2B">
      <w:pPr>
        <w:ind w:firstLine="720"/>
      </w:pPr>
      <w:r>
        <w:t>According to the commenter, i</w:t>
      </w:r>
      <w:r w:rsidRPr="00161C75">
        <w:t>n April 2024,</w:t>
      </w:r>
      <w:r>
        <w:t xml:space="preserve"> it</w:t>
      </w:r>
      <w:r w:rsidRPr="00161C75">
        <w:t xml:space="preserve"> polled its members and received 143 responses from banks nationwide, ranging from small community banks to large banks with </w:t>
      </w:r>
      <w:r w:rsidR="001E1A43">
        <w:t xml:space="preserve">a </w:t>
      </w:r>
      <w:r w:rsidRPr="00161C75">
        <w:t xml:space="preserve">multi-national presence. </w:t>
      </w:r>
      <w:r>
        <w:t xml:space="preserve"> According to the commenter, the poll revealed that FinCEN’s burden estimates in the renewal of this information</w:t>
      </w:r>
      <w:r w:rsidR="00C215FA">
        <w:t xml:space="preserve"> collection</w:t>
      </w:r>
      <w:r>
        <w:t xml:space="preserve"> substantially underestimate</w:t>
      </w:r>
      <w:r w:rsidR="00181647">
        <w:t>d</w:t>
      </w:r>
      <w:r>
        <w:t xml:space="preserve"> the burden associated with collecting beneficial ownership information for legal entity customers.  The commenter noted that the regulations require banks to engage in more tasks than FinCEN estimates in the renewal of this information collection, require substantially more time than FinCEN estimates to perform these tasks, and underestimate the frequency in which banks are required to collect beneficial ownership information from legal entity customers.  The commenter recommended that</w:t>
      </w:r>
      <w:r w:rsidR="001F4D6C">
        <w:t>,</w:t>
      </w:r>
      <w:r>
        <w:t xml:space="preserve"> to create a more accurate estimate of burden for this information collection, FinCEN should consider </w:t>
      </w:r>
      <w:r w:rsidR="00405124">
        <w:t xml:space="preserve">the </w:t>
      </w:r>
      <w:r>
        <w:t>variety of different steps a bank takes when a legal entity customer opens a new account with a bank.  However, the commenter d</w:t>
      </w:r>
      <w:r w:rsidR="00C605B3">
        <w:t>id</w:t>
      </w:r>
      <w:r>
        <w:t xml:space="preserve"> not provide specific estimates regarding the burden that should be assigned to each task required under the regulations or provide an estimate of the frequency of the collection of information under the regulations.  </w:t>
      </w:r>
    </w:p>
    <w:p w:rsidR="00FA6DB7" w:rsidP="00FA6DB7" w14:paraId="095DC3BF" w14:textId="77777777"/>
    <w:p w:rsidR="00FA6DB7" w:rsidP="00FA6DB7" w14:paraId="68B3F816" w14:textId="54CF2FAA">
      <w:pPr>
        <w:ind w:firstLine="720"/>
      </w:pPr>
      <w:r>
        <w:t xml:space="preserve">The commenter also noted that </w:t>
      </w:r>
      <w:r w:rsidR="00405124">
        <w:t xml:space="preserve">its </w:t>
      </w:r>
      <w:r>
        <w:t xml:space="preserve">response to the renewal of this information collection has a broader objective to inform FinCEN’s anticipated revisions to 31 CFR 1010.230, which are required </w:t>
      </w:r>
      <w:r w:rsidR="00703A83">
        <w:t xml:space="preserve">by the CTA. </w:t>
      </w:r>
      <w:r>
        <w:t xml:space="preserve">The commenter suggested that before FinCEN proposes revisions to 31 CFR 1010.230, it must more accurately understand how often banks are compelled to collect beneficial ownership information on legal entity customers and what that collection of information entails. </w:t>
      </w:r>
    </w:p>
    <w:p w:rsidR="00FA6DB7" w:rsidP="00FA6DB7" w14:paraId="68128AFA" w14:textId="77777777"/>
    <w:p w:rsidR="00FA6DB7" w:rsidRPr="00857D1C" w:rsidP="00FA6DB7" w14:paraId="712C0B80" w14:textId="00EDA6A4">
      <w:pPr>
        <w:ind w:firstLine="720"/>
      </w:pPr>
      <w:r w:rsidRPr="001F1100">
        <w:t>As noted in the 60-day notice to renew this information collection and</w:t>
      </w:r>
      <w:r w:rsidR="000A28EF">
        <w:t xml:space="preserve"> in section one of this supporting statement</w:t>
      </w:r>
      <w:r w:rsidRPr="001F1100">
        <w:t xml:space="preserve">, FinCEN intends to engage in a future rulemaking to revise the requirements of 31 CFR 1010.230 to bring them into conformance with the CTA and address other considerations that FinCEN is required to </w:t>
      </w:r>
      <w:r w:rsidRPr="001F1100">
        <w:t>take into account</w:t>
      </w:r>
      <w:r w:rsidRPr="001F1100">
        <w:t xml:space="preserve">. </w:t>
      </w:r>
      <w:r>
        <w:t xml:space="preserve"> </w:t>
      </w:r>
      <w:r w:rsidRPr="001F1100">
        <w:t>As part of these revisions to 31 CFR 1010.230, FinCEN intends to further assess PRA burden of these requirements</w:t>
      </w:r>
      <w:r>
        <w:t>.  FinCEN appreciates the feedback provided by this commenter and will take these recommendations into consideration as part of the future rulemaking.</w:t>
      </w:r>
    </w:p>
    <w:p w:rsidR="00600940" w14:paraId="1257CEEC" w14:textId="10DD7CD4">
      <w:pPr>
        <w:spacing w:before="283"/>
        <w:rPr>
          <w:szCs w:val="22"/>
        </w:rPr>
      </w:pPr>
      <w:r>
        <w:rPr>
          <w:szCs w:val="22"/>
        </w:rPr>
        <w:t xml:space="preserve">9. </w:t>
      </w:r>
      <w:r w:rsidR="001E6187">
        <w:rPr>
          <w:szCs w:val="22"/>
          <w:u w:val="single"/>
        </w:rPr>
        <w:t>Explanation of decision to provide any payment or gifts to respondents</w:t>
      </w:r>
      <w:r w:rsidR="00384B9B">
        <w:rPr>
          <w:szCs w:val="22"/>
          <w:u w:val="single"/>
        </w:rPr>
        <w:t>.</w:t>
      </w:r>
      <w:r>
        <w:rPr>
          <w:szCs w:val="22"/>
        </w:rPr>
        <w:t xml:space="preserve"> </w:t>
      </w:r>
    </w:p>
    <w:p w:rsidR="00600940" w14:paraId="4DA9F9B8" w14:textId="77777777">
      <w:pPr>
        <w:spacing w:before="283"/>
        <w:ind w:firstLine="720"/>
        <w:rPr>
          <w:szCs w:val="22"/>
        </w:rPr>
      </w:pPr>
      <w:r>
        <w:rPr>
          <w:szCs w:val="22"/>
        </w:rPr>
        <w:t xml:space="preserve">No payments or gifts were made to respondents. </w:t>
      </w:r>
    </w:p>
    <w:p w:rsidR="00600940" w14:paraId="0CDDD459" w14:textId="5C2D6676">
      <w:pPr>
        <w:pStyle w:val="BodyText"/>
        <w:rPr>
          <w:sz w:val="24"/>
        </w:rPr>
      </w:pPr>
      <w:r>
        <w:rPr>
          <w:sz w:val="24"/>
        </w:rPr>
        <w:t xml:space="preserve">10. </w:t>
      </w:r>
      <w:r>
        <w:rPr>
          <w:sz w:val="24"/>
          <w:u w:val="single"/>
        </w:rPr>
        <w:t xml:space="preserve">Assurance of </w:t>
      </w:r>
      <w:r w:rsidR="00176764">
        <w:rPr>
          <w:sz w:val="24"/>
          <w:u w:val="single"/>
        </w:rPr>
        <w:t>c</w:t>
      </w:r>
      <w:r>
        <w:rPr>
          <w:sz w:val="24"/>
          <w:u w:val="single"/>
        </w:rPr>
        <w:t xml:space="preserve">onfidentiality of </w:t>
      </w:r>
      <w:r w:rsidR="00176764">
        <w:rPr>
          <w:sz w:val="24"/>
          <w:u w:val="single"/>
        </w:rPr>
        <w:t>r</w:t>
      </w:r>
      <w:r>
        <w:rPr>
          <w:sz w:val="24"/>
          <w:u w:val="single"/>
        </w:rPr>
        <w:t>esponses.</w:t>
      </w:r>
      <w:r>
        <w:rPr>
          <w:sz w:val="24"/>
        </w:rPr>
        <w:t xml:space="preserve"> </w:t>
      </w:r>
    </w:p>
    <w:p w:rsidR="00600940" w14:paraId="35281F44" w14:textId="77777777">
      <w:pPr>
        <w:widowControl w:val="0"/>
        <w:autoSpaceDE w:val="0"/>
        <w:autoSpaceDN w:val="0"/>
        <w:adjustRightInd w:val="0"/>
        <w:spacing w:before="244" w:line="235" w:lineRule="exact"/>
        <w:ind w:firstLine="734"/>
        <w:rPr>
          <w:szCs w:val="22"/>
        </w:rPr>
      </w:pPr>
      <w:r>
        <w:rPr>
          <w:szCs w:val="22"/>
        </w:rPr>
        <w:t xml:space="preserve">Information collected under 31 U.S.C. 5318(h) may be made available to </w:t>
      </w:r>
      <w:r>
        <w:rPr>
          <w:szCs w:val="22"/>
        </w:rPr>
        <w:t>appropriate law enforcement agencies and supervisory agencies.</w:t>
      </w:r>
    </w:p>
    <w:p w:rsidR="00600940" w14:paraId="5F4451BD" w14:textId="7BC9EAC4">
      <w:pPr>
        <w:spacing w:before="264"/>
        <w:rPr>
          <w:szCs w:val="22"/>
        </w:rPr>
      </w:pPr>
      <w:r>
        <w:rPr>
          <w:szCs w:val="22"/>
        </w:rPr>
        <w:t xml:space="preserve">11. </w:t>
      </w:r>
      <w:r>
        <w:rPr>
          <w:szCs w:val="22"/>
          <w:u w:val="single"/>
        </w:rPr>
        <w:t xml:space="preserve">Justification of </w:t>
      </w:r>
      <w:r w:rsidR="00176764">
        <w:rPr>
          <w:szCs w:val="22"/>
          <w:u w:val="single"/>
        </w:rPr>
        <w:t>s</w:t>
      </w:r>
      <w:r>
        <w:rPr>
          <w:szCs w:val="22"/>
          <w:u w:val="single"/>
        </w:rPr>
        <w:t>ensitive</w:t>
      </w:r>
      <w:r w:rsidR="00176764">
        <w:rPr>
          <w:szCs w:val="22"/>
          <w:u w:val="single"/>
        </w:rPr>
        <w:t xml:space="preserve"> q</w:t>
      </w:r>
      <w:r>
        <w:rPr>
          <w:szCs w:val="22"/>
          <w:u w:val="single"/>
        </w:rPr>
        <w:t>uestions.</w:t>
      </w:r>
      <w:r>
        <w:rPr>
          <w:szCs w:val="22"/>
        </w:rPr>
        <w:t xml:space="preserve"> </w:t>
      </w:r>
    </w:p>
    <w:p w:rsidR="00663BD0" w:rsidP="00663BD0" w14:paraId="5B0097ED" w14:textId="3E27E453">
      <w:pPr>
        <w:spacing w:before="254"/>
        <w:ind w:firstLine="720"/>
      </w:pPr>
      <w:r w:rsidRPr="00537765">
        <w:t xml:space="preserve">There are no questions of a sensitive nature in the collection of information.  Any </w:t>
      </w:r>
      <w:r>
        <w:t>personally identifiable</w:t>
      </w:r>
      <w:r w:rsidRPr="00537765">
        <w:t xml:space="preserve"> information collected under the B</w:t>
      </w:r>
      <w:r w:rsidR="00C90B7A">
        <w:t>SA</w:t>
      </w:r>
      <w:r w:rsidRPr="00537765">
        <w:t xml:space="preserve"> is strictly controlled as outlined in FinCEN’s Systems of Records</w:t>
      </w:r>
      <w:r>
        <w:t xml:space="preserve"> </w:t>
      </w:r>
      <w:r w:rsidRPr="00537765">
        <w:t>Notice</w:t>
      </w:r>
      <w:hyperlink w:history="1"/>
      <w:r w:rsidRPr="008B26BD">
        <w:t>.</w:t>
      </w:r>
      <w:r>
        <w:rPr>
          <w:rStyle w:val="FootnoteReference"/>
        </w:rPr>
        <w:footnoteReference w:id="11"/>
      </w:r>
      <w:r>
        <w:t xml:space="preserve"> </w:t>
      </w:r>
    </w:p>
    <w:p w:rsidR="00600940" w14:paraId="40D137E3" w14:textId="55019056">
      <w:pPr>
        <w:spacing w:before="254"/>
        <w:rPr>
          <w:szCs w:val="22"/>
        </w:rPr>
      </w:pPr>
      <w:r>
        <w:rPr>
          <w:szCs w:val="22"/>
        </w:rPr>
        <w:t xml:space="preserve">12. </w:t>
      </w:r>
      <w:r>
        <w:rPr>
          <w:szCs w:val="22"/>
          <w:u w:val="single"/>
        </w:rPr>
        <w:t xml:space="preserve">Estimated </w:t>
      </w:r>
      <w:r w:rsidR="00176764">
        <w:rPr>
          <w:szCs w:val="22"/>
          <w:u w:val="single"/>
        </w:rPr>
        <w:t>burden of information collection</w:t>
      </w:r>
      <w:r>
        <w:rPr>
          <w:szCs w:val="22"/>
          <w:u w:val="single"/>
        </w:rPr>
        <w:t>.</w:t>
      </w:r>
      <w:r>
        <w:rPr>
          <w:szCs w:val="22"/>
        </w:rPr>
        <w:t xml:space="preserve"> </w:t>
      </w:r>
    </w:p>
    <w:p w:rsidR="00600940" w:rsidP="006C00EC" w14:paraId="3559E2AC" w14:textId="77777777">
      <w:pPr>
        <w:spacing w:before="254"/>
        <w:rPr>
          <w:szCs w:val="22"/>
        </w:rPr>
      </w:pPr>
      <w:r w:rsidRPr="006C00EC">
        <w:rPr>
          <w:szCs w:val="22"/>
          <w:u w:val="single"/>
        </w:rPr>
        <w:t>Frequency</w:t>
      </w:r>
      <w:r>
        <w:rPr>
          <w:szCs w:val="22"/>
        </w:rPr>
        <w:t xml:space="preserve">:  As required. </w:t>
      </w:r>
    </w:p>
    <w:p w:rsidR="00600940" w:rsidP="00131935" w14:paraId="5459A6D7" w14:textId="77777777">
      <w:pPr>
        <w:widowControl w:val="0"/>
        <w:autoSpaceDE w:val="0"/>
        <w:autoSpaceDN w:val="0"/>
        <w:adjustRightInd w:val="0"/>
        <w:spacing w:line="273" w:lineRule="exact"/>
        <w:ind w:left="720"/>
        <w:jc w:val="both"/>
        <w:rPr>
          <w:szCs w:val="22"/>
        </w:rPr>
      </w:pPr>
    </w:p>
    <w:p w:rsidR="00D12FE6" w:rsidP="00176764" w14:paraId="0E627574" w14:textId="4D12D4CA">
      <w:pPr>
        <w:widowControl w:val="0"/>
        <w:autoSpaceDE w:val="0"/>
        <w:autoSpaceDN w:val="0"/>
        <w:adjustRightInd w:val="0"/>
        <w:spacing w:line="273" w:lineRule="exact"/>
        <w:jc w:val="both"/>
        <w:rPr>
          <w:szCs w:val="22"/>
        </w:rPr>
      </w:pPr>
      <w:r w:rsidRPr="006C00EC">
        <w:rPr>
          <w:szCs w:val="22"/>
          <w:u w:val="single"/>
        </w:rPr>
        <w:t xml:space="preserve">Estimated </w:t>
      </w:r>
      <w:r w:rsidRPr="006C00EC" w:rsidR="00176764">
        <w:rPr>
          <w:szCs w:val="22"/>
          <w:u w:val="single"/>
        </w:rPr>
        <w:t>N</w:t>
      </w:r>
      <w:r w:rsidRPr="006C00EC">
        <w:rPr>
          <w:szCs w:val="22"/>
          <w:u w:val="single"/>
        </w:rPr>
        <w:t xml:space="preserve">umber of </w:t>
      </w:r>
      <w:r w:rsidRPr="006C00EC" w:rsidR="00176764">
        <w:rPr>
          <w:szCs w:val="22"/>
          <w:u w:val="single"/>
        </w:rPr>
        <w:t>R</w:t>
      </w:r>
      <w:r w:rsidRPr="006C00EC">
        <w:rPr>
          <w:szCs w:val="22"/>
          <w:u w:val="single"/>
        </w:rPr>
        <w:t>espondents</w:t>
      </w:r>
      <w:r>
        <w:rPr>
          <w:szCs w:val="22"/>
        </w:rPr>
        <w:t xml:space="preserve">:  </w:t>
      </w:r>
      <w:r w:rsidR="006C00EC">
        <w:rPr>
          <w:rFonts w:eastAsia="MS Mincho"/>
          <w:szCs w:val="20"/>
        </w:rPr>
        <w:t>15,221</w:t>
      </w:r>
      <w:r w:rsidRPr="004B6775" w:rsidR="00A22FD2">
        <w:rPr>
          <w:rFonts w:eastAsia="MS Mincho"/>
          <w:szCs w:val="20"/>
        </w:rPr>
        <w:t>.</w:t>
      </w:r>
      <w:r>
        <w:rPr>
          <w:szCs w:val="22"/>
        </w:rPr>
        <w:t xml:space="preserve"> </w:t>
      </w:r>
    </w:p>
    <w:p w:rsidR="006C00EC" w:rsidP="00176764" w14:paraId="6C225562" w14:textId="77777777">
      <w:pPr>
        <w:widowControl w:val="0"/>
        <w:autoSpaceDE w:val="0"/>
        <w:autoSpaceDN w:val="0"/>
        <w:adjustRightInd w:val="0"/>
        <w:spacing w:line="273" w:lineRule="exact"/>
        <w:jc w:val="both"/>
        <w:rPr>
          <w:szCs w:val="22"/>
        </w:rPr>
      </w:pPr>
    </w:p>
    <w:p w:rsidR="006C00EC" w:rsidRPr="00CD4AE1" w:rsidP="006C00EC" w14:paraId="33D9DA9A" w14:textId="77777777">
      <w:pPr>
        <w:jc w:val="center"/>
        <w:rPr>
          <w:rFonts w:eastAsia="Calibri"/>
          <w:b/>
        </w:rPr>
      </w:pPr>
      <w:r w:rsidRPr="00CD4AE1">
        <w:rPr>
          <w:rFonts w:eastAsia="Calibri"/>
          <w:b/>
        </w:rPr>
        <w:t xml:space="preserve">Respondent </w:t>
      </w:r>
      <w:r>
        <w:rPr>
          <w:rFonts w:eastAsia="Calibri"/>
          <w:b/>
        </w:rPr>
        <w:t xml:space="preserve">Covered </w:t>
      </w:r>
      <w:r w:rsidRPr="00CD4AE1">
        <w:rPr>
          <w:rFonts w:eastAsia="Calibri"/>
          <w:b/>
        </w:rPr>
        <w:t>Financial Institutions by Category</w:t>
      </w:r>
    </w:p>
    <w:p w:rsidR="006C00EC" w:rsidRPr="00CD4AE1" w:rsidP="006C00EC" w14:paraId="47A41F1C" w14:textId="77777777">
      <w:pPr>
        <w:jc w:val="center"/>
        <w:rPr>
          <w:rFonts w:eastAsia="Calibri"/>
          <w:bCs/>
        </w:rPr>
      </w:pPr>
    </w:p>
    <w:tbl>
      <w:tblPr>
        <w:tblW w:w="6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09"/>
        <w:gridCol w:w="1892"/>
      </w:tblGrid>
      <w:tr w14:paraId="763310B3" w14:textId="77777777" w:rsidTr="006C00EC">
        <w:tblPrEx>
          <w:tblW w:w="6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3"/>
          <w:tblHeader/>
          <w:jc w:val="center"/>
        </w:trPr>
        <w:tc>
          <w:tcPr>
            <w:tcW w:w="4309" w:type="dxa"/>
            <w:shd w:val="clear" w:color="auto" w:fill="E7E6E6"/>
          </w:tcPr>
          <w:p w:rsidR="006C00EC" w:rsidRPr="00CD4AE1" w:rsidP="00C53AED" w14:paraId="7E4A54DA" w14:textId="77777777">
            <w:pPr>
              <w:rPr>
                <w:rFonts w:eastAsia="Calibri"/>
                <w:b/>
              </w:rPr>
            </w:pPr>
            <w:r>
              <w:rPr>
                <w:rFonts w:eastAsia="Calibri"/>
                <w:b/>
              </w:rPr>
              <w:t xml:space="preserve"> Financial </w:t>
            </w:r>
            <w:r w:rsidRPr="00CD4AE1">
              <w:rPr>
                <w:rFonts w:eastAsia="Calibri"/>
                <w:b/>
              </w:rPr>
              <w:t>Institution</w:t>
            </w:r>
            <w:r>
              <w:rPr>
                <w:rFonts w:eastAsia="Calibri"/>
                <w:b/>
              </w:rPr>
              <w:t xml:space="preserve"> Type</w:t>
            </w:r>
          </w:p>
        </w:tc>
        <w:tc>
          <w:tcPr>
            <w:tcW w:w="1892" w:type="dxa"/>
            <w:shd w:val="clear" w:color="auto" w:fill="E7E6E6"/>
          </w:tcPr>
          <w:p w:rsidR="006C00EC" w:rsidRPr="00CD4AE1" w:rsidP="00C53AED" w14:paraId="04A62DAE" w14:textId="77777777">
            <w:pPr>
              <w:ind w:left="180"/>
              <w:rPr>
                <w:rFonts w:eastAsia="Calibri"/>
                <w:b/>
              </w:rPr>
            </w:pPr>
            <w:r>
              <w:rPr>
                <w:rFonts w:eastAsia="Calibri"/>
                <w:b/>
              </w:rPr>
              <w:t>Number of Entities</w:t>
            </w:r>
          </w:p>
        </w:tc>
      </w:tr>
      <w:tr w14:paraId="60657139" w14:textId="77777777" w:rsidTr="00C53AED">
        <w:tblPrEx>
          <w:tblW w:w="6201" w:type="dxa"/>
          <w:jc w:val="center"/>
          <w:tblLayout w:type="fixed"/>
          <w:tblCellMar>
            <w:left w:w="0" w:type="dxa"/>
            <w:right w:w="0" w:type="dxa"/>
          </w:tblCellMar>
          <w:tblLook w:val="01E0"/>
        </w:tblPrEx>
        <w:trPr>
          <w:trHeight w:val="440"/>
          <w:jc w:val="center"/>
        </w:trPr>
        <w:tc>
          <w:tcPr>
            <w:tcW w:w="4309" w:type="dxa"/>
          </w:tcPr>
          <w:p w:rsidR="006C00EC" w:rsidRPr="00CD4AE1" w:rsidP="00C53AED" w14:paraId="20148E7A" w14:textId="77777777">
            <w:pPr>
              <w:ind w:left="180"/>
              <w:rPr>
                <w:rFonts w:eastAsia="Calibri"/>
              </w:rPr>
            </w:pPr>
            <w:r w:rsidRPr="00CD4AE1">
              <w:rPr>
                <w:rFonts w:eastAsia="Calibri"/>
              </w:rPr>
              <w:t>Banks</w:t>
            </w:r>
          </w:p>
        </w:tc>
        <w:tc>
          <w:tcPr>
            <w:tcW w:w="1892" w:type="dxa"/>
          </w:tcPr>
          <w:p w:rsidR="006C00EC" w:rsidRPr="00CD4AE1" w:rsidP="00C53AED" w14:paraId="4FAAA414" w14:textId="77777777">
            <w:pPr>
              <w:ind w:left="180"/>
              <w:rPr>
                <w:rFonts w:eastAsia="Calibri"/>
              </w:rPr>
            </w:pPr>
            <w:r>
              <w:rPr>
                <w:rFonts w:eastAsia="Calibri"/>
              </w:rPr>
              <w:t>9,250</w:t>
            </w:r>
            <w:r>
              <w:rPr>
                <w:rStyle w:val="FootnoteReference"/>
                <w:rFonts w:eastAsia="Calibri"/>
              </w:rPr>
              <w:footnoteReference w:id="12"/>
            </w:r>
          </w:p>
        </w:tc>
      </w:tr>
      <w:tr w14:paraId="5C0BB047" w14:textId="77777777" w:rsidTr="00C53AED">
        <w:tblPrEx>
          <w:tblW w:w="6201" w:type="dxa"/>
          <w:jc w:val="center"/>
          <w:tblLayout w:type="fixed"/>
          <w:tblCellMar>
            <w:left w:w="0" w:type="dxa"/>
            <w:right w:w="0" w:type="dxa"/>
          </w:tblCellMar>
          <w:tblLook w:val="01E0"/>
        </w:tblPrEx>
        <w:trPr>
          <w:trHeight w:val="440"/>
          <w:jc w:val="center"/>
        </w:trPr>
        <w:tc>
          <w:tcPr>
            <w:tcW w:w="4309" w:type="dxa"/>
          </w:tcPr>
          <w:p w:rsidR="006C00EC" w:rsidRPr="00CD4AE1" w:rsidP="00C53AED" w14:paraId="2EB58F5E" w14:textId="77777777">
            <w:pPr>
              <w:ind w:left="180"/>
              <w:rPr>
                <w:rFonts w:eastAsia="Calibri"/>
              </w:rPr>
            </w:pPr>
            <w:r w:rsidRPr="00CD4AE1">
              <w:rPr>
                <w:rFonts w:eastAsia="Calibri"/>
              </w:rPr>
              <w:t>Brokers or dealers in securities</w:t>
            </w:r>
          </w:p>
        </w:tc>
        <w:tc>
          <w:tcPr>
            <w:tcW w:w="1892" w:type="dxa"/>
          </w:tcPr>
          <w:p w:rsidR="006C00EC" w:rsidRPr="00CD4AE1" w:rsidP="00C53AED" w14:paraId="0649E610" w14:textId="77777777">
            <w:pPr>
              <w:ind w:left="180"/>
              <w:rPr>
                <w:rFonts w:eastAsia="Calibri"/>
              </w:rPr>
            </w:pPr>
            <w:r w:rsidRPr="00CD4AE1">
              <w:rPr>
                <w:rFonts w:eastAsia="Calibri"/>
              </w:rPr>
              <w:t>3,</w:t>
            </w:r>
            <w:r>
              <w:rPr>
                <w:rFonts w:eastAsia="Calibri"/>
              </w:rPr>
              <w:t>477</w:t>
            </w:r>
            <w:r>
              <w:rPr>
                <w:rStyle w:val="FootnoteReference"/>
                <w:rFonts w:eastAsia="Calibri"/>
              </w:rPr>
              <w:footnoteReference w:id="13"/>
            </w:r>
          </w:p>
        </w:tc>
      </w:tr>
      <w:tr w14:paraId="22DCE861" w14:textId="77777777" w:rsidTr="00C53AED">
        <w:tblPrEx>
          <w:tblW w:w="6201" w:type="dxa"/>
          <w:jc w:val="center"/>
          <w:tblLayout w:type="fixed"/>
          <w:tblCellMar>
            <w:left w:w="0" w:type="dxa"/>
            <w:right w:w="0" w:type="dxa"/>
          </w:tblCellMar>
          <w:tblLook w:val="01E0"/>
        </w:tblPrEx>
        <w:trPr>
          <w:trHeight w:val="446"/>
          <w:jc w:val="center"/>
        </w:trPr>
        <w:tc>
          <w:tcPr>
            <w:tcW w:w="4309" w:type="dxa"/>
          </w:tcPr>
          <w:p w:rsidR="006C00EC" w:rsidRPr="00CD4AE1" w:rsidP="00C53AED" w14:paraId="47768409" w14:textId="77777777">
            <w:pPr>
              <w:ind w:left="180"/>
              <w:rPr>
                <w:rFonts w:eastAsia="Calibri"/>
              </w:rPr>
            </w:pPr>
            <w:r w:rsidRPr="00CD4AE1">
              <w:rPr>
                <w:rFonts w:eastAsia="Calibri"/>
              </w:rPr>
              <w:t>Mutual funds</w:t>
            </w:r>
          </w:p>
        </w:tc>
        <w:tc>
          <w:tcPr>
            <w:tcW w:w="1892" w:type="dxa"/>
          </w:tcPr>
          <w:p w:rsidR="006C00EC" w:rsidRPr="00CD4AE1" w:rsidP="00C53AED" w14:paraId="28B42ADB" w14:textId="77777777">
            <w:pPr>
              <w:ind w:left="180"/>
              <w:rPr>
                <w:rFonts w:eastAsia="Calibri"/>
              </w:rPr>
            </w:pPr>
            <w:r w:rsidRPr="00CD4AE1">
              <w:rPr>
                <w:rFonts w:eastAsia="Calibri"/>
              </w:rPr>
              <w:t>1</w:t>
            </w:r>
            <w:r>
              <w:rPr>
                <w:rFonts w:eastAsia="Calibri"/>
              </w:rPr>
              <w:t>,495</w:t>
            </w:r>
            <w:r>
              <w:rPr>
                <w:rStyle w:val="FootnoteReference"/>
                <w:rFonts w:eastAsia="Calibri"/>
              </w:rPr>
              <w:footnoteReference w:id="14"/>
            </w:r>
          </w:p>
        </w:tc>
      </w:tr>
      <w:tr w14:paraId="340E9102" w14:textId="77777777" w:rsidTr="00C53AED">
        <w:tblPrEx>
          <w:tblW w:w="6201" w:type="dxa"/>
          <w:jc w:val="center"/>
          <w:tblLayout w:type="fixed"/>
          <w:tblCellMar>
            <w:left w:w="0" w:type="dxa"/>
            <w:right w:w="0" w:type="dxa"/>
          </w:tblCellMar>
          <w:tblLook w:val="01E0"/>
        </w:tblPrEx>
        <w:trPr>
          <w:trHeight w:val="413"/>
          <w:jc w:val="center"/>
        </w:trPr>
        <w:tc>
          <w:tcPr>
            <w:tcW w:w="4309" w:type="dxa"/>
          </w:tcPr>
          <w:p w:rsidR="006C00EC" w:rsidRPr="00CD4AE1" w:rsidP="00C53AED" w14:paraId="0FCB9C65" w14:textId="77777777">
            <w:pPr>
              <w:ind w:left="180"/>
              <w:rPr>
                <w:rFonts w:eastAsia="Calibri"/>
              </w:rPr>
            </w:pPr>
            <w:r w:rsidRPr="00CD4AE1">
              <w:rPr>
                <w:rFonts w:eastAsia="Calibri"/>
              </w:rPr>
              <w:t>Futures commission merchants</w:t>
            </w:r>
          </w:p>
        </w:tc>
        <w:tc>
          <w:tcPr>
            <w:tcW w:w="1892" w:type="dxa"/>
          </w:tcPr>
          <w:p w:rsidR="006C00EC" w:rsidRPr="00CD4AE1" w:rsidP="00C53AED" w14:paraId="113B894A" w14:textId="77777777">
            <w:pPr>
              <w:ind w:left="180"/>
              <w:rPr>
                <w:rFonts w:eastAsia="Calibri"/>
              </w:rPr>
            </w:pPr>
            <w:r>
              <w:rPr>
                <w:rFonts w:eastAsia="Calibri"/>
              </w:rPr>
              <w:t>62</w:t>
            </w:r>
            <w:r>
              <w:rPr>
                <w:rStyle w:val="FootnoteReference"/>
                <w:rFonts w:eastAsia="Calibri"/>
              </w:rPr>
              <w:footnoteReference w:id="15"/>
            </w:r>
          </w:p>
        </w:tc>
      </w:tr>
      <w:tr w14:paraId="7BD8CCDB" w14:textId="77777777" w:rsidTr="00C53AED">
        <w:tblPrEx>
          <w:tblW w:w="6201" w:type="dxa"/>
          <w:jc w:val="center"/>
          <w:tblLayout w:type="fixed"/>
          <w:tblCellMar>
            <w:left w:w="0" w:type="dxa"/>
            <w:right w:w="0" w:type="dxa"/>
          </w:tblCellMar>
          <w:tblLook w:val="01E0"/>
        </w:tblPrEx>
        <w:trPr>
          <w:trHeight w:val="413"/>
          <w:jc w:val="center"/>
        </w:trPr>
        <w:tc>
          <w:tcPr>
            <w:tcW w:w="4309" w:type="dxa"/>
          </w:tcPr>
          <w:p w:rsidR="006C00EC" w:rsidRPr="00CD4AE1" w:rsidP="00C53AED" w14:paraId="2DDDCB40" w14:textId="77777777">
            <w:pPr>
              <w:ind w:left="180"/>
              <w:rPr>
                <w:rFonts w:eastAsia="Calibri"/>
              </w:rPr>
            </w:pPr>
            <w:r>
              <w:rPr>
                <w:rFonts w:eastAsia="Calibri"/>
              </w:rPr>
              <w:t>Introducing brokers in commodities</w:t>
            </w:r>
          </w:p>
        </w:tc>
        <w:tc>
          <w:tcPr>
            <w:tcW w:w="1892" w:type="dxa"/>
          </w:tcPr>
          <w:p w:rsidR="006C00EC" w:rsidRPr="00CD4AE1" w:rsidP="00C53AED" w14:paraId="30CB21B4" w14:textId="77777777">
            <w:pPr>
              <w:ind w:left="180"/>
              <w:rPr>
                <w:rFonts w:eastAsia="Calibri"/>
              </w:rPr>
            </w:pPr>
            <w:r>
              <w:rPr>
                <w:rFonts w:eastAsia="Calibri"/>
              </w:rPr>
              <w:t>937</w:t>
            </w:r>
            <w:r>
              <w:rPr>
                <w:rStyle w:val="FootnoteReference"/>
                <w:rFonts w:eastAsia="Calibri"/>
              </w:rPr>
              <w:footnoteReference w:id="16"/>
            </w:r>
          </w:p>
        </w:tc>
      </w:tr>
      <w:tr w14:paraId="74512B7F" w14:textId="77777777" w:rsidTr="00C53AED">
        <w:tblPrEx>
          <w:tblW w:w="6201" w:type="dxa"/>
          <w:jc w:val="center"/>
          <w:tblLayout w:type="fixed"/>
          <w:tblCellMar>
            <w:left w:w="0" w:type="dxa"/>
            <w:right w:w="0" w:type="dxa"/>
          </w:tblCellMar>
          <w:tblLook w:val="01E0"/>
        </w:tblPrEx>
        <w:trPr>
          <w:trHeight w:val="275"/>
          <w:jc w:val="center"/>
        </w:trPr>
        <w:tc>
          <w:tcPr>
            <w:tcW w:w="4309" w:type="dxa"/>
          </w:tcPr>
          <w:p w:rsidR="006C00EC" w:rsidRPr="00CD4AE1" w:rsidP="00C53AED" w14:paraId="4737DEED" w14:textId="77777777">
            <w:pPr>
              <w:ind w:left="180"/>
              <w:rPr>
                <w:rFonts w:eastAsia="Calibri"/>
                <w:b/>
              </w:rPr>
            </w:pPr>
            <w:r w:rsidRPr="00CD4AE1">
              <w:rPr>
                <w:rFonts w:eastAsia="Calibri"/>
                <w:b/>
              </w:rPr>
              <w:t>Total</w:t>
            </w:r>
          </w:p>
        </w:tc>
        <w:tc>
          <w:tcPr>
            <w:tcW w:w="1892" w:type="dxa"/>
          </w:tcPr>
          <w:p w:rsidR="006C00EC" w:rsidRPr="00CD4AE1" w:rsidP="00C53AED" w14:paraId="456FFD31" w14:textId="77777777">
            <w:pPr>
              <w:ind w:left="180"/>
              <w:rPr>
                <w:rFonts w:eastAsia="Calibri"/>
                <w:b/>
              </w:rPr>
            </w:pPr>
            <w:r w:rsidRPr="00CD4AE1">
              <w:rPr>
                <w:rFonts w:eastAsia="Calibri"/>
                <w:b/>
              </w:rPr>
              <w:t>15,</w:t>
            </w:r>
            <w:r>
              <w:rPr>
                <w:rFonts w:eastAsia="Calibri"/>
                <w:b/>
              </w:rPr>
              <w:t>221</w:t>
            </w:r>
          </w:p>
        </w:tc>
      </w:tr>
    </w:tbl>
    <w:p w:rsidR="006C00EC" w:rsidP="006C00EC" w14:paraId="3C9058DD" w14:textId="77777777">
      <w:pPr>
        <w:widowControl w:val="0"/>
        <w:autoSpaceDE w:val="0"/>
        <w:autoSpaceDN w:val="0"/>
        <w:adjustRightInd w:val="0"/>
        <w:spacing w:line="273" w:lineRule="exact"/>
        <w:jc w:val="both"/>
        <w:rPr>
          <w:szCs w:val="22"/>
        </w:rPr>
      </w:pPr>
    </w:p>
    <w:p w:rsidR="006C00EC" w:rsidRPr="00CD4AE1" w:rsidP="006C00EC" w14:paraId="7E2A1C67" w14:textId="77777777">
      <w:pPr>
        <w:spacing w:line="480" w:lineRule="auto"/>
        <w:rPr>
          <w:rFonts w:eastAsia="MS Mincho"/>
        </w:rPr>
      </w:pPr>
      <w:r>
        <w:rPr>
          <w:rFonts w:eastAsia="MS Mincho"/>
          <w:u w:val="single"/>
        </w:rPr>
        <w:t xml:space="preserve">Estimated Recordkeeping </w:t>
      </w:r>
      <w:r w:rsidRPr="00CD4AE1">
        <w:rPr>
          <w:rFonts w:eastAsia="MS Mincho"/>
          <w:u w:val="single"/>
        </w:rPr>
        <w:t>Burden</w:t>
      </w:r>
      <w:r>
        <w:rPr>
          <w:rFonts w:eastAsia="MS Mincho"/>
          <w:u w:val="single"/>
        </w:rPr>
        <w:t xml:space="preserve"> Per Response</w:t>
      </w:r>
      <w:r w:rsidRPr="00CD4AE1">
        <w:rPr>
          <w:rFonts w:eastAsia="MS Mincho"/>
        </w:rPr>
        <w:t xml:space="preserve">: </w:t>
      </w:r>
    </w:p>
    <w:p w:rsidR="006C00EC" w:rsidRPr="00CD4AE1" w:rsidP="006C00EC" w14:paraId="30909A7F" w14:textId="77777777">
      <w:pPr>
        <w:spacing w:line="480" w:lineRule="auto"/>
        <w:rPr>
          <w:rFonts w:eastAsia="MS Mincho"/>
        </w:rPr>
      </w:pPr>
      <w:r w:rsidRPr="00CD4AE1">
        <w:rPr>
          <w:rFonts w:eastAsia="MS Mincho"/>
        </w:rPr>
        <w:t>a. Update and maintain beneficial ownership identification procedures:  20 minutes.</w:t>
      </w:r>
      <w:r>
        <w:rPr>
          <w:rFonts w:eastAsia="MS Mincho"/>
          <w:vertAlign w:val="superscript"/>
        </w:rPr>
        <w:footnoteReference w:id="17"/>
      </w:r>
    </w:p>
    <w:p w:rsidR="006C00EC" w:rsidRPr="00CD4AE1" w:rsidP="006C00EC" w14:paraId="3683D660" w14:textId="77777777">
      <w:pPr>
        <w:spacing w:line="480" w:lineRule="auto"/>
        <w:rPr>
          <w:rFonts w:eastAsia="Calibri"/>
        </w:rPr>
      </w:pPr>
      <w:r w:rsidRPr="00CD4AE1">
        <w:rPr>
          <w:rFonts w:eastAsia="Calibri"/>
        </w:rPr>
        <w:t>b</w:t>
      </w:r>
      <w:r w:rsidRPr="00CD4AE1">
        <w:rPr>
          <w:rFonts w:eastAsia="MS Mincho"/>
        </w:rPr>
        <w:t xml:space="preserve">. </w:t>
      </w:r>
      <w:r w:rsidRPr="00CD4AE1">
        <w:rPr>
          <w:rFonts w:eastAsia="Calibri"/>
        </w:rPr>
        <w:t xml:space="preserve">Customer identification, verification, and </w:t>
      </w:r>
      <w:r w:rsidRPr="00CD4AE1">
        <w:rPr>
          <w:rFonts w:eastAsia="MS Mincho"/>
        </w:rPr>
        <w:t>review and recordkeeping of the beneficial ownership information:  80 minutes</w:t>
      </w:r>
      <w:r>
        <w:rPr>
          <w:rFonts w:eastAsia="MS Mincho"/>
        </w:rPr>
        <w:t>.</w:t>
      </w:r>
      <w:r w:rsidRPr="00CD4AE1">
        <w:rPr>
          <w:rFonts w:eastAsia="MS Mincho"/>
        </w:rPr>
        <w:t xml:space="preserve">  A range of 40 to 120 minutes per legal entity customer (an average of </w:t>
      </w:r>
      <w:r>
        <w:rPr>
          <w:rFonts w:eastAsia="MS Mincho"/>
        </w:rPr>
        <w:t>8</w:t>
      </w:r>
      <w:r w:rsidRPr="00CD4AE1">
        <w:rPr>
          <w:rFonts w:eastAsia="MS Mincho"/>
        </w:rPr>
        <w:t>0 minutes per legal entity customer).</w:t>
      </w:r>
      <w:r>
        <w:rPr>
          <w:rStyle w:val="FootnoteReference"/>
          <w:rFonts w:eastAsia="MS Mincho"/>
        </w:rPr>
        <w:footnoteReference w:id="18"/>
      </w:r>
      <w:r w:rsidRPr="00CD4AE1">
        <w:rPr>
          <w:rFonts w:eastAsia="MS Mincho"/>
        </w:rPr>
        <w:t xml:space="preserve">  </w:t>
      </w:r>
    </w:p>
    <w:p w:rsidR="00D12FE6" w:rsidRPr="006C00EC" w:rsidP="006C00EC" w14:paraId="32664281" w14:textId="614F173C">
      <w:pPr>
        <w:spacing w:line="480" w:lineRule="auto"/>
        <w:rPr>
          <w:rFonts w:eastAsia="MS Mincho"/>
          <w:u w:val="single"/>
        </w:rPr>
      </w:pPr>
      <w:r w:rsidRPr="006C00EC">
        <w:rPr>
          <w:szCs w:val="22"/>
          <w:u w:val="single"/>
        </w:rPr>
        <w:t xml:space="preserve">Estimated </w:t>
      </w:r>
      <w:r w:rsidRPr="006C00EC" w:rsidR="00176764">
        <w:rPr>
          <w:szCs w:val="22"/>
          <w:u w:val="single"/>
        </w:rPr>
        <w:t>Total A</w:t>
      </w:r>
      <w:r w:rsidRPr="006C00EC">
        <w:rPr>
          <w:szCs w:val="22"/>
          <w:u w:val="single"/>
        </w:rPr>
        <w:t xml:space="preserve">nnual </w:t>
      </w:r>
      <w:r w:rsidRPr="006C00EC" w:rsidR="00176764">
        <w:rPr>
          <w:szCs w:val="22"/>
          <w:u w:val="single"/>
        </w:rPr>
        <w:t>R</w:t>
      </w:r>
      <w:r w:rsidRPr="006C00EC">
        <w:rPr>
          <w:szCs w:val="22"/>
          <w:u w:val="single"/>
        </w:rPr>
        <w:t>esponses</w:t>
      </w:r>
      <w:r>
        <w:rPr>
          <w:szCs w:val="22"/>
        </w:rPr>
        <w:t xml:space="preserve">:  </w:t>
      </w:r>
      <w:r w:rsidR="006C00EC">
        <w:t>5,723,096</w:t>
      </w:r>
      <w:r w:rsidRPr="00CD4AE1" w:rsidR="006C00EC">
        <w:rPr>
          <w:rFonts w:eastAsia="MS Mincho"/>
        </w:rPr>
        <w:t>.</w:t>
      </w:r>
      <w:r>
        <w:rPr>
          <w:rFonts w:eastAsia="MS Mincho"/>
          <w:vertAlign w:val="superscript"/>
        </w:rPr>
        <w:footnoteReference w:id="19"/>
      </w:r>
    </w:p>
    <w:p w:rsidR="00D12FE6" w:rsidP="006C00EC" w14:paraId="18121586" w14:textId="1B02F513">
      <w:pPr>
        <w:widowControl w:val="0"/>
        <w:autoSpaceDE w:val="0"/>
        <w:autoSpaceDN w:val="0"/>
        <w:adjustRightInd w:val="0"/>
        <w:spacing w:line="268" w:lineRule="exact"/>
        <w:jc w:val="both"/>
        <w:rPr>
          <w:szCs w:val="22"/>
        </w:rPr>
      </w:pPr>
      <w:r w:rsidRPr="006C00EC">
        <w:rPr>
          <w:szCs w:val="22"/>
          <w:u w:val="single"/>
        </w:rPr>
        <w:t>Estimated</w:t>
      </w:r>
      <w:r w:rsidRPr="006C00EC" w:rsidR="00076D8B">
        <w:rPr>
          <w:szCs w:val="22"/>
          <w:u w:val="single"/>
        </w:rPr>
        <w:t xml:space="preserve"> </w:t>
      </w:r>
      <w:r w:rsidR="006C00EC">
        <w:rPr>
          <w:szCs w:val="22"/>
          <w:u w:val="single"/>
        </w:rPr>
        <w:t xml:space="preserve">Total </w:t>
      </w:r>
      <w:r w:rsidRPr="006C00EC" w:rsidR="00176764">
        <w:rPr>
          <w:szCs w:val="22"/>
          <w:u w:val="single"/>
        </w:rPr>
        <w:t>Recordkeeping Burden</w:t>
      </w:r>
      <w:r>
        <w:rPr>
          <w:szCs w:val="22"/>
        </w:rPr>
        <w:t>:</w:t>
      </w:r>
      <w:r w:rsidR="00804DD9">
        <w:rPr>
          <w:szCs w:val="22"/>
        </w:rPr>
        <w:t xml:space="preserve">  </w:t>
      </w:r>
      <w:r w:rsidRPr="00CD4AE1" w:rsidR="006C00EC">
        <w:rPr>
          <w:rFonts w:eastAsia="MS Mincho"/>
        </w:rPr>
        <w:t>7,</w:t>
      </w:r>
      <w:r w:rsidR="006C00EC">
        <w:rPr>
          <w:rFonts w:eastAsia="MS Mincho"/>
        </w:rPr>
        <w:t>615,574</w:t>
      </w:r>
      <w:r w:rsidRPr="00CD4AE1" w:rsidR="006C00EC">
        <w:rPr>
          <w:rFonts w:eastAsia="MS Mincho"/>
        </w:rPr>
        <w:t xml:space="preserve"> hours.</w:t>
      </w:r>
      <w:r>
        <w:rPr>
          <w:rFonts w:eastAsia="MS Mincho"/>
          <w:vertAlign w:val="superscript"/>
        </w:rPr>
        <w:footnoteReference w:id="20"/>
      </w:r>
    </w:p>
    <w:p w:rsidR="003925FB" w:rsidP="00131935" w14:paraId="08D0742C" w14:textId="77777777">
      <w:pPr>
        <w:widowControl w:val="0"/>
        <w:autoSpaceDE w:val="0"/>
        <w:autoSpaceDN w:val="0"/>
        <w:adjustRightInd w:val="0"/>
        <w:spacing w:line="268" w:lineRule="exact"/>
        <w:ind w:left="720"/>
        <w:jc w:val="both"/>
        <w:rPr>
          <w:szCs w:val="22"/>
        </w:rPr>
      </w:pPr>
    </w:p>
    <w:p w:rsidR="00600940" w:rsidP="003925FB" w14:paraId="40058231" w14:textId="0ABB8349">
      <w:pPr>
        <w:widowControl w:val="0"/>
        <w:autoSpaceDE w:val="0"/>
        <w:autoSpaceDN w:val="0"/>
        <w:adjustRightInd w:val="0"/>
        <w:spacing w:line="240" w:lineRule="exact"/>
        <w:jc w:val="both"/>
      </w:pPr>
      <w:r>
        <w:t xml:space="preserve">13. </w:t>
      </w:r>
      <w:r>
        <w:rPr>
          <w:u w:val="single"/>
        </w:rPr>
        <w:t xml:space="preserve">Estimated </w:t>
      </w:r>
      <w:r w:rsidR="00176764">
        <w:rPr>
          <w:u w:val="single"/>
        </w:rPr>
        <w:t>total annual cost burden of information collection.</w:t>
      </w:r>
      <w:r>
        <w:t xml:space="preserve"> </w:t>
      </w:r>
    </w:p>
    <w:p w:rsidR="00600940" w:rsidP="006C00EC" w14:paraId="2E607335" w14:textId="27DC3060">
      <w:pPr>
        <w:spacing w:before="268"/>
      </w:pPr>
      <w:r w:rsidRPr="006C00EC">
        <w:rPr>
          <w:u w:val="single"/>
        </w:rPr>
        <w:t>Estimated Total Annual Recordkeeping</w:t>
      </w:r>
      <w:r w:rsidRPr="006C00EC" w:rsidR="006C00EC">
        <w:rPr>
          <w:u w:val="single"/>
        </w:rPr>
        <w:t xml:space="preserve"> </w:t>
      </w:r>
      <w:r w:rsidRPr="006C00EC">
        <w:rPr>
          <w:u w:val="single"/>
        </w:rPr>
        <w:t>Cost:</w:t>
      </w:r>
      <w:r w:rsidRPr="006C00EC" w:rsidR="006C00EC">
        <w:rPr>
          <w:u w:val="single"/>
        </w:rPr>
        <w:t xml:space="preserve">  </w:t>
      </w:r>
      <w:r w:rsidRPr="006C00EC" w:rsidR="006C00EC">
        <w:t>372,782,347.30 (</w:t>
      </w:r>
      <w:r w:rsidRPr="006C00EC" w:rsidR="006C00EC">
        <w:rPr>
          <w:rFonts w:eastAsia="MS Mincho"/>
        </w:rPr>
        <w:t>7,615,574</w:t>
      </w:r>
      <w:r w:rsidRPr="006C00EC" w:rsidR="006C00EC">
        <w:t xml:space="preserve"> hours</w:t>
      </w:r>
      <w:r w:rsidRPr="00CD4AE1" w:rsidR="006C00EC">
        <w:t xml:space="preserve"> multiplied by $48.95).</w:t>
      </w:r>
      <w:r>
        <w:rPr>
          <w:rStyle w:val="FootnoteReference"/>
        </w:rPr>
        <w:footnoteReference w:id="21"/>
      </w:r>
    </w:p>
    <w:p w:rsidR="00600940" w14:paraId="45309730" w14:textId="6D1C0973">
      <w:pPr>
        <w:spacing w:before="278"/>
        <w:rPr>
          <w:szCs w:val="22"/>
        </w:rPr>
      </w:pPr>
      <w:r>
        <w:rPr>
          <w:szCs w:val="22"/>
        </w:rPr>
        <w:t xml:space="preserve">14. </w:t>
      </w:r>
      <w:r>
        <w:rPr>
          <w:szCs w:val="22"/>
          <w:u w:val="single"/>
        </w:rPr>
        <w:t xml:space="preserve">Estimated </w:t>
      </w:r>
      <w:r w:rsidR="00176764">
        <w:rPr>
          <w:szCs w:val="22"/>
          <w:u w:val="single"/>
        </w:rPr>
        <w:t>a</w:t>
      </w:r>
      <w:r>
        <w:rPr>
          <w:szCs w:val="22"/>
          <w:u w:val="single"/>
        </w:rPr>
        <w:t xml:space="preserve">nnual </w:t>
      </w:r>
      <w:r w:rsidR="00176764">
        <w:rPr>
          <w:szCs w:val="22"/>
          <w:u w:val="single"/>
        </w:rPr>
        <w:t>c</w:t>
      </w:r>
      <w:r>
        <w:rPr>
          <w:szCs w:val="22"/>
          <w:u w:val="single"/>
        </w:rPr>
        <w:t xml:space="preserve">ost to the Federal </w:t>
      </w:r>
      <w:r w:rsidR="00176764">
        <w:rPr>
          <w:szCs w:val="22"/>
          <w:u w:val="single"/>
        </w:rPr>
        <w:t>g</w:t>
      </w:r>
      <w:r>
        <w:rPr>
          <w:szCs w:val="22"/>
          <w:u w:val="single"/>
        </w:rPr>
        <w:t>overnment.</w:t>
      </w:r>
      <w:r>
        <w:rPr>
          <w:szCs w:val="22"/>
        </w:rPr>
        <w:t xml:space="preserve"> </w:t>
      </w:r>
    </w:p>
    <w:p w:rsidR="00F424DD" w:rsidP="00F424DD" w14:paraId="7424EB98" w14:textId="77777777">
      <w:pPr>
        <w:ind w:firstLine="720"/>
      </w:pPr>
    </w:p>
    <w:p w:rsidR="00F424DD" w:rsidP="00F424DD" w14:paraId="476F1A48" w14:textId="77777777">
      <w:pPr>
        <w:ind w:firstLine="720"/>
      </w:pPr>
      <w:r>
        <w:t>N</w:t>
      </w:r>
      <w:r w:rsidR="009363C2">
        <w:t>ot applicable.</w:t>
      </w:r>
    </w:p>
    <w:p w:rsidR="00F424DD" w:rsidP="00F424DD" w14:paraId="0C5023EF" w14:textId="77777777">
      <w:pPr>
        <w:ind w:firstLine="720"/>
      </w:pPr>
    </w:p>
    <w:p w:rsidR="00600940" w:rsidP="00F424DD" w14:paraId="797F5140" w14:textId="04B224DE">
      <w:pPr>
        <w:rPr>
          <w:szCs w:val="22"/>
        </w:rPr>
      </w:pPr>
      <w:r>
        <w:rPr>
          <w:szCs w:val="22"/>
        </w:rPr>
        <w:t xml:space="preserve">15. </w:t>
      </w:r>
      <w:r>
        <w:rPr>
          <w:szCs w:val="22"/>
          <w:u w:val="single"/>
        </w:rPr>
        <w:t xml:space="preserve">Reason for </w:t>
      </w:r>
      <w:r w:rsidR="00176764">
        <w:rPr>
          <w:szCs w:val="22"/>
          <w:u w:val="single"/>
        </w:rPr>
        <w:t>c</w:t>
      </w:r>
      <w:r>
        <w:rPr>
          <w:szCs w:val="22"/>
          <w:u w:val="single"/>
        </w:rPr>
        <w:t xml:space="preserve">hange in </w:t>
      </w:r>
      <w:r w:rsidR="00176764">
        <w:rPr>
          <w:szCs w:val="22"/>
          <w:u w:val="single"/>
        </w:rPr>
        <w:t>b</w:t>
      </w:r>
      <w:r>
        <w:rPr>
          <w:szCs w:val="22"/>
          <w:u w:val="single"/>
        </w:rPr>
        <w:t>urden.</w:t>
      </w:r>
      <w:r>
        <w:rPr>
          <w:szCs w:val="22"/>
        </w:rPr>
        <w:t xml:space="preserve"> </w:t>
      </w:r>
    </w:p>
    <w:p w:rsidR="00A65B99" w:rsidP="00F424DD" w14:paraId="245D04C1" w14:textId="77777777">
      <w:pPr>
        <w:pStyle w:val="FootnoteText"/>
        <w:rPr>
          <w:sz w:val="24"/>
          <w:szCs w:val="24"/>
        </w:rPr>
      </w:pPr>
    </w:p>
    <w:p w:rsidR="00A65B99" w:rsidRPr="00694ADC" w:rsidP="00694ADC" w14:paraId="1F8C275F" w14:textId="131D32B3">
      <w:pPr>
        <w:pStyle w:val="FootnoteText"/>
        <w:ind w:firstLine="720"/>
        <w:rPr>
          <w:sz w:val="24"/>
          <w:szCs w:val="24"/>
        </w:rPr>
      </w:pPr>
      <w:r>
        <w:rPr>
          <w:sz w:val="24"/>
          <w:szCs w:val="24"/>
        </w:rPr>
        <w:t xml:space="preserve">The estimated total annual burden hours in </w:t>
      </w:r>
      <w:r w:rsidR="00CD5FC1">
        <w:rPr>
          <w:sz w:val="24"/>
          <w:szCs w:val="24"/>
        </w:rPr>
        <w:t xml:space="preserve">this OMB control number were last revised when </w:t>
      </w:r>
      <w:r w:rsidR="005024D7">
        <w:rPr>
          <w:sz w:val="24"/>
          <w:szCs w:val="24"/>
        </w:rPr>
        <w:t xml:space="preserve">FinCEN </w:t>
      </w:r>
      <w:r w:rsidR="00115C25">
        <w:rPr>
          <w:sz w:val="24"/>
          <w:szCs w:val="24"/>
        </w:rPr>
        <w:t xml:space="preserve">issued a final rule </w:t>
      </w:r>
      <w:r w:rsidRPr="00195B4B" w:rsidR="00195B4B">
        <w:rPr>
          <w:sz w:val="24"/>
          <w:szCs w:val="24"/>
        </w:rPr>
        <w:t>in September 2020</w:t>
      </w:r>
      <w:r w:rsidR="00195B4B">
        <w:rPr>
          <w:sz w:val="24"/>
          <w:szCs w:val="24"/>
        </w:rPr>
        <w:t xml:space="preserve"> on </w:t>
      </w:r>
      <w:r w:rsidRPr="00714B88" w:rsidR="00714B88">
        <w:rPr>
          <w:sz w:val="24"/>
          <w:szCs w:val="24"/>
        </w:rPr>
        <w:t>anti-money laundering programs</w:t>
      </w:r>
      <w:r w:rsidR="00714B88">
        <w:rPr>
          <w:sz w:val="24"/>
          <w:szCs w:val="24"/>
        </w:rPr>
        <w:t xml:space="preserve"> </w:t>
      </w:r>
      <w:r w:rsidR="00195B4B">
        <w:rPr>
          <w:sz w:val="24"/>
          <w:szCs w:val="24"/>
        </w:rPr>
        <w:t xml:space="preserve">for </w:t>
      </w:r>
      <w:r w:rsidRPr="00115C25" w:rsidR="00115C25">
        <w:rPr>
          <w:sz w:val="24"/>
          <w:szCs w:val="24"/>
        </w:rPr>
        <w:t>banks that lack a Federal functional regulator</w:t>
      </w:r>
      <w:r w:rsidR="00CD5FC1">
        <w:rPr>
          <w:sz w:val="24"/>
          <w:szCs w:val="24"/>
        </w:rPr>
        <w:t>.</w:t>
      </w:r>
      <w:r w:rsidRPr="00CD5FC1" w:rsidR="00CD5FC1">
        <w:rPr>
          <w:rStyle w:val="FootnoteReference"/>
          <w:sz w:val="24"/>
          <w:szCs w:val="24"/>
        </w:rPr>
        <w:t xml:space="preserve"> </w:t>
      </w:r>
      <w:r>
        <w:rPr>
          <w:rStyle w:val="FootnoteReference"/>
          <w:sz w:val="24"/>
          <w:szCs w:val="24"/>
        </w:rPr>
        <w:footnoteReference w:id="22"/>
      </w:r>
      <w:r w:rsidR="00CD5FC1">
        <w:rPr>
          <w:sz w:val="24"/>
          <w:szCs w:val="24"/>
        </w:rPr>
        <w:t xml:space="preserve">  At that time</w:t>
      </w:r>
      <w:r w:rsidR="00FB1663">
        <w:rPr>
          <w:sz w:val="24"/>
          <w:szCs w:val="24"/>
        </w:rPr>
        <w:t>,</w:t>
      </w:r>
      <w:r w:rsidR="00CD5FC1">
        <w:rPr>
          <w:sz w:val="24"/>
          <w:szCs w:val="24"/>
        </w:rPr>
        <w:t xml:space="preserve"> the total annual burden hours </w:t>
      </w:r>
      <w:r w:rsidR="00FB1663">
        <w:rPr>
          <w:sz w:val="24"/>
          <w:szCs w:val="24"/>
        </w:rPr>
        <w:t>were</w:t>
      </w:r>
      <w:r>
        <w:rPr>
          <w:sz w:val="24"/>
          <w:szCs w:val="24"/>
        </w:rPr>
        <w:t xml:space="preserve"> </w:t>
      </w:r>
      <w:r w:rsidR="00CD5FC1">
        <w:rPr>
          <w:sz w:val="24"/>
          <w:szCs w:val="24"/>
        </w:rPr>
        <w:t xml:space="preserve">estimated at </w:t>
      </w:r>
      <w:r w:rsidR="005C6356">
        <w:rPr>
          <w:sz w:val="24"/>
          <w:szCs w:val="24"/>
        </w:rPr>
        <w:t>12,190,880</w:t>
      </w:r>
      <w:r>
        <w:rPr>
          <w:sz w:val="24"/>
          <w:szCs w:val="24"/>
        </w:rPr>
        <w:t xml:space="preserve"> hours</w:t>
      </w:r>
      <w:r w:rsidR="009445CA">
        <w:rPr>
          <w:sz w:val="24"/>
          <w:szCs w:val="24"/>
        </w:rPr>
        <w:t>.</w:t>
      </w:r>
      <w:r>
        <w:rPr>
          <w:sz w:val="24"/>
          <w:szCs w:val="24"/>
        </w:rPr>
        <w:t xml:space="preserve">  The estimated total annual burden hours</w:t>
      </w:r>
      <w:r w:rsidR="00255617">
        <w:rPr>
          <w:sz w:val="24"/>
          <w:szCs w:val="24"/>
        </w:rPr>
        <w:t xml:space="preserve"> </w:t>
      </w:r>
      <w:r w:rsidR="00152188">
        <w:rPr>
          <w:sz w:val="24"/>
          <w:szCs w:val="24"/>
        </w:rPr>
        <w:t>are</w:t>
      </w:r>
      <w:r w:rsidR="00255617">
        <w:rPr>
          <w:sz w:val="24"/>
          <w:szCs w:val="24"/>
        </w:rPr>
        <w:t xml:space="preserve"> </w:t>
      </w:r>
      <w:r w:rsidR="000B21F0">
        <w:rPr>
          <w:sz w:val="24"/>
          <w:szCs w:val="24"/>
        </w:rPr>
        <w:t>de</w:t>
      </w:r>
      <w:r w:rsidR="00255617">
        <w:rPr>
          <w:sz w:val="24"/>
          <w:szCs w:val="24"/>
        </w:rPr>
        <w:t>creasing</w:t>
      </w:r>
      <w:r>
        <w:rPr>
          <w:sz w:val="24"/>
          <w:szCs w:val="24"/>
        </w:rPr>
        <w:t xml:space="preserve"> to </w:t>
      </w:r>
      <w:r w:rsidR="000B21F0">
        <w:rPr>
          <w:rFonts w:eastAsia="MS Mincho"/>
          <w:sz w:val="24"/>
          <w:szCs w:val="24"/>
        </w:rPr>
        <w:t>7,615,574</w:t>
      </w:r>
      <w:r w:rsidR="001131F7">
        <w:rPr>
          <w:rFonts w:eastAsia="MS Mincho"/>
          <w:sz w:val="24"/>
          <w:szCs w:val="24"/>
        </w:rPr>
        <w:t xml:space="preserve"> hours</w:t>
      </w:r>
      <w:r>
        <w:rPr>
          <w:rFonts w:eastAsia="MS Mincho"/>
        </w:rPr>
        <w:t xml:space="preserve"> </w:t>
      </w:r>
      <w:r>
        <w:rPr>
          <w:rFonts w:eastAsia="MS Mincho"/>
          <w:sz w:val="24"/>
          <w:szCs w:val="24"/>
        </w:rPr>
        <w:t xml:space="preserve">in this </w:t>
      </w:r>
      <w:r w:rsidR="00606E29">
        <w:rPr>
          <w:rFonts w:eastAsia="MS Mincho"/>
          <w:sz w:val="24"/>
          <w:szCs w:val="24"/>
        </w:rPr>
        <w:t xml:space="preserve">renewal </w:t>
      </w:r>
      <w:r w:rsidRPr="00CC0D18" w:rsidR="00606E29">
        <w:rPr>
          <w:sz w:val="24"/>
          <w:szCs w:val="24"/>
        </w:rPr>
        <w:t>because</w:t>
      </w:r>
      <w:r w:rsidRPr="00CC0D18" w:rsidR="00CC0D18">
        <w:rPr>
          <w:sz w:val="24"/>
          <w:szCs w:val="24"/>
        </w:rPr>
        <w:t xml:space="preserve"> </w:t>
      </w:r>
      <w:r w:rsidR="00212C09">
        <w:rPr>
          <w:sz w:val="24"/>
          <w:szCs w:val="24"/>
        </w:rPr>
        <w:t xml:space="preserve">the estimated number of respondents decreased from </w:t>
      </w:r>
      <w:r w:rsidR="005C6356">
        <w:rPr>
          <w:sz w:val="24"/>
          <w:szCs w:val="24"/>
        </w:rPr>
        <w:t>24,182</w:t>
      </w:r>
      <w:r w:rsidR="00212C09">
        <w:rPr>
          <w:sz w:val="24"/>
          <w:szCs w:val="24"/>
        </w:rPr>
        <w:t xml:space="preserve"> covered financial institutions in 2020 to 15,221 covered financial institutions in 2024.  </w:t>
      </w:r>
      <w:r w:rsidR="00A1587E">
        <w:rPr>
          <w:sz w:val="24"/>
          <w:szCs w:val="24"/>
        </w:rPr>
        <w:t xml:space="preserve">The primary reason for the decrease in the number of covered financial institutions is that the SEC provided FinCEN more </w:t>
      </w:r>
      <w:r w:rsidR="00A52BEE">
        <w:rPr>
          <w:sz w:val="24"/>
          <w:szCs w:val="24"/>
        </w:rPr>
        <w:t xml:space="preserve">current </w:t>
      </w:r>
      <w:r w:rsidR="00A1587E">
        <w:rPr>
          <w:sz w:val="24"/>
          <w:szCs w:val="24"/>
        </w:rPr>
        <w:t xml:space="preserve">estimates of the number of mutual funds.  In 2020, FinCEN estimated that there were 7,956 mutual funds.  In 2024, the SEC reported that there are </w:t>
      </w:r>
      <w:r w:rsidR="00152188">
        <w:rPr>
          <w:sz w:val="24"/>
          <w:szCs w:val="24"/>
        </w:rPr>
        <w:t>1,495</w:t>
      </w:r>
      <w:r w:rsidR="00A1587E">
        <w:rPr>
          <w:sz w:val="24"/>
          <w:szCs w:val="24"/>
        </w:rPr>
        <w:t xml:space="preserve"> mutual funds.</w:t>
      </w:r>
      <w:r>
        <w:rPr>
          <w:rStyle w:val="FootnoteReference"/>
          <w:sz w:val="24"/>
          <w:szCs w:val="24"/>
        </w:rPr>
        <w:footnoteReference w:id="23"/>
      </w:r>
    </w:p>
    <w:p w:rsidR="00600940" w:rsidRPr="00467461" w:rsidP="00F424DD" w14:paraId="5ECF3762" w14:textId="77777777">
      <w:pPr>
        <w:pStyle w:val="FootnoteText"/>
        <w:rPr>
          <w:sz w:val="24"/>
          <w:szCs w:val="24"/>
        </w:rPr>
      </w:pPr>
    </w:p>
    <w:p w:rsidR="00600940" w:rsidP="00F424DD" w14:paraId="4E8C9C91" w14:textId="18B3225A">
      <w:pPr>
        <w:rPr>
          <w:szCs w:val="22"/>
        </w:rPr>
      </w:pPr>
      <w:r>
        <w:rPr>
          <w:szCs w:val="22"/>
        </w:rPr>
        <w:t xml:space="preserve">16. </w:t>
      </w:r>
      <w:r>
        <w:rPr>
          <w:szCs w:val="22"/>
          <w:u w:val="single"/>
        </w:rPr>
        <w:t xml:space="preserve">Plans for </w:t>
      </w:r>
      <w:r w:rsidR="00176764">
        <w:rPr>
          <w:szCs w:val="22"/>
          <w:u w:val="single"/>
        </w:rPr>
        <w:t>t</w:t>
      </w:r>
      <w:r>
        <w:rPr>
          <w:szCs w:val="22"/>
          <w:u w:val="single"/>
        </w:rPr>
        <w:t xml:space="preserve">abulation, </w:t>
      </w:r>
      <w:r w:rsidR="00176764">
        <w:rPr>
          <w:szCs w:val="22"/>
          <w:u w:val="single"/>
        </w:rPr>
        <w:t>s</w:t>
      </w:r>
      <w:r>
        <w:rPr>
          <w:szCs w:val="22"/>
          <w:u w:val="single"/>
        </w:rPr>
        <w:t xml:space="preserve">tatistical </w:t>
      </w:r>
      <w:r w:rsidR="00176764">
        <w:rPr>
          <w:szCs w:val="22"/>
          <w:u w:val="single"/>
        </w:rPr>
        <w:t>a</w:t>
      </w:r>
      <w:r>
        <w:rPr>
          <w:szCs w:val="22"/>
          <w:u w:val="single"/>
        </w:rPr>
        <w:t xml:space="preserve">nalysis, and </w:t>
      </w:r>
      <w:r w:rsidR="00176764">
        <w:rPr>
          <w:szCs w:val="22"/>
          <w:u w:val="single"/>
        </w:rPr>
        <w:t>p</w:t>
      </w:r>
      <w:r>
        <w:rPr>
          <w:szCs w:val="22"/>
          <w:u w:val="single"/>
        </w:rPr>
        <w:t>ublication.</w:t>
      </w:r>
      <w:r>
        <w:rPr>
          <w:szCs w:val="22"/>
        </w:rPr>
        <w:t xml:space="preserve"> </w:t>
      </w:r>
    </w:p>
    <w:p w:rsidR="00F424DD" w:rsidP="00F424DD" w14:paraId="035F4B15" w14:textId="77777777">
      <w:pPr>
        <w:ind w:firstLine="720"/>
      </w:pPr>
    </w:p>
    <w:p w:rsidR="00600940" w:rsidP="00F424DD" w14:paraId="79D02763" w14:textId="6BE8C40C">
      <w:pPr>
        <w:ind w:firstLine="720"/>
      </w:pPr>
      <w:r w:rsidRPr="00E506F4">
        <w:t xml:space="preserve">The </w:t>
      </w:r>
      <w:r w:rsidR="00176764">
        <w:t xml:space="preserve">collection of </w:t>
      </w:r>
      <w:r w:rsidRPr="00E506F4">
        <w:t>information will not be tabula</w:t>
      </w:r>
      <w:r w:rsidR="003D413A">
        <w:t>ted or compiled for publication.</w:t>
      </w:r>
    </w:p>
    <w:p w:rsidR="003D413A" w:rsidP="00F424DD" w14:paraId="4183FB19" w14:textId="77777777">
      <w:pPr>
        <w:ind w:firstLine="720"/>
        <w:rPr>
          <w:szCs w:val="22"/>
        </w:rPr>
      </w:pPr>
    </w:p>
    <w:p w:rsidR="00600940" w:rsidP="00F424DD" w14:paraId="7F44CAEA" w14:textId="16F403DB">
      <w:pPr>
        <w:rPr>
          <w:szCs w:val="22"/>
        </w:rPr>
      </w:pPr>
      <w:r>
        <w:rPr>
          <w:szCs w:val="22"/>
        </w:rPr>
        <w:t xml:space="preserve">17. </w:t>
      </w:r>
      <w:r>
        <w:rPr>
          <w:szCs w:val="22"/>
          <w:u w:val="single"/>
        </w:rPr>
        <w:t xml:space="preserve">Request </w:t>
      </w:r>
      <w:r w:rsidR="00176764">
        <w:rPr>
          <w:szCs w:val="22"/>
          <w:u w:val="single"/>
        </w:rPr>
        <w:t>n</w:t>
      </w:r>
      <w:r>
        <w:rPr>
          <w:szCs w:val="22"/>
          <w:u w:val="single"/>
        </w:rPr>
        <w:t xml:space="preserve">ot to </w:t>
      </w:r>
      <w:r w:rsidR="00176764">
        <w:rPr>
          <w:szCs w:val="22"/>
          <w:u w:val="single"/>
        </w:rPr>
        <w:t>d</w:t>
      </w:r>
      <w:r>
        <w:rPr>
          <w:szCs w:val="22"/>
          <w:u w:val="single"/>
        </w:rPr>
        <w:t xml:space="preserve">isplay </w:t>
      </w:r>
      <w:r w:rsidR="00176764">
        <w:rPr>
          <w:szCs w:val="22"/>
          <w:u w:val="single"/>
        </w:rPr>
        <w:t>e</w:t>
      </w:r>
      <w:r>
        <w:rPr>
          <w:szCs w:val="22"/>
          <w:u w:val="single"/>
        </w:rPr>
        <w:t xml:space="preserve">xpiration </w:t>
      </w:r>
      <w:r w:rsidR="00176764">
        <w:rPr>
          <w:szCs w:val="22"/>
          <w:u w:val="single"/>
        </w:rPr>
        <w:t>d</w:t>
      </w:r>
      <w:r>
        <w:rPr>
          <w:szCs w:val="22"/>
          <w:u w:val="single"/>
        </w:rPr>
        <w:t xml:space="preserve">ate of OMB </w:t>
      </w:r>
      <w:r w:rsidR="00176764">
        <w:rPr>
          <w:szCs w:val="22"/>
          <w:u w:val="single"/>
        </w:rPr>
        <w:t>c</w:t>
      </w:r>
      <w:r>
        <w:rPr>
          <w:szCs w:val="22"/>
          <w:u w:val="single"/>
        </w:rPr>
        <w:t xml:space="preserve">ontrol </w:t>
      </w:r>
      <w:r w:rsidR="00176764">
        <w:rPr>
          <w:szCs w:val="22"/>
          <w:u w:val="single"/>
        </w:rPr>
        <w:t>n</w:t>
      </w:r>
      <w:r>
        <w:rPr>
          <w:szCs w:val="22"/>
          <w:u w:val="single"/>
        </w:rPr>
        <w:t>umber.</w:t>
      </w:r>
      <w:r>
        <w:rPr>
          <w:szCs w:val="22"/>
        </w:rPr>
        <w:t xml:space="preserve"> </w:t>
      </w:r>
    </w:p>
    <w:p w:rsidR="00F424DD" w:rsidP="00F424DD" w14:paraId="0D29753D" w14:textId="77777777">
      <w:pPr>
        <w:ind w:firstLine="720"/>
        <w:rPr>
          <w:szCs w:val="22"/>
        </w:rPr>
      </w:pPr>
    </w:p>
    <w:p w:rsidR="00600940" w:rsidRPr="00B5206D" w:rsidP="00B5206D" w14:paraId="0A834CF3" w14:textId="268F4E04">
      <w:pPr>
        <w:ind w:firstLine="720"/>
      </w:pPr>
      <w:r>
        <w:rPr>
          <w:szCs w:val="22"/>
        </w:rPr>
        <w:t xml:space="preserve">FinCEN requests that it not be required to display the expiration date so that the regulations will not have to be amended for the new expiration date every three years.  </w:t>
      </w:r>
      <w:r w:rsidRPr="001F7618" w:rsidR="00B5206D">
        <w:t xml:space="preserve">This request will not affect the normal </w:t>
      </w:r>
      <w:r w:rsidR="00B5206D">
        <w:t>three</w:t>
      </w:r>
      <w:r w:rsidRPr="001F7618" w:rsidR="00B5206D">
        <w:t>-year PRA renewal process.</w:t>
      </w:r>
    </w:p>
    <w:p w:rsidR="003D413A" w:rsidP="00F424DD" w14:paraId="6A2BCB0F" w14:textId="77777777">
      <w:pPr>
        <w:ind w:firstLine="720"/>
        <w:rPr>
          <w:szCs w:val="22"/>
        </w:rPr>
      </w:pPr>
    </w:p>
    <w:p w:rsidR="00600940" w:rsidP="00F424DD" w14:paraId="2D19F4EA" w14:textId="0D80FAA0">
      <w:pPr>
        <w:rPr>
          <w:szCs w:val="22"/>
        </w:rPr>
      </w:pPr>
      <w:r>
        <w:rPr>
          <w:szCs w:val="22"/>
        </w:rPr>
        <w:t xml:space="preserve">18. </w:t>
      </w:r>
      <w:r>
        <w:rPr>
          <w:szCs w:val="22"/>
          <w:u w:val="single"/>
        </w:rPr>
        <w:t>Exceptions</w:t>
      </w:r>
      <w:r w:rsidR="00B5206D">
        <w:rPr>
          <w:szCs w:val="22"/>
          <w:u w:val="single"/>
        </w:rPr>
        <w:t xml:space="preserve"> to the certain statement</w:t>
      </w:r>
      <w:r>
        <w:rPr>
          <w:szCs w:val="22"/>
          <w:u w:val="single"/>
        </w:rPr>
        <w:t>.</w:t>
      </w:r>
      <w:r>
        <w:rPr>
          <w:szCs w:val="22"/>
        </w:rPr>
        <w:t xml:space="preserve"> </w:t>
      </w:r>
    </w:p>
    <w:p w:rsidR="00600940" w:rsidP="00F424DD" w14:paraId="57D56F27" w14:textId="77777777">
      <w:pPr>
        <w:rPr>
          <w:szCs w:val="22"/>
        </w:rPr>
      </w:pPr>
    </w:p>
    <w:p w:rsidR="00600940" w:rsidP="00F424DD" w14:paraId="32160336" w14:textId="77777777">
      <w:pPr>
        <w:ind w:firstLine="720"/>
      </w:pPr>
      <w:r>
        <w:rPr>
          <w:szCs w:val="22"/>
        </w:rPr>
        <w:t>There are no exceptions to the certification statement</w:t>
      </w:r>
      <w:r w:rsidR="007B5A2F">
        <w:rPr>
          <w:szCs w:val="22"/>
        </w:rPr>
        <w:t>.</w:t>
      </w:r>
    </w:p>
    <w:p w:rsidR="00600940" w:rsidP="00F424DD" w14:paraId="1185F281" w14:textId="77777777">
      <w:pPr>
        <w:widowControl w:val="0"/>
        <w:autoSpaceDE w:val="0"/>
        <w:autoSpaceDN w:val="0"/>
        <w:adjustRightInd w:val="0"/>
        <w:ind w:right="220"/>
        <w:jc w:val="both"/>
      </w:pPr>
    </w:p>
    <w:p w:rsidR="00600940" w:rsidP="00F424DD" w14:paraId="5AB50811" w14:textId="77777777">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rsidR="00600940" w14:paraId="6E035FC5" w14:textId="77777777"/>
    <w:sectPr>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elior">
    <w:altName w:val="Yu Gothic"/>
    <w:panose1 w:val="00000000000000000000"/>
    <w:charset w:val="80"/>
    <w:family w:val="roman"/>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8843624"/>
      <w:docPartObj>
        <w:docPartGallery w:val="Page Numbers (Bottom of Page)"/>
        <w:docPartUnique/>
      </w:docPartObj>
    </w:sdtPr>
    <w:sdtEndPr>
      <w:rPr>
        <w:noProof/>
      </w:rPr>
    </w:sdtEndPr>
    <w:sdtContent>
      <w:p w:rsidR="00236D3F" w14:paraId="3625C71B" w14:textId="0CFBA9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73CD4" w14:paraId="63A27A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097B" w14:paraId="4DB47E68" w14:textId="77777777">
      <w:r>
        <w:separator/>
      </w:r>
    </w:p>
  </w:footnote>
  <w:footnote w:type="continuationSeparator" w:id="1">
    <w:p w:rsidR="00E0097B" w14:paraId="7422B5BF" w14:textId="77777777">
      <w:r>
        <w:continuationSeparator/>
      </w:r>
    </w:p>
  </w:footnote>
  <w:footnote w:type="continuationNotice" w:id="2">
    <w:p w:rsidR="00E0097B" w14:paraId="017DEA04" w14:textId="77777777"/>
  </w:footnote>
  <w:footnote w:id="3">
    <w:p w:rsidR="009A056C" w:rsidRPr="001827C0" w:rsidP="009A056C" w14:paraId="79DF825B" w14:textId="77777777">
      <w:pPr>
        <w:pStyle w:val="FootnoteText"/>
      </w:pPr>
      <w:r w:rsidRPr="001827C0">
        <w:rPr>
          <w:rStyle w:val="FootnoteReference"/>
        </w:rPr>
        <w:footnoteRef/>
      </w:r>
      <w:r w:rsidRPr="001827C0">
        <w:t xml:space="preserve"> USA PATRIOT Act, Pub. L. 107–56.</w:t>
      </w:r>
    </w:p>
  </w:footnote>
  <w:footnote w:id="4">
    <w:p w:rsidR="009A056C" w:rsidRPr="001827C0" w:rsidP="009A056C" w14:paraId="0E98D8D8" w14:textId="77777777">
      <w:pPr>
        <w:pStyle w:val="FootnoteText"/>
      </w:pPr>
      <w:r w:rsidRPr="001827C0">
        <w:rPr>
          <w:rStyle w:val="FootnoteReference"/>
        </w:rPr>
        <w:footnoteRef/>
      </w:r>
      <w:r w:rsidRPr="001827C0">
        <w:t xml:space="preserve"> The AML Act was enacted as Division F, sections 6001-6511, of the William M. (Mac) Thornberry National Defense Authorization Act for Fiscal Year 2021, Pub. L. 116-283, 134 Stat. 3388 (NDAA).</w:t>
      </w:r>
    </w:p>
  </w:footnote>
  <w:footnote w:id="5">
    <w:p w:rsidR="009A056C" w:rsidRPr="001827C0" w:rsidP="009A056C" w14:paraId="18C38CA5" w14:textId="77777777">
      <w:pPr>
        <w:pStyle w:val="FootnoteText"/>
      </w:pPr>
      <w:r w:rsidRPr="001827C0">
        <w:rPr>
          <w:rStyle w:val="FootnoteReference"/>
        </w:rPr>
        <w:footnoteRef/>
      </w:r>
      <w:r w:rsidRPr="00F5371D">
        <w:t xml:space="preserve"> </w:t>
      </w:r>
      <w:r w:rsidRPr="001827C0">
        <w:t xml:space="preserve">Section 358 of the USA PATRIOT Act expanded the purpose of the BSA by including a reference to reports and records “that have a high degree of usefulness in intelligence or counterintelligence activities to protect against international terrorism.”  </w:t>
      </w:r>
      <w:r w:rsidRPr="001827C0">
        <w:rPr>
          <w:i/>
          <w:iCs/>
        </w:rPr>
        <w:t>See</w:t>
      </w:r>
      <w:r w:rsidRPr="001827C0">
        <w:t xml:space="preserve"> 12 U.S.C. 1829b(a).  Section 6101 of the AML Act further expanded the purpose of the BSA to cover such matters as preventing money laundering, tracking illicit funds, assessing risk, and establishing appropriate frameworks for information sharing.  </w:t>
      </w:r>
      <w:r w:rsidRPr="001827C0">
        <w:rPr>
          <w:i/>
          <w:iCs/>
        </w:rPr>
        <w:t>See</w:t>
      </w:r>
      <w:r w:rsidRPr="001827C0">
        <w:t xml:space="preserve"> 31 U.S.C. 5311.</w:t>
      </w:r>
    </w:p>
  </w:footnote>
  <w:footnote w:id="6">
    <w:p w:rsidR="009A056C" w:rsidRPr="00750696" w:rsidP="009A056C" w14:paraId="20F755EF" w14:textId="77777777">
      <w:pPr>
        <w:rPr>
          <w:sz w:val="20"/>
          <w:szCs w:val="20"/>
        </w:rPr>
      </w:pPr>
      <w:r w:rsidRPr="00750696">
        <w:rPr>
          <w:rStyle w:val="FootnoteReference"/>
          <w:sz w:val="20"/>
          <w:szCs w:val="20"/>
        </w:rPr>
        <w:footnoteRef/>
      </w:r>
      <w:r w:rsidRPr="00750696">
        <w:rPr>
          <w:sz w:val="20"/>
          <w:szCs w:val="20"/>
        </w:rPr>
        <w:t xml:space="preserve"> Treasury Order 180-01 (Jan. 14, 2020).</w:t>
      </w:r>
    </w:p>
  </w:footnote>
  <w:footnote w:id="7">
    <w:p w:rsidR="009A056C" w:rsidP="009A056C" w14:paraId="5A72F3BC" w14:textId="77777777">
      <w:pPr>
        <w:pStyle w:val="FootnoteText"/>
      </w:pPr>
      <w:r>
        <w:rPr>
          <w:rStyle w:val="FootnoteReference"/>
        </w:rPr>
        <w:footnoteRef/>
      </w:r>
      <w:r>
        <w:t xml:space="preserve"> Covered financial institutions include certain </w:t>
      </w:r>
      <w:r w:rsidRPr="00A81F6C">
        <w:t>banks</w:t>
      </w:r>
      <w:r>
        <w:t>,</w:t>
      </w:r>
      <w:r w:rsidRPr="00A81F6C">
        <w:t xml:space="preserve"> brokers or dealers in securities</w:t>
      </w:r>
      <w:r>
        <w:t>,</w:t>
      </w:r>
      <w:r w:rsidRPr="00A81F6C">
        <w:t xml:space="preserve"> mutual funds</w:t>
      </w:r>
      <w:r>
        <w:t>,</w:t>
      </w:r>
      <w:r w:rsidRPr="00A81F6C">
        <w:t xml:space="preserve"> futures commission merchants</w:t>
      </w:r>
      <w:r>
        <w:t>,</w:t>
      </w:r>
      <w:r w:rsidRPr="00A81F6C">
        <w:t xml:space="preserve"> and introducing brokers in commodities</w:t>
      </w:r>
      <w:r>
        <w:t xml:space="preserve">.  </w:t>
      </w:r>
      <w:r w:rsidRPr="000210AB">
        <w:rPr>
          <w:i/>
        </w:rPr>
        <w:t>See</w:t>
      </w:r>
      <w:r>
        <w:t xml:space="preserve"> 31 CFR 1010.230(f), 1010.605(e)(1).</w:t>
      </w:r>
    </w:p>
  </w:footnote>
  <w:footnote w:id="8">
    <w:p w:rsidR="00A742A2" w:rsidP="00A742A2" w14:paraId="60FD7CB5" w14:textId="77777777">
      <w:pPr>
        <w:pStyle w:val="FootnoteText"/>
      </w:pPr>
      <w:r>
        <w:rPr>
          <w:rStyle w:val="FootnoteReference"/>
        </w:rPr>
        <w:footnoteRef/>
      </w:r>
      <w:r>
        <w:t xml:space="preserve"> </w:t>
      </w:r>
      <w:r w:rsidRPr="002248FD">
        <w:t xml:space="preserve">The CTA is Title LXIV of the </w:t>
      </w:r>
      <w:r>
        <w:t>NDAA</w:t>
      </w:r>
      <w:r w:rsidRPr="002248FD">
        <w:t>.</w:t>
      </w:r>
    </w:p>
  </w:footnote>
  <w:footnote w:id="9">
    <w:p w:rsidR="008D1A63" w:rsidP="008D1A63" w14:paraId="4EDE1D87" w14:textId="77777777">
      <w:pPr>
        <w:pStyle w:val="FootnoteText"/>
      </w:pPr>
      <w:r>
        <w:rPr>
          <w:rStyle w:val="FootnoteReference"/>
        </w:rPr>
        <w:footnoteRef/>
      </w:r>
      <w:r>
        <w:t xml:space="preserve"> </w:t>
      </w:r>
      <w:r w:rsidRPr="00561A0A">
        <w:rPr>
          <w:i/>
        </w:rPr>
        <w:t>See</w:t>
      </w:r>
      <w:r>
        <w:t xml:space="preserve"> 81 FR 29398, May 11, 2016.</w:t>
      </w:r>
    </w:p>
  </w:footnote>
  <w:footnote w:id="10">
    <w:p w:rsidR="001E6187" w14:paraId="4682F077" w14:textId="4D138D7A">
      <w:pPr>
        <w:pStyle w:val="FootnoteText"/>
      </w:pPr>
      <w:r>
        <w:rPr>
          <w:rStyle w:val="FootnoteReference"/>
        </w:rPr>
        <w:footnoteRef/>
      </w:r>
      <w:r>
        <w:t xml:space="preserve"> </w:t>
      </w:r>
      <w:r w:rsidRPr="006C00EC">
        <w:rPr>
          <w:i/>
          <w:iCs/>
        </w:rPr>
        <w:t xml:space="preserve">See </w:t>
      </w:r>
      <w:r>
        <w:t xml:space="preserve">FinCEN, </w:t>
      </w:r>
      <w:r w:rsidRPr="006C00EC">
        <w:rPr>
          <w:i/>
          <w:iCs/>
        </w:rPr>
        <w:t>Agency Information Collection Activities; Proposed Renewal; Comment Request: Renewal Without Change of the Beneficial Ownership Requirements for Legal Entity Customers</w:t>
      </w:r>
      <w:r>
        <w:t xml:space="preserve">, </w:t>
      </w:r>
      <w:hyperlink r:id="rId1" w:history="1">
        <w:r>
          <w:rPr>
            <w:rStyle w:val="Hyperlink"/>
          </w:rPr>
          <w:t>89 FR 14148</w:t>
        </w:r>
      </w:hyperlink>
      <w:r>
        <w:t xml:space="preserve"> (Feb. 26, 2024).</w:t>
      </w:r>
    </w:p>
  </w:footnote>
  <w:footnote w:id="11">
    <w:p w:rsidR="00C90B7A" w:rsidP="00C90B7A" w14:paraId="076406AA" w14:textId="49A526E5">
      <w:pPr>
        <w:pStyle w:val="HTMLPreformatted"/>
        <w:shd w:val="clear" w:color="auto" w:fill="FFFFFF"/>
      </w:pPr>
      <w:r>
        <w:rPr>
          <w:rStyle w:val="FootnoteReference"/>
        </w:rPr>
        <w:footnoteRef/>
      </w:r>
      <w:r w:rsidR="00152188">
        <w:t xml:space="preserve"> </w:t>
      </w:r>
      <w:r w:rsidRPr="00F5371D">
        <w:rPr>
          <w:rFonts w:ascii="Times New Roman" w:eastAsia="Courier New" w:hAnsi="Times New Roman"/>
          <w:i/>
          <w:lang w:val="x-none"/>
        </w:rPr>
        <w:t>See</w:t>
      </w:r>
      <w:r w:rsidRPr="001F7618">
        <w:rPr>
          <w:rFonts w:ascii="Times New Roman" w:eastAsia="Courier New" w:hAnsi="Times New Roman"/>
          <w:lang w:eastAsia="x-none"/>
        </w:rPr>
        <w:t xml:space="preserve"> </w:t>
      </w:r>
      <w:r w:rsidRPr="001F7618">
        <w:rPr>
          <w:rFonts w:ascii="Times New Roman" w:eastAsia="Courier New" w:hAnsi="Times New Roman"/>
          <w:color w:val="000000"/>
          <w:lang w:val="x-none" w:eastAsia="x-none"/>
        </w:rPr>
        <w:t>FinCEN</w:t>
      </w:r>
      <w:r>
        <w:rPr>
          <w:rFonts w:ascii="Times New Roman" w:eastAsia="Courier New" w:hAnsi="Times New Roman"/>
          <w:color w:val="000000"/>
          <w:lang w:eastAsia="x-none"/>
        </w:rPr>
        <w:t xml:space="preserve">, </w:t>
      </w:r>
      <w:r>
        <w:rPr>
          <w:rFonts w:ascii="Times New Roman" w:eastAsia="Courier New" w:hAnsi="Times New Roman"/>
          <w:i/>
          <w:iCs/>
          <w:color w:val="000000"/>
          <w:lang w:eastAsia="x-none"/>
        </w:rPr>
        <w:t>Privacy Act of 1974, Systems</w:t>
      </w:r>
      <w:r w:rsidRPr="00F5371D">
        <w:rPr>
          <w:rFonts w:ascii="Times New Roman" w:eastAsia="Courier New" w:hAnsi="Times New Roman"/>
          <w:i/>
          <w:color w:val="000000"/>
        </w:rPr>
        <w:t xml:space="preserve"> of Records Notice</w:t>
      </w:r>
      <w:r>
        <w:rPr>
          <w:rFonts w:ascii="Times New Roman" w:eastAsia="Courier New" w:hAnsi="Times New Roman"/>
          <w:color w:val="000000"/>
          <w:lang w:eastAsia="x-none"/>
        </w:rPr>
        <w:t>,</w:t>
      </w:r>
      <w:r>
        <w:rPr>
          <w:rFonts w:ascii="Times New Roman" w:eastAsia="Courier New" w:hAnsi="Times New Roman"/>
          <w:lang w:eastAsia="x-none"/>
        </w:rPr>
        <w:t xml:space="preserve"> </w:t>
      </w:r>
      <w:hyperlink r:id="rId2" w:history="1">
        <w:r>
          <w:rPr>
            <w:rFonts w:ascii="Times New Roman" w:eastAsia="Courier New" w:hAnsi="Times New Roman"/>
            <w:color w:val="0000FF"/>
            <w:u w:val="single"/>
            <w:lang w:val="x-none" w:eastAsia="x-none"/>
          </w:rPr>
          <w:t>79 FR 20969</w:t>
        </w:r>
      </w:hyperlink>
      <w:r w:rsidRPr="009C64C0">
        <w:rPr>
          <w:rFonts w:ascii="Times New Roman" w:eastAsia="Courier New" w:hAnsi="Times New Roman"/>
          <w:color w:val="0000FF"/>
          <w:lang w:eastAsia="x-none"/>
        </w:rPr>
        <w:t xml:space="preserve"> </w:t>
      </w:r>
      <w:r w:rsidRPr="009C64C0">
        <w:rPr>
          <w:rFonts w:ascii="Times New Roman" w:eastAsia="Courier New" w:hAnsi="Times New Roman"/>
          <w:lang w:eastAsia="x-none"/>
        </w:rPr>
        <w:t>(Apr. 14, 2014).</w:t>
      </w:r>
    </w:p>
  </w:footnote>
  <w:footnote w:id="12">
    <w:p w:rsidR="006C00EC" w:rsidRPr="009F5E02" w:rsidP="006C00EC" w14:paraId="68FE9A26" w14:textId="77777777">
      <w:pPr>
        <w:pStyle w:val="FootnoteText"/>
      </w:pPr>
      <w:r w:rsidRPr="009F5E02">
        <w:rPr>
          <w:rStyle w:val="FootnoteReference"/>
        </w:rPr>
        <w:footnoteRef/>
      </w:r>
      <w:r w:rsidRPr="009F5E02">
        <w:t xml:space="preserve"> </w:t>
      </w:r>
      <w:r w:rsidRPr="006C00EC">
        <w:rPr>
          <w:color w:val="000000"/>
        </w:rPr>
        <w:t xml:space="preserve">Bank data is as of December 14, 2023, from Federal Deposit Insurance Corporation (FDIC) </w:t>
      </w:r>
      <w:r w:rsidRPr="006C00EC">
        <w:rPr>
          <w:color w:val="000000"/>
        </w:rPr>
        <w:t>BankFind</w:t>
      </w:r>
      <w:r w:rsidRPr="006C00EC">
        <w:rPr>
          <w:color w:val="000000"/>
        </w:rPr>
        <w:t xml:space="preserve">.  </w:t>
      </w:r>
      <w:r w:rsidRPr="006C00EC">
        <w:rPr>
          <w:i/>
          <w:iCs/>
          <w:color w:val="000000"/>
        </w:rPr>
        <w:t>See</w:t>
      </w:r>
      <w:r w:rsidRPr="006C00EC">
        <w:rPr>
          <w:color w:val="000000"/>
        </w:rPr>
        <w:t xml:space="preserve"> FDIC, </w:t>
      </w:r>
      <w:r w:rsidRPr="006C00EC">
        <w:rPr>
          <w:color w:val="000000"/>
        </w:rPr>
        <w:t>BankFind</w:t>
      </w:r>
      <w:r w:rsidRPr="006C00EC">
        <w:rPr>
          <w:color w:val="000000"/>
        </w:rPr>
        <w:t xml:space="preserve">, </w:t>
      </w:r>
      <w:r w:rsidRPr="006C00EC">
        <w:rPr>
          <w:i/>
          <w:iCs/>
          <w:color w:val="000000"/>
        </w:rPr>
        <w:t>available at</w:t>
      </w:r>
      <w:r w:rsidRPr="006C00EC">
        <w:rPr>
          <w:color w:val="000000"/>
        </w:rPr>
        <w:t xml:space="preserve"> </w:t>
      </w:r>
      <w:hyperlink r:id="rId3" w:history="1">
        <w:r w:rsidRPr="008118A0">
          <w:rPr>
            <w:rStyle w:val="Hyperlink"/>
          </w:rPr>
          <w:t>https://banks.data.fdic.gov/bankfind-suite/bankfind</w:t>
        </w:r>
      </w:hyperlink>
      <w:r w:rsidRPr="006C00EC">
        <w:rPr>
          <w:color w:val="000000"/>
        </w:rPr>
        <w:t xml:space="preserve">.  Credit union data is as of September 30, 2023, from the National Credit Union Administration (NCUA) Quarterly Data Summary Reports.  </w:t>
      </w:r>
      <w:r w:rsidRPr="006C00EC">
        <w:rPr>
          <w:i/>
          <w:iCs/>
          <w:color w:val="000000"/>
        </w:rPr>
        <w:t>See</w:t>
      </w:r>
      <w:r w:rsidRPr="006C00EC">
        <w:rPr>
          <w:color w:val="000000"/>
        </w:rPr>
        <w:t xml:space="preserve"> NCUA, </w:t>
      </w:r>
      <w:r w:rsidRPr="006C00EC">
        <w:rPr>
          <w:i/>
          <w:iCs/>
          <w:color w:val="000000"/>
        </w:rPr>
        <w:t>Quarterly Data Summary Reports</w:t>
      </w:r>
      <w:r w:rsidRPr="006C00EC">
        <w:rPr>
          <w:color w:val="000000"/>
        </w:rPr>
        <w:t xml:space="preserve">, </w:t>
      </w:r>
      <w:r w:rsidRPr="006C00EC">
        <w:rPr>
          <w:i/>
          <w:iCs/>
          <w:color w:val="000000"/>
        </w:rPr>
        <w:t>available at</w:t>
      </w:r>
      <w:r w:rsidRPr="006C00EC">
        <w:rPr>
          <w:color w:val="000000"/>
        </w:rPr>
        <w:t xml:space="preserve"> </w:t>
      </w:r>
      <w:hyperlink r:id="rId4" w:history="1">
        <w:r w:rsidRPr="008C248E">
          <w:rPr>
            <w:rStyle w:val="Hyperlink"/>
          </w:rPr>
          <w:t>https://ncua.gov/analysis/credit-union-corporate-call-report-data/quarterly-data-summary-reports</w:t>
        </w:r>
      </w:hyperlink>
      <w:r w:rsidRPr="006C00EC">
        <w:rPr>
          <w:color w:val="000000"/>
        </w:rPr>
        <w:t>.</w:t>
      </w:r>
    </w:p>
  </w:footnote>
  <w:footnote w:id="13">
    <w:p w:rsidR="006C00EC" w:rsidRPr="009F5E02" w:rsidP="006C00EC" w14:paraId="0A6C9D1E" w14:textId="77777777">
      <w:pPr>
        <w:pStyle w:val="FootnoteText"/>
      </w:pPr>
      <w:r w:rsidRPr="009F5E02">
        <w:rPr>
          <w:rStyle w:val="FootnoteReference"/>
        </w:rPr>
        <w:footnoteRef/>
      </w:r>
      <w:r w:rsidRPr="009F5E02">
        <w:t xml:space="preserve"> </w:t>
      </w:r>
      <w:r w:rsidRPr="009F5E02">
        <w:rPr>
          <w:color w:val="000000"/>
        </w:rPr>
        <w:t>According to the Securities and Exchange Commission (SEC), there are 3,477 broker-dealers in securities as of December 2023</w:t>
      </w:r>
      <w:r>
        <w:rPr>
          <w:color w:val="000000"/>
        </w:rPr>
        <w:t xml:space="preserve">.  </w:t>
      </w:r>
      <w:r>
        <w:rPr>
          <w:i/>
          <w:iCs/>
          <w:color w:val="000000"/>
        </w:rPr>
        <w:t>See</w:t>
      </w:r>
      <w:r>
        <w:rPr>
          <w:color w:val="000000"/>
        </w:rPr>
        <w:t xml:space="preserve"> SEC, Data, </w:t>
      </w:r>
      <w:r w:rsidRPr="0007661E">
        <w:rPr>
          <w:i/>
          <w:iCs/>
          <w:color w:val="000000"/>
        </w:rPr>
        <w:t>Company Information About Active Broker-Dealers</w:t>
      </w:r>
      <w:r>
        <w:rPr>
          <w:color w:val="000000"/>
        </w:rPr>
        <w:t>,</w:t>
      </w:r>
      <w:r w:rsidRPr="009F5E02">
        <w:rPr>
          <w:color w:val="000000"/>
        </w:rPr>
        <w:t xml:space="preserve"> </w:t>
      </w:r>
      <w:r>
        <w:rPr>
          <w:i/>
          <w:iCs/>
          <w:color w:val="000000"/>
        </w:rPr>
        <w:t xml:space="preserve">available at </w:t>
      </w:r>
      <w:hyperlink r:id="rId5" w:history="1">
        <w:r w:rsidRPr="008118A0">
          <w:rPr>
            <w:rStyle w:val="Hyperlink"/>
          </w:rPr>
          <w:t>https://www.sec.gov/help/foiadocsbdfoia</w:t>
        </w:r>
      </w:hyperlink>
      <w:r w:rsidRPr="009F5E02">
        <w:rPr>
          <w:color w:val="000000"/>
        </w:rPr>
        <w:t>.</w:t>
      </w:r>
    </w:p>
  </w:footnote>
  <w:footnote w:id="14">
    <w:p w:rsidR="006C00EC" w:rsidP="006C00EC" w14:paraId="03D43E4D" w14:textId="77777777">
      <w:pPr>
        <w:pStyle w:val="FootnoteText"/>
      </w:pPr>
      <w:r>
        <w:rPr>
          <w:rStyle w:val="FootnoteReference"/>
        </w:rPr>
        <w:footnoteRef/>
      </w:r>
      <w:r>
        <w:t xml:space="preserve"> </w:t>
      </w:r>
      <w:r w:rsidRPr="009F5E02">
        <w:rPr>
          <w:color w:val="000000"/>
        </w:rPr>
        <w:t xml:space="preserve">According to the SEC, as of the third quarter of 2023, there are 1,495 open-end registered investment companies that report on Form N-CEN. </w:t>
      </w:r>
      <w:r>
        <w:rPr>
          <w:color w:val="000000"/>
        </w:rPr>
        <w:t xml:space="preserve"> SEC, Data, </w:t>
      </w:r>
      <w:r w:rsidRPr="0007661E">
        <w:rPr>
          <w:i/>
          <w:iCs/>
          <w:color w:val="000000"/>
        </w:rPr>
        <w:t>Form N-CEN Data Sets</w:t>
      </w:r>
      <w:r>
        <w:rPr>
          <w:color w:val="000000"/>
        </w:rPr>
        <w:t xml:space="preserve">, </w:t>
      </w:r>
      <w:r>
        <w:rPr>
          <w:i/>
          <w:iCs/>
          <w:color w:val="000000"/>
        </w:rPr>
        <w:t xml:space="preserve">available at </w:t>
      </w:r>
      <w:hyperlink r:id="rId6" w:history="1">
        <w:r w:rsidRPr="009F5E02">
          <w:rPr>
            <w:color w:val="0000FF"/>
            <w:u w:val="single"/>
          </w:rPr>
          <w:t>https://www.sec.gov/dera/data/form-ncen-data-sets</w:t>
        </w:r>
      </w:hyperlink>
      <w:r w:rsidRPr="009F5E02">
        <w:rPr>
          <w:color w:val="000000"/>
        </w:rPr>
        <w:t>.</w:t>
      </w:r>
    </w:p>
  </w:footnote>
  <w:footnote w:id="15">
    <w:p w:rsidR="006C00EC" w:rsidP="006C00EC" w14:paraId="0066BE82" w14:textId="77777777">
      <w:pPr>
        <w:pStyle w:val="FootnoteText"/>
      </w:pPr>
      <w:r>
        <w:rPr>
          <w:rStyle w:val="FootnoteReference"/>
        </w:rPr>
        <w:footnoteRef/>
      </w:r>
      <w:r>
        <w:t xml:space="preserve"> </w:t>
      </w:r>
      <w:r w:rsidRPr="009F5E02">
        <w:rPr>
          <w:color w:val="000000"/>
        </w:rPr>
        <w:t xml:space="preserve">According to the Commodity Futures Trading Commission (CFTC), there are 62 futures commission merchants as of October 31, 2023.  </w:t>
      </w:r>
      <w:r w:rsidRPr="0007661E">
        <w:rPr>
          <w:i/>
          <w:iCs/>
          <w:color w:val="000000"/>
        </w:rPr>
        <w:t>See</w:t>
      </w:r>
      <w:r w:rsidRPr="009F5E02">
        <w:rPr>
          <w:color w:val="000000"/>
        </w:rPr>
        <w:t xml:space="preserve"> </w:t>
      </w:r>
      <w:r>
        <w:rPr>
          <w:color w:val="000000"/>
        </w:rPr>
        <w:t xml:space="preserve">CFTC, </w:t>
      </w:r>
      <w:r w:rsidRPr="005B7DFE">
        <w:rPr>
          <w:i/>
          <w:iCs/>
          <w:color w:val="000000"/>
        </w:rPr>
        <w:t>Financial Data for FCMs</w:t>
      </w:r>
      <w:r w:rsidRPr="009F5E02">
        <w:rPr>
          <w:color w:val="000000"/>
        </w:rPr>
        <w:t xml:space="preserve">, </w:t>
      </w:r>
      <w:r w:rsidRPr="0007661E">
        <w:rPr>
          <w:i/>
          <w:iCs/>
          <w:color w:val="000000"/>
        </w:rPr>
        <w:t>available at</w:t>
      </w:r>
      <w:r w:rsidRPr="009F5E02">
        <w:rPr>
          <w:i/>
          <w:iCs/>
          <w:color w:val="000000"/>
        </w:rPr>
        <w:t xml:space="preserve"> </w:t>
      </w:r>
      <w:hyperlink r:id="rId7" w:history="1">
        <w:r w:rsidRPr="009F5E02">
          <w:rPr>
            <w:color w:val="0000FF"/>
            <w:u w:val="single"/>
          </w:rPr>
          <w:t>https://www.cftc.gov/MarketReports/financialfcmdata/index.htm</w:t>
        </w:r>
      </w:hyperlink>
      <w:r w:rsidRPr="009F5E02">
        <w:rPr>
          <w:color w:val="000000"/>
        </w:rPr>
        <w:t xml:space="preserve">.  </w:t>
      </w:r>
    </w:p>
  </w:footnote>
  <w:footnote w:id="16">
    <w:p w:rsidR="006C00EC" w:rsidP="006C00EC" w14:paraId="00A72CFD" w14:textId="77777777">
      <w:pPr>
        <w:pStyle w:val="FootnoteText"/>
      </w:pPr>
      <w:r>
        <w:rPr>
          <w:rStyle w:val="FootnoteReference"/>
        </w:rPr>
        <w:footnoteRef/>
      </w:r>
      <w:r>
        <w:t xml:space="preserve"> </w:t>
      </w:r>
      <w:r w:rsidRPr="000D2855">
        <w:rPr>
          <w:color w:val="000000"/>
        </w:rPr>
        <w:t xml:space="preserve">According to </w:t>
      </w:r>
      <w:r>
        <w:rPr>
          <w:color w:val="000000"/>
        </w:rPr>
        <w:t>National Futures Association</w:t>
      </w:r>
      <w:r w:rsidRPr="000D2855">
        <w:rPr>
          <w:color w:val="000000"/>
        </w:rPr>
        <w:t>, there are 9</w:t>
      </w:r>
      <w:r>
        <w:rPr>
          <w:color w:val="000000"/>
        </w:rPr>
        <w:t>37</w:t>
      </w:r>
      <w:r w:rsidRPr="000D2855">
        <w:rPr>
          <w:color w:val="000000"/>
        </w:rPr>
        <w:t xml:space="preserve"> introducing brokers in commodities as of </w:t>
      </w:r>
      <w:r>
        <w:rPr>
          <w:color w:val="000000"/>
        </w:rPr>
        <w:t xml:space="preserve">November </w:t>
      </w:r>
      <w:r w:rsidRPr="000D2855">
        <w:rPr>
          <w:color w:val="000000"/>
        </w:rPr>
        <w:t>30, 2023.</w:t>
      </w:r>
    </w:p>
  </w:footnote>
  <w:footnote w:id="17">
    <w:p w:rsidR="006C00EC" w:rsidRPr="004B6775" w:rsidP="006C00EC" w14:paraId="7AC3EB5A" w14:textId="77777777">
      <w:pPr>
        <w:pStyle w:val="FootnoteText"/>
      </w:pPr>
      <w:r w:rsidRPr="004B6775">
        <w:rPr>
          <w:rStyle w:val="FootnoteReference"/>
        </w:rPr>
        <w:footnoteRef/>
      </w:r>
      <w:r w:rsidRPr="004B6775">
        <w:t xml:space="preserve"> </w:t>
      </w:r>
      <w:r w:rsidRPr="00CD4AE1">
        <w:rPr>
          <w:i/>
          <w:iCs/>
        </w:rPr>
        <w:t>See</w:t>
      </w:r>
      <w:r w:rsidRPr="006E1EB2">
        <w:t xml:space="preserve"> FinCEN, </w:t>
      </w:r>
      <w:r w:rsidRPr="006E1EB2">
        <w:rPr>
          <w:i/>
          <w:iCs/>
        </w:rPr>
        <w:t>Customer Due Diligence Requirements for Financial Institutions Final Rule</w:t>
      </w:r>
      <w:r w:rsidRPr="006E1EB2">
        <w:t>,</w:t>
      </w:r>
      <w:r w:rsidRPr="006E1EB2">
        <w:rPr>
          <w:i/>
          <w:iCs/>
        </w:rPr>
        <w:t xml:space="preserve"> </w:t>
      </w:r>
      <w:hyperlink r:id="rId8" w:history="1">
        <w:r w:rsidRPr="006E1EB2">
          <w:rPr>
            <w:rStyle w:val="Hyperlink"/>
          </w:rPr>
          <w:t>81 FR 29398</w:t>
        </w:r>
      </w:hyperlink>
      <w:r w:rsidRPr="006E1EB2">
        <w:t xml:space="preserve"> (May 11, 2016).  </w:t>
      </w:r>
      <w:r>
        <w:t>The final rule recognized a</w:t>
      </w:r>
      <w:r w:rsidRPr="004B6775">
        <w:t xml:space="preserve"> burden of </w:t>
      </w:r>
      <w:r>
        <w:t>56</w:t>
      </w:r>
      <w:r w:rsidRPr="004B6775">
        <w:t xml:space="preserve"> hours to</w:t>
      </w:r>
      <w:r>
        <w:t xml:space="preserve"> develop the initial procedures (40 hours for small entities).  </w:t>
      </w:r>
      <w:r w:rsidRPr="004B6775">
        <w:t xml:space="preserve">Once </w:t>
      </w:r>
      <w:r>
        <w:t xml:space="preserve">procedures are </w:t>
      </w:r>
      <w:r w:rsidRPr="004B6775">
        <w:t xml:space="preserve">developed, an annual burden of </w:t>
      </w:r>
      <w:r>
        <w:t xml:space="preserve">20 </w:t>
      </w:r>
      <w:r w:rsidRPr="004B6775">
        <w:t xml:space="preserve">minutes is recognized for </w:t>
      </w:r>
      <w:r>
        <w:t xml:space="preserve">revisions to and </w:t>
      </w:r>
      <w:r w:rsidRPr="004B6775">
        <w:t>maintenance</w:t>
      </w:r>
      <w:r>
        <w:t xml:space="preserve"> of such procedures</w:t>
      </w:r>
      <w:r w:rsidRPr="004B6775">
        <w:t>.</w:t>
      </w:r>
      <w:r>
        <w:t xml:space="preserve">  Covered financial institutions were required to comply with this rule by May 11, 2018, so no burden hours are included in this analysis for the initial development of procedure.  </w:t>
      </w:r>
    </w:p>
  </w:footnote>
  <w:footnote w:id="18">
    <w:p w:rsidR="006C00EC" w:rsidRPr="00B67ACA" w:rsidP="006C00EC" w14:paraId="4928CAAA" w14:textId="77777777">
      <w:pPr>
        <w:pStyle w:val="FootnoteText"/>
      </w:pPr>
      <w:r>
        <w:rPr>
          <w:rStyle w:val="FootnoteReference"/>
        </w:rPr>
        <w:footnoteRef/>
      </w:r>
      <w:r>
        <w:t xml:space="preserve"> </w:t>
      </w:r>
      <w:r w:rsidRPr="0007661E">
        <w:rPr>
          <w:i/>
          <w:iCs/>
        </w:rPr>
        <w:t>See</w:t>
      </w:r>
      <w:r>
        <w:t xml:space="preserve"> FinCEN, </w:t>
      </w:r>
      <w:r>
        <w:rPr>
          <w:i/>
          <w:iCs/>
        </w:rPr>
        <w:t>Agency Information Collection Activities; Proposed Renewal; Comment Request; Renewal Without Change of the Beneficial Ownership Requirements for Legal Entity Customers</w:t>
      </w:r>
      <w:r>
        <w:t xml:space="preserve">, </w:t>
      </w:r>
      <w:hyperlink r:id="rId9" w:history="1">
        <w:r>
          <w:rPr>
            <w:rStyle w:val="Hyperlink"/>
          </w:rPr>
          <w:t>84 FR 72137</w:t>
        </w:r>
      </w:hyperlink>
      <w:r>
        <w:t xml:space="preserve"> (Dec. 30, 2019).  On December 30, 2019, FinCEN published a notice to renew the Beneficial Ownership Requirements for Legal Entity Customers (the 2019 Notice).  In response to the 2019 Notice, a public policy, research and advocacy group, whose membership includes a broad range of U.S. and U.S.-based banks, provided a comment noting that the estimate for customer identification, verification, and review and recordkeeping of beneficial ownership information should be increased to a range of 40 to 120 minutes.  Because of its broad membership of banks impacted by the regulations, FinCEN chose to take the average of the range of 40 to 120 minutes to estimate a new burden of 80 minutes per new account opened by a legal entity customer.  When the OMB control number was renewed in 2020, that 80 minutes estimate was incorporated.  For the rationale for the increase in the burden estimate to 80 minutes per new account opened by a legal entity customer,</w:t>
      </w:r>
      <w:r w:rsidRPr="00B67ACA">
        <w:rPr>
          <w:i/>
          <w:iCs/>
        </w:rPr>
        <w:t xml:space="preserve"> </w:t>
      </w:r>
      <w:r>
        <w:rPr>
          <w:i/>
          <w:iCs/>
        </w:rPr>
        <w:t>s</w:t>
      </w:r>
      <w:r w:rsidRPr="00B67ACA">
        <w:rPr>
          <w:i/>
          <w:iCs/>
        </w:rPr>
        <w:t xml:space="preserve">ee </w:t>
      </w:r>
      <w:r>
        <w:t xml:space="preserve">Office of Management and Budget, </w:t>
      </w:r>
      <w:r w:rsidRPr="0007661E">
        <w:rPr>
          <w:i/>
          <w:iCs/>
        </w:rPr>
        <w:t>Supporting Statement for OMB Control Number 1506-0070</w:t>
      </w:r>
      <w:r>
        <w:t xml:space="preserve">, </w:t>
      </w:r>
      <w:r>
        <w:rPr>
          <w:i/>
          <w:iCs/>
        </w:rPr>
        <w:t>available at</w:t>
      </w:r>
      <w:r>
        <w:t xml:space="preserve"> </w:t>
      </w:r>
      <w:hyperlink r:id="rId10" w:history="1">
        <w:r w:rsidRPr="002A2F5A">
          <w:rPr>
            <w:rStyle w:val="Hyperlink"/>
            <w:i/>
            <w:iCs/>
          </w:rPr>
          <w:t>https://www.reginfo.gov/public/do/PRAViewDocument?ref_nbr=202003-1506-001</w:t>
        </w:r>
      </w:hyperlink>
      <w:r>
        <w:t>.</w:t>
      </w:r>
    </w:p>
  </w:footnote>
  <w:footnote w:id="19">
    <w:p w:rsidR="006C00EC" w:rsidRPr="004B6775" w:rsidP="006C00EC" w14:paraId="4C984689" w14:textId="77777777">
      <w:pPr>
        <w:pStyle w:val="FootnoteText"/>
      </w:pPr>
      <w:r w:rsidRPr="006E1EB2">
        <w:rPr>
          <w:rStyle w:val="FootnoteReference"/>
        </w:rPr>
        <w:footnoteRef/>
      </w:r>
      <w:r w:rsidRPr="006E1EB2">
        <w:t xml:space="preserve"> </w:t>
      </w:r>
      <w:r w:rsidRPr="00CD4AE1">
        <w:rPr>
          <w:i/>
          <w:iCs/>
        </w:rPr>
        <w:t>See</w:t>
      </w:r>
      <w:r w:rsidRPr="006E1EB2">
        <w:t xml:space="preserve"> FinCEN, </w:t>
      </w:r>
      <w:r w:rsidRPr="006E1EB2">
        <w:rPr>
          <w:i/>
          <w:iCs/>
        </w:rPr>
        <w:t>Customer Due Diligence Requirements for Financial Institutions Final Rule</w:t>
      </w:r>
      <w:r w:rsidRPr="006E1EB2">
        <w:t>,</w:t>
      </w:r>
      <w:r w:rsidRPr="006E1EB2">
        <w:rPr>
          <w:i/>
          <w:iCs/>
        </w:rPr>
        <w:t xml:space="preserve"> </w:t>
      </w:r>
      <w:hyperlink r:id="rId8" w:history="1">
        <w:r w:rsidRPr="006E1EB2">
          <w:rPr>
            <w:rStyle w:val="Hyperlink"/>
          </w:rPr>
          <w:t>81 FR 29398</w:t>
        </w:r>
      </w:hyperlink>
      <w:r w:rsidRPr="006E1EB2">
        <w:t xml:space="preserve"> (May 11, 2016).  Based on research conducted as part of the </w:t>
      </w:r>
      <w:r>
        <w:t>f</w:t>
      </w:r>
      <w:r w:rsidRPr="006E1EB2">
        <w:t xml:space="preserve">inal </w:t>
      </w:r>
      <w:r>
        <w:t>r</w:t>
      </w:r>
      <w:r w:rsidRPr="006E1EB2">
        <w:t>ule, it was estimated that each covered financial institution will open, on average, 1.5 new legal entity accounts per business day.  There are 250 business days per year.  (</w:t>
      </w:r>
      <w:r>
        <w:t>15,221</w:t>
      </w:r>
      <w:r w:rsidRPr="006E1EB2">
        <w:t xml:space="preserve"> covered financial institutions X 1.5 accounts per day X 250 business days per year = </w:t>
      </w:r>
      <w:r>
        <w:t>5,707,875</w:t>
      </w:r>
      <w:r w:rsidRPr="006E1EB2">
        <w:t xml:space="preserve"> legal entity accounts opened per year).</w:t>
      </w:r>
      <w:r>
        <w:t xml:space="preserve">  5,723,096 responses (5,707,875 accounts to verify plus 15,221 covered financial institution’s programs to update).</w:t>
      </w:r>
    </w:p>
  </w:footnote>
  <w:footnote w:id="20">
    <w:p w:rsidR="006C00EC" w:rsidRPr="00EC5B5F" w:rsidP="006C00EC" w14:paraId="7BC2703C" w14:textId="77777777">
      <w:pPr>
        <w:pStyle w:val="FootnoteText"/>
      </w:pPr>
      <w:r w:rsidRPr="004B6775">
        <w:rPr>
          <w:rStyle w:val="FootnoteReference"/>
        </w:rPr>
        <w:footnoteRef/>
      </w:r>
      <w:r w:rsidRPr="004B6775">
        <w:t xml:space="preserve"> </w:t>
      </w:r>
      <w:r>
        <w:t>5,707,875 new legal entity accounts multiplied by</w:t>
      </w:r>
      <w:r w:rsidRPr="004B6775">
        <w:t xml:space="preserve"> </w:t>
      </w:r>
      <w:r>
        <w:t>8</w:t>
      </w:r>
      <w:r w:rsidRPr="004B6775">
        <w:t>0 minutes per account established</w:t>
      </w:r>
      <w:r>
        <w:t xml:space="preserve"> and divided by </w:t>
      </w:r>
      <w:r w:rsidRPr="004B6775">
        <w:t>60 minutes per hour</w:t>
      </w:r>
      <w:r>
        <w:t xml:space="preserve"> equals </w:t>
      </w:r>
      <w:r>
        <w:rPr>
          <w:rFonts w:eastAsia="MS Mincho"/>
        </w:rPr>
        <w:t>7,610,500</w:t>
      </w:r>
      <w:r w:rsidRPr="004B6775">
        <w:rPr>
          <w:rFonts w:eastAsia="MS Mincho"/>
        </w:rPr>
        <w:t xml:space="preserve"> </w:t>
      </w:r>
      <w:r>
        <w:rPr>
          <w:rFonts w:eastAsia="MS Mincho"/>
        </w:rPr>
        <w:t xml:space="preserve">burden hours to identify and verify beneficial owners of new legal entity accounts per year.  20 minutes to update and maintain beneficial ownership identification and verification procedures within a covered financial institution’s AML program multiplied by 15,221 covered financial institutions and divided by 60 minutes equals 5,074 burden hours annually.  The total annual burden hours estimate for this information collection is (7,610,500 + 5,074) 7,615,574 hours. </w:t>
      </w:r>
    </w:p>
  </w:footnote>
  <w:footnote w:id="21">
    <w:p w:rsidR="006C00EC" w:rsidP="006C00EC" w14:paraId="0B54CDDD" w14:textId="4584F756">
      <w:pPr>
        <w:pStyle w:val="FootnoteText"/>
      </w:pPr>
      <w:r>
        <w:rPr>
          <w:rStyle w:val="FootnoteReference"/>
        </w:rPr>
        <w:footnoteRef/>
      </w:r>
      <w:r w:rsidRPr="00C11750">
        <w:t xml:space="preserve"> The average hourly wage rate is calculated from the May 2022 U.S. Bureau of Labor Statistics (BLS) median hourly wage </w:t>
      </w:r>
      <w:r>
        <w:t>for “13-1041 Compliance Officer” of $34.47</w:t>
      </w:r>
      <w:r w:rsidRPr="00C11750">
        <w:t xml:space="preserve">.  </w:t>
      </w:r>
      <w:r w:rsidRPr="00C11750">
        <w:rPr>
          <w:i/>
          <w:iCs/>
        </w:rPr>
        <w:t>See</w:t>
      </w:r>
      <w:r w:rsidRPr="00C11750">
        <w:t xml:space="preserve"> BLS, </w:t>
      </w:r>
      <w:r w:rsidRPr="00C11750">
        <w:rPr>
          <w:i/>
          <w:iCs/>
        </w:rPr>
        <w:t>Occupational Employment and Wages</w:t>
      </w:r>
      <w:r w:rsidRPr="00C11750">
        <w:t xml:space="preserve"> </w:t>
      </w:r>
      <w:r w:rsidRPr="00C11750">
        <w:rPr>
          <w:i/>
          <w:iCs/>
        </w:rPr>
        <w:t xml:space="preserve">Statistics </w:t>
      </w:r>
      <w:r w:rsidRPr="00C11750">
        <w:t xml:space="preserve">(May 2022), </w:t>
      </w:r>
      <w:r w:rsidRPr="0007661E">
        <w:rPr>
          <w:i/>
          <w:iCs/>
        </w:rPr>
        <w:t>available at</w:t>
      </w:r>
      <w:r w:rsidRPr="00C11750">
        <w:t xml:space="preserve"> </w:t>
      </w:r>
      <w:hyperlink r:id="rId11" w:history="1">
        <w:r w:rsidRPr="00C11750">
          <w:rPr>
            <w:rStyle w:val="Hyperlink"/>
          </w:rPr>
          <w:t>https://www.bls.gov/oes/tables.htm</w:t>
        </w:r>
      </w:hyperlink>
      <w:r w:rsidRPr="00C11750">
        <w:rPr>
          <w:rStyle w:val="Hyperlink"/>
        </w:rPr>
        <w:t>.</w:t>
      </w:r>
      <w:r w:rsidRPr="00C06CC7">
        <w:rPr>
          <w:rStyle w:val="Hyperlink"/>
        </w:rPr>
        <w:t xml:space="preserve">  </w:t>
      </w:r>
      <w:r w:rsidRPr="00C11750">
        <w:t>The ratio between benefits and wages for private industry workers is $</w:t>
      </w:r>
      <w:r>
        <w:t>12.19</w:t>
      </w:r>
      <w:r w:rsidRPr="00C11750">
        <w:t xml:space="preserve"> (hourly benefits)/$2</w:t>
      </w:r>
      <w:r>
        <w:t>9.34</w:t>
      </w:r>
      <w:r w:rsidRPr="00C11750">
        <w:t xml:space="preserve"> (hourly wages) = 0.42, as of</w:t>
      </w:r>
      <w:r>
        <w:t xml:space="preserve"> September</w:t>
      </w:r>
      <w:r w:rsidRPr="00C11750">
        <w:t xml:space="preserve"> 2023.  The benefit factor is 1 plus the benefit/</w:t>
      </w:r>
      <w:r w:rsidRPr="00C11750">
        <w:t>wages</w:t>
      </w:r>
      <w:r w:rsidRPr="00C11750">
        <w:t xml:space="preserve"> ratio, or 1.42.  </w:t>
      </w:r>
      <w:r w:rsidRPr="00C11750">
        <w:rPr>
          <w:i/>
          <w:iCs/>
        </w:rPr>
        <w:t>See</w:t>
      </w:r>
      <w:r w:rsidRPr="00C11750">
        <w:t xml:space="preserve"> BLS, </w:t>
      </w:r>
      <w:r>
        <w:rPr>
          <w:i/>
          <w:iCs/>
        </w:rPr>
        <w:t>Employee Costs for Employee Compensation</w:t>
      </w:r>
      <w:r w:rsidRPr="00C11750">
        <w:rPr>
          <w:i/>
          <w:iCs/>
        </w:rPr>
        <w:t xml:space="preserve"> </w:t>
      </w:r>
      <w:r w:rsidRPr="00C11750">
        <w:t>(</w:t>
      </w:r>
      <w:r>
        <w:t>Sept. 2023</w:t>
      </w:r>
      <w:r w:rsidRPr="00C11750">
        <w:t xml:space="preserve">), </w:t>
      </w:r>
      <w:r w:rsidRPr="0007661E">
        <w:rPr>
          <w:i/>
          <w:iCs/>
        </w:rPr>
        <w:t>available at</w:t>
      </w:r>
      <w:r w:rsidRPr="006748D5">
        <w:t xml:space="preserve"> </w:t>
      </w:r>
      <w:hyperlink r:id="rId12" w:anchor=":~:text=Employer%20costs%20for%20private%20industry,percent%20of%20total%20compensation%20costs" w:history="1">
        <w:r>
          <w:rPr>
            <w:rStyle w:val="Hyperlink"/>
          </w:rPr>
          <w:t>https://www.bls.gov/ecec/home.htm#:~:text=Employer%20costs%20for%20private%20industry,percent%20of%20total%20compensation%20costs</w:t>
        </w:r>
      </w:hyperlink>
      <w:r w:rsidRPr="006748D5">
        <w:t>.</w:t>
      </w:r>
      <w:r>
        <w:t xml:space="preserve">  The </w:t>
      </w:r>
      <w:r>
        <w:t>fully-loaded</w:t>
      </w:r>
      <w:r>
        <w:t xml:space="preserve"> wage rate is $48.95 ($34.47 multiplied by 1.42).</w:t>
      </w:r>
    </w:p>
  </w:footnote>
  <w:footnote w:id="22">
    <w:p w:rsidR="00CD5FC1" w:rsidP="00CD5FC1" w14:paraId="58A42EF6" w14:textId="77777777">
      <w:pPr>
        <w:pStyle w:val="FootnoteText"/>
      </w:pPr>
      <w:r>
        <w:rPr>
          <w:rStyle w:val="FootnoteReference"/>
        </w:rPr>
        <w:footnoteRef/>
      </w:r>
      <w:r>
        <w:t xml:space="preserve"> </w:t>
      </w:r>
      <w:r w:rsidRPr="009445CA">
        <w:rPr>
          <w:i/>
          <w:iCs/>
        </w:rPr>
        <w:t xml:space="preserve">See </w:t>
      </w:r>
      <w:r>
        <w:t xml:space="preserve">FinCEN, Customer Identification Programs, Anti-Money Laundering Programs, and Beneficial Ownership Requirements for Banks Lacking a Federal Functional Regulator Final Rule, </w:t>
      </w:r>
      <w:hyperlink r:id="rId13" w:history="1">
        <w:r>
          <w:rPr>
            <w:rStyle w:val="Hyperlink"/>
          </w:rPr>
          <w:t>85 FR 57129</w:t>
        </w:r>
      </w:hyperlink>
      <w:r>
        <w:t xml:space="preserve"> (Sept. 15, 2020).</w:t>
      </w:r>
    </w:p>
  </w:footnote>
  <w:footnote w:id="23">
    <w:p w:rsidR="00A1587E" w14:paraId="756442EB" w14:textId="4E2F4954">
      <w:pPr>
        <w:pStyle w:val="FootnoteText"/>
      </w:pPr>
      <w:r>
        <w:rPr>
          <w:rStyle w:val="FootnoteReference"/>
        </w:rPr>
        <w:footnoteRef/>
      </w:r>
      <w:r>
        <w:t xml:space="preserve"> </w:t>
      </w:r>
      <w:r w:rsidRPr="00A1587E">
        <w:rPr>
          <w:i/>
          <w:iCs/>
        </w:rPr>
        <w:t>See supra</w:t>
      </w:r>
      <w:r>
        <w:t xml:space="preserve"> note 1</w:t>
      </w:r>
      <w:r w:rsidR="00152188">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56C" w:rsidRPr="008659C2" w:rsidP="009A056C" w14:paraId="43D1CCBE" w14:textId="2970FC94">
    <w:pPr>
      <w:tabs>
        <w:tab w:val="center" w:pos="4680"/>
      </w:tabs>
      <w:jc w:val="center"/>
    </w:pPr>
  </w:p>
  <w:p w:rsidR="009A056C" w14:paraId="16B224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A777CA"/>
    <w:multiLevelType w:val="hybridMultilevel"/>
    <w:tmpl w:val="9F5AE49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0188258">
    <w:abstractNumId w:val="0"/>
  </w:num>
  <w:num w:numId="2" w16cid:durableId="64554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03"/>
    <w:rsid w:val="000002D2"/>
    <w:rsid w:val="00005F0C"/>
    <w:rsid w:val="000119C3"/>
    <w:rsid w:val="00020039"/>
    <w:rsid w:val="000210AB"/>
    <w:rsid w:val="00023164"/>
    <w:rsid w:val="000272F8"/>
    <w:rsid w:val="00027525"/>
    <w:rsid w:val="00033248"/>
    <w:rsid w:val="00035CD2"/>
    <w:rsid w:val="00036266"/>
    <w:rsid w:val="000470BF"/>
    <w:rsid w:val="0006011C"/>
    <w:rsid w:val="0006146F"/>
    <w:rsid w:val="00064630"/>
    <w:rsid w:val="0006487C"/>
    <w:rsid w:val="0007661E"/>
    <w:rsid w:val="00076D8B"/>
    <w:rsid w:val="00077630"/>
    <w:rsid w:val="00084841"/>
    <w:rsid w:val="0009096D"/>
    <w:rsid w:val="0009305B"/>
    <w:rsid w:val="00095EC6"/>
    <w:rsid w:val="000A28EF"/>
    <w:rsid w:val="000B187D"/>
    <w:rsid w:val="000B21F0"/>
    <w:rsid w:val="000B6EFD"/>
    <w:rsid w:val="000C0E2D"/>
    <w:rsid w:val="000C4A15"/>
    <w:rsid w:val="000D2855"/>
    <w:rsid w:val="000D3FFC"/>
    <w:rsid w:val="000E3F5C"/>
    <w:rsid w:val="001011C8"/>
    <w:rsid w:val="00105FAC"/>
    <w:rsid w:val="001072FA"/>
    <w:rsid w:val="001131F7"/>
    <w:rsid w:val="00115C25"/>
    <w:rsid w:val="00124AB2"/>
    <w:rsid w:val="00130C5D"/>
    <w:rsid w:val="00131935"/>
    <w:rsid w:val="00152188"/>
    <w:rsid w:val="00155B76"/>
    <w:rsid w:val="00161C75"/>
    <w:rsid w:val="001652EF"/>
    <w:rsid w:val="00166271"/>
    <w:rsid w:val="00171165"/>
    <w:rsid w:val="00176764"/>
    <w:rsid w:val="00181647"/>
    <w:rsid w:val="001827C0"/>
    <w:rsid w:val="001835BD"/>
    <w:rsid w:val="0018514E"/>
    <w:rsid w:val="00187515"/>
    <w:rsid w:val="00195B4B"/>
    <w:rsid w:val="001A2AFC"/>
    <w:rsid w:val="001A40BD"/>
    <w:rsid w:val="001A496E"/>
    <w:rsid w:val="001A4D5A"/>
    <w:rsid w:val="001B55E1"/>
    <w:rsid w:val="001B6A9A"/>
    <w:rsid w:val="001C1D5F"/>
    <w:rsid w:val="001C6133"/>
    <w:rsid w:val="001D157D"/>
    <w:rsid w:val="001D633A"/>
    <w:rsid w:val="001D6FAF"/>
    <w:rsid w:val="001E1A43"/>
    <w:rsid w:val="001E6187"/>
    <w:rsid w:val="001F1100"/>
    <w:rsid w:val="001F4D6C"/>
    <w:rsid w:val="001F6CAA"/>
    <w:rsid w:val="001F705C"/>
    <w:rsid w:val="001F7618"/>
    <w:rsid w:val="0020276B"/>
    <w:rsid w:val="00212C09"/>
    <w:rsid w:val="00216E60"/>
    <w:rsid w:val="00222832"/>
    <w:rsid w:val="002248FD"/>
    <w:rsid w:val="00231E03"/>
    <w:rsid w:val="00236D3F"/>
    <w:rsid w:val="00240429"/>
    <w:rsid w:val="00254C78"/>
    <w:rsid w:val="00255617"/>
    <w:rsid w:val="00262324"/>
    <w:rsid w:val="00263173"/>
    <w:rsid w:val="002678F2"/>
    <w:rsid w:val="00272491"/>
    <w:rsid w:val="00281064"/>
    <w:rsid w:val="00287992"/>
    <w:rsid w:val="00293331"/>
    <w:rsid w:val="00294416"/>
    <w:rsid w:val="00294E57"/>
    <w:rsid w:val="002A2F5A"/>
    <w:rsid w:val="002B4CAD"/>
    <w:rsid w:val="002B57EF"/>
    <w:rsid w:val="002C3BC0"/>
    <w:rsid w:val="002C45AD"/>
    <w:rsid w:val="002C6D44"/>
    <w:rsid w:val="002D36A9"/>
    <w:rsid w:val="002D57BA"/>
    <w:rsid w:val="002D7576"/>
    <w:rsid w:val="002D7F38"/>
    <w:rsid w:val="002E5188"/>
    <w:rsid w:val="002F3CD2"/>
    <w:rsid w:val="002F46F6"/>
    <w:rsid w:val="00312F59"/>
    <w:rsid w:val="00365B13"/>
    <w:rsid w:val="00365C86"/>
    <w:rsid w:val="00373904"/>
    <w:rsid w:val="00376AF9"/>
    <w:rsid w:val="0038213E"/>
    <w:rsid w:val="00384B9B"/>
    <w:rsid w:val="00386FA0"/>
    <w:rsid w:val="003925FB"/>
    <w:rsid w:val="0039447D"/>
    <w:rsid w:val="003B6642"/>
    <w:rsid w:val="003D413A"/>
    <w:rsid w:val="003E0042"/>
    <w:rsid w:val="003E6B86"/>
    <w:rsid w:val="003E79DC"/>
    <w:rsid w:val="003F207A"/>
    <w:rsid w:val="003F22DB"/>
    <w:rsid w:val="004047B1"/>
    <w:rsid w:val="00405124"/>
    <w:rsid w:val="00405698"/>
    <w:rsid w:val="0041184C"/>
    <w:rsid w:val="00415B39"/>
    <w:rsid w:val="00420F96"/>
    <w:rsid w:val="00424347"/>
    <w:rsid w:val="00426F48"/>
    <w:rsid w:val="00431E55"/>
    <w:rsid w:val="00444E23"/>
    <w:rsid w:val="00447DA1"/>
    <w:rsid w:val="00447E1F"/>
    <w:rsid w:val="004512E7"/>
    <w:rsid w:val="00452DCB"/>
    <w:rsid w:val="004556F0"/>
    <w:rsid w:val="004569DB"/>
    <w:rsid w:val="004603BB"/>
    <w:rsid w:val="00467461"/>
    <w:rsid w:val="00471763"/>
    <w:rsid w:val="00473CD4"/>
    <w:rsid w:val="0047515F"/>
    <w:rsid w:val="00490AF9"/>
    <w:rsid w:val="00493658"/>
    <w:rsid w:val="004B4FAB"/>
    <w:rsid w:val="004B6775"/>
    <w:rsid w:val="004C04DA"/>
    <w:rsid w:val="004D1A7B"/>
    <w:rsid w:val="004D24FA"/>
    <w:rsid w:val="004D6634"/>
    <w:rsid w:val="004D7963"/>
    <w:rsid w:val="004F0F4D"/>
    <w:rsid w:val="004F7588"/>
    <w:rsid w:val="004F7992"/>
    <w:rsid w:val="00500B68"/>
    <w:rsid w:val="005024D7"/>
    <w:rsid w:val="00521363"/>
    <w:rsid w:val="005316E7"/>
    <w:rsid w:val="005331FA"/>
    <w:rsid w:val="00534B17"/>
    <w:rsid w:val="00536820"/>
    <w:rsid w:val="00537765"/>
    <w:rsid w:val="005425DC"/>
    <w:rsid w:val="005443CE"/>
    <w:rsid w:val="0055678D"/>
    <w:rsid w:val="005576BB"/>
    <w:rsid w:val="00561A0A"/>
    <w:rsid w:val="00563B17"/>
    <w:rsid w:val="00563E30"/>
    <w:rsid w:val="00571332"/>
    <w:rsid w:val="00585F47"/>
    <w:rsid w:val="00594A52"/>
    <w:rsid w:val="005B7DFE"/>
    <w:rsid w:val="005C27A7"/>
    <w:rsid w:val="005C32C5"/>
    <w:rsid w:val="005C5C58"/>
    <w:rsid w:val="005C6356"/>
    <w:rsid w:val="005D1A41"/>
    <w:rsid w:val="005E2DA9"/>
    <w:rsid w:val="005F1650"/>
    <w:rsid w:val="005F477E"/>
    <w:rsid w:val="005F4D12"/>
    <w:rsid w:val="00600940"/>
    <w:rsid w:val="00603D05"/>
    <w:rsid w:val="00606E29"/>
    <w:rsid w:val="006100FA"/>
    <w:rsid w:val="00610332"/>
    <w:rsid w:val="006145E0"/>
    <w:rsid w:val="00614D8E"/>
    <w:rsid w:val="006179D0"/>
    <w:rsid w:val="00622DBD"/>
    <w:rsid w:val="006243CA"/>
    <w:rsid w:val="00625734"/>
    <w:rsid w:val="00636B02"/>
    <w:rsid w:val="00644C13"/>
    <w:rsid w:val="0064726A"/>
    <w:rsid w:val="0065233F"/>
    <w:rsid w:val="00657340"/>
    <w:rsid w:val="00663BD0"/>
    <w:rsid w:val="006748D5"/>
    <w:rsid w:val="00674BFB"/>
    <w:rsid w:val="00677630"/>
    <w:rsid w:val="0068031E"/>
    <w:rsid w:val="00684722"/>
    <w:rsid w:val="00694ADC"/>
    <w:rsid w:val="00697857"/>
    <w:rsid w:val="006A3913"/>
    <w:rsid w:val="006A67B6"/>
    <w:rsid w:val="006A6EBB"/>
    <w:rsid w:val="006A7DD1"/>
    <w:rsid w:val="006B1BF2"/>
    <w:rsid w:val="006B1F7E"/>
    <w:rsid w:val="006B5A1E"/>
    <w:rsid w:val="006C00EC"/>
    <w:rsid w:val="006C17A7"/>
    <w:rsid w:val="006D2E29"/>
    <w:rsid w:val="006D3E64"/>
    <w:rsid w:val="006E10F3"/>
    <w:rsid w:val="006E1EB2"/>
    <w:rsid w:val="006F2F64"/>
    <w:rsid w:val="006F30BF"/>
    <w:rsid w:val="00703A83"/>
    <w:rsid w:val="0071061F"/>
    <w:rsid w:val="007146AB"/>
    <w:rsid w:val="00714B88"/>
    <w:rsid w:val="00721692"/>
    <w:rsid w:val="007246A3"/>
    <w:rsid w:val="00747C2C"/>
    <w:rsid w:val="00750696"/>
    <w:rsid w:val="007630C7"/>
    <w:rsid w:val="00775120"/>
    <w:rsid w:val="00781ED2"/>
    <w:rsid w:val="007A2BF2"/>
    <w:rsid w:val="007B02F1"/>
    <w:rsid w:val="007B2588"/>
    <w:rsid w:val="007B2C1C"/>
    <w:rsid w:val="007B5A2F"/>
    <w:rsid w:val="007C714A"/>
    <w:rsid w:val="007E7EE6"/>
    <w:rsid w:val="00804DD9"/>
    <w:rsid w:val="008118A0"/>
    <w:rsid w:val="00824CF7"/>
    <w:rsid w:val="00827327"/>
    <w:rsid w:val="008314C7"/>
    <w:rsid w:val="00852AA7"/>
    <w:rsid w:val="0085545F"/>
    <w:rsid w:val="008567ED"/>
    <w:rsid w:val="008576A9"/>
    <w:rsid w:val="00857D1C"/>
    <w:rsid w:val="00860063"/>
    <w:rsid w:val="008659C2"/>
    <w:rsid w:val="008850CB"/>
    <w:rsid w:val="008864C7"/>
    <w:rsid w:val="0089028F"/>
    <w:rsid w:val="008948B1"/>
    <w:rsid w:val="008B26BD"/>
    <w:rsid w:val="008B329F"/>
    <w:rsid w:val="008C2461"/>
    <w:rsid w:val="008C248E"/>
    <w:rsid w:val="008C26B5"/>
    <w:rsid w:val="008C49AC"/>
    <w:rsid w:val="008C68F6"/>
    <w:rsid w:val="008C7964"/>
    <w:rsid w:val="008D1A63"/>
    <w:rsid w:val="008E3AE6"/>
    <w:rsid w:val="008E7107"/>
    <w:rsid w:val="008F2D9B"/>
    <w:rsid w:val="00901B22"/>
    <w:rsid w:val="009113EC"/>
    <w:rsid w:val="00920F46"/>
    <w:rsid w:val="009221AC"/>
    <w:rsid w:val="00927FE5"/>
    <w:rsid w:val="00934582"/>
    <w:rsid w:val="009363C2"/>
    <w:rsid w:val="00942F34"/>
    <w:rsid w:val="009445CA"/>
    <w:rsid w:val="00944639"/>
    <w:rsid w:val="009558DB"/>
    <w:rsid w:val="00963D27"/>
    <w:rsid w:val="00967085"/>
    <w:rsid w:val="00973133"/>
    <w:rsid w:val="00973F8C"/>
    <w:rsid w:val="00974234"/>
    <w:rsid w:val="009825CC"/>
    <w:rsid w:val="00982C20"/>
    <w:rsid w:val="0098688A"/>
    <w:rsid w:val="009906D0"/>
    <w:rsid w:val="00993DBA"/>
    <w:rsid w:val="009958AC"/>
    <w:rsid w:val="00995D5E"/>
    <w:rsid w:val="009A056C"/>
    <w:rsid w:val="009A1B89"/>
    <w:rsid w:val="009B1571"/>
    <w:rsid w:val="009C64C0"/>
    <w:rsid w:val="009D4C47"/>
    <w:rsid w:val="009F2DD7"/>
    <w:rsid w:val="009F3FA7"/>
    <w:rsid w:val="009F5E02"/>
    <w:rsid w:val="00A036AD"/>
    <w:rsid w:val="00A05824"/>
    <w:rsid w:val="00A14450"/>
    <w:rsid w:val="00A1587E"/>
    <w:rsid w:val="00A22FD2"/>
    <w:rsid w:val="00A25ABD"/>
    <w:rsid w:val="00A31315"/>
    <w:rsid w:val="00A4424A"/>
    <w:rsid w:val="00A449C9"/>
    <w:rsid w:val="00A52BEE"/>
    <w:rsid w:val="00A65B99"/>
    <w:rsid w:val="00A663DB"/>
    <w:rsid w:val="00A742A2"/>
    <w:rsid w:val="00A75C2E"/>
    <w:rsid w:val="00A81F6C"/>
    <w:rsid w:val="00A866DC"/>
    <w:rsid w:val="00A93FF8"/>
    <w:rsid w:val="00A961E7"/>
    <w:rsid w:val="00AA5834"/>
    <w:rsid w:val="00AC6E9B"/>
    <w:rsid w:val="00AC7E01"/>
    <w:rsid w:val="00AD5013"/>
    <w:rsid w:val="00AE4639"/>
    <w:rsid w:val="00AF0ACA"/>
    <w:rsid w:val="00B00212"/>
    <w:rsid w:val="00B04FDA"/>
    <w:rsid w:val="00B202AA"/>
    <w:rsid w:val="00B20A64"/>
    <w:rsid w:val="00B30025"/>
    <w:rsid w:val="00B319D3"/>
    <w:rsid w:val="00B332E7"/>
    <w:rsid w:val="00B40828"/>
    <w:rsid w:val="00B44F21"/>
    <w:rsid w:val="00B50BCA"/>
    <w:rsid w:val="00B5206D"/>
    <w:rsid w:val="00B55BD8"/>
    <w:rsid w:val="00B55E9E"/>
    <w:rsid w:val="00B61020"/>
    <w:rsid w:val="00B62CE6"/>
    <w:rsid w:val="00B67ACA"/>
    <w:rsid w:val="00B7592E"/>
    <w:rsid w:val="00B800E2"/>
    <w:rsid w:val="00B8669C"/>
    <w:rsid w:val="00B90934"/>
    <w:rsid w:val="00B95AFB"/>
    <w:rsid w:val="00BA7AB4"/>
    <w:rsid w:val="00BC1C31"/>
    <w:rsid w:val="00BC571D"/>
    <w:rsid w:val="00BD584B"/>
    <w:rsid w:val="00BE2DE0"/>
    <w:rsid w:val="00BF458F"/>
    <w:rsid w:val="00BF536F"/>
    <w:rsid w:val="00C06CC7"/>
    <w:rsid w:val="00C11750"/>
    <w:rsid w:val="00C12618"/>
    <w:rsid w:val="00C2023E"/>
    <w:rsid w:val="00C20AF0"/>
    <w:rsid w:val="00C210DF"/>
    <w:rsid w:val="00C215FA"/>
    <w:rsid w:val="00C27FBD"/>
    <w:rsid w:val="00C316E0"/>
    <w:rsid w:val="00C33208"/>
    <w:rsid w:val="00C42CA6"/>
    <w:rsid w:val="00C519DA"/>
    <w:rsid w:val="00C53AED"/>
    <w:rsid w:val="00C57645"/>
    <w:rsid w:val="00C605B3"/>
    <w:rsid w:val="00C7198D"/>
    <w:rsid w:val="00C76C10"/>
    <w:rsid w:val="00C804FA"/>
    <w:rsid w:val="00C82B45"/>
    <w:rsid w:val="00C90018"/>
    <w:rsid w:val="00C90B7A"/>
    <w:rsid w:val="00C91CA8"/>
    <w:rsid w:val="00C96BEF"/>
    <w:rsid w:val="00CA2AE8"/>
    <w:rsid w:val="00CA49D7"/>
    <w:rsid w:val="00CA6059"/>
    <w:rsid w:val="00CA71E4"/>
    <w:rsid w:val="00CB146A"/>
    <w:rsid w:val="00CB3DF4"/>
    <w:rsid w:val="00CB4B07"/>
    <w:rsid w:val="00CB72DB"/>
    <w:rsid w:val="00CC0D18"/>
    <w:rsid w:val="00CC432C"/>
    <w:rsid w:val="00CC5DCC"/>
    <w:rsid w:val="00CC7138"/>
    <w:rsid w:val="00CC7564"/>
    <w:rsid w:val="00CD3434"/>
    <w:rsid w:val="00CD43B3"/>
    <w:rsid w:val="00CD4AE1"/>
    <w:rsid w:val="00CD5FC1"/>
    <w:rsid w:val="00CE6A2B"/>
    <w:rsid w:val="00D02209"/>
    <w:rsid w:val="00D04B12"/>
    <w:rsid w:val="00D07F01"/>
    <w:rsid w:val="00D12FE6"/>
    <w:rsid w:val="00D20C93"/>
    <w:rsid w:val="00D37859"/>
    <w:rsid w:val="00D624D0"/>
    <w:rsid w:val="00D62C94"/>
    <w:rsid w:val="00D70A0B"/>
    <w:rsid w:val="00D70E5C"/>
    <w:rsid w:val="00D71B1A"/>
    <w:rsid w:val="00D77D23"/>
    <w:rsid w:val="00D91A3E"/>
    <w:rsid w:val="00DB1328"/>
    <w:rsid w:val="00DC03EA"/>
    <w:rsid w:val="00DE5BA9"/>
    <w:rsid w:val="00DE67BF"/>
    <w:rsid w:val="00DE6F42"/>
    <w:rsid w:val="00DF11F7"/>
    <w:rsid w:val="00E0097B"/>
    <w:rsid w:val="00E06618"/>
    <w:rsid w:val="00E1186A"/>
    <w:rsid w:val="00E14787"/>
    <w:rsid w:val="00E14C5F"/>
    <w:rsid w:val="00E25E07"/>
    <w:rsid w:val="00E359D5"/>
    <w:rsid w:val="00E404A0"/>
    <w:rsid w:val="00E447CE"/>
    <w:rsid w:val="00E44877"/>
    <w:rsid w:val="00E45247"/>
    <w:rsid w:val="00E506F4"/>
    <w:rsid w:val="00E52857"/>
    <w:rsid w:val="00E627BA"/>
    <w:rsid w:val="00E62AAA"/>
    <w:rsid w:val="00E820C8"/>
    <w:rsid w:val="00E90127"/>
    <w:rsid w:val="00E93F6E"/>
    <w:rsid w:val="00E9628D"/>
    <w:rsid w:val="00EA1E54"/>
    <w:rsid w:val="00EA488A"/>
    <w:rsid w:val="00EA7B21"/>
    <w:rsid w:val="00EA7FC9"/>
    <w:rsid w:val="00EB51B4"/>
    <w:rsid w:val="00EB52E1"/>
    <w:rsid w:val="00EB5978"/>
    <w:rsid w:val="00EB7C47"/>
    <w:rsid w:val="00EC233D"/>
    <w:rsid w:val="00EC31C3"/>
    <w:rsid w:val="00EC5B5F"/>
    <w:rsid w:val="00ED083B"/>
    <w:rsid w:val="00ED1DD9"/>
    <w:rsid w:val="00EE69D7"/>
    <w:rsid w:val="00EF7E3D"/>
    <w:rsid w:val="00F01B36"/>
    <w:rsid w:val="00F04D94"/>
    <w:rsid w:val="00F23580"/>
    <w:rsid w:val="00F246A2"/>
    <w:rsid w:val="00F25C47"/>
    <w:rsid w:val="00F30A13"/>
    <w:rsid w:val="00F352EC"/>
    <w:rsid w:val="00F37E2A"/>
    <w:rsid w:val="00F422B1"/>
    <w:rsid w:val="00F424DD"/>
    <w:rsid w:val="00F469E7"/>
    <w:rsid w:val="00F5371D"/>
    <w:rsid w:val="00F63E9E"/>
    <w:rsid w:val="00F72E53"/>
    <w:rsid w:val="00F75382"/>
    <w:rsid w:val="00F82E97"/>
    <w:rsid w:val="00FA2FC7"/>
    <w:rsid w:val="00FA5890"/>
    <w:rsid w:val="00FA6DB7"/>
    <w:rsid w:val="00FB1663"/>
    <w:rsid w:val="00FE1079"/>
    <w:rsid w:val="00FE6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4C7117"/>
  <w15:chartTrackingRefBased/>
  <w15:docId w15:val="{6A65DBA5-6F49-4706-A0D8-678756F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iPriority w:val="99"/>
    <w:qFormat/>
    <w:rsid w:val="003925FB"/>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uiPriority w:val="99"/>
    <w:rsid w:val="003925FB"/>
    <w:rPr>
      <w:sz w:val="16"/>
      <w:szCs w:val="16"/>
    </w:rPr>
  </w:style>
  <w:style w:type="paragraph" w:styleId="CommentText">
    <w:name w:val="annotation text"/>
    <w:basedOn w:val="Normal"/>
    <w:link w:val="CommentTextChar"/>
    <w:uiPriority w:val="99"/>
    <w:rsid w:val="003925FB"/>
    <w:rPr>
      <w:sz w:val="20"/>
      <w:szCs w:val="20"/>
    </w:rPr>
  </w:style>
  <w:style w:type="character" w:customStyle="1" w:styleId="CommentTextChar">
    <w:name w:val="Comment Text Char"/>
    <w:basedOn w:val="DefaultParagraphFont"/>
    <w:link w:val="CommentText"/>
    <w:uiPriority w:val="99"/>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rsid w:val="00473CD4"/>
    <w:pPr>
      <w:tabs>
        <w:tab w:val="center" w:pos="4680"/>
        <w:tab w:val="right" w:pos="9360"/>
      </w:tabs>
    </w:pPr>
  </w:style>
  <w:style w:type="character" w:customStyle="1" w:styleId="HeaderChar">
    <w:name w:val="Header Char"/>
    <w:link w:val="Header"/>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 w:type="character" w:styleId="UnresolvedMention">
    <w:name w:val="Unresolved Mention"/>
    <w:basedOn w:val="DefaultParagraphFont"/>
    <w:uiPriority w:val="99"/>
    <w:semiHidden/>
    <w:unhideWhenUsed/>
    <w:rsid w:val="001E6187"/>
    <w:rPr>
      <w:color w:val="605E5C"/>
      <w:shd w:val="clear" w:color="auto" w:fill="E1DFDD"/>
    </w:rPr>
  </w:style>
  <w:style w:type="paragraph" w:customStyle="1" w:styleId="pf0">
    <w:name w:val="pf0"/>
    <w:basedOn w:val="Normal"/>
    <w:rsid w:val="00927FE5"/>
    <w:pPr>
      <w:spacing w:before="100" w:beforeAutospacing="1" w:after="100" w:afterAutospacing="1"/>
    </w:pPr>
  </w:style>
  <w:style w:type="character" w:customStyle="1" w:styleId="cf01">
    <w:name w:val="cf01"/>
    <w:basedOn w:val="DefaultParagraphFont"/>
    <w:rsid w:val="00927FE5"/>
    <w:rPr>
      <w:rFonts w:ascii="Segoe UI" w:hAnsi="Segoe UI" w:cs="Segoe UI" w:hint="default"/>
      <w:i/>
      <w:iCs/>
      <w:color w:val="FF0000"/>
      <w:sz w:val="18"/>
      <w:szCs w:val="18"/>
    </w:rPr>
  </w:style>
  <w:style w:type="paragraph" w:styleId="HTMLPreformatted">
    <w:name w:val="HTML Preformatted"/>
    <w:basedOn w:val="Normal"/>
    <w:link w:val="HTMLPreformattedChar"/>
    <w:unhideWhenUsed/>
    <w:rsid w:val="00C90B7A"/>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C90B7A"/>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2/26/2024-03965/agency-information-collection-activities-proposed-renewal-comment-request-renewal-without-change-of" TargetMode="External" /><Relationship Id="rId10" Type="http://schemas.openxmlformats.org/officeDocument/2006/relationships/hyperlink" Target="https://www.reginfo.gov/public/do/PRAViewDocument?ref_nbr=202003-1506-001"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ecec/home.htm" TargetMode="External" /><Relationship Id="rId13" Type="http://schemas.openxmlformats.org/officeDocument/2006/relationships/hyperlink" Target="https://www.federalregister.gov/documents/2020/09/15/2020-20325/financial-crimes-enforcement-network-customer-identification-programs-anti-money-laundering-programs" TargetMode="External" /><Relationship Id="rId2" Type="http://schemas.openxmlformats.org/officeDocument/2006/relationships/hyperlink" Target="https://www.federalregister.gov/documents/2014/04/14/2014-08254/privacy-act-of-1974-as-amended-system-of-records-notice" TargetMode="External" /><Relationship Id="rId3" Type="http://schemas.openxmlformats.org/officeDocument/2006/relationships/hyperlink" Target="https://banks.data.fdic.gov/bankfind-suite/bankfind" TargetMode="External" /><Relationship Id="rId4" Type="http://schemas.openxmlformats.org/officeDocument/2006/relationships/hyperlink" Target="https://ncua.gov/analysis/credit-union-corporate-call-report-data/quarterly-data-summary-reports" TargetMode="External" /><Relationship Id="rId5" Type="http://schemas.openxmlformats.org/officeDocument/2006/relationships/hyperlink" Target="https://www.sec.gov/help/foiadocsbdfoia" TargetMode="External" /><Relationship Id="rId6" Type="http://schemas.openxmlformats.org/officeDocument/2006/relationships/hyperlink" Target="https://www.sec.gov/dera/data/form-ncen-data-sets" TargetMode="External" /><Relationship Id="rId7" Type="http://schemas.openxmlformats.org/officeDocument/2006/relationships/hyperlink" Target="https://www.cftc.gov/MarketReports/financialfcmdata/index.htm" TargetMode="External" /><Relationship Id="rId8" Type="http://schemas.openxmlformats.org/officeDocument/2006/relationships/hyperlink" Target="https://www.govinfo.gov/content/pkg/FR-2016-05-11/pdf/2016-10567.pdf" TargetMode="External" /><Relationship Id="rId9" Type="http://schemas.openxmlformats.org/officeDocument/2006/relationships/hyperlink" Target="https://www.federalregister.gov/documents/2019/12/30/2019-28037/agency-information-collection-activities-proposed-renewal-comment-request-renewal-without-change-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C52DC6CAEF5B478FCC83BC2E3ED3CD" ma:contentTypeVersion="6" ma:contentTypeDescription="Create a new document." ma:contentTypeScope="" ma:versionID="b855f9ede60e97ffb0d396a3be4b209b">
  <xsd:schema xmlns:xsd="http://www.w3.org/2001/XMLSchema" xmlns:xs="http://www.w3.org/2001/XMLSchema" xmlns:p="http://schemas.microsoft.com/office/2006/metadata/properties" xmlns:ns2="99c33ced-ff58-42b6-9ee5-1753cee99137" xmlns:ns3="0be49fda-dc73-48b8-afe0-dfd5f5e026eb" targetNamespace="http://schemas.microsoft.com/office/2006/metadata/properties" ma:root="true" ma:fieldsID="945956d69d08b786c5685d2531f0f490" ns2:_="" ns3:_="">
    <xsd:import namespace="99c33ced-ff58-42b6-9ee5-1753cee99137"/>
    <xsd:import namespace="0be49fda-dc73-48b8-afe0-dfd5f5e02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3ced-ff58-42b6-9ee5-1753cee99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9fda-dc73-48b8-afe0-dfd5f5e02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E810B-82DC-4357-8B20-7E55EDC5DDCF}">
  <ds:schemaRefs>
    <ds:schemaRef ds:uri="http://schemas.openxmlformats.org/officeDocument/2006/bibliography"/>
  </ds:schemaRefs>
</ds:datastoreItem>
</file>

<file path=customXml/itemProps2.xml><?xml version="1.0" encoding="utf-8"?>
<ds:datastoreItem xmlns:ds="http://schemas.openxmlformats.org/officeDocument/2006/customXml" ds:itemID="{7AF53D22-D00A-43EF-AF60-2A1965493D1D}">
  <ds:schemaRefs>
    <ds:schemaRef ds:uri="http://schemas.microsoft.com/sharepoint/v3/contenttype/forms"/>
  </ds:schemaRefs>
</ds:datastoreItem>
</file>

<file path=customXml/itemProps3.xml><?xml version="1.0" encoding="utf-8"?>
<ds:datastoreItem xmlns:ds="http://schemas.openxmlformats.org/officeDocument/2006/customXml" ds:itemID="{3D1DC05D-547C-4FC5-A2F0-1E0EC5DA2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3ced-ff58-42b6-9ee5-1753cee99137"/>
    <ds:schemaRef ds:uri="0be49fda-dc73-48b8-afe0-dfd5f5e02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FDBD7-F3DD-453A-BBA2-87F0BA8A8CCF}">
  <ds:schemaRefs>
    <ds:schemaRef ds:uri="http://schemas.openxmlformats.org/package/2006/metadata/core-properties"/>
    <ds:schemaRef ds:uri="http://purl.org/dc/terms/"/>
    <ds:schemaRef ds:uri="http://purl.org/dc/elements/1.1/"/>
    <ds:schemaRef ds:uri="0be49fda-dc73-48b8-afe0-dfd5f5e026eb"/>
    <ds:schemaRef ds:uri="http://purl.org/dc/dcmitype/"/>
    <ds:schemaRef ds:uri="http://schemas.microsoft.com/office/2006/documentManagement/types"/>
    <ds:schemaRef ds:uri="http://schemas.microsoft.com/office/infopath/2007/PartnerControls"/>
    <ds:schemaRef ds:uri="99c33ced-ff58-42b6-9ee5-1753cee9913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1986</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2020-03-13T08:34:00Z</cp:lastPrinted>
  <dcterms:created xsi:type="dcterms:W3CDTF">2024-04-30T16:01:00Z</dcterms:created>
  <dcterms:modified xsi:type="dcterms:W3CDTF">2024-04-30T16:01:00Z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0x010100AAC52DC6CAEF5B478FCC83BC2E3ED3CD</vt:lpwstr>
  </property>
</Properties>
</file>