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C05" w:rsidRPr="0025604D" w:rsidP="009F4D1C" w14:paraId="41776761" w14:textId="781957D3">
      <w:pPr>
        <w:jc w:val="center"/>
      </w:pPr>
    </w:p>
    <w:p w:rsidR="005C2C05" w:rsidRPr="000E5E35" w:rsidP="009F4D1C" w14:paraId="41776762" w14:textId="09012001">
      <w:pPr>
        <w:jc w:val="center"/>
      </w:pPr>
      <w:r w:rsidRPr="000E5E35">
        <w:t xml:space="preserve">Supporting Statement </w:t>
      </w:r>
    </w:p>
    <w:p w:rsidR="00A66B23" w:rsidRPr="000E5E35" w:rsidP="009F4D1C" w14:paraId="0B357ECA" w14:textId="7FEFB7FF">
      <w:pPr>
        <w:jc w:val="center"/>
      </w:pPr>
      <w:r w:rsidRPr="000E5E35">
        <w:t>Internal Revenue Service</w:t>
      </w:r>
      <w:r w:rsidRPr="000E5E35" w:rsidR="007F78BD">
        <w:t xml:space="preserve"> (IRS)</w:t>
      </w:r>
    </w:p>
    <w:p w:rsidR="00E30DBA" w:rsidP="003C068B" w14:paraId="61756349" w14:textId="2EC867A2">
      <w:pPr>
        <w:jc w:val="center"/>
      </w:pPr>
      <w:r>
        <w:t>Certificat</w:t>
      </w:r>
      <w:r w:rsidR="00AE19E0">
        <w:t>ions</w:t>
      </w:r>
      <w:r>
        <w:t xml:space="preserve"> for Exception</w:t>
      </w:r>
      <w:r w:rsidR="00AE19E0">
        <w:t>s</w:t>
      </w:r>
      <w:r>
        <w:t xml:space="preserve"> to the 10% Additional Tax</w:t>
      </w:r>
    </w:p>
    <w:p w:rsidR="00930944" w:rsidP="003C068B" w14:paraId="41776764" w14:textId="710D5D18">
      <w:pPr>
        <w:jc w:val="center"/>
      </w:pPr>
      <w:r w:rsidRPr="00AE19E0">
        <w:t>OMB # 1545</w:t>
      </w:r>
      <w:r w:rsidR="00AE19E0">
        <w:t>-2317</w:t>
      </w:r>
    </w:p>
    <w:p w:rsidR="00BD1436" w:rsidP="003C068B" w14:paraId="3DDCB269" w14:textId="77777777">
      <w:pPr>
        <w:jc w:val="center"/>
      </w:pPr>
    </w:p>
    <w:p w:rsidR="005C2C05" w:rsidRPr="0025604D" w14:paraId="41776765" w14:textId="77777777"/>
    <w:p w:rsidR="005C2C05" w:rsidP="00F41911" w14:paraId="41776766" w14:textId="7A755DF4">
      <w:pPr>
        <w:numPr>
          <w:ilvl w:val="0"/>
          <w:numId w:val="12"/>
        </w:numPr>
        <w:rPr>
          <w:u w:val="single"/>
        </w:rPr>
      </w:pPr>
      <w:r w:rsidRPr="0025604D">
        <w:t xml:space="preserve"> </w:t>
      </w:r>
      <w:r w:rsidRPr="0025604D">
        <w:rPr>
          <w:u w:val="single"/>
        </w:rPr>
        <w:t>Circumstances necessitating the collection of information</w:t>
      </w:r>
      <w:r w:rsidR="00AE1E2E">
        <w:rPr>
          <w:u w:val="single"/>
        </w:rPr>
        <w:t>.</w:t>
      </w:r>
    </w:p>
    <w:p w:rsidR="005C2C05" w:rsidRPr="0025604D" w:rsidP="00990870" w14:paraId="41776767" w14:textId="77777777">
      <w:pPr>
        <w:ind w:left="360"/>
        <w:rPr>
          <w:u w:val="single"/>
        </w:rPr>
      </w:pPr>
    </w:p>
    <w:p w:rsidR="00DD2C3F" w:rsidP="006D5CA0" w14:paraId="25B7DF30" w14:textId="6950185F">
      <w:r w:rsidRPr="005B2332">
        <w:t xml:space="preserve">Section 72(t)(1) generally imposes a 10 percent additional tax on any distribution from a qualified retirement plan within the meaning of section 4974(c), unless the distribution qualifies for one of the exceptions listed in section 72(t)(2). </w:t>
      </w:r>
      <w:r w:rsidR="00232268">
        <w:t xml:space="preserve"> </w:t>
      </w:r>
      <w:r w:rsidRPr="005B2332">
        <w:t>Section 326 of</w:t>
      </w:r>
      <w:r w:rsidRPr="00232268" w:rsidR="00BE38A6">
        <w:t xml:space="preserve"> Division T of the Consolidated Appropriations Act, 2023, Pub. L. 117-328, 136 Stat. 4459 (2023), known as the Setting Every Community Up for Retirement Enhancement Act of 2022 (SECURE 2.0 Act)</w:t>
      </w:r>
      <w:r w:rsidR="00BE38A6">
        <w:t>,</w:t>
      </w:r>
      <w:r w:rsidRPr="005B2332">
        <w:t xml:space="preserve"> amended section 72(t)(2) of the Code to add new exception</w:t>
      </w:r>
      <w:r w:rsidR="00C25A3F">
        <w:t>s</w:t>
      </w:r>
      <w:r w:rsidRPr="005B2332">
        <w:t xml:space="preserve"> to the 10 percent additional tax</w:t>
      </w:r>
      <w:r w:rsidR="00A56179">
        <w:t>, including those</w:t>
      </w:r>
      <w:r w:rsidRPr="005B2332">
        <w:t xml:space="preserve"> for any distribution made</w:t>
      </w:r>
      <w:r w:rsidR="00E266F1">
        <w:t xml:space="preserve"> to</w:t>
      </w:r>
      <w:r>
        <w:t>:</w:t>
      </w:r>
    </w:p>
    <w:p w:rsidR="00A56179" w:rsidP="001121E6" w14:paraId="1704311A" w14:textId="2C97A6C3">
      <w:pPr>
        <w:ind w:left="720"/>
      </w:pPr>
      <w:r>
        <w:t xml:space="preserve">(1) </w:t>
      </w:r>
      <w:r w:rsidRPr="005B2332" w:rsidR="005B2332">
        <w:t>a terminally ill individual</w:t>
      </w:r>
      <w:r w:rsidR="00E266F1">
        <w:t xml:space="preserve"> under section 72(t)(2)(L)(iii),</w:t>
      </w:r>
    </w:p>
    <w:p w:rsidR="00A56179" w:rsidP="001121E6" w14:paraId="579EBBD0" w14:textId="07D2AD7C">
      <w:pPr>
        <w:ind w:firstLine="720"/>
      </w:pPr>
      <w:r>
        <w:t xml:space="preserve">(2) </w:t>
      </w:r>
      <w:r w:rsidR="00E266F1">
        <w:t>an individual for emergency personal expenses under section 72(t)(2)(</w:t>
      </w:r>
      <w:r w:rsidR="00E266F1">
        <w:rPr>
          <w:rFonts w:ascii="Arial" w:hAnsi="Arial" w:cs="Arial"/>
          <w:bCs/>
        </w:rPr>
        <w:t>I</w:t>
      </w:r>
      <w:r w:rsidR="00E266F1">
        <w:t>)</w:t>
      </w:r>
      <w:r w:rsidR="002B30DB">
        <w:t xml:space="preserve">, and </w:t>
      </w:r>
    </w:p>
    <w:p w:rsidR="005B2332" w:rsidP="001121E6" w14:paraId="252F54FA" w14:textId="4231AB5D">
      <w:pPr>
        <w:ind w:left="720"/>
      </w:pPr>
      <w:r>
        <w:t>(</w:t>
      </w:r>
      <w:r w:rsidR="00DD2C3F">
        <w:t xml:space="preserve">3) </w:t>
      </w:r>
      <w:r w:rsidR="002B30DB">
        <w:t>a domestic abuse victim under s</w:t>
      </w:r>
      <w:r w:rsidRPr="005B2332">
        <w:t>ection 72(t)(2)(</w:t>
      </w:r>
      <w:r w:rsidR="002B30DB">
        <w:t>K</w:t>
      </w:r>
      <w:r w:rsidRPr="005B2332">
        <w:t xml:space="preserve">) </w:t>
      </w:r>
    </w:p>
    <w:p w:rsidR="005B2332" w:rsidP="005B2332" w14:paraId="3E7DE27D" w14:textId="77777777">
      <w:pPr>
        <w:ind w:firstLine="720"/>
      </w:pPr>
    </w:p>
    <w:p w:rsidR="005B2332" w:rsidP="005B2332" w14:paraId="428C50DF" w14:textId="642A31D6">
      <w:r>
        <w:t xml:space="preserve">While these distributions are not subject to the 10 percent additional tax under section 72(t)(1), they nevertheless </w:t>
      </w:r>
      <w:r w:rsidR="00AE19E0">
        <w:t>are</w:t>
      </w:r>
      <w:r>
        <w:t xml:space="preserve"> includible in gross income. </w:t>
      </w:r>
      <w:r w:rsidRPr="005B2332">
        <w:t xml:space="preserve"> </w:t>
      </w:r>
    </w:p>
    <w:p w:rsidR="00BE38A6" w:rsidRPr="005B2332" w:rsidP="005B2332" w14:paraId="088D162A" w14:textId="77777777"/>
    <w:p w:rsidR="00695A55" w:rsidP="006D5CA0" w14:paraId="32B48A9D" w14:textId="538D9682">
      <w:pPr>
        <w:pStyle w:val="Default"/>
        <w:rPr>
          <w:rFonts w:ascii="Times New Roman" w:hAnsi="Times New Roman" w:cs="Times New Roman"/>
          <w:color w:val="auto"/>
        </w:rPr>
      </w:pPr>
      <w:r w:rsidRPr="001121E6">
        <w:rPr>
          <w:rFonts w:ascii="Times New Roman" w:hAnsi="Times New Roman" w:cs="Times New Roman"/>
        </w:rPr>
        <w:t>Section 72(t)(2)(L)(iii)</w:t>
      </w:r>
      <w:r>
        <w:rPr>
          <w:rFonts w:ascii="Times New Roman" w:hAnsi="Times New Roman" w:cs="Times New Roman"/>
        </w:rPr>
        <w:t xml:space="preserve"> </w:t>
      </w:r>
      <w:r w:rsidRPr="001121E6">
        <w:rPr>
          <w:rFonts w:ascii="Times New Roman" w:hAnsi="Times New Roman" w:cs="Times New Roman"/>
        </w:rPr>
        <w:t>permits an employee</w:t>
      </w:r>
      <w:r w:rsidR="00AE1E2E">
        <w:rPr>
          <w:rFonts w:ascii="Times New Roman" w:hAnsi="Times New Roman" w:cs="Times New Roman"/>
        </w:rPr>
        <w:t xml:space="preserve"> w</w:t>
      </w:r>
      <w:r w:rsidRPr="001121E6">
        <w:rPr>
          <w:rFonts w:ascii="Times New Roman" w:hAnsi="Times New Roman" w:cs="Times New Roman"/>
        </w:rPr>
        <w:t xml:space="preserve">ho is a terminally ill individual to receive a distribution (terminally ill distribution) on or after the date on which the employee has been certified by a physician as having a terminal illness.  </w:t>
      </w:r>
      <w:r w:rsidRPr="001121E6" w:rsidR="00E266F1">
        <w:rPr>
          <w:rFonts w:ascii="Times New Roman" w:hAnsi="Times New Roman" w:cs="Times New Roman"/>
        </w:rPr>
        <w:t xml:space="preserve">Section 72(t)(2)(L)(iii) provides that, </w:t>
      </w:r>
      <w:r w:rsidRPr="001121E6" w:rsidR="00E266F1">
        <w:rPr>
          <w:rFonts w:ascii="Times New Roman" w:hAnsi="Times New Roman" w:cs="Times New Roman"/>
        </w:rPr>
        <w:t>in order to</w:t>
      </w:r>
      <w:r w:rsidRPr="001121E6" w:rsidR="00E266F1">
        <w:rPr>
          <w:rFonts w:ascii="Times New Roman" w:hAnsi="Times New Roman" w:cs="Times New Roman"/>
        </w:rPr>
        <w:t xml:space="preserve"> be considered a terminally ill individual, an employee must furnish sufficient evidence to the plan administrator in such form and manner as the Secretary of the Treasury may require</w:t>
      </w:r>
      <w:r>
        <w:rPr>
          <w:rFonts w:ascii="Times New Roman" w:hAnsi="Times New Roman" w:cs="Times New Roman"/>
        </w:rPr>
        <w:t xml:space="preserve">.  </w:t>
      </w:r>
      <w:r w:rsidRPr="002B30DB" w:rsidR="005B2332">
        <w:rPr>
          <w:rFonts w:ascii="Times New Roman" w:hAnsi="Times New Roman" w:cs="Times New Roman"/>
          <w:color w:val="auto"/>
        </w:rPr>
        <w:t>A</w:t>
      </w:r>
      <w:r w:rsidRPr="005B2332" w:rsidR="005B2332">
        <w:rPr>
          <w:rFonts w:ascii="Times New Roman" w:hAnsi="Times New Roman" w:cs="Times New Roman"/>
          <w:color w:val="auto"/>
        </w:rPr>
        <w:t xml:space="preserve"> certification of terminal illness from a physician must include the following:</w:t>
      </w:r>
      <w:r w:rsidR="005B2332">
        <w:rPr>
          <w:rFonts w:ascii="Times New Roman" w:hAnsi="Times New Roman" w:cs="Times New Roman"/>
          <w:color w:val="auto"/>
        </w:rPr>
        <w:t xml:space="preserve"> </w:t>
      </w:r>
      <w:r w:rsidRPr="005B2332" w:rsidR="005B2332">
        <w:rPr>
          <w:rFonts w:ascii="Times New Roman" w:hAnsi="Times New Roman" w:cs="Times New Roman"/>
          <w:color w:val="auto"/>
        </w:rPr>
        <w:t>(1)</w:t>
      </w:r>
      <w:r w:rsidR="005B2332">
        <w:rPr>
          <w:rFonts w:ascii="Times New Roman" w:hAnsi="Times New Roman" w:cs="Times New Roman"/>
          <w:color w:val="auto"/>
        </w:rPr>
        <w:t> </w:t>
      </w:r>
      <w:r w:rsidR="00BE38A6">
        <w:rPr>
          <w:rFonts w:ascii="Times New Roman" w:hAnsi="Times New Roman" w:cs="Times New Roman"/>
          <w:color w:val="auto"/>
        </w:rPr>
        <w:t>a</w:t>
      </w:r>
      <w:r w:rsidRPr="005B2332" w:rsidR="005B2332">
        <w:rPr>
          <w:rFonts w:ascii="Times New Roman" w:hAnsi="Times New Roman" w:cs="Times New Roman"/>
          <w:color w:val="auto"/>
        </w:rPr>
        <w:t xml:space="preserve"> statement that the individual’s illness or physical condition that can be reasonably expected to result in death in 84 months or less;</w:t>
      </w:r>
      <w:r w:rsidR="005B2332">
        <w:rPr>
          <w:rFonts w:ascii="Times New Roman" w:hAnsi="Times New Roman" w:cs="Times New Roman"/>
          <w:color w:val="auto"/>
        </w:rPr>
        <w:t xml:space="preserve"> </w:t>
      </w:r>
      <w:r w:rsidRPr="005B2332" w:rsidR="005B2332">
        <w:rPr>
          <w:rFonts w:ascii="Times New Roman" w:hAnsi="Times New Roman" w:cs="Times New Roman"/>
          <w:color w:val="auto"/>
        </w:rPr>
        <w:t xml:space="preserve">(2) </w:t>
      </w:r>
      <w:r w:rsidR="00BE38A6">
        <w:rPr>
          <w:rFonts w:ascii="Times New Roman" w:hAnsi="Times New Roman" w:cs="Times New Roman"/>
          <w:color w:val="auto"/>
        </w:rPr>
        <w:t>a</w:t>
      </w:r>
      <w:r w:rsidRPr="005B2332" w:rsidR="005B2332">
        <w:rPr>
          <w:rFonts w:ascii="Times New Roman" w:hAnsi="Times New Roman" w:cs="Times New Roman"/>
          <w:color w:val="auto"/>
        </w:rPr>
        <w:t xml:space="preserve"> narrative description of the evidence that was used to support the statement of illness or physical condition;</w:t>
      </w:r>
      <w:r w:rsidR="005B2332">
        <w:rPr>
          <w:rFonts w:ascii="Times New Roman" w:hAnsi="Times New Roman" w:cs="Times New Roman"/>
          <w:color w:val="auto"/>
        </w:rPr>
        <w:t xml:space="preserve"> </w:t>
      </w:r>
      <w:r w:rsidRPr="005B2332" w:rsidR="005B2332">
        <w:rPr>
          <w:rFonts w:ascii="Times New Roman" w:hAnsi="Times New Roman" w:cs="Times New Roman"/>
          <w:color w:val="auto"/>
        </w:rPr>
        <w:t xml:space="preserve">(3) </w:t>
      </w:r>
      <w:r w:rsidR="00BE38A6">
        <w:rPr>
          <w:rFonts w:ascii="Times New Roman" w:hAnsi="Times New Roman" w:cs="Times New Roman"/>
          <w:color w:val="auto"/>
        </w:rPr>
        <w:t>t</w:t>
      </w:r>
      <w:r w:rsidRPr="005B2332" w:rsidR="005B2332">
        <w:rPr>
          <w:rFonts w:ascii="Times New Roman" w:hAnsi="Times New Roman" w:cs="Times New Roman"/>
          <w:color w:val="auto"/>
        </w:rPr>
        <w:t>he name and contact information of the physician making the statement;</w:t>
      </w:r>
      <w:r w:rsidR="005B2332">
        <w:rPr>
          <w:rFonts w:ascii="Times New Roman" w:hAnsi="Times New Roman" w:cs="Times New Roman"/>
          <w:color w:val="auto"/>
        </w:rPr>
        <w:t xml:space="preserve"> </w:t>
      </w:r>
      <w:r w:rsidRPr="005B2332" w:rsidR="005B2332">
        <w:rPr>
          <w:rFonts w:ascii="Times New Roman" w:hAnsi="Times New Roman" w:cs="Times New Roman"/>
          <w:color w:val="auto"/>
        </w:rPr>
        <w:t xml:space="preserve">(4) </w:t>
      </w:r>
      <w:r w:rsidR="00BE38A6">
        <w:rPr>
          <w:rFonts w:ascii="Times New Roman" w:hAnsi="Times New Roman" w:cs="Times New Roman"/>
          <w:color w:val="auto"/>
        </w:rPr>
        <w:t>t</w:t>
      </w:r>
      <w:r w:rsidRPr="005B2332" w:rsidR="005B2332">
        <w:rPr>
          <w:rFonts w:ascii="Times New Roman" w:hAnsi="Times New Roman" w:cs="Times New Roman"/>
          <w:color w:val="auto"/>
        </w:rPr>
        <w:t>he date the physician examined the individual or reviewed the evidence provided by the individual, and the date that the certification is signed by the physician; and</w:t>
      </w:r>
      <w:r w:rsidR="005B2332">
        <w:rPr>
          <w:rFonts w:ascii="Times New Roman" w:hAnsi="Times New Roman" w:cs="Times New Roman"/>
          <w:color w:val="auto"/>
        </w:rPr>
        <w:t xml:space="preserve"> </w:t>
      </w:r>
      <w:r w:rsidRPr="005B2332" w:rsidR="005B2332">
        <w:rPr>
          <w:rFonts w:ascii="Times New Roman" w:hAnsi="Times New Roman" w:cs="Times New Roman"/>
          <w:color w:val="auto"/>
        </w:rPr>
        <w:t xml:space="preserve">(5) </w:t>
      </w:r>
      <w:r w:rsidR="00BE38A6">
        <w:rPr>
          <w:rFonts w:ascii="Times New Roman" w:hAnsi="Times New Roman" w:cs="Times New Roman"/>
          <w:color w:val="auto"/>
        </w:rPr>
        <w:t>t</w:t>
      </w:r>
      <w:r w:rsidRPr="005B2332" w:rsidR="005B2332">
        <w:rPr>
          <w:rFonts w:ascii="Times New Roman" w:hAnsi="Times New Roman" w:cs="Times New Roman"/>
          <w:color w:val="auto"/>
        </w:rPr>
        <w:t>he signature of the physician making the statement, and an attestation from the physician that, by signing the form, the physician confirms that the physician composed the narrative description based on the physician’s examination of the individual or the physician’s review of the evidence provided by the individual.</w:t>
      </w:r>
    </w:p>
    <w:p w:rsidR="002B30DB" w:rsidP="006D5CA0" w14:paraId="17303453" w14:textId="77777777">
      <w:pPr>
        <w:pStyle w:val="Default"/>
        <w:rPr>
          <w:rFonts w:ascii="Times New Roman" w:hAnsi="Times New Roman" w:cs="Times New Roman"/>
          <w:color w:val="auto"/>
        </w:rPr>
      </w:pPr>
    </w:p>
    <w:p w:rsidR="007A61CE" w:rsidP="001C6246" w14:paraId="293E1B1E" w14:textId="430BFD9E">
      <w:pPr>
        <w:rPr>
          <w:bCs/>
        </w:rPr>
      </w:pPr>
      <w:r w:rsidRPr="001121E6">
        <w:rPr>
          <w:bCs/>
        </w:rPr>
        <w:t xml:space="preserve">Section 72(t)(2)(I)(iv) provides that </w:t>
      </w:r>
      <w:r w:rsidRPr="007A61CE">
        <w:rPr>
          <w:bCs/>
        </w:rPr>
        <w:t xml:space="preserve">an </w:t>
      </w:r>
      <w:r w:rsidRPr="001121E6">
        <w:rPr>
          <w:bCs/>
        </w:rPr>
        <w:t xml:space="preserve">emergency personal expense distribution </w:t>
      </w:r>
      <w:r w:rsidRPr="007A61CE">
        <w:rPr>
          <w:bCs/>
        </w:rPr>
        <w:t>is</w:t>
      </w:r>
      <w:r w:rsidRPr="001121E6">
        <w:rPr>
          <w:bCs/>
        </w:rPr>
        <w:t xml:space="preserve"> any distribution made from an applicable eligible retirement plan to an individual for purposes of meeting unforeseeable or immediate financial needs relating to necessary personal or family emergency expenses. Section 72(t)(2)(I)(iv) provides that an administrator of an applicable eligible retirement plan may rely on an employee’s written certification that the employee satisfies the conditions for an emergency personal expense </w:t>
      </w:r>
      <w:r w:rsidRPr="001121E6">
        <w:rPr>
          <w:bCs/>
        </w:rPr>
        <w:t xml:space="preserve">distribution. </w:t>
      </w:r>
      <w:r w:rsidRPr="00033871" w:rsidR="001664EB">
        <w:rPr>
          <w:bCs/>
        </w:rPr>
        <w:t xml:space="preserve"> Q&amp;A A-9</w:t>
      </w:r>
      <w:r w:rsidRPr="001121E6">
        <w:rPr>
          <w:bCs/>
        </w:rPr>
        <w:t xml:space="preserve"> </w:t>
      </w:r>
      <w:r w:rsidRPr="001121E6" w:rsidR="00AE19E0">
        <w:rPr>
          <w:bCs/>
        </w:rPr>
        <w:t>provides that, in determining whether an employee is eligible for an emergency personal expense distribution, an administrator of an applicable eligible retirement plan is permitted to rely on an employee’s written certification that the employee is eligible for an emergency personal expense distribution.</w:t>
      </w:r>
    </w:p>
    <w:p w:rsidR="00BD1436" w:rsidP="007A61CE" w14:paraId="3B76488A" w14:textId="77777777">
      <w:pPr>
        <w:ind w:firstLine="720"/>
        <w:rPr>
          <w:bCs/>
        </w:rPr>
      </w:pPr>
    </w:p>
    <w:p w:rsidR="00380FA0" w:rsidP="00380FA0" w14:paraId="123D118F" w14:textId="705BBE11">
      <w:pPr>
        <w:rPr>
          <w:bCs/>
        </w:rPr>
      </w:pPr>
      <w:r w:rsidRPr="001121E6">
        <w:rPr>
          <w:bCs/>
        </w:rPr>
        <w:t>Section 72(t)(2)(K)</w:t>
      </w:r>
      <w:r>
        <w:rPr>
          <w:bCs/>
        </w:rPr>
        <w:t>(iii)(I)</w:t>
      </w:r>
      <w:r w:rsidRPr="001121E6">
        <w:rPr>
          <w:bCs/>
        </w:rPr>
        <w:t xml:space="preserve"> </w:t>
      </w:r>
      <w:r>
        <w:rPr>
          <w:bCs/>
        </w:rPr>
        <w:t xml:space="preserve">generally </w:t>
      </w:r>
      <w:r w:rsidRPr="001121E6">
        <w:rPr>
          <w:bCs/>
        </w:rPr>
        <w:t xml:space="preserve">provides </w:t>
      </w:r>
      <w:r>
        <w:rPr>
          <w:bCs/>
        </w:rPr>
        <w:t xml:space="preserve">that a domestic abuse victim distribution is </w:t>
      </w:r>
      <w:r w:rsidRPr="001121E6">
        <w:rPr>
          <w:bCs/>
        </w:rPr>
        <w:t xml:space="preserve">any distribution from an applicable eligible retirement plan to a domestic abuse victim if made during the 1-year period beginning on </w:t>
      </w:r>
      <w:r w:rsidR="00AE19E0">
        <w:rPr>
          <w:bCs/>
        </w:rPr>
        <w:t>any</w:t>
      </w:r>
      <w:r w:rsidRPr="001121E6">
        <w:rPr>
          <w:bCs/>
        </w:rPr>
        <w:t xml:space="preserve"> date on which the individual is a victim of domestic abuse by a spouse or domestic partner.</w:t>
      </w:r>
      <w:r w:rsidRPr="00380FA0">
        <w:rPr>
          <w:bCs/>
        </w:rPr>
        <w:t xml:space="preserve">  </w:t>
      </w:r>
    </w:p>
    <w:p w:rsidR="00380FA0" w:rsidP="00380FA0" w14:paraId="79164735" w14:textId="77777777">
      <w:pPr>
        <w:rPr>
          <w:bCs/>
        </w:rPr>
      </w:pPr>
    </w:p>
    <w:p w:rsidR="002B30DB" w:rsidRPr="00F22891" w:rsidP="001121E6" w14:paraId="7930ADD2" w14:textId="1E99CE5E">
      <w:pPr>
        <w:rPr>
          <w:bCs/>
        </w:rPr>
      </w:pPr>
      <w:r w:rsidRPr="00F22891">
        <w:rPr>
          <w:bCs/>
        </w:rPr>
        <w:t xml:space="preserve">To meet the certification requirements of section 72(t)(2)(K)(vi)(III), the employee or participant could check the box on the distribution request form to certify that (1) the employee or participant is eligible for a domestic abuse victim distribution and (2) the distribution is made during the 1-year period beginning on </w:t>
      </w:r>
      <w:r w:rsidR="00AE19E0">
        <w:rPr>
          <w:bCs/>
        </w:rPr>
        <w:t>any</w:t>
      </w:r>
      <w:r w:rsidRPr="00F22891">
        <w:rPr>
          <w:bCs/>
        </w:rPr>
        <w:t xml:space="preserve"> date on which the individual is a victim of domestic abuse.  The certification must be provided in writing and the employee or participant may use the electronic delivery rules in §1.401(a)-21(d) to provide the certification.  </w:t>
      </w:r>
    </w:p>
    <w:p w:rsidR="005B2332" w:rsidRPr="0025604D" w:rsidP="00CE2D06" w14:paraId="64F881E8" w14:textId="77777777"/>
    <w:p w:rsidR="005C2C05" w:rsidRPr="0025604D" w:rsidP="00F41911" w14:paraId="4177676A" w14:textId="03A25D4B">
      <w:pPr>
        <w:numPr>
          <w:ilvl w:val="0"/>
          <w:numId w:val="12"/>
        </w:numPr>
      </w:pPr>
      <w:r w:rsidRPr="0025604D">
        <w:rPr>
          <w:u w:val="single"/>
        </w:rPr>
        <w:t>Use of the data</w:t>
      </w:r>
      <w:r w:rsidR="00AE1E2E">
        <w:rPr>
          <w:u w:val="single"/>
        </w:rPr>
        <w:t>.</w:t>
      </w:r>
    </w:p>
    <w:p w:rsidR="005C2C05" w:rsidRPr="0025604D" w:rsidP="003C1AB8" w14:paraId="4177676B" w14:textId="77777777">
      <w:pPr>
        <w:rPr>
          <w:u w:val="single"/>
        </w:rPr>
      </w:pPr>
    </w:p>
    <w:p w:rsidR="004915DB" w:rsidP="00CF0E68" w14:paraId="02644353" w14:textId="77777777">
      <w:r>
        <w:t xml:space="preserve">The information will be used </w:t>
      </w:r>
      <w:r w:rsidR="00CB3662">
        <w:t xml:space="preserve">by </w:t>
      </w:r>
      <w:r w:rsidR="00695A55">
        <w:t>a plan administrator to</w:t>
      </w:r>
      <w:r>
        <w:t>:</w:t>
      </w:r>
    </w:p>
    <w:p w:rsidR="00314A18" w:rsidP="00CF0E68" w14:paraId="43A84F77" w14:textId="77777777"/>
    <w:p w:rsidR="004915DB" w:rsidP="004915DB" w14:paraId="4158B202" w14:textId="5BC14131">
      <w:pPr>
        <w:pStyle w:val="ListParagraph"/>
        <w:numPr>
          <w:ilvl w:val="0"/>
          <w:numId w:val="14"/>
        </w:numPr>
      </w:pPr>
      <w:r>
        <w:t>D</w:t>
      </w:r>
      <w:r w:rsidR="00695A55">
        <w:t>etermine whether an individual is eligible for a terminal illness distribution</w:t>
      </w:r>
      <w:r>
        <w:t xml:space="preserve"> </w:t>
      </w:r>
      <w:r w:rsidR="00EF30E0">
        <w:t>under section 72(t)(2)(L)</w:t>
      </w:r>
      <w:r>
        <w:t xml:space="preserve">, </w:t>
      </w:r>
    </w:p>
    <w:p w:rsidR="008A08A1" w:rsidP="001121E6" w14:paraId="68F8452C" w14:textId="4934E26E">
      <w:pPr>
        <w:pStyle w:val="ListParagraph"/>
        <w:numPr>
          <w:ilvl w:val="0"/>
          <w:numId w:val="14"/>
        </w:numPr>
      </w:pPr>
      <w:r>
        <w:t>Rely on the individual’s certification that the</w:t>
      </w:r>
      <w:r w:rsidR="00AE19E0">
        <w:t xml:space="preserve"> individual</w:t>
      </w:r>
      <w:r>
        <w:t xml:space="preserve"> meet</w:t>
      </w:r>
      <w:r w:rsidR="00AE19E0">
        <w:t>s</w:t>
      </w:r>
      <w:r>
        <w:t xml:space="preserve"> the requirements to receive an emergency personal expense distribution </w:t>
      </w:r>
      <w:r>
        <w:t>under section 72(t)(2)(I);</w:t>
      </w:r>
      <w:r w:rsidR="004C304B">
        <w:t xml:space="preserve"> and</w:t>
      </w:r>
    </w:p>
    <w:p w:rsidR="00607DDF" w:rsidP="001121E6" w14:paraId="510DB363" w14:textId="50AEC4D0">
      <w:pPr>
        <w:pStyle w:val="ListParagraph"/>
        <w:numPr>
          <w:ilvl w:val="0"/>
          <w:numId w:val="14"/>
        </w:numPr>
      </w:pPr>
      <w:r>
        <w:t xml:space="preserve">Determine whether an individual is eligible for a </w:t>
      </w:r>
      <w:r w:rsidR="00C42204">
        <w:t xml:space="preserve">domestic abuse victim distribution </w:t>
      </w:r>
      <w:r w:rsidR="004C304B">
        <w:t xml:space="preserve">under section </w:t>
      </w:r>
      <w:r w:rsidR="00C42204">
        <w:t>72(t)(2)(K).</w:t>
      </w:r>
    </w:p>
    <w:p w:rsidR="002116E0" w:rsidP="00314A18" w14:paraId="26522E0E" w14:textId="77777777">
      <w:pPr>
        <w:pStyle w:val="ListParagraph"/>
      </w:pPr>
    </w:p>
    <w:p w:rsidR="004C304B" w:rsidP="00314A18" w14:paraId="475526FE" w14:textId="14877EE0">
      <w:r>
        <w:t>For situations in which a plan does not offer</w:t>
      </w:r>
      <w:r w:rsidR="0063327C">
        <w:t xml:space="preserve"> a terminal illness distribution, an individual may elect to treat an otherwise permissible distribution as a terminal illness distribution.  In such a case, t</w:t>
      </w:r>
      <w:r w:rsidR="002116E0">
        <w:t xml:space="preserve">he IRS </w:t>
      </w:r>
      <w:r w:rsidR="00E20588">
        <w:t xml:space="preserve">may </w:t>
      </w:r>
      <w:r w:rsidR="002116E0">
        <w:t xml:space="preserve">use </w:t>
      </w:r>
      <w:r w:rsidR="00CE6DFA">
        <w:t>the physician’s certificate of terminal illness</w:t>
      </w:r>
      <w:r w:rsidR="0036636F">
        <w:t xml:space="preserve"> (retained by the taxpayer under section 6001)</w:t>
      </w:r>
      <w:r w:rsidR="002116E0">
        <w:t xml:space="preserve"> to ensure that </w:t>
      </w:r>
      <w:r w:rsidR="00E20588">
        <w:t xml:space="preserve">the </w:t>
      </w:r>
      <w:r w:rsidR="002116E0">
        <w:t>taxpayer</w:t>
      </w:r>
      <w:r w:rsidR="00E20588">
        <w:t xml:space="preserve"> is</w:t>
      </w:r>
      <w:r w:rsidR="002116E0">
        <w:t xml:space="preserve"> eligible for the exception to the 10% additional tax under section 72(t)</w:t>
      </w:r>
      <w:r w:rsidR="003349B5">
        <w:t xml:space="preserve">(2)(L) </w:t>
      </w:r>
      <w:r w:rsidR="002B0FF4">
        <w:t>for terminal illness distributions</w:t>
      </w:r>
      <w:r w:rsidR="00AD4F02">
        <w:t xml:space="preserve">.  </w:t>
      </w:r>
    </w:p>
    <w:p w:rsidR="005C2C05" w:rsidRPr="0025604D" w:rsidP="003C1AB8" w14:paraId="4177676D" w14:textId="5A71BD52"/>
    <w:p w:rsidR="005C2C05" w:rsidRPr="005378E3" w:rsidP="005378E3" w14:paraId="4177676E" w14:textId="06E1BF45">
      <w:pPr>
        <w:numPr>
          <w:ilvl w:val="0"/>
          <w:numId w:val="12"/>
        </w:numPr>
        <w:rPr>
          <w:u w:val="single"/>
        </w:rPr>
      </w:pPr>
      <w:r w:rsidRPr="0025604D">
        <w:rPr>
          <w:u w:val="single"/>
        </w:rPr>
        <w:t>Use of information technology</w:t>
      </w:r>
      <w:r w:rsidR="00AE1E2E">
        <w:rPr>
          <w:u w:val="single"/>
        </w:rPr>
        <w:t>.</w:t>
      </w:r>
      <w:r w:rsidRPr="005378E3">
        <w:rPr>
          <w:u w:val="single"/>
        </w:rPr>
        <w:t xml:space="preserve"> </w:t>
      </w:r>
    </w:p>
    <w:p w:rsidR="005C2C05" w:rsidP="00961823" w14:paraId="4177676F" w14:textId="5837CB1B">
      <w:pPr>
        <w:keepNext/>
      </w:pPr>
    </w:p>
    <w:p w:rsidR="009B75C7" w:rsidRPr="00F22891" w:rsidP="009B75C7" w14:paraId="05570DE2" w14:textId="7049C68E">
      <w:pPr>
        <w:rPr>
          <w:bCs/>
        </w:rPr>
      </w:pPr>
      <w:r w:rsidRPr="007F78BD">
        <w:t xml:space="preserve">IRS has no plans to offer electronic filing as these are </w:t>
      </w:r>
      <w:r w:rsidRPr="00337012">
        <w:t>t</w:t>
      </w:r>
      <w:r w:rsidRPr="007F78BD">
        <w:t xml:space="preserve">hird-party disclosure requirements only. </w:t>
      </w:r>
      <w:r>
        <w:t xml:space="preserve"> However, as provided for domestic abuse victim distributions, </w:t>
      </w:r>
      <w:r>
        <w:rPr>
          <w:bCs/>
        </w:rPr>
        <w:t>t</w:t>
      </w:r>
      <w:r w:rsidRPr="00F22891">
        <w:rPr>
          <w:bCs/>
        </w:rPr>
        <w:t xml:space="preserve">he certification must be provided in writing and the employee may use the electronic delivery rules in §1.401(a)-21(d) to provide the certification.  </w:t>
      </w:r>
    </w:p>
    <w:p w:rsidR="005C2C05" w:rsidRPr="0025604D" w:rsidP="00337012" w14:paraId="41776771" w14:textId="77777777">
      <w:pPr>
        <w:keepNext/>
      </w:pPr>
    </w:p>
    <w:p w:rsidR="005C2C05" w:rsidRPr="005378E3" w:rsidP="005378E3" w14:paraId="41776772" w14:textId="186DDA87">
      <w:pPr>
        <w:numPr>
          <w:ilvl w:val="0"/>
          <w:numId w:val="12"/>
        </w:numPr>
        <w:rPr>
          <w:u w:val="single"/>
        </w:rPr>
      </w:pPr>
      <w:r w:rsidRPr="0025604D">
        <w:rPr>
          <w:u w:val="single"/>
        </w:rPr>
        <w:t>Efforts to identify duplication</w:t>
      </w:r>
      <w:r w:rsidR="00AE1E2E">
        <w:rPr>
          <w:u w:val="single"/>
        </w:rPr>
        <w:t>.</w:t>
      </w:r>
      <w:r w:rsidRPr="005378E3">
        <w:rPr>
          <w:u w:val="single"/>
        </w:rPr>
        <w:t xml:space="preserve">  </w:t>
      </w:r>
    </w:p>
    <w:p w:rsidR="005C2C05" w:rsidP="00CC4534" w14:paraId="41776773" w14:textId="77777777"/>
    <w:p w:rsidR="0067247A" w:rsidRPr="00337012" w:rsidP="00337012" w14:paraId="50D722C0" w14:textId="77777777">
      <w:pPr>
        <w:rPr>
          <w:rFonts w:eastAsiaTheme="minorHAnsi"/>
        </w:rPr>
      </w:pPr>
      <w:r w:rsidRPr="00337012">
        <w:rPr>
          <w:rFonts w:eastAsiaTheme="minorHAnsi"/>
        </w:rPr>
        <w:t xml:space="preserve">The information obtained through this collection is unique and is not already available for use or adaption from another source. </w:t>
      </w:r>
    </w:p>
    <w:p w:rsidR="005C2C05" w:rsidRPr="00337012" w:rsidP="00F72D0B" w14:paraId="41776775" w14:textId="77777777">
      <w:pPr>
        <w:rPr>
          <w:rFonts w:eastAsiaTheme="minorHAnsi"/>
        </w:rPr>
      </w:pPr>
    </w:p>
    <w:p w:rsidR="005C2C05" w:rsidRPr="0025604D" w:rsidP="005378E3" w14:paraId="41776776" w14:textId="49651D4C">
      <w:pPr>
        <w:numPr>
          <w:ilvl w:val="0"/>
          <w:numId w:val="12"/>
        </w:numPr>
        <w:rPr>
          <w:u w:val="single"/>
        </w:rPr>
      </w:pPr>
      <w:r w:rsidRPr="0025604D">
        <w:rPr>
          <w:u w:val="single"/>
        </w:rPr>
        <w:t>Impact on small entities</w:t>
      </w:r>
      <w:r w:rsidR="00AE1E2E">
        <w:rPr>
          <w:u w:val="single"/>
        </w:rPr>
        <w:t>.</w:t>
      </w:r>
    </w:p>
    <w:p w:rsidR="005C2C05" w:rsidRPr="0025604D" w:rsidP="00F72D0B" w14:paraId="41776777" w14:textId="77777777"/>
    <w:p w:rsidR="004470CC" w:rsidRPr="00131D26" w:rsidP="004470CC" w14:paraId="41776778" w14:textId="77777777">
      <w:r w:rsidRPr="00131D26">
        <w:t>The collection of information requirement will not have a significant economic impact on a substantial number of small entities.</w:t>
      </w:r>
    </w:p>
    <w:p w:rsidR="001C6246" w:rsidRPr="0025604D" w:rsidP="00F72D0B" w14:paraId="628E0492" w14:textId="77777777"/>
    <w:p w:rsidR="005C2C05" w:rsidRPr="0025604D" w:rsidP="005378E3" w14:paraId="4177677A" w14:textId="4721C58D">
      <w:pPr>
        <w:numPr>
          <w:ilvl w:val="0"/>
          <w:numId w:val="12"/>
        </w:numPr>
        <w:rPr>
          <w:u w:val="single"/>
        </w:rPr>
      </w:pPr>
      <w:r w:rsidRPr="0025604D">
        <w:rPr>
          <w:u w:val="single"/>
        </w:rPr>
        <w:t>Consequences of less frequent collection and obstacles to burden reduction</w:t>
      </w:r>
      <w:r w:rsidR="00AE1E2E">
        <w:rPr>
          <w:u w:val="single"/>
        </w:rPr>
        <w:t>.</w:t>
      </w:r>
    </w:p>
    <w:p w:rsidR="005C2C05" w:rsidRPr="0025604D" w:rsidP="00F72D0B" w14:paraId="4177677B" w14:textId="77777777"/>
    <w:p w:rsidR="00CF0E68" w:rsidP="00F72D0B" w14:paraId="26A1001F" w14:textId="5777DE65">
      <w:r w:rsidRPr="00337012">
        <w:t xml:space="preserve">Consequences of less frequent collection </w:t>
      </w:r>
      <w:r w:rsidRPr="00337012">
        <w:t>would</w:t>
      </w:r>
      <w:r w:rsidRPr="00337012">
        <w:t xml:space="preserve"> result in </w:t>
      </w:r>
      <w:r w:rsidR="009B75C7">
        <w:t xml:space="preserve">plan administrators </w:t>
      </w:r>
      <w:r w:rsidRPr="00337012">
        <w:t xml:space="preserve">being </w:t>
      </w:r>
      <w:r>
        <w:t xml:space="preserve">unable </w:t>
      </w:r>
      <w:r w:rsidRPr="00337012">
        <w:t xml:space="preserve">to verify </w:t>
      </w:r>
      <w:r w:rsidR="009B75C7">
        <w:t xml:space="preserve">if a </w:t>
      </w:r>
      <w:r>
        <w:t xml:space="preserve">taxpayer meets the </w:t>
      </w:r>
      <w:r w:rsidR="00695A55">
        <w:t>statutory requirement</w:t>
      </w:r>
      <w:r w:rsidR="009B75C7">
        <w:t xml:space="preserve">s for </w:t>
      </w:r>
      <w:r w:rsidR="00695A55">
        <w:t>an exception to the 1</w:t>
      </w:r>
      <w:r w:rsidR="00232268">
        <w:t>0 percent</w:t>
      </w:r>
      <w:r w:rsidR="00695A55">
        <w:t xml:space="preserve"> additional tax for a </w:t>
      </w:r>
      <w:r w:rsidR="00BE38A6">
        <w:t xml:space="preserve">terminally ill </w:t>
      </w:r>
      <w:r w:rsidR="00695A55">
        <w:t>distribution</w:t>
      </w:r>
      <w:r w:rsidR="009B75C7">
        <w:t>, emergency personal expense distribution, or a domestic victim abuse distribution.</w:t>
      </w:r>
    </w:p>
    <w:p w:rsidR="00695A55" w:rsidRPr="0025604D" w:rsidP="00F72D0B" w14:paraId="4B34A93B" w14:textId="77777777"/>
    <w:p w:rsidR="005C2C05" w:rsidRPr="0025604D" w:rsidP="005378E3" w14:paraId="4177677F" w14:textId="75A47D00">
      <w:pPr>
        <w:numPr>
          <w:ilvl w:val="0"/>
          <w:numId w:val="12"/>
        </w:numPr>
        <w:rPr>
          <w:u w:val="single"/>
        </w:rPr>
      </w:pPr>
      <w:r w:rsidRPr="0025604D">
        <w:rPr>
          <w:u w:val="single"/>
        </w:rPr>
        <w:t>Circumstances requiring special information collection</w:t>
      </w:r>
      <w:r w:rsidR="00AE1E2E">
        <w:rPr>
          <w:u w:val="single"/>
        </w:rPr>
        <w:t>.</w:t>
      </w:r>
    </w:p>
    <w:p w:rsidR="005C2C05" w:rsidP="00CB003A" w14:paraId="41776780" w14:textId="77777777">
      <w:pPr>
        <w:rPr>
          <w:u w:val="single"/>
        </w:rPr>
      </w:pPr>
    </w:p>
    <w:p w:rsidR="00CF0E68" w:rsidRPr="00F31337" w:rsidP="00CF0E68" w14:paraId="43FDE6AA" w14:textId="77777777">
      <w:r w:rsidRPr="00930944">
        <w:t xml:space="preserve">There are no special circumstances requiring data collection to be inconsistent with </w:t>
      </w:r>
      <w:r>
        <w:t>g</w:t>
      </w:r>
      <w:r w:rsidRPr="00930944">
        <w:t>uidelines in 5 CFR 1320.5(d)(2)</w:t>
      </w:r>
      <w:r>
        <w:t>.</w:t>
      </w:r>
    </w:p>
    <w:p w:rsidR="005C2C05" w:rsidRPr="0025604D" w:rsidP="00CB003A" w14:paraId="41776782" w14:textId="77777777"/>
    <w:p w:rsidR="005C2C05" w:rsidRPr="0025604D" w:rsidP="005378E3" w14:paraId="41776783" w14:textId="425C4D7B">
      <w:pPr>
        <w:numPr>
          <w:ilvl w:val="0"/>
          <w:numId w:val="12"/>
        </w:numPr>
        <w:rPr>
          <w:u w:val="single"/>
        </w:rPr>
      </w:pPr>
      <w:r w:rsidRPr="0025604D">
        <w:rPr>
          <w:u w:val="single"/>
        </w:rPr>
        <w:t>Solicitation of comments on information collection</w:t>
      </w:r>
      <w:r w:rsidR="00AE1E2E">
        <w:rPr>
          <w:u w:val="single"/>
        </w:rPr>
        <w:t>.</w:t>
      </w:r>
    </w:p>
    <w:p w:rsidR="005C2C05" w:rsidRPr="0025604D" w:rsidP="00CB003A" w14:paraId="41776784" w14:textId="77777777"/>
    <w:p w:rsidR="007A3C21" w:rsidRPr="00337012" w:rsidP="00337012" w14:paraId="57A67E1B" w14:textId="349625A8">
      <w:r w:rsidRPr="009C5688">
        <w:t xml:space="preserve">In response to the </w:t>
      </w:r>
      <w:r w:rsidRPr="00181DE1">
        <w:rPr>
          <w:iCs/>
        </w:rPr>
        <w:t>Federal Register</w:t>
      </w:r>
      <w:r w:rsidRPr="009C5688">
        <w:t xml:space="preserve"> notice dated </w:t>
      </w:r>
      <w:r>
        <w:t>February 20, 2024</w:t>
      </w:r>
      <w:r w:rsidRPr="009C5688">
        <w:t xml:space="preserve"> (8</w:t>
      </w:r>
      <w:r>
        <w:t>9</w:t>
      </w:r>
      <w:r w:rsidRPr="009C5688">
        <w:t xml:space="preserve"> FR </w:t>
      </w:r>
      <w:r w:rsidRPr="007A3C21">
        <w:t>12945</w:t>
      </w:r>
      <w:r w:rsidRPr="009C5688">
        <w:t xml:space="preserve">), </w:t>
      </w:r>
      <w:r>
        <w:t xml:space="preserve">IRS </w:t>
      </w:r>
      <w:r w:rsidRPr="009C5688">
        <w:t xml:space="preserve">received no comments during the comment period regarding </w:t>
      </w:r>
      <w:r>
        <w:t>this collection.</w:t>
      </w:r>
    </w:p>
    <w:p w:rsidR="00695A55" w:rsidRPr="0025604D" w:rsidP="00CB003A" w14:paraId="1A37FE66" w14:textId="77777777"/>
    <w:p w:rsidR="00923A34" w:rsidRPr="00923A34" w:rsidP="008D00D2" w14:paraId="41776789" w14:textId="6A15317C">
      <w:pPr>
        <w:numPr>
          <w:ilvl w:val="0"/>
          <w:numId w:val="12"/>
        </w:numPr>
        <w:rPr>
          <w:u w:val="single"/>
        </w:rPr>
      </w:pPr>
      <w:r w:rsidRPr="00923A34">
        <w:rPr>
          <w:u w:val="single"/>
        </w:rPr>
        <w:t>E</w:t>
      </w:r>
      <w:r>
        <w:rPr>
          <w:u w:val="single"/>
        </w:rPr>
        <w:t>xplanation of decision to provide any payment or gift to respondents</w:t>
      </w:r>
      <w:r w:rsidR="00AE1E2E">
        <w:rPr>
          <w:u w:val="single"/>
        </w:rPr>
        <w:t>.</w:t>
      </w:r>
    </w:p>
    <w:p w:rsidR="00923A34" w:rsidRPr="00923A34" w:rsidP="00923A34" w14:paraId="4177678A" w14:textId="77777777">
      <w:pPr>
        <w:keepNext/>
        <w:ind w:firstLine="360"/>
        <w:rPr>
          <w:u w:val="single"/>
        </w:rPr>
      </w:pPr>
    </w:p>
    <w:p w:rsidR="005C2C05" w:rsidRPr="00923A34" w:rsidP="00923A34" w14:paraId="4177678B" w14:textId="03F0B5FD">
      <w:pPr>
        <w:keepNext/>
      </w:pPr>
      <w:r w:rsidRPr="00923A34">
        <w:t>No payment or gift has been provided to any respondents</w:t>
      </w:r>
      <w:r w:rsidR="00CB3662">
        <w:t>.</w:t>
      </w:r>
    </w:p>
    <w:p w:rsidR="00923A34" w:rsidRPr="0025604D" w:rsidP="00923A34" w14:paraId="4177678C" w14:textId="77777777">
      <w:pPr>
        <w:keepNext/>
        <w:ind w:firstLine="360"/>
      </w:pPr>
    </w:p>
    <w:p w:rsidR="005C2C05" w:rsidRPr="008D00D2" w:rsidP="008D00D2" w14:paraId="4177678D" w14:textId="4A185F07">
      <w:pPr>
        <w:numPr>
          <w:ilvl w:val="0"/>
          <w:numId w:val="12"/>
        </w:numPr>
        <w:rPr>
          <w:u w:val="single"/>
        </w:rPr>
      </w:pPr>
      <w:r w:rsidRPr="0025604D">
        <w:rPr>
          <w:u w:val="single"/>
        </w:rPr>
        <w:t>Assurance of confidentiality</w:t>
      </w:r>
      <w:r w:rsidR="00AE1E2E">
        <w:rPr>
          <w:u w:val="single"/>
        </w:rPr>
        <w:t>.</w:t>
      </w:r>
    </w:p>
    <w:p w:rsidR="005C2C05" w:rsidRPr="0025604D" w:rsidP="00666B6D" w14:paraId="4177678E" w14:textId="77777777">
      <w:pPr>
        <w:keepNext/>
      </w:pPr>
    </w:p>
    <w:p w:rsidR="005C2C05" w:rsidP="00CB003A" w14:paraId="4177678F" w14:textId="71274C1E">
      <w:r>
        <w:t>Generally, tax returns and tax return information are confidential as required by 26 USC 6103.</w:t>
      </w:r>
      <w:r w:rsidR="00FB24C0">
        <w:t xml:space="preserve">  </w:t>
      </w:r>
    </w:p>
    <w:p w:rsidR="007F78BD" w:rsidRPr="0025604D" w:rsidP="00CB003A" w14:paraId="43759C1F" w14:textId="77777777"/>
    <w:p w:rsidR="005C2C05" w:rsidRPr="0025604D" w:rsidP="008D00D2" w14:paraId="41776791" w14:textId="2402687C">
      <w:pPr>
        <w:numPr>
          <w:ilvl w:val="0"/>
          <w:numId w:val="12"/>
        </w:numPr>
        <w:rPr>
          <w:u w:val="single"/>
        </w:rPr>
      </w:pPr>
      <w:r w:rsidRPr="0025604D">
        <w:rPr>
          <w:u w:val="single"/>
        </w:rPr>
        <w:t>Justification of sensitive questions</w:t>
      </w:r>
      <w:r w:rsidR="00AE1E2E">
        <w:rPr>
          <w:u w:val="single"/>
        </w:rPr>
        <w:t>.</w:t>
      </w:r>
    </w:p>
    <w:p w:rsidR="005C2C05" w:rsidRPr="0025604D" w:rsidP="00CB003A" w14:paraId="41776792" w14:textId="77777777"/>
    <w:p w:rsidR="00B91949" w:rsidRPr="00620AB0" w:rsidP="00337012" w14:paraId="1137725F" w14:textId="77777777">
      <w:pPr>
        <w:spacing w:line="276" w:lineRule="auto"/>
        <w:rPr>
          <w:bCs/>
        </w:rPr>
      </w:pPr>
      <w:r w:rsidRPr="00B91949">
        <w:t xml:space="preserve">A privacy impact assessment (PIA) has been conducted for information collected under this request as part of the “Individual Master File (IMF)” system and a Privacy Act System of Records notice (SORN) has been issued for this system under </w:t>
      </w:r>
      <w:bookmarkStart w:id="0" w:name="_Hlk495904895"/>
      <w:r w:rsidRPr="00B91949">
        <w:t>IRS 24.030--Customer Account Data Engine Individual Master File, formerly Individual Master File, and IRS 34.037--IRS Audit Trail and Security Records System</w:t>
      </w:r>
      <w:bookmarkEnd w:id="0"/>
      <w:r w:rsidRPr="00B91949">
        <w:t>.  The Internal Revenue</w:t>
      </w:r>
      <w:r w:rsidRPr="00620AB0">
        <w:rPr>
          <w:bCs/>
        </w:rPr>
        <w:t xml:space="preserve"> Service PIAs can be found at </w:t>
      </w:r>
      <w:hyperlink r:id="rId5" w:history="1">
        <w:r w:rsidRPr="00361E73">
          <w:rPr>
            <w:rStyle w:val="Hyperlink"/>
            <w:bCs/>
          </w:rPr>
          <w:t>http://www.treasury.gov/privacy/PIAs/Pages/default.aspx</w:t>
        </w:r>
      </w:hyperlink>
      <w:r w:rsidRPr="00620AB0">
        <w:rPr>
          <w:bCs/>
        </w:rPr>
        <w:t xml:space="preserve">. </w:t>
      </w:r>
    </w:p>
    <w:p w:rsidR="00B91949" w:rsidRPr="00620AB0" w:rsidP="00B91949" w14:paraId="172B61C8" w14:textId="77777777">
      <w:pPr>
        <w:spacing w:line="276" w:lineRule="auto"/>
        <w:ind w:left="720"/>
        <w:rPr>
          <w:bCs/>
        </w:rPr>
      </w:pPr>
    </w:p>
    <w:p w:rsidR="00B91949" w:rsidP="00337012" w14:paraId="76530321" w14:textId="77777777">
      <w:pPr>
        <w:spacing w:line="276" w:lineRule="auto"/>
        <w:rPr>
          <w:b/>
          <w:bCs/>
        </w:rPr>
      </w:pPr>
      <w:r w:rsidRPr="00620AB0">
        <w:rPr>
          <w:bCs/>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BD1436" w14:paraId="187323D0" w14:textId="65DAB952"/>
    <w:p w:rsidR="005C2C05" w:rsidP="008D00D2" w14:paraId="41776797" w14:textId="0B6F27D4">
      <w:pPr>
        <w:numPr>
          <w:ilvl w:val="0"/>
          <w:numId w:val="12"/>
        </w:numPr>
        <w:rPr>
          <w:u w:val="single"/>
        </w:rPr>
      </w:pPr>
      <w:bookmarkStart w:id="1" w:name="OLE_LINK1"/>
      <w:r w:rsidRPr="0025604D">
        <w:rPr>
          <w:u w:val="single"/>
        </w:rPr>
        <w:t>Estimated burden of information collection</w:t>
      </w:r>
      <w:r w:rsidR="00AE1E2E">
        <w:rPr>
          <w:u w:val="single"/>
        </w:rPr>
        <w:t>.</w:t>
      </w:r>
    </w:p>
    <w:p w:rsidR="00882172" w:rsidP="00337012" w14:paraId="54566A85" w14:textId="77777777">
      <w:pPr>
        <w:rPr>
          <w:rStyle w:val="ui-provider"/>
        </w:rPr>
      </w:pPr>
    </w:p>
    <w:p w:rsidR="0067247A" w:rsidP="00337012" w14:paraId="60500598" w14:textId="21BC34C2">
      <w:pPr>
        <w:rPr>
          <w:u w:val="single"/>
        </w:rPr>
      </w:pPr>
      <w:r>
        <w:rPr>
          <w:rStyle w:val="ui-provider"/>
        </w:rPr>
        <w:t xml:space="preserve">For Emergency Personal Expense Distribution and Domestic Abuse Victim Distribution, IRS expected the </w:t>
      </w:r>
      <w:r w:rsidR="00F11D41">
        <w:rPr>
          <w:rStyle w:val="ui-provider"/>
        </w:rPr>
        <w:t xml:space="preserve">number of responses </w:t>
      </w:r>
      <w:r>
        <w:rPr>
          <w:rStyle w:val="ui-provider"/>
        </w:rPr>
        <w:t xml:space="preserve">to range from 75,000 to 150,000 annually, for an average of 112,500. </w:t>
      </w:r>
    </w:p>
    <w:p w:rsidR="00882172" w:rsidRPr="008D00D2" w:rsidP="00337012" w14:paraId="7BECFFB5" w14:textId="77777777">
      <w:pPr>
        <w:rPr>
          <w:u w:val="single"/>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070"/>
        <w:gridCol w:w="1350"/>
        <w:gridCol w:w="1620"/>
        <w:gridCol w:w="1080"/>
        <w:gridCol w:w="1170"/>
        <w:gridCol w:w="1170"/>
      </w:tblGrid>
      <w:tr w14:paraId="7123365B" w14:textId="77777777" w:rsidTr="001C6246">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1"/>
        </w:trPr>
        <w:tc>
          <w:tcPr>
            <w:tcW w:w="1080" w:type="dxa"/>
            <w:shd w:val="clear" w:color="auto" w:fill="auto"/>
            <w:vAlign w:val="center"/>
          </w:tcPr>
          <w:bookmarkEnd w:id="1"/>
          <w:p w:rsidR="0067247A" w:rsidRPr="001C6246" w:rsidP="000E0506" w14:paraId="1F76FA4B" w14:textId="77777777">
            <w:pPr>
              <w:jc w:val="center"/>
              <w:rPr>
                <w:b/>
                <w:bCs/>
                <w:sz w:val="20"/>
                <w:szCs w:val="20"/>
              </w:rPr>
            </w:pPr>
            <w:r w:rsidRPr="001C6246">
              <w:rPr>
                <w:b/>
                <w:bCs/>
                <w:sz w:val="20"/>
                <w:szCs w:val="20"/>
              </w:rPr>
              <w:t>Authority</w:t>
            </w:r>
          </w:p>
        </w:tc>
        <w:tc>
          <w:tcPr>
            <w:tcW w:w="2070" w:type="dxa"/>
            <w:shd w:val="clear" w:color="auto" w:fill="auto"/>
            <w:vAlign w:val="center"/>
          </w:tcPr>
          <w:p w:rsidR="0067247A" w:rsidRPr="001C6246" w:rsidP="000E0506" w14:paraId="326CE4D1" w14:textId="77777777">
            <w:pPr>
              <w:jc w:val="center"/>
              <w:rPr>
                <w:b/>
                <w:bCs/>
                <w:sz w:val="20"/>
                <w:szCs w:val="20"/>
              </w:rPr>
            </w:pPr>
            <w:r w:rsidRPr="001C6246">
              <w:rPr>
                <w:b/>
                <w:bCs/>
                <w:sz w:val="20"/>
                <w:szCs w:val="20"/>
              </w:rPr>
              <w:t>Description</w:t>
            </w:r>
          </w:p>
        </w:tc>
        <w:tc>
          <w:tcPr>
            <w:tcW w:w="1350" w:type="dxa"/>
            <w:shd w:val="clear" w:color="auto" w:fill="auto"/>
            <w:vAlign w:val="center"/>
          </w:tcPr>
          <w:p w:rsidR="0067247A" w:rsidRPr="001C6246" w:rsidP="000E0506" w14:paraId="1692EA0A" w14:textId="77777777">
            <w:pPr>
              <w:jc w:val="center"/>
              <w:rPr>
                <w:b/>
                <w:bCs/>
                <w:sz w:val="20"/>
                <w:szCs w:val="20"/>
              </w:rPr>
            </w:pPr>
            <w:r w:rsidRPr="001C6246">
              <w:rPr>
                <w:b/>
                <w:bCs/>
                <w:sz w:val="20"/>
                <w:szCs w:val="20"/>
              </w:rPr>
              <w:t># of Respondents</w:t>
            </w:r>
          </w:p>
        </w:tc>
        <w:tc>
          <w:tcPr>
            <w:tcW w:w="1620" w:type="dxa"/>
            <w:shd w:val="clear" w:color="auto" w:fill="auto"/>
            <w:vAlign w:val="center"/>
          </w:tcPr>
          <w:p w:rsidR="0067247A" w:rsidRPr="001C6246" w:rsidP="000E0506" w14:paraId="1D293962" w14:textId="0CB29F35">
            <w:pPr>
              <w:jc w:val="center"/>
              <w:rPr>
                <w:b/>
                <w:bCs/>
                <w:sz w:val="20"/>
                <w:szCs w:val="20"/>
              </w:rPr>
            </w:pPr>
            <w:r w:rsidRPr="001C6246">
              <w:rPr>
                <w:b/>
                <w:bCs/>
                <w:sz w:val="20"/>
                <w:szCs w:val="20"/>
              </w:rPr>
              <w:t>#</w:t>
            </w:r>
            <w:r w:rsidRPr="001C6246" w:rsidR="00B91949">
              <w:rPr>
                <w:b/>
                <w:bCs/>
                <w:sz w:val="20"/>
                <w:szCs w:val="20"/>
              </w:rPr>
              <w:t xml:space="preserve"> </w:t>
            </w:r>
            <w:r w:rsidRPr="001C6246">
              <w:rPr>
                <w:b/>
                <w:bCs/>
                <w:sz w:val="20"/>
                <w:szCs w:val="20"/>
              </w:rPr>
              <w:t>Responses per</w:t>
            </w:r>
          </w:p>
          <w:p w:rsidR="0067247A" w:rsidRPr="001C6246" w:rsidP="000E0506" w14:paraId="518B1D79" w14:textId="77777777">
            <w:pPr>
              <w:jc w:val="center"/>
              <w:rPr>
                <w:b/>
                <w:bCs/>
                <w:sz w:val="20"/>
                <w:szCs w:val="20"/>
              </w:rPr>
            </w:pPr>
            <w:r w:rsidRPr="001C6246">
              <w:rPr>
                <w:b/>
                <w:bCs/>
                <w:sz w:val="20"/>
                <w:szCs w:val="20"/>
              </w:rPr>
              <w:t>Respondent</w:t>
            </w:r>
          </w:p>
        </w:tc>
        <w:tc>
          <w:tcPr>
            <w:tcW w:w="1080" w:type="dxa"/>
            <w:shd w:val="clear" w:color="auto" w:fill="auto"/>
            <w:vAlign w:val="center"/>
          </w:tcPr>
          <w:p w:rsidR="0067247A" w:rsidRPr="001C6246" w:rsidP="000E0506" w14:paraId="60F67FA0" w14:textId="77777777">
            <w:pPr>
              <w:jc w:val="center"/>
              <w:rPr>
                <w:b/>
                <w:bCs/>
                <w:sz w:val="20"/>
                <w:szCs w:val="20"/>
              </w:rPr>
            </w:pPr>
            <w:r w:rsidRPr="001C6246">
              <w:rPr>
                <w:b/>
                <w:bCs/>
                <w:sz w:val="20"/>
                <w:szCs w:val="20"/>
              </w:rPr>
              <w:t>Annual</w:t>
            </w:r>
          </w:p>
          <w:p w:rsidR="0067247A" w:rsidRPr="001C6246" w:rsidP="000E0506" w14:paraId="6B8B00B4" w14:textId="77777777">
            <w:pPr>
              <w:jc w:val="center"/>
              <w:rPr>
                <w:b/>
                <w:bCs/>
                <w:sz w:val="20"/>
                <w:szCs w:val="20"/>
              </w:rPr>
            </w:pPr>
            <w:r w:rsidRPr="001C6246">
              <w:rPr>
                <w:b/>
                <w:bCs/>
                <w:sz w:val="20"/>
                <w:szCs w:val="20"/>
              </w:rPr>
              <w:t>Response</w:t>
            </w:r>
          </w:p>
        </w:tc>
        <w:tc>
          <w:tcPr>
            <w:tcW w:w="1170" w:type="dxa"/>
            <w:shd w:val="clear" w:color="auto" w:fill="auto"/>
            <w:vAlign w:val="center"/>
          </w:tcPr>
          <w:p w:rsidR="0067247A" w:rsidRPr="001C6246" w:rsidP="000E0506" w14:paraId="4EA6E297" w14:textId="77777777">
            <w:pPr>
              <w:jc w:val="center"/>
              <w:rPr>
                <w:b/>
                <w:bCs/>
                <w:sz w:val="20"/>
                <w:szCs w:val="20"/>
              </w:rPr>
            </w:pPr>
            <w:r w:rsidRPr="001C6246">
              <w:rPr>
                <w:b/>
                <w:bCs/>
                <w:sz w:val="20"/>
                <w:szCs w:val="20"/>
              </w:rPr>
              <w:t>Hours per</w:t>
            </w:r>
          </w:p>
          <w:p w:rsidR="0067247A" w:rsidRPr="001C6246" w:rsidP="000E0506" w14:paraId="734F9597" w14:textId="77777777">
            <w:pPr>
              <w:jc w:val="center"/>
              <w:rPr>
                <w:b/>
                <w:bCs/>
                <w:sz w:val="20"/>
                <w:szCs w:val="20"/>
              </w:rPr>
            </w:pPr>
            <w:r w:rsidRPr="001C6246">
              <w:rPr>
                <w:b/>
                <w:bCs/>
                <w:sz w:val="20"/>
                <w:szCs w:val="20"/>
              </w:rPr>
              <w:t>Response</w:t>
            </w:r>
          </w:p>
        </w:tc>
        <w:tc>
          <w:tcPr>
            <w:tcW w:w="1170" w:type="dxa"/>
            <w:shd w:val="clear" w:color="auto" w:fill="auto"/>
            <w:vAlign w:val="center"/>
          </w:tcPr>
          <w:p w:rsidR="0067247A" w:rsidRPr="001C6246" w:rsidP="000E0506" w14:paraId="4F2AC0C9" w14:textId="77777777">
            <w:pPr>
              <w:jc w:val="center"/>
              <w:rPr>
                <w:b/>
                <w:bCs/>
                <w:sz w:val="20"/>
                <w:szCs w:val="20"/>
              </w:rPr>
            </w:pPr>
            <w:r w:rsidRPr="001C6246">
              <w:rPr>
                <w:b/>
                <w:bCs/>
                <w:sz w:val="20"/>
                <w:szCs w:val="20"/>
              </w:rPr>
              <w:t>Total Burden</w:t>
            </w:r>
          </w:p>
        </w:tc>
      </w:tr>
      <w:tr w14:paraId="37559093" w14:textId="77777777" w:rsidTr="001C6246">
        <w:tblPrEx>
          <w:tblW w:w="9540" w:type="dxa"/>
          <w:tblInd w:w="-5" w:type="dxa"/>
          <w:tblLayout w:type="fixed"/>
          <w:tblLook w:val="04A0"/>
        </w:tblPrEx>
        <w:trPr>
          <w:trHeight w:val="458"/>
        </w:trPr>
        <w:tc>
          <w:tcPr>
            <w:tcW w:w="1080" w:type="dxa"/>
            <w:shd w:val="clear" w:color="auto" w:fill="auto"/>
          </w:tcPr>
          <w:p w:rsidR="0067247A" w:rsidRPr="001C6246" w:rsidP="000E0506" w14:paraId="490BAC24" w14:textId="3BF70421">
            <w:pPr>
              <w:rPr>
                <w:sz w:val="20"/>
                <w:szCs w:val="20"/>
              </w:rPr>
            </w:pPr>
            <w:r w:rsidRPr="001C6246">
              <w:rPr>
                <w:sz w:val="20"/>
                <w:szCs w:val="20"/>
              </w:rPr>
              <w:t>IRC 72(t)</w:t>
            </w:r>
          </w:p>
        </w:tc>
        <w:tc>
          <w:tcPr>
            <w:tcW w:w="2070" w:type="dxa"/>
            <w:shd w:val="clear" w:color="auto" w:fill="auto"/>
          </w:tcPr>
          <w:p w:rsidR="0067247A" w:rsidRPr="001C6246" w:rsidP="000E0506" w14:paraId="5FD7B047" w14:textId="3C53E7EF">
            <w:pPr>
              <w:rPr>
                <w:sz w:val="20"/>
                <w:szCs w:val="20"/>
              </w:rPr>
            </w:pPr>
            <w:r w:rsidRPr="001C6246">
              <w:rPr>
                <w:sz w:val="20"/>
                <w:szCs w:val="20"/>
              </w:rPr>
              <w:t>Terminal Illness Distributions</w:t>
            </w:r>
          </w:p>
        </w:tc>
        <w:tc>
          <w:tcPr>
            <w:tcW w:w="1350" w:type="dxa"/>
            <w:shd w:val="clear" w:color="auto" w:fill="auto"/>
          </w:tcPr>
          <w:p w:rsidR="0067247A" w:rsidRPr="001C6246" w:rsidP="000E0506" w14:paraId="70926D68" w14:textId="3DEBB896">
            <w:pPr>
              <w:jc w:val="center"/>
              <w:rPr>
                <w:sz w:val="20"/>
                <w:szCs w:val="20"/>
              </w:rPr>
            </w:pPr>
            <w:r w:rsidRPr="001C6246">
              <w:rPr>
                <w:sz w:val="20"/>
                <w:szCs w:val="20"/>
              </w:rPr>
              <w:t>500</w:t>
            </w:r>
          </w:p>
        </w:tc>
        <w:tc>
          <w:tcPr>
            <w:tcW w:w="1620" w:type="dxa"/>
            <w:shd w:val="clear" w:color="auto" w:fill="auto"/>
          </w:tcPr>
          <w:p w:rsidR="0067247A" w:rsidRPr="001C6246" w:rsidP="000E0506" w14:paraId="3C7C11E9" w14:textId="77777777">
            <w:pPr>
              <w:jc w:val="center"/>
              <w:rPr>
                <w:sz w:val="20"/>
                <w:szCs w:val="20"/>
              </w:rPr>
            </w:pPr>
            <w:r w:rsidRPr="001C6246">
              <w:rPr>
                <w:sz w:val="20"/>
                <w:szCs w:val="20"/>
              </w:rPr>
              <w:t>1</w:t>
            </w:r>
          </w:p>
        </w:tc>
        <w:tc>
          <w:tcPr>
            <w:tcW w:w="1080" w:type="dxa"/>
            <w:shd w:val="clear" w:color="auto" w:fill="auto"/>
          </w:tcPr>
          <w:p w:rsidR="0067247A" w:rsidRPr="001C6246" w:rsidP="000E0506" w14:paraId="7EC7FD78" w14:textId="57FEBEFB">
            <w:pPr>
              <w:jc w:val="center"/>
              <w:rPr>
                <w:sz w:val="20"/>
                <w:szCs w:val="20"/>
              </w:rPr>
            </w:pPr>
            <w:r w:rsidRPr="001C6246">
              <w:rPr>
                <w:sz w:val="20"/>
                <w:szCs w:val="20"/>
              </w:rPr>
              <w:t>500</w:t>
            </w:r>
          </w:p>
        </w:tc>
        <w:tc>
          <w:tcPr>
            <w:tcW w:w="1170" w:type="dxa"/>
            <w:shd w:val="clear" w:color="auto" w:fill="auto"/>
          </w:tcPr>
          <w:p w:rsidR="0067247A" w:rsidRPr="001C6246" w:rsidP="000E0506" w14:paraId="5953DF06" w14:textId="7442ED6D">
            <w:pPr>
              <w:jc w:val="center"/>
              <w:rPr>
                <w:sz w:val="20"/>
                <w:szCs w:val="20"/>
              </w:rPr>
            </w:pPr>
            <w:r w:rsidRPr="001C6246">
              <w:rPr>
                <w:sz w:val="20"/>
                <w:szCs w:val="20"/>
              </w:rPr>
              <w:t xml:space="preserve">15 min. </w:t>
            </w:r>
            <w:r w:rsidRPr="001C6246" w:rsidR="00272E69">
              <w:rPr>
                <w:sz w:val="20"/>
                <w:szCs w:val="20"/>
              </w:rPr>
              <w:t>(0.25 hr.)</w:t>
            </w:r>
          </w:p>
        </w:tc>
        <w:tc>
          <w:tcPr>
            <w:tcW w:w="1170" w:type="dxa"/>
            <w:shd w:val="clear" w:color="auto" w:fill="auto"/>
          </w:tcPr>
          <w:p w:rsidR="0067247A" w:rsidRPr="001C6246" w:rsidP="000E0506" w14:paraId="019FE1E5" w14:textId="2C52762F">
            <w:pPr>
              <w:jc w:val="center"/>
              <w:rPr>
                <w:sz w:val="20"/>
                <w:szCs w:val="20"/>
              </w:rPr>
            </w:pPr>
            <w:r w:rsidRPr="001C6246">
              <w:rPr>
                <w:sz w:val="20"/>
                <w:szCs w:val="20"/>
              </w:rPr>
              <w:t>125 hrs.</w:t>
            </w:r>
          </w:p>
        </w:tc>
      </w:tr>
      <w:tr w14:paraId="68A919B6" w14:textId="77777777" w:rsidTr="001C6246">
        <w:tblPrEx>
          <w:tblW w:w="9540" w:type="dxa"/>
          <w:tblInd w:w="-5" w:type="dxa"/>
          <w:tblLayout w:type="fixed"/>
          <w:tblLook w:val="04A0"/>
        </w:tblPrEx>
        <w:trPr>
          <w:trHeight w:val="458"/>
        </w:trPr>
        <w:tc>
          <w:tcPr>
            <w:tcW w:w="1080" w:type="dxa"/>
            <w:shd w:val="clear" w:color="auto" w:fill="auto"/>
          </w:tcPr>
          <w:p w:rsidR="00B82378" w:rsidRPr="001C6246" w:rsidP="000E0506" w14:paraId="7509C67F" w14:textId="194F1417">
            <w:pPr>
              <w:rPr>
                <w:sz w:val="20"/>
                <w:szCs w:val="20"/>
              </w:rPr>
            </w:pPr>
            <w:r w:rsidRPr="001C6246">
              <w:rPr>
                <w:sz w:val="20"/>
                <w:szCs w:val="20"/>
              </w:rPr>
              <w:t>IRC 72(t)</w:t>
            </w:r>
          </w:p>
        </w:tc>
        <w:tc>
          <w:tcPr>
            <w:tcW w:w="2070" w:type="dxa"/>
            <w:shd w:val="clear" w:color="auto" w:fill="auto"/>
          </w:tcPr>
          <w:p w:rsidR="00B82378" w:rsidRPr="001C6246" w:rsidP="000E0506" w14:paraId="1310FE22" w14:textId="61370659">
            <w:pPr>
              <w:rPr>
                <w:sz w:val="20"/>
                <w:szCs w:val="20"/>
              </w:rPr>
            </w:pPr>
            <w:r w:rsidRPr="001C6246">
              <w:rPr>
                <w:sz w:val="20"/>
                <w:szCs w:val="20"/>
              </w:rPr>
              <w:t>Emergency Personal Expense Distribution</w:t>
            </w:r>
          </w:p>
        </w:tc>
        <w:tc>
          <w:tcPr>
            <w:tcW w:w="1350" w:type="dxa"/>
            <w:shd w:val="clear" w:color="auto" w:fill="auto"/>
          </w:tcPr>
          <w:p w:rsidR="00B82378" w:rsidRPr="001C6246" w:rsidP="000E0506" w14:paraId="0DF22BE8" w14:textId="30F309EA">
            <w:pPr>
              <w:jc w:val="center"/>
              <w:rPr>
                <w:sz w:val="20"/>
                <w:szCs w:val="20"/>
              </w:rPr>
            </w:pPr>
            <w:r w:rsidRPr="001C6246">
              <w:rPr>
                <w:sz w:val="20"/>
                <w:szCs w:val="20"/>
              </w:rPr>
              <w:t>112,500</w:t>
            </w:r>
          </w:p>
        </w:tc>
        <w:tc>
          <w:tcPr>
            <w:tcW w:w="1620" w:type="dxa"/>
            <w:shd w:val="clear" w:color="auto" w:fill="auto"/>
          </w:tcPr>
          <w:p w:rsidR="00B82378" w:rsidRPr="001C6246" w:rsidP="000E0506" w14:paraId="1E8B16AF" w14:textId="26977563">
            <w:pPr>
              <w:jc w:val="center"/>
              <w:rPr>
                <w:sz w:val="20"/>
                <w:szCs w:val="20"/>
              </w:rPr>
            </w:pPr>
            <w:r w:rsidRPr="001C6246">
              <w:rPr>
                <w:sz w:val="20"/>
                <w:szCs w:val="20"/>
              </w:rPr>
              <w:t>1</w:t>
            </w:r>
          </w:p>
        </w:tc>
        <w:tc>
          <w:tcPr>
            <w:tcW w:w="1080" w:type="dxa"/>
            <w:shd w:val="clear" w:color="auto" w:fill="auto"/>
          </w:tcPr>
          <w:p w:rsidR="00B82378" w:rsidRPr="001C6246" w:rsidP="000E0506" w14:paraId="58F20247" w14:textId="1557960B">
            <w:pPr>
              <w:jc w:val="center"/>
              <w:rPr>
                <w:sz w:val="20"/>
                <w:szCs w:val="20"/>
              </w:rPr>
            </w:pPr>
            <w:r w:rsidRPr="001C6246">
              <w:rPr>
                <w:sz w:val="20"/>
                <w:szCs w:val="20"/>
              </w:rPr>
              <w:t>112,500</w:t>
            </w:r>
          </w:p>
        </w:tc>
        <w:tc>
          <w:tcPr>
            <w:tcW w:w="1170" w:type="dxa"/>
            <w:shd w:val="clear" w:color="auto" w:fill="auto"/>
          </w:tcPr>
          <w:p w:rsidR="00B82378" w:rsidRPr="001C6246" w:rsidP="000E0506" w14:paraId="574E3B4D" w14:textId="257988C9">
            <w:pPr>
              <w:jc w:val="center"/>
              <w:rPr>
                <w:sz w:val="20"/>
                <w:szCs w:val="20"/>
              </w:rPr>
            </w:pPr>
            <w:r w:rsidRPr="001C6246">
              <w:rPr>
                <w:sz w:val="20"/>
                <w:szCs w:val="20"/>
              </w:rPr>
              <w:t>3 min. (0.05 hr.)</w:t>
            </w:r>
          </w:p>
        </w:tc>
        <w:tc>
          <w:tcPr>
            <w:tcW w:w="1170" w:type="dxa"/>
            <w:shd w:val="clear" w:color="auto" w:fill="auto"/>
          </w:tcPr>
          <w:p w:rsidR="00B82378" w:rsidRPr="001C6246" w:rsidP="000E0506" w14:paraId="6F45ED2F" w14:textId="0D11AC9A">
            <w:pPr>
              <w:jc w:val="center"/>
              <w:rPr>
                <w:sz w:val="20"/>
                <w:szCs w:val="20"/>
              </w:rPr>
            </w:pPr>
            <w:r w:rsidRPr="001C6246">
              <w:rPr>
                <w:sz w:val="20"/>
                <w:szCs w:val="20"/>
              </w:rPr>
              <w:t>5,625 hrs.</w:t>
            </w:r>
          </w:p>
        </w:tc>
      </w:tr>
      <w:tr w14:paraId="6DB0D2A6" w14:textId="77777777" w:rsidTr="001C6246">
        <w:tblPrEx>
          <w:tblW w:w="9540" w:type="dxa"/>
          <w:tblInd w:w="-5" w:type="dxa"/>
          <w:tblLayout w:type="fixed"/>
          <w:tblLook w:val="04A0"/>
        </w:tblPrEx>
        <w:trPr>
          <w:trHeight w:val="458"/>
        </w:trPr>
        <w:tc>
          <w:tcPr>
            <w:tcW w:w="1080" w:type="dxa"/>
            <w:shd w:val="clear" w:color="auto" w:fill="auto"/>
          </w:tcPr>
          <w:p w:rsidR="00272E69" w:rsidRPr="001C6246" w:rsidP="00272E69" w14:paraId="0DEBE3D1" w14:textId="5E026FA5">
            <w:pPr>
              <w:rPr>
                <w:sz w:val="20"/>
                <w:szCs w:val="20"/>
              </w:rPr>
            </w:pPr>
            <w:r w:rsidRPr="001C6246">
              <w:rPr>
                <w:sz w:val="20"/>
                <w:szCs w:val="20"/>
              </w:rPr>
              <w:t>IRC 72(t)</w:t>
            </w:r>
          </w:p>
        </w:tc>
        <w:tc>
          <w:tcPr>
            <w:tcW w:w="2070" w:type="dxa"/>
            <w:shd w:val="clear" w:color="auto" w:fill="auto"/>
          </w:tcPr>
          <w:p w:rsidR="00272E69" w:rsidRPr="001C6246" w:rsidP="00272E69" w14:paraId="2D8F8DF0" w14:textId="70519B7C">
            <w:pPr>
              <w:rPr>
                <w:sz w:val="20"/>
                <w:szCs w:val="20"/>
              </w:rPr>
            </w:pPr>
            <w:r w:rsidRPr="001C6246">
              <w:rPr>
                <w:sz w:val="20"/>
                <w:szCs w:val="20"/>
              </w:rPr>
              <w:t>Domestic Abuse Victim Distribution</w:t>
            </w:r>
          </w:p>
        </w:tc>
        <w:tc>
          <w:tcPr>
            <w:tcW w:w="1350" w:type="dxa"/>
            <w:shd w:val="clear" w:color="auto" w:fill="auto"/>
          </w:tcPr>
          <w:p w:rsidR="00272E69" w:rsidRPr="001C6246" w:rsidP="00272E69" w14:paraId="7744EED3" w14:textId="2DBB3A52">
            <w:pPr>
              <w:jc w:val="center"/>
              <w:rPr>
                <w:sz w:val="20"/>
                <w:szCs w:val="20"/>
              </w:rPr>
            </w:pPr>
            <w:r w:rsidRPr="001C6246">
              <w:rPr>
                <w:sz w:val="20"/>
                <w:szCs w:val="20"/>
              </w:rPr>
              <w:t>112,500</w:t>
            </w:r>
          </w:p>
        </w:tc>
        <w:tc>
          <w:tcPr>
            <w:tcW w:w="1620" w:type="dxa"/>
            <w:shd w:val="clear" w:color="auto" w:fill="auto"/>
          </w:tcPr>
          <w:p w:rsidR="00272E69" w:rsidRPr="001C6246" w:rsidP="00272E69" w14:paraId="2A8B0F29" w14:textId="0EDC0F30">
            <w:pPr>
              <w:jc w:val="center"/>
              <w:rPr>
                <w:sz w:val="20"/>
                <w:szCs w:val="20"/>
              </w:rPr>
            </w:pPr>
            <w:r w:rsidRPr="001C6246">
              <w:rPr>
                <w:sz w:val="20"/>
                <w:szCs w:val="20"/>
              </w:rPr>
              <w:t>1</w:t>
            </w:r>
          </w:p>
        </w:tc>
        <w:tc>
          <w:tcPr>
            <w:tcW w:w="1080" w:type="dxa"/>
            <w:shd w:val="clear" w:color="auto" w:fill="auto"/>
          </w:tcPr>
          <w:p w:rsidR="00272E69" w:rsidRPr="001C6246" w:rsidP="00272E69" w14:paraId="33D17123" w14:textId="27C11D73">
            <w:pPr>
              <w:jc w:val="center"/>
              <w:rPr>
                <w:sz w:val="20"/>
                <w:szCs w:val="20"/>
              </w:rPr>
            </w:pPr>
            <w:r w:rsidRPr="001C6246">
              <w:rPr>
                <w:sz w:val="20"/>
                <w:szCs w:val="20"/>
              </w:rPr>
              <w:t>112,500</w:t>
            </w:r>
          </w:p>
        </w:tc>
        <w:tc>
          <w:tcPr>
            <w:tcW w:w="1170" w:type="dxa"/>
            <w:shd w:val="clear" w:color="auto" w:fill="auto"/>
          </w:tcPr>
          <w:p w:rsidR="00272E69" w:rsidRPr="001C6246" w:rsidP="00272E69" w14:paraId="04EE0C02" w14:textId="26F05699">
            <w:pPr>
              <w:jc w:val="center"/>
              <w:rPr>
                <w:sz w:val="20"/>
                <w:szCs w:val="20"/>
              </w:rPr>
            </w:pPr>
            <w:r w:rsidRPr="001C6246">
              <w:rPr>
                <w:sz w:val="20"/>
                <w:szCs w:val="20"/>
              </w:rPr>
              <w:t>3 min. (0.05 hr.)</w:t>
            </w:r>
          </w:p>
        </w:tc>
        <w:tc>
          <w:tcPr>
            <w:tcW w:w="1170" w:type="dxa"/>
            <w:shd w:val="clear" w:color="auto" w:fill="auto"/>
          </w:tcPr>
          <w:p w:rsidR="00272E69" w:rsidRPr="001C6246" w:rsidP="00272E69" w14:paraId="3B4F565C" w14:textId="715FFE51">
            <w:pPr>
              <w:jc w:val="center"/>
              <w:rPr>
                <w:sz w:val="20"/>
                <w:szCs w:val="20"/>
              </w:rPr>
            </w:pPr>
            <w:r w:rsidRPr="001C6246">
              <w:rPr>
                <w:sz w:val="20"/>
                <w:szCs w:val="20"/>
              </w:rPr>
              <w:t>5,625 hrs.</w:t>
            </w:r>
          </w:p>
        </w:tc>
      </w:tr>
      <w:tr w14:paraId="31B1E77C" w14:textId="77777777" w:rsidTr="001C6246">
        <w:tblPrEx>
          <w:tblW w:w="9540" w:type="dxa"/>
          <w:tblInd w:w="-5" w:type="dxa"/>
          <w:tblLayout w:type="fixed"/>
          <w:tblLook w:val="04A0"/>
        </w:tblPrEx>
        <w:trPr>
          <w:trHeight w:val="287"/>
        </w:trPr>
        <w:tc>
          <w:tcPr>
            <w:tcW w:w="1080" w:type="dxa"/>
            <w:shd w:val="clear" w:color="auto" w:fill="auto"/>
          </w:tcPr>
          <w:p w:rsidR="00272E69" w:rsidRPr="001C6246" w:rsidP="00272E69" w14:paraId="224CC7C2" w14:textId="77777777">
            <w:pPr>
              <w:rPr>
                <w:sz w:val="20"/>
                <w:szCs w:val="20"/>
              </w:rPr>
            </w:pPr>
            <w:r w:rsidRPr="001C6246">
              <w:rPr>
                <w:sz w:val="20"/>
                <w:szCs w:val="20"/>
              </w:rPr>
              <w:t>Totals</w:t>
            </w:r>
          </w:p>
        </w:tc>
        <w:tc>
          <w:tcPr>
            <w:tcW w:w="2070" w:type="dxa"/>
            <w:shd w:val="clear" w:color="auto" w:fill="auto"/>
          </w:tcPr>
          <w:p w:rsidR="00272E69" w:rsidRPr="001C6246" w:rsidP="00272E69" w14:paraId="769811D9" w14:textId="77777777">
            <w:pPr>
              <w:rPr>
                <w:sz w:val="20"/>
                <w:szCs w:val="20"/>
              </w:rPr>
            </w:pPr>
          </w:p>
        </w:tc>
        <w:tc>
          <w:tcPr>
            <w:tcW w:w="1350" w:type="dxa"/>
            <w:shd w:val="clear" w:color="auto" w:fill="auto"/>
          </w:tcPr>
          <w:p w:rsidR="00272E69" w:rsidRPr="001C6246" w:rsidP="00272E69" w14:paraId="42F1B0C3" w14:textId="7203ADBA">
            <w:pPr>
              <w:jc w:val="center"/>
              <w:rPr>
                <w:sz w:val="20"/>
                <w:szCs w:val="20"/>
              </w:rPr>
            </w:pPr>
            <w:r>
              <w:rPr>
                <w:sz w:val="20"/>
                <w:szCs w:val="20"/>
              </w:rPr>
              <w:t>225,500</w:t>
            </w:r>
          </w:p>
        </w:tc>
        <w:tc>
          <w:tcPr>
            <w:tcW w:w="1620" w:type="dxa"/>
            <w:shd w:val="clear" w:color="auto" w:fill="auto"/>
          </w:tcPr>
          <w:p w:rsidR="00272E69" w:rsidRPr="001C6246" w:rsidP="00272E69" w14:paraId="4D16F74A" w14:textId="77777777">
            <w:pPr>
              <w:jc w:val="center"/>
              <w:rPr>
                <w:sz w:val="20"/>
                <w:szCs w:val="20"/>
              </w:rPr>
            </w:pPr>
          </w:p>
        </w:tc>
        <w:tc>
          <w:tcPr>
            <w:tcW w:w="1080" w:type="dxa"/>
            <w:shd w:val="clear" w:color="auto" w:fill="auto"/>
          </w:tcPr>
          <w:p w:rsidR="00272E69" w:rsidRPr="001C6246" w:rsidP="00272E69" w14:paraId="0519B28B" w14:textId="44A82E9E">
            <w:pPr>
              <w:jc w:val="center"/>
              <w:rPr>
                <w:sz w:val="20"/>
                <w:szCs w:val="20"/>
              </w:rPr>
            </w:pPr>
            <w:r>
              <w:rPr>
                <w:sz w:val="20"/>
                <w:szCs w:val="20"/>
              </w:rPr>
              <w:t>225,500</w:t>
            </w:r>
          </w:p>
        </w:tc>
        <w:tc>
          <w:tcPr>
            <w:tcW w:w="1170" w:type="dxa"/>
            <w:shd w:val="clear" w:color="auto" w:fill="auto"/>
          </w:tcPr>
          <w:p w:rsidR="00272E69" w:rsidRPr="001C6246" w:rsidP="00272E69" w14:paraId="45E33E1C" w14:textId="77777777">
            <w:pPr>
              <w:jc w:val="center"/>
              <w:rPr>
                <w:sz w:val="20"/>
                <w:szCs w:val="20"/>
              </w:rPr>
            </w:pPr>
          </w:p>
        </w:tc>
        <w:tc>
          <w:tcPr>
            <w:tcW w:w="1170" w:type="dxa"/>
            <w:shd w:val="clear" w:color="auto" w:fill="auto"/>
          </w:tcPr>
          <w:p w:rsidR="00272E69" w:rsidRPr="001C6246" w:rsidP="00272E69" w14:paraId="39D29A2E" w14:textId="14CDA6AD">
            <w:pPr>
              <w:jc w:val="center"/>
              <w:rPr>
                <w:sz w:val="20"/>
                <w:szCs w:val="20"/>
              </w:rPr>
            </w:pPr>
            <w:r>
              <w:rPr>
                <w:sz w:val="20"/>
                <w:szCs w:val="20"/>
              </w:rPr>
              <w:t>11,375</w:t>
            </w:r>
            <w:r w:rsidRPr="001C6246">
              <w:rPr>
                <w:sz w:val="20"/>
                <w:szCs w:val="20"/>
              </w:rPr>
              <w:t xml:space="preserve"> hrs.</w:t>
            </w:r>
          </w:p>
        </w:tc>
      </w:tr>
    </w:tbl>
    <w:p w:rsidR="005C2C05" w:rsidP="00CB003A" w14:paraId="41776798" w14:textId="7930433E"/>
    <w:p w:rsidR="005C2C05" w:rsidRPr="008D00D2" w:rsidP="008D00D2" w14:paraId="417767B4" w14:textId="4257AE22">
      <w:pPr>
        <w:numPr>
          <w:ilvl w:val="0"/>
          <w:numId w:val="12"/>
        </w:numPr>
        <w:rPr>
          <w:u w:val="single"/>
        </w:rPr>
      </w:pPr>
      <w:r w:rsidRPr="0025604D">
        <w:rPr>
          <w:u w:val="single"/>
        </w:rPr>
        <w:t>Estimated total annual cost burden to respondents</w:t>
      </w:r>
      <w:r w:rsidR="00AE1E2E">
        <w:rPr>
          <w:u w:val="single"/>
        </w:rPr>
        <w:t>.</w:t>
      </w:r>
      <w:r w:rsidRPr="005C6A93">
        <w:t>  </w:t>
      </w:r>
    </w:p>
    <w:p w:rsidR="005C2C05" w:rsidRPr="0025604D" w:rsidP="00FB7F1C" w14:paraId="417767B5" w14:textId="77777777">
      <w:pPr>
        <w:keepNext/>
      </w:pPr>
    </w:p>
    <w:p w:rsidR="005C2C05" w:rsidP="00CB003A" w14:paraId="417767B6" w14:textId="2484CBAD">
      <w:pPr>
        <w:rPr>
          <w:bCs/>
        </w:rPr>
      </w:pPr>
      <w:r w:rsidRPr="00923A34">
        <w:rPr>
          <w:bCs/>
        </w:rPr>
        <w:t>There are no start-up costs associated with this collection</w:t>
      </w:r>
      <w:r w:rsidR="00AF1141">
        <w:rPr>
          <w:bCs/>
        </w:rPr>
        <w:t>.</w:t>
      </w:r>
    </w:p>
    <w:p w:rsidR="00923A34" w:rsidRPr="0025604D" w:rsidP="00CB003A" w14:paraId="417767B7" w14:textId="77777777"/>
    <w:p w:rsidR="005C2C05" w:rsidRPr="008D00D2" w:rsidP="008D00D2" w14:paraId="417767B8" w14:textId="38C01815">
      <w:pPr>
        <w:numPr>
          <w:ilvl w:val="0"/>
          <w:numId w:val="12"/>
        </w:numPr>
        <w:rPr>
          <w:u w:val="single"/>
        </w:rPr>
      </w:pPr>
      <w:r w:rsidRPr="0025604D">
        <w:rPr>
          <w:u w:val="single"/>
        </w:rPr>
        <w:t>Estimated cost to the federal government</w:t>
      </w:r>
      <w:r w:rsidR="00AE1E2E">
        <w:rPr>
          <w:u w:val="single"/>
        </w:rPr>
        <w:t>.</w:t>
      </w:r>
    </w:p>
    <w:p w:rsidR="005C2C05" w:rsidRPr="0025604D" w:rsidP="00CB003A" w14:paraId="417767B9" w14:textId="77777777"/>
    <w:p w:rsidR="00102899" w:rsidRPr="00487290" w:rsidP="00337012" w14:paraId="19D37A9C" w14:textId="46FFE86F">
      <w:r w:rsidRPr="00487290">
        <w:t>There is no annualized cost to the federal government</w:t>
      </w:r>
      <w:r>
        <w:t xml:space="preserve"> as these are third party disclosure requirements only</w:t>
      </w:r>
      <w:r w:rsidRPr="00487290">
        <w:t>.</w:t>
      </w:r>
    </w:p>
    <w:p w:rsidR="005C2C05" w:rsidRPr="0025604D" w:rsidP="00CB003A" w14:paraId="417767BB" w14:textId="77777777"/>
    <w:p w:rsidR="005C2C05" w:rsidRPr="008D00D2" w:rsidP="008D00D2" w14:paraId="417767BC" w14:textId="3C68AD47">
      <w:pPr>
        <w:numPr>
          <w:ilvl w:val="0"/>
          <w:numId w:val="12"/>
        </w:numPr>
        <w:rPr>
          <w:u w:val="single"/>
        </w:rPr>
      </w:pPr>
      <w:r w:rsidRPr="0025604D">
        <w:rPr>
          <w:u w:val="single"/>
        </w:rPr>
        <w:t>Reasons for change in burden</w:t>
      </w:r>
      <w:r w:rsidR="00AE1E2E">
        <w:rPr>
          <w:u w:val="single"/>
        </w:rPr>
        <w:t>.</w:t>
      </w:r>
    </w:p>
    <w:p w:rsidR="005C2C05" w:rsidRPr="0025604D" w:rsidP="00666B6D" w14:paraId="417767BD" w14:textId="77777777">
      <w:pPr>
        <w:keepNext/>
      </w:pPr>
    </w:p>
    <w:p w:rsidR="005C2C05" w:rsidP="00CB003A" w14:paraId="417767BF" w14:textId="1CD68461">
      <w:r w:rsidRPr="00337012">
        <w:t xml:space="preserve">This </w:t>
      </w:r>
      <w:r w:rsidR="000E5E35">
        <w:t xml:space="preserve">collection </w:t>
      </w:r>
      <w:r w:rsidRPr="00337012">
        <w:t xml:space="preserve">is </w:t>
      </w:r>
      <w:r w:rsidR="000E5E35">
        <w:t xml:space="preserve">being </w:t>
      </w:r>
      <w:r w:rsidR="009B75C7">
        <w:t xml:space="preserve">revised </w:t>
      </w:r>
      <w:r w:rsidRPr="00337012">
        <w:t xml:space="preserve">due to enactment of </w:t>
      </w:r>
      <w:r w:rsidR="00B30DAA">
        <w:t>s</w:t>
      </w:r>
      <w:r w:rsidRPr="00337012">
        <w:t>ection</w:t>
      </w:r>
      <w:r w:rsidR="00B30DAA">
        <w:t>s</w:t>
      </w:r>
      <w:r w:rsidRPr="00337012">
        <w:t xml:space="preserve"> </w:t>
      </w:r>
      <w:r w:rsidR="00B30DAA">
        <w:t>115</w:t>
      </w:r>
      <w:r w:rsidR="00873BCC">
        <w:t xml:space="preserve"> and </w:t>
      </w:r>
      <w:r w:rsidR="00B30DAA">
        <w:t xml:space="preserve">314 </w:t>
      </w:r>
      <w:r w:rsidR="0041091F">
        <w:t xml:space="preserve">of the </w:t>
      </w:r>
      <w:r w:rsidR="004C2979">
        <w:t xml:space="preserve">SECURE 2.0 </w:t>
      </w:r>
      <w:r w:rsidR="0041091F">
        <w:t>Act.</w:t>
      </w:r>
      <w:r w:rsidR="00873BCC">
        <w:t xml:space="preserve"> </w:t>
      </w:r>
      <w:r w:rsidRPr="00873BCC" w:rsidR="00873BCC">
        <w:t>This will generate a</w:t>
      </w:r>
      <w:r w:rsidR="00873BCC">
        <w:t>n</w:t>
      </w:r>
      <w:r w:rsidRPr="00873BCC" w:rsidR="00873BCC">
        <w:t xml:space="preserve"> </w:t>
      </w:r>
      <w:r w:rsidR="00873BCC">
        <w:t>i</w:t>
      </w:r>
      <w:r w:rsidRPr="00873BCC" w:rsidR="00873BCC">
        <w:t xml:space="preserve">ncrease in the estimated annual responses of </w:t>
      </w:r>
      <w:r w:rsidR="00873BCC">
        <w:t>225,0</w:t>
      </w:r>
      <w:r w:rsidRPr="00873BCC" w:rsidR="00873BCC">
        <w:t>00 and an estimated annual burden increase of 1</w:t>
      </w:r>
      <w:r w:rsidR="00873BCC">
        <w:t>1</w:t>
      </w:r>
      <w:r w:rsidRPr="00873BCC" w:rsidR="00873BCC">
        <w:t>,</w:t>
      </w:r>
      <w:r w:rsidR="00873BCC">
        <w:t>2</w:t>
      </w:r>
      <w:r w:rsidRPr="00873BCC" w:rsidR="00873BCC">
        <w:t>50 hours.</w:t>
      </w:r>
    </w:p>
    <w:p w:rsidR="00BD1436" w:rsidP="00CB003A" w14:paraId="0D5F0393" w14:textId="77777777"/>
    <w:tbl>
      <w:tblPr>
        <w:tblW w:w="4905" w:type="pct"/>
        <w:tblInd w:w="-8"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
      <w:tblGrid>
        <w:gridCol w:w="1529"/>
        <w:gridCol w:w="1080"/>
        <w:gridCol w:w="1080"/>
        <w:gridCol w:w="1170"/>
        <w:gridCol w:w="1260"/>
        <w:gridCol w:w="1170"/>
        <w:gridCol w:w="1171"/>
      </w:tblGrid>
      <w:tr w14:paraId="303C7E97" w14:textId="77777777" w:rsidTr="00A93045">
        <w:tblPrEx>
          <w:tblW w:w="4905" w:type="pct"/>
          <w:tblInd w:w="-8" w:type="dxa"/>
          <w:tblBorders>
            <w:top w:val="single" w:sz="6" w:space="0" w:color="C5DBEC"/>
            <w:left w:val="single" w:sz="6" w:space="0" w:color="C5DBEC"/>
            <w:bottom w:val="single" w:sz="6" w:space="0" w:color="C5DBEC"/>
            <w:right w:val="single" w:sz="6" w:space="0" w:color="C5DBEC"/>
          </w:tblBorders>
          <w:tblLayout w:type="fixed"/>
          <w:tblCellMar>
            <w:top w:w="15" w:type="dxa"/>
            <w:left w:w="15" w:type="dxa"/>
            <w:bottom w:w="15" w:type="dxa"/>
            <w:right w:w="15" w:type="dxa"/>
          </w:tblCellMar>
          <w:tblLook w:val="04A0"/>
        </w:tblPrEx>
        <w:tc>
          <w:tcPr>
            <w:tcW w:w="153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5685E7BC" w14:textId="77777777">
            <w:pPr>
              <w:keepNext/>
              <w:keepLines/>
              <w:jc w:val="center"/>
              <w:rPr>
                <w:b/>
                <w:bCs/>
                <w:color w:val="000000"/>
                <w:sz w:val="20"/>
                <w:szCs w:val="20"/>
              </w:rPr>
            </w:pPr>
            <w:r w:rsidRPr="001C6246">
              <w:rPr>
                <w:b/>
                <w:bCs/>
                <w:color w:val="000000"/>
                <w:sz w:val="20"/>
                <w:szCs w:val="20"/>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6A17FE2C" w14:textId="77777777">
            <w:pPr>
              <w:keepNext/>
              <w:keepLines/>
              <w:jc w:val="center"/>
              <w:rPr>
                <w:b/>
                <w:bCs/>
                <w:color w:val="000000"/>
                <w:sz w:val="20"/>
                <w:szCs w:val="20"/>
              </w:rPr>
            </w:pPr>
            <w:r w:rsidRPr="001C6246">
              <w:rPr>
                <w:b/>
                <w:bCs/>
                <w:color w:val="000000"/>
                <w:sz w:val="20"/>
                <w:szCs w:val="20"/>
              </w:rPr>
              <w:t>Requested</w:t>
            </w:r>
          </w:p>
        </w:tc>
        <w:tc>
          <w:tcPr>
            <w:tcW w:w="108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357EC6E3" w14:textId="77777777">
            <w:pPr>
              <w:keepNext/>
              <w:keepLines/>
              <w:jc w:val="center"/>
              <w:rPr>
                <w:b/>
                <w:bCs/>
                <w:color w:val="000000"/>
                <w:sz w:val="20"/>
                <w:szCs w:val="20"/>
              </w:rPr>
            </w:pPr>
            <w:r w:rsidRPr="001C6246">
              <w:rPr>
                <w:b/>
                <w:bCs/>
                <w:color w:val="000000"/>
                <w:sz w:val="20"/>
                <w:szCs w:val="20"/>
              </w:rPr>
              <w:t>Program Change Due to New Statute</w:t>
            </w:r>
          </w:p>
        </w:tc>
        <w:tc>
          <w:tcPr>
            <w:tcW w:w="117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5BA0B154" w14:textId="77777777">
            <w:pPr>
              <w:keepNext/>
              <w:keepLines/>
              <w:jc w:val="center"/>
              <w:rPr>
                <w:b/>
                <w:bCs/>
                <w:color w:val="000000"/>
                <w:sz w:val="20"/>
                <w:szCs w:val="20"/>
              </w:rPr>
            </w:pPr>
            <w:r w:rsidRPr="001C6246">
              <w:rPr>
                <w:b/>
                <w:bCs/>
                <w:color w:val="000000"/>
                <w:sz w:val="20"/>
                <w:szCs w:val="20"/>
              </w:rPr>
              <w:t>Program Change Due to Agency Discretion</w:t>
            </w:r>
          </w:p>
        </w:tc>
        <w:tc>
          <w:tcPr>
            <w:tcW w:w="126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3EBFCC91" w14:textId="77777777">
            <w:pPr>
              <w:keepNext/>
              <w:keepLines/>
              <w:ind w:left="-14"/>
              <w:jc w:val="center"/>
              <w:rPr>
                <w:b/>
                <w:bCs/>
                <w:color w:val="000000"/>
                <w:sz w:val="20"/>
                <w:szCs w:val="20"/>
              </w:rPr>
            </w:pPr>
            <w:r w:rsidRPr="001C6246">
              <w:rPr>
                <w:b/>
                <w:bCs/>
                <w:color w:val="000000"/>
                <w:sz w:val="20"/>
                <w:szCs w:val="20"/>
              </w:rPr>
              <w:t>Change Due to Adjustment in Agency Estimate</w:t>
            </w:r>
          </w:p>
        </w:tc>
        <w:tc>
          <w:tcPr>
            <w:tcW w:w="117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5F17A37A" w14:textId="77777777">
            <w:pPr>
              <w:keepNext/>
              <w:keepLines/>
              <w:jc w:val="center"/>
              <w:rPr>
                <w:b/>
                <w:bCs/>
                <w:color w:val="000000"/>
                <w:sz w:val="20"/>
                <w:szCs w:val="20"/>
              </w:rPr>
            </w:pPr>
            <w:r w:rsidRPr="001C6246">
              <w:rPr>
                <w:b/>
                <w:bCs/>
                <w:color w:val="000000"/>
                <w:sz w:val="20"/>
                <w:szCs w:val="20"/>
              </w:rPr>
              <w:t>Change Due to Potential Violation of the PRA</w:t>
            </w:r>
          </w:p>
        </w:tc>
        <w:tc>
          <w:tcPr>
            <w:tcW w:w="1171"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28E76021" w14:textId="77777777">
            <w:pPr>
              <w:keepNext/>
              <w:keepLines/>
              <w:jc w:val="center"/>
              <w:rPr>
                <w:b/>
                <w:bCs/>
                <w:color w:val="000000"/>
                <w:sz w:val="20"/>
                <w:szCs w:val="20"/>
              </w:rPr>
            </w:pPr>
            <w:r w:rsidRPr="001C6246">
              <w:rPr>
                <w:b/>
                <w:bCs/>
                <w:color w:val="000000"/>
                <w:sz w:val="20"/>
                <w:szCs w:val="20"/>
              </w:rPr>
              <w:t>Previously Approved</w:t>
            </w:r>
          </w:p>
        </w:tc>
      </w:tr>
      <w:tr w14:paraId="39463565" w14:textId="77777777" w:rsidTr="00A93045">
        <w:tblPrEx>
          <w:tblW w:w="4905" w:type="pct"/>
          <w:tblInd w:w="-8" w:type="dxa"/>
          <w:tblLayout w:type="fixed"/>
          <w:tblCellMar>
            <w:top w:w="15" w:type="dxa"/>
            <w:left w:w="15" w:type="dxa"/>
            <w:bottom w:w="15" w:type="dxa"/>
            <w:right w:w="15" w:type="dxa"/>
          </w:tblCellMar>
          <w:tblLook w:val="04A0"/>
        </w:tblPrEx>
        <w:tc>
          <w:tcPr>
            <w:tcW w:w="1530" w:type="dxa"/>
            <w:tcBorders>
              <w:top w:val="outset" w:sz="6" w:space="0" w:color="auto"/>
              <w:left w:val="outset" w:sz="6" w:space="0" w:color="auto"/>
              <w:bottom w:val="outset" w:sz="6" w:space="0" w:color="auto"/>
              <w:right w:val="outset" w:sz="6" w:space="0" w:color="auto"/>
            </w:tcBorders>
            <w:hideMark/>
          </w:tcPr>
          <w:p w:rsidR="00BD1436" w:rsidRPr="001C6246" w:rsidP="00DD262E" w14:paraId="22784AE6" w14:textId="77777777">
            <w:pPr>
              <w:keepNext/>
              <w:keepLines/>
              <w:rPr>
                <w:color w:val="000000"/>
                <w:sz w:val="20"/>
                <w:szCs w:val="20"/>
              </w:rPr>
            </w:pPr>
            <w:r w:rsidRPr="001C6246">
              <w:rPr>
                <w:color w:val="000000"/>
                <w:sz w:val="20"/>
                <w:szCs w:val="20"/>
              </w:rPr>
              <w:t>Annual Number of Responses</w:t>
            </w:r>
          </w:p>
        </w:tc>
        <w:tc>
          <w:tcPr>
            <w:tcW w:w="108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7BDE2441" w14:textId="3BC266C6">
            <w:pPr>
              <w:keepNext/>
              <w:keepLines/>
              <w:jc w:val="center"/>
              <w:rPr>
                <w:color w:val="000000"/>
                <w:sz w:val="20"/>
                <w:szCs w:val="20"/>
              </w:rPr>
            </w:pPr>
            <w:r>
              <w:rPr>
                <w:color w:val="000000"/>
                <w:sz w:val="20"/>
                <w:szCs w:val="20"/>
              </w:rPr>
              <w:t>225,500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1421D57D" w14:textId="545B32FE">
            <w:pPr>
              <w:keepNext/>
              <w:keepLines/>
              <w:tabs>
                <w:tab w:val="center" w:pos="740"/>
              </w:tabs>
              <w:jc w:val="center"/>
              <w:rPr>
                <w:color w:val="000000"/>
                <w:sz w:val="20"/>
                <w:szCs w:val="20"/>
              </w:rPr>
            </w:pPr>
            <w:r>
              <w:rPr>
                <w:color w:val="000000"/>
                <w:sz w:val="20"/>
                <w:szCs w:val="20"/>
              </w:rPr>
              <w:t>225</w:t>
            </w:r>
            <w:r w:rsidRPr="001C6246">
              <w:rPr>
                <w:color w:val="000000"/>
                <w:sz w:val="20"/>
                <w:szCs w:val="20"/>
              </w:rPr>
              <w:t>,000</w:t>
            </w:r>
          </w:p>
        </w:tc>
        <w:tc>
          <w:tcPr>
            <w:tcW w:w="117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7107EA42" w14:textId="77777777">
            <w:pPr>
              <w:keepNext/>
              <w:keepLines/>
              <w:jc w:val="center"/>
              <w:rPr>
                <w:color w:val="000000"/>
                <w:sz w:val="20"/>
                <w:szCs w:val="20"/>
              </w:rPr>
            </w:pPr>
            <w:r w:rsidRPr="001C6246">
              <w:rPr>
                <w:color w:val="000000"/>
                <w:sz w:val="20"/>
                <w:szCs w:val="20"/>
              </w:rPr>
              <w:t>0</w:t>
            </w:r>
          </w:p>
        </w:tc>
        <w:tc>
          <w:tcPr>
            <w:tcW w:w="126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57B2DB9D" w14:textId="7ED9800D">
            <w:pPr>
              <w:keepNext/>
              <w:keepLines/>
              <w:ind w:left="-14"/>
              <w:jc w:val="center"/>
              <w:rPr>
                <w:color w:val="000000"/>
                <w:sz w:val="20"/>
                <w:szCs w:val="20"/>
              </w:rPr>
            </w:pPr>
            <w:r>
              <w:rPr>
                <w:color w:val="000000"/>
                <w:sz w:val="20"/>
                <w:szCs w:val="20"/>
              </w:rPr>
              <w:t>0</w:t>
            </w:r>
          </w:p>
        </w:tc>
        <w:tc>
          <w:tcPr>
            <w:tcW w:w="117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039FF6C6" w14:textId="77777777">
            <w:pPr>
              <w:keepNext/>
              <w:keepLines/>
              <w:jc w:val="center"/>
              <w:rPr>
                <w:color w:val="000000"/>
                <w:sz w:val="20"/>
                <w:szCs w:val="20"/>
              </w:rPr>
            </w:pPr>
            <w:r w:rsidRPr="001C6246">
              <w:rPr>
                <w:color w:val="000000"/>
                <w:sz w:val="20"/>
                <w:szCs w:val="20"/>
              </w:rPr>
              <w:t>0</w:t>
            </w:r>
          </w:p>
        </w:tc>
        <w:tc>
          <w:tcPr>
            <w:tcW w:w="1171"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2ACAAA27" w14:textId="17D4C304">
            <w:pPr>
              <w:keepNext/>
              <w:keepLines/>
              <w:jc w:val="center"/>
              <w:rPr>
                <w:color w:val="000000"/>
                <w:sz w:val="20"/>
                <w:szCs w:val="20"/>
              </w:rPr>
            </w:pPr>
            <w:r>
              <w:rPr>
                <w:color w:val="000000"/>
                <w:sz w:val="20"/>
                <w:szCs w:val="20"/>
              </w:rPr>
              <w:t>500</w:t>
            </w:r>
          </w:p>
        </w:tc>
      </w:tr>
      <w:tr w14:paraId="72D95B65" w14:textId="77777777" w:rsidTr="00A93045">
        <w:tblPrEx>
          <w:tblW w:w="4905" w:type="pct"/>
          <w:tblInd w:w="-8" w:type="dxa"/>
          <w:tblLayout w:type="fixed"/>
          <w:tblCellMar>
            <w:top w:w="15" w:type="dxa"/>
            <w:left w:w="15" w:type="dxa"/>
            <w:bottom w:w="15" w:type="dxa"/>
            <w:right w:w="15" w:type="dxa"/>
          </w:tblCellMar>
          <w:tblLook w:val="04A0"/>
        </w:tblPrEx>
        <w:tc>
          <w:tcPr>
            <w:tcW w:w="1530" w:type="dxa"/>
            <w:tcBorders>
              <w:top w:val="outset" w:sz="6" w:space="0" w:color="auto"/>
              <w:left w:val="outset" w:sz="6" w:space="0" w:color="auto"/>
              <w:bottom w:val="outset" w:sz="6" w:space="0" w:color="auto"/>
              <w:right w:val="outset" w:sz="6" w:space="0" w:color="auto"/>
            </w:tcBorders>
            <w:hideMark/>
          </w:tcPr>
          <w:p w:rsidR="00BD1436" w:rsidRPr="001C6246" w:rsidP="00DD262E" w14:paraId="40C0BDA1" w14:textId="550FD5C9">
            <w:pPr>
              <w:keepNext/>
              <w:keepLines/>
              <w:rPr>
                <w:color w:val="000000"/>
                <w:sz w:val="20"/>
                <w:szCs w:val="20"/>
              </w:rPr>
            </w:pPr>
            <w:r w:rsidRPr="001C6246">
              <w:rPr>
                <w:color w:val="000000"/>
                <w:sz w:val="20"/>
                <w:szCs w:val="20"/>
              </w:rPr>
              <w:t>Annual Time Burden (hrs</w:t>
            </w:r>
            <w:r>
              <w:rPr>
                <w:color w:val="000000"/>
                <w:sz w:val="20"/>
                <w:szCs w:val="20"/>
              </w:rPr>
              <w:t>.</w:t>
            </w:r>
            <w:r w:rsidRPr="001C6246">
              <w:rPr>
                <w:color w:val="000000"/>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3D37AA85" w14:textId="7D913474">
            <w:pPr>
              <w:keepNext/>
              <w:keepLines/>
              <w:jc w:val="center"/>
              <w:rPr>
                <w:color w:val="000000"/>
                <w:sz w:val="20"/>
                <w:szCs w:val="20"/>
              </w:rPr>
            </w:pPr>
            <w:r>
              <w:rPr>
                <w:color w:val="000000"/>
                <w:sz w:val="20"/>
                <w:szCs w:val="20"/>
              </w:rPr>
              <w:t>11,375</w:t>
            </w:r>
          </w:p>
        </w:tc>
        <w:tc>
          <w:tcPr>
            <w:tcW w:w="108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1B9592C6" w14:textId="308399E9">
            <w:pPr>
              <w:keepNext/>
              <w:keepLines/>
              <w:jc w:val="center"/>
              <w:rPr>
                <w:color w:val="000000"/>
                <w:sz w:val="20"/>
                <w:szCs w:val="20"/>
              </w:rPr>
            </w:pPr>
            <w:r>
              <w:rPr>
                <w:color w:val="000000"/>
                <w:sz w:val="20"/>
                <w:szCs w:val="20"/>
              </w:rPr>
              <w:t>11</w:t>
            </w:r>
            <w:r w:rsidRPr="001C6246">
              <w:rPr>
                <w:color w:val="000000"/>
                <w:sz w:val="20"/>
                <w:szCs w:val="20"/>
              </w:rPr>
              <w:t>,</w:t>
            </w:r>
            <w:r>
              <w:rPr>
                <w:color w:val="000000"/>
                <w:sz w:val="20"/>
                <w:szCs w:val="20"/>
              </w:rPr>
              <w:t>250</w:t>
            </w:r>
          </w:p>
        </w:tc>
        <w:tc>
          <w:tcPr>
            <w:tcW w:w="117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542C8354" w14:textId="77777777">
            <w:pPr>
              <w:keepNext/>
              <w:keepLines/>
              <w:jc w:val="center"/>
              <w:rPr>
                <w:color w:val="000000"/>
                <w:sz w:val="20"/>
                <w:szCs w:val="20"/>
              </w:rPr>
            </w:pPr>
            <w:r w:rsidRPr="001C6246">
              <w:rPr>
                <w:color w:val="000000"/>
                <w:sz w:val="20"/>
                <w:szCs w:val="20"/>
              </w:rPr>
              <w:t>0</w:t>
            </w:r>
          </w:p>
        </w:tc>
        <w:tc>
          <w:tcPr>
            <w:tcW w:w="126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4AB71FB5" w14:textId="05B8EFA1">
            <w:pPr>
              <w:keepNext/>
              <w:keepLines/>
              <w:ind w:left="-14"/>
              <w:jc w:val="center"/>
              <w:rPr>
                <w:color w:val="000000"/>
                <w:sz w:val="20"/>
                <w:szCs w:val="20"/>
              </w:rPr>
            </w:pPr>
            <w:r>
              <w:rPr>
                <w:color w:val="000000"/>
                <w:sz w:val="20"/>
                <w:szCs w:val="20"/>
              </w:rPr>
              <w:t>0</w:t>
            </w:r>
          </w:p>
        </w:tc>
        <w:tc>
          <w:tcPr>
            <w:tcW w:w="1170"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6E4835B2" w14:textId="77777777">
            <w:pPr>
              <w:keepNext/>
              <w:keepLines/>
              <w:jc w:val="center"/>
              <w:rPr>
                <w:color w:val="000000"/>
                <w:sz w:val="20"/>
                <w:szCs w:val="20"/>
              </w:rPr>
            </w:pPr>
            <w:r w:rsidRPr="001C6246">
              <w:rPr>
                <w:color w:val="000000"/>
                <w:sz w:val="20"/>
                <w:szCs w:val="20"/>
              </w:rPr>
              <w:t>0</w:t>
            </w:r>
          </w:p>
        </w:tc>
        <w:tc>
          <w:tcPr>
            <w:tcW w:w="1171" w:type="dxa"/>
            <w:tcBorders>
              <w:top w:val="outset" w:sz="6" w:space="0" w:color="auto"/>
              <w:left w:val="outset" w:sz="6" w:space="0" w:color="auto"/>
              <w:bottom w:val="outset" w:sz="6" w:space="0" w:color="auto"/>
              <w:right w:val="outset" w:sz="6" w:space="0" w:color="auto"/>
            </w:tcBorders>
            <w:vAlign w:val="center"/>
            <w:hideMark/>
          </w:tcPr>
          <w:p w:rsidR="00BD1436" w:rsidRPr="001C6246" w:rsidP="00DD262E" w14:paraId="6340F0C9" w14:textId="00970DED">
            <w:pPr>
              <w:keepNext/>
              <w:keepLines/>
              <w:jc w:val="center"/>
              <w:rPr>
                <w:color w:val="000000"/>
                <w:sz w:val="20"/>
                <w:szCs w:val="20"/>
              </w:rPr>
            </w:pPr>
            <w:r>
              <w:rPr>
                <w:color w:val="000000"/>
                <w:sz w:val="20"/>
                <w:szCs w:val="20"/>
              </w:rPr>
              <w:t>125</w:t>
            </w:r>
          </w:p>
        </w:tc>
      </w:tr>
    </w:tbl>
    <w:p w:rsidR="004C2979" w:rsidP="00CB003A" w14:paraId="535AC917" w14:textId="77777777"/>
    <w:p w:rsidR="00A93045" w:rsidRPr="0025604D" w:rsidP="00CB003A" w14:paraId="3162156D" w14:textId="77777777"/>
    <w:p w:rsidR="005C2C05" w:rsidRPr="008D00D2" w:rsidP="008D00D2" w14:paraId="417767C0" w14:textId="1B99916D">
      <w:pPr>
        <w:numPr>
          <w:ilvl w:val="0"/>
          <w:numId w:val="12"/>
        </w:numPr>
        <w:rPr>
          <w:u w:val="single"/>
        </w:rPr>
      </w:pPr>
      <w:r w:rsidRPr="0025604D">
        <w:rPr>
          <w:u w:val="single"/>
        </w:rPr>
        <w:t xml:space="preserve">Plans for tabulation, statistical </w:t>
      </w:r>
      <w:r w:rsidRPr="0025604D">
        <w:rPr>
          <w:u w:val="single"/>
        </w:rPr>
        <w:t>analysis</w:t>
      </w:r>
      <w:r w:rsidRPr="0025604D">
        <w:rPr>
          <w:u w:val="single"/>
        </w:rPr>
        <w:t xml:space="preserve"> and </w:t>
      </w:r>
      <w:r w:rsidRPr="0025604D" w:rsidR="00102899">
        <w:rPr>
          <w:u w:val="single"/>
        </w:rPr>
        <w:t>publication.</w:t>
      </w:r>
    </w:p>
    <w:p w:rsidR="005C2C05" w:rsidRPr="0025604D" w:rsidP="00CB003A" w14:paraId="417767C1" w14:textId="77777777"/>
    <w:p w:rsidR="005C2C05" w:rsidP="00CB003A" w14:paraId="417767C2" w14:textId="6D6CC3C8">
      <w:r w:rsidRPr="00923A34">
        <w:t xml:space="preserve">There are no plans for tabulation, statistical </w:t>
      </w:r>
      <w:r w:rsidRPr="00923A34" w:rsidR="00102899">
        <w:t>analysis,</w:t>
      </w:r>
      <w:r w:rsidRPr="00923A34">
        <w:t xml:space="preserve"> and publication.</w:t>
      </w:r>
    </w:p>
    <w:p w:rsidR="00314A18" w:rsidP="00CB003A" w14:paraId="2067D31D" w14:textId="77777777"/>
    <w:p w:rsidR="00A93045" w:rsidP="00CB003A" w14:paraId="2BB65743" w14:textId="77777777"/>
    <w:p w:rsidR="00A93045" w:rsidP="00CB003A" w14:paraId="2F8291D4" w14:textId="77777777"/>
    <w:p w:rsidR="00A93045" w:rsidP="00CB003A" w14:paraId="7754712C" w14:textId="77777777"/>
    <w:p w:rsidR="005C2C05" w:rsidRPr="008D00D2" w:rsidP="008D00D2" w14:paraId="417767C4" w14:textId="009FD0E9">
      <w:pPr>
        <w:numPr>
          <w:ilvl w:val="0"/>
          <w:numId w:val="12"/>
        </w:numPr>
        <w:rPr>
          <w:u w:val="single"/>
        </w:rPr>
      </w:pPr>
      <w:r w:rsidRPr="0025604D">
        <w:rPr>
          <w:u w:val="single"/>
        </w:rPr>
        <w:t xml:space="preserve">Reasons why displaying the OMB expiration date is </w:t>
      </w:r>
      <w:r w:rsidRPr="0025604D" w:rsidR="007F78BD">
        <w:rPr>
          <w:u w:val="single"/>
        </w:rPr>
        <w:t>inappropriate.</w:t>
      </w:r>
    </w:p>
    <w:p w:rsidR="005C2C05" w:rsidRPr="0025604D" w:rsidP="00CB003A" w14:paraId="417767C5" w14:textId="77777777"/>
    <w:p w:rsidR="005378E3" w:rsidRPr="005378E3" w:rsidP="005378E3" w14:paraId="59BDB34E" w14:textId="384863F2">
      <w:r w:rsidRPr="005378E3">
        <w:t xml:space="preserve">IRS believes that displaying the OMB expiration date is inappropriate because it could cause confusion by leading taxpayers to believe that the </w:t>
      </w:r>
      <w:r w:rsidR="000E5E35">
        <w:t>notices</w:t>
      </w:r>
      <w:r w:rsidRPr="005378E3">
        <w:t xml:space="preserve"> sunset as of the expiration date. Taxpayers are not likely to be aware that IRS intends to request renewal of the OMB approval and obtain a new expiration date before the old one expires.</w:t>
      </w:r>
    </w:p>
    <w:p w:rsidR="001C6246" w:rsidRPr="0025604D" w:rsidP="00CB003A" w14:paraId="54BAC0F6" w14:textId="1ADCB65D">
      <w:r>
        <w:t xml:space="preserve">   </w:t>
      </w:r>
    </w:p>
    <w:p w:rsidR="005C2C05" w:rsidRPr="00282304" w:rsidP="00282304" w14:paraId="417767D2" w14:textId="389FF0F7">
      <w:pPr>
        <w:numPr>
          <w:ilvl w:val="0"/>
          <w:numId w:val="12"/>
        </w:numPr>
        <w:rPr>
          <w:u w:val="single"/>
        </w:rPr>
      </w:pPr>
      <w:r w:rsidRPr="0025604D">
        <w:rPr>
          <w:u w:val="single"/>
        </w:rPr>
        <w:t>Exceptions to certification</w:t>
      </w:r>
      <w:r w:rsidR="00AE1E2E">
        <w:rPr>
          <w:u w:val="single"/>
        </w:rPr>
        <w:t>.</w:t>
      </w:r>
    </w:p>
    <w:p w:rsidR="005C2C05" w:rsidRPr="0025604D" w:rsidP="00CB003A" w14:paraId="417767D3" w14:textId="77777777"/>
    <w:p w:rsidR="005C2C05" w:rsidP="00A90BAB" w14:paraId="417767D4" w14:textId="0CFFE326">
      <w:r w:rsidRPr="00923A34">
        <w:t>There are no exceptions to the certification statement.</w:t>
      </w:r>
    </w:p>
    <w:p w:rsidR="00EF33A6" w:rsidP="00A90BAB" w14:paraId="6EF3ECC7" w14:textId="77777777"/>
    <w:p w:rsidR="005C2C05" w:rsidP="00521924" w14:paraId="417767D8" w14:textId="77777777"/>
    <w:sectPr w:rsidSect="00EB5E62">
      <w:footerReference w:type="even" r:id="rId6"/>
      <w:footerReference w:type="default" r:id="rId7"/>
      <w:footerReference w:type="first" r:id="rId8"/>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C05" w:rsidP="00105553" w14:paraId="417767DD" w14:textId="350FBF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1436">
      <w:rPr>
        <w:rStyle w:val="PageNumber"/>
        <w:noProof/>
      </w:rPr>
      <w:t>2</w:t>
    </w:r>
    <w:r>
      <w:rPr>
        <w:rStyle w:val="PageNumber"/>
      </w:rPr>
      <w:fldChar w:fldCharType="end"/>
    </w:r>
  </w:p>
  <w:p w:rsidR="005C2C05" w14:paraId="417767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C05" w:rsidP="00105553" w14:paraId="417767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318B">
      <w:rPr>
        <w:rStyle w:val="PageNumber"/>
        <w:noProof/>
      </w:rPr>
      <w:t>2</w:t>
    </w:r>
    <w:r>
      <w:rPr>
        <w:rStyle w:val="PageNumber"/>
      </w:rPr>
      <w:fldChar w:fldCharType="end"/>
    </w:r>
  </w:p>
  <w:p w:rsidR="005C2C05" w14:paraId="417767E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853916"/>
      <w:docPartObj>
        <w:docPartGallery w:val="Page Numbers (Bottom of Page)"/>
        <w:docPartUnique/>
      </w:docPartObj>
    </w:sdtPr>
    <w:sdtEndPr>
      <w:rPr>
        <w:noProof/>
      </w:rPr>
    </w:sdtEndPr>
    <w:sdtContent>
      <w:p w:rsidR="00BD1436" w14:paraId="39310BE5" w14:textId="6046F2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1436" w14:paraId="0A2D997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97529"/>
    <w:multiLevelType w:val="hybridMultilevel"/>
    <w:tmpl w:val="1EB8F01E"/>
    <w:lvl w:ilvl="0">
      <w:start w:val="5"/>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2390C79"/>
    <w:multiLevelType w:val="hybridMultilevel"/>
    <w:tmpl w:val="EB608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325482"/>
    <w:multiLevelType w:val="hybridMultilevel"/>
    <w:tmpl w:val="2DC40650"/>
    <w:lvl w:ilvl="0">
      <w:start w:val="1"/>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25740C24"/>
    <w:multiLevelType w:val="hybridMultilevel"/>
    <w:tmpl w:val="6CC6634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7CF341C"/>
    <w:multiLevelType w:val="hybridMultilevel"/>
    <w:tmpl w:val="5DDACAAE"/>
    <w:lvl w:ilvl="0">
      <w:start w:val="5"/>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39E40D9F"/>
    <w:multiLevelType w:val="hybridMultilevel"/>
    <w:tmpl w:val="A346368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3D273B6D"/>
    <w:multiLevelType w:val="hybridMultilevel"/>
    <w:tmpl w:val="4FE4371E"/>
    <w:lvl w:ilvl="0">
      <w:start w:val="1"/>
      <w:numFmt w:val="decimal"/>
      <w:lvlText w:val="%1."/>
      <w:lvlJc w:val="left"/>
      <w:pPr>
        <w:tabs>
          <w:tab w:val="num" w:pos="360"/>
        </w:tabs>
        <w:ind w:left="360" w:hanging="360"/>
      </w:pPr>
      <w:rPr>
        <w:rFonts w:cs="Times New Roman" w:hint="default"/>
        <w:u w:val="none"/>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4B524FFC"/>
    <w:multiLevelType w:val="hybridMultilevel"/>
    <w:tmpl w:val="E0F2369E"/>
    <w:lvl w:ilvl="0">
      <w:start w:val="8"/>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4C80018C"/>
    <w:multiLevelType w:val="hybridMultilevel"/>
    <w:tmpl w:val="76E2302C"/>
    <w:lvl w:ilvl="0">
      <w:start w:val="7"/>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4C8B2532"/>
    <w:multiLevelType w:val="hybridMultilevel"/>
    <w:tmpl w:val="2FEA7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99316C5"/>
    <w:multiLevelType w:val="hybridMultilevel"/>
    <w:tmpl w:val="A814A21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648A58CB"/>
    <w:multiLevelType w:val="hybridMultilevel"/>
    <w:tmpl w:val="CB2E28FE"/>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77223731"/>
    <w:multiLevelType w:val="hybridMultilevel"/>
    <w:tmpl w:val="6F48BAA8"/>
    <w:lvl w:ilvl="0">
      <w:start w:val="1"/>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7C5466C4"/>
    <w:multiLevelType w:val="hybridMultilevel"/>
    <w:tmpl w:val="D6DEBB8C"/>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985160520">
    <w:abstractNumId w:val="3"/>
  </w:num>
  <w:num w:numId="2" w16cid:durableId="1311522181">
    <w:abstractNumId w:val="11"/>
  </w:num>
  <w:num w:numId="3" w16cid:durableId="464083857">
    <w:abstractNumId w:val="13"/>
  </w:num>
  <w:num w:numId="4" w16cid:durableId="1962152148">
    <w:abstractNumId w:val="5"/>
  </w:num>
  <w:num w:numId="5" w16cid:durableId="1790586831">
    <w:abstractNumId w:val="12"/>
  </w:num>
  <w:num w:numId="6" w16cid:durableId="1961063038">
    <w:abstractNumId w:val="4"/>
  </w:num>
  <w:num w:numId="7" w16cid:durableId="499007766">
    <w:abstractNumId w:val="0"/>
  </w:num>
  <w:num w:numId="8" w16cid:durableId="465663698">
    <w:abstractNumId w:val="8"/>
  </w:num>
  <w:num w:numId="9" w16cid:durableId="1529563582">
    <w:abstractNumId w:val="7"/>
  </w:num>
  <w:num w:numId="10" w16cid:durableId="1794903156">
    <w:abstractNumId w:val="10"/>
  </w:num>
  <w:num w:numId="11" w16cid:durableId="589579268">
    <w:abstractNumId w:val="2"/>
  </w:num>
  <w:num w:numId="12" w16cid:durableId="357321374">
    <w:abstractNumId w:val="6"/>
  </w:num>
  <w:num w:numId="13" w16cid:durableId="1109012501">
    <w:abstractNumId w:val="9"/>
  </w:num>
  <w:num w:numId="14" w16cid:durableId="150027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3A36"/>
    <w:rsid w:val="0001560A"/>
    <w:rsid w:val="00020618"/>
    <w:rsid w:val="00021CF8"/>
    <w:rsid w:val="00022F56"/>
    <w:rsid w:val="00032166"/>
    <w:rsid w:val="00033871"/>
    <w:rsid w:val="000409DF"/>
    <w:rsid w:val="00046778"/>
    <w:rsid w:val="00073704"/>
    <w:rsid w:val="0008675A"/>
    <w:rsid w:val="000B0264"/>
    <w:rsid w:val="000C7031"/>
    <w:rsid w:val="000D0C74"/>
    <w:rsid w:val="000E0506"/>
    <w:rsid w:val="000E1F44"/>
    <w:rsid w:val="000E5E35"/>
    <w:rsid w:val="000F2AE6"/>
    <w:rsid w:val="000F53C2"/>
    <w:rsid w:val="0010021E"/>
    <w:rsid w:val="00102899"/>
    <w:rsid w:val="00102E03"/>
    <w:rsid w:val="00105553"/>
    <w:rsid w:val="001110E6"/>
    <w:rsid w:val="001121E6"/>
    <w:rsid w:val="00116640"/>
    <w:rsid w:val="00131D26"/>
    <w:rsid w:val="001348F8"/>
    <w:rsid w:val="00147A26"/>
    <w:rsid w:val="0015169B"/>
    <w:rsid w:val="00156E23"/>
    <w:rsid w:val="00161711"/>
    <w:rsid w:val="001664EB"/>
    <w:rsid w:val="00166D33"/>
    <w:rsid w:val="00170A2A"/>
    <w:rsid w:val="001719E5"/>
    <w:rsid w:val="001819F2"/>
    <w:rsid w:val="00181DE1"/>
    <w:rsid w:val="00181F21"/>
    <w:rsid w:val="001829C3"/>
    <w:rsid w:val="0018375D"/>
    <w:rsid w:val="001A4358"/>
    <w:rsid w:val="001A4A80"/>
    <w:rsid w:val="001A6115"/>
    <w:rsid w:val="001B11E5"/>
    <w:rsid w:val="001C39FE"/>
    <w:rsid w:val="001C3DA8"/>
    <w:rsid w:val="001C6246"/>
    <w:rsid w:val="001D6012"/>
    <w:rsid w:val="001E127C"/>
    <w:rsid w:val="001E4BCF"/>
    <w:rsid w:val="001E74D7"/>
    <w:rsid w:val="00203DB3"/>
    <w:rsid w:val="002116E0"/>
    <w:rsid w:val="00212C35"/>
    <w:rsid w:val="002154CF"/>
    <w:rsid w:val="00223FF1"/>
    <w:rsid w:val="00232268"/>
    <w:rsid w:val="00235BDF"/>
    <w:rsid w:val="00237FAA"/>
    <w:rsid w:val="0024000F"/>
    <w:rsid w:val="00241A1F"/>
    <w:rsid w:val="00253424"/>
    <w:rsid w:val="0025604D"/>
    <w:rsid w:val="00256911"/>
    <w:rsid w:val="00271992"/>
    <w:rsid w:val="00272E69"/>
    <w:rsid w:val="00282304"/>
    <w:rsid w:val="00293974"/>
    <w:rsid w:val="002A3F4D"/>
    <w:rsid w:val="002A5F33"/>
    <w:rsid w:val="002B0FF4"/>
    <w:rsid w:val="002B30DB"/>
    <w:rsid w:val="002B7F85"/>
    <w:rsid w:val="002C2A5D"/>
    <w:rsid w:val="002C2C3C"/>
    <w:rsid w:val="00314A18"/>
    <w:rsid w:val="003265D6"/>
    <w:rsid w:val="00333E16"/>
    <w:rsid w:val="00333F3C"/>
    <w:rsid w:val="003349B5"/>
    <w:rsid w:val="00337012"/>
    <w:rsid w:val="00361E73"/>
    <w:rsid w:val="00365005"/>
    <w:rsid w:val="00365C01"/>
    <w:rsid w:val="0036636F"/>
    <w:rsid w:val="003737FC"/>
    <w:rsid w:val="00380639"/>
    <w:rsid w:val="00380FA0"/>
    <w:rsid w:val="00385107"/>
    <w:rsid w:val="00392B31"/>
    <w:rsid w:val="00394A61"/>
    <w:rsid w:val="003A347F"/>
    <w:rsid w:val="003C068B"/>
    <w:rsid w:val="003C1AB8"/>
    <w:rsid w:val="003F3118"/>
    <w:rsid w:val="00406DAA"/>
    <w:rsid w:val="0041091F"/>
    <w:rsid w:val="004136F4"/>
    <w:rsid w:val="00436C40"/>
    <w:rsid w:val="0044510E"/>
    <w:rsid w:val="004470CC"/>
    <w:rsid w:val="004550C8"/>
    <w:rsid w:val="00460B20"/>
    <w:rsid w:val="004746FF"/>
    <w:rsid w:val="00475022"/>
    <w:rsid w:val="00475731"/>
    <w:rsid w:val="0047668D"/>
    <w:rsid w:val="00483E28"/>
    <w:rsid w:val="00487290"/>
    <w:rsid w:val="004915DB"/>
    <w:rsid w:val="00492259"/>
    <w:rsid w:val="004A78A5"/>
    <w:rsid w:val="004B06B5"/>
    <w:rsid w:val="004B32A0"/>
    <w:rsid w:val="004C2979"/>
    <w:rsid w:val="004C304B"/>
    <w:rsid w:val="004E0DE8"/>
    <w:rsid w:val="004E4145"/>
    <w:rsid w:val="004E6996"/>
    <w:rsid w:val="004F5145"/>
    <w:rsid w:val="004F5F1C"/>
    <w:rsid w:val="00511978"/>
    <w:rsid w:val="00511CB4"/>
    <w:rsid w:val="00513CFE"/>
    <w:rsid w:val="00521924"/>
    <w:rsid w:val="0052662E"/>
    <w:rsid w:val="00534EA9"/>
    <w:rsid w:val="00535AD0"/>
    <w:rsid w:val="005366FC"/>
    <w:rsid w:val="0053674A"/>
    <w:rsid w:val="005378E3"/>
    <w:rsid w:val="00572D2C"/>
    <w:rsid w:val="00592774"/>
    <w:rsid w:val="005B19C1"/>
    <w:rsid w:val="005B2332"/>
    <w:rsid w:val="005C2C05"/>
    <w:rsid w:val="005C6A93"/>
    <w:rsid w:val="005D35C0"/>
    <w:rsid w:val="005D6C80"/>
    <w:rsid w:val="005D7EE0"/>
    <w:rsid w:val="005F2B55"/>
    <w:rsid w:val="005F43A7"/>
    <w:rsid w:val="00601319"/>
    <w:rsid w:val="0060168D"/>
    <w:rsid w:val="006049CB"/>
    <w:rsid w:val="00607DDF"/>
    <w:rsid w:val="00610580"/>
    <w:rsid w:val="00612025"/>
    <w:rsid w:val="006137E1"/>
    <w:rsid w:val="00620AB0"/>
    <w:rsid w:val="00625411"/>
    <w:rsid w:val="0063327C"/>
    <w:rsid w:val="00633442"/>
    <w:rsid w:val="0064051D"/>
    <w:rsid w:val="00643306"/>
    <w:rsid w:val="006536E9"/>
    <w:rsid w:val="00656F9A"/>
    <w:rsid w:val="00666B6D"/>
    <w:rsid w:val="0067247A"/>
    <w:rsid w:val="00686B96"/>
    <w:rsid w:val="00695A55"/>
    <w:rsid w:val="006A6089"/>
    <w:rsid w:val="006B22D1"/>
    <w:rsid w:val="006B3E5B"/>
    <w:rsid w:val="006C0EFD"/>
    <w:rsid w:val="006D231D"/>
    <w:rsid w:val="006D5CA0"/>
    <w:rsid w:val="006E1B37"/>
    <w:rsid w:val="006F02DD"/>
    <w:rsid w:val="00701278"/>
    <w:rsid w:val="00707BDE"/>
    <w:rsid w:val="00731447"/>
    <w:rsid w:val="00740121"/>
    <w:rsid w:val="007443A3"/>
    <w:rsid w:val="00775C08"/>
    <w:rsid w:val="007775A3"/>
    <w:rsid w:val="00795CCA"/>
    <w:rsid w:val="007A0B8F"/>
    <w:rsid w:val="007A3C21"/>
    <w:rsid w:val="007A61CE"/>
    <w:rsid w:val="007D295F"/>
    <w:rsid w:val="007D7889"/>
    <w:rsid w:val="007E69B3"/>
    <w:rsid w:val="007F00A6"/>
    <w:rsid w:val="007F0335"/>
    <w:rsid w:val="007F78BD"/>
    <w:rsid w:val="0080157E"/>
    <w:rsid w:val="00804D2F"/>
    <w:rsid w:val="00810171"/>
    <w:rsid w:val="00810250"/>
    <w:rsid w:val="00811010"/>
    <w:rsid w:val="0081132F"/>
    <w:rsid w:val="00813491"/>
    <w:rsid w:val="008166BA"/>
    <w:rsid w:val="00843A09"/>
    <w:rsid w:val="00855772"/>
    <w:rsid w:val="00856DD0"/>
    <w:rsid w:val="00873BCC"/>
    <w:rsid w:val="00874703"/>
    <w:rsid w:val="008803A0"/>
    <w:rsid w:val="00882172"/>
    <w:rsid w:val="0089247F"/>
    <w:rsid w:val="008956BA"/>
    <w:rsid w:val="008A08A1"/>
    <w:rsid w:val="008A3399"/>
    <w:rsid w:val="008A3E67"/>
    <w:rsid w:val="008A4440"/>
    <w:rsid w:val="008A5AEA"/>
    <w:rsid w:val="008A6D0F"/>
    <w:rsid w:val="008B2122"/>
    <w:rsid w:val="008B7CB1"/>
    <w:rsid w:val="008D00D2"/>
    <w:rsid w:val="008E2756"/>
    <w:rsid w:val="008E5DE9"/>
    <w:rsid w:val="00900F75"/>
    <w:rsid w:val="00901860"/>
    <w:rsid w:val="00905154"/>
    <w:rsid w:val="00921EA8"/>
    <w:rsid w:val="00923A34"/>
    <w:rsid w:val="00930944"/>
    <w:rsid w:val="009339C5"/>
    <w:rsid w:val="009379CE"/>
    <w:rsid w:val="00946EB3"/>
    <w:rsid w:val="00950A9E"/>
    <w:rsid w:val="00951428"/>
    <w:rsid w:val="00954BC9"/>
    <w:rsid w:val="00961823"/>
    <w:rsid w:val="0096527A"/>
    <w:rsid w:val="00983B56"/>
    <w:rsid w:val="00986077"/>
    <w:rsid w:val="00990870"/>
    <w:rsid w:val="009B1F03"/>
    <w:rsid w:val="009B75C7"/>
    <w:rsid w:val="009C5688"/>
    <w:rsid w:val="009C79FA"/>
    <w:rsid w:val="009D0AFE"/>
    <w:rsid w:val="009E48DD"/>
    <w:rsid w:val="009F01E5"/>
    <w:rsid w:val="009F0935"/>
    <w:rsid w:val="009F45CC"/>
    <w:rsid w:val="009F4D1C"/>
    <w:rsid w:val="00A00740"/>
    <w:rsid w:val="00A07F16"/>
    <w:rsid w:val="00A10A09"/>
    <w:rsid w:val="00A10BA6"/>
    <w:rsid w:val="00A1769D"/>
    <w:rsid w:val="00A2596F"/>
    <w:rsid w:val="00A31F2F"/>
    <w:rsid w:val="00A33E5F"/>
    <w:rsid w:val="00A530A7"/>
    <w:rsid w:val="00A56179"/>
    <w:rsid w:val="00A66B23"/>
    <w:rsid w:val="00A67505"/>
    <w:rsid w:val="00A71F06"/>
    <w:rsid w:val="00A73657"/>
    <w:rsid w:val="00A85556"/>
    <w:rsid w:val="00A90BAB"/>
    <w:rsid w:val="00A91B97"/>
    <w:rsid w:val="00A92E3D"/>
    <w:rsid w:val="00A93045"/>
    <w:rsid w:val="00A93EA3"/>
    <w:rsid w:val="00A9744C"/>
    <w:rsid w:val="00AD4F02"/>
    <w:rsid w:val="00AE19E0"/>
    <w:rsid w:val="00AE1E2E"/>
    <w:rsid w:val="00AF0E0E"/>
    <w:rsid w:val="00AF1141"/>
    <w:rsid w:val="00B002FE"/>
    <w:rsid w:val="00B04500"/>
    <w:rsid w:val="00B07D95"/>
    <w:rsid w:val="00B30DAA"/>
    <w:rsid w:val="00B41318"/>
    <w:rsid w:val="00B50861"/>
    <w:rsid w:val="00B61494"/>
    <w:rsid w:val="00B716A8"/>
    <w:rsid w:val="00B82378"/>
    <w:rsid w:val="00B87C40"/>
    <w:rsid w:val="00B91949"/>
    <w:rsid w:val="00B96D67"/>
    <w:rsid w:val="00BA59A6"/>
    <w:rsid w:val="00BB4D18"/>
    <w:rsid w:val="00BC310B"/>
    <w:rsid w:val="00BC318B"/>
    <w:rsid w:val="00BC4F4E"/>
    <w:rsid w:val="00BD1436"/>
    <w:rsid w:val="00BE38A6"/>
    <w:rsid w:val="00BF6282"/>
    <w:rsid w:val="00C0391A"/>
    <w:rsid w:val="00C25A3F"/>
    <w:rsid w:val="00C34F74"/>
    <w:rsid w:val="00C36F16"/>
    <w:rsid w:val="00C42204"/>
    <w:rsid w:val="00C60DF5"/>
    <w:rsid w:val="00C643B1"/>
    <w:rsid w:val="00C65F8F"/>
    <w:rsid w:val="00C70990"/>
    <w:rsid w:val="00C73E4B"/>
    <w:rsid w:val="00C75252"/>
    <w:rsid w:val="00C93531"/>
    <w:rsid w:val="00C954EA"/>
    <w:rsid w:val="00CB003A"/>
    <w:rsid w:val="00CB3662"/>
    <w:rsid w:val="00CC0B33"/>
    <w:rsid w:val="00CC403E"/>
    <w:rsid w:val="00CC4534"/>
    <w:rsid w:val="00CD27FF"/>
    <w:rsid w:val="00CE2D06"/>
    <w:rsid w:val="00CE3E04"/>
    <w:rsid w:val="00CE6DFA"/>
    <w:rsid w:val="00CF0E68"/>
    <w:rsid w:val="00CF3850"/>
    <w:rsid w:val="00D01718"/>
    <w:rsid w:val="00D0287A"/>
    <w:rsid w:val="00D3369D"/>
    <w:rsid w:val="00D43950"/>
    <w:rsid w:val="00D8477F"/>
    <w:rsid w:val="00D87AC4"/>
    <w:rsid w:val="00DA0F09"/>
    <w:rsid w:val="00DA5F5B"/>
    <w:rsid w:val="00DC2EC0"/>
    <w:rsid w:val="00DD262E"/>
    <w:rsid w:val="00DD2C3F"/>
    <w:rsid w:val="00DD51E8"/>
    <w:rsid w:val="00DD57B0"/>
    <w:rsid w:val="00E20513"/>
    <w:rsid w:val="00E20588"/>
    <w:rsid w:val="00E266F1"/>
    <w:rsid w:val="00E30DBA"/>
    <w:rsid w:val="00E65994"/>
    <w:rsid w:val="00E71397"/>
    <w:rsid w:val="00E7768F"/>
    <w:rsid w:val="00E8070F"/>
    <w:rsid w:val="00EB1FF7"/>
    <w:rsid w:val="00EB5E62"/>
    <w:rsid w:val="00EC4EB8"/>
    <w:rsid w:val="00ED261A"/>
    <w:rsid w:val="00EE0B0E"/>
    <w:rsid w:val="00EE2F8A"/>
    <w:rsid w:val="00EF30E0"/>
    <w:rsid w:val="00EF33A6"/>
    <w:rsid w:val="00F11D41"/>
    <w:rsid w:val="00F22891"/>
    <w:rsid w:val="00F24F5A"/>
    <w:rsid w:val="00F27C5F"/>
    <w:rsid w:val="00F31337"/>
    <w:rsid w:val="00F41402"/>
    <w:rsid w:val="00F41911"/>
    <w:rsid w:val="00F41AE0"/>
    <w:rsid w:val="00F51DC7"/>
    <w:rsid w:val="00F6303F"/>
    <w:rsid w:val="00F72D0B"/>
    <w:rsid w:val="00F75895"/>
    <w:rsid w:val="00FB24C0"/>
    <w:rsid w:val="00FB7F1C"/>
    <w:rsid w:val="00FC174E"/>
    <w:rsid w:val="00FC2B60"/>
    <w:rsid w:val="00FD0BF8"/>
    <w:rsid w:val="00FE0A8C"/>
    <w:rsid w:val="00FF03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1776760"/>
  <w15:docId w15:val="{3E1C1210-FF42-4005-9193-56B53533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DA8"/>
    <w:rPr>
      <w:rFonts w:cs="Times New Roman"/>
      <w:sz w:val="2"/>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locked/>
    <w:rsid w:val="001C3DA8"/>
    <w:rPr>
      <w:rFonts w:cs="Times New Roman"/>
      <w:sz w:val="24"/>
      <w:szCs w:val="24"/>
    </w:rPr>
  </w:style>
  <w:style w:type="character" w:styleId="PageNumber">
    <w:name w:val="page number"/>
    <w:basedOn w:val="DefaultParagraphFont"/>
    <w:uiPriority w:val="99"/>
    <w:rsid w:val="00EB5E62"/>
    <w:rPr>
      <w:rFonts w:cs="Times New Roman"/>
    </w:rPr>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locked/>
    <w:rsid w:val="001C3DA8"/>
    <w:rPr>
      <w:rFonts w:cs="Times New Roman"/>
      <w:sz w:val="24"/>
      <w:szCs w:val="24"/>
    </w:rPr>
  </w:style>
  <w:style w:type="character" w:styleId="CommentReference">
    <w:name w:val="annotation reference"/>
    <w:basedOn w:val="DefaultParagraphFont"/>
    <w:unhideWhenUsed/>
    <w:rsid w:val="002154CF"/>
    <w:rPr>
      <w:sz w:val="16"/>
      <w:szCs w:val="16"/>
    </w:rPr>
  </w:style>
  <w:style w:type="paragraph" w:styleId="CommentText">
    <w:name w:val="annotation text"/>
    <w:basedOn w:val="Normal"/>
    <w:link w:val="CommentTextChar"/>
    <w:unhideWhenUsed/>
    <w:rsid w:val="002154CF"/>
    <w:rPr>
      <w:sz w:val="20"/>
      <w:szCs w:val="20"/>
    </w:rPr>
  </w:style>
  <w:style w:type="character" w:customStyle="1" w:styleId="CommentTextChar">
    <w:name w:val="Comment Text Char"/>
    <w:basedOn w:val="DefaultParagraphFont"/>
    <w:link w:val="CommentText"/>
    <w:rsid w:val="002154CF"/>
    <w:rPr>
      <w:sz w:val="20"/>
      <w:szCs w:val="20"/>
    </w:rPr>
  </w:style>
  <w:style w:type="paragraph" w:styleId="CommentSubject">
    <w:name w:val="annotation subject"/>
    <w:basedOn w:val="CommentText"/>
    <w:next w:val="CommentText"/>
    <w:link w:val="CommentSubjectChar"/>
    <w:uiPriority w:val="99"/>
    <w:semiHidden/>
    <w:unhideWhenUsed/>
    <w:rsid w:val="002154CF"/>
    <w:rPr>
      <w:b/>
      <w:bCs/>
    </w:rPr>
  </w:style>
  <w:style w:type="character" w:customStyle="1" w:styleId="CommentSubjectChar">
    <w:name w:val="Comment Subject Char"/>
    <w:basedOn w:val="CommentTextChar"/>
    <w:link w:val="CommentSubject"/>
    <w:uiPriority w:val="99"/>
    <w:semiHidden/>
    <w:rsid w:val="002154CF"/>
    <w:rPr>
      <w:b/>
      <w:bCs/>
      <w:sz w:val="20"/>
      <w:szCs w:val="20"/>
    </w:rPr>
  </w:style>
  <w:style w:type="paragraph" w:styleId="Revision">
    <w:name w:val="Revision"/>
    <w:hidden/>
    <w:uiPriority w:val="99"/>
    <w:semiHidden/>
    <w:rsid w:val="008E2756"/>
    <w:rPr>
      <w:sz w:val="24"/>
      <w:szCs w:val="24"/>
    </w:rPr>
  </w:style>
  <w:style w:type="paragraph" w:styleId="FootnoteText">
    <w:name w:val="footnote text"/>
    <w:basedOn w:val="Normal"/>
    <w:link w:val="FootnoteTextChar"/>
    <w:uiPriority w:val="99"/>
    <w:semiHidden/>
    <w:unhideWhenUsed/>
    <w:rsid w:val="005B233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B2332"/>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5B2332"/>
    <w:rPr>
      <w:vertAlign w:val="superscript"/>
    </w:rPr>
  </w:style>
  <w:style w:type="paragraph" w:customStyle="1" w:styleId="Default">
    <w:name w:val="Default"/>
    <w:rsid w:val="005B2332"/>
    <w:pPr>
      <w:autoSpaceDE w:val="0"/>
      <w:autoSpaceDN w:val="0"/>
      <w:adjustRightInd w:val="0"/>
    </w:pPr>
    <w:rPr>
      <w:rFonts w:ascii="Arial" w:hAnsi="Arial" w:eastAsiaTheme="minorHAnsi" w:cs="Arial"/>
      <w:color w:val="000000"/>
      <w:sz w:val="24"/>
      <w:szCs w:val="24"/>
    </w:rPr>
  </w:style>
  <w:style w:type="paragraph" w:styleId="ListParagraph">
    <w:name w:val="List Paragraph"/>
    <w:basedOn w:val="Normal"/>
    <w:uiPriority w:val="1"/>
    <w:qFormat/>
    <w:rsid w:val="0067247A"/>
    <w:pPr>
      <w:ind w:left="720"/>
    </w:pPr>
    <w:rPr>
      <w:rFonts w:eastAsia="Calibri"/>
    </w:rPr>
  </w:style>
  <w:style w:type="character" w:styleId="Hyperlink">
    <w:name w:val="Hyperlink"/>
    <w:basedOn w:val="DefaultParagraphFont"/>
    <w:uiPriority w:val="99"/>
    <w:rsid w:val="00B91949"/>
    <w:rPr>
      <w:color w:val="0000FF" w:themeColor="hyperlink"/>
      <w:u w:val="single"/>
    </w:rPr>
  </w:style>
  <w:style w:type="character" w:customStyle="1" w:styleId="ui-provider">
    <w:name w:val="ui-provider"/>
    <w:basedOn w:val="DefaultParagraphFont"/>
    <w:rsid w:val="00882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treasury.gov/privacy/PIAs/Pages/default.aspx"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9D30-6781-4C94-B970-E6D77C4E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1475</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Stasko Molly J</cp:lastModifiedBy>
  <cp:revision>3</cp:revision>
  <cp:lastPrinted>2023-07-13T13:30:00Z</cp:lastPrinted>
  <dcterms:created xsi:type="dcterms:W3CDTF">2024-06-05T21:05:00Z</dcterms:created>
  <dcterms:modified xsi:type="dcterms:W3CDTF">2024-06-05T21:09:00Z</dcterms:modified>
</cp:coreProperties>
</file>