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B28" w:rsidRPr="005E49F6" w:rsidP="005E2869" w14:paraId="35F212E8"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SUPPORTING STATEMENT</w:t>
      </w:r>
    </w:p>
    <w:p w:rsidR="00CF75A4" w:rsidRPr="005E49F6" w:rsidP="009C2030" w14:paraId="22CC2A85"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Internal Revenue Service</w:t>
      </w:r>
    </w:p>
    <w:p w:rsidR="00C55232" w:rsidRPr="005E49F6" w:rsidP="00C55232" w14:paraId="0D87FACC" w14:textId="058F59BD">
      <w:pPr>
        <w:jc w:val="center"/>
        <w:rPr>
          <w:rFonts w:ascii="Calibri" w:hAnsi="Calibri" w:cs="Courier New"/>
          <w:b/>
          <w:bCs/>
          <w:sz w:val="22"/>
          <w:szCs w:val="22"/>
        </w:rPr>
      </w:pPr>
      <w:r w:rsidRPr="005E49F6">
        <w:rPr>
          <w:rFonts w:ascii="Calibri" w:hAnsi="Calibri" w:cs="Courier New"/>
          <w:b/>
          <w:bCs/>
          <w:sz w:val="22"/>
          <w:szCs w:val="22"/>
        </w:rPr>
        <w:t xml:space="preserve">Form </w:t>
      </w:r>
      <w:r w:rsidR="0073574F">
        <w:rPr>
          <w:rFonts w:ascii="Calibri" w:hAnsi="Calibri" w:cs="Courier New"/>
          <w:b/>
          <w:bCs/>
          <w:sz w:val="22"/>
          <w:szCs w:val="22"/>
        </w:rPr>
        <w:t>1099-DA, Digital Asset Proceeds From Broker Transactions</w:t>
      </w:r>
    </w:p>
    <w:p w:rsidR="00C55232" w:rsidRPr="005E49F6" w:rsidP="00C55232" w14:paraId="34AD2CB7" w14:textId="417DB435">
      <w:pPr>
        <w:jc w:val="center"/>
        <w:rPr>
          <w:rFonts w:ascii="Calibri" w:hAnsi="Calibri" w:cs="Courier New"/>
          <w:b/>
          <w:bCs/>
          <w:sz w:val="22"/>
          <w:szCs w:val="22"/>
        </w:rPr>
      </w:pPr>
      <w:r>
        <w:rPr>
          <w:rFonts w:ascii="Calibri" w:hAnsi="Calibri" w:cs="Courier New"/>
          <w:b/>
          <w:bCs/>
          <w:sz w:val="22"/>
          <w:szCs w:val="22"/>
        </w:rPr>
        <w:t xml:space="preserve">OMB </w:t>
      </w:r>
      <w:r w:rsidR="000B28AD">
        <w:rPr>
          <w:rFonts w:ascii="Calibri" w:hAnsi="Calibri" w:cs="Courier New"/>
          <w:b/>
          <w:bCs/>
          <w:sz w:val="22"/>
          <w:szCs w:val="22"/>
        </w:rPr>
        <w:t xml:space="preserve">Control Number </w:t>
      </w:r>
      <w:r>
        <w:rPr>
          <w:rFonts w:ascii="Calibri" w:hAnsi="Calibri" w:cs="Courier New"/>
          <w:b/>
          <w:bCs/>
          <w:sz w:val="22"/>
          <w:szCs w:val="22"/>
        </w:rPr>
        <w:t>1545-</w:t>
      </w:r>
      <w:r w:rsidR="0073574F">
        <w:rPr>
          <w:rFonts w:ascii="Calibri" w:hAnsi="Calibri" w:cs="Courier New"/>
          <w:b/>
          <w:bCs/>
          <w:sz w:val="22"/>
          <w:szCs w:val="22"/>
        </w:rPr>
        <w:t>NEW</w:t>
      </w:r>
    </w:p>
    <w:p w:rsidR="0003573A" w:rsidRPr="00613D6A" w14:paraId="7CA074D0" w14:textId="77777777">
      <w:pPr>
        <w:rPr>
          <w:rFonts w:asciiTheme="minorHAnsi" w:hAnsiTheme="minorHAnsi" w:cstheme="minorHAnsi"/>
          <w:b/>
          <w:bCs/>
          <w:sz w:val="22"/>
          <w:szCs w:val="22"/>
        </w:rPr>
      </w:pPr>
    </w:p>
    <w:p w:rsidR="00332B28" w:rsidRPr="00613D6A" w14:paraId="32AE3AC9"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61120829" w14:textId="77777777">
      <w:pPr>
        <w:rPr>
          <w:rFonts w:asciiTheme="minorHAnsi" w:hAnsiTheme="minorHAnsi" w:cstheme="minorHAnsi"/>
          <w:sz w:val="22"/>
          <w:szCs w:val="22"/>
        </w:rPr>
      </w:pPr>
    </w:p>
    <w:p w:rsidR="00332B28" w:rsidRPr="00613D6A" w14:paraId="0BCFF041" w14:textId="558247FF">
      <w:pPr>
        <w:ind w:left="720"/>
        <w:rPr>
          <w:rFonts w:asciiTheme="minorHAnsi" w:hAnsiTheme="minorHAnsi" w:cstheme="minorHAnsi"/>
          <w:sz w:val="22"/>
          <w:szCs w:val="22"/>
        </w:rPr>
      </w:pPr>
      <w:r>
        <w:rPr>
          <w:rFonts w:asciiTheme="minorHAnsi" w:hAnsiTheme="minorHAnsi" w:cstheme="minorHAnsi"/>
          <w:sz w:val="22"/>
          <w:szCs w:val="22"/>
        </w:rPr>
        <w:t>S</w:t>
      </w:r>
      <w:r w:rsidRPr="00613D6A">
        <w:rPr>
          <w:rFonts w:asciiTheme="minorHAnsi" w:hAnsiTheme="minorHAnsi" w:cstheme="minorHAnsi"/>
          <w:sz w:val="22"/>
          <w:szCs w:val="22"/>
        </w:rPr>
        <w:t>ection 6045(</w:t>
      </w:r>
      <w:r w:rsidR="0073574F">
        <w:rPr>
          <w:rFonts w:asciiTheme="minorHAnsi" w:hAnsiTheme="minorHAnsi" w:cstheme="minorHAnsi"/>
          <w:sz w:val="22"/>
          <w:szCs w:val="22"/>
        </w:rPr>
        <w:t>a</w:t>
      </w:r>
      <w:r w:rsidRPr="00613D6A">
        <w:rPr>
          <w:rFonts w:asciiTheme="minorHAnsi" w:hAnsiTheme="minorHAnsi" w:cstheme="minorHAnsi"/>
          <w:sz w:val="22"/>
          <w:szCs w:val="22"/>
        </w:rPr>
        <w:t xml:space="preserve">) </w:t>
      </w:r>
      <w:r>
        <w:rPr>
          <w:rFonts w:asciiTheme="minorHAnsi" w:hAnsiTheme="minorHAnsi" w:cstheme="minorHAnsi"/>
          <w:sz w:val="22"/>
          <w:szCs w:val="22"/>
        </w:rPr>
        <w:t xml:space="preserve">of the </w:t>
      </w:r>
      <w:r w:rsidRPr="00613D6A">
        <w:rPr>
          <w:rFonts w:asciiTheme="minorHAnsi" w:hAnsiTheme="minorHAnsi" w:cstheme="minorHAnsi"/>
          <w:sz w:val="22"/>
          <w:szCs w:val="22"/>
        </w:rPr>
        <w:t xml:space="preserve">Internal Revenue Code </w:t>
      </w:r>
      <w:r>
        <w:rPr>
          <w:rFonts w:asciiTheme="minorHAnsi" w:hAnsiTheme="minorHAnsi" w:cstheme="minorHAnsi"/>
          <w:sz w:val="22"/>
          <w:szCs w:val="22"/>
        </w:rPr>
        <w:t>(Code)</w:t>
      </w:r>
      <w:r>
        <w:rPr>
          <w:rStyle w:val="FootnoteReference"/>
          <w:rFonts w:asciiTheme="minorHAnsi" w:hAnsiTheme="minorHAnsi" w:cstheme="minorHAnsi"/>
          <w:sz w:val="22"/>
          <w:szCs w:val="22"/>
          <w:vertAlign w:val="superscript"/>
        </w:rPr>
        <w:footnoteReference w:id="2"/>
      </w:r>
      <w:r w:rsidRPr="00F15A61">
        <w:rPr>
          <w:rFonts w:asciiTheme="minorHAnsi" w:hAnsiTheme="minorHAnsi" w:cstheme="minorHAnsi"/>
          <w:sz w:val="22"/>
          <w:szCs w:val="22"/>
          <w:vertAlign w:val="superscript"/>
        </w:rPr>
        <w:t xml:space="preserve"> </w:t>
      </w:r>
      <w:r w:rsidRPr="00613D6A">
        <w:rPr>
          <w:rFonts w:asciiTheme="minorHAnsi" w:hAnsiTheme="minorHAnsi" w:cstheme="minorHAnsi"/>
          <w:sz w:val="22"/>
          <w:szCs w:val="22"/>
        </w:rPr>
        <w:t xml:space="preserve">and the </w:t>
      </w:r>
      <w:r w:rsidRPr="00613D6A" w:rsidR="00FB2D6E">
        <w:rPr>
          <w:rFonts w:asciiTheme="minorHAnsi" w:hAnsiTheme="minorHAnsi" w:cstheme="minorHAnsi"/>
          <w:sz w:val="22"/>
          <w:szCs w:val="22"/>
        </w:rPr>
        <w:t xml:space="preserve">related Treasury Regulations </w:t>
      </w:r>
      <w:r w:rsidRPr="00613D6A">
        <w:rPr>
          <w:rFonts w:asciiTheme="minorHAnsi" w:hAnsiTheme="minorHAnsi" w:cstheme="minorHAnsi"/>
          <w:sz w:val="22"/>
          <w:szCs w:val="22"/>
        </w:rPr>
        <w:t xml:space="preserve">require persons </w:t>
      </w:r>
      <w:r w:rsidR="0073574F">
        <w:rPr>
          <w:rFonts w:asciiTheme="minorHAnsi" w:hAnsiTheme="minorHAnsi" w:cstheme="minorHAnsi"/>
          <w:sz w:val="22"/>
          <w:szCs w:val="22"/>
        </w:rPr>
        <w:t xml:space="preserve">doing business as </w:t>
      </w:r>
      <w:r w:rsidRPr="00613D6A">
        <w:rPr>
          <w:rFonts w:asciiTheme="minorHAnsi" w:hAnsiTheme="minorHAnsi" w:cstheme="minorHAnsi"/>
          <w:sz w:val="22"/>
          <w:szCs w:val="22"/>
        </w:rPr>
        <w:t>brokers to submit an information return (Form 1099-</w:t>
      </w:r>
      <w:r w:rsidR="0073574F">
        <w:rPr>
          <w:rFonts w:asciiTheme="minorHAnsi" w:hAnsiTheme="minorHAnsi" w:cstheme="minorHAnsi"/>
          <w:sz w:val="22"/>
          <w:szCs w:val="22"/>
        </w:rPr>
        <w:t>DA</w:t>
      </w:r>
      <w:r w:rsidRPr="00613D6A">
        <w:rPr>
          <w:rFonts w:asciiTheme="minorHAnsi" w:hAnsiTheme="minorHAnsi" w:cstheme="minorHAnsi"/>
          <w:sz w:val="22"/>
          <w:szCs w:val="22"/>
        </w:rPr>
        <w:t>) to</w:t>
      </w:r>
      <w:r w:rsidRPr="00613D6A" w:rsidR="00FB2D6E">
        <w:rPr>
          <w:rFonts w:asciiTheme="minorHAnsi" w:hAnsiTheme="minorHAnsi" w:cstheme="minorHAnsi"/>
          <w:sz w:val="22"/>
          <w:szCs w:val="22"/>
        </w:rPr>
        <w:t xml:space="preserve"> the </w:t>
      </w:r>
      <w:r w:rsidRPr="00613D6A">
        <w:rPr>
          <w:rFonts w:asciiTheme="minorHAnsi" w:hAnsiTheme="minorHAnsi" w:cstheme="minorHAnsi"/>
          <w:sz w:val="22"/>
          <w:szCs w:val="22"/>
        </w:rPr>
        <w:t>I</w:t>
      </w:r>
      <w:r w:rsidRPr="00613D6A" w:rsidR="00FB2D6E">
        <w:rPr>
          <w:rFonts w:asciiTheme="minorHAnsi" w:hAnsiTheme="minorHAnsi" w:cstheme="minorHAnsi"/>
          <w:sz w:val="22"/>
          <w:szCs w:val="22"/>
        </w:rPr>
        <w:t xml:space="preserve">nternal </w:t>
      </w:r>
      <w:r w:rsidRPr="00613D6A">
        <w:rPr>
          <w:rFonts w:asciiTheme="minorHAnsi" w:hAnsiTheme="minorHAnsi" w:cstheme="minorHAnsi"/>
          <w:sz w:val="22"/>
          <w:szCs w:val="22"/>
        </w:rPr>
        <w:t>R</w:t>
      </w:r>
      <w:r w:rsidRPr="00613D6A" w:rsidR="00FB2D6E">
        <w:rPr>
          <w:rFonts w:asciiTheme="minorHAnsi" w:hAnsiTheme="minorHAnsi" w:cstheme="minorHAnsi"/>
          <w:sz w:val="22"/>
          <w:szCs w:val="22"/>
        </w:rPr>
        <w:t xml:space="preserve">evenue </w:t>
      </w:r>
      <w:r w:rsidRPr="00613D6A">
        <w:rPr>
          <w:rFonts w:asciiTheme="minorHAnsi" w:hAnsiTheme="minorHAnsi" w:cstheme="minorHAnsi"/>
          <w:sz w:val="22"/>
          <w:szCs w:val="22"/>
        </w:rPr>
        <w:t>S</w:t>
      </w:r>
      <w:r w:rsidRPr="00613D6A" w:rsidR="00FB2D6E">
        <w:rPr>
          <w:rFonts w:asciiTheme="minorHAnsi" w:hAnsiTheme="minorHAnsi" w:cstheme="minorHAnsi"/>
          <w:sz w:val="22"/>
          <w:szCs w:val="22"/>
        </w:rPr>
        <w:t>ervice</w:t>
      </w:r>
      <w:r w:rsidRPr="00613D6A">
        <w:rPr>
          <w:rFonts w:asciiTheme="minorHAnsi" w:hAnsiTheme="minorHAnsi" w:cstheme="minorHAnsi"/>
          <w:sz w:val="22"/>
          <w:szCs w:val="22"/>
        </w:rPr>
        <w:t xml:space="preserve"> </w:t>
      </w:r>
      <w:r w:rsidRPr="00613D6A" w:rsidR="00766D83">
        <w:rPr>
          <w:rFonts w:asciiTheme="minorHAnsi" w:hAnsiTheme="minorHAnsi" w:cstheme="minorHAnsi"/>
          <w:sz w:val="22"/>
          <w:szCs w:val="22"/>
        </w:rPr>
        <w:t xml:space="preserve">(IRS) </w:t>
      </w:r>
      <w:r w:rsidRPr="00613D6A">
        <w:rPr>
          <w:rFonts w:asciiTheme="minorHAnsi" w:hAnsiTheme="minorHAnsi" w:cstheme="minorHAnsi"/>
          <w:sz w:val="22"/>
          <w:szCs w:val="22"/>
        </w:rPr>
        <w:t>to report the</w:t>
      </w:r>
      <w:r>
        <w:rPr>
          <w:rFonts w:asciiTheme="minorHAnsi" w:hAnsiTheme="minorHAnsi" w:cstheme="minorHAnsi"/>
          <w:sz w:val="22"/>
          <w:szCs w:val="22"/>
        </w:rPr>
        <w:t xml:space="preserve">ir customers’ </w:t>
      </w:r>
      <w:r w:rsidRPr="00613D6A">
        <w:rPr>
          <w:rFonts w:asciiTheme="minorHAnsi" w:hAnsiTheme="minorHAnsi" w:cstheme="minorHAnsi"/>
          <w:sz w:val="22"/>
          <w:szCs w:val="22"/>
        </w:rPr>
        <w:t xml:space="preserve">gross proceeds </w:t>
      </w:r>
      <w:r w:rsidR="00B715AB">
        <w:rPr>
          <w:rFonts w:asciiTheme="minorHAnsi" w:hAnsiTheme="minorHAnsi" w:cstheme="minorHAnsi"/>
          <w:sz w:val="22"/>
          <w:szCs w:val="22"/>
        </w:rPr>
        <w:t xml:space="preserve">and other information from digital asset </w:t>
      </w:r>
      <w:r w:rsidR="00CE756D">
        <w:rPr>
          <w:rFonts w:asciiTheme="minorHAnsi" w:hAnsiTheme="minorHAnsi" w:cstheme="minorHAnsi"/>
          <w:sz w:val="22"/>
          <w:szCs w:val="22"/>
        </w:rPr>
        <w:t>transactions</w:t>
      </w:r>
      <w:r w:rsidRPr="00613D6A">
        <w:rPr>
          <w:rFonts w:asciiTheme="minorHAnsi" w:hAnsiTheme="minorHAnsi" w:cstheme="minorHAnsi"/>
          <w:sz w:val="22"/>
          <w:szCs w:val="22"/>
        </w:rPr>
        <w:t>.</w:t>
      </w:r>
    </w:p>
    <w:p w:rsidR="00332B28" w:rsidRPr="00613D6A" w14:paraId="43409B8B" w14:textId="77777777">
      <w:pPr>
        <w:rPr>
          <w:rFonts w:asciiTheme="minorHAnsi" w:hAnsiTheme="minorHAnsi" w:cstheme="minorHAnsi"/>
          <w:sz w:val="22"/>
          <w:szCs w:val="22"/>
        </w:rPr>
      </w:pPr>
    </w:p>
    <w:p w:rsidR="00332B28" w:rsidRPr="00613D6A" w14:paraId="209C0A9A"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1D4F6707" w14:textId="77777777">
      <w:pPr>
        <w:rPr>
          <w:rFonts w:asciiTheme="minorHAnsi" w:hAnsiTheme="minorHAnsi" w:cstheme="minorHAnsi"/>
          <w:sz w:val="22"/>
          <w:szCs w:val="22"/>
        </w:rPr>
      </w:pPr>
    </w:p>
    <w:p w:rsidR="00332B28" w:rsidRPr="00613D6A" w14:paraId="0A302A0C" w14:textId="09075B68">
      <w:pPr>
        <w:ind w:left="720"/>
        <w:rPr>
          <w:rFonts w:asciiTheme="minorHAnsi" w:hAnsiTheme="minorHAnsi" w:cstheme="minorHAnsi"/>
          <w:sz w:val="22"/>
          <w:szCs w:val="22"/>
        </w:rPr>
      </w:pPr>
      <w:r w:rsidRPr="00613D6A">
        <w:rPr>
          <w:rFonts w:asciiTheme="minorHAnsi" w:hAnsiTheme="minorHAnsi" w:cstheme="minorHAnsi"/>
          <w:sz w:val="22"/>
          <w:szCs w:val="22"/>
        </w:rPr>
        <w:t xml:space="preserve">The reporting requirements that </w:t>
      </w:r>
      <w:r w:rsidR="00CC2CD4">
        <w:rPr>
          <w:rFonts w:asciiTheme="minorHAnsi" w:hAnsiTheme="minorHAnsi" w:cstheme="minorHAnsi"/>
          <w:sz w:val="22"/>
          <w:szCs w:val="22"/>
        </w:rPr>
        <w:t xml:space="preserve">section </w:t>
      </w:r>
      <w:r w:rsidRPr="00613D6A">
        <w:rPr>
          <w:rFonts w:asciiTheme="minorHAnsi" w:hAnsiTheme="minorHAnsi" w:cstheme="minorHAnsi"/>
          <w:sz w:val="22"/>
          <w:szCs w:val="22"/>
        </w:rPr>
        <w:t>6045</w:t>
      </w:r>
      <w:r w:rsidRPr="00613D6A" w:rsidR="00766D83">
        <w:rPr>
          <w:rFonts w:asciiTheme="minorHAnsi" w:hAnsiTheme="minorHAnsi" w:cstheme="minorHAnsi"/>
          <w:sz w:val="22"/>
          <w:szCs w:val="22"/>
        </w:rPr>
        <w:t>(</w:t>
      </w:r>
      <w:r w:rsidR="00B715AB">
        <w:rPr>
          <w:rFonts w:asciiTheme="minorHAnsi" w:hAnsiTheme="minorHAnsi" w:cstheme="minorHAnsi"/>
          <w:sz w:val="22"/>
          <w:szCs w:val="22"/>
        </w:rPr>
        <w:t>a</w:t>
      </w:r>
      <w:r w:rsidRPr="00613D6A" w:rsidR="00766D83">
        <w:rPr>
          <w:rFonts w:asciiTheme="minorHAnsi" w:hAnsiTheme="minorHAnsi" w:cstheme="minorHAnsi"/>
          <w:sz w:val="22"/>
          <w:szCs w:val="22"/>
        </w:rPr>
        <w:t>)</w:t>
      </w:r>
      <w:r w:rsidRPr="00613D6A">
        <w:rPr>
          <w:rFonts w:asciiTheme="minorHAnsi" w:hAnsiTheme="minorHAnsi" w:cstheme="minorHAnsi"/>
          <w:sz w:val="22"/>
          <w:szCs w:val="22"/>
        </w:rPr>
        <w:t xml:space="preserve"> places on persons treated as brokers allows the </w:t>
      </w:r>
      <w:r w:rsidRPr="00613D6A">
        <w:rPr>
          <w:rFonts w:asciiTheme="minorHAnsi" w:hAnsiTheme="minorHAnsi" w:cstheme="minorHAnsi"/>
          <w:sz w:val="22"/>
          <w:szCs w:val="22"/>
        </w:rPr>
        <w:t xml:space="preserve">IRS to verify </w:t>
      </w:r>
      <w:r w:rsidR="007334E8">
        <w:rPr>
          <w:rFonts w:asciiTheme="minorHAnsi" w:hAnsiTheme="minorHAnsi" w:cstheme="minorHAnsi"/>
          <w:sz w:val="22"/>
          <w:szCs w:val="22"/>
        </w:rPr>
        <w:t xml:space="preserve">broker </w:t>
      </w:r>
      <w:r w:rsidRPr="00613D6A">
        <w:rPr>
          <w:rFonts w:asciiTheme="minorHAnsi" w:hAnsiTheme="minorHAnsi" w:cstheme="minorHAnsi"/>
          <w:sz w:val="22"/>
          <w:szCs w:val="22"/>
        </w:rPr>
        <w:t xml:space="preserve">compliance with the </w:t>
      </w:r>
      <w:r w:rsidR="007334E8">
        <w:rPr>
          <w:rFonts w:asciiTheme="minorHAnsi" w:hAnsiTheme="minorHAnsi" w:cstheme="minorHAnsi"/>
          <w:sz w:val="22"/>
          <w:szCs w:val="22"/>
        </w:rPr>
        <w:t xml:space="preserve">information </w:t>
      </w:r>
      <w:r w:rsidRPr="00613D6A">
        <w:rPr>
          <w:rFonts w:asciiTheme="minorHAnsi" w:hAnsiTheme="minorHAnsi" w:cstheme="minorHAnsi"/>
          <w:sz w:val="22"/>
          <w:szCs w:val="22"/>
        </w:rPr>
        <w:t xml:space="preserve">reporting rules and to verify that the </w:t>
      </w:r>
      <w:r w:rsidR="007334E8">
        <w:rPr>
          <w:rFonts w:asciiTheme="minorHAnsi" w:hAnsiTheme="minorHAnsi" w:cstheme="minorHAnsi"/>
          <w:sz w:val="22"/>
          <w:szCs w:val="22"/>
        </w:rPr>
        <w:t>broker</w:t>
      </w:r>
      <w:r w:rsidR="007F5072">
        <w:rPr>
          <w:rFonts w:asciiTheme="minorHAnsi" w:hAnsiTheme="minorHAnsi" w:cstheme="minorHAnsi"/>
          <w:sz w:val="22"/>
          <w:szCs w:val="22"/>
        </w:rPr>
        <w:t>’</w:t>
      </w:r>
      <w:r w:rsidR="007334E8">
        <w:rPr>
          <w:rFonts w:asciiTheme="minorHAnsi" w:hAnsiTheme="minorHAnsi" w:cstheme="minorHAnsi"/>
          <w:sz w:val="22"/>
          <w:szCs w:val="22"/>
        </w:rPr>
        <w:t xml:space="preserve">s customers have </w:t>
      </w:r>
      <w:r w:rsidRPr="00613D6A">
        <w:rPr>
          <w:rFonts w:asciiTheme="minorHAnsi" w:hAnsiTheme="minorHAnsi" w:cstheme="minorHAnsi"/>
          <w:sz w:val="22"/>
          <w:szCs w:val="22"/>
        </w:rPr>
        <w:t xml:space="preserve">included the proper amount of income on </w:t>
      </w:r>
      <w:r w:rsidR="007334E8">
        <w:rPr>
          <w:rFonts w:asciiTheme="minorHAnsi" w:hAnsiTheme="minorHAnsi" w:cstheme="minorHAnsi"/>
          <w:sz w:val="22"/>
          <w:szCs w:val="22"/>
        </w:rPr>
        <w:t xml:space="preserve">their </w:t>
      </w:r>
      <w:r w:rsidRPr="00613D6A">
        <w:rPr>
          <w:rFonts w:asciiTheme="minorHAnsi" w:hAnsiTheme="minorHAnsi" w:cstheme="minorHAnsi"/>
          <w:sz w:val="22"/>
          <w:szCs w:val="22"/>
        </w:rPr>
        <w:t>tax return</w:t>
      </w:r>
      <w:r w:rsidR="007334E8">
        <w:rPr>
          <w:rFonts w:asciiTheme="minorHAnsi" w:hAnsiTheme="minorHAnsi" w:cstheme="minorHAnsi"/>
          <w:sz w:val="22"/>
          <w:szCs w:val="22"/>
        </w:rPr>
        <w:t>s</w:t>
      </w:r>
      <w:r w:rsidRPr="00613D6A">
        <w:rPr>
          <w:rFonts w:asciiTheme="minorHAnsi" w:hAnsiTheme="minorHAnsi" w:cstheme="minorHAnsi"/>
          <w:sz w:val="22"/>
          <w:szCs w:val="22"/>
        </w:rPr>
        <w:t xml:space="preserve"> </w:t>
      </w:r>
      <w:r w:rsidR="007334E8">
        <w:rPr>
          <w:rFonts w:asciiTheme="minorHAnsi" w:hAnsiTheme="minorHAnsi" w:cstheme="minorHAnsi"/>
          <w:sz w:val="22"/>
          <w:szCs w:val="22"/>
        </w:rPr>
        <w:t xml:space="preserve">as required by the </w:t>
      </w:r>
      <w:r w:rsidRPr="00613D6A">
        <w:rPr>
          <w:rFonts w:asciiTheme="minorHAnsi" w:hAnsiTheme="minorHAnsi" w:cstheme="minorHAnsi"/>
          <w:sz w:val="22"/>
          <w:szCs w:val="22"/>
        </w:rPr>
        <w:t>Code</w:t>
      </w:r>
      <w:r w:rsidRPr="00613D6A">
        <w:rPr>
          <w:rFonts w:asciiTheme="minorHAnsi" w:hAnsiTheme="minorHAnsi" w:cstheme="minorHAnsi"/>
          <w:sz w:val="22"/>
          <w:szCs w:val="22"/>
        </w:rPr>
        <w:t>.</w:t>
      </w:r>
      <w:r w:rsidRPr="00613D6A" w:rsidR="007716DE">
        <w:rPr>
          <w:rFonts w:asciiTheme="minorHAnsi" w:hAnsiTheme="minorHAnsi" w:cstheme="minorHAnsi"/>
          <w:sz w:val="22"/>
          <w:szCs w:val="22"/>
        </w:rPr>
        <w:t xml:space="preserve"> </w:t>
      </w:r>
      <w:r w:rsidR="00D618C2">
        <w:rPr>
          <w:rFonts w:asciiTheme="minorHAnsi" w:hAnsiTheme="minorHAnsi" w:cstheme="minorHAnsi"/>
          <w:sz w:val="22"/>
          <w:szCs w:val="22"/>
        </w:rPr>
        <w:t>Treasury Regulation</w:t>
      </w:r>
      <w:r w:rsidRPr="00613D6A" w:rsidR="0059029B">
        <w:rPr>
          <w:rFonts w:asciiTheme="minorHAnsi" w:hAnsiTheme="minorHAnsi" w:cstheme="minorHAnsi"/>
          <w:sz w:val="22"/>
          <w:szCs w:val="22"/>
        </w:rPr>
        <w:t xml:space="preserve"> </w:t>
      </w:r>
      <w:r w:rsidR="000F2478">
        <w:rPr>
          <w:rFonts w:asciiTheme="minorHAnsi" w:hAnsiTheme="minorHAnsi" w:cstheme="minorHAnsi"/>
          <w:sz w:val="22"/>
          <w:szCs w:val="22"/>
        </w:rPr>
        <w:t>§ 1.6045-1</w:t>
      </w:r>
      <w:r w:rsidR="00CF64E7">
        <w:rPr>
          <w:rFonts w:asciiTheme="minorHAnsi" w:hAnsiTheme="minorHAnsi" w:cstheme="minorHAnsi"/>
          <w:sz w:val="22"/>
          <w:szCs w:val="22"/>
        </w:rPr>
        <w:t xml:space="preserve"> </w:t>
      </w:r>
      <w:r w:rsidRPr="00613D6A" w:rsidR="00AB237B">
        <w:rPr>
          <w:rFonts w:asciiTheme="minorHAnsi" w:hAnsiTheme="minorHAnsi" w:cstheme="minorHAnsi"/>
          <w:sz w:val="22"/>
          <w:szCs w:val="22"/>
        </w:rPr>
        <w:t xml:space="preserve">requires brokers to report </w:t>
      </w:r>
      <w:r w:rsidR="007334E8">
        <w:rPr>
          <w:rFonts w:asciiTheme="minorHAnsi" w:hAnsiTheme="minorHAnsi" w:cstheme="minorHAnsi"/>
          <w:sz w:val="22"/>
          <w:szCs w:val="22"/>
        </w:rPr>
        <w:t xml:space="preserve">their customers’ </w:t>
      </w:r>
      <w:r w:rsidRPr="00613D6A" w:rsidR="00AB237B">
        <w:rPr>
          <w:rFonts w:asciiTheme="minorHAnsi" w:hAnsiTheme="minorHAnsi" w:cstheme="minorHAnsi"/>
          <w:sz w:val="22"/>
          <w:szCs w:val="22"/>
        </w:rPr>
        <w:t>digital asset</w:t>
      </w:r>
      <w:r w:rsidR="00C0123C">
        <w:rPr>
          <w:rFonts w:asciiTheme="minorHAnsi" w:hAnsiTheme="minorHAnsi" w:cstheme="minorHAnsi"/>
          <w:sz w:val="22"/>
          <w:szCs w:val="22"/>
        </w:rPr>
        <w:t xml:space="preserve"> </w:t>
      </w:r>
      <w:r w:rsidR="00CE756D">
        <w:rPr>
          <w:rFonts w:asciiTheme="minorHAnsi" w:hAnsiTheme="minorHAnsi" w:cstheme="minorHAnsi"/>
          <w:sz w:val="22"/>
          <w:szCs w:val="22"/>
        </w:rPr>
        <w:t xml:space="preserve">transactions </w:t>
      </w:r>
      <w:r w:rsidRPr="00613D6A" w:rsidR="00AB237B">
        <w:rPr>
          <w:rFonts w:asciiTheme="minorHAnsi" w:hAnsiTheme="minorHAnsi" w:cstheme="minorHAnsi"/>
          <w:sz w:val="22"/>
          <w:szCs w:val="22"/>
        </w:rPr>
        <w:t xml:space="preserve">to the IRS, give </w:t>
      </w:r>
      <w:r w:rsidR="007334E8">
        <w:rPr>
          <w:rFonts w:asciiTheme="minorHAnsi" w:hAnsiTheme="minorHAnsi" w:cstheme="minorHAnsi"/>
          <w:sz w:val="22"/>
          <w:szCs w:val="22"/>
        </w:rPr>
        <w:t xml:space="preserve">their customers </w:t>
      </w:r>
      <w:r w:rsidRPr="00613D6A" w:rsidR="00AB237B">
        <w:rPr>
          <w:rFonts w:asciiTheme="minorHAnsi" w:hAnsiTheme="minorHAnsi" w:cstheme="minorHAnsi"/>
          <w:sz w:val="22"/>
          <w:szCs w:val="22"/>
        </w:rPr>
        <w:t>copies</w:t>
      </w:r>
      <w:r w:rsidR="007334E8">
        <w:rPr>
          <w:rFonts w:asciiTheme="minorHAnsi" w:hAnsiTheme="minorHAnsi" w:cstheme="minorHAnsi"/>
          <w:sz w:val="22"/>
          <w:szCs w:val="22"/>
        </w:rPr>
        <w:t xml:space="preserve"> of the information reported to the IRS</w:t>
      </w:r>
      <w:r w:rsidRPr="00613D6A" w:rsidR="00AB237B">
        <w:rPr>
          <w:rFonts w:asciiTheme="minorHAnsi" w:hAnsiTheme="minorHAnsi" w:cstheme="minorHAnsi"/>
          <w:sz w:val="22"/>
          <w:szCs w:val="22"/>
        </w:rPr>
        <w:t xml:space="preserve">, and keep records of the </w:t>
      </w:r>
      <w:r w:rsidR="007334E8">
        <w:rPr>
          <w:rFonts w:asciiTheme="minorHAnsi" w:hAnsiTheme="minorHAnsi" w:cstheme="minorHAnsi"/>
          <w:sz w:val="22"/>
          <w:szCs w:val="22"/>
        </w:rPr>
        <w:t xml:space="preserve">reported </w:t>
      </w:r>
      <w:r w:rsidR="00CE756D">
        <w:rPr>
          <w:rFonts w:asciiTheme="minorHAnsi" w:hAnsiTheme="minorHAnsi" w:cstheme="minorHAnsi"/>
          <w:sz w:val="22"/>
          <w:szCs w:val="22"/>
        </w:rPr>
        <w:t>transactions</w:t>
      </w:r>
      <w:r w:rsidRPr="00613D6A" w:rsidR="00AB237B">
        <w:rPr>
          <w:rFonts w:asciiTheme="minorHAnsi" w:hAnsiTheme="minorHAnsi" w:cstheme="minorHAnsi"/>
          <w:sz w:val="22"/>
          <w:szCs w:val="22"/>
        </w:rPr>
        <w:t xml:space="preserve">. </w:t>
      </w:r>
    </w:p>
    <w:p w:rsidR="00332B28" w:rsidRPr="00613D6A" w14:paraId="74C9D22B" w14:textId="77777777">
      <w:pPr>
        <w:rPr>
          <w:rFonts w:asciiTheme="minorHAnsi" w:hAnsiTheme="minorHAnsi" w:cstheme="minorHAnsi"/>
          <w:sz w:val="22"/>
          <w:szCs w:val="22"/>
        </w:rPr>
      </w:pPr>
    </w:p>
    <w:p w:rsidR="00332B28" w:rsidRPr="00C63785" w:rsidP="00C63785" w14:paraId="7D90A438" w14:textId="231B0C01">
      <w:pPr>
        <w:tabs>
          <w:tab w:val="left" w:pos="-1440"/>
        </w:tabs>
        <w:ind w:left="720" w:hanging="720"/>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14:paraId="30F8E810" w14:textId="77777777">
      <w:pPr>
        <w:rPr>
          <w:rFonts w:asciiTheme="minorHAnsi" w:hAnsiTheme="minorHAnsi" w:cstheme="minorHAnsi"/>
          <w:sz w:val="22"/>
          <w:szCs w:val="22"/>
        </w:rPr>
      </w:pPr>
    </w:p>
    <w:p w:rsidR="00332B28" w:rsidRPr="00613D6A" w14:paraId="57EB810F" w14:textId="1D392B63">
      <w:pPr>
        <w:ind w:left="720"/>
        <w:rPr>
          <w:rFonts w:asciiTheme="minorHAnsi" w:hAnsiTheme="minorHAnsi" w:cstheme="minorHAnsi"/>
          <w:sz w:val="22"/>
          <w:szCs w:val="22"/>
        </w:rPr>
      </w:pPr>
      <w:r>
        <w:rPr>
          <w:rFonts w:asciiTheme="minorHAnsi" w:hAnsiTheme="minorHAnsi" w:cstheme="minorHAnsi"/>
          <w:sz w:val="22"/>
          <w:szCs w:val="22"/>
        </w:rPr>
        <w:t xml:space="preserve">Electronic filing of </w:t>
      </w:r>
      <w:r w:rsidR="00694043">
        <w:rPr>
          <w:rFonts w:asciiTheme="minorHAnsi" w:hAnsiTheme="minorHAnsi" w:cstheme="minorHAnsi"/>
          <w:sz w:val="22"/>
          <w:szCs w:val="22"/>
        </w:rPr>
        <w:t xml:space="preserve">Form 1099-DA will be available. </w:t>
      </w:r>
    </w:p>
    <w:p w:rsidR="00332B28" w:rsidRPr="00613D6A" w14:paraId="00C2EEBA" w14:textId="77777777">
      <w:pPr>
        <w:rPr>
          <w:rFonts w:asciiTheme="minorHAnsi" w:hAnsiTheme="minorHAnsi" w:cstheme="minorHAnsi"/>
          <w:sz w:val="22"/>
          <w:szCs w:val="22"/>
        </w:rPr>
      </w:pPr>
    </w:p>
    <w:p w:rsidR="00332B28" w:rsidRPr="00613D6A" w14:paraId="514CF39E"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102AC806" w14:textId="77777777">
      <w:pPr>
        <w:rPr>
          <w:rFonts w:asciiTheme="minorHAnsi" w:hAnsiTheme="minorHAnsi" w:cstheme="minorHAnsi"/>
          <w:sz w:val="22"/>
          <w:szCs w:val="22"/>
        </w:rPr>
      </w:pPr>
    </w:p>
    <w:p w:rsidR="00332B28" w:rsidRPr="00613D6A" w14:paraId="54484207"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7319FB0E"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46C1333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METHODS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2E7D19C0" w14:textId="77777777">
      <w:pPr>
        <w:ind w:left="720"/>
        <w:jc w:val="both"/>
        <w:rPr>
          <w:rFonts w:asciiTheme="minorHAnsi" w:hAnsiTheme="minorHAnsi" w:cstheme="minorHAnsi"/>
          <w:sz w:val="22"/>
          <w:szCs w:val="22"/>
        </w:rPr>
      </w:pPr>
    </w:p>
    <w:p w:rsidR="00CA5E5B" w:rsidP="00CA5E5B" w14:paraId="7DD531B0" w14:textId="4EAA7C2D">
      <w:pPr>
        <w:ind w:left="720"/>
        <w:rPr>
          <w:rFonts w:asciiTheme="minorHAnsi" w:hAnsiTheme="minorHAnsi" w:cstheme="minorHAnsi"/>
          <w:sz w:val="22"/>
          <w:szCs w:val="22"/>
        </w:rPr>
      </w:pPr>
      <w:r w:rsidRPr="00CA5E5B">
        <w:rPr>
          <w:rFonts w:asciiTheme="minorHAnsi" w:hAnsiTheme="minorHAnsi" w:cstheme="minorHAnsi"/>
          <w:sz w:val="22"/>
          <w:szCs w:val="22"/>
        </w:rPr>
        <w:t>The Treasury Department and the IRS</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considered alternatives that would </w:t>
      </w:r>
      <w:r>
        <w:rPr>
          <w:rFonts w:asciiTheme="minorHAnsi" w:hAnsiTheme="minorHAnsi" w:cstheme="minorHAnsi"/>
          <w:sz w:val="22"/>
          <w:szCs w:val="22"/>
        </w:rPr>
        <w:t>h</w:t>
      </w:r>
      <w:r w:rsidRPr="00CA5E5B">
        <w:rPr>
          <w:rFonts w:asciiTheme="minorHAnsi" w:hAnsiTheme="minorHAnsi" w:cstheme="minorHAnsi"/>
          <w:sz w:val="22"/>
          <w:szCs w:val="22"/>
        </w:rPr>
        <w:t xml:space="preserve">ave created </w:t>
      </w:r>
      <w:r w:rsidR="00CE756D">
        <w:rPr>
          <w:rFonts w:asciiTheme="minorHAnsi" w:hAnsiTheme="minorHAnsi" w:cstheme="minorHAnsi"/>
          <w:sz w:val="22"/>
          <w:szCs w:val="22"/>
        </w:rPr>
        <w:t xml:space="preserve">either </w:t>
      </w:r>
      <w:r w:rsidRPr="00CA5E5B">
        <w:rPr>
          <w:rFonts w:asciiTheme="minorHAnsi" w:hAnsiTheme="minorHAnsi" w:cstheme="minorHAnsi"/>
          <w:sz w:val="22"/>
          <w:szCs w:val="22"/>
        </w:rPr>
        <w:t>an</w:t>
      </w:r>
      <w:r>
        <w:rPr>
          <w:rFonts w:asciiTheme="minorHAnsi" w:hAnsiTheme="minorHAnsi" w:cstheme="minorHAnsi"/>
          <w:sz w:val="22"/>
          <w:szCs w:val="22"/>
        </w:rPr>
        <w:t xml:space="preserve"> </w:t>
      </w:r>
      <w:r w:rsidRPr="00CA5E5B">
        <w:rPr>
          <w:rFonts w:asciiTheme="minorHAnsi" w:hAnsiTheme="minorHAnsi" w:cstheme="minorHAnsi"/>
          <w:sz w:val="22"/>
          <w:szCs w:val="22"/>
        </w:rPr>
        <w:t>exception to reporting, or a delayed</w:t>
      </w:r>
      <w:r>
        <w:rPr>
          <w:rFonts w:asciiTheme="minorHAnsi" w:hAnsiTheme="minorHAnsi" w:cstheme="minorHAnsi"/>
          <w:sz w:val="22"/>
          <w:szCs w:val="22"/>
        </w:rPr>
        <w:t xml:space="preserve"> </w:t>
      </w:r>
      <w:r w:rsidRPr="00CA5E5B">
        <w:rPr>
          <w:rFonts w:asciiTheme="minorHAnsi" w:hAnsiTheme="minorHAnsi" w:cstheme="minorHAnsi"/>
          <w:sz w:val="22"/>
          <w:szCs w:val="22"/>
        </w:rPr>
        <w:t>applicability date, for small business</w:t>
      </w:r>
      <w:r w:rsidR="00CE756D">
        <w:rPr>
          <w:rFonts w:asciiTheme="minorHAnsi" w:hAnsiTheme="minorHAnsi" w:cstheme="minorHAnsi"/>
          <w:sz w:val="22"/>
          <w:szCs w:val="22"/>
        </w:rPr>
        <w:t xml:space="preserve"> broker</w:t>
      </w:r>
      <w:r w:rsidRPr="00CA5E5B">
        <w:rPr>
          <w:rFonts w:asciiTheme="minorHAnsi" w:hAnsiTheme="minorHAnsi" w:cstheme="minorHAnsi"/>
          <w:sz w:val="22"/>
          <w:szCs w:val="22"/>
        </w:rPr>
        <w:t>s</w:t>
      </w:r>
      <w:r>
        <w:rPr>
          <w:rFonts w:asciiTheme="minorHAnsi" w:hAnsiTheme="minorHAnsi" w:cstheme="minorHAnsi"/>
          <w:sz w:val="22"/>
          <w:szCs w:val="22"/>
        </w:rPr>
        <w:t xml:space="preserve"> </w:t>
      </w:r>
      <w:r w:rsidRPr="00CA5E5B">
        <w:rPr>
          <w:rFonts w:asciiTheme="minorHAnsi" w:hAnsiTheme="minorHAnsi" w:cstheme="minorHAnsi"/>
          <w:sz w:val="22"/>
          <w:szCs w:val="22"/>
        </w:rPr>
        <w:t>but decided against such alternatives for</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several reasons. </w:t>
      </w:r>
      <w:r w:rsidR="00CE756D">
        <w:rPr>
          <w:rFonts w:asciiTheme="minorHAnsi" w:hAnsiTheme="minorHAnsi" w:cstheme="minorHAnsi"/>
          <w:sz w:val="22"/>
          <w:szCs w:val="22"/>
        </w:rPr>
        <w:t>O</w:t>
      </w:r>
      <w:r w:rsidRPr="00CA5E5B" w:rsidR="00CE756D">
        <w:rPr>
          <w:rFonts w:asciiTheme="minorHAnsi" w:hAnsiTheme="minorHAnsi" w:cstheme="minorHAnsi"/>
          <w:sz w:val="22"/>
          <w:szCs w:val="22"/>
        </w:rPr>
        <w:t xml:space="preserve">ne </w:t>
      </w:r>
      <w:r w:rsidR="00CE756D">
        <w:rPr>
          <w:rFonts w:asciiTheme="minorHAnsi" w:hAnsiTheme="minorHAnsi" w:cstheme="minorHAnsi"/>
          <w:sz w:val="22"/>
          <w:szCs w:val="22"/>
        </w:rPr>
        <w:t xml:space="preserve">of the main </w:t>
      </w:r>
      <w:r w:rsidRPr="00CA5E5B" w:rsidR="00CE756D">
        <w:rPr>
          <w:rFonts w:asciiTheme="minorHAnsi" w:hAnsiTheme="minorHAnsi" w:cstheme="minorHAnsi"/>
          <w:sz w:val="22"/>
          <w:szCs w:val="22"/>
        </w:rPr>
        <w:t>purpose</w:t>
      </w:r>
      <w:r w:rsidR="00CE756D">
        <w:rPr>
          <w:rFonts w:asciiTheme="minorHAnsi" w:hAnsiTheme="minorHAnsi" w:cstheme="minorHAnsi"/>
          <w:sz w:val="22"/>
          <w:szCs w:val="22"/>
        </w:rPr>
        <w:t>s</w:t>
      </w:r>
      <w:r w:rsidRPr="00CA5E5B" w:rsidR="00CE756D">
        <w:rPr>
          <w:rFonts w:asciiTheme="minorHAnsi" w:hAnsiTheme="minorHAnsi" w:cstheme="minorHAnsi"/>
          <w:sz w:val="22"/>
          <w:szCs w:val="22"/>
        </w:rPr>
        <w:t xml:space="preserve"> of these</w:t>
      </w:r>
      <w:r w:rsidR="00CE756D">
        <w:rPr>
          <w:rFonts w:asciiTheme="minorHAnsi" w:hAnsiTheme="minorHAnsi" w:cstheme="minorHAnsi"/>
          <w:sz w:val="22"/>
          <w:szCs w:val="22"/>
        </w:rPr>
        <w:t xml:space="preserve"> </w:t>
      </w:r>
      <w:r w:rsidRPr="00CA5E5B" w:rsidR="00CE756D">
        <w:rPr>
          <w:rFonts w:asciiTheme="minorHAnsi" w:hAnsiTheme="minorHAnsi" w:cstheme="minorHAnsi"/>
          <w:sz w:val="22"/>
          <w:szCs w:val="22"/>
        </w:rPr>
        <w:t>regulations is to eliminate the tax gap</w:t>
      </w:r>
      <w:r w:rsidR="00CE756D">
        <w:rPr>
          <w:rFonts w:asciiTheme="minorHAnsi" w:hAnsiTheme="minorHAnsi" w:cstheme="minorHAnsi"/>
          <w:sz w:val="22"/>
          <w:szCs w:val="22"/>
        </w:rPr>
        <w:t xml:space="preserve"> associated with digital asset sales</w:t>
      </w:r>
      <w:r w:rsidRPr="00CA5E5B" w:rsidR="00CE756D">
        <w:rPr>
          <w:rFonts w:asciiTheme="minorHAnsi" w:hAnsiTheme="minorHAnsi" w:cstheme="minorHAnsi"/>
          <w:sz w:val="22"/>
          <w:szCs w:val="22"/>
        </w:rPr>
        <w:t>.</w:t>
      </w:r>
      <w:r w:rsidR="00CE756D">
        <w:rPr>
          <w:rFonts w:asciiTheme="minorHAnsi" w:hAnsiTheme="minorHAnsi" w:cstheme="minorHAnsi"/>
          <w:sz w:val="22"/>
          <w:szCs w:val="22"/>
        </w:rPr>
        <w:t xml:space="preserve"> Because it </w:t>
      </w:r>
      <w:r>
        <w:rPr>
          <w:rFonts w:asciiTheme="minorHAnsi" w:hAnsiTheme="minorHAnsi" w:cstheme="minorHAnsi"/>
          <w:sz w:val="22"/>
          <w:szCs w:val="22"/>
        </w:rPr>
        <w:t xml:space="preserve">is </w:t>
      </w:r>
      <w:r w:rsidRPr="00CA5E5B">
        <w:rPr>
          <w:rFonts w:asciiTheme="minorHAnsi" w:hAnsiTheme="minorHAnsi" w:cstheme="minorHAnsi"/>
          <w:sz w:val="22"/>
          <w:szCs w:val="22"/>
        </w:rPr>
        <w:t>anticipate</w:t>
      </w:r>
      <w:r>
        <w:rPr>
          <w:rFonts w:asciiTheme="minorHAnsi" w:hAnsiTheme="minorHAnsi" w:cstheme="minorHAnsi"/>
          <w:sz w:val="22"/>
          <w:szCs w:val="22"/>
        </w:rPr>
        <w:t>d</w:t>
      </w:r>
      <w:r w:rsidRPr="00CA5E5B">
        <w:rPr>
          <w:rFonts w:asciiTheme="minorHAnsi" w:hAnsiTheme="minorHAnsi" w:cstheme="minorHAnsi"/>
          <w:sz w:val="22"/>
          <w:szCs w:val="22"/>
        </w:rPr>
        <w:t xml:space="preserve"> that 9,500 of the 9,700 (or 98</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percent) </w:t>
      </w:r>
      <w:r w:rsidR="00CE756D">
        <w:rPr>
          <w:rFonts w:asciiTheme="minorHAnsi" w:hAnsiTheme="minorHAnsi" w:cstheme="minorHAnsi"/>
          <w:sz w:val="22"/>
          <w:szCs w:val="22"/>
        </w:rPr>
        <w:t xml:space="preserve">of </w:t>
      </w:r>
      <w:r w:rsidRPr="00CA5E5B">
        <w:rPr>
          <w:rFonts w:asciiTheme="minorHAnsi" w:hAnsiTheme="minorHAnsi" w:cstheme="minorHAnsi"/>
          <w:sz w:val="22"/>
          <w:szCs w:val="22"/>
        </w:rPr>
        <w:t xml:space="preserve">impacted </w:t>
      </w:r>
      <w:r w:rsidR="00CE756D">
        <w:rPr>
          <w:rFonts w:asciiTheme="minorHAnsi" w:hAnsiTheme="minorHAnsi" w:cstheme="minorHAnsi"/>
          <w:sz w:val="22"/>
          <w:szCs w:val="22"/>
        </w:rPr>
        <w:t xml:space="preserve">brokers </w:t>
      </w:r>
      <w:r w:rsidRPr="00CA5E5B">
        <w:rPr>
          <w:rFonts w:asciiTheme="minorHAnsi" w:hAnsiTheme="minorHAnsi" w:cstheme="minorHAnsi"/>
          <w:sz w:val="22"/>
          <w:szCs w:val="22"/>
        </w:rPr>
        <w:t>could be small</w:t>
      </w:r>
      <w:r>
        <w:rPr>
          <w:rFonts w:asciiTheme="minorHAnsi" w:hAnsiTheme="minorHAnsi" w:cstheme="minorHAnsi"/>
          <w:sz w:val="22"/>
          <w:szCs w:val="22"/>
        </w:rPr>
        <w:t xml:space="preserve"> </w:t>
      </w:r>
      <w:r w:rsidRPr="00CA5E5B">
        <w:rPr>
          <w:rFonts w:asciiTheme="minorHAnsi" w:hAnsiTheme="minorHAnsi" w:cstheme="minorHAnsi"/>
          <w:sz w:val="22"/>
          <w:szCs w:val="22"/>
        </w:rPr>
        <w:t>businesses</w:t>
      </w:r>
      <w:r w:rsidR="00CE756D">
        <w:rPr>
          <w:rFonts w:asciiTheme="minorHAnsi" w:hAnsiTheme="minorHAnsi" w:cstheme="minorHAnsi"/>
          <w:sz w:val="22"/>
          <w:szCs w:val="22"/>
        </w:rPr>
        <w:t xml:space="preserve">, any </w:t>
      </w:r>
      <w:r w:rsidRPr="00CA5E5B">
        <w:rPr>
          <w:rFonts w:asciiTheme="minorHAnsi" w:hAnsiTheme="minorHAnsi" w:cstheme="minorHAnsi"/>
          <w:sz w:val="22"/>
          <w:szCs w:val="22"/>
        </w:rPr>
        <w:t>exception or delay to the</w:t>
      </w:r>
      <w:r>
        <w:rPr>
          <w:rFonts w:asciiTheme="minorHAnsi" w:hAnsiTheme="minorHAnsi" w:cstheme="minorHAnsi"/>
          <w:sz w:val="22"/>
          <w:szCs w:val="22"/>
        </w:rPr>
        <w:t xml:space="preserve"> </w:t>
      </w:r>
      <w:r w:rsidRPr="00CA5E5B">
        <w:rPr>
          <w:rFonts w:asciiTheme="minorHAnsi" w:hAnsiTheme="minorHAnsi" w:cstheme="minorHAnsi"/>
          <w:sz w:val="22"/>
          <w:szCs w:val="22"/>
        </w:rPr>
        <w:t>information reporting rules for small</w:t>
      </w:r>
      <w:r>
        <w:rPr>
          <w:rFonts w:asciiTheme="minorHAnsi" w:hAnsiTheme="minorHAnsi" w:cstheme="minorHAnsi"/>
          <w:sz w:val="22"/>
          <w:szCs w:val="22"/>
        </w:rPr>
        <w:t xml:space="preserve"> </w:t>
      </w:r>
      <w:r w:rsidRPr="00CA5E5B">
        <w:rPr>
          <w:rFonts w:asciiTheme="minorHAnsi" w:hAnsiTheme="minorHAnsi" w:cstheme="minorHAnsi"/>
          <w:sz w:val="22"/>
          <w:szCs w:val="22"/>
        </w:rPr>
        <w:t>business brokers</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would </w:t>
      </w:r>
      <w:r w:rsidR="00CE756D">
        <w:rPr>
          <w:rFonts w:asciiTheme="minorHAnsi" w:hAnsiTheme="minorHAnsi" w:cstheme="minorHAnsi"/>
          <w:sz w:val="22"/>
          <w:szCs w:val="22"/>
        </w:rPr>
        <w:t xml:space="preserve">substantially </w:t>
      </w:r>
      <w:r w:rsidRPr="00CA5E5B">
        <w:rPr>
          <w:rFonts w:asciiTheme="minorHAnsi" w:hAnsiTheme="minorHAnsi" w:cstheme="minorHAnsi"/>
          <w:sz w:val="22"/>
          <w:szCs w:val="22"/>
        </w:rPr>
        <w:t>reduce the effectiveness of these</w:t>
      </w:r>
      <w:r>
        <w:rPr>
          <w:rFonts w:asciiTheme="minorHAnsi" w:hAnsiTheme="minorHAnsi" w:cstheme="minorHAnsi"/>
          <w:sz w:val="22"/>
          <w:szCs w:val="22"/>
        </w:rPr>
        <w:t xml:space="preserve"> </w:t>
      </w:r>
      <w:r w:rsidRPr="00CA5E5B">
        <w:rPr>
          <w:rFonts w:asciiTheme="minorHAnsi" w:hAnsiTheme="minorHAnsi" w:cstheme="minorHAnsi"/>
          <w:sz w:val="22"/>
          <w:szCs w:val="22"/>
        </w:rPr>
        <w:t>final regulations. In addition, such an</w:t>
      </w:r>
      <w:r>
        <w:rPr>
          <w:rFonts w:asciiTheme="minorHAnsi" w:hAnsiTheme="minorHAnsi" w:cstheme="minorHAnsi"/>
          <w:sz w:val="22"/>
          <w:szCs w:val="22"/>
        </w:rPr>
        <w:t xml:space="preserve"> </w:t>
      </w:r>
      <w:r w:rsidRPr="00CA5E5B">
        <w:rPr>
          <w:rFonts w:asciiTheme="minorHAnsi" w:hAnsiTheme="minorHAnsi" w:cstheme="minorHAnsi"/>
          <w:sz w:val="22"/>
          <w:szCs w:val="22"/>
        </w:rPr>
        <w:t>exception or delay could have the</w:t>
      </w:r>
      <w:r>
        <w:rPr>
          <w:rFonts w:asciiTheme="minorHAnsi" w:hAnsiTheme="minorHAnsi" w:cstheme="minorHAnsi"/>
          <w:sz w:val="22"/>
          <w:szCs w:val="22"/>
        </w:rPr>
        <w:t xml:space="preserve"> </w:t>
      </w:r>
      <w:r w:rsidRPr="00CA5E5B">
        <w:rPr>
          <w:rFonts w:asciiTheme="minorHAnsi" w:hAnsiTheme="minorHAnsi" w:cstheme="minorHAnsi"/>
          <w:sz w:val="22"/>
          <w:szCs w:val="22"/>
        </w:rPr>
        <w:t>unintended effect of incentivizing</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taxpayers </w:t>
      </w:r>
      <w:r w:rsidR="00CE756D">
        <w:rPr>
          <w:rFonts w:asciiTheme="minorHAnsi" w:hAnsiTheme="minorHAnsi" w:cstheme="minorHAnsi"/>
          <w:sz w:val="22"/>
          <w:szCs w:val="22"/>
        </w:rPr>
        <w:t xml:space="preserve">that </w:t>
      </w:r>
      <w:r w:rsidR="00A066B3">
        <w:rPr>
          <w:rFonts w:asciiTheme="minorHAnsi" w:hAnsiTheme="minorHAnsi" w:cstheme="minorHAnsi"/>
          <w:sz w:val="22"/>
          <w:szCs w:val="22"/>
        </w:rPr>
        <w:t xml:space="preserve">want </w:t>
      </w:r>
      <w:r w:rsidR="00CE756D">
        <w:rPr>
          <w:rFonts w:asciiTheme="minorHAnsi" w:hAnsiTheme="minorHAnsi" w:cstheme="minorHAnsi"/>
          <w:sz w:val="22"/>
          <w:szCs w:val="22"/>
        </w:rPr>
        <w:t xml:space="preserve">to hide their income from the IRS </w:t>
      </w:r>
      <w:r w:rsidRPr="00CA5E5B">
        <w:rPr>
          <w:rFonts w:asciiTheme="minorHAnsi" w:hAnsiTheme="minorHAnsi" w:cstheme="minorHAnsi"/>
          <w:sz w:val="22"/>
          <w:szCs w:val="22"/>
        </w:rPr>
        <w:t>to move their business to</w:t>
      </w:r>
      <w:r>
        <w:rPr>
          <w:rFonts w:asciiTheme="minorHAnsi" w:hAnsiTheme="minorHAnsi" w:cstheme="minorHAnsi"/>
          <w:sz w:val="22"/>
          <w:szCs w:val="22"/>
        </w:rPr>
        <w:t xml:space="preserve"> </w:t>
      </w:r>
      <w:r w:rsidRPr="00CA5E5B">
        <w:rPr>
          <w:rFonts w:asciiTheme="minorHAnsi" w:hAnsiTheme="minorHAnsi" w:cstheme="minorHAnsi"/>
          <w:sz w:val="22"/>
          <w:szCs w:val="22"/>
        </w:rPr>
        <w:t>excepted small business</w:t>
      </w:r>
      <w:r w:rsidR="00CE756D">
        <w:rPr>
          <w:rFonts w:asciiTheme="minorHAnsi" w:hAnsiTheme="minorHAnsi" w:cstheme="minorHAnsi"/>
          <w:sz w:val="22"/>
          <w:szCs w:val="22"/>
        </w:rPr>
        <w:t xml:space="preserve"> brok</w:t>
      </w:r>
      <w:r w:rsidRPr="00CA5E5B">
        <w:rPr>
          <w:rFonts w:asciiTheme="minorHAnsi" w:hAnsiTheme="minorHAnsi" w:cstheme="minorHAnsi"/>
          <w:sz w:val="22"/>
          <w:szCs w:val="22"/>
        </w:rPr>
        <w:t>e</w:t>
      </w:r>
      <w:r w:rsidR="00CE756D">
        <w:rPr>
          <w:rFonts w:asciiTheme="minorHAnsi" w:hAnsiTheme="minorHAnsi" w:cstheme="minorHAnsi"/>
          <w:sz w:val="22"/>
          <w:szCs w:val="22"/>
        </w:rPr>
        <w:t>r</w:t>
      </w:r>
      <w:r w:rsidRPr="00CA5E5B">
        <w:rPr>
          <w:rFonts w:asciiTheme="minorHAnsi" w:hAnsiTheme="minorHAnsi" w:cstheme="minorHAnsi"/>
          <w:sz w:val="22"/>
          <w:szCs w:val="22"/>
        </w:rPr>
        <w:t>s, thus</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thwarting IRS efforts to identify taxpayers engaged in </w:t>
      </w:r>
      <w:r w:rsidR="00147F0E">
        <w:rPr>
          <w:rFonts w:asciiTheme="minorHAnsi" w:hAnsiTheme="minorHAnsi" w:cstheme="minorHAnsi"/>
          <w:sz w:val="22"/>
          <w:szCs w:val="22"/>
        </w:rPr>
        <w:t xml:space="preserve">unreported </w:t>
      </w:r>
      <w:r w:rsidRPr="00CA5E5B">
        <w:rPr>
          <w:rFonts w:asciiTheme="minorHAnsi" w:hAnsiTheme="minorHAnsi" w:cstheme="minorHAnsi"/>
          <w:sz w:val="22"/>
          <w:szCs w:val="22"/>
        </w:rPr>
        <w:t>digital asset</w:t>
      </w:r>
      <w:r>
        <w:rPr>
          <w:rFonts w:asciiTheme="minorHAnsi" w:hAnsiTheme="minorHAnsi" w:cstheme="minorHAnsi"/>
          <w:sz w:val="22"/>
          <w:szCs w:val="22"/>
        </w:rPr>
        <w:t xml:space="preserve"> </w:t>
      </w:r>
      <w:r w:rsidRPr="00147F0E">
        <w:rPr>
          <w:rFonts w:asciiTheme="minorHAnsi" w:hAnsiTheme="minorHAnsi" w:cstheme="minorHAnsi"/>
          <w:sz w:val="22"/>
          <w:szCs w:val="22"/>
        </w:rPr>
        <w:t>transactions</w:t>
      </w:r>
      <w:r w:rsidRPr="00CA5E5B">
        <w:rPr>
          <w:rFonts w:asciiTheme="minorHAnsi" w:hAnsiTheme="minorHAnsi" w:cstheme="minorHAnsi"/>
          <w:sz w:val="22"/>
          <w:szCs w:val="22"/>
        </w:rPr>
        <w:t>. Additionally, because the</w:t>
      </w:r>
      <w:r>
        <w:rPr>
          <w:rFonts w:asciiTheme="minorHAnsi" w:hAnsiTheme="minorHAnsi" w:cstheme="minorHAnsi"/>
          <w:sz w:val="22"/>
          <w:szCs w:val="22"/>
        </w:rPr>
        <w:t xml:space="preserve"> </w:t>
      </w:r>
      <w:r w:rsidRPr="00CA5E5B">
        <w:rPr>
          <w:rFonts w:asciiTheme="minorHAnsi" w:hAnsiTheme="minorHAnsi" w:cstheme="minorHAnsi"/>
          <w:sz w:val="22"/>
          <w:szCs w:val="22"/>
        </w:rPr>
        <w:t>information reported on statements</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furnished to </w:t>
      </w:r>
      <w:r w:rsidR="006B764C">
        <w:rPr>
          <w:rFonts w:asciiTheme="minorHAnsi" w:hAnsiTheme="minorHAnsi" w:cstheme="minorHAnsi"/>
          <w:sz w:val="22"/>
          <w:szCs w:val="22"/>
        </w:rPr>
        <w:t xml:space="preserve">the </w:t>
      </w:r>
      <w:r w:rsidR="00147F0E">
        <w:rPr>
          <w:rFonts w:asciiTheme="minorHAnsi" w:hAnsiTheme="minorHAnsi" w:cstheme="minorHAnsi"/>
          <w:sz w:val="22"/>
          <w:szCs w:val="22"/>
        </w:rPr>
        <w:t>broker</w:t>
      </w:r>
      <w:r w:rsidR="006B764C">
        <w:rPr>
          <w:rFonts w:asciiTheme="minorHAnsi" w:hAnsiTheme="minorHAnsi" w:cstheme="minorHAnsi"/>
          <w:sz w:val="22"/>
          <w:szCs w:val="22"/>
        </w:rPr>
        <w:t>’s</w:t>
      </w:r>
      <w:r w:rsidR="00147F0E">
        <w:rPr>
          <w:rFonts w:asciiTheme="minorHAnsi" w:hAnsiTheme="minorHAnsi" w:cstheme="minorHAnsi"/>
          <w:sz w:val="22"/>
          <w:szCs w:val="22"/>
        </w:rPr>
        <w:t xml:space="preserve"> </w:t>
      </w:r>
      <w:r w:rsidRPr="00CA5E5B">
        <w:rPr>
          <w:rFonts w:asciiTheme="minorHAnsi" w:hAnsiTheme="minorHAnsi" w:cstheme="minorHAnsi"/>
          <w:sz w:val="22"/>
          <w:szCs w:val="22"/>
        </w:rPr>
        <w:t xml:space="preserve">customers </w:t>
      </w:r>
      <w:r w:rsidR="006B764C">
        <w:rPr>
          <w:rFonts w:asciiTheme="minorHAnsi" w:hAnsiTheme="minorHAnsi" w:cstheme="minorHAnsi"/>
          <w:sz w:val="22"/>
          <w:szCs w:val="22"/>
        </w:rPr>
        <w:t xml:space="preserve">(customer statements) </w:t>
      </w:r>
      <w:r w:rsidRPr="00CA5E5B">
        <w:rPr>
          <w:rFonts w:asciiTheme="minorHAnsi" w:hAnsiTheme="minorHAnsi" w:cstheme="minorHAnsi"/>
          <w:sz w:val="22"/>
          <w:szCs w:val="22"/>
        </w:rPr>
        <w:t xml:space="preserve">will likely aid </w:t>
      </w:r>
      <w:r w:rsidR="00CC2CD4">
        <w:rPr>
          <w:rFonts w:asciiTheme="minorHAnsi" w:hAnsiTheme="minorHAnsi" w:cstheme="minorHAnsi"/>
          <w:sz w:val="22"/>
          <w:szCs w:val="22"/>
        </w:rPr>
        <w:t xml:space="preserve">those customers </w:t>
      </w:r>
      <w:r w:rsidR="004A263B">
        <w:rPr>
          <w:rFonts w:asciiTheme="minorHAnsi" w:hAnsiTheme="minorHAnsi" w:cstheme="minorHAnsi"/>
          <w:sz w:val="22"/>
          <w:szCs w:val="22"/>
        </w:rPr>
        <w:t>in</w:t>
      </w:r>
      <w:r w:rsidR="00CC2CD4">
        <w:rPr>
          <w:rFonts w:asciiTheme="minorHAnsi" w:hAnsiTheme="minorHAnsi" w:cstheme="minorHAnsi"/>
          <w:sz w:val="22"/>
          <w:szCs w:val="22"/>
        </w:rPr>
        <w:t xml:space="preserve"> their </w:t>
      </w:r>
      <w:r w:rsidRPr="00CA5E5B">
        <w:rPr>
          <w:rFonts w:asciiTheme="minorHAnsi" w:hAnsiTheme="minorHAnsi" w:cstheme="minorHAnsi"/>
          <w:sz w:val="22"/>
          <w:szCs w:val="22"/>
        </w:rPr>
        <w:t xml:space="preserve">tax return preparation, </w:t>
      </w:r>
      <w:r w:rsidR="00CC2CD4">
        <w:rPr>
          <w:rFonts w:asciiTheme="minorHAnsi" w:hAnsiTheme="minorHAnsi" w:cstheme="minorHAnsi"/>
          <w:sz w:val="22"/>
          <w:szCs w:val="22"/>
        </w:rPr>
        <w:t xml:space="preserve">applying the regulations to </w:t>
      </w:r>
      <w:r w:rsidRPr="00CA5E5B">
        <w:rPr>
          <w:rFonts w:asciiTheme="minorHAnsi" w:hAnsiTheme="minorHAnsi" w:cstheme="minorHAnsi"/>
          <w:sz w:val="22"/>
          <w:szCs w:val="22"/>
        </w:rPr>
        <w:t>small business brokers will</w:t>
      </w:r>
      <w:r>
        <w:rPr>
          <w:rFonts w:asciiTheme="minorHAnsi" w:hAnsiTheme="minorHAnsi" w:cstheme="minorHAnsi"/>
          <w:sz w:val="22"/>
          <w:szCs w:val="22"/>
        </w:rPr>
        <w:t xml:space="preserve"> </w:t>
      </w:r>
      <w:r w:rsidR="00CC2CD4">
        <w:rPr>
          <w:rFonts w:asciiTheme="minorHAnsi" w:hAnsiTheme="minorHAnsi" w:cstheme="minorHAnsi"/>
          <w:sz w:val="22"/>
          <w:szCs w:val="22"/>
        </w:rPr>
        <w:t xml:space="preserve">enable </w:t>
      </w:r>
      <w:r w:rsidR="004A263B">
        <w:rPr>
          <w:rFonts w:asciiTheme="minorHAnsi" w:hAnsiTheme="minorHAnsi" w:cstheme="minorHAnsi"/>
          <w:sz w:val="22"/>
          <w:szCs w:val="22"/>
        </w:rPr>
        <w:t xml:space="preserve">those brokers </w:t>
      </w:r>
      <w:r w:rsidRPr="00CA5E5B">
        <w:rPr>
          <w:rFonts w:asciiTheme="minorHAnsi" w:hAnsiTheme="minorHAnsi" w:cstheme="minorHAnsi"/>
          <w:sz w:val="22"/>
          <w:szCs w:val="22"/>
        </w:rPr>
        <w:t>to offer their customers the same</w:t>
      </w:r>
      <w:r>
        <w:rPr>
          <w:rFonts w:asciiTheme="minorHAnsi" w:hAnsiTheme="minorHAnsi" w:cstheme="minorHAnsi"/>
          <w:sz w:val="22"/>
          <w:szCs w:val="22"/>
        </w:rPr>
        <w:t xml:space="preserve"> </w:t>
      </w:r>
      <w:r w:rsidRPr="00CA5E5B">
        <w:rPr>
          <w:rFonts w:asciiTheme="minorHAnsi" w:hAnsiTheme="minorHAnsi" w:cstheme="minorHAnsi"/>
          <w:sz w:val="22"/>
          <w:szCs w:val="22"/>
        </w:rPr>
        <w:t>amount of useful information as their</w:t>
      </w:r>
      <w:r>
        <w:rPr>
          <w:rFonts w:asciiTheme="minorHAnsi" w:hAnsiTheme="minorHAnsi" w:cstheme="minorHAnsi"/>
          <w:sz w:val="22"/>
          <w:szCs w:val="22"/>
        </w:rPr>
        <w:t xml:space="preserve"> </w:t>
      </w:r>
      <w:r w:rsidRPr="00CA5E5B">
        <w:rPr>
          <w:rFonts w:asciiTheme="minorHAnsi" w:hAnsiTheme="minorHAnsi" w:cstheme="minorHAnsi"/>
          <w:sz w:val="22"/>
          <w:szCs w:val="22"/>
        </w:rPr>
        <w:t>larger competitors. Finally, to the extent</w:t>
      </w:r>
      <w:r>
        <w:rPr>
          <w:rFonts w:asciiTheme="minorHAnsi" w:hAnsiTheme="minorHAnsi" w:cstheme="minorHAnsi"/>
          <w:sz w:val="22"/>
          <w:szCs w:val="22"/>
        </w:rPr>
        <w:t xml:space="preserve"> </w:t>
      </w:r>
      <w:r w:rsidR="00CC2CD4">
        <w:rPr>
          <w:rFonts w:asciiTheme="minorHAnsi" w:hAnsiTheme="minorHAnsi" w:cstheme="minorHAnsi"/>
          <w:sz w:val="22"/>
          <w:szCs w:val="22"/>
        </w:rPr>
        <w:t xml:space="preserve">the brokers’ customers </w:t>
      </w:r>
      <w:r w:rsidRPr="00CA5E5B">
        <w:rPr>
          <w:rFonts w:asciiTheme="minorHAnsi" w:hAnsiTheme="minorHAnsi" w:cstheme="minorHAnsi"/>
          <w:sz w:val="22"/>
          <w:szCs w:val="22"/>
        </w:rPr>
        <w:t>are</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themselves small businesses, </w:t>
      </w:r>
      <w:r>
        <w:rPr>
          <w:rFonts w:asciiTheme="minorHAnsi" w:hAnsiTheme="minorHAnsi" w:cstheme="minorHAnsi"/>
          <w:sz w:val="22"/>
          <w:szCs w:val="22"/>
        </w:rPr>
        <w:t>this reporting</w:t>
      </w:r>
      <w:r w:rsidRPr="00CA5E5B">
        <w:rPr>
          <w:rFonts w:asciiTheme="minorHAnsi" w:hAnsiTheme="minorHAnsi" w:cstheme="minorHAnsi"/>
          <w:sz w:val="22"/>
          <w:szCs w:val="22"/>
        </w:rPr>
        <w:t xml:space="preserve"> will help these </w:t>
      </w:r>
      <w:r w:rsidR="00CC2CD4">
        <w:rPr>
          <w:rFonts w:asciiTheme="minorHAnsi" w:hAnsiTheme="minorHAnsi" w:cstheme="minorHAnsi"/>
          <w:sz w:val="22"/>
          <w:szCs w:val="22"/>
        </w:rPr>
        <w:t xml:space="preserve">small </w:t>
      </w:r>
      <w:r w:rsidRPr="00CA5E5B">
        <w:rPr>
          <w:rFonts w:asciiTheme="minorHAnsi" w:hAnsiTheme="minorHAnsi" w:cstheme="minorHAnsi"/>
          <w:sz w:val="22"/>
          <w:szCs w:val="22"/>
        </w:rPr>
        <w:t>businesses</w:t>
      </w:r>
      <w:r>
        <w:rPr>
          <w:rFonts w:asciiTheme="minorHAnsi" w:hAnsiTheme="minorHAnsi" w:cstheme="minorHAnsi"/>
          <w:sz w:val="22"/>
          <w:szCs w:val="22"/>
        </w:rPr>
        <w:t xml:space="preserve"> </w:t>
      </w:r>
      <w:r w:rsidRPr="00CA5E5B">
        <w:rPr>
          <w:rFonts w:asciiTheme="minorHAnsi" w:hAnsiTheme="minorHAnsi" w:cstheme="minorHAnsi"/>
          <w:sz w:val="22"/>
          <w:szCs w:val="22"/>
        </w:rPr>
        <w:t>with their own tax preparation.</w:t>
      </w:r>
    </w:p>
    <w:p w:rsidR="00C55232" w:rsidRPr="00613D6A" w:rsidP="00C55232" w14:paraId="03344001" w14:textId="77777777">
      <w:pPr>
        <w:ind w:firstLine="720"/>
        <w:rPr>
          <w:rFonts w:asciiTheme="minorHAnsi" w:hAnsiTheme="minorHAnsi" w:cstheme="minorHAnsi"/>
          <w:sz w:val="22"/>
          <w:szCs w:val="22"/>
        </w:rPr>
      </w:pPr>
    </w:p>
    <w:p w:rsidR="00332B28" w:rsidRPr="00613D6A" w14:paraId="068812A6" w14:textId="77777777">
      <w:pPr>
        <w:pStyle w:val="Quick1"/>
        <w:numPr>
          <w:ilvl w:val="0"/>
          <w:numId w:val="3"/>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CONSEQUENCES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2D402B32" w14:textId="77777777">
      <w:pPr>
        <w:rPr>
          <w:rFonts w:asciiTheme="minorHAnsi" w:hAnsiTheme="minorHAnsi" w:cstheme="minorHAnsi"/>
          <w:sz w:val="22"/>
          <w:szCs w:val="22"/>
        </w:rPr>
      </w:pPr>
    </w:p>
    <w:p w:rsidR="00C55232" w:rsidRPr="00613D6A" w:rsidP="00C55232" w14:paraId="11C5F32D" w14:textId="5C9F0D82">
      <w:pPr>
        <w:ind w:left="720"/>
        <w:rPr>
          <w:rFonts w:asciiTheme="minorHAnsi" w:hAnsiTheme="minorHAnsi" w:cstheme="minorHAnsi"/>
          <w:sz w:val="22"/>
          <w:szCs w:val="22"/>
        </w:rPr>
      </w:pPr>
      <w:r>
        <w:rPr>
          <w:rFonts w:asciiTheme="minorHAnsi" w:hAnsiTheme="minorHAnsi" w:cstheme="minorHAnsi"/>
          <w:sz w:val="22"/>
          <w:szCs w:val="22"/>
        </w:rPr>
        <w:t xml:space="preserve">The information returns and customer statements required by section 6045 and </w:t>
      </w:r>
      <w:r w:rsidR="00AE3509">
        <w:rPr>
          <w:rFonts w:asciiTheme="minorHAnsi" w:hAnsiTheme="minorHAnsi" w:cstheme="minorHAnsi"/>
          <w:sz w:val="22"/>
          <w:szCs w:val="22"/>
        </w:rPr>
        <w:t xml:space="preserve">the regulations are filed and furnished annually. </w:t>
      </w:r>
      <w:r w:rsidRPr="00613D6A" w:rsidR="00263DA4">
        <w:rPr>
          <w:rFonts w:asciiTheme="minorHAnsi" w:hAnsiTheme="minorHAnsi" w:cstheme="minorHAnsi"/>
          <w:sz w:val="22"/>
          <w:szCs w:val="22"/>
        </w:rPr>
        <w:t xml:space="preserve">A less frequent collection will not enable the IRS to verify that </w:t>
      </w:r>
      <w:r w:rsidR="00AF4726">
        <w:rPr>
          <w:rFonts w:asciiTheme="minorHAnsi" w:hAnsiTheme="minorHAnsi" w:cstheme="minorHAnsi"/>
          <w:sz w:val="22"/>
          <w:szCs w:val="22"/>
        </w:rPr>
        <w:t xml:space="preserve">digital </w:t>
      </w:r>
      <w:r w:rsidRPr="00CE756D" w:rsidR="00AF4726">
        <w:rPr>
          <w:rFonts w:asciiTheme="minorHAnsi" w:hAnsiTheme="minorHAnsi" w:cstheme="minorHAnsi"/>
          <w:sz w:val="22"/>
          <w:szCs w:val="22"/>
        </w:rPr>
        <w:t>asset</w:t>
      </w:r>
      <w:r w:rsidRPr="00CE756D" w:rsidR="00263DA4">
        <w:rPr>
          <w:rFonts w:asciiTheme="minorHAnsi" w:hAnsiTheme="minorHAnsi" w:cstheme="minorHAnsi"/>
          <w:sz w:val="22"/>
          <w:szCs w:val="22"/>
        </w:rPr>
        <w:t xml:space="preserve"> </w:t>
      </w:r>
      <w:r w:rsidRPr="00CE756D" w:rsidR="00CE756D">
        <w:rPr>
          <w:rFonts w:asciiTheme="minorHAnsi" w:hAnsiTheme="minorHAnsi" w:cstheme="minorHAnsi"/>
          <w:sz w:val="22"/>
          <w:szCs w:val="22"/>
        </w:rPr>
        <w:t xml:space="preserve">transactions </w:t>
      </w:r>
      <w:r w:rsidRPr="00CE756D" w:rsidR="00263DA4">
        <w:rPr>
          <w:rFonts w:asciiTheme="minorHAnsi" w:hAnsiTheme="minorHAnsi" w:cstheme="minorHAnsi"/>
          <w:sz w:val="22"/>
          <w:szCs w:val="22"/>
        </w:rPr>
        <w:t>are</w:t>
      </w:r>
      <w:r w:rsidRPr="00613D6A" w:rsidR="00263DA4">
        <w:rPr>
          <w:rFonts w:asciiTheme="minorHAnsi" w:hAnsiTheme="minorHAnsi" w:cstheme="minorHAnsi"/>
          <w:sz w:val="22"/>
          <w:szCs w:val="22"/>
        </w:rPr>
        <w:t xml:space="preserve"> being properly reported in accordance with </w:t>
      </w:r>
      <w:r w:rsidR="00CC2CD4">
        <w:rPr>
          <w:rFonts w:asciiTheme="minorHAnsi" w:hAnsiTheme="minorHAnsi" w:cstheme="minorHAnsi"/>
          <w:sz w:val="22"/>
          <w:szCs w:val="22"/>
        </w:rPr>
        <w:t xml:space="preserve">section </w:t>
      </w:r>
      <w:r w:rsidRPr="00613D6A" w:rsidR="00263DA4">
        <w:rPr>
          <w:rFonts w:asciiTheme="minorHAnsi" w:hAnsiTheme="minorHAnsi" w:cstheme="minorHAnsi"/>
          <w:sz w:val="22"/>
          <w:szCs w:val="22"/>
        </w:rPr>
        <w:t>6045(</w:t>
      </w:r>
      <w:r w:rsidR="00AF4726">
        <w:rPr>
          <w:rFonts w:asciiTheme="minorHAnsi" w:hAnsiTheme="minorHAnsi" w:cstheme="minorHAnsi"/>
          <w:sz w:val="22"/>
          <w:szCs w:val="22"/>
        </w:rPr>
        <w:t>a</w:t>
      </w:r>
      <w:r w:rsidRPr="00613D6A" w:rsidR="00263DA4">
        <w:rPr>
          <w:rFonts w:asciiTheme="minorHAnsi" w:hAnsiTheme="minorHAnsi" w:cstheme="minorHAnsi"/>
          <w:sz w:val="22"/>
          <w:szCs w:val="22"/>
        </w:rPr>
        <w:t xml:space="preserve">) </w:t>
      </w:r>
      <w:r w:rsidR="00F11B9C">
        <w:rPr>
          <w:rFonts w:asciiTheme="minorHAnsi" w:hAnsiTheme="minorHAnsi" w:cstheme="minorHAnsi"/>
          <w:sz w:val="22"/>
          <w:szCs w:val="22"/>
        </w:rPr>
        <w:t xml:space="preserve">or </w:t>
      </w:r>
      <w:r w:rsidRPr="00613D6A" w:rsidR="00F11B9C">
        <w:rPr>
          <w:rFonts w:asciiTheme="minorHAnsi" w:hAnsiTheme="minorHAnsi" w:cstheme="minorHAnsi"/>
          <w:sz w:val="22"/>
          <w:szCs w:val="22"/>
        </w:rPr>
        <w:t xml:space="preserve">that the recipient has included the proper amount of income on his or her tax return to comply with the Internal Revenue Code </w:t>
      </w:r>
      <w:r w:rsidRPr="00613D6A" w:rsidR="00263DA4">
        <w:rPr>
          <w:rFonts w:asciiTheme="minorHAnsi" w:hAnsiTheme="minorHAnsi" w:cstheme="minorHAnsi"/>
          <w:sz w:val="22"/>
          <w:szCs w:val="22"/>
        </w:rPr>
        <w:t>and would therefore hinder the ability of the IRS to meet its mission.</w:t>
      </w:r>
    </w:p>
    <w:p w:rsidR="00332B28" w:rsidRPr="00613D6A" w14:paraId="720EBDA7" w14:textId="7CB79650">
      <w:pPr>
        <w:rPr>
          <w:rFonts w:asciiTheme="minorHAnsi" w:hAnsiTheme="minorHAnsi" w:cstheme="minorHAnsi"/>
          <w:sz w:val="22"/>
          <w:szCs w:val="22"/>
        </w:rPr>
      </w:pPr>
    </w:p>
    <w:p w:rsidR="00332B28" w:rsidRPr="00613D6A" w14:paraId="3A8EAFFC" w14:textId="4A09E383">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786A0289" w14:textId="77777777">
      <w:pPr>
        <w:tabs>
          <w:tab w:val="left" w:pos="-1440"/>
        </w:tabs>
        <w:ind w:left="720" w:hanging="720"/>
        <w:rPr>
          <w:rFonts w:asciiTheme="minorHAnsi" w:hAnsiTheme="minorHAnsi" w:cstheme="minorHAnsi"/>
          <w:sz w:val="22"/>
          <w:szCs w:val="22"/>
        </w:rPr>
      </w:pPr>
    </w:p>
    <w:p w:rsidR="00C55232" w:rsidRPr="00613D6A" w:rsidP="00C55232" w14:paraId="5F83349B" w14:textId="15F03BD5">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3C3409CF" w14:textId="77777777">
      <w:pPr>
        <w:ind w:left="720"/>
        <w:jc w:val="both"/>
        <w:rPr>
          <w:rFonts w:asciiTheme="minorHAnsi" w:hAnsiTheme="minorHAnsi" w:cstheme="minorHAnsi"/>
          <w:b/>
          <w:bCs/>
          <w:sz w:val="22"/>
          <w:szCs w:val="22"/>
        </w:rPr>
      </w:pPr>
    </w:p>
    <w:p w:rsidR="00332B28" w:rsidRPr="00613D6A" w14:paraId="4785FA18"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79D8581C" w14:textId="77777777">
      <w:pPr>
        <w:rPr>
          <w:rFonts w:asciiTheme="minorHAnsi" w:hAnsiTheme="minorHAnsi" w:cstheme="minorHAnsi"/>
          <w:sz w:val="22"/>
          <w:szCs w:val="22"/>
        </w:rPr>
      </w:pPr>
    </w:p>
    <w:p w:rsidR="0094144D" w:rsidP="0094144D" w14:paraId="00EEBFAC" w14:textId="521DBE82">
      <w:pPr>
        <w:spacing w:line="276" w:lineRule="auto"/>
        <w:ind w:left="720"/>
        <w:contextualSpacing/>
        <w:rPr>
          <w:rFonts w:asciiTheme="minorHAnsi" w:hAnsiTheme="minorHAnsi" w:cstheme="minorHAnsi"/>
          <w:sz w:val="22"/>
          <w:szCs w:val="22"/>
        </w:rPr>
      </w:pPr>
      <w:r>
        <w:rPr>
          <w:rFonts w:asciiTheme="minorHAnsi" w:hAnsiTheme="minorHAnsi" w:cstheme="minorHAnsi"/>
          <w:sz w:val="22"/>
          <w:szCs w:val="22"/>
        </w:rPr>
        <w:t xml:space="preserve">In response to the Federal Register notice dated </w:t>
      </w:r>
      <w:r w:rsidR="00CD63CF">
        <w:rPr>
          <w:rFonts w:asciiTheme="minorHAnsi" w:hAnsiTheme="minorHAnsi" w:cstheme="minorHAnsi"/>
          <w:sz w:val="22"/>
          <w:szCs w:val="22"/>
        </w:rPr>
        <w:t xml:space="preserve">April 22, 2024, 89 FR 29433, IRS received </w:t>
      </w:r>
      <w:r w:rsidR="00AE2A3A">
        <w:rPr>
          <w:rFonts w:asciiTheme="minorHAnsi" w:hAnsiTheme="minorHAnsi" w:cstheme="minorHAnsi"/>
          <w:sz w:val="22"/>
          <w:szCs w:val="22"/>
        </w:rPr>
        <w:t>16 comments from the public related to Form 1099-DA. The full list of comments will be included with the submission to the Office of Management and Budget (OMB)</w:t>
      </w:r>
      <w:r w:rsidR="00DF20CC">
        <w:rPr>
          <w:rFonts w:asciiTheme="minorHAnsi" w:hAnsiTheme="minorHAnsi" w:cstheme="minorHAnsi"/>
          <w:sz w:val="22"/>
          <w:szCs w:val="22"/>
        </w:rPr>
        <w:t>;</w:t>
      </w:r>
      <w:r w:rsidR="00AE2A3A">
        <w:rPr>
          <w:rFonts w:asciiTheme="minorHAnsi" w:hAnsiTheme="minorHAnsi" w:cstheme="minorHAnsi"/>
          <w:sz w:val="22"/>
          <w:szCs w:val="22"/>
        </w:rPr>
        <w:t xml:space="preserve"> see supporting documents. The summary of the comments and the IRS response are below</w:t>
      </w:r>
      <w:r w:rsidR="0031707B">
        <w:rPr>
          <w:rFonts w:asciiTheme="minorHAnsi" w:hAnsiTheme="minorHAnsi" w:cstheme="minorHAnsi"/>
          <w:sz w:val="22"/>
          <w:szCs w:val="22"/>
        </w:rPr>
        <w:t>:</w:t>
      </w:r>
    </w:p>
    <w:p w:rsidR="00AE2A3A" w:rsidP="0094144D" w14:paraId="2973D347" w14:textId="77777777">
      <w:pPr>
        <w:spacing w:line="276" w:lineRule="auto"/>
        <w:ind w:left="720"/>
        <w:contextualSpacing/>
        <w:rPr>
          <w:rFonts w:asciiTheme="minorHAnsi" w:hAnsiTheme="minorHAnsi" w:cstheme="minorHAnsi"/>
          <w:sz w:val="22"/>
          <w:szCs w:val="22"/>
        </w:rPr>
      </w:pPr>
    </w:p>
    <w:p w:rsidR="0061699B" w:rsidP="0031707B" w14:paraId="3E7AF0B1" w14:textId="2532BCEC">
      <w:pPr>
        <w:pStyle w:val="ListParagraph"/>
        <w:numPr>
          <w:ilvl w:val="0"/>
          <w:numId w:val="10"/>
        </w:numPr>
        <w:spacing w:line="276" w:lineRule="auto"/>
        <w:ind w:left="1080"/>
        <w:contextualSpacing/>
        <w:rPr>
          <w:rFonts w:asciiTheme="minorHAnsi" w:hAnsiTheme="minorHAnsi" w:cstheme="minorHAnsi"/>
          <w:sz w:val="22"/>
          <w:szCs w:val="22"/>
        </w:rPr>
      </w:pPr>
      <w:r>
        <w:rPr>
          <w:rFonts w:asciiTheme="minorHAnsi" w:hAnsiTheme="minorHAnsi" w:cstheme="minorHAnsi"/>
          <w:sz w:val="22"/>
          <w:szCs w:val="22"/>
        </w:rPr>
        <w:t xml:space="preserve">Commenter Category – Form 1099-DA </w:t>
      </w:r>
    </w:p>
    <w:p w:rsidR="0061699B" w:rsidP="0031707B" w14:paraId="368CF124" w14:textId="59BA7D67">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Box – Broker Type</w:t>
      </w:r>
    </w:p>
    <w:p w:rsidR="00A652A9" w:rsidP="0031707B" w14:paraId="3D0E355C" w14:textId="6F747944">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B46B7F">
        <w:rPr>
          <w:rFonts w:asciiTheme="minorHAnsi" w:hAnsiTheme="minorHAnsi" w:cstheme="minorHAnsi"/>
          <w:sz w:val="22"/>
          <w:szCs w:val="22"/>
        </w:rPr>
        <w:t>9</w:t>
      </w:r>
      <w:r>
        <w:rPr>
          <w:rFonts w:asciiTheme="minorHAnsi" w:hAnsiTheme="minorHAnsi" w:cstheme="minorHAnsi"/>
          <w:sz w:val="22"/>
          <w:szCs w:val="22"/>
        </w:rPr>
        <w:t xml:space="preserve">) </w:t>
      </w:r>
      <w:r>
        <w:rPr>
          <w:rFonts w:asciiTheme="minorHAnsi" w:hAnsiTheme="minorHAnsi" w:cstheme="minorHAnsi"/>
          <w:sz w:val="22"/>
          <w:szCs w:val="22"/>
        </w:rPr>
        <w:t xml:space="preserve">indicated that the broker type involved in the transaction should not be included on the Form 1099-DA because the information would not assist taxpayers and would be unduly burdensome </w:t>
      </w:r>
      <w:r w:rsidR="004735D5">
        <w:rPr>
          <w:rFonts w:asciiTheme="minorHAnsi" w:hAnsiTheme="minorHAnsi" w:cstheme="minorHAnsi"/>
          <w:sz w:val="22"/>
          <w:szCs w:val="22"/>
        </w:rPr>
        <w:t>for brokers</w:t>
      </w:r>
      <w:r>
        <w:rPr>
          <w:rFonts w:asciiTheme="minorHAnsi" w:hAnsiTheme="minorHAnsi" w:cstheme="minorHAnsi"/>
          <w:sz w:val="22"/>
          <w:szCs w:val="22"/>
        </w:rPr>
        <w:t xml:space="preserve">. </w:t>
      </w:r>
    </w:p>
    <w:p w:rsidR="00A652A9" w:rsidP="0031707B" w14:paraId="4AB66DEB" w14:textId="29121EE1">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4735D5">
        <w:rPr>
          <w:rFonts w:asciiTheme="minorHAnsi" w:hAnsiTheme="minorHAnsi" w:cstheme="minorHAnsi"/>
          <w:sz w:val="22"/>
          <w:szCs w:val="22"/>
        </w:rPr>
        <w:t xml:space="preserve">Although </w:t>
      </w:r>
      <w:r w:rsidR="00175A57">
        <w:rPr>
          <w:rFonts w:asciiTheme="minorHAnsi" w:hAnsiTheme="minorHAnsi" w:cstheme="minorHAnsi"/>
          <w:sz w:val="22"/>
          <w:szCs w:val="22"/>
        </w:rPr>
        <w:t xml:space="preserve">this </w:t>
      </w:r>
      <w:r w:rsidR="004735D5">
        <w:rPr>
          <w:rFonts w:asciiTheme="minorHAnsi" w:hAnsiTheme="minorHAnsi" w:cstheme="minorHAnsi"/>
          <w:sz w:val="22"/>
          <w:szCs w:val="22"/>
        </w:rPr>
        <w:t xml:space="preserve">information could have helped the IRS identify transactions that should be subject to enhanced scrutiny, given the increased burden that tracking and reporting this information would cause </w:t>
      </w:r>
      <w:r w:rsidR="00711160">
        <w:rPr>
          <w:rFonts w:asciiTheme="minorHAnsi" w:hAnsiTheme="minorHAnsi" w:cstheme="minorHAnsi"/>
          <w:sz w:val="22"/>
          <w:szCs w:val="22"/>
        </w:rPr>
        <w:t xml:space="preserve">brokers, </w:t>
      </w:r>
      <w:r w:rsidR="004735D5">
        <w:rPr>
          <w:rFonts w:asciiTheme="minorHAnsi" w:hAnsiTheme="minorHAnsi" w:cstheme="minorHAnsi"/>
          <w:sz w:val="22"/>
          <w:szCs w:val="22"/>
        </w:rPr>
        <w:t>t</w:t>
      </w:r>
      <w:r>
        <w:rPr>
          <w:rFonts w:asciiTheme="minorHAnsi" w:hAnsiTheme="minorHAnsi" w:cstheme="minorHAnsi"/>
          <w:sz w:val="22"/>
          <w:szCs w:val="22"/>
        </w:rPr>
        <w:t xml:space="preserve">he IRS agrees that this </w:t>
      </w:r>
      <w:r w:rsidR="004735D5">
        <w:rPr>
          <w:rFonts w:asciiTheme="minorHAnsi" w:hAnsiTheme="minorHAnsi" w:cstheme="minorHAnsi"/>
          <w:sz w:val="22"/>
          <w:szCs w:val="22"/>
        </w:rPr>
        <w:t xml:space="preserve">question should be removed from </w:t>
      </w:r>
      <w:r>
        <w:rPr>
          <w:rFonts w:asciiTheme="minorHAnsi" w:hAnsiTheme="minorHAnsi" w:cstheme="minorHAnsi"/>
          <w:sz w:val="22"/>
          <w:szCs w:val="22"/>
        </w:rPr>
        <w:t>the Form 1099-DA.</w:t>
      </w:r>
    </w:p>
    <w:p w:rsidR="00A652A9" w:rsidP="0031707B" w14:paraId="7E3C5EE4" w14:textId="2E81483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The box “Broker Type” has been removed from Form 1099</w:t>
      </w:r>
      <w:r w:rsidR="004F6AFC">
        <w:rPr>
          <w:rFonts w:asciiTheme="minorHAnsi" w:hAnsiTheme="minorHAnsi" w:cstheme="minorHAnsi"/>
          <w:sz w:val="22"/>
          <w:szCs w:val="22"/>
        </w:rPr>
        <w:t>-</w:t>
      </w:r>
      <w:r>
        <w:rPr>
          <w:rFonts w:asciiTheme="minorHAnsi" w:hAnsiTheme="minorHAnsi" w:cstheme="minorHAnsi"/>
          <w:sz w:val="22"/>
          <w:szCs w:val="22"/>
        </w:rPr>
        <w:t xml:space="preserve">DA. </w:t>
      </w:r>
    </w:p>
    <w:p w:rsidR="009104E9" w:rsidP="0031707B" w14:paraId="7F341ACB" w14:textId="587DA4A8">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Box </w:t>
      </w:r>
      <w:r w:rsidR="00B56D9B">
        <w:rPr>
          <w:rFonts w:asciiTheme="minorHAnsi" w:hAnsiTheme="minorHAnsi" w:cstheme="minorHAnsi"/>
          <w:sz w:val="22"/>
          <w:szCs w:val="22"/>
        </w:rPr>
        <w:t>–</w:t>
      </w:r>
      <w:r>
        <w:rPr>
          <w:rFonts w:asciiTheme="minorHAnsi" w:hAnsiTheme="minorHAnsi" w:cstheme="minorHAnsi"/>
          <w:sz w:val="22"/>
          <w:szCs w:val="22"/>
        </w:rPr>
        <w:t xml:space="preserve"> </w:t>
      </w:r>
      <w:r w:rsidR="00B56D9B">
        <w:rPr>
          <w:rFonts w:asciiTheme="minorHAnsi" w:hAnsiTheme="minorHAnsi" w:cstheme="minorHAnsi"/>
          <w:sz w:val="22"/>
          <w:szCs w:val="22"/>
        </w:rPr>
        <w:t>E</w:t>
      </w:r>
      <w:r w:rsidR="009661D1">
        <w:rPr>
          <w:rFonts w:asciiTheme="minorHAnsi" w:hAnsiTheme="minorHAnsi" w:cstheme="minorHAnsi"/>
          <w:sz w:val="22"/>
          <w:szCs w:val="22"/>
        </w:rPr>
        <w:t>xplanation for Missing TIN</w:t>
      </w:r>
    </w:p>
    <w:p w:rsidR="009661D1" w:rsidP="0031707B" w14:paraId="45A0C624" w14:textId="5F6A0E4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643A99">
        <w:rPr>
          <w:rFonts w:asciiTheme="minorHAnsi" w:hAnsiTheme="minorHAnsi" w:cstheme="minorHAnsi"/>
          <w:sz w:val="22"/>
          <w:szCs w:val="22"/>
        </w:rPr>
        <w:t>10</w:t>
      </w:r>
      <w:r w:rsidR="000C79BE">
        <w:rPr>
          <w:rFonts w:asciiTheme="minorHAnsi" w:hAnsiTheme="minorHAnsi" w:cstheme="minorHAnsi"/>
          <w:sz w:val="22"/>
          <w:szCs w:val="22"/>
        </w:rPr>
        <w:t xml:space="preserve">) requested that the box “explanation if no recipient TIN” be </w:t>
      </w:r>
      <w:r w:rsidR="004735D5">
        <w:rPr>
          <w:rFonts w:asciiTheme="minorHAnsi" w:hAnsiTheme="minorHAnsi" w:cstheme="minorHAnsi"/>
          <w:sz w:val="22"/>
          <w:szCs w:val="22"/>
        </w:rPr>
        <w:t xml:space="preserve">explained, revised to be a check box, or </w:t>
      </w:r>
      <w:r w:rsidR="000C79BE">
        <w:rPr>
          <w:rFonts w:asciiTheme="minorHAnsi" w:hAnsiTheme="minorHAnsi" w:cstheme="minorHAnsi"/>
          <w:sz w:val="22"/>
          <w:szCs w:val="22"/>
        </w:rPr>
        <w:t xml:space="preserve">removed </w:t>
      </w:r>
      <w:r w:rsidR="004735D5">
        <w:rPr>
          <w:rFonts w:asciiTheme="minorHAnsi" w:hAnsiTheme="minorHAnsi" w:cstheme="minorHAnsi"/>
          <w:sz w:val="22"/>
          <w:szCs w:val="22"/>
        </w:rPr>
        <w:t xml:space="preserve">altogether </w:t>
      </w:r>
      <w:r w:rsidR="000C79BE">
        <w:rPr>
          <w:rFonts w:asciiTheme="minorHAnsi" w:hAnsiTheme="minorHAnsi" w:cstheme="minorHAnsi"/>
          <w:sz w:val="22"/>
          <w:szCs w:val="22"/>
        </w:rPr>
        <w:t xml:space="preserve">from the Form 1099-DA. The reasons for </w:t>
      </w:r>
      <w:r w:rsidR="004735D5">
        <w:rPr>
          <w:rFonts w:asciiTheme="minorHAnsi" w:hAnsiTheme="minorHAnsi" w:cstheme="minorHAnsi"/>
          <w:sz w:val="22"/>
          <w:szCs w:val="22"/>
        </w:rPr>
        <w:t xml:space="preserve">this request </w:t>
      </w:r>
      <w:r w:rsidR="000C79BE">
        <w:rPr>
          <w:rFonts w:asciiTheme="minorHAnsi" w:hAnsiTheme="minorHAnsi" w:cstheme="minorHAnsi"/>
          <w:sz w:val="22"/>
          <w:szCs w:val="22"/>
        </w:rPr>
        <w:t>included: the information does not assist taxpayers</w:t>
      </w:r>
      <w:r w:rsidR="009E2CC0">
        <w:rPr>
          <w:rFonts w:asciiTheme="minorHAnsi" w:hAnsiTheme="minorHAnsi" w:cstheme="minorHAnsi"/>
          <w:sz w:val="22"/>
          <w:szCs w:val="22"/>
        </w:rPr>
        <w:t xml:space="preserve">; </w:t>
      </w:r>
      <w:r w:rsidR="000C79BE">
        <w:rPr>
          <w:rFonts w:asciiTheme="minorHAnsi" w:hAnsiTheme="minorHAnsi" w:cstheme="minorHAnsi"/>
          <w:sz w:val="22"/>
          <w:szCs w:val="22"/>
        </w:rPr>
        <w:t>there is additional burden associated with providing this information</w:t>
      </w:r>
      <w:r w:rsidR="00986C15">
        <w:rPr>
          <w:rFonts w:asciiTheme="minorHAnsi" w:hAnsiTheme="minorHAnsi" w:cstheme="minorHAnsi"/>
          <w:sz w:val="22"/>
          <w:szCs w:val="22"/>
        </w:rPr>
        <w:t>;</w:t>
      </w:r>
      <w:r w:rsidR="000C79BE">
        <w:rPr>
          <w:rFonts w:asciiTheme="minorHAnsi" w:hAnsiTheme="minorHAnsi" w:cstheme="minorHAnsi"/>
          <w:sz w:val="22"/>
          <w:szCs w:val="22"/>
        </w:rPr>
        <w:t xml:space="preserve"> use of a text box </w:t>
      </w:r>
      <w:r w:rsidR="00B119C4">
        <w:rPr>
          <w:rFonts w:asciiTheme="minorHAnsi" w:hAnsiTheme="minorHAnsi" w:cstheme="minorHAnsi"/>
          <w:sz w:val="22"/>
          <w:szCs w:val="22"/>
        </w:rPr>
        <w:t>without a choice of</w:t>
      </w:r>
      <w:r w:rsidR="00986C15">
        <w:rPr>
          <w:rFonts w:asciiTheme="minorHAnsi" w:hAnsiTheme="minorHAnsi" w:cstheme="minorHAnsi"/>
          <w:sz w:val="22"/>
          <w:szCs w:val="22"/>
        </w:rPr>
        <w:t xml:space="preserve"> responses </w:t>
      </w:r>
      <w:r w:rsidR="000C79BE">
        <w:rPr>
          <w:rFonts w:asciiTheme="minorHAnsi" w:hAnsiTheme="minorHAnsi" w:cstheme="minorHAnsi"/>
          <w:sz w:val="22"/>
          <w:szCs w:val="22"/>
        </w:rPr>
        <w:t>will lead to errors</w:t>
      </w:r>
      <w:r w:rsidR="00986C15">
        <w:rPr>
          <w:rFonts w:asciiTheme="minorHAnsi" w:hAnsiTheme="minorHAnsi" w:cstheme="minorHAnsi"/>
          <w:sz w:val="22"/>
          <w:szCs w:val="22"/>
        </w:rPr>
        <w:t>;</w:t>
      </w:r>
      <w:r w:rsidR="000C79BE">
        <w:rPr>
          <w:rFonts w:asciiTheme="minorHAnsi" w:hAnsiTheme="minorHAnsi" w:cstheme="minorHAnsi"/>
          <w:sz w:val="22"/>
          <w:szCs w:val="22"/>
        </w:rPr>
        <w:t xml:space="preserve"> and </w:t>
      </w:r>
      <w:r w:rsidR="00334B87">
        <w:rPr>
          <w:rFonts w:asciiTheme="minorHAnsi" w:hAnsiTheme="minorHAnsi" w:cstheme="minorHAnsi"/>
          <w:sz w:val="22"/>
          <w:szCs w:val="22"/>
        </w:rPr>
        <w:t>the existing backup withholding rules are sufficient to encourage broker compliance with collecting TINs.</w:t>
      </w:r>
    </w:p>
    <w:p w:rsidR="00334B87" w:rsidP="0031707B" w14:paraId="197BCBB1" w14:textId="2F2C5A8D">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4735D5">
        <w:rPr>
          <w:rFonts w:asciiTheme="minorHAnsi" w:hAnsiTheme="minorHAnsi" w:cstheme="minorHAnsi"/>
          <w:sz w:val="22"/>
          <w:szCs w:val="22"/>
        </w:rPr>
        <w:t>Although the box would have explained why the broker did not report the customer’s TIN (as opposed to being an inadvertent error), t</w:t>
      </w:r>
      <w:r>
        <w:rPr>
          <w:rFonts w:asciiTheme="minorHAnsi" w:hAnsiTheme="minorHAnsi" w:cstheme="minorHAnsi"/>
          <w:sz w:val="22"/>
          <w:szCs w:val="22"/>
        </w:rPr>
        <w:t xml:space="preserve">he IRS agrees </w:t>
      </w:r>
      <w:r w:rsidR="004735D5">
        <w:rPr>
          <w:rFonts w:asciiTheme="minorHAnsi" w:hAnsiTheme="minorHAnsi" w:cstheme="minorHAnsi"/>
          <w:sz w:val="22"/>
          <w:szCs w:val="22"/>
        </w:rPr>
        <w:t xml:space="preserve">that this box could cause confusion and burden for brokers and thus should be removed from </w:t>
      </w:r>
      <w:r>
        <w:rPr>
          <w:rFonts w:asciiTheme="minorHAnsi" w:hAnsiTheme="minorHAnsi" w:cstheme="minorHAnsi"/>
          <w:sz w:val="22"/>
          <w:szCs w:val="22"/>
        </w:rPr>
        <w:t>the Form 1099-DA.</w:t>
      </w:r>
    </w:p>
    <w:p w:rsidR="00334B87" w:rsidP="0031707B" w14:paraId="123AC8C6" w14:textId="0D1F62A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w:t>
      </w:r>
      <w:r w:rsidR="008B52ED">
        <w:rPr>
          <w:rFonts w:asciiTheme="minorHAnsi" w:hAnsiTheme="minorHAnsi" w:cstheme="minorHAnsi"/>
          <w:sz w:val="22"/>
          <w:szCs w:val="22"/>
        </w:rPr>
        <w:t>T</w:t>
      </w:r>
      <w:r>
        <w:rPr>
          <w:rFonts w:asciiTheme="minorHAnsi" w:hAnsiTheme="minorHAnsi" w:cstheme="minorHAnsi"/>
          <w:sz w:val="22"/>
          <w:szCs w:val="22"/>
        </w:rPr>
        <w:t xml:space="preserve">he box “Explanation if No Recipient TIN” has been removed from Form 1099-DA. </w:t>
      </w:r>
    </w:p>
    <w:p w:rsidR="00334B87" w:rsidP="0031707B" w14:paraId="205B5B1E" w14:textId="21B59618">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Box </w:t>
      </w:r>
      <w:r w:rsidR="001C5FAA">
        <w:rPr>
          <w:rFonts w:asciiTheme="minorHAnsi" w:hAnsiTheme="minorHAnsi" w:cstheme="minorHAnsi"/>
          <w:sz w:val="22"/>
          <w:szCs w:val="22"/>
        </w:rPr>
        <w:t>– Tokenized Securities Information</w:t>
      </w:r>
    </w:p>
    <w:p w:rsidR="001C5FAA" w:rsidP="00F45FE7" w14:paraId="4F4F6431" w14:textId="1971CD3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w:t>
      </w:r>
      <w:r w:rsidR="002D0987">
        <w:rPr>
          <w:rFonts w:asciiTheme="minorHAnsi" w:hAnsiTheme="minorHAnsi" w:cstheme="minorHAnsi"/>
          <w:sz w:val="22"/>
          <w:szCs w:val="22"/>
        </w:rPr>
        <w:t>Several</w:t>
      </w:r>
      <w:r>
        <w:rPr>
          <w:rFonts w:asciiTheme="minorHAnsi" w:hAnsiTheme="minorHAnsi" w:cstheme="minorHAnsi"/>
          <w:sz w:val="22"/>
          <w:szCs w:val="22"/>
        </w:rPr>
        <w:t xml:space="preserve"> comments </w:t>
      </w:r>
      <w:r w:rsidR="002D0987">
        <w:rPr>
          <w:rFonts w:asciiTheme="minorHAnsi" w:hAnsiTheme="minorHAnsi" w:cstheme="minorHAnsi"/>
          <w:sz w:val="22"/>
          <w:szCs w:val="22"/>
        </w:rPr>
        <w:t>(</w:t>
      </w:r>
      <w:r w:rsidR="009650B6">
        <w:rPr>
          <w:rFonts w:asciiTheme="minorHAnsi" w:hAnsiTheme="minorHAnsi" w:cstheme="minorHAnsi"/>
          <w:sz w:val="22"/>
          <w:szCs w:val="22"/>
        </w:rPr>
        <w:t>7</w:t>
      </w:r>
      <w:r w:rsidR="002D4061">
        <w:rPr>
          <w:rFonts w:asciiTheme="minorHAnsi" w:hAnsiTheme="minorHAnsi" w:cstheme="minorHAnsi"/>
          <w:sz w:val="22"/>
          <w:szCs w:val="22"/>
        </w:rPr>
        <w:t xml:space="preserve">) </w:t>
      </w:r>
      <w:r>
        <w:rPr>
          <w:rFonts w:asciiTheme="minorHAnsi" w:hAnsiTheme="minorHAnsi" w:cstheme="minorHAnsi"/>
          <w:sz w:val="22"/>
          <w:szCs w:val="22"/>
        </w:rPr>
        <w:t xml:space="preserve">requested that boxes </w:t>
      </w:r>
      <w:r w:rsidR="00136BE0">
        <w:rPr>
          <w:rFonts w:asciiTheme="minorHAnsi" w:hAnsiTheme="minorHAnsi" w:cstheme="minorHAnsi"/>
          <w:sz w:val="22"/>
          <w:szCs w:val="22"/>
        </w:rPr>
        <w:t>requesting</w:t>
      </w:r>
      <w:r w:rsidR="00013CAD">
        <w:rPr>
          <w:rFonts w:asciiTheme="minorHAnsi" w:hAnsiTheme="minorHAnsi" w:cstheme="minorHAnsi"/>
          <w:sz w:val="22"/>
          <w:szCs w:val="22"/>
        </w:rPr>
        <w:t xml:space="preserve"> information about </w:t>
      </w:r>
      <w:r>
        <w:rPr>
          <w:rFonts w:asciiTheme="minorHAnsi" w:hAnsiTheme="minorHAnsi" w:cstheme="minorHAnsi"/>
          <w:sz w:val="22"/>
          <w:szCs w:val="22"/>
        </w:rPr>
        <w:t xml:space="preserve">traditional financial products should be removed from the Form 1099-DA, specifically </w:t>
      </w:r>
      <w:r w:rsidR="00D9700F">
        <w:rPr>
          <w:rFonts w:asciiTheme="minorHAnsi" w:hAnsiTheme="minorHAnsi" w:cstheme="minorHAnsi"/>
          <w:sz w:val="22"/>
          <w:szCs w:val="22"/>
        </w:rPr>
        <w:t>the “</w:t>
      </w:r>
      <w:r>
        <w:rPr>
          <w:rFonts w:asciiTheme="minorHAnsi" w:hAnsiTheme="minorHAnsi" w:cstheme="minorHAnsi"/>
          <w:sz w:val="22"/>
          <w:szCs w:val="22"/>
        </w:rPr>
        <w:t>CUSIP</w:t>
      </w:r>
      <w:r w:rsidR="00D9700F">
        <w:rPr>
          <w:rFonts w:asciiTheme="minorHAnsi" w:hAnsiTheme="minorHAnsi" w:cstheme="minorHAnsi"/>
          <w:sz w:val="22"/>
          <w:szCs w:val="22"/>
        </w:rPr>
        <w:t>” box</w:t>
      </w:r>
      <w:r>
        <w:rPr>
          <w:rFonts w:asciiTheme="minorHAnsi" w:hAnsiTheme="minorHAnsi" w:cstheme="minorHAnsi"/>
          <w:sz w:val="22"/>
          <w:szCs w:val="22"/>
        </w:rPr>
        <w:t xml:space="preserve">, Box 1h </w:t>
      </w:r>
      <w:r w:rsidR="00D9700F">
        <w:rPr>
          <w:rFonts w:asciiTheme="minorHAnsi" w:hAnsiTheme="minorHAnsi" w:cstheme="minorHAnsi"/>
          <w:sz w:val="22"/>
          <w:szCs w:val="22"/>
        </w:rPr>
        <w:t>“</w:t>
      </w:r>
      <w:r>
        <w:rPr>
          <w:rFonts w:asciiTheme="minorHAnsi" w:hAnsiTheme="minorHAnsi" w:cstheme="minorHAnsi"/>
          <w:sz w:val="22"/>
          <w:szCs w:val="22"/>
        </w:rPr>
        <w:t>Accrued Market Discount,</w:t>
      </w:r>
      <w:r w:rsidR="00D9700F">
        <w:rPr>
          <w:rFonts w:asciiTheme="minorHAnsi" w:hAnsiTheme="minorHAnsi" w:cstheme="minorHAnsi"/>
          <w:sz w:val="22"/>
          <w:szCs w:val="22"/>
        </w:rPr>
        <w:t>”</w:t>
      </w:r>
      <w:r>
        <w:rPr>
          <w:rFonts w:asciiTheme="minorHAnsi" w:hAnsiTheme="minorHAnsi" w:cstheme="minorHAnsi"/>
          <w:sz w:val="22"/>
          <w:szCs w:val="22"/>
        </w:rPr>
        <w:t xml:space="preserve"> Box 1i </w:t>
      </w:r>
      <w:r w:rsidR="00D9700F">
        <w:rPr>
          <w:rFonts w:asciiTheme="minorHAnsi" w:hAnsiTheme="minorHAnsi" w:cstheme="minorHAnsi"/>
          <w:sz w:val="22"/>
          <w:szCs w:val="22"/>
        </w:rPr>
        <w:t>“</w:t>
      </w:r>
      <w:r>
        <w:rPr>
          <w:rFonts w:asciiTheme="minorHAnsi" w:hAnsiTheme="minorHAnsi" w:cstheme="minorHAnsi"/>
          <w:sz w:val="22"/>
          <w:szCs w:val="22"/>
        </w:rPr>
        <w:t>Wash Sales Loss Disallowed,</w:t>
      </w:r>
      <w:r w:rsidR="00D9700F">
        <w:rPr>
          <w:rFonts w:asciiTheme="minorHAnsi" w:hAnsiTheme="minorHAnsi" w:cstheme="minorHAnsi"/>
          <w:sz w:val="22"/>
          <w:szCs w:val="22"/>
        </w:rPr>
        <w:t>”</w:t>
      </w:r>
      <w:r>
        <w:rPr>
          <w:rFonts w:asciiTheme="minorHAnsi" w:hAnsiTheme="minorHAnsi" w:cstheme="minorHAnsi"/>
          <w:sz w:val="22"/>
          <w:szCs w:val="22"/>
        </w:rPr>
        <w:t xml:space="preserve"> and Box </w:t>
      </w:r>
      <w:r w:rsidR="00F60C93">
        <w:rPr>
          <w:rFonts w:asciiTheme="minorHAnsi" w:hAnsiTheme="minorHAnsi" w:cstheme="minorHAnsi"/>
          <w:sz w:val="22"/>
          <w:szCs w:val="22"/>
        </w:rPr>
        <w:t xml:space="preserve">5 </w:t>
      </w:r>
      <w:r w:rsidR="00D9700F">
        <w:rPr>
          <w:rFonts w:asciiTheme="minorHAnsi" w:hAnsiTheme="minorHAnsi" w:cstheme="minorHAnsi"/>
          <w:sz w:val="22"/>
          <w:szCs w:val="22"/>
        </w:rPr>
        <w:t>“</w:t>
      </w:r>
      <w:r w:rsidR="00F60C93">
        <w:rPr>
          <w:rFonts w:asciiTheme="minorHAnsi" w:hAnsiTheme="minorHAnsi" w:cstheme="minorHAnsi"/>
          <w:sz w:val="22"/>
          <w:szCs w:val="22"/>
        </w:rPr>
        <w:t>Check if loss is not allowed based on amount in 1f.</w:t>
      </w:r>
      <w:r w:rsidR="00D9700F">
        <w:rPr>
          <w:rFonts w:asciiTheme="minorHAnsi" w:hAnsiTheme="minorHAnsi" w:cstheme="minorHAnsi"/>
          <w:sz w:val="22"/>
          <w:szCs w:val="22"/>
        </w:rPr>
        <w:t>”</w:t>
      </w:r>
      <w:r w:rsidR="00F60C93">
        <w:rPr>
          <w:rFonts w:asciiTheme="minorHAnsi" w:hAnsiTheme="minorHAnsi" w:cstheme="minorHAnsi"/>
          <w:sz w:val="22"/>
          <w:szCs w:val="22"/>
        </w:rPr>
        <w:t xml:space="preserve"> </w:t>
      </w:r>
      <w:r w:rsidR="00F45FE7">
        <w:rPr>
          <w:rFonts w:asciiTheme="minorHAnsi" w:hAnsiTheme="minorHAnsi" w:cstheme="minorHAnsi"/>
          <w:sz w:val="22"/>
          <w:szCs w:val="22"/>
        </w:rPr>
        <w:t>These comments a</w:t>
      </w:r>
      <w:r w:rsidR="00E404A7">
        <w:rPr>
          <w:rFonts w:asciiTheme="minorHAnsi" w:hAnsiTheme="minorHAnsi" w:cstheme="minorHAnsi"/>
          <w:sz w:val="22"/>
          <w:szCs w:val="22"/>
        </w:rPr>
        <w:t>ssert</w:t>
      </w:r>
      <w:r w:rsidR="00F45FE7">
        <w:rPr>
          <w:rFonts w:asciiTheme="minorHAnsi" w:hAnsiTheme="minorHAnsi" w:cstheme="minorHAnsi"/>
          <w:sz w:val="22"/>
          <w:szCs w:val="22"/>
        </w:rPr>
        <w:t xml:space="preserve">ed that digital assets that were also securities (dual classification assets) should be reported on the Form 1099-B instead of Form 1099-DA. If the information is reported on Form 1099-B, the </w:t>
      </w:r>
      <w:r w:rsidR="004231B6">
        <w:rPr>
          <w:rFonts w:asciiTheme="minorHAnsi" w:hAnsiTheme="minorHAnsi" w:cstheme="minorHAnsi"/>
          <w:sz w:val="22"/>
          <w:szCs w:val="22"/>
        </w:rPr>
        <w:t xml:space="preserve">information </w:t>
      </w:r>
      <w:r w:rsidR="00F45FE7">
        <w:rPr>
          <w:rFonts w:asciiTheme="minorHAnsi" w:hAnsiTheme="minorHAnsi" w:cstheme="minorHAnsi"/>
          <w:sz w:val="22"/>
          <w:szCs w:val="22"/>
        </w:rPr>
        <w:t xml:space="preserve">would not be </w:t>
      </w:r>
      <w:r w:rsidR="004231B6">
        <w:rPr>
          <w:rFonts w:asciiTheme="minorHAnsi" w:hAnsiTheme="minorHAnsi" w:cstheme="minorHAnsi"/>
          <w:sz w:val="22"/>
          <w:szCs w:val="22"/>
        </w:rPr>
        <w:t xml:space="preserve">necessary for </w:t>
      </w:r>
      <w:r w:rsidR="00F45FE7">
        <w:rPr>
          <w:rFonts w:asciiTheme="minorHAnsi" w:hAnsiTheme="minorHAnsi" w:cstheme="minorHAnsi"/>
          <w:sz w:val="22"/>
          <w:szCs w:val="22"/>
        </w:rPr>
        <w:t>Form 1099-DA</w:t>
      </w:r>
      <w:r w:rsidR="004231B6">
        <w:rPr>
          <w:rFonts w:asciiTheme="minorHAnsi" w:hAnsiTheme="minorHAnsi" w:cstheme="minorHAnsi"/>
          <w:sz w:val="22"/>
          <w:szCs w:val="22"/>
        </w:rPr>
        <w:t>.</w:t>
      </w:r>
    </w:p>
    <w:p w:rsidR="00F60C93" w:rsidRPr="00D9700F" w:rsidP="00F45FE7" w14:paraId="78E77A8F" w14:textId="58F4A5D5">
      <w:pPr>
        <w:pStyle w:val="ListParagraph"/>
        <w:numPr>
          <w:ilvl w:val="2"/>
          <w:numId w:val="10"/>
        </w:numPr>
        <w:spacing w:line="276" w:lineRule="auto"/>
        <w:ind w:left="2340" w:hanging="360"/>
        <w:contextualSpacing/>
        <w:rPr>
          <w:rFonts w:asciiTheme="minorHAnsi" w:hAnsiTheme="minorHAnsi" w:cstheme="minorHAnsi"/>
          <w:sz w:val="22"/>
          <w:szCs w:val="22"/>
        </w:rPr>
      </w:pPr>
      <w:r w:rsidRPr="00D9700F">
        <w:rPr>
          <w:rFonts w:asciiTheme="minorHAnsi" w:hAnsiTheme="minorHAnsi" w:cstheme="minorHAnsi"/>
          <w:sz w:val="22"/>
          <w:szCs w:val="22"/>
        </w:rPr>
        <w:t xml:space="preserve">IRS Response: </w:t>
      </w:r>
      <w:r w:rsidR="00F45FE7">
        <w:rPr>
          <w:rFonts w:asciiTheme="minorHAnsi" w:hAnsiTheme="minorHAnsi" w:cstheme="minorHAnsi"/>
          <w:sz w:val="22"/>
          <w:szCs w:val="22"/>
        </w:rPr>
        <w:t xml:space="preserve">The final regulations did not adopt the recommendation to require reporting of dual classification assets on the Form 1099-B. </w:t>
      </w:r>
      <w:r w:rsidRPr="00D9700F" w:rsidR="00D9700F">
        <w:rPr>
          <w:rFonts w:asciiTheme="minorHAnsi" w:hAnsiTheme="minorHAnsi" w:cstheme="minorHAnsi"/>
          <w:sz w:val="22"/>
          <w:szCs w:val="22"/>
        </w:rPr>
        <w:t>In</w:t>
      </w:r>
      <w:r w:rsidR="00F45FE7">
        <w:rPr>
          <w:rFonts w:asciiTheme="minorHAnsi" w:hAnsiTheme="minorHAnsi" w:cstheme="minorHAnsi"/>
          <w:sz w:val="22"/>
          <w:szCs w:val="22"/>
        </w:rPr>
        <w:t xml:space="preserve">stead, the final regulations clarified that brokers should report the information required by the </w:t>
      </w:r>
      <w:r w:rsidRPr="00F45FE7" w:rsidR="00F45FE7">
        <w:rPr>
          <w:rFonts w:asciiTheme="minorHAnsi" w:hAnsiTheme="minorHAnsi" w:cstheme="minorHAnsi"/>
          <w:sz w:val="22"/>
          <w:szCs w:val="22"/>
        </w:rPr>
        <w:t>boxes addressing traditional financial products</w:t>
      </w:r>
      <w:r w:rsidR="00F45FE7">
        <w:rPr>
          <w:rFonts w:asciiTheme="minorHAnsi" w:hAnsiTheme="minorHAnsi" w:cstheme="minorHAnsi"/>
          <w:sz w:val="22"/>
          <w:szCs w:val="22"/>
        </w:rPr>
        <w:t xml:space="preserve"> only when the transaction involves a dual classification asset that is a tokenized security under </w:t>
      </w:r>
      <w:r w:rsidRPr="00D9700F" w:rsidR="00F45FE7">
        <w:rPr>
          <w:rFonts w:asciiTheme="minorHAnsi" w:hAnsiTheme="minorHAnsi" w:cstheme="minorHAnsi"/>
          <w:sz w:val="22"/>
          <w:szCs w:val="22"/>
        </w:rPr>
        <w:t>Treasury Regulation § 1.6045-1(c)(8)(i)(D)(</w:t>
      </w:r>
      <w:r w:rsidRPr="00D9700F" w:rsidR="00F45FE7">
        <w:rPr>
          <w:rFonts w:asciiTheme="minorHAnsi" w:hAnsiTheme="minorHAnsi" w:cstheme="minorHAnsi"/>
          <w:sz w:val="22"/>
          <w:szCs w:val="22"/>
          <w:u w:val="single"/>
        </w:rPr>
        <w:t>1</w:t>
      </w:r>
      <w:r w:rsidRPr="00D9700F" w:rsidR="00F45FE7">
        <w:rPr>
          <w:rFonts w:asciiTheme="minorHAnsi" w:hAnsiTheme="minorHAnsi" w:cstheme="minorHAnsi"/>
          <w:sz w:val="22"/>
          <w:szCs w:val="22"/>
        </w:rPr>
        <w:t>).</w:t>
      </w:r>
      <w:r w:rsidRPr="00D9700F" w:rsidR="008B52ED">
        <w:rPr>
          <w:rFonts w:asciiTheme="minorHAnsi" w:hAnsiTheme="minorHAnsi" w:cstheme="minorHAnsi"/>
          <w:sz w:val="22"/>
          <w:szCs w:val="22"/>
        </w:rPr>
        <w:t xml:space="preserve"> Accordingly, the </w:t>
      </w:r>
      <w:r w:rsidR="00D9700F">
        <w:rPr>
          <w:rFonts w:asciiTheme="minorHAnsi" w:hAnsiTheme="minorHAnsi" w:cstheme="minorHAnsi"/>
          <w:sz w:val="22"/>
          <w:szCs w:val="22"/>
        </w:rPr>
        <w:t xml:space="preserve">boxes </w:t>
      </w:r>
      <w:r w:rsidR="008A0B80">
        <w:rPr>
          <w:rFonts w:asciiTheme="minorHAnsi" w:hAnsiTheme="minorHAnsi" w:cstheme="minorHAnsi"/>
          <w:sz w:val="22"/>
          <w:szCs w:val="22"/>
        </w:rPr>
        <w:t>requesting information about</w:t>
      </w:r>
      <w:r w:rsidRPr="00F45FE7" w:rsidR="008A0B80">
        <w:rPr>
          <w:rFonts w:asciiTheme="minorHAnsi" w:hAnsiTheme="minorHAnsi" w:cstheme="minorHAnsi"/>
          <w:sz w:val="22"/>
          <w:szCs w:val="22"/>
        </w:rPr>
        <w:t xml:space="preserve"> </w:t>
      </w:r>
      <w:r w:rsidRPr="00F45FE7" w:rsidR="00F45FE7">
        <w:rPr>
          <w:rFonts w:asciiTheme="minorHAnsi" w:hAnsiTheme="minorHAnsi" w:cstheme="minorHAnsi"/>
          <w:sz w:val="22"/>
          <w:szCs w:val="22"/>
        </w:rPr>
        <w:t>traditional financial products</w:t>
      </w:r>
      <w:r w:rsidR="00F45FE7">
        <w:rPr>
          <w:rFonts w:asciiTheme="minorHAnsi" w:hAnsiTheme="minorHAnsi" w:cstheme="minorHAnsi"/>
          <w:sz w:val="22"/>
          <w:szCs w:val="22"/>
        </w:rPr>
        <w:t xml:space="preserve"> </w:t>
      </w:r>
      <w:r w:rsidR="00D9700F">
        <w:rPr>
          <w:rFonts w:asciiTheme="minorHAnsi" w:hAnsiTheme="minorHAnsi" w:cstheme="minorHAnsi"/>
          <w:sz w:val="22"/>
          <w:szCs w:val="22"/>
        </w:rPr>
        <w:t>reference</w:t>
      </w:r>
      <w:r w:rsidR="00F45FE7">
        <w:rPr>
          <w:rFonts w:asciiTheme="minorHAnsi" w:hAnsiTheme="minorHAnsi" w:cstheme="minorHAnsi"/>
          <w:sz w:val="22"/>
          <w:szCs w:val="22"/>
        </w:rPr>
        <w:t>d</w:t>
      </w:r>
      <w:r w:rsidR="00D9700F">
        <w:rPr>
          <w:rFonts w:asciiTheme="minorHAnsi" w:hAnsiTheme="minorHAnsi" w:cstheme="minorHAnsi"/>
          <w:sz w:val="22"/>
          <w:szCs w:val="22"/>
        </w:rPr>
        <w:t xml:space="preserve"> by the comments must remain on the Form 1099-DA so that brokers can report this additional </w:t>
      </w:r>
      <w:r w:rsidRPr="00D9700F" w:rsidR="003E616F">
        <w:rPr>
          <w:rFonts w:asciiTheme="minorHAnsi" w:hAnsiTheme="minorHAnsi" w:cstheme="minorHAnsi"/>
          <w:sz w:val="22"/>
          <w:szCs w:val="22"/>
        </w:rPr>
        <w:t xml:space="preserve">information </w:t>
      </w:r>
      <w:r w:rsidR="00D9700F">
        <w:rPr>
          <w:rFonts w:asciiTheme="minorHAnsi" w:hAnsiTheme="minorHAnsi" w:cstheme="minorHAnsi"/>
          <w:sz w:val="22"/>
          <w:szCs w:val="22"/>
        </w:rPr>
        <w:t xml:space="preserve">on tokenized securities. </w:t>
      </w:r>
      <w:r w:rsidR="00F45FE7">
        <w:rPr>
          <w:rFonts w:asciiTheme="minorHAnsi" w:hAnsiTheme="minorHAnsi" w:cstheme="minorHAnsi"/>
          <w:sz w:val="22"/>
          <w:szCs w:val="22"/>
        </w:rPr>
        <w:t xml:space="preserve">It should be noted that the information </w:t>
      </w:r>
      <w:r w:rsidR="00B77BFC">
        <w:rPr>
          <w:rFonts w:asciiTheme="minorHAnsi" w:hAnsiTheme="minorHAnsi" w:cstheme="minorHAnsi"/>
          <w:sz w:val="22"/>
          <w:szCs w:val="22"/>
        </w:rPr>
        <w:t xml:space="preserve">required is the same as that which otherwise would have been required </w:t>
      </w:r>
      <w:r w:rsidR="00CB659A">
        <w:rPr>
          <w:rFonts w:asciiTheme="minorHAnsi" w:hAnsiTheme="minorHAnsi" w:cstheme="minorHAnsi"/>
          <w:sz w:val="22"/>
          <w:szCs w:val="22"/>
        </w:rPr>
        <w:t xml:space="preserve">on </w:t>
      </w:r>
      <w:r w:rsidRPr="00D9700F" w:rsidR="003E616F">
        <w:rPr>
          <w:rFonts w:asciiTheme="minorHAnsi" w:hAnsiTheme="minorHAnsi" w:cstheme="minorHAnsi"/>
          <w:sz w:val="22"/>
          <w:szCs w:val="22"/>
        </w:rPr>
        <w:t>Form 1099-B</w:t>
      </w:r>
      <w:r w:rsidRPr="00D9700F" w:rsidR="008B52ED">
        <w:rPr>
          <w:rFonts w:asciiTheme="minorHAnsi" w:hAnsiTheme="minorHAnsi" w:cstheme="minorHAnsi"/>
          <w:sz w:val="22"/>
          <w:szCs w:val="22"/>
        </w:rPr>
        <w:t>.</w:t>
      </w:r>
    </w:p>
    <w:p w:rsidR="008B52ED" w:rsidP="0031707B" w14:paraId="26360B8A" w14:textId="3F1FCF8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w:t>
      </w:r>
      <w:r w:rsidR="004F6AFC">
        <w:rPr>
          <w:rFonts w:asciiTheme="minorHAnsi" w:hAnsiTheme="minorHAnsi" w:cstheme="minorHAnsi"/>
          <w:sz w:val="22"/>
          <w:szCs w:val="22"/>
        </w:rPr>
        <w:t>have been</w:t>
      </w:r>
      <w:r>
        <w:rPr>
          <w:rFonts w:asciiTheme="minorHAnsi" w:hAnsiTheme="minorHAnsi" w:cstheme="minorHAnsi"/>
          <w:sz w:val="22"/>
          <w:szCs w:val="22"/>
        </w:rPr>
        <w:t xml:space="preserve"> made to Form 1099-DA as a result of these comments. The instructions to Form 1099-DA include an explanation </w:t>
      </w:r>
      <w:r w:rsidR="00BA69D9">
        <w:rPr>
          <w:rFonts w:asciiTheme="minorHAnsi" w:hAnsiTheme="minorHAnsi" w:cstheme="minorHAnsi"/>
          <w:sz w:val="22"/>
          <w:szCs w:val="22"/>
        </w:rPr>
        <w:t>of this requirement</w:t>
      </w:r>
      <w:r>
        <w:rPr>
          <w:rFonts w:asciiTheme="minorHAnsi" w:hAnsiTheme="minorHAnsi" w:cstheme="minorHAnsi"/>
          <w:sz w:val="22"/>
          <w:szCs w:val="22"/>
        </w:rPr>
        <w:t xml:space="preserve">. </w:t>
      </w:r>
    </w:p>
    <w:p w:rsidR="008B52ED" w:rsidP="0031707B" w14:paraId="175EA72A" w14:textId="1FDB2346">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Box </w:t>
      </w:r>
      <w:r w:rsidR="002253A6">
        <w:rPr>
          <w:rFonts w:asciiTheme="minorHAnsi" w:hAnsiTheme="minorHAnsi" w:cstheme="minorHAnsi"/>
          <w:sz w:val="22"/>
          <w:szCs w:val="22"/>
        </w:rPr>
        <w:t>1</w:t>
      </w:r>
      <w:r>
        <w:rPr>
          <w:rFonts w:asciiTheme="minorHAnsi" w:hAnsiTheme="minorHAnsi" w:cstheme="minorHAnsi"/>
          <w:sz w:val="22"/>
          <w:szCs w:val="22"/>
        </w:rPr>
        <w:t xml:space="preserve"> – Digital Asset Codes</w:t>
      </w:r>
    </w:p>
    <w:p w:rsidR="007B0BDC" w:rsidP="0031707B" w14:paraId="44567329" w14:textId="6E860B7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w:t>
      </w:r>
      <w:r w:rsidR="00572404">
        <w:rPr>
          <w:rFonts w:asciiTheme="minorHAnsi" w:hAnsiTheme="minorHAnsi" w:cstheme="minorHAnsi"/>
          <w:sz w:val="22"/>
          <w:szCs w:val="22"/>
        </w:rPr>
        <w:t>Several</w:t>
      </w:r>
      <w:r>
        <w:rPr>
          <w:rFonts w:asciiTheme="minorHAnsi" w:hAnsiTheme="minorHAnsi" w:cstheme="minorHAnsi"/>
          <w:sz w:val="22"/>
          <w:szCs w:val="22"/>
        </w:rPr>
        <w:t xml:space="preserve"> comments</w:t>
      </w:r>
      <w:r w:rsidR="00572404">
        <w:rPr>
          <w:rFonts w:asciiTheme="minorHAnsi" w:hAnsiTheme="minorHAnsi" w:cstheme="minorHAnsi"/>
          <w:sz w:val="22"/>
          <w:szCs w:val="22"/>
        </w:rPr>
        <w:t xml:space="preserve"> (5)</w:t>
      </w:r>
      <w:r>
        <w:rPr>
          <w:rFonts w:asciiTheme="minorHAnsi" w:hAnsiTheme="minorHAnsi" w:cstheme="minorHAnsi"/>
          <w:sz w:val="22"/>
          <w:szCs w:val="22"/>
        </w:rPr>
        <w:t xml:space="preserve"> requested </w:t>
      </w:r>
      <w:r w:rsidR="00F85A5E">
        <w:rPr>
          <w:rFonts w:asciiTheme="minorHAnsi" w:hAnsiTheme="minorHAnsi" w:cstheme="minorHAnsi"/>
          <w:sz w:val="22"/>
          <w:szCs w:val="22"/>
        </w:rPr>
        <w:t xml:space="preserve">that the box </w:t>
      </w:r>
      <w:r w:rsidR="000C1293">
        <w:rPr>
          <w:rFonts w:asciiTheme="minorHAnsi" w:hAnsiTheme="minorHAnsi" w:cstheme="minorHAnsi"/>
          <w:sz w:val="22"/>
          <w:szCs w:val="22"/>
        </w:rPr>
        <w:t xml:space="preserve">asking for </w:t>
      </w:r>
      <w:r w:rsidR="00F85A5E">
        <w:rPr>
          <w:rFonts w:asciiTheme="minorHAnsi" w:hAnsiTheme="minorHAnsi" w:cstheme="minorHAnsi"/>
          <w:sz w:val="22"/>
          <w:szCs w:val="22"/>
        </w:rPr>
        <w:t xml:space="preserve">the digital asset name and </w:t>
      </w:r>
      <w:r w:rsidR="000C1293">
        <w:rPr>
          <w:rFonts w:asciiTheme="minorHAnsi" w:hAnsiTheme="minorHAnsi" w:cstheme="minorHAnsi"/>
          <w:sz w:val="22"/>
          <w:szCs w:val="22"/>
        </w:rPr>
        <w:t xml:space="preserve">the box asking for the </w:t>
      </w:r>
      <w:r w:rsidR="00F85A5E">
        <w:rPr>
          <w:rFonts w:asciiTheme="minorHAnsi" w:hAnsiTheme="minorHAnsi" w:cstheme="minorHAnsi"/>
          <w:sz w:val="22"/>
          <w:szCs w:val="22"/>
        </w:rPr>
        <w:t xml:space="preserve">code </w:t>
      </w:r>
      <w:r w:rsidR="000C1293">
        <w:rPr>
          <w:rFonts w:asciiTheme="minorHAnsi" w:hAnsiTheme="minorHAnsi" w:cstheme="minorHAnsi"/>
          <w:sz w:val="22"/>
          <w:szCs w:val="22"/>
        </w:rPr>
        <w:t xml:space="preserve">for the digital asset </w:t>
      </w:r>
      <w:r w:rsidR="000C1293">
        <w:rPr>
          <w:rFonts w:asciiTheme="minorHAnsi" w:hAnsiTheme="minorHAnsi" w:cstheme="minorHAnsi"/>
          <w:sz w:val="22"/>
          <w:szCs w:val="22"/>
        </w:rPr>
        <w:t xml:space="preserve">name </w:t>
      </w:r>
      <w:r w:rsidR="00F85A5E">
        <w:rPr>
          <w:rFonts w:asciiTheme="minorHAnsi" w:hAnsiTheme="minorHAnsi" w:cstheme="minorHAnsi"/>
          <w:sz w:val="22"/>
          <w:szCs w:val="22"/>
        </w:rPr>
        <w:t>be removed from Form 1099-DA.</w:t>
      </w:r>
      <w:r w:rsidR="004640A7">
        <w:rPr>
          <w:rFonts w:asciiTheme="minorHAnsi" w:hAnsiTheme="minorHAnsi" w:cstheme="minorHAnsi"/>
          <w:sz w:val="22"/>
          <w:szCs w:val="22"/>
        </w:rPr>
        <w:t xml:space="preserve"> The</w:t>
      </w:r>
      <w:r w:rsidR="000C1293">
        <w:rPr>
          <w:rFonts w:asciiTheme="minorHAnsi" w:hAnsiTheme="minorHAnsi" w:cstheme="minorHAnsi"/>
          <w:sz w:val="22"/>
          <w:szCs w:val="22"/>
        </w:rPr>
        <w:t>se comments</w:t>
      </w:r>
      <w:r w:rsidR="004640A7">
        <w:rPr>
          <w:rFonts w:asciiTheme="minorHAnsi" w:hAnsiTheme="minorHAnsi" w:cstheme="minorHAnsi"/>
          <w:sz w:val="22"/>
          <w:szCs w:val="22"/>
        </w:rPr>
        <w:t xml:space="preserve"> recommended </w:t>
      </w:r>
      <w:r w:rsidR="000C1293">
        <w:rPr>
          <w:rFonts w:asciiTheme="minorHAnsi" w:hAnsiTheme="minorHAnsi" w:cstheme="minorHAnsi"/>
          <w:sz w:val="22"/>
          <w:szCs w:val="22"/>
        </w:rPr>
        <w:t xml:space="preserve">making the Form 1099-DA consistent with the Form 1099-B by </w:t>
      </w:r>
      <w:r w:rsidR="004640A7">
        <w:rPr>
          <w:rFonts w:asciiTheme="minorHAnsi" w:hAnsiTheme="minorHAnsi" w:cstheme="minorHAnsi"/>
          <w:sz w:val="22"/>
          <w:szCs w:val="22"/>
        </w:rPr>
        <w:t xml:space="preserve">replacing the </w:t>
      </w:r>
      <w:r w:rsidR="000C1293">
        <w:rPr>
          <w:rFonts w:asciiTheme="minorHAnsi" w:hAnsiTheme="minorHAnsi" w:cstheme="minorHAnsi"/>
          <w:sz w:val="22"/>
          <w:szCs w:val="22"/>
        </w:rPr>
        <w:t xml:space="preserve">box asking for the </w:t>
      </w:r>
      <w:r w:rsidR="004640A7">
        <w:rPr>
          <w:rFonts w:asciiTheme="minorHAnsi" w:hAnsiTheme="minorHAnsi" w:cstheme="minorHAnsi"/>
          <w:sz w:val="22"/>
          <w:szCs w:val="22"/>
        </w:rPr>
        <w:t xml:space="preserve">code </w:t>
      </w:r>
      <w:r w:rsidR="000C1293">
        <w:rPr>
          <w:rFonts w:asciiTheme="minorHAnsi" w:hAnsiTheme="minorHAnsi" w:cstheme="minorHAnsi"/>
          <w:sz w:val="22"/>
          <w:szCs w:val="22"/>
        </w:rPr>
        <w:t xml:space="preserve">for the digital asset name </w:t>
      </w:r>
      <w:r w:rsidR="004640A7">
        <w:rPr>
          <w:rFonts w:asciiTheme="minorHAnsi" w:hAnsiTheme="minorHAnsi" w:cstheme="minorHAnsi"/>
          <w:sz w:val="22"/>
          <w:szCs w:val="22"/>
        </w:rPr>
        <w:t xml:space="preserve">with a </w:t>
      </w:r>
      <w:r w:rsidR="000C1293">
        <w:rPr>
          <w:rFonts w:asciiTheme="minorHAnsi" w:hAnsiTheme="minorHAnsi" w:cstheme="minorHAnsi"/>
          <w:sz w:val="22"/>
          <w:szCs w:val="22"/>
        </w:rPr>
        <w:t xml:space="preserve">box asking for a </w:t>
      </w:r>
      <w:r w:rsidR="004640A7">
        <w:rPr>
          <w:rFonts w:asciiTheme="minorHAnsi" w:hAnsiTheme="minorHAnsi" w:cstheme="minorHAnsi"/>
          <w:sz w:val="22"/>
          <w:szCs w:val="22"/>
        </w:rPr>
        <w:t xml:space="preserve">description of </w:t>
      </w:r>
      <w:r w:rsidR="000C1293">
        <w:rPr>
          <w:rFonts w:asciiTheme="minorHAnsi" w:hAnsiTheme="minorHAnsi" w:cstheme="minorHAnsi"/>
          <w:sz w:val="22"/>
          <w:szCs w:val="22"/>
        </w:rPr>
        <w:t xml:space="preserve">the </w:t>
      </w:r>
      <w:r w:rsidR="004640A7">
        <w:rPr>
          <w:rFonts w:asciiTheme="minorHAnsi" w:hAnsiTheme="minorHAnsi" w:cstheme="minorHAnsi"/>
          <w:sz w:val="22"/>
          <w:szCs w:val="22"/>
        </w:rPr>
        <w:t>property</w:t>
      </w:r>
      <w:r w:rsidR="000C1293">
        <w:rPr>
          <w:rFonts w:asciiTheme="minorHAnsi" w:hAnsiTheme="minorHAnsi" w:cstheme="minorHAnsi"/>
          <w:sz w:val="22"/>
          <w:szCs w:val="22"/>
        </w:rPr>
        <w:t>. Additionally, the comments</w:t>
      </w:r>
      <w:r w:rsidR="004640A7">
        <w:rPr>
          <w:rFonts w:asciiTheme="minorHAnsi" w:hAnsiTheme="minorHAnsi" w:cstheme="minorHAnsi"/>
          <w:sz w:val="22"/>
          <w:szCs w:val="22"/>
        </w:rPr>
        <w:t xml:space="preserve"> </w:t>
      </w:r>
      <w:r>
        <w:rPr>
          <w:rFonts w:asciiTheme="minorHAnsi" w:hAnsiTheme="minorHAnsi" w:cstheme="minorHAnsi"/>
          <w:sz w:val="22"/>
          <w:szCs w:val="22"/>
        </w:rPr>
        <w:t xml:space="preserve">expressed concern about the IRS </w:t>
      </w:r>
      <w:r w:rsidR="00625AF3">
        <w:rPr>
          <w:rFonts w:asciiTheme="minorHAnsi" w:hAnsiTheme="minorHAnsi" w:cstheme="minorHAnsi"/>
          <w:sz w:val="22"/>
          <w:szCs w:val="22"/>
        </w:rPr>
        <w:t>managing</w:t>
      </w:r>
      <w:r>
        <w:rPr>
          <w:rFonts w:asciiTheme="minorHAnsi" w:hAnsiTheme="minorHAnsi" w:cstheme="minorHAnsi"/>
          <w:sz w:val="22"/>
          <w:szCs w:val="22"/>
        </w:rPr>
        <w:t xml:space="preserve"> a list of digital asset codes. </w:t>
      </w:r>
    </w:p>
    <w:p w:rsidR="00406CA0" w:rsidRPr="00726325" w:rsidP="00726325" w14:paraId="41F205E8" w14:textId="75ED6220">
      <w:pPr>
        <w:pStyle w:val="ListParagraph"/>
        <w:numPr>
          <w:ilvl w:val="2"/>
          <w:numId w:val="10"/>
        </w:numPr>
        <w:spacing w:line="276" w:lineRule="auto"/>
        <w:ind w:left="2340" w:hanging="360"/>
        <w:contextualSpacing/>
        <w:rPr>
          <w:rFonts w:asciiTheme="minorHAnsi" w:hAnsiTheme="minorHAnsi" w:cstheme="minorHAnsi"/>
          <w:sz w:val="22"/>
          <w:szCs w:val="22"/>
        </w:rPr>
      </w:pPr>
      <w:r w:rsidRPr="00726325">
        <w:rPr>
          <w:rFonts w:asciiTheme="minorHAnsi" w:hAnsiTheme="minorHAnsi" w:cstheme="minorHAnsi"/>
          <w:sz w:val="22"/>
          <w:szCs w:val="22"/>
        </w:rPr>
        <w:t xml:space="preserve">IRS Response: </w:t>
      </w:r>
      <w:r w:rsidRPr="00726325" w:rsidR="00046D3A">
        <w:rPr>
          <w:rFonts w:asciiTheme="minorHAnsi" w:hAnsiTheme="minorHAnsi" w:cstheme="minorHAnsi"/>
          <w:sz w:val="22"/>
          <w:szCs w:val="22"/>
        </w:rPr>
        <w:t xml:space="preserve">For standardization purposes, a </w:t>
      </w:r>
      <w:r w:rsidRPr="00726325" w:rsidR="00726325">
        <w:rPr>
          <w:rFonts w:asciiTheme="minorHAnsi" w:hAnsiTheme="minorHAnsi" w:cstheme="minorHAnsi"/>
          <w:sz w:val="22"/>
          <w:szCs w:val="22"/>
        </w:rPr>
        <w:t xml:space="preserve">code for the name of each </w:t>
      </w:r>
      <w:r w:rsidRPr="00726325" w:rsidR="00046D3A">
        <w:rPr>
          <w:rFonts w:asciiTheme="minorHAnsi" w:hAnsiTheme="minorHAnsi" w:cstheme="minorHAnsi"/>
          <w:sz w:val="22"/>
          <w:szCs w:val="22"/>
        </w:rPr>
        <w:t xml:space="preserve">digital asset is essential to the Form 1099-DA. </w:t>
      </w:r>
      <w:r w:rsidRPr="00726325" w:rsidR="00EE0660">
        <w:rPr>
          <w:rFonts w:asciiTheme="minorHAnsi" w:hAnsiTheme="minorHAnsi" w:cstheme="minorHAnsi"/>
          <w:sz w:val="22"/>
          <w:szCs w:val="22"/>
        </w:rPr>
        <w:t xml:space="preserve">The Digital Token Identifier Foundation (DTIF) has been approved by </w:t>
      </w:r>
      <w:r w:rsidR="00532F3D">
        <w:rPr>
          <w:rFonts w:asciiTheme="minorHAnsi" w:hAnsiTheme="minorHAnsi" w:cstheme="minorHAnsi"/>
          <w:sz w:val="22"/>
          <w:szCs w:val="22"/>
        </w:rPr>
        <w:t>the International Organization for Standardization (</w:t>
      </w:r>
      <w:r w:rsidRPr="00726325" w:rsidR="00EE0660">
        <w:rPr>
          <w:rFonts w:asciiTheme="minorHAnsi" w:hAnsiTheme="minorHAnsi" w:cstheme="minorHAnsi"/>
          <w:sz w:val="22"/>
          <w:szCs w:val="22"/>
        </w:rPr>
        <w:t>ISO</w:t>
      </w:r>
      <w:r w:rsidR="00532F3D">
        <w:rPr>
          <w:rFonts w:asciiTheme="minorHAnsi" w:hAnsiTheme="minorHAnsi" w:cstheme="minorHAnsi"/>
          <w:sz w:val="22"/>
          <w:szCs w:val="22"/>
        </w:rPr>
        <w:t>)</w:t>
      </w:r>
      <w:r w:rsidRPr="00726325" w:rsidR="00EE0660">
        <w:rPr>
          <w:rFonts w:asciiTheme="minorHAnsi" w:hAnsiTheme="minorHAnsi" w:cstheme="minorHAnsi"/>
          <w:sz w:val="22"/>
          <w:szCs w:val="22"/>
        </w:rPr>
        <w:t xml:space="preserve"> to give unique identifiers to each digital asset. </w:t>
      </w:r>
      <w:r w:rsidRPr="00726325" w:rsidR="00726325">
        <w:rPr>
          <w:rFonts w:asciiTheme="minorHAnsi" w:hAnsiTheme="minorHAnsi" w:cstheme="minorHAnsi"/>
          <w:sz w:val="22"/>
          <w:szCs w:val="22"/>
        </w:rPr>
        <w:t xml:space="preserve">The IRS intends to follow the identifiers (codes) created by DTIF for this purpose. </w:t>
      </w:r>
      <w:r w:rsidRPr="00726325" w:rsidR="00046D3A">
        <w:rPr>
          <w:rFonts w:asciiTheme="minorHAnsi" w:hAnsiTheme="minorHAnsi" w:cstheme="minorHAnsi"/>
          <w:sz w:val="22"/>
          <w:szCs w:val="22"/>
        </w:rPr>
        <w:t xml:space="preserve">Additionally, including </w:t>
      </w:r>
      <w:r w:rsidR="00726325">
        <w:rPr>
          <w:rFonts w:asciiTheme="minorHAnsi" w:hAnsiTheme="minorHAnsi" w:cstheme="minorHAnsi"/>
          <w:sz w:val="22"/>
          <w:szCs w:val="22"/>
        </w:rPr>
        <w:t xml:space="preserve">a box with </w:t>
      </w:r>
      <w:r w:rsidRPr="00726325" w:rsidR="00046D3A">
        <w:rPr>
          <w:rFonts w:asciiTheme="minorHAnsi" w:hAnsiTheme="minorHAnsi" w:cstheme="minorHAnsi"/>
          <w:sz w:val="22"/>
          <w:szCs w:val="22"/>
        </w:rPr>
        <w:t xml:space="preserve">the digital asset name will allow the </w:t>
      </w:r>
      <w:r w:rsidR="00726325">
        <w:rPr>
          <w:rFonts w:asciiTheme="minorHAnsi" w:hAnsiTheme="minorHAnsi" w:cstheme="minorHAnsi"/>
          <w:sz w:val="22"/>
          <w:szCs w:val="22"/>
        </w:rPr>
        <w:t xml:space="preserve">broker’s customers </w:t>
      </w:r>
      <w:r w:rsidRPr="00726325" w:rsidR="00046D3A">
        <w:rPr>
          <w:rFonts w:asciiTheme="minorHAnsi" w:hAnsiTheme="minorHAnsi" w:cstheme="minorHAnsi"/>
          <w:sz w:val="22"/>
          <w:szCs w:val="22"/>
        </w:rPr>
        <w:t xml:space="preserve">to know which asset was reported </w:t>
      </w:r>
      <w:r w:rsidR="00726325">
        <w:rPr>
          <w:rFonts w:asciiTheme="minorHAnsi" w:hAnsiTheme="minorHAnsi" w:cstheme="minorHAnsi"/>
          <w:sz w:val="22"/>
          <w:szCs w:val="22"/>
        </w:rPr>
        <w:t xml:space="preserve">to the IRS </w:t>
      </w:r>
      <w:r w:rsidRPr="00726325" w:rsidR="00046D3A">
        <w:rPr>
          <w:rFonts w:asciiTheme="minorHAnsi" w:hAnsiTheme="minorHAnsi" w:cstheme="minorHAnsi"/>
          <w:sz w:val="22"/>
          <w:szCs w:val="22"/>
        </w:rPr>
        <w:t xml:space="preserve">on the Form 1099-DA when they prepare their tax return without having to reference the list of digital asset codes. </w:t>
      </w:r>
    </w:p>
    <w:p w:rsidR="00726325" w:rsidRPr="00726325" w:rsidP="00726325" w14:paraId="374C1D32" w14:textId="107EBE0C">
      <w:pPr>
        <w:pStyle w:val="ListParagraph"/>
        <w:numPr>
          <w:ilvl w:val="2"/>
          <w:numId w:val="10"/>
        </w:numPr>
        <w:spacing w:line="276" w:lineRule="auto"/>
        <w:ind w:left="2340" w:hanging="360"/>
        <w:contextualSpacing/>
      </w:pPr>
      <w:r>
        <w:rPr>
          <w:rFonts w:asciiTheme="minorHAnsi" w:hAnsiTheme="minorHAnsi" w:cstheme="minorHAnsi"/>
          <w:sz w:val="22"/>
          <w:szCs w:val="22"/>
        </w:rPr>
        <w:t xml:space="preserve">How Form 1099-DA is Affected: </w:t>
      </w:r>
      <w:r w:rsidRPr="00726325">
        <w:rPr>
          <w:rFonts w:asciiTheme="minorHAnsi" w:hAnsiTheme="minorHAnsi" w:cstheme="minorHAnsi"/>
          <w:sz w:val="22"/>
          <w:szCs w:val="22"/>
        </w:rPr>
        <w:t xml:space="preserve">No changes </w:t>
      </w:r>
      <w:r w:rsidR="00A11261">
        <w:rPr>
          <w:rFonts w:asciiTheme="minorHAnsi" w:hAnsiTheme="minorHAnsi" w:cstheme="minorHAnsi"/>
          <w:sz w:val="22"/>
          <w:szCs w:val="22"/>
        </w:rPr>
        <w:t>have been</w:t>
      </w:r>
      <w:r w:rsidRPr="00726325">
        <w:rPr>
          <w:rFonts w:asciiTheme="minorHAnsi" w:hAnsiTheme="minorHAnsi" w:cstheme="minorHAnsi"/>
          <w:sz w:val="22"/>
          <w:szCs w:val="22"/>
        </w:rPr>
        <w:t xml:space="preserve"> made to Form 1099-DA as a result of these comments</w:t>
      </w:r>
      <w:r>
        <w:rPr>
          <w:rFonts w:asciiTheme="minorHAnsi" w:hAnsiTheme="minorHAnsi" w:cstheme="minorHAnsi"/>
          <w:sz w:val="22"/>
          <w:szCs w:val="22"/>
        </w:rPr>
        <w:t xml:space="preserve">. </w:t>
      </w:r>
      <w:r w:rsidR="00EE0660">
        <w:rPr>
          <w:rFonts w:asciiTheme="minorHAnsi" w:hAnsiTheme="minorHAnsi" w:cstheme="minorHAnsi"/>
          <w:sz w:val="22"/>
          <w:szCs w:val="22"/>
        </w:rPr>
        <w:t>The code</w:t>
      </w:r>
      <w:r w:rsidR="0045436D">
        <w:rPr>
          <w:rFonts w:asciiTheme="minorHAnsi" w:hAnsiTheme="minorHAnsi" w:cstheme="minorHAnsi"/>
          <w:sz w:val="22"/>
          <w:szCs w:val="22"/>
        </w:rPr>
        <w:t>s</w:t>
      </w:r>
      <w:r w:rsidR="00EE0660">
        <w:rPr>
          <w:rFonts w:asciiTheme="minorHAnsi" w:hAnsiTheme="minorHAnsi" w:cstheme="minorHAnsi"/>
          <w:sz w:val="22"/>
          <w:szCs w:val="22"/>
        </w:rPr>
        <w:t xml:space="preserve"> used in box 1a reference the DTIF</w:t>
      </w:r>
      <w:r>
        <w:rPr>
          <w:rFonts w:asciiTheme="minorHAnsi" w:hAnsiTheme="minorHAnsi" w:cstheme="minorHAnsi"/>
          <w:sz w:val="22"/>
          <w:szCs w:val="22"/>
        </w:rPr>
        <w:t xml:space="preserve"> identifier codes</w:t>
      </w:r>
      <w:r w:rsidR="00EE0660">
        <w:rPr>
          <w:rFonts w:asciiTheme="minorHAnsi" w:hAnsiTheme="minorHAnsi" w:cstheme="minorHAnsi"/>
          <w:sz w:val="22"/>
          <w:szCs w:val="22"/>
        </w:rPr>
        <w:t xml:space="preserve">. </w:t>
      </w:r>
      <w:r w:rsidR="0045436D">
        <w:rPr>
          <w:rFonts w:asciiTheme="minorHAnsi" w:hAnsiTheme="minorHAnsi" w:cstheme="minorHAnsi"/>
          <w:sz w:val="22"/>
          <w:szCs w:val="22"/>
        </w:rPr>
        <w:t xml:space="preserve">The instructions </w:t>
      </w:r>
      <w:r w:rsidR="001D24B0">
        <w:rPr>
          <w:rFonts w:asciiTheme="minorHAnsi" w:hAnsiTheme="minorHAnsi" w:cstheme="minorHAnsi"/>
          <w:sz w:val="22"/>
          <w:szCs w:val="22"/>
        </w:rPr>
        <w:t xml:space="preserve">to Form 1099-DA </w:t>
      </w:r>
      <w:r w:rsidR="00942A5B">
        <w:rPr>
          <w:rFonts w:asciiTheme="minorHAnsi" w:hAnsiTheme="minorHAnsi" w:cstheme="minorHAnsi"/>
          <w:sz w:val="22"/>
          <w:szCs w:val="22"/>
        </w:rPr>
        <w:t xml:space="preserve">tell brokers how to access and use the DTIF </w:t>
      </w:r>
      <w:r w:rsidR="0036004A">
        <w:rPr>
          <w:rFonts w:asciiTheme="minorHAnsi" w:hAnsiTheme="minorHAnsi" w:cstheme="minorHAnsi"/>
          <w:sz w:val="22"/>
          <w:szCs w:val="22"/>
        </w:rPr>
        <w:t>identifier codes.</w:t>
      </w:r>
      <w:r w:rsidR="0045436D">
        <w:rPr>
          <w:rFonts w:asciiTheme="minorHAnsi" w:hAnsiTheme="minorHAnsi" w:cstheme="minorHAnsi"/>
          <w:sz w:val="22"/>
          <w:szCs w:val="22"/>
        </w:rPr>
        <w:t xml:space="preserve"> </w:t>
      </w:r>
    </w:p>
    <w:p w:rsidR="002253A6" w:rsidP="0031707B" w14:paraId="5F077C99" w14:textId="2C6F22F5">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Box 1 – </w:t>
      </w:r>
      <w:r w:rsidR="0071667E">
        <w:rPr>
          <w:rFonts w:asciiTheme="minorHAnsi" w:hAnsiTheme="minorHAnsi" w:cstheme="minorHAnsi"/>
          <w:sz w:val="22"/>
          <w:szCs w:val="22"/>
        </w:rPr>
        <w:t>Coordinated Universal Time (</w:t>
      </w:r>
      <w:r>
        <w:rPr>
          <w:rFonts w:asciiTheme="minorHAnsi" w:hAnsiTheme="minorHAnsi" w:cstheme="minorHAnsi"/>
          <w:sz w:val="22"/>
          <w:szCs w:val="22"/>
        </w:rPr>
        <w:t>UTC</w:t>
      </w:r>
      <w:r w:rsidR="0071667E">
        <w:rPr>
          <w:rFonts w:asciiTheme="minorHAnsi" w:hAnsiTheme="minorHAnsi" w:cstheme="minorHAnsi"/>
          <w:sz w:val="22"/>
          <w:szCs w:val="22"/>
        </w:rPr>
        <w:t>)</w:t>
      </w:r>
    </w:p>
    <w:p w:rsidR="00BD287B" w:rsidP="0031707B" w14:paraId="4C407C03" w14:textId="5BB003A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A92A66">
        <w:rPr>
          <w:rFonts w:asciiTheme="minorHAnsi" w:hAnsiTheme="minorHAnsi" w:cstheme="minorHAnsi"/>
          <w:sz w:val="22"/>
          <w:szCs w:val="22"/>
        </w:rPr>
        <w:t>6) requested that the Form 1099-DA not include timestamps</w:t>
      </w:r>
      <w:r w:rsidR="00726325">
        <w:rPr>
          <w:rFonts w:asciiTheme="minorHAnsi" w:hAnsiTheme="minorHAnsi" w:cstheme="minorHAnsi"/>
          <w:sz w:val="22"/>
          <w:szCs w:val="22"/>
        </w:rPr>
        <w:t xml:space="preserve">. Additionally, </w:t>
      </w:r>
      <w:r w:rsidR="00A92A66">
        <w:rPr>
          <w:rFonts w:asciiTheme="minorHAnsi" w:hAnsiTheme="minorHAnsi" w:cstheme="minorHAnsi"/>
          <w:sz w:val="22"/>
          <w:szCs w:val="22"/>
        </w:rPr>
        <w:t>if timestamps are included</w:t>
      </w:r>
      <w:r w:rsidR="00726325">
        <w:rPr>
          <w:rFonts w:asciiTheme="minorHAnsi" w:hAnsiTheme="minorHAnsi" w:cstheme="minorHAnsi"/>
          <w:sz w:val="22"/>
          <w:szCs w:val="22"/>
        </w:rPr>
        <w:t>, these comments</w:t>
      </w:r>
      <w:r w:rsidR="00A92A66">
        <w:rPr>
          <w:rFonts w:asciiTheme="minorHAnsi" w:hAnsiTheme="minorHAnsi" w:cstheme="minorHAnsi"/>
          <w:sz w:val="22"/>
          <w:szCs w:val="22"/>
        </w:rPr>
        <w:t xml:space="preserve"> requested </w:t>
      </w:r>
      <w:r w:rsidR="00726325">
        <w:rPr>
          <w:rFonts w:asciiTheme="minorHAnsi" w:hAnsiTheme="minorHAnsi" w:cstheme="minorHAnsi"/>
          <w:sz w:val="22"/>
          <w:szCs w:val="22"/>
        </w:rPr>
        <w:t xml:space="preserve">that </w:t>
      </w:r>
      <w:r>
        <w:rPr>
          <w:rFonts w:asciiTheme="minorHAnsi" w:hAnsiTheme="minorHAnsi" w:cstheme="minorHAnsi"/>
          <w:sz w:val="22"/>
          <w:szCs w:val="22"/>
        </w:rPr>
        <w:t xml:space="preserve">the time be reported in something other than UTC. </w:t>
      </w:r>
      <w:r w:rsidR="005E404F">
        <w:rPr>
          <w:rFonts w:asciiTheme="minorHAnsi" w:hAnsiTheme="minorHAnsi" w:cstheme="minorHAnsi"/>
          <w:sz w:val="22"/>
          <w:szCs w:val="22"/>
        </w:rPr>
        <w:t xml:space="preserve">The reasons provided included that the </w:t>
      </w:r>
      <w:r w:rsidR="00726325">
        <w:rPr>
          <w:rFonts w:asciiTheme="minorHAnsi" w:hAnsiTheme="minorHAnsi" w:cstheme="minorHAnsi"/>
          <w:sz w:val="22"/>
          <w:szCs w:val="22"/>
        </w:rPr>
        <w:t xml:space="preserve">time of transaction </w:t>
      </w:r>
      <w:r w:rsidR="005E404F">
        <w:rPr>
          <w:rFonts w:asciiTheme="minorHAnsi" w:hAnsiTheme="minorHAnsi" w:cstheme="minorHAnsi"/>
          <w:sz w:val="22"/>
          <w:szCs w:val="22"/>
        </w:rPr>
        <w:t>information is not necessary for the IRS or taxpayers</w:t>
      </w:r>
      <w:r w:rsidR="00726325">
        <w:rPr>
          <w:rFonts w:asciiTheme="minorHAnsi" w:hAnsiTheme="minorHAnsi" w:cstheme="minorHAnsi"/>
          <w:sz w:val="22"/>
          <w:szCs w:val="22"/>
        </w:rPr>
        <w:t>.</w:t>
      </w:r>
      <w:r w:rsidR="005E404F">
        <w:rPr>
          <w:rFonts w:asciiTheme="minorHAnsi" w:hAnsiTheme="minorHAnsi" w:cstheme="minorHAnsi"/>
          <w:sz w:val="22"/>
          <w:szCs w:val="22"/>
        </w:rPr>
        <w:t xml:space="preserve"> </w:t>
      </w:r>
    </w:p>
    <w:p w:rsidR="00E72C8D" w:rsidP="0031707B" w14:paraId="54AE974D" w14:textId="2C92C04F">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B372FE">
        <w:rPr>
          <w:rFonts w:asciiTheme="minorHAnsi" w:hAnsiTheme="minorHAnsi" w:cstheme="minorHAnsi"/>
          <w:sz w:val="22"/>
          <w:szCs w:val="22"/>
        </w:rPr>
        <w:t>In response to comments received on the proposed regulation</w:t>
      </w:r>
      <w:r>
        <w:rPr>
          <w:rFonts w:asciiTheme="minorHAnsi" w:hAnsiTheme="minorHAnsi" w:cstheme="minorHAnsi"/>
          <w:sz w:val="22"/>
          <w:szCs w:val="22"/>
        </w:rPr>
        <w:t>s, the IRS removed the requirement to report the time of the transaction</w:t>
      </w:r>
      <w:r w:rsidR="00726325">
        <w:rPr>
          <w:rFonts w:asciiTheme="minorHAnsi" w:hAnsiTheme="minorHAnsi" w:cstheme="minorHAnsi"/>
          <w:sz w:val="22"/>
          <w:szCs w:val="22"/>
        </w:rPr>
        <w:t xml:space="preserve"> in the final regulations</w:t>
      </w:r>
      <w:r>
        <w:rPr>
          <w:rFonts w:asciiTheme="minorHAnsi" w:hAnsiTheme="minorHAnsi" w:cstheme="minorHAnsi"/>
          <w:sz w:val="22"/>
          <w:szCs w:val="22"/>
        </w:rPr>
        <w:t>.</w:t>
      </w:r>
      <w:r w:rsidR="00726325">
        <w:rPr>
          <w:rFonts w:asciiTheme="minorHAnsi" w:hAnsiTheme="minorHAnsi" w:cstheme="minorHAnsi"/>
          <w:sz w:val="22"/>
          <w:szCs w:val="22"/>
        </w:rPr>
        <w:t xml:space="preserve"> Accordingly, the box requesting this information should be removed. </w:t>
      </w:r>
    </w:p>
    <w:p w:rsidR="00E72C8D" w:rsidP="0031707B" w14:paraId="63BCC8AB" w14:textId="7A8C12B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References to UTC</w:t>
      </w:r>
      <w:r w:rsidR="00D212D9">
        <w:rPr>
          <w:rFonts w:asciiTheme="minorHAnsi" w:hAnsiTheme="minorHAnsi" w:cstheme="minorHAnsi"/>
          <w:sz w:val="22"/>
          <w:szCs w:val="22"/>
        </w:rPr>
        <w:t>, including the box requiring timestamps,</w:t>
      </w:r>
      <w:r>
        <w:rPr>
          <w:rFonts w:asciiTheme="minorHAnsi" w:hAnsiTheme="minorHAnsi" w:cstheme="minorHAnsi"/>
          <w:sz w:val="22"/>
          <w:szCs w:val="22"/>
        </w:rPr>
        <w:t xml:space="preserve"> have been removed from the Form 1099-DA. </w:t>
      </w:r>
    </w:p>
    <w:p w:rsidR="00E72C8D" w:rsidRPr="00C55986" w:rsidP="00C55986" w14:paraId="5FC19F0F" w14:textId="0E6AF473">
      <w:pPr>
        <w:pStyle w:val="ListParagraph"/>
        <w:numPr>
          <w:ilvl w:val="1"/>
          <w:numId w:val="10"/>
        </w:numPr>
        <w:spacing w:line="276" w:lineRule="auto"/>
        <w:ind w:left="1800"/>
        <w:contextualSpacing/>
        <w:rPr>
          <w:rFonts w:asciiTheme="minorHAnsi" w:hAnsiTheme="minorHAnsi" w:cstheme="minorHAnsi"/>
          <w:sz w:val="22"/>
          <w:szCs w:val="22"/>
        </w:rPr>
      </w:pPr>
      <w:r w:rsidRPr="00C55986">
        <w:rPr>
          <w:rFonts w:asciiTheme="minorHAnsi" w:hAnsiTheme="minorHAnsi" w:cstheme="minorHAnsi"/>
          <w:sz w:val="22"/>
          <w:szCs w:val="22"/>
        </w:rPr>
        <w:t xml:space="preserve">Box </w:t>
      </w:r>
      <w:r w:rsidRPr="00C55986" w:rsidR="00C658F7">
        <w:rPr>
          <w:rFonts w:asciiTheme="minorHAnsi" w:hAnsiTheme="minorHAnsi" w:cstheme="minorHAnsi"/>
          <w:sz w:val="22"/>
          <w:szCs w:val="22"/>
        </w:rPr>
        <w:t>3 – Collectible</w:t>
      </w:r>
      <w:r w:rsidR="00D212D9">
        <w:rPr>
          <w:rFonts w:asciiTheme="minorHAnsi" w:hAnsiTheme="minorHAnsi" w:cstheme="minorHAnsi"/>
          <w:sz w:val="22"/>
          <w:szCs w:val="22"/>
        </w:rPr>
        <w:t>s</w:t>
      </w:r>
      <w:r w:rsidRPr="00C55986" w:rsidR="00C658F7">
        <w:rPr>
          <w:rFonts w:asciiTheme="minorHAnsi" w:hAnsiTheme="minorHAnsi" w:cstheme="minorHAnsi"/>
          <w:sz w:val="22"/>
          <w:szCs w:val="22"/>
        </w:rPr>
        <w:t xml:space="preserve"> / Qualified Opportunity Fund</w:t>
      </w:r>
      <w:r w:rsidR="00D212D9">
        <w:rPr>
          <w:rFonts w:asciiTheme="minorHAnsi" w:hAnsiTheme="minorHAnsi" w:cstheme="minorHAnsi"/>
          <w:sz w:val="22"/>
          <w:szCs w:val="22"/>
        </w:rPr>
        <w:t>s (QOF)</w:t>
      </w:r>
    </w:p>
    <w:p w:rsidR="00C658F7" w:rsidP="0031707B" w14:paraId="1E376CC2" w14:textId="2039131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Two comments requested </w:t>
      </w:r>
      <w:r w:rsidR="001B5BD6">
        <w:rPr>
          <w:rFonts w:asciiTheme="minorHAnsi" w:hAnsiTheme="minorHAnsi" w:cstheme="minorHAnsi"/>
          <w:sz w:val="22"/>
          <w:szCs w:val="22"/>
        </w:rPr>
        <w:t xml:space="preserve">that </w:t>
      </w:r>
      <w:r>
        <w:rPr>
          <w:rFonts w:asciiTheme="minorHAnsi" w:hAnsiTheme="minorHAnsi" w:cstheme="minorHAnsi"/>
          <w:sz w:val="22"/>
          <w:szCs w:val="22"/>
        </w:rPr>
        <w:t xml:space="preserve">the Form 1099-DA </w:t>
      </w:r>
      <w:r w:rsidR="001B5BD6">
        <w:rPr>
          <w:rFonts w:asciiTheme="minorHAnsi" w:hAnsiTheme="minorHAnsi" w:cstheme="minorHAnsi"/>
          <w:sz w:val="22"/>
          <w:szCs w:val="22"/>
        </w:rPr>
        <w:t xml:space="preserve">add a check box, like that on the Form 1099-B, </w:t>
      </w:r>
      <w:r>
        <w:rPr>
          <w:rFonts w:asciiTheme="minorHAnsi" w:hAnsiTheme="minorHAnsi" w:cstheme="minorHAnsi"/>
          <w:sz w:val="22"/>
          <w:szCs w:val="22"/>
        </w:rPr>
        <w:t xml:space="preserve">indicating whether </w:t>
      </w:r>
      <w:r w:rsidR="001B5BD6">
        <w:rPr>
          <w:rFonts w:asciiTheme="minorHAnsi" w:hAnsiTheme="minorHAnsi" w:cstheme="minorHAnsi"/>
          <w:sz w:val="22"/>
          <w:szCs w:val="22"/>
        </w:rPr>
        <w:t xml:space="preserve">the disposed digital </w:t>
      </w:r>
      <w:r>
        <w:rPr>
          <w:rFonts w:asciiTheme="minorHAnsi" w:hAnsiTheme="minorHAnsi" w:cstheme="minorHAnsi"/>
          <w:sz w:val="22"/>
          <w:szCs w:val="22"/>
        </w:rPr>
        <w:t xml:space="preserve">asset is a </w:t>
      </w:r>
      <w:r w:rsidR="001B5BD6">
        <w:rPr>
          <w:rFonts w:asciiTheme="minorHAnsi" w:hAnsiTheme="minorHAnsi" w:cstheme="minorHAnsi"/>
          <w:sz w:val="22"/>
          <w:szCs w:val="22"/>
        </w:rPr>
        <w:t xml:space="preserve">QOF or a collectible. </w:t>
      </w:r>
      <w:r w:rsidR="007602B7">
        <w:rPr>
          <w:rFonts w:asciiTheme="minorHAnsi" w:hAnsiTheme="minorHAnsi" w:cstheme="minorHAnsi"/>
          <w:sz w:val="22"/>
          <w:szCs w:val="22"/>
        </w:rPr>
        <w:t>According to the comments, t</w:t>
      </w:r>
      <w:r w:rsidR="001B5BD6">
        <w:rPr>
          <w:rFonts w:asciiTheme="minorHAnsi" w:hAnsiTheme="minorHAnsi" w:cstheme="minorHAnsi"/>
          <w:sz w:val="22"/>
          <w:szCs w:val="22"/>
        </w:rPr>
        <w:t xml:space="preserve">his information would be useful to the IRS and </w:t>
      </w:r>
      <w:r>
        <w:rPr>
          <w:rFonts w:asciiTheme="minorHAnsi" w:hAnsiTheme="minorHAnsi" w:cstheme="minorHAnsi"/>
          <w:sz w:val="22"/>
          <w:szCs w:val="22"/>
        </w:rPr>
        <w:t xml:space="preserve">taxpayers </w:t>
      </w:r>
      <w:r w:rsidR="001B5BD6">
        <w:rPr>
          <w:rFonts w:asciiTheme="minorHAnsi" w:hAnsiTheme="minorHAnsi" w:cstheme="minorHAnsi"/>
          <w:sz w:val="22"/>
          <w:szCs w:val="22"/>
        </w:rPr>
        <w:t xml:space="preserve">in determining </w:t>
      </w:r>
      <w:r>
        <w:rPr>
          <w:rFonts w:asciiTheme="minorHAnsi" w:hAnsiTheme="minorHAnsi" w:cstheme="minorHAnsi"/>
          <w:sz w:val="22"/>
          <w:szCs w:val="22"/>
        </w:rPr>
        <w:t>whether the digital asset is subject to different tax treatment</w:t>
      </w:r>
      <w:r w:rsidR="001B5BD6">
        <w:rPr>
          <w:rFonts w:asciiTheme="minorHAnsi" w:hAnsiTheme="minorHAnsi" w:cstheme="minorHAnsi"/>
          <w:sz w:val="22"/>
          <w:szCs w:val="22"/>
        </w:rPr>
        <w:t xml:space="preserve"> under these rules</w:t>
      </w:r>
      <w:r>
        <w:rPr>
          <w:rFonts w:asciiTheme="minorHAnsi" w:hAnsiTheme="minorHAnsi" w:cstheme="minorHAnsi"/>
          <w:sz w:val="22"/>
          <w:szCs w:val="22"/>
        </w:rPr>
        <w:t>.</w:t>
      </w:r>
    </w:p>
    <w:p w:rsidR="002B1906" w:rsidRPr="001B5BD6" w:rsidP="001B5BD6" w14:paraId="4D20BFFC" w14:textId="60BBAF40">
      <w:pPr>
        <w:pStyle w:val="ListParagraph"/>
        <w:numPr>
          <w:ilvl w:val="2"/>
          <w:numId w:val="10"/>
        </w:numPr>
        <w:spacing w:line="276" w:lineRule="auto"/>
        <w:ind w:left="2340" w:hanging="360"/>
        <w:contextualSpacing/>
        <w:rPr>
          <w:rFonts w:asciiTheme="minorHAnsi" w:hAnsiTheme="minorHAnsi" w:cstheme="minorHAnsi"/>
          <w:sz w:val="22"/>
          <w:szCs w:val="22"/>
        </w:rPr>
      </w:pPr>
      <w:r w:rsidRPr="001B5BD6">
        <w:rPr>
          <w:rFonts w:asciiTheme="minorHAnsi" w:hAnsiTheme="minorHAnsi" w:cstheme="minorHAnsi"/>
          <w:sz w:val="22"/>
          <w:szCs w:val="22"/>
        </w:rPr>
        <w:t xml:space="preserve">IRS Response: </w:t>
      </w:r>
      <w:r w:rsidRPr="001B5BD6" w:rsidR="001B5BD6">
        <w:rPr>
          <w:rFonts w:asciiTheme="minorHAnsi" w:hAnsiTheme="minorHAnsi" w:cstheme="minorHAnsi"/>
          <w:sz w:val="22"/>
          <w:szCs w:val="22"/>
        </w:rPr>
        <w:t xml:space="preserve">Regarding the request to add a check box indicating that the digital asset is a QOF, the IRS agrees that this information would be helpful to both taxpayers and the IRS. Regarding the request to add a check box </w:t>
      </w:r>
      <w:r w:rsidRPr="001B5BD6" w:rsidR="001B5BD6">
        <w:rPr>
          <w:rFonts w:asciiTheme="minorHAnsi" w:hAnsiTheme="minorHAnsi" w:cstheme="minorHAnsi"/>
          <w:sz w:val="22"/>
          <w:szCs w:val="22"/>
        </w:rPr>
        <w:t xml:space="preserve">indicating that the digital asset is a collectible, </w:t>
      </w:r>
      <w:r w:rsidR="001B5BD6">
        <w:rPr>
          <w:rFonts w:asciiTheme="minorHAnsi" w:hAnsiTheme="minorHAnsi" w:cstheme="minorHAnsi"/>
          <w:sz w:val="22"/>
          <w:szCs w:val="22"/>
        </w:rPr>
        <w:t xml:space="preserve">the rules establishing if and when a digital asset is a collectible have not been </w:t>
      </w:r>
      <w:r w:rsidR="007554FA">
        <w:rPr>
          <w:rFonts w:asciiTheme="minorHAnsi" w:hAnsiTheme="minorHAnsi" w:cstheme="minorHAnsi"/>
          <w:sz w:val="22"/>
          <w:szCs w:val="22"/>
        </w:rPr>
        <w:t>issued</w:t>
      </w:r>
      <w:r w:rsidR="001B5BD6">
        <w:rPr>
          <w:rFonts w:asciiTheme="minorHAnsi" w:hAnsiTheme="minorHAnsi" w:cstheme="minorHAnsi"/>
          <w:sz w:val="22"/>
          <w:szCs w:val="22"/>
        </w:rPr>
        <w:t xml:space="preserve">. </w:t>
      </w:r>
      <w:r w:rsidRPr="001B5BD6" w:rsidR="00CA184B">
        <w:rPr>
          <w:rFonts w:asciiTheme="minorHAnsi" w:hAnsiTheme="minorHAnsi" w:cstheme="minorHAnsi"/>
          <w:sz w:val="22"/>
          <w:szCs w:val="22"/>
        </w:rPr>
        <w:t xml:space="preserve">Notice </w:t>
      </w:r>
      <w:r w:rsidRPr="001B5BD6" w:rsidR="0050188B">
        <w:rPr>
          <w:rFonts w:asciiTheme="minorHAnsi" w:hAnsiTheme="minorHAnsi" w:cstheme="minorHAnsi"/>
          <w:sz w:val="22"/>
          <w:szCs w:val="22"/>
        </w:rPr>
        <w:t>2023-27</w:t>
      </w:r>
      <w:r w:rsidR="00583642">
        <w:rPr>
          <w:rFonts w:asciiTheme="minorHAnsi" w:hAnsiTheme="minorHAnsi" w:cstheme="minorHAnsi"/>
          <w:sz w:val="22"/>
          <w:szCs w:val="22"/>
        </w:rPr>
        <w:t xml:space="preserve">, </w:t>
      </w:r>
      <w:r w:rsidR="00CB2BB9">
        <w:rPr>
          <w:rFonts w:asciiTheme="minorHAnsi" w:hAnsiTheme="minorHAnsi" w:cstheme="minorHAnsi"/>
          <w:sz w:val="22"/>
          <w:szCs w:val="22"/>
        </w:rPr>
        <w:t>202</w:t>
      </w:r>
      <w:r w:rsidR="00A63E0C">
        <w:rPr>
          <w:rFonts w:asciiTheme="minorHAnsi" w:hAnsiTheme="minorHAnsi" w:cstheme="minorHAnsi"/>
          <w:sz w:val="22"/>
          <w:szCs w:val="22"/>
        </w:rPr>
        <w:t>3-15 I.R.B. 634 (April 10, 2023)</w:t>
      </w:r>
      <w:r w:rsidRPr="001B5BD6" w:rsidR="0050188B">
        <w:rPr>
          <w:rFonts w:asciiTheme="minorHAnsi" w:hAnsiTheme="minorHAnsi" w:cstheme="minorHAnsi"/>
          <w:sz w:val="22"/>
          <w:szCs w:val="22"/>
        </w:rPr>
        <w:t xml:space="preserve"> request</w:t>
      </w:r>
      <w:r w:rsidR="001B5BD6">
        <w:rPr>
          <w:rFonts w:asciiTheme="minorHAnsi" w:hAnsiTheme="minorHAnsi" w:cstheme="minorHAnsi"/>
          <w:sz w:val="22"/>
          <w:szCs w:val="22"/>
        </w:rPr>
        <w:t>ed</w:t>
      </w:r>
      <w:r w:rsidRPr="001B5BD6" w:rsidR="0050188B">
        <w:rPr>
          <w:rFonts w:asciiTheme="minorHAnsi" w:hAnsiTheme="minorHAnsi" w:cstheme="minorHAnsi"/>
          <w:sz w:val="22"/>
          <w:szCs w:val="22"/>
        </w:rPr>
        <w:t xml:space="preserve"> comments generally on the treatment of NFTs as </w:t>
      </w:r>
      <w:r w:rsidRPr="001B5BD6" w:rsidR="00323324">
        <w:rPr>
          <w:rFonts w:asciiTheme="minorHAnsi" w:hAnsiTheme="minorHAnsi" w:cstheme="minorHAnsi"/>
          <w:sz w:val="22"/>
          <w:szCs w:val="22"/>
        </w:rPr>
        <w:t xml:space="preserve">collectibles under </w:t>
      </w:r>
      <w:r w:rsidRPr="001B5BD6" w:rsidR="0050188B">
        <w:rPr>
          <w:rFonts w:asciiTheme="minorHAnsi" w:hAnsiTheme="minorHAnsi" w:cstheme="minorHAnsi"/>
          <w:sz w:val="22"/>
          <w:szCs w:val="22"/>
        </w:rPr>
        <w:t>section 408(m)</w:t>
      </w:r>
      <w:r w:rsidRPr="001B5BD6" w:rsidR="00323324">
        <w:rPr>
          <w:rFonts w:asciiTheme="minorHAnsi" w:hAnsiTheme="minorHAnsi" w:cstheme="minorHAnsi"/>
          <w:sz w:val="22"/>
          <w:szCs w:val="22"/>
        </w:rPr>
        <w:t xml:space="preserve">. </w:t>
      </w:r>
      <w:r w:rsidR="001B5BD6">
        <w:rPr>
          <w:rFonts w:asciiTheme="minorHAnsi" w:hAnsiTheme="minorHAnsi" w:cstheme="minorHAnsi"/>
          <w:sz w:val="22"/>
          <w:szCs w:val="22"/>
        </w:rPr>
        <w:t>The IRS is studying the c</w:t>
      </w:r>
      <w:r w:rsidRPr="001B5BD6" w:rsidR="00323324">
        <w:rPr>
          <w:rFonts w:asciiTheme="minorHAnsi" w:hAnsiTheme="minorHAnsi" w:cstheme="minorHAnsi"/>
          <w:sz w:val="22"/>
          <w:szCs w:val="22"/>
        </w:rPr>
        <w:t xml:space="preserve">omments received in response to this notice </w:t>
      </w:r>
      <w:r w:rsidR="001B5BD6">
        <w:rPr>
          <w:rFonts w:asciiTheme="minorHAnsi" w:hAnsiTheme="minorHAnsi" w:cstheme="minorHAnsi"/>
          <w:sz w:val="22"/>
          <w:szCs w:val="22"/>
        </w:rPr>
        <w:t xml:space="preserve">in </w:t>
      </w:r>
      <w:r w:rsidRPr="001B5BD6" w:rsidR="00323324">
        <w:rPr>
          <w:rFonts w:asciiTheme="minorHAnsi" w:hAnsiTheme="minorHAnsi" w:cstheme="minorHAnsi"/>
          <w:sz w:val="22"/>
          <w:szCs w:val="22"/>
        </w:rPr>
        <w:t>develop</w:t>
      </w:r>
      <w:r w:rsidR="001B5BD6">
        <w:rPr>
          <w:rFonts w:asciiTheme="minorHAnsi" w:hAnsiTheme="minorHAnsi" w:cstheme="minorHAnsi"/>
          <w:sz w:val="22"/>
          <w:szCs w:val="22"/>
        </w:rPr>
        <w:t>ing</w:t>
      </w:r>
      <w:r w:rsidRPr="001B5BD6" w:rsidR="00323324">
        <w:rPr>
          <w:rFonts w:asciiTheme="minorHAnsi" w:hAnsiTheme="minorHAnsi" w:cstheme="minorHAnsi"/>
          <w:sz w:val="22"/>
          <w:szCs w:val="22"/>
        </w:rPr>
        <w:t xml:space="preserve"> guidance regarding the treatment of an NFT as a collectible. Until that guidance is </w:t>
      </w:r>
      <w:r w:rsidR="00CF444C">
        <w:rPr>
          <w:rFonts w:asciiTheme="minorHAnsi" w:hAnsiTheme="minorHAnsi" w:cstheme="minorHAnsi"/>
          <w:sz w:val="22"/>
          <w:szCs w:val="22"/>
        </w:rPr>
        <w:t>issued</w:t>
      </w:r>
      <w:r w:rsidRPr="001B5BD6" w:rsidR="00323324">
        <w:rPr>
          <w:rFonts w:asciiTheme="minorHAnsi" w:hAnsiTheme="minorHAnsi" w:cstheme="minorHAnsi"/>
          <w:sz w:val="22"/>
          <w:szCs w:val="22"/>
        </w:rPr>
        <w:t xml:space="preserve">, </w:t>
      </w:r>
      <w:r w:rsidR="001B5BD6">
        <w:rPr>
          <w:rFonts w:asciiTheme="minorHAnsi" w:hAnsiTheme="minorHAnsi" w:cstheme="minorHAnsi"/>
          <w:sz w:val="22"/>
          <w:szCs w:val="22"/>
        </w:rPr>
        <w:t xml:space="preserve">brokers would have no way of determining whether a digital asset is a collectible. Accordingly, at this time, </w:t>
      </w:r>
      <w:r w:rsidRPr="001B5BD6" w:rsidR="00323324">
        <w:rPr>
          <w:rFonts w:asciiTheme="minorHAnsi" w:hAnsiTheme="minorHAnsi" w:cstheme="minorHAnsi"/>
          <w:sz w:val="22"/>
          <w:szCs w:val="22"/>
        </w:rPr>
        <w:t>it is premature to include a “collectible” checkbox on Form 1099-DA.</w:t>
      </w:r>
      <w:r w:rsidRPr="001B5BD6" w:rsidR="0050188B">
        <w:rPr>
          <w:rFonts w:asciiTheme="minorHAnsi" w:hAnsiTheme="minorHAnsi" w:cstheme="minorHAnsi"/>
          <w:sz w:val="22"/>
          <w:szCs w:val="22"/>
        </w:rPr>
        <w:t xml:space="preserve"> </w:t>
      </w:r>
    </w:p>
    <w:p w:rsidR="0031707B" w:rsidP="00C55986" w14:paraId="16A0565D" w14:textId="2763B73F">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Form 1099-DA include</w:t>
      </w:r>
      <w:r w:rsidR="00A11261">
        <w:rPr>
          <w:rFonts w:asciiTheme="minorHAnsi" w:hAnsiTheme="minorHAnsi" w:cstheme="minorHAnsi"/>
          <w:sz w:val="22"/>
          <w:szCs w:val="22"/>
        </w:rPr>
        <w:t>s</w:t>
      </w:r>
      <w:r>
        <w:rPr>
          <w:rFonts w:asciiTheme="minorHAnsi" w:hAnsiTheme="minorHAnsi" w:cstheme="minorHAnsi"/>
          <w:sz w:val="22"/>
          <w:szCs w:val="22"/>
        </w:rPr>
        <w:t xml:space="preserve"> two </w:t>
      </w:r>
      <w:r w:rsidR="005407CE">
        <w:rPr>
          <w:rFonts w:asciiTheme="minorHAnsi" w:hAnsiTheme="minorHAnsi" w:cstheme="minorHAnsi"/>
          <w:sz w:val="22"/>
          <w:szCs w:val="22"/>
        </w:rPr>
        <w:t xml:space="preserve">check </w:t>
      </w:r>
      <w:r>
        <w:rPr>
          <w:rFonts w:asciiTheme="minorHAnsi" w:hAnsiTheme="minorHAnsi" w:cstheme="minorHAnsi"/>
          <w:sz w:val="22"/>
          <w:szCs w:val="22"/>
        </w:rPr>
        <w:t xml:space="preserve">boxes: (1) QOF to indicate that the </w:t>
      </w:r>
      <w:r w:rsidR="006A211E">
        <w:rPr>
          <w:rFonts w:asciiTheme="minorHAnsi" w:hAnsiTheme="minorHAnsi" w:cstheme="minorHAnsi"/>
          <w:sz w:val="22"/>
          <w:szCs w:val="22"/>
        </w:rPr>
        <w:t>digital asset</w:t>
      </w:r>
      <w:r>
        <w:rPr>
          <w:rFonts w:asciiTheme="minorHAnsi" w:hAnsiTheme="minorHAnsi" w:cstheme="minorHAnsi"/>
          <w:sz w:val="22"/>
          <w:szCs w:val="22"/>
        </w:rPr>
        <w:t xml:space="preserve"> represents an interest in a QOF</w:t>
      </w:r>
      <w:r w:rsidR="005407CE">
        <w:rPr>
          <w:rFonts w:asciiTheme="minorHAnsi" w:hAnsiTheme="minorHAnsi" w:cstheme="minorHAnsi"/>
          <w:sz w:val="22"/>
          <w:szCs w:val="22"/>
        </w:rPr>
        <w:t xml:space="preserve">, and (2) a </w:t>
      </w:r>
      <w:r w:rsidR="0026268A">
        <w:rPr>
          <w:rFonts w:asciiTheme="minorHAnsi" w:hAnsiTheme="minorHAnsi" w:cstheme="minorHAnsi"/>
          <w:sz w:val="22"/>
          <w:szCs w:val="22"/>
        </w:rPr>
        <w:t>box</w:t>
      </w:r>
      <w:r w:rsidR="005407CE">
        <w:rPr>
          <w:rFonts w:asciiTheme="minorHAnsi" w:hAnsiTheme="minorHAnsi" w:cstheme="minorHAnsi"/>
          <w:sz w:val="22"/>
          <w:szCs w:val="22"/>
        </w:rPr>
        <w:t xml:space="preserve"> reserved for further use later as a collectibles </w:t>
      </w:r>
      <w:r w:rsidR="00C0725B">
        <w:rPr>
          <w:rFonts w:asciiTheme="minorHAnsi" w:hAnsiTheme="minorHAnsi" w:cstheme="minorHAnsi"/>
          <w:sz w:val="22"/>
          <w:szCs w:val="22"/>
        </w:rPr>
        <w:t>check</w:t>
      </w:r>
      <w:r w:rsidR="005407CE">
        <w:rPr>
          <w:rFonts w:asciiTheme="minorHAnsi" w:hAnsiTheme="minorHAnsi" w:cstheme="minorHAnsi"/>
          <w:sz w:val="22"/>
          <w:szCs w:val="22"/>
        </w:rPr>
        <w:t>box once additional guidance on that issue is provided</w:t>
      </w:r>
      <w:r>
        <w:rPr>
          <w:rFonts w:asciiTheme="minorHAnsi" w:hAnsiTheme="minorHAnsi" w:cstheme="minorHAnsi"/>
          <w:sz w:val="22"/>
          <w:szCs w:val="22"/>
        </w:rPr>
        <w:t xml:space="preserve">. </w:t>
      </w:r>
    </w:p>
    <w:p w:rsidR="00F75EE5" w:rsidP="00F75EE5" w14:paraId="4B4ED500" w14:textId="033AAF85">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Box 5 </w:t>
      </w:r>
      <w:r w:rsidR="00B07664">
        <w:rPr>
          <w:rFonts w:asciiTheme="minorHAnsi" w:hAnsiTheme="minorHAnsi" w:cstheme="minorHAnsi"/>
          <w:sz w:val="22"/>
          <w:szCs w:val="22"/>
        </w:rPr>
        <w:t>–</w:t>
      </w:r>
      <w:r>
        <w:rPr>
          <w:rFonts w:asciiTheme="minorHAnsi" w:hAnsiTheme="minorHAnsi" w:cstheme="minorHAnsi"/>
          <w:sz w:val="22"/>
          <w:szCs w:val="22"/>
        </w:rPr>
        <w:t xml:space="preserve"> </w:t>
      </w:r>
      <w:r w:rsidR="00B07664">
        <w:rPr>
          <w:rFonts w:asciiTheme="minorHAnsi" w:hAnsiTheme="minorHAnsi" w:cstheme="minorHAnsi"/>
          <w:sz w:val="22"/>
          <w:szCs w:val="22"/>
        </w:rPr>
        <w:t xml:space="preserve">Check if loss is not allowed based on amount in </w:t>
      </w:r>
      <w:r w:rsidR="00B07664">
        <w:rPr>
          <w:rFonts w:asciiTheme="minorHAnsi" w:hAnsiTheme="minorHAnsi" w:cstheme="minorHAnsi"/>
          <w:sz w:val="22"/>
          <w:szCs w:val="22"/>
        </w:rPr>
        <w:t>1f</w:t>
      </w:r>
    </w:p>
    <w:p w:rsidR="00B07664" w:rsidP="00B07664" w14:paraId="0A21BCE0" w14:textId="16ADE3A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w:t>
      </w:r>
      <w:r w:rsidR="00311648">
        <w:rPr>
          <w:rFonts w:asciiTheme="minorHAnsi" w:hAnsiTheme="minorHAnsi" w:cstheme="minorHAnsi"/>
          <w:sz w:val="22"/>
          <w:szCs w:val="22"/>
        </w:rPr>
        <w:t xml:space="preserve">Two comments requested additional guidance with respect to what constitutes a “reportable change in control or capital structure” for purposes of this box. </w:t>
      </w:r>
    </w:p>
    <w:p w:rsidR="00B07664" w:rsidP="00B07664" w14:paraId="3B6F02FC" w14:textId="019D408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F96727">
        <w:rPr>
          <w:rFonts w:asciiTheme="minorHAnsi" w:hAnsiTheme="minorHAnsi" w:cstheme="minorHAnsi"/>
          <w:sz w:val="22"/>
          <w:szCs w:val="22"/>
        </w:rPr>
        <w:t xml:space="preserve">Additional instructions will be included in the </w:t>
      </w:r>
      <w:r w:rsidR="00921428">
        <w:rPr>
          <w:rFonts w:asciiTheme="minorHAnsi" w:hAnsiTheme="minorHAnsi" w:cstheme="minorHAnsi"/>
          <w:sz w:val="22"/>
          <w:szCs w:val="22"/>
        </w:rPr>
        <w:t xml:space="preserve"> 1099-DA </w:t>
      </w:r>
      <w:r w:rsidR="00F96727">
        <w:rPr>
          <w:rFonts w:asciiTheme="minorHAnsi" w:hAnsiTheme="minorHAnsi" w:cstheme="minorHAnsi"/>
          <w:sz w:val="22"/>
          <w:szCs w:val="22"/>
        </w:rPr>
        <w:t>filing instructions.</w:t>
      </w:r>
      <w:r w:rsidR="00311648">
        <w:rPr>
          <w:rFonts w:asciiTheme="minorHAnsi" w:hAnsiTheme="minorHAnsi" w:cstheme="minorHAnsi"/>
          <w:sz w:val="22"/>
          <w:szCs w:val="22"/>
        </w:rPr>
        <w:t xml:space="preserve"> </w:t>
      </w:r>
    </w:p>
    <w:p w:rsidR="00B07664" w:rsidP="00B07664" w14:paraId="46C2B213" w14:textId="3C080013">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w:t>
      </w:r>
      <w:r w:rsidR="005A75DF">
        <w:rPr>
          <w:rFonts w:asciiTheme="minorHAnsi" w:hAnsiTheme="minorHAnsi" w:cstheme="minorHAnsi"/>
          <w:sz w:val="22"/>
          <w:szCs w:val="22"/>
        </w:rPr>
        <w:t xml:space="preserve">No changes </w:t>
      </w:r>
      <w:r w:rsidR="00A11261">
        <w:rPr>
          <w:rFonts w:asciiTheme="minorHAnsi" w:hAnsiTheme="minorHAnsi" w:cstheme="minorHAnsi"/>
          <w:sz w:val="22"/>
          <w:szCs w:val="22"/>
        </w:rPr>
        <w:t>have been</w:t>
      </w:r>
      <w:r w:rsidR="005A75DF">
        <w:rPr>
          <w:rFonts w:asciiTheme="minorHAnsi" w:hAnsiTheme="minorHAnsi" w:cstheme="minorHAnsi"/>
          <w:sz w:val="22"/>
          <w:szCs w:val="22"/>
        </w:rPr>
        <w:t xml:space="preserve"> made to Form 1099-DA as a result of these comments. The instructions to Form 1099-DA include an explanation of this requirement. </w:t>
      </w:r>
    </w:p>
    <w:p w:rsidR="00BA69D9" w:rsidP="00BA69D9" w14:paraId="59B1F785" w14:textId="206DDBED">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Box</w:t>
      </w:r>
      <w:r w:rsidR="007501D9">
        <w:rPr>
          <w:rFonts w:asciiTheme="minorHAnsi" w:hAnsiTheme="minorHAnsi" w:cstheme="minorHAnsi"/>
          <w:sz w:val="22"/>
          <w:szCs w:val="22"/>
        </w:rPr>
        <w:t>es</w:t>
      </w:r>
      <w:r>
        <w:rPr>
          <w:rFonts w:asciiTheme="minorHAnsi" w:hAnsiTheme="minorHAnsi" w:cstheme="minorHAnsi"/>
          <w:sz w:val="22"/>
          <w:szCs w:val="22"/>
        </w:rPr>
        <w:t xml:space="preserve"> </w:t>
      </w:r>
      <w:r w:rsidR="00B36DBA">
        <w:rPr>
          <w:rFonts w:asciiTheme="minorHAnsi" w:hAnsiTheme="minorHAnsi" w:cstheme="minorHAnsi"/>
          <w:sz w:val="22"/>
          <w:szCs w:val="22"/>
        </w:rPr>
        <w:t>7-9 – Non-Cash Proceeds</w:t>
      </w:r>
    </w:p>
    <w:p w:rsidR="00B36DBA" w:rsidP="00B36DBA" w14:paraId="27C78FDA" w14:textId="23A55D33">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w:t>
      </w:r>
      <w:r w:rsidR="00967780">
        <w:rPr>
          <w:rFonts w:asciiTheme="minorHAnsi" w:hAnsiTheme="minorHAnsi" w:cstheme="minorHAnsi"/>
          <w:sz w:val="22"/>
          <w:szCs w:val="22"/>
        </w:rPr>
        <w:t xml:space="preserve">: Three </w:t>
      </w:r>
      <w:r w:rsidR="0056790C">
        <w:rPr>
          <w:rFonts w:asciiTheme="minorHAnsi" w:hAnsiTheme="minorHAnsi" w:cstheme="minorHAnsi"/>
          <w:sz w:val="22"/>
          <w:szCs w:val="22"/>
        </w:rPr>
        <w:t>comments requested changes to the</w:t>
      </w:r>
      <w:r w:rsidR="007501D9">
        <w:rPr>
          <w:rFonts w:asciiTheme="minorHAnsi" w:hAnsiTheme="minorHAnsi" w:cstheme="minorHAnsi"/>
          <w:sz w:val="22"/>
          <w:szCs w:val="22"/>
        </w:rPr>
        <w:t>se</w:t>
      </w:r>
      <w:r w:rsidR="0056790C">
        <w:rPr>
          <w:rFonts w:asciiTheme="minorHAnsi" w:hAnsiTheme="minorHAnsi" w:cstheme="minorHAnsi"/>
          <w:sz w:val="22"/>
          <w:szCs w:val="22"/>
        </w:rPr>
        <w:t xml:space="preserve"> boxes related to non-cash proceeds. </w:t>
      </w:r>
      <w:r w:rsidR="007501D9">
        <w:rPr>
          <w:rFonts w:asciiTheme="minorHAnsi" w:hAnsiTheme="minorHAnsi" w:cstheme="minorHAnsi"/>
          <w:sz w:val="22"/>
          <w:szCs w:val="22"/>
        </w:rPr>
        <w:t>The comments expressed c</w:t>
      </w:r>
      <w:r w:rsidR="0056790C">
        <w:rPr>
          <w:rFonts w:asciiTheme="minorHAnsi" w:hAnsiTheme="minorHAnsi" w:cstheme="minorHAnsi"/>
          <w:sz w:val="22"/>
          <w:szCs w:val="22"/>
        </w:rPr>
        <w:t xml:space="preserve">oncern that taxpayers </w:t>
      </w:r>
      <w:r w:rsidR="005F2F68">
        <w:rPr>
          <w:rFonts w:asciiTheme="minorHAnsi" w:hAnsiTheme="minorHAnsi" w:cstheme="minorHAnsi"/>
          <w:sz w:val="22"/>
          <w:szCs w:val="22"/>
        </w:rPr>
        <w:t xml:space="preserve">who are the broker’s customers </w:t>
      </w:r>
      <w:r w:rsidR="0056790C">
        <w:rPr>
          <w:rFonts w:asciiTheme="minorHAnsi" w:hAnsiTheme="minorHAnsi" w:cstheme="minorHAnsi"/>
          <w:sz w:val="22"/>
          <w:szCs w:val="22"/>
        </w:rPr>
        <w:t xml:space="preserve">do not need to know this information and that including </w:t>
      </w:r>
      <w:r w:rsidR="00532F3D">
        <w:rPr>
          <w:rFonts w:asciiTheme="minorHAnsi" w:hAnsiTheme="minorHAnsi" w:cstheme="minorHAnsi"/>
          <w:sz w:val="22"/>
          <w:szCs w:val="22"/>
        </w:rPr>
        <w:t>this</w:t>
      </w:r>
      <w:r w:rsidR="0056790C">
        <w:rPr>
          <w:rFonts w:asciiTheme="minorHAnsi" w:hAnsiTheme="minorHAnsi" w:cstheme="minorHAnsi"/>
          <w:sz w:val="22"/>
          <w:szCs w:val="22"/>
        </w:rPr>
        <w:t xml:space="preserve"> text box would increase compliance burdens.</w:t>
      </w:r>
    </w:p>
    <w:p w:rsidR="003D4CF1" w:rsidP="009D4FDE" w14:paraId="63239313" w14:textId="24A7B9C7">
      <w:pPr>
        <w:pStyle w:val="ListParagraph"/>
        <w:numPr>
          <w:ilvl w:val="2"/>
          <w:numId w:val="10"/>
        </w:numPr>
        <w:spacing w:line="276" w:lineRule="auto"/>
        <w:ind w:left="2340" w:hanging="360"/>
        <w:contextualSpacing/>
        <w:rPr>
          <w:rFonts w:asciiTheme="minorHAnsi" w:hAnsiTheme="minorHAnsi" w:cstheme="minorHAnsi"/>
          <w:sz w:val="22"/>
          <w:szCs w:val="22"/>
        </w:rPr>
      </w:pPr>
      <w:r w:rsidRPr="000D4CB6">
        <w:rPr>
          <w:rFonts w:asciiTheme="minorHAnsi" w:hAnsiTheme="minorHAnsi" w:cstheme="minorHAnsi"/>
          <w:sz w:val="22"/>
          <w:szCs w:val="22"/>
        </w:rPr>
        <w:t xml:space="preserve">IRS Response: </w:t>
      </w:r>
      <w:r w:rsidR="00F40E48">
        <w:rPr>
          <w:rFonts w:asciiTheme="minorHAnsi" w:hAnsiTheme="minorHAnsi" w:cstheme="minorHAnsi"/>
          <w:sz w:val="22"/>
          <w:szCs w:val="22"/>
        </w:rPr>
        <w:t>The</w:t>
      </w:r>
      <w:r w:rsidR="007B75AE">
        <w:rPr>
          <w:rFonts w:asciiTheme="minorHAnsi" w:hAnsiTheme="minorHAnsi" w:cstheme="minorHAnsi"/>
          <w:sz w:val="22"/>
          <w:szCs w:val="22"/>
        </w:rPr>
        <w:t xml:space="preserve"> purpose of reporting the non-cash proceeds is to allow the IRS to be able to distinguish between </w:t>
      </w:r>
      <w:r w:rsidR="007501D9">
        <w:rPr>
          <w:rFonts w:asciiTheme="minorHAnsi" w:hAnsiTheme="minorHAnsi" w:cstheme="minorHAnsi"/>
          <w:sz w:val="22"/>
          <w:szCs w:val="22"/>
        </w:rPr>
        <w:t xml:space="preserve">digital asset transactions </w:t>
      </w:r>
      <w:r w:rsidR="007B75AE">
        <w:rPr>
          <w:rFonts w:asciiTheme="minorHAnsi" w:hAnsiTheme="minorHAnsi" w:cstheme="minorHAnsi"/>
          <w:sz w:val="22"/>
          <w:szCs w:val="22"/>
        </w:rPr>
        <w:t xml:space="preserve">involving </w:t>
      </w:r>
      <w:r w:rsidR="00FB7050">
        <w:rPr>
          <w:rFonts w:asciiTheme="minorHAnsi" w:hAnsiTheme="minorHAnsi" w:cstheme="minorHAnsi"/>
          <w:sz w:val="22"/>
          <w:szCs w:val="22"/>
        </w:rPr>
        <w:t xml:space="preserve">different </w:t>
      </w:r>
      <w:r w:rsidR="007B75AE">
        <w:rPr>
          <w:rFonts w:asciiTheme="minorHAnsi" w:hAnsiTheme="minorHAnsi" w:cstheme="minorHAnsi"/>
          <w:sz w:val="22"/>
          <w:szCs w:val="22"/>
        </w:rPr>
        <w:t xml:space="preserve">categories of consideration because </w:t>
      </w:r>
      <w:r w:rsidR="007501D9">
        <w:rPr>
          <w:rFonts w:asciiTheme="minorHAnsi" w:hAnsiTheme="minorHAnsi" w:cstheme="minorHAnsi"/>
          <w:sz w:val="22"/>
          <w:szCs w:val="22"/>
        </w:rPr>
        <w:t xml:space="preserve">dispositions </w:t>
      </w:r>
      <w:r w:rsidR="007B75AE">
        <w:rPr>
          <w:rFonts w:asciiTheme="minorHAnsi" w:hAnsiTheme="minorHAnsi" w:cstheme="minorHAnsi"/>
          <w:sz w:val="22"/>
          <w:szCs w:val="22"/>
        </w:rPr>
        <w:t xml:space="preserve">for cash do not raise the same valuation concerns as </w:t>
      </w:r>
      <w:r w:rsidR="007501D9">
        <w:rPr>
          <w:rFonts w:asciiTheme="minorHAnsi" w:hAnsiTheme="minorHAnsi" w:cstheme="minorHAnsi"/>
          <w:sz w:val="22"/>
          <w:szCs w:val="22"/>
        </w:rPr>
        <w:t xml:space="preserve">dispositions </w:t>
      </w:r>
      <w:r w:rsidR="007B75AE">
        <w:rPr>
          <w:rFonts w:asciiTheme="minorHAnsi" w:hAnsiTheme="minorHAnsi" w:cstheme="minorHAnsi"/>
          <w:sz w:val="22"/>
          <w:szCs w:val="22"/>
        </w:rPr>
        <w:t xml:space="preserve">for different digital assets, other property, or services. </w:t>
      </w:r>
      <w:r w:rsidR="007501D9">
        <w:rPr>
          <w:rFonts w:asciiTheme="minorHAnsi" w:hAnsiTheme="minorHAnsi" w:cstheme="minorHAnsi"/>
          <w:sz w:val="22"/>
          <w:szCs w:val="22"/>
        </w:rPr>
        <w:t xml:space="preserve">However, this purpose can be accomplished with a less burdensome approach that </w:t>
      </w:r>
      <w:r w:rsidR="00FB7050">
        <w:rPr>
          <w:rFonts w:asciiTheme="minorHAnsi" w:hAnsiTheme="minorHAnsi" w:cstheme="minorHAnsi"/>
          <w:sz w:val="22"/>
          <w:szCs w:val="22"/>
        </w:rPr>
        <w:t>requires</w:t>
      </w:r>
      <w:r w:rsidR="007501D9">
        <w:rPr>
          <w:rFonts w:asciiTheme="minorHAnsi" w:hAnsiTheme="minorHAnsi" w:cstheme="minorHAnsi"/>
          <w:sz w:val="22"/>
          <w:szCs w:val="22"/>
        </w:rPr>
        <w:t xml:space="preserve"> </w:t>
      </w:r>
      <w:r w:rsidR="007B75AE">
        <w:rPr>
          <w:rFonts w:asciiTheme="minorHAnsi" w:hAnsiTheme="minorHAnsi" w:cstheme="minorHAnsi"/>
          <w:sz w:val="22"/>
          <w:szCs w:val="22"/>
        </w:rPr>
        <w:t xml:space="preserve">brokers to report whether </w:t>
      </w:r>
      <w:r w:rsidR="007501D9">
        <w:rPr>
          <w:rFonts w:asciiTheme="minorHAnsi" w:hAnsiTheme="minorHAnsi" w:cstheme="minorHAnsi"/>
          <w:sz w:val="22"/>
          <w:szCs w:val="22"/>
        </w:rPr>
        <w:t xml:space="preserve">the consideration received by the customer was solely </w:t>
      </w:r>
      <w:r w:rsidR="00B6244B">
        <w:rPr>
          <w:rFonts w:asciiTheme="minorHAnsi" w:hAnsiTheme="minorHAnsi" w:cstheme="minorHAnsi"/>
          <w:sz w:val="22"/>
          <w:szCs w:val="22"/>
        </w:rPr>
        <w:t>cash proceeds.</w:t>
      </w:r>
      <w:r w:rsidR="007501D9">
        <w:rPr>
          <w:rFonts w:asciiTheme="minorHAnsi" w:hAnsiTheme="minorHAnsi" w:cstheme="minorHAnsi"/>
          <w:sz w:val="22"/>
          <w:szCs w:val="22"/>
        </w:rPr>
        <w:t xml:space="preserve"> That is, if the proceeds were not solely cash, the IRS will know that the transaction potentially could give rise to valuation concerns.</w:t>
      </w:r>
      <w:r w:rsidR="00B6244B">
        <w:rPr>
          <w:rFonts w:asciiTheme="minorHAnsi" w:hAnsiTheme="minorHAnsi" w:cstheme="minorHAnsi"/>
          <w:sz w:val="22"/>
          <w:szCs w:val="22"/>
        </w:rPr>
        <w:t xml:space="preserve"> </w:t>
      </w:r>
    </w:p>
    <w:p w:rsidR="00AD5108" w:rsidP="009D4FDE" w14:paraId="2F8BF4BC" w14:textId="0D6A1C9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Boxes 7a, 7b,</w:t>
      </w:r>
      <w:r w:rsidR="00883FF8">
        <w:rPr>
          <w:rFonts w:asciiTheme="minorHAnsi" w:hAnsiTheme="minorHAnsi" w:cstheme="minorHAnsi"/>
          <w:sz w:val="22"/>
          <w:szCs w:val="22"/>
        </w:rPr>
        <w:t xml:space="preserve"> and 8 on the initial draft Form 1099-DA have been replaced with a </w:t>
      </w:r>
      <w:r w:rsidR="007501D9">
        <w:rPr>
          <w:rFonts w:asciiTheme="minorHAnsi" w:hAnsiTheme="minorHAnsi" w:cstheme="minorHAnsi"/>
          <w:sz w:val="22"/>
          <w:szCs w:val="22"/>
        </w:rPr>
        <w:t xml:space="preserve">single </w:t>
      </w:r>
      <w:r w:rsidR="00883FF8">
        <w:rPr>
          <w:rFonts w:asciiTheme="minorHAnsi" w:hAnsiTheme="minorHAnsi" w:cstheme="minorHAnsi"/>
          <w:sz w:val="22"/>
          <w:szCs w:val="22"/>
        </w:rPr>
        <w:t xml:space="preserve">box for the broker to </w:t>
      </w:r>
      <w:r w:rsidR="007501D9">
        <w:rPr>
          <w:rFonts w:asciiTheme="minorHAnsi" w:hAnsiTheme="minorHAnsi" w:cstheme="minorHAnsi"/>
          <w:sz w:val="22"/>
          <w:szCs w:val="22"/>
        </w:rPr>
        <w:t xml:space="preserve">check </w:t>
      </w:r>
      <w:r w:rsidR="00883FF8">
        <w:rPr>
          <w:rFonts w:asciiTheme="minorHAnsi" w:hAnsiTheme="minorHAnsi" w:cstheme="minorHAnsi"/>
          <w:sz w:val="22"/>
          <w:szCs w:val="22"/>
        </w:rPr>
        <w:t xml:space="preserve">if the proceeds </w:t>
      </w:r>
      <w:r w:rsidR="00700AA2">
        <w:rPr>
          <w:rFonts w:asciiTheme="minorHAnsi" w:hAnsiTheme="minorHAnsi" w:cstheme="minorHAnsi"/>
          <w:sz w:val="22"/>
          <w:szCs w:val="22"/>
        </w:rPr>
        <w:t>consisted of only</w:t>
      </w:r>
      <w:r>
        <w:rPr>
          <w:rFonts w:asciiTheme="minorHAnsi" w:hAnsiTheme="minorHAnsi" w:cstheme="minorHAnsi"/>
          <w:sz w:val="22"/>
          <w:szCs w:val="22"/>
        </w:rPr>
        <w:t xml:space="preserve"> cash</w:t>
      </w:r>
      <w:r w:rsidR="00883FF8">
        <w:rPr>
          <w:rFonts w:asciiTheme="minorHAnsi" w:hAnsiTheme="minorHAnsi" w:cstheme="minorHAnsi"/>
          <w:sz w:val="22"/>
          <w:szCs w:val="22"/>
        </w:rPr>
        <w:t>.</w:t>
      </w:r>
    </w:p>
    <w:p w:rsidR="00B6244B" w:rsidP="00AD5108" w14:paraId="2F4BF7D9" w14:textId="1CB59B32">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 </w:t>
      </w:r>
      <w:r w:rsidR="00AD5108">
        <w:rPr>
          <w:rFonts w:asciiTheme="minorHAnsi" w:hAnsiTheme="minorHAnsi" w:cstheme="minorHAnsi"/>
          <w:sz w:val="22"/>
          <w:szCs w:val="22"/>
        </w:rPr>
        <w:t xml:space="preserve">Box 10 – Noncovered Security </w:t>
      </w:r>
    </w:p>
    <w:p w:rsidR="00AD5108" w:rsidRPr="00B93C0A" w:rsidP="00B93C0A" w14:paraId="34427FB1" w14:textId="1E203274">
      <w:pPr>
        <w:pStyle w:val="ListParagraph"/>
        <w:numPr>
          <w:ilvl w:val="2"/>
          <w:numId w:val="10"/>
        </w:numPr>
        <w:spacing w:line="276" w:lineRule="auto"/>
        <w:ind w:left="2340" w:hanging="360"/>
        <w:contextualSpacing/>
        <w:rPr>
          <w:rFonts w:asciiTheme="minorHAnsi" w:hAnsiTheme="minorHAnsi" w:cstheme="minorHAnsi"/>
          <w:sz w:val="22"/>
          <w:szCs w:val="22"/>
        </w:rPr>
      </w:pPr>
      <w:r w:rsidRPr="00B93C0A">
        <w:rPr>
          <w:rFonts w:asciiTheme="minorHAnsi" w:hAnsiTheme="minorHAnsi" w:cstheme="minorHAnsi"/>
          <w:sz w:val="22"/>
          <w:szCs w:val="22"/>
        </w:rPr>
        <w:t xml:space="preserve">Summary of Comments: Several comments (7) </w:t>
      </w:r>
      <w:r w:rsidRPr="00B93C0A" w:rsidR="00735EF5">
        <w:rPr>
          <w:rFonts w:asciiTheme="minorHAnsi" w:hAnsiTheme="minorHAnsi" w:cstheme="minorHAnsi"/>
          <w:sz w:val="22"/>
          <w:szCs w:val="22"/>
        </w:rPr>
        <w:t xml:space="preserve">suggested removing </w:t>
      </w:r>
      <w:r w:rsidRPr="00B93C0A" w:rsidR="00B93C0A">
        <w:rPr>
          <w:rFonts w:asciiTheme="minorHAnsi" w:hAnsiTheme="minorHAnsi" w:cstheme="minorHAnsi"/>
          <w:sz w:val="22"/>
          <w:szCs w:val="22"/>
        </w:rPr>
        <w:t xml:space="preserve">the question asking </w:t>
      </w:r>
      <w:r w:rsidRPr="00B93C0A" w:rsidR="00735EF5">
        <w:rPr>
          <w:rFonts w:asciiTheme="minorHAnsi" w:hAnsiTheme="minorHAnsi" w:cstheme="minorHAnsi"/>
          <w:sz w:val="22"/>
          <w:szCs w:val="22"/>
        </w:rPr>
        <w:t xml:space="preserve">why the digital asset </w:t>
      </w:r>
      <w:r w:rsidR="00B93C0A">
        <w:rPr>
          <w:rFonts w:asciiTheme="minorHAnsi" w:hAnsiTheme="minorHAnsi" w:cstheme="minorHAnsi"/>
          <w:sz w:val="22"/>
          <w:szCs w:val="22"/>
        </w:rPr>
        <w:t>is</w:t>
      </w:r>
      <w:r w:rsidRPr="00B93C0A" w:rsidR="00735EF5">
        <w:rPr>
          <w:rFonts w:asciiTheme="minorHAnsi" w:hAnsiTheme="minorHAnsi" w:cstheme="minorHAnsi"/>
          <w:sz w:val="22"/>
          <w:szCs w:val="22"/>
        </w:rPr>
        <w:t xml:space="preserve"> a noncovered security. The </w:t>
      </w:r>
      <w:r w:rsidRPr="00B93C0A" w:rsidR="0021011C">
        <w:rPr>
          <w:rFonts w:asciiTheme="minorHAnsi" w:hAnsiTheme="minorHAnsi" w:cstheme="minorHAnsi"/>
          <w:sz w:val="22"/>
          <w:szCs w:val="22"/>
        </w:rPr>
        <w:t xml:space="preserve">comments said this information </w:t>
      </w:r>
      <w:r w:rsidR="00E94ADB">
        <w:rPr>
          <w:rFonts w:asciiTheme="minorHAnsi" w:hAnsiTheme="minorHAnsi" w:cstheme="minorHAnsi"/>
          <w:sz w:val="22"/>
          <w:szCs w:val="22"/>
        </w:rPr>
        <w:t>is</w:t>
      </w:r>
      <w:r w:rsidRPr="00B93C0A" w:rsidR="00E94ADB">
        <w:rPr>
          <w:rFonts w:asciiTheme="minorHAnsi" w:hAnsiTheme="minorHAnsi" w:cstheme="minorHAnsi"/>
          <w:sz w:val="22"/>
          <w:szCs w:val="22"/>
        </w:rPr>
        <w:t xml:space="preserve"> </w:t>
      </w:r>
      <w:r w:rsidRPr="00B93C0A" w:rsidR="0021011C">
        <w:rPr>
          <w:rFonts w:asciiTheme="minorHAnsi" w:hAnsiTheme="minorHAnsi" w:cstheme="minorHAnsi"/>
          <w:sz w:val="22"/>
          <w:szCs w:val="22"/>
        </w:rPr>
        <w:t xml:space="preserve">not </w:t>
      </w:r>
      <w:r w:rsidRPr="00B93C0A" w:rsidR="00B93C0A">
        <w:rPr>
          <w:rFonts w:asciiTheme="minorHAnsi" w:hAnsiTheme="minorHAnsi" w:cstheme="minorHAnsi"/>
          <w:sz w:val="22"/>
          <w:szCs w:val="22"/>
        </w:rPr>
        <w:t xml:space="preserve">solicited on the Form 1099-B </w:t>
      </w:r>
      <w:r w:rsidRPr="00B93C0A" w:rsidR="0021011C">
        <w:rPr>
          <w:rFonts w:asciiTheme="minorHAnsi" w:hAnsiTheme="minorHAnsi" w:cstheme="minorHAnsi"/>
          <w:sz w:val="22"/>
          <w:szCs w:val="22"/>
        </w:rPr>
        <w:t>for traditional securities</w:t>
      </w:r>
      <w:r w:rsidRPr="00B93C0A" w:rsidR="00B93C0A">
        <w:rPr>
          <w:rFonts w:asciiTheme="minorHAnsi" w:hAnsiTheme="minorHAnsi" w:cstheme="minorHAnsi"/>
          <w:sz w:val="22"/>
          <w:szCs w:val="22"/>
        </w:rPr>
        <w:t>. T</w:t>
      </w:r>
      <w:r w:rsidRPr="00B93C0A" w:rsidR="0021011C">
        <w:rPr>
          <w:rFonts w:asciiTheme="minorHAnsi" w:hAnsiTheme="minorHAnsi" w:cstheme="minorHAnsi"/>
          <w:sz w:val="22"/>
          <w:szCs w:val="22"/>
        </w:rPr>
        <w:t>herefore</w:t>
      </w:r>
      <w:r w:rsidRPr="00B93C0A" w:rsidR="00B93C0A">
        <w:rPr>
          <w:rFonts w:asciiTheme="minorHAnsi" w:hAnsiTheme="minorHAnsi" w:cstheme="minorHAnsi"/>
          <w:sz w:val="22"/>
          <w:szCs w:val="22"/>
        </w:rPr>
        <w:t>,</w:t>
      </w:r>
      <w:r w:rsidRPr="00B93C0A" w:rsidR="0021011C">
        <w:rPr>
          <w:rFonts w:asciiTheme="minorHAnsi" w:hAnsiTheme="minorHAnsi" w:cstheme="minorHAnsi"/>
          <w:sz w:val="22"/>
          <w:szCs w:val="22"/>
        </w:rPr>
        <w:t xml:space="preserve"> </w:t>
      </w:r>
      <w:r w:rsidRPr="00B93C0A" w:rsidR="00B93C0A">
        <w:rPr>
          <w:rFonts w:asciiTheme="minorHAnsi" w:hAnsiTheme="minorHAnsi" w:cstheme="minorHAnsi"/>
          <w:sz w:val="22"/>
          <w:szCs w:val="22"/>
        </w:rPr>
        <w:t xml:space="preserve">it should not be solicited on the Form 1099-DA. Additionally, the comments said the information is not </w:t>
      </w:r>
      <w:r w:rsidRPr="00B93C0A" w:rsidR="0021011C">
        <w:rPr>
          <w:rFonts w:asciiTheme="minorHAnsi" w:hAnsiTheme="minorHAnsi" w:cstheme="minorHAnsi"/>
          <w:sz w:val="22"/>
          <w:szCs w:val="22"/>
        </w:rPr>
        <w:t>useful to taxpayers or the IRS</w:t>
      </w:r>
      <w:r w:rsidRPr="00B93C0A" w:rsidR="00B93C0A">
        <w:rPr>
          <w:rFonts w:asciiTheme="minorHAnsi" w:hAnsiTheme="minorHAnsi" w:cstheme="minorHAnsi"/>
          <w:sz w:val="22"/>
          <w:szCs w:val="22"/>
        </w:rPr>
        <w:t xml:space="preserve"> and keeping track of this will be burdensome for brokers</w:t>
      </w:r>
      <w:r w:rsidRPr="00B93C0A" w:rsidR="0021011C">
        <w:rPr>
          <w:rFonts w:asciiTheme="minorHAnsi" w:hAnsiTheme="minorHAnsi" w:cstheme="minorHAnsi"/>
          <w:sz w:val="22"/>
          <w:szCs w:val="22"/>
        </w:rPr>
        <w:t>.</w:t>
      </w:r>
    </w:p>
    <w:p w:rsidR="0021011C" w:rsidRPr="00B93C0A" w:rsidP="00B93C0A" w14:paraId="1F7B3ABE" w14:textId="317236B8">
      <w:pPr>
        <w:pStyle w:val="ListParagraph"/>
        <w:numPr>
          <w:ilvl w:val="2"/>
          <w:numId w:val="10"/>
        </w:numPr>
        <w:spacing w:line="276" w:lineRule="auto"/>
        <w:ind w:left="2340" w:hanging="360"/>
        <w:contextualSpacing/>
        <w:rPr>
          <w:rFonts w:asciiTheme="minorHAnsi" w:hAnsiTheme="minorHAnsi" w:cstheme="minorHAnsi"/>
          <w:sz w:val="22"/>
          <w:szCs w:val="22"/>
        </w:rPr>
      </w:pPr>
      <w:r w:rsidRPr="00B93C0A">
        <w:rPr>
          <w:rFonts w:asciiTheme="minorHAnsi" w:hAnsiTheme="minorHAnsi" w:cstheme="minorHAnsi"/>
          <w:sz w:val="22"/>
          <w:szCs w:val="22"/>
        </w:rPr>
        <w:t xml:space="preserve">IRS Response: </w:t>
      </w:r>
      <w:r w:rsidRPr="00B93C0A" w:rsidR="00B93C0A">
        <w:rPr>
          <w:rFonts w:asciiTheme="minorHAnsi" w:hAnsiTheme="minorHAnsi" w:cstheme="minorHAnsi"/>
          <w:sz w:val="22"/>
          <w:szCs w:val="22"/>
        </w:rPr>
        <w:t>The IRS anticipates that information provided in response to this question will be useful in assessing risk of noncompliance. Additionally, taxpayers will likely want to understand why the customer statements they receive from their brokers do not report the basis of the digital assets they sold.</w:t>
      </w:r>
      <w:r w:rsidR="00B93C0A">
        <w:rPr>
          <w:rFonts w:asciiTheme="minorHAnsi" w:hAnsiTheme="minorHAnsi" w:cstheme="minorHAnsi"/>
          <w:sz w:val="22"/>
          <w:szCs w:val="22"/>
        </w:rPr>
        <w:t xml:space="preserve"> </w:t>
      </w:r>
      <w:r w:rsidRPr="00B93C0A" w:rsidR="00B93C0A">
        <w:rPr>
          <w:rFonts w:asciiTheme="minorHAnsi" w:hAnsiTheme="minorHAnsi" w:cstheme="minorHAnsi"/>
          <w:sz w:val="22"/>
          <w:szCs w:val="22"/>
        </w:rPr>
        <w:t xml:space="preserve">Additionally, brokers already need to keep track of this information in order to determine </w:t>
      </w:r>
      <w:r w:rsidR="00B93C0A">
        <w:rPr>
          <w:rFonts w:asciiTheme="minorHAnsi" w:hAnsiTheme="minorHAnsi" w:cstheme="minorHAnsi"/>
          <w:sz w:val="22"/>
          <w:szCs w:val="22"/>
        </w:rPr>
        <w:t xml:space="preserve">whether </w:t>
      </w:r>
      <w:r w:rsidRPr="00B93C0A" w:rsidR="00B93C0A">
        <w:rPr>
          <w:rFonts w:asciiTheme="minorHAnsi" w:hAnsiTheme="minorHAnsi" w:cstheme="minorHAnsi"/>
          <w:sz w:val="22"/>
          <w:szCs w:val="22"/>
        </w:rPr>
        <w:t xml:space="preserve">they are required to report the basis of the digital asset sold. </w:t>
      </w:r>
      <w:r w:rsidR="00B93C0A">
        <w:rPr>
          <w:rFonts w:asciiTheme="minorHAnsi" w:hAnsiTheme="minorHAnsi" w:cstheme="minorHAnsi"/>
          <w:sz w:val="22"/>
          <w:szCs w:val="22"/>
        </w:rPr>
        <w:t>Accordingly, responding to this question should</w:t>
      </w:r>
      <w:r w:rsidR="006A5D95">
        <w:rPr>
          <w:rFonts w:asciiTheme="minorHAnsi" w:hAnsiTheme="minorHAnsi" w:cstheme="minorHAnsi"/>
          <w:sz w:val="22"/>
          <w:szCs w:val="22"/>
        </w:rPr>
        <w:t xml:space="preserve"> </w:t>
      </w:r>
      <w:r w:rsidR="00B93C0A">
        <w:rPr>
          <w:rFonts w:asciiTheme="minorHAnsi" w:hAnsiTheme="minorHAnsi" w:cstheme="minorHAnsi"/>
          <w:sz w:val="22"/>
          <w:szCs w:val="22"/>
        </w:rPr>
        <w:t>n</w:t>
      </w:r>
      <w:r w:rsidR="006A5D95">
        <w:rPr>
          <w:rFonts w:asciiTheme="minorHAnsi" w:hAnsiTheme="minorHAnsi" w:cstheme="minorHAnsi"/>
          <w:sz w:val="22"/>
          <w:szCs w:val="22"/>
        </w:rPr>
        <w:t>o</w:t>
      </w:r>
      <w:r w:rsidR="00B93C0A">
        <w:rPr>
          <w:rFonts w:asciiTheme="minorHAnsi" w:hAnsiTheme="minorHAnsi" w:cstheme="minorHAnsi"/>
          <w:sz w:val="22"/>
          <w:szCs w:val="22"/>
        </w:rPr>
        <w:t xml:space="preserve">t be overly burdensome. Finally, a comparison to the information required by the Form 1099-B is not relevant in this regard because </w:t>
      </w:r>
      <w:r w:rsidRPr="00B93C0A" w:rsidR="00E61DDC">
        <w:rPr>
          <w:rFonts w:asciiTheme="minorHAnsi" w:hAnsiTheme="minorHAnsi" w:cstheme="minorHAnsi"/>
          <w:sz w:val="22"/>
          <w:szCs w:val="22"/>
        </w:rPr>
        <w:t xml:space="preserve">there are </w:t>
      </w:r>
      <w:r w:rsidRPr="00B93C0A" w:rsidR="00B93C0A">
        <w:rPr>
          <w:rFonts w:asciiTheme="minorHAnsi" w:hAnsiTheme="minorHAnsi" w:cstheme="minorHAnsi"/>
          <w:sz w:val="22"/>
          <w:szCs w:val="22"/>
        </w:rPr>
        <w:t xml:space="preserve">many more </w:t>
      </w:r>
      <w:r w:rsidRPr="00B93C0A" w:rsidR="00E61DDC">
        <w:rPr>
          <w:rFonts w:asciiTheme="minorHAnsi" w:hAnsiTheme="minorHAnsi" w:cstheme="minorHAnsi"/>
          <w:sz w:val="22"/>
          <w:szCs w:val="22"/>
        </w:rPr>
        <w:t xml:space="preserve">reasons why </w:t>
      </w:r>
      <w:r w:rsidRPr="00B93C0A" w:rsidR="00B93C0A">
        <w:rPr>
          <w:rFonts w:asciiTheme="minorHAnsi" w:hAnsiTheme="minorHAnsi" w:cstheme="minorHAnsi"/>
          <w:sz w:val="22"/>
          <w:szCs w:val="22"/>
        </w:rPr>
        <w:t xml:space="preserve">a digital </w:t>
      </w:r>
      <w:r w:rsidRPr="00B93C0A" w:rsidR="00E61DDC">
        <w:rPr>
          <w:rFonts w:asciiTheme="minorHAnsi" w:hAnsiTheme="minorHAnsi" w:cstheme="minorHAnsi"/>
          <w:sz w:val="22"/>
          <w:szCs w:val="22"/>
        </w:rPr>
        <w:t xml:space="preserve">asset </w:t>
      </w:r>
      <w:r w:rsidRPr="00B93C0A" w:rsidR="00B93C0A">
        <w:rPr>
          <w:rFonts w:asciiTheme="minorHAnsi" w:hAnsiTheme="minorHAnsi" w:cstheme="minorHAnsi"/>
          <w:sz w:val="22"/>
          <w:szCs w:val="22"/>
        </w:rPr>
        <w:t xml:space="preserve">may </w:t>
      </w:r>
      <w:r w:rsidRPr="00B93C0A" w:rsidR="00E61DDC">
        <w:rPr>
          <w:rFonts w:asciiTheme="minorHAnsi" w:hAnsiTheme="minorHAnsi" w:cstheme="minorHAnsi"/>
          <w:sz w:val="22"/>
          <w:szCs w:val="22"/>
        </w:rPr>
        <w:t xml:space="preserve">be </w:t>
      </w:r>
      <w:r w:rsidR="001C60B8">
        <w:rPr>
          <w:rFonts w:asciiTheme="minorHAnsi" w:hAnsiTheme="minorHAnsi" w:cstheme="minorHAnsi"/>
          <w:sz w:val="22"/>
          <w:szCs w:val="22"/>
        </w:rPr>
        <w:t xml:space="preserve">a </w:t>
      </w:r>
      <w:r w:rsidRPr="00B93C0A" w:rsidR="00E61DDC">
        <w:rPr>
          <w:rFonts w:asciiTheme="minorHAnsi" w:hAnsiTheme="minorHAnsi" w:cstheme="minorHAnsi"/>
          <w:sz w:val="22"/>
          <w:szCs w:val="22"/>
        </w:rPr>
        <w:t>noncovered</w:t>
      </w:r>
      <w:r w:rsidR="001C60B8">
        <w:rPr>
          <w:rFonts w:asciiTheme="minorHAnsi" w:hAnsiTheme="minorHAnsi" w:cstheme="minorHAnsi"/>
          <w:sz w:val="22"/>
          <w:szCs w:val="22"/>
        </w:rPr>
        <w:t xml:space="preserve"> security</w:t>
      </w:r>
      <w:r w:rsidR="00B93C0A">
        <w:rPr>
          <w:rFonts w:asciiTheme="minorHAnsi" w:hAnsiTheme="minorHAnsi" w:cstheme="minorHAnsi"/>
          <w:sz w:val="22"/>
          <w:szCs w:val="22"/>
        </w:rPr>
        <w:t>.</w:t>
      </w:r>
      <w:r w:rsidRPr="00B93C0A" w:rsidR="0048153D">
        <w:rPr>
          <w:rFonts w:asciiTheme="minorHAnsi" w:hAnsiTheme="minorHAnsi" w:cstheme="minorHAnsi"/>
          <w:sz w:val="22"/>
          <w:szCs w:val="22"/>
        </w:rPr>
        <w:t xml:space="preserve"> </w:t>
      </w:r>
    </w:p>
    <w:p w:rsidR="0048153D" w:rsidP="00AD5108" w14:paraId="07096555" w14:textId="45FB1792">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w:t>
      </w:r>
      <w:r w:rsidR="00B93C0A">
        <w:rPr>
          <w:rFonts w:asciiTheme="minorHAnsi" w:hAnsiTheme="minorHAnsi" w:cstheme="minorHAnsi"/>
          <w:sz w:val="22"/>
          <w:szCs w:val="22"/>
        </w:rPr>
        <w:t xml:space="preserve">have been </w:t>
      </w:r>
      <w:r w:rsidR="000A280B">
        <w:rPr>
          <w:rFonts w:asciiTheme="minorHAnsi" w:hAnsiTheme="minorHAnsi" w:cstheme="minorHAnsi"/>
          <w:sz w:val="22"/>
          <w:szCs w:val="22"/>
        </w:rPr>
        <w:t xml:space="preserve">made to Form 1099-DA as a result of these comments. To </w:t>
      </w:r>
      <w:r w:rsidR="00F16C6A">
        <w:rPr>
          <w:rFonts w:asciiTheme="minorHAnsi" w:hAnsiTheme="minorHAnsi" w:cstheme="minorHAnsi"/>
          <w:sz w:val="22"/>
          <w:szCs w:val="22"/>
        </w:rPr>
        <w:t xml:space="preserve">make the Form 1099-DA easier to understand for the recipient, the reasons provided on the face of the form have been updated. </w:t>
      </w:r>
    </w:p>
    <w:p w:rsidR="00F16C6A" w:rsidP="00610086" w14:paraId="23E46A04" w14:textId="31B5EE42">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Box</w:t>
      </w:r>
      <w:r w:rsidR="00B93C0A">
        <w:rPr>
          <w:rFonts w:asciiTheme="minorHAnsi" w:hAnsiTheme="minorHAnsi" w:cstheme="minorHAnsi"/>
          <w:sz w:val="22"/>
          <w:szCs w:val="22"/>
        </w:rPr>
        <w:t>es</w:t>
      </w:r>
      <w:r>
        <w:rPr>
          <w:rFonts w:asciiTheme="minorHAnsi" w:hAnsiTheme="minorHAnsi" w:cstheme="minorHAnsi"/>
          <w:sz w:val="22"/>
          <w:szCs w:val="22"/>
        </w:rPr>
        <w:t xml:space="preserve"> 11 </w:t>
      </w:r>
      <w:r w:rsidR="00823465">
        <w:rPr>
          <w:rFonts w:asciiTheme="minorHAnsi" w:hAnsiTheme="minorHAnsi" w:cstheme="minorHAnsi"/>
          <w:sz w:val="22"/>
          <w:szCs w:val="22"/>
        </w:rPr>
        <w:t xml:space="preserve">and 12 </w:t>
      </w:r>
      <w:r w:rsidR="00E731AE">
        <w:rPr>
          <w:rFonts w:asciiTheme="minorHAnsi" w:hAnsiTheme="minorHAnsi" w:cstheme="minorHAnsi"/>
          <w:sz w:val="22"/>
          <w:szCs w:val="22"/>
        </w:rPr>
        <w:t>–</w:t>
      </w:r>
      <w:r>
        <w:rPr>
          <w:rFonts w:asciiTheme="minorHAnsi" w:hAnsiTheme="minorHAnsi" w:cstheme="minorHAnsi"/>
          <w:sz w:val="22"/>
          <w:szCs w:val="22"/>
        </w:rPr>
        <w:t xml:space="preserve"> </w:t>
      </w:r>
      <w:r w:rsidR="004C1DC9">
        <w:rPr>
          <w:rFonts w:asciiTheme="minorHAnsi" w:hAnsiTheme="minorHAnsi" w:cstheme="minorHAnsi"/>
          <w:sz w:val="22"/>
          <w:szCs w:val="22"/>
        </w:rPr>
        <w:t>Digital asset address and t</w:t>
      </w:r>
      <w:r w:rsidR="00E731AE">
        <w:rPr>
          <w:rFonts w:asciiTheme="minorHAnsi" w:hAnsiTheme="minorHAnsi" w:cstheme="minorHAnsi"/>
          <w:sz w:val="22"/>
          <w:szCs w:val="22"/>
        </w:rPr>
        <w:t xml:space="preserve">ransaction ID </w:t>
      </w:r>
    </w:p>
    <w:p w:rsidR="00E731AE" w:rsidP="00E731AE" w14:paraId="4769B7A3" w14:textId="52B7826B">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w:t>
      </w:r>
      <w:r w:rsidR="00545ECE">
        <w:rPr>
          <w:rFonts w:asciiTheme="minorHAnsi" w:hAnsiTheme="minorHAnsi" w:cstheme="minorHAnsi"/>
          <w:sz w:val="22"/>
          <w:szCs w:val="22"/>
        </w:rPr>
        <w:t>Several comments (</w:t>
      </w:r>
      <w:r w:rsidR="004B136B">
        <w:rPr>
          <w:rFonts w:asciiTheme="minorHAnsi" w:hAnsiTheme="minorHAnsi" w:cstheme="minorHAnsi"/>
          <w:sz w:val="22"/>
          <w:szCs w:val="22"/>
        </w:rPr>
        <w:t>8</w:t>
      </w:r>
      <w:r w:rsidR="00545ECE">
        <w:rPr>
          <w:rFonts w:asciiTheme="minorHAnsi" w:hAnsiTheme="minorHAnsi" w:cstheme="minorHAnsi"/>
          <w:sz w:val="22"/>
          <w:szCs w:val="22"/>
        </w:rPr>
        <w:t>)</w:t>
      </w:r>
      <w:r w:rsidR="0061736A">
        <w:rPr>
          <w:rFonts w:asciiTheme="minorHAnsi" w:hAnsiTheme="minorHAnsi" w:cstheme="minorHAnsi"/>
          <w:sz w:val="22"/>
          <w:szCs w:val="22"/>
        </w:rPr>
        <w:t xml:space="preserve"> recommended removing the requirement to report digital wallet addresses and transaction identification numbers. The reasons for removing this information from the Form 1099-DA related the belief that the information was not helpful to the taxpayer in the preparation of their return.</w:t>
      </w:r>
    </w:p>
    <w:p w:rsidR="00486E3F" w:rsidP="00E731AE" w14:paraId="0AC68E17" w14:textId="1A2EE2E9">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Pr>
          <w:rFonts w:asciiTheme="minorHAnsi" w:hAnsiTheme="minorHAnsi" w:cstheme="minorHAnsi"/>
          <w:sz w:val="22"/>
          <w:szCs w:val="22"/>
        </w:rPr>
        <w:t xml:space="preserve">Although transaction ID and digital asset address information would provide uniquely helpful visibility into a taxpayer’s transaction history which the IRS could use to verify taxpayer compliance with past tax reporting obligations, </w:t>
      </w:r>
      <w:r w:rsidR="00B93C0A">
        <w:rPr>
          <w:rFonts w:asciiTheme="minorHAnsi" w:hAnsiTheme="minorHAnsi" w:cstheme="minorHAnsi"/>
          <w:sz w:val="22"/>
          <w:szCs w:val="22"/>
        </w:rPr>
        <w:t>i</w:t>
      </w:r>
      <w:r w:rsidRPr="00B93C0A" w:rsidR="00B93C0A">
        <w:rPr>
          <w:rFonts w:asciiTheme="minorHAnsi" w:hAnsiTheme="minorHAnsi" w:cstheme="minorHAnsi"/>
          <w:sz w:val="22"/>
          <w:szCs w:val="22"/>
        </w:rPr>
        <w:t xml:space="preserve">n response to </w:t>
      </w:r>
      <w:r w:rsidR="00B93C0A">
        <w:rPr>
          <w:rFonts w:asciiTheme="minorHAnsi" w:hAnsiTheme="minorHAnsi" w:cstheme="minorHAnsi"/>
          <w:sz w:val="22"/>
          <w:szCs w:val="22"/>
        </w:rPr>
        <w:t xml:space="preserve">similar </w:t>
      </w:r>
      <w:r w:rsidRPr="00B93C0A" w:rsidR="00B93C0A">
        <w:rPr>
          <w:rFonts w:asciiTheme="minorHAnsi" w:hAnsiTheme="minorHAnsi" w:cstheme="minorHAnsi"/>
          <w:sz w:val="22"/>
          <w:szCs w:val="22"/>
        </w:rPr>
        <w:t>comments received on the proposed regulations,</w:t>
      </w:r>
      <w:r w:rsidR="00B93C0A">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B93C0A">
        <w:rPr>
          <w:rFonts w:asciiTheme="minorHAnsi" w:hAnsiTheme="minorHAnsi" w:cstheme="minorHAnsi"/>
          <w:sz w:val="22"/>
          <w:szCs w:val="22"/>
        </w:rPr>
        <w:t xml:space="preserve">final </w:t>
      </w:r>
      <w:r>
        <w:rPr>
          <w:rFonts w:asciiTheme="minorHAnsi" w:hAnsiTheme="minorHAnsi" w:cstheme="minorHAnsi"/>
          <w:sz w:val="22"/>
          <w:szCs w:val="22"/>
        </w:rPr>
        <w:t>regulations remove the obligation to report transaction ID and digital asset address information.</w:t>
      </w:r>
    </w:p>
    <w:p w:rsidR="00D43901" w:rsidP="00E731AE" w14:paraId="2F91A7BF" w14:textId="35B0D7BF">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w:t>
      </w:r>
      <w:r w:rsidR="00B93C0A">
        <w:rPr>
          <w:rFonts w:asciiTheme="minorHAnsi" w:hAnsiTheme="minorHAnsi" w:cstheme="minorHAnsi"/>
          <w:sz w:val="22"/>
          <w:szCs w:val="22"/>
        </w:rPr>
        <w:t>All b</w:t>
      </w:r>
      <w:r>
        <w:rPr>
          <w:rFonts w:asciiTheme="minorHAnsi" w:hAnsiTheme="minorHAnsi" w:cstheme="minorHAnsi"/>
          <w:sz w:val="22"/>
          <w:szCs w:val="22"/>
        </w:rPr>
        <w:t xml:space="preserve">oxes that requested information related to transaction ID and digital asset address information </w:t>
      </w:r>
      <w:r w:rsidR="00B93C0A">
        <w:rPr>
          <w:rFonts w:asciiTheme="minorHAnsi" w:hAnsiTheme="minorHAnsi" w:cstheme="minorHAnsi"/>
          <w:sz w:val="22"/>
          <w:szCs w:val="22"/>
        </w:rPr>
        <w:t xml:space="preserve">have been </w:t>
      </w:r>
      <w:r>
        <w:rPr>
          <w:rFonts w:asciiTheme="minorHAnsi" w:hAnsiTheme="minorHAnsi" w:cstheme="minorHAnsi"/>
          <w:sz w:val="22"/>
          <w:szCs w:val="22"/>
        </w:rPr>
        <w:t xml:space="preserve">removed from the Form 1099-DA. </w:t>
      </w:r>
    </w:p>
    <w:p w:rsidR="00443768" w:rsidP="00443768" w14:paraId="364D55C0" w14:textId="35A43FCE">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Form Layout</w:t>
      </w:r>
    </w:p>
    <w:p w:rsidR="00443768" w:rsidP="00443768" w14:paraId="41177AE3" w14:textId="75074B08">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8D21F7">
        <w:rPr>
          <w:rFonts w:asciiTheme="minorHAnsi" w:hAnsiTheme="minorHAnsi" w:cstheme="minorHAnsi"/>
          <w:sz w:val="22"/>
          <w:szCs w:val="22"/>
        </w:rPr>
        <w:t>3) recommended redesigning the Form 1099-DA to make it easier for</w:t>
      </w:r>
      <w:r w:rsidR="00AA6F63">
        <w:rPr>
          <w:rFonts w:asciiTheme="minorHAnsi" w:hAnsiTheme="minorHAnsi" w:cstheme="minorHAnsi"/>
          <w:sz w:val="22"/>
          <w:szCs w:val="22"/>
        </w:rPr>
        <w:t xml:space="preserve"> recipients to understand. Specifically, they </w:t>
      </w:r>
      <w:r w:rsidR="00AA6F63">
        <w:rPr>
          <w:rFonts w:asciiTheme="minorHAnsi" w:hAnsiTheme="minorHAnsi" w:cstheme="minorHAnsi"/>
          <w:sz w:val="22"/>
          <w:szCs w:val="22"/>
        </w:rPr>
        <w:t xml:space="preserve">recommended redesigning the Form </w:t>
      </w:r>
      <w:r w:rsidR="0000342F">
        <w:rPr>
          <w:rFonts w:asciiTheme="minorHAnsi" w:hAnsiTheme="minorHAnsi" w:cstheme="minorHAnsi"/>
          <w:sz w:val="22"/>
          <w:szCs w:val="22"/>
        </w:rPr>
        <w:t xml:space="preserve">to </w:t>
      </w:r>
      <w:r w:rsidR="009A7735">
        <w:rPr>
          <w:rFonts w:asciiTheme="minorHAnsi" w:hAnsiTheme="minorHAnsi" w:cstheme="minorHAnsi"/>
          <w:sz w:val="22"/>
          <w:szCs w:val="22"/>
        </w:rPr>
        <w:t xml:space="preserve">mimic the Form 1099-B and </w:t>
      </w:r>
      <w:r w:rsidR="00AA6F63">
        <w:rPr>
          <w:rFonts w:asciiTheme="minorHAnsi" w:hAnsiTheme="minorHAnsi" w:cstheme="minorHAnsi"/>
          <w:sz w:val="22"/>
          <w:szCs w:val="22"/>
        </w:rPr>
        <w:t>to focus on information taxpayers need to complete their income tax returns</w:t>
      </w:r>
      <w:r w:rsidR="009A7735">
        <w:rPr>
          <w:rFonts w:asciiTheme="minorHAnsi" w:hAnsiTheme="minorHAnsi" w:cstheme="minorHAnsi"/>
          <w:sz w:val="22"/>
          <w:szCs w:val="22"/>
        </w:rPr>
        <w:t>.</w:t>
      </w:r>
    </w:p>
    <w:p w:rsidR="00443768" w:rsidP="00443768" w14:paraId="3CD23985" w14:textId="1EC67C02">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0875C4">
        <w:rPr>
          <w:rFonts w:asciiTheme="minorHAnsi" w:hAnsiTheme="minorHAnsi" w:cstheme="minorHAnsi"/>
          <w:sz w:val="22"/>
          <w:szCs w:val="22"/>
        </w:rPr>
        <w:t>The IRS agree</w:t>
      </w:r>
      <w:r w:rsidR="00CF596A">
        <w:rPr>
          <w:rFonts w:asciiTheme="minorHAnsi" w:hAnsiTheme="minorHAnsi" w:cstheme="minorHAnsi"/>
          <w:sz w:val="22"/>
          <w:szCs w:val="22"/>
        </w:rPr>
        <w:t xml:space="preserve">s with the suggestion to remove certain information from the Form 1099-DA, specifically broker type, explanation for missing TIN, </w:t>
      </w:r>
      <w:r w:rsidR="00676AF8">
        <w:rPr>
          <w:rFonts w:asciiTheme="minorHAnsi" w:hAnsiTheme="minorHAnsi" w:cstheme="minorHAnsi"/>
          <w:sz w:val="22"/>
          <w:szCs w:val="22"/>
        </w:rPr>
        <w:t xml:space="preserve">references to UTC, </w:t>
      </w:r>
      <w:r w:rsidR="00904EA5">
        <w:rPr>
          <w:rFonts w:asciiTheme="minorHAnsi" w:hAnsiTheme="minorHAnsi" w:cstheme="minorHAnsi"/>
          <w:sz w:val="22"/>
          <w:szCs w:val="22"/>
        </w:rPr>
        <w:t>and digital asset address and transaction ID</w:t>
      </w:r>
      <w:r w:rsidR="00676AF8">
        <w:rPr>
          <w:rFonts w:asciiTheme="minorHAnsi" w:hAnsiTheme="minorHAnsi" w:cstheme="minorHAnsi"/>
          <w:sz w:val="22"/>
          <w:szCs w:val="22"/>
        </w:rPr>
        <w:t xml:space="preserve"> information</w:t>
      </w:r>
      <w:r w:rsidR="00904EA5">
        <w:rPr>
          <w:rFonts w:asciiTheme="minorHAnsi" w:hAnsiTheme="minorHAnsi" w:cstheme="minorHAnsi"/>
          <w:sz w:val="22"/>
          <w:szCs w:val="22"/>
        </w:rPr>
        <w:t>.</w:t>
      </w:r>
      <w:r w:rsidR="006656FA">
        <w:rPr>
          <w:rFonts w:asciiTheme="minorHAnsi" w:hAnsiTheme="minorHAnsi" w:cstheme="minorHAnsi"/>
          <w:sz w:val="22"/>
          <w:szCs w:val="22"/>
        </w:rPr>
        <w:t xml:space="preserve"> Removal of this information makes the Form 1099-DA closer in appearance to Form 1099-B.</w:t>
      </w:r>
      <w:r w:rsidR="00904EA5">
        <w:rPr>
          <w:rFonts w:asciiTheme="minorHAnsi" w:hAnsiTheme="minorHAnsi" w:cstheme="minorHAnsi"/>
          <w:sz w:val="22"/>
          <w:szCs w:val="22"/>
        </w:rPr>
        <w:t xml:space="preserve"> Other information</w:t>
      </w:r>
      <w:r w:rsidR="00676AF8">
        <w:rPr>
          <w:rFonts w:asciiTheme="minorHAnsi" w:hAnsiTheme="minorHAnsi" w:cstheme="minorHAnsi"/>
          <w:sz w:val="22"/>
          <w:szCs w:val="22"/>
        </w:rPr>
        <w:t xml:space="preserve"> will still be </w:t>
      </w:r>
      <w:r w:rsidR="006656FA">
        <w:rPr>
          <w:rFonts w:asciiTheme="minorHAnsi" w:hAnsiTheme="minorHAnsi" w:cstheme="minorHAnsi"/>
          <w:sz w:val="22"/>
          <w:szCs w:val="22"/>
        </w:rPr>
        <w:t xml:space="preserve">required </w:t>
      </w:r>
      <w:r w:rsidR="00676AF8">
        <w:rPr>
          <w:rFonts w:asciiTheme="minorHAnsi" w:hAnsiTheme="minorHAnsi" w:cstheme="minorHAnsi"/>
          <w:sz w:val="22"/>
          <w:szCs w:val="22"/>
        </w:rPr>
        <w:t xml:space="preserve">on the Form 1099-DA where the information will </w:t>
      </w:r>
      <w:r w:rsidR="00155352">
        <w:rPr>
          <w:rFonts w:asciiTheme="minorHAnsi" w:hAnsiTheme="minorHAnsi" w:cstheme="minorHAnsi"/>
          <w:sz w:val="22"/>
          <w:szCs w:val="22"/>
        </w:rPr>
        <w:t>be helpful to</w:t>
      </w:r>
      <w:r w:rsidR="00676AF8">
        <w:rPr>
          <w:rFonts w:asciiTheme="minorHAnsi" w:hAnsiTheme="minorHAnsi" w:cstheme="minorHAnsi"/>
          <w:sz w:val="22"/>
          <w:szCs w:val="22"/>
        </w:rPr>
        <w:t xml:space="preserve"> the IRS or taxpayers</w:t>
      </w:r>
      <w:r w:rsidR="00155352">
        <w:rPr>
          <w:rFonts w:asciiTheme="minorHAnsi" w:hAnsiTheme="minorHAnsi" w:cstheme="minorHAnsi"/>
          <w:sz w:val="22"/>
          <w:szCs w:val="22"/>
        </w:rPr>
        <w:t>, as discussed above</w:t>
      </w:r>
      <w:r w:rsidR="00676AF8">
        <w:rPr>
          <w:rFonts w:asciiTheme="minorHAnsi" w:hAnsiTheme="minorHAnsi" w:cstheme="minorHAnsi"/>
          <w:sz w:val="22"/>
          <w:szCs w:val="22"/>
        </w:rPr>
        <w:t xml:space="preserve">.  </w:t>
      </w:r>
      <w:r w:rsidR="000875C4">
        <w:rPr>
          <w:rFonts w:asciiTheme="minorHAnsi" w:hAnsiTheme="minorHAnsi" w:cstheme="minorHAnsi"/>
          <w:sz w:val="22"/>
          <w:szCs w:val="22"/>
        </w:rPr>
        <w:t xml:space="preserve"> </w:t>
      </w:r>
    </w:p>
    <w:p w:rsidR="00443768" w:rsidP="00443768" w14:paraId="67F58219" w14:textId="4FE5EAC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w:t>
      </w:r>
      <w:r w:rsidR="00155352">
        <w:rPr>
          <w:rFonts w:asciiTheme="minorHAnsi" w:hAnsiTheme="minorHAnsi" w:cstheme="minorHAnsi"/>
          <w:sz w:val="22"/>
          <w:szCs w:val="22"/>
        </w:rPr>
        <w:t xml:space="preserve">The Form 1099-DA has been revised to reflect the final regulations and </w:t>
      </w:r>
      <w:r w:rsidR="00F95B97">
        <w:rPr>
          <w:rFonts w:asciiTheme="minorHAnsi" w:hAnsiTheme="minorHAnsi" w:cstheme="minorHAnsi"/>
          <w:sz w:val="22"/>
          <w:szCs w:val="22"/>
        </w:rPr>
        <w:t>requests information required to be reported by the regulations</w:t>
      </w:r>
      <w:r w:rsidR="00FD3722">
        <w:rPr>
          <w:rFonts w:asciiTheme="minorHAnsi" w:hAnsiTheme="minorHAnsi" w:cstheme="minorHAnsi"/>
          <w:sz w:val="22"/>
          <w:szCs w:val="22"/>
        </w:rPr>
        <w:t>, as discussed above</w:t>
      </w:r>
      <w:r w:rsidR="00F95B97">
        <w:rPr>
          <w:rFonts w:asciiTheme="minorHAnsi" w:hAnsiTheme="minorHAnsi" w:cstheme="minorHAnsi"/>
          <w:sz w:val="22"/>
          <w:szCs w:val="22"/>
        </w:rPr>
        <w:t>.</w:t>
      </w:r>
    </w:p>
    <w:p w:rsidR="00B505F4" w:rsidP="004B7FE9" w14:paraId="5C6FBB02" w14:textId="3D95C903">
      <w:pPr>
        <w:pStyle w:val="ListParagraph"/>
        <w:numPr>
          <w:ilvl w:val="0"/>
          <w:numId w:val="10"/>
        </w:numPr>
        <w:spacing w:line="276" w:lineRule="auto"/>
        <w:ind w:left="1080"/>
        <w:contextualSpacing/>
        <w:rPr>
          <w:rFonts w:asciiTheme="minorHAnsi" w:hAnsiTheme="minorHAnsi" w:cstheme="minorHAnsi"/>
          <w:sz w:val="22"/>
          <w:szCs w:val="22"/>
        </w:rPr>
      </w:pPr>
      <w:r>
        <w:rPr>
          <w:rFonts w:asciiTheme="minorHAnsi" w:hAnsiTheme="minorHAnsi" w:cstheme="minorHAnsi"/>
          <w:sz w:val="22"/>
          <w:szCs w:val="22"/>
        </w:rPr>
        <w:t xml:space="preserve">Commenter Category – </w:t>
      </w:r>
      <w:r>
        <w:rPr>
          <w:rFonts w:asciiTheme="minorHAnsi" w:hAnsiTheme="minorHAnsi" w:cstheme="minorHAnsi"/>
          <w:sz w:val="22"/>
          <w:szCs w:val="22"/>
        </w:rPr>
        <w:t>Other Form 1099-DA Comments</w:t>
      </w:r>
    </w:p>
    <w:p w:rsidR="00D82A7F" w:rsidP="00D82A7F" w14:paraId="56BDF2D4" w14:textId="475B6AF5">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Type of Broker – Noncustodial Brokers</w:t>
      </w:r>
    </w:p>
    <w:p w:rsidR="00D82A7F" w:rsidP="00D82A7F" w14:paraId="50198422" w14:textId="34CB469F">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211676">
        <w:rPr>
          <w:rFonts w:asciiTheme="minorHAnsi" w:hAnsiTheme="minorHAnsi" w:cstheme="minorHAnsi"/>
          <w:sz w:val="22"/>
          <w:szCs w:val="22"/>
        </w:rPr>
        <w:t>6</w:t>
      </w:r>
      <w:r>
        <w:rPr>
          <w:rFonts w:asciiTheme="minorHAnsi" w:hAnsiTheme="minorHAnsi" w:cstheme="minorHAnsi"/>
          <w:sz w:val="22"/>
          <w:szCs w:val="22"/>
        </w:rPr>
        <w:t>) indicated that brokers that facilitate customer transactions through the use of computer software protocols without taking possession of their customers’ digital assets (noncustodial brokers) would be unable to complete the Form 1099-DA. These comments indicated that the definition of who is a broker was</w:t>
      </w:r>
      <w:r w:rsidR="00D95346">
        <w:rPr>
          <w:rFonts w:asciiTheme="minorHAnsi" w:hAnsiTheme="minorHAnsi" w:cstheme="minorHAnsi"/>
          <w:sz w:val="22"/>
          <w:szCs w:val="22"/>
        </w:rPr>
        <w:t xml:space="preserve"> </w:t>
      </w:r>
      <w:r>
        <w:rPr>
          <w:rFonts w:asciiTheme="minorHAnsi" w:hAnsiTheme="minorHAnsi" w:cstheme="minorHAnsi"/>
          <w:sz w:val="22"/>
          <w:szCs w:val="22"/>
        </w:rPr>
        <w:t>n</w:t>
      </w:r>
      <w:r w:rsidR="00D95346">
        <w:rPr>
          <w:rFonts w:asciiTheme="minorHAnsi" w:hAnsiTheme="minorHAnsi" w:cstheme="minorHAnsi"/>
          <w:sz w:val="22"/>
          <w:szCs w:val="22"/>
        </w:rPr>
        <w:t>o</w:t>
      </w:r>
      <w:r>
        <w:rPr>
          <w:rFonts w:asciiTheme="minorHAnsi" w:hAnsiTheme="minorHAnsi" w:cstheme="minorHAnsi"/>
          <w:sz w:val="22"/>
          <w:szCs w:val="22"/>
        </w:rPr>
        <w:t xml:space="preserve">t clearly defined, was overbroad as applied to noncustodial brokers, and could lead to duplicative filings. In addition, these comments asserted that noncustodial brokers do not have access to the information necessary to complete Form 1099-DA and would be unable to adequately safeguard their customer’s personal identifying information if required to collect it. Additionally, they asserted that noncustodial brokers would be unable to perform backup withholding on customers that refuse to supply their name and tax identification number to the broker. </w:t>
      </w:r>
    </w:p>
    <w:p w:rsidR="00D82A7F" w:rsidP="00D82A7F" w14:paraId="7DEEF360" w14:textId="10165CD2">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00994A7A">
        <w:rPr>
          <w:rFonts w:asciiTheme="minorHAnsi" w:hAnsiTheme="minorHAnsi" w:cstheme="minorHAnsi"/>
          <w:sz w:val="22"/>
          <w:szCs w:val="22"/>
        </w:rPr>
        <w:t xml:space="preserve">The final regulations stated that </w:t>
      </w:r>
      <w:r w:rsidR="0018068B">
        <w:rPr>
          <w:rFonts w:asciiTheme="minorHAnsi" w:hAnsiTheme="minorHAnsi" w:cstheme="minorHAnsi"/>
          <w:sz w:val="22"/>
          <w:szCs w:val="22"/>
        </w:rPr>
        <w:t xml:space="preserve">Treasury and </w:t>
      </w:r>
      <w:r w:rsidR="00994A7A">
        <w:rPr>
          <w:rFonts w:asciiTheme="minorHAnsi" w:hAnsiTheme="minorHAnsi" w:cstheme="minorHAnsi"/>
          <w:sz w:val="22"/>
          <w:szCs w:val="22"/>
        </w:rPr>
        <w:t>t</w:t>
      </w:r>
      <w:r>
        <w:rPr>
          <w:rFonts w:asciiTheme="minorHAnsi" w:hAnsiTheme="minorHAnsi" w:cstheme="minorHAnsi"/>
          <w:sz w:val="22"/>
          <w:szCs w:val="22"/>
        </w:rPr>
        <w:t xml:space="preserve">he IRS would benefit from additional consideration of issues involving non-custodial industry participants. Accordingly, the final regulations do not apply to digital asset transactions facilitated by noncustodial brokers. </w:t>
      </w:r>
    </w:p>
    <w:p w:rsidR="00D82A7F" w:rsidP="00D82A7F" w14:paraId="52FBA0B6" w14:textId="000347B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have been made to Form 1099-DA as a result of these comments. The instructions to Form 1099-DA include an explanation of which brokers are required to use the form to report their customers’ digital asset transactions. </w:t>
      </w:r>
    </w:p>
    <w:p w:rsidR="00D82A7F" w:rsidP="00D82A7F" w14:paraId="1A514341" w14:textId="27FADD9E">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T</w:t>
      </w:r>
      <w:r>
        <w:rPr>
          <w:rFonts w:asciiTheme="minorHAnsi" w:hAnsiTheme="minorHAnsi" w:cstheme="minorHAnsi"/>
          <w:sz w:val="22"/>
          <w:szCs w:val="22"/>
        </w:rPr>
        <w:t xml:space="preserve">ype of Broker – </w:t>
      </w:r>
      <w:r w:rsidR="0024427B">
        <w:rPr>
          <w:rFonts w:asciiTheme="minorHAnsi" w:hAnsiTheme="minorHAnsi" w:cstheme="minorHAnsi"/>
          <w:sz w:val="22"/>
          <w:szCs w:val="22"/>
        </w:rPr>
        <w:t>Processor of digital asset payments (</w:t>
      </w:r>
      <w:r>
        <w:rPr>
          <w:rFonts w:asciiTheme="minorHAnsi" w:hAnsiTheme="minorHAnsi" w:cstheme="minorHAnsi"/>
          <w:sz w:val="22"/>
          <w:szCs w:val="22"/>
        </w:rPr>
        <w:t>PDAP</w:t>
      </w:r>
      <w:r w:rsidR="0024427B">
        <w:rPr>
          <w:rFonts w:asciiTheme="minorHAnsi" w:hAnsiTheme="minorHAnsi" w:cstheme="minorHAnsi"/>
          <w:sz w:val="22"/>
          <w:szCs w:val="22"/>
        </w:rPr>
        <w:t>)</w:t>
      </w:r>
    </w:p>
    <w:p w:rsidR="00D82A7F" w:rsidP="00D82A7F" w14:paraId="3A8DE5FC" w14:textId="6C474722">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One comment requested the Form 1099-DA reflect their </w:t>
      </w:r>
      <w:r w:rsidR="0024427B">
        <w:rPr>
          <w:rFonts w:asciiTheme="minorHAnsi" w:hAnsiTheme="minorHAnsi" w:cstheme="minorHAnsi"/>
          <w:sz w:val="22"/>
          <w:szCs w:val="22"/>
        </w:rPr>
        <w:t xml:space="preserve">position </w:t>
      </w:r>
      <w:r>
        <w:rPr>
          <w:rFonts w:asciiTheme="minorHAnsi" w:hAnsiTheme="minorHAnsi" w:cstheme="minorHAnsi"/>
          <w:sz w:val="22"/>
          <w:szCs w:val="22"/>
        </w:rPr>
        <w:t xml:space="preserve">that </w:t>
      </w:r>
      <w:r w:rsidR="000E6EBD">
        <w:rPr>
          <w:rFonts w:asciiTheme="minorHAnsi" w:hAnsiTheme="minorHAnsi" w:cstheme="minorHAnsi"/>
          <w:sz w:val="22"/>
          <w:szCs w:val="22"/>
        </w:rPr>
        <w:t>PDAPs</w:t>
      </w:r>
      <w:r>
        <w:rPr>
          <w:rFonts w:asciiTheme="minorHAnsi" w:hAnsiTheme="minorHAnsi" w:cstheme="minorHAnsi"/>
          <w:sz w:val="22"/>
          <w:szCs w:val="22"/>
        </w:rPr>
        <w:t xml:space="preserve"> that are also payment settlement entities under section 6050W are only required to report to the IRS on a Form 1099-K with </w:t>
      </w:r>
      <w:r>
        <w:rPr>
          <w:rFonts w:asciiTheme="minorHAnsi" w:hAnsiTheme="minorHAnsi" w:cstheme="minorHAnsi"/>
          <w:sz w:val="22"/>
          <w:szCs w:val="22"/>
        </w:rPr>
        <w:t xml:space="preserve">respect to the merchant receiving digital asset payments facilitated by the broker and not on the person (buyer) making that payment with digital assets. </w:t>
      </w:r>
    </w:p>
    <w:p w:rsidR="00D82A7F" w:rsidP="00D82A7F" w14:paraId="70BCD86C" w14:textId="0D05865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The reporting required under section 6050W </w:t>
      </w:r>
      <w:r w:rsidR="000E6EBD">
        <w:rPr>
          <w:rFonts w:asciiTheme="minorHAnsi" w:hAnsiTheme="minorHAnsi" w:cstheme="minorHAnsi"/>
          <w:sz w:val="22"/>
          <w:szCs w:val="22"/>
        </w:rPr>
        <w:t>reflects the</w:t>
      </w:r>
      <w:r>
        <w:rPr>
          <w:rFonts w:asciiTheme="minorHAnsi" w:hAnsiTheme="minorHAnsi" w:cstheme="minorHAnsi"/>
          <w:sz w:val="22"/>
          <w:szCs w:val="22"/>
        </w:rPr>
        <w:t xml:space="preserve"> payments made to merchants. That reporting is not </w:t>
      </w:r>
      <w:r w:rsidR="00101424">
        <w:rPr>
          <w:rFonts w:asciiTheme="minorHAnsi" w:hAnsiTheme="minorHAnsi" w:cstheme="minorHAnsi"/>
          <w:sz w:val="22"/>
          <w:szCs w:val="22"/>
        </w:rPr>
        <w:t xml:space="preserve">required </w:t>
      </w:r>
      <w:r>
        <w:rPr>
          <w:rFonts w:asciiTheme="minorHAnsi" w:hAnsiTheme="minorHAnsi" w:cstheme="minorHAnsi"/>
          <w:sz w:val="22"/>
          <w:szCs w:val="22"/>
        </w:rPr>
        <w:t>with respect to buyers making payments with property, such as digital assets. Accordingly, the reporting under section 6045 with respect to payments made using digital assets is not in any way duplicative of the reporting required by section 6050W and is necessary to ensure that gross proceeds</w:t>
      </w:r>
      <w:r w:rsidR="000D3A9B">
        <w:rPr>
          <w:rFonts w:asciiTheme="minorHAnsi" w:hAnsiTheme="minorHAnsi" w:cstheme="minorHAnsi"/>
          <w:sz w:val="22"/>
          <w:szCs w:val="22"/>
        </w:rPr>
        <w:t xml:space="preserve"> and any income</w:t>
      </w:r>
      <w:r>
        <w:rPr>
          <w:rFonts w:asciiTheme="minorHAnsi" w:hAnsiTheme="minorHAnsi" w:cstheme="minorHAnsi"/>
          <w:sz w:val="22"/>
          <w:szCs w:val="22"/>
        </w:rPr>
        <w:t xml:space="preserve"> from the use of digital asset to make payments are reported by buyers on their Federal income tax returns.</w:t>
      </w:r>
    </w:p>
    <w:p w:rsidR="00D82A7F" w:rsidP="00D82A7F" w14:paraId="17C7AC4F" w14:textId="2EFE2E38">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have been made to Form 1099-DA as a result of these comments. The instructions to Form 1099-DA include an explanation of which brokers are required to report.</w:t>
      </w:r>
    </w:p>
    <w:p w:rsidR="00D82A7F" w:rsidRPr="00134751" w:rsidP="00D82A7F" w14:paraId="622A1CF4" w14:textId="63DDC9B5">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Type of Broker – Real Estate Reporting</w:t>
      </w:r>
    </w:p>
    <w:p w:rsidR="00D82A7F" w:rsidP="00D82A7F" w14:paraId="04A596B5" w14:textId="115ABE61">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One comment requested that real estate reporting persons that are treated as brokers under section 6045 not be required to file Form 1099-DA with respect to real estate buyers that pay with digital assets. The comment suggested that these brokers alternatively be permitted to report on a real estate seller’s receipt of digital assets on the Form 1099-S along with the buyer’s name, address, and certified TIN. </w:t>
      </w:r>
    </w:p>
    <w:p w:rsidR="00D82A7F" w:rsidP="00D82A7F" w14:paraId="5F935DF7" w14:textId="307C773D">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IRS Response: The broker reporting regulations require Form 1099-S to be furnished to the real estate seller. It would be inappropriate</w:t>
      </w:r>
      <w:r w:rsidR="004B0439">
        <w:rPr>
          <w:rFonts w:asciiTheme="minorHAnsi" w:hAnsiTheme="minorHAnsi" w:cstheme="minorHAnsi"/>
          <w:sz w:val="22"/>
          <w:szCs w:val="22"/>
        </w:rPr>
        <w:t>, however,</w:t>
      </w:r>
      <w:r>
        <w:rPr>
          <w:rFonts w:asciiTheme="minorHAnsi" w:hAnsiTheme="minorHAnsi" w:cstheme="minorHAnsi"/>
          <w:sz w:val="22"/>
          <w:szCs w:val="22"/>
        </w:rPr>
        <w:t xml:space="preserve"> to require brokers to disclose the real estate buyer’s TIN to the real estate seller. Moreover, the Form 1099-S is not furnished to the real estate buyer. As a result, real estate buyers would not receive the information they</w:t>
      </w:r>
      <w:r w:rsidR="004B0439">
        <w:rPr>
          <w:rFonts w:asciiTheme="minorHAnsi" w:hAnsiTheme="minorHAnsi" w:cstheme="minorHAnsi"/>
          <w:sz w:val="22"/>
          <w:szCs w:val="22"/>
        </w:rPr>
        <w:t xml:space="preserve"> need about</w:t>
      </w:r>
      <w:r w:rsidR="005C1D7F">
        <w:rPr>
          <w:rFonts w:asciiTheme="minorHAnsi" w:hAnsiTheme="minorHAnsi" w:cstheme="minorHAnsi"/>
          <w:sz w:val="22"/>
          <w:szCs w:val="22"/>
        </w:rPr>
        <w:t xml:space="preserve"> </w:t>
      </w:r>
      <w:r>
        <w:rPr>
          <w:rFonts w:asciiTheme="minorHAnsi" w:hAnsiTheme="minorHAnsi" w:cstheme="minorHAnsi"/>
          <w:sz w:val="22"/>
          <w:szCs w:val="22"/>
        </w:rPr>
        <w:t>their digital asset transactions to complete their</w:t>
      </w:r>
      <w:r w:rsidR="005C1D7F">
        <w:rPr>
          <w:rFonts w:asciiTheme="minorHAnsi" w:hAnsiTheme="minorHAnsi" w:cstheme="minorHAnsi"/>
          <w:sz w:val="22"/>
          <w:szCs w:val="22"/>
        </w:rPr>
        <w:t xml:space="preserve"> income</w:t>
      </w:r>
      <w:r>
        <w:rPr>
          <w:rFonts w:asciiTheme="minorHAnsi" w:hAnsiTheme="minorHAnsi" w:cstheme="minorHAnsi"/>
          <w:sz w:val="22"/>
          <w:szCs w:val="22"/>
        </w:rPr>
        <w:t xml:space="preserve"> tax returns. </w:t>
      </w:r>
    </w:p>
    <w:p w:rsidR="00D82A7F" w:rsidP="00D82A7F" w14:paraId="3388C01F" w14:textId="32C4D7F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have been made to Form 1099-DA as a result of these comments. The instructions to Form 1099-DA include an explanation of which brokers are required to report.</w:t>
      </w:r>
    </w:p>
    <w:p w:rsidR="00D82A7F" w:rsidP="00D82A7F" w14:paraId="203F349D" w14:textId="6D17FE10">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Multiple Broker</w:t>
      </w:r>
      <w:r w:rsidR="00C04A9F">
        <w:rPr>
          <w:rFonts w:asciiTheme="minorHAnsi" w:hAnsiTheme="minorHAnsi" w:cstheme="minorHAnsi"/>
          <w:sz w:val="22"/>
          <w:szCs w:val="22"/>
        </w:rPr>
        <w:t>s</w:t>
      </w:r>
    </w:p>
    <w:p w:rsidR="00D82A7F" w:rsidP="00D82A7F" w14:paraId="33D22C39" w14:textId="462A7004">
      <w:pPr>
        <w:pStyle w:val="ListParagraph"/>
        <w:numPr>
          <w:ilvl w:val="2"/>
          <w:numId w:val="10"/>
        </w:numPr>
        <w:spacing w:line="276" w:lineRule="auto"/>
        <w:ind w:left="2340" w:hanging="54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292FFF">
        <w:rPr>
          <w:rFonts w:asciiTheme="minorHAnsi" w:hAnsiTheme="minorHAnsi" w:cstheme="minorHAnsi"/>
          <w:sz w:val="22"/>
          <w:szCs w:val="22"/>
        </w:rPr>
        <w:t>6</w:t>
      </w:r>
      <w:r>
        <w:rPr>
          <w:rFonts w:asciiTheme="minorHAnsi" w:hAnsiTheme="minorHAnsi" w:cstheme="minorHAnsi"/>
          <w:sz w:val="22"/>
          <w:szCs w:val="22"/>
        </w:rPr>
        <w:t>) indicated the lack of a multiple broker rule in the proposed regulations would lead to duplicative reporting.</w:t>
      </w:r>
    </w:p>
    <w:p w:rsidR="00D82A7F" w:rsidP="00D82A7F" w14:paraId="20F76199" w14:textId="73AF4010">
      <w:pPr>
        <w:pStyle w:val="ListParagraph"/>
        <w:numPr>
          <w:ilvl w:val="2"/>
          <w:numId w:val="10"/>
        </w:numPr>
        <w:spacing w:line="276" w:lineRule="auto"/>
        <w:ind w:left="2340" w:hanging="540"/>
        <w:contextualSpacing/>
        <w:rPr>
          <w:rFonts w:asciiTheme="minorHAnsi" w:hAnsiTheme="minorHAnsi" w:cstheme="minorHAnsi"/>
          <w:sz w:val="22"/>
          <w:szCs w:val="22"/>
        </w:rPr>
      </w:pPr>
      <w:r>
        <w:rPr>
          <w:rFonts w:asciiTheme="minorHAnsi" w:hAnsiTheme="minorHAnsi" w:cstheme="minorHAnsi"/>
          <w:sz w:val="22"/>
          <w:szCs w:val="22"/>
        </w:rPr>
        <w:t xml:space="preserve">IRS Response: </w:t>
      </w:r>
      <w:bookmarkStart w:id="0" w:name="_Hlk172634122"/>
      <w:r>
        <w:rPr>
          <w:rFonts w:asciiTheme="minorHAnsi" w:hAnsiTheme="minorHAnsi" w:cstheme="minorHAnsi"/>
          <w:sz w:val="22"/>
          <w:szCs w:val="22"/>
        </w:rPr>
        <w:t xml:space="preserve">Based on the comments received on the proposed regulations, </w:t>
      </w:r>
      <w:bookmarkEnd w:id="0"/>
      <w:r>
        <w:rPr>
          <w:rFonts w:asciiTheme="minorHAnsi" w:hAnsiTheme="minorHAnsi" w:cstheme="minorHAnsi"/>
          <w:sz w:val="22"/>
          <w:szCs w:val="22"/>
        </w:rPr>
        <w:t>Treasury Regulation § 1.6045-1(c)(3)(iii)(B) adopts a multiple broker rule for digital asset brokers that requires the broker crediting the customer’s wallet or account to report the transaction to the IRS when more than one digital asset broker would otherwise have a reporting obligation with respect to a digital asset transaction.</w:t>
      </w:r>
    </w:p>
    <w:p w:rsidR="00D82A7F" w:rsidP="00D82A7F" w14:paraId="4D67EAB8" w14:textId="20D44371">
      <w:pPr>
        <w:pStyle w:val="ListParagraph"/>
        <w:numPr>
          <w:ilvl w:val="2"/>
          <w:numId w:val="10"/>
        </w:numPr>
        <w:spacing w:line="276" w:lineRule="auto"/>
        <w:ind w:left="2340" w:hanging="54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have been made to Form 1099-DA as a result of these comments. The instructions to Form 1099-DA include an </w:t>
      </w:r>
      <w:r>
        <w:rPr>
          <w:rFonts w:asciiTheme="minorHAnsi" w:hAnsiTheme="minorHAnsi" w:cstheme="minorHAnsi"/>
          <w:sz w:val="22"/>
          <w:szCs w:val="22"/>
        </w:rPr>
        <w:t>explanation of which broker is required to report when multiple brokers would otherwise be required to report.</w:t>
      </w:r>
    </w:p>
    <w:p w:rsidR="00D82A7F" w:rsidP="00D82A7F" w14:paraId="26A48144" w14:textId="2DC0F278">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Customer Statements– Composite </w:t>
      </w:r>
      <w:r w:rsidR="00DC3FF7">
        <w:rPr>
          <w:rFonts w:asciiTheme="minorHAnsi" w:hAnsiTheme="minorHAnsi" w:cstheme="minorHAnsi"/>
          <w:sz w:val="22"/>
          <w:szCs w:val="22"/>
        </w:rPr>
        <w:t>or substitute forms</w:t>
      </w:r>
    </w:p>
    <w:p w:rsidR="00D82A7F" w:rsidP="00D82A7F" w14:paraId="0FFFE12D" w14:textId="0F9A326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Comments (3) requested the ability to furnish a composite or substitute Form 1099-DA to their customers to make the information easier for their customers to read.</w:t>
      </w:r>
    </w:p>
    <w:p w:rsidR="00D82A7F" w:rsidP="00D82A7F" w14:paraId="666E3C29" w14:textId="3571DB1C">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Treasury Regulation § 1.6045-1(k)(3) already permits brokers to use composite </w:t>
      </w:r>
      <w:r w:rsidRPr="006B764C">
        <w:rPr>
          <w:rFonts w:asciiTheme="minorHAnsi" w:hAnsiTheme="minorHAnsi" w:cstheme="minorHAnsi"/>
          <w:sz w:val="22"/>
          <w:szCs w:val="22"/>
        </w:rPr>
        <w:t xml:space="preserve">customer </w:t>
      </w:r>
      <w:r>
        <w:rPr>
          <w:rFonts w:asciiTheme="minorHAnsi" w:hAnsiTheme="minorHAnsi" w:cstheme="minorHAnsi"/>
          <w:sz w:val="22"/>
          <w:szCs w:val="22"/>
        </w:rPr>
        <w:t xml:space="preserve">statements. IRS Pub. 1179, General </w:t>
      </w:r>
      <w:r>
        <w:rPr>
          <w:rFonts w:asciiTheme="minorHAnsi" w:hAnsiTheme="minorHAnsi" w:cstheme="minorHAnsi"/>
          <w:sz w:val="22"/>
          <w:szCs w:val="22"/>
        </w:rPr>
        <w:t>Rules</w:t>
      </w:r>
      <w:r>
        <w:rPr>
          <w:rFonts w:asciiTheme="minorHAnsi" w:hAnsiTheme="minorHAnsi" w:cstheme="minorHAnsi"/>
          <w:sz w:val="22"/>
          <w:szCs w:val="22"/>
        </w:rPr>
        <w:t xml:space="preserve"> and Specifications for Substitute Forms 1096, 1098, 1099, 5498, and Certain Other Information Returns, provides instructions for the use of these substitute </w:t>
      </w:r>
      <w:r w:rsidRPr="006B764C">
        <w:rPr>
          <w:rFonts w:asciiTheme="minorHAnsi" w:hAnsiTheme="minorHAnsi" w:cstheme="minorHAnsi"/>
          <w:sz w:val="22"/>
          <w:szCs w:val="22"/>
        </w:rPr>
        <w:t xml:space="preserve">customer </w:t>
      </w:r>
      <w:r>
        <w:rPr>
          <w:rFonts w:asciiTheme="minorHAnsi" w:hAnsiTheme="minorHAnsi" w:cstheme="minorHAnsi"/>
          <w:sz w:val="22"/>
          <w:szCs w:val="22"/>
        </w:rPr>
        <w:t>statements.</w:t>
      </w:r>
      <w:r w:rsidRPr="006B764C">
        <w:rPr>
          <w:rFonts w:asciiTheme="minorHAnsi" w:hAnsiTheme="minorHAnsi" w:cstheme="minorHAnsi"/>
          <w:sz w:val="22"/>
          <w:szCs w:val="22"/>
        </w:rPr>
        <w:t xml:space="preserve"> </w:t>
      </w:r>
      <w:r>
        <w:rPr>
          <w:rFonts w:asciiTheme="minorHAnsi" w:hAnsiTheme="minorHAnsi" w:cstheme="minorHAnsi"/>
          <w:sz w:val="22"/>
          <w:szCs w:val="22"/>
        </w:rPr>
        <w:t xml:space="preserve">The contents of Form 1099-DA does not impact the ability to use composite or substitute </w:t>
      </w:r>
      <w:r w:rsidRPr="006B764C">
        <w:rPr>
          <w:rFonts w:asciiTheme="minorHAnsi" w:hAnsiTheme="minorHAnsi" w:cstheme="minorHAnsi"/>
          <w:sz w:val="22"/>
          <w:szCs w:val="22"/>
        </w:rPr>
        <w:t xml:space="preserve">customer </w:t>
      </w:r>
      <w:r>
        <w:rPr>
          <w:rFonts w:asciiTheme="minorHAnsi" w:hAnsiTheme="minorHAnsi" w:cstheme="minorHAnsi"/>
          <w:sz w:val="22"/>
          <w:szCs w:val="22"/>
        </w:rPr>
        <w:t>statements.</w:t>
      </w:r>
    </w:p>
    <w:p w:rsidR="00D82A7F" w:rsidP="00D82A7F" w14:paraId="2E06CF4E" w14:textId="439F01A3">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have been made to Form 1099-DA as a result of this comment.</w:t>
      </w:r>
    </w:p>
    <w:p w:rsidR="00D82A7F" w:rsidP="00D82A7F" w14:paraId="564BB814" w14:textId="3311E375">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Customer Statements–Delivery Method</w:t>
      </w:r>
    </w:p>
    <w:p w:rsidR="00D82A7F" w:rsidP="00D82A7F" w14:paraId="31E1C1D1" w14:textId="1BD6685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Comments (2) requested alternative delivery methods for the customer statements that must be furnished to the brokers customers. Specifically, one comment requested electronic delivery of the customer statements to customers as the default delivery method. Another comment indicated that there is increased burden </w:t>
      </w:r>
      <w:r w:rsidR="005115A0">
        <w:rPr>
          <w:rFonts w:asciiTheme="minorHAnsi" w:hAnsiTheme="minorHAnsi" w:cstheme="minorHAnsi"/>
          <w:sz w:val="22"/>
          <w:szCs w:val="22"/>
        </w:rPr>
        <w:t xml:space="preserve">associated with </w:t>
      </w:r>
      <w:r>
        <w:rPr>
          <w:rFonts w:asciiTheme="minorHAnsi" w:hAnsiTheme="minorHAnsi" w:cstheme="minorHAnsi"/>
          <w:sz w:val="22"/>
          <w:szCs w:val="22"/>
        </w:rPr>
        <w:t xml:space="preserve">requiring customer statements be mailed to the customer’s last known address on file. </w:t>
      </w:r>
    </w:p>
    <w:p w:rsidR="00D82A7F" w:rsidP="00D82A7F" w14:paraId="3CD52DA4" w14:textId="21EDCA78">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w:t>
      </w:r>
      <w:r w:rsidRPr="00B93C0A">
        <w:rPr>
          <w:rFonts w:asciiTheme="minorHAnsi" w:hAnsiTheme="minorHAnsi" w:cstheme="minorHAnsi"/>
          <w:sz w:val="22"/>
          <w:szCs w:val="22"/>
        </w:rPr>
        <w:t xml:space="preserve">The law </w:t>
      </w:r>
      <w:r w:rsidR="005115A0">
        <w:rPr>
          <w:rFonts w:asciiTheme="minorHAnsi" w:hAnsiTheme="minorHAnsi" w:cstheme="minorHAnsi"/>
          <w:sz w:val="22"/>
          <w:szCs w:val="22"/>
        </w:rPr>
        <w:t xml:space="preserve">and regulations </w:t>
      </w:r>
      <w:r w:rsidRPr="00B93C0A">
        <w:rPr>
          <w:rFonts w:asciiTheme="minorHAnsi" w:hAnsiTheme="minorHAnsi" w:cstheme="minorHAnsi"/>
          <w:sz w:val="22"/>
          <w:szCs w:val="22"/>
        </w:rPr>
        <w:t>do not permit an alternative delivery method to customers without customer approval.</w:t>
      </w:r>
      <w:r w:rsidRPr="00AC1DA7" w:rsidR="00AC1DA7">
        <w:t xml:space="preserve"> </w:t>
      </w:r>
      <w:r w:rsidRPr="00590887" w:rsidR="00AC1DA7">
        <w:rPr>
          <w:rFonts w:asciiTheme="minorHAnsi" w:hAnsiTheme="minorHAnsi" w:cstheme="minorHAnsi"/>
          <w:sz w:val="22"/>
          <w:szCs w:val="22"/>
        </w:rPr>
        <w:t xml:space="preserve">This requirement is discussed in the annually updated </w:t>
      </w:r>
      <w:r w:rsidRPr="00590887" w:rsidR="00512BAB">
        <w:rPr>
          <w:rFonts w:asciiTheme="minorHAnsi" w:hAnsiTheme="minorHAnsi" w:cstheme="minorHAnsi"/>
          <w:sz w:val="22"/>
          <w:szCs w:val="22"/>
        </w:rPr>
        <w:t>Revenue Procedure</w:t>
      </w:r>
      <w:r w:rsidRPr="00590887" w:rsidR="009419E6">
        <w:rPr>
          <w:rFonts w:asciiTheme="minorHAnsi" w:hAnsiTheme="minorHAnsi" w:cstheme="minorHAnsi"/>
          <w:sz w:val="22"/>
          <w:szCs w:val="22"/>
        </w:rPr>
        <w:t xml:space="preserve">, General </w:t>
      </w:r>
      <w:r w:rsidRPr="00590887" w:rsidR="009419E6">
        <w:rPr>
          <w:rFonts w:asciiTheme="minorHAnsi" w:hAnsiTheme="minorHAnsi" w:cstheme="minorHAnsi"/>
          <w:sz w:val="22"/>
          <w:szCs w:val="22"/>
        </w:rPr>
        <w:t>Rules</w:t>
      </w:r>
      <w:r w:rsidRPr="00590887" w:rsidR="009419E6">
        <w:rPr>
          <w:rFonts w:asciiTheme="minorHAnsi" w:hAnsiTheme="minorHAnsi" w:cstheme="minorHAnsi"/>
          <w:sz w:val="22"/>
          <w:szCs w:val="22"/>
        </w:rPr>
        <w:t xml:space="preserve"> and Specifications for Substitute Forms 1096, 1098, 1099, 5498, and Certain Other Information Returns</w:t>
      </w:r>
      <w:r w:rsidRPr="00590887" w:rsidR="00512BAB">
        <w:rPr>
          <w:rFonts w:asciiTheme="minorHAnsi" w:hAnsiTheme="minorHAnsi" w:cstheme="minorHAnsi"/>
          <w:sz w:val="22"/>
          <w:szCs w:val="22"/>
        </w:rPr>
        <w:t xml:space="preserve"> </w:t>
      </w:r>
      <w:r w:rsidRPr="00590887" w:rsidR="00AC1DA7">
        <w:rPr>
          <w:rFonts w:asciiTheme="minorHAnsi" w:hAnsiTheme="minorHAnsi" w:cstheme="minorHAnsi"/>
          <w:sz w:val="22"/>
          <w:szCs w:val="22"/>
        </w:rPr>
        <w:t>(Rev. Proc. 2023-30</w:t>
      </w:r>
      <w:r w:rsidRPr="00590887" w:rsidR="00590887">
        <w:rPr>
          <w:rFonts w:asciiTheme="minorHAnsi" w:hAnsiTheme="minorHAnsi" w:cstheme="minorHAnsi"/>
          <w:sz w:val="22"/>
          <w:szCs w:val="22"/>
        </w:rPr>
        <w:t xml:space="preserve"> and </w:t>
      </w:r>
      <w:r w:rsidRPr="00590887" w:rsidR="00AC1DA7">
        <w:rPr>
          <w:rFonts w:asciiTheme="minorHAnsi" w:hAnsiTheme="minorHAnsi" w:cstheme="minorHAnsi"/>
          <w:sz w:val="22"/>
          <w:szCs w:val="22"/>
        </w:rPr>
        <w:t>Pub</w:t>
      </w:r>
      <w:r w:rsidRPr="00590887" w:rsidR="00590887">
        <w:rPr>
          <w:rFonts w:asciiTheme="minorHAnsi" w:hAnsiTheme="minorHAnsi" w:cstheme="minorHAnsi"/>
          <w:sz w:val="22"/>
          <w:szCs w:val="22"/>
        </w:rPr>
        <w:t>.</w:t>
      </w:r>
      <w:r w:rsidRPr="00590887" w:rsidR="00AC1DA7">
        <w:rPr>
          <w:rFonts w:asciiTheme="minorHAnsi" w:hAnsiTheme="minorHAnsi" w:cstheme="minorHAnsi"/>
          <w:sz w:val="22"/>
          <w:szCs w:val="22"/>
        </w:rPr>
        <w:t xml:space="preserve"> 1179</w:t>
      </w:r>
      <w:r w:rsidR="00590887">
        <w:rPr>
          <w:rFonts w:asciiTheme="minorHAnsi" w:hAnsiTheme="minorHAnsi" w:cstheme="minorHAnsi"/>
          <w:sz w:val="22"/>
          <w:szCs w:val="22"/>
        </w:rPr>
        <w:t>).</w:t>
      </w:r>
      <w:r>
        <w:rPr>
          <w:rFonts w:asciiTheme="minorHAnsi" w:hAnsiTheme="minorHAnsi" w:cstheme="minorHAnsi"/>
          <w:sz w:val="22"/>
          <w:szCs w:val="22"/>
        </w:rPr>
        <w:t xml:space="preserve"> Moreover, the contents of Form 1099-DA do not impact the requirement to obtain prior consent before furnishing customer statements electronically. </w:t>
      </w:r>
    </w:p>
    <w:p w:rsidR="00D82A7F" w:rsidP="00D82A7F" w14:paraId="5944C7B1" w14:textId="1282B35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have been made to Form 1099-DA as a result of this comment.</w:t>
      </w:r>
    </w:p>
    <w:p w:rsidR="00D82A7F" w:rsidP="00D82A7F" w14:paraId="3EADA658" w14:textId="4766B3E4">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C</w:t>
      </w:r>
      <w:r w:rsidR="005115A0">
        <w:rPr>
          <w:rFonts w:asciiTheme="minorHAnsi" w:hAnsiTheme="minorHAnsi" w:cstheme="minorHAnsi"/>
          <w:sz w:val="22"/>
          <w:szCs w:val="22"/>
        </w:rPr>
        <w:t xml:space="preserve">ombined </w:t>
      </w:r>
      <w:r>
        <w:rPr>
          <w:rFonts w:asciiTheme="minorHAnsi" w:hAnsiTheme="minorHAnsi" w:cstheme="minorHAnsi"/>
          <w:sz w:val="22"/>
          <w:szCs w:val="22"/>
        </w:rPr>
        <w:t>F</w:t>
      </w:r>
      <w:r w:rsidR="005115A0">
        <w:rPr>
          <w:rFonts w:asciiTheme="minorHAnsi" w:hAnsiTheme="minorHAnsi" w:cstheme="minorHAnsi"/>
          <w:sz w:val="22"/>
          <w:szCs w:val="22"/>
        </w:rPr>
        <w:t>ederal State Filing (CF</w:t>
      </w:r>
      <w:r>
        <w:rPr>
          <w:rFonts w:asciiTheme="minorHAnsi" w:hAnsiTheme="minorHAnsi" w:cstheme="minorHAnsi"/>
          <w:sz w:val="22"/>
          <w:szCs w:val="22"/>
        </w:rPr>
        <w:t>/SF</w:t>
      </w:r>
      <w:r w:rsidR="005115A0">
        <w:rPr>
          <w:rFonts w:asciiTheme="minorHAnsi" w:hAnsiTheme="minorHAnsi" w:cstheme="minorHAnsi"/>
          <w:sz w:val="22"/>
          <w:szCs w:val="22"/>
        </w:rPr>
        <w:t>)</w:t>
      </w:r>
    </w:p>
    <w:p w:rsidR="00D82A7F" w:rsidP="00D82A7F" w14:paraId="26D35E07" w14:textId="735A8C2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One comment suggested the IRS should add Form 1099-DA to the CF/SF program. </w:t>
      </w:r>
    </w:p>
    <w:p w:rsidR="00D82A7F" w:rsidP="00D82A7F" w14:paraId="15CB0724" w14:textId="34F8F289">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IRS Response: The CF/SF program is a program in which approved electronic filers consent to the IRS’s disclosure of return information to participating states. The process for including Form 1099-DA in the CF/SF program is separate from the requirement to file Form 1099-DA with the IRS.</w:t>
      </w:r>
    </w:p>
    <w:p w:rsidR="00D82A7F" w:rsidP="00D82A7F" w14:paraId="28DDA654" w14:textId="4D7D2FE2">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have been made to Form 1099-DA as a result of this comment. </w:t>
      </w:r>
    </w:p>
    <w:p w:rsidR="00D82A7F" w:rsidP="00D82A7F" w14:paraId="41710D18" w14:textId="74C9A018">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Filer </w:t>
      </w:r>
      <w:r>
        <w:rPr>
          <w:rFonts w:asciiTheme="minorHAnsi" w:hAnsiTheme="minorHAnsi" w:cstheme="minorHAnsi"/>
          <w:sz w:val="22"/>
          <w:szCs w:val="22"/>
        </w:rPr>
        <w:t xml:space="preserve">Instructions </w:t>
      </w:r>
    </w:p>
    <w:p w:rsidR="00D82A7F" w:rsidP="00D82A7F" w14:paraId="2910300E" w14:textId="2CE497BB">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Several comments (6) requested a copy of the filer instructions so they can be reviewed during the comment period for the Form 1099-DA. </w:t>
      </w:r>
    </w:p>
    <w:p w:rsidR="00D82A7F" w:rsidP="00D82A7F" w14:paraId="6D1056DC" w14:textId="390BC77D">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The IRS </w:t>
      </w:r>
      <w:r w:rsidR="009C35F4">
        <w:rPr>
          <w:rFonts w:asciiTheme="minorHAnsi" w:hAnsiTheme="minorHAnsi" w:cstheme="minorHAnsi"/>
          <w:sz w:val="22"/>
          <w:szCs w:val="22"/>
        </w:rPr>
        <w:t xml:space="preserve">is </w:t>
      </w:r>
      <w:r>
        <w:rPr>
          <w:rFonts w:asciiTheme="minorHAnsi" w:hAnsiTheme="minorHAnsi" w:cstheme="minorHAnsi"/>
          <w:sz w:val="22"/>
          <w:szCs w:val="22"/>
        </w:rPr>
        <w:t>includ</w:t>
      </w:r>
      <w:r w:rsidR="009C35F4">
        <w:rPr>
          <w:rFonts w:asciiTheme="minorHAnsi" w:hAnsiTheme="minorHAnsi" w:cstheme="minorHAnsi"/>
          <w:sz w:val="22"/>
          <w:szCs w:val="22"/>
        </w:rPr>
        <w:t>ing</w:t>
      </w:r>
      <w:r>
        <w:rPr>
          <w:rFonts w:asciiTheme="minorHAnsi" w:hAnsiTheme="minorHAnsi" w:cstheme="minorHAnsi"/>
          <w:sz w:val="22"/>
          <w:szCs w:val="22"/>
        </w:rPr>
        <w:t xml:space="preserve"> a copy of the filer instructions with this OMB submission. There will be an additional 30-day comment period beginning on the date a second Notice and request for comments on the collection of information requirements related to the broker regulations. </w:t>
      </w:r>
    </w:p>
    <w:p w:rsidR="00D82A7F" w:rsidP="00D82A7F" w14:paraId="26E12498" w14:textId="0CE15B7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have been made to Form 1099-DA as a result of this comment. </w:t>
      </w:r>
    </w:p>
    <w:p w:rsidR="00D82A7F" w:rsidP="00D82A7F" w14:paraId="499E2062" w14:textId="597AA320">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Burden Analysis</w:t>
      </w:r>
    </w:p>
    <w:p w:rsidR="00D82A7F" w:rsidP="00D82A7F" w14:paraId="524D204C" w14:textId="0490ADA3">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w:t>
      </w:r>
      <w:r w:rsidR="00C940D6">
        <w:rPr>
          <w:rFonts w:asciiTheme="minorHAnsi" w:hAnsiTheme="minorHAnsi" w:cstheme="minorHAnsi"/>
          <w:sz w:val="22"/>
          <w:szCs w:val="22"/>
        </w:rPr>
        <w:t xml:space="preserve">Four </w:t>
      </w:r>
      <w:r>
        <w:rPr>
          <w:rFonts w:asciiTheme="minorHAnsi" w:hAnsiTheme="minorHAnsi" w:cstheme="minorHAnsi"/>
          <w:sz w:val="22"/>
          <w:szCs w:val="22"/>
        </w:rPr>
        <w:t xml:space="preserve">comments addressed the burden analysis in the regulations. They claimed the analysis was incorrect because the estimate is based on responses per customer rather than </w:t>
      </w:r>
      <w:r w:rsidR="000B7761">
        <w:rPr>
          <w:rFonts w:asciiTheme="minorHAnsi" w:hAnsiTheme="minorHAnsi" w:cstheme="minorHAnsi"/>
          <w:sz w:val="22"/>
          <w:szCs w:val="22"/>
        </w:rPr>
        <w:t xml:space="preserve">on a </w:t>
      </w:r>
      <w:r>
        <w:rPr>
          <w:rFonts w:asciiTheme="minorHAnsi" w:hAnsiTheme="minorHAnsi" w:cstheme="minorHAnsi"/>
          <w:sz w:val="22"/>
          <w:szCs w:val="22"/>
        </w:rPr>
        <w:t>per</w:t>
      </w:r>
      <w:r w:rsidR="000B7761">
        <w:rPr>
          <w:rFonts w:asciiTheme="minorHAnsi" w:hAnsiTheme="minorHAnsi" w:cstheme="minorHAnsi"/>
          <w:sz w:val="22"/>
          <w:szCs w:val="22"/>
        </w:rPr>
        <w:t>-</w:t>
      </w:r>
      <w:r>
        <w:rPr>
          <w:rFonts w:asciiTheme="minorHAnsi" w:hAnsiTheme="minorHAnsi" w:cstheme="minorHAnsi"/>
          <w:sz w:val="22"/>
          <w:szCs w:val="22"/>
        </w:rPr>
        <w:t>form basis</w:t>
      </w:r>
      <w:r w:rsidR="000B7761">
        <w:rPr>
          <w:rFonts w:asciiTheme="minorHAnsi" w:hAnsiTheme="minorHAnsi" w:cstheme="minorHAnsi"/>
          <w:sz w:val="22"/>
          <w:szCs w:val="22"/>
        </w:rPr>
        <w:t>. The comments</w:t>
      </w:r>
      <w:r>
        <w:rPr>
          <w:rFonts w:asciiTheme="minorHAnsi" w:hAnsiTheme="minorHAnsi" w:cstheme="minorHAnsi"/>
          <w:sz w:val="22"/>
          <w:szCs w:val="22"/>
        </w:rPr>
        <w:t xml:space="preserve"> recalculated the burden using an estimated 8 billion forms based on a comment by the former Director of Digital Assets for the IRS.</w:t>
      </w:r>
    </w:p>
    <w:p w:rsidR="00D82A7F" w:rsidP="00D82A7F" w14:paraId="73DCF57F" w14:textId="020B588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The burden estimate is based on the number of customers who will receive customer statements DA rather than the number of Forms 1099-DA that the broker must file with respect to each customer receives because the primary broker burden is related to the system design and implementation required by the regulations. The burden associated with each additional Form 1099-DA required to be filed is expected to be marginal compared with the cost of implementing the reporting system for each customer. The reference to 8 billion returns was not an estimate of the number of forms the IRS expected to receive under the proposed or final regulations. Moreover, the optional method for reporting of qualified stablecoins and certain NFTs, which permit reporting of transactions on an aggregate basis after the implementation of </w:t>
      </w:r>
      <w:r w:rsidRPr="00B505F4">
        <w:rPr>
          <w:rFonts w:asciiTheme="minorHAnsi" w:hAnsiTheme="minorHAnsi" w:cstheme="minorHAnsi"/>
          <w:sz w:val="22"/>
          <w:szCs w:val="22"/>
        </w:rPr>
        <w:t>de minimis</w:t>
      </w:r>
      <w:r>
        <w:rPr>
          <w:rFonts w:asciiTheme="minorHAnsi" w:hAnsiTheme="minorHAnsi" w:cstheme="minorHAnsi"/>
          <w:sz w:val="22"/>
          <w:szCs w:val="22"/>
        </w:rPr>
        <w:t xml:space="preserve"> thresholds, should further </w:t>
      </w:r>
      <w:r w:rsidR="003D4D5E">
        <w:rPr>
          <w:rFonts w:asciiTheme="minorHAnsi" w:hAnsiTheme="minorHAnsi" w:cstheme="minorHAnsi"/>
          <w:sz w:val="22"/>
          <w:szCs w:val="22"/>
        </w:rPr>
        <w:t xml:space="preserve">reduce </w:t>
      </w:r>
      <w:r>
        <w:rPr>
          <w:rFonts w:asciiTheme="minorHAnsi" w:hAnsiTheme="minorHAnsi" w:cstheme="minorHAnsi"/>
          <w:sz w:val="22"/>
          <w:szCs w:val="22"/>
        </w:rPr>
        <w:t xml:space="preserve">the number of forms the IRS will receive under the final regulations. </w:t>
      </w:r>
    </w:p>
    <w:p w:rsidR="00D82A7F" w:rsidP="00D82A7F" w14:paraId="7EC30CEF" w14:textId="5C7AB6C9">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w:t>
      </w:r>
      <w:bookmarkStart w:id="1" w:name="_Hlk172638426"/>
      <w:r>
        <w:rPr>
          <w:rFonts w:asciiTheme="minorHAnsi" w:hAnsiTheme="minorHAnsi" w:cstheme="minorHAnsi"/>
          <w:sz w:val="22"/>
          <w:szCs w:val="22"/>
        </w:rPr>
        <w:t xml:space="preserve">No changes have been made to Form 1099-DA as a result of these comments. </w:t>
      </w:r>
    </w:p>
    <w:bookmarkEnd w:id="1"/>
    <w:p w:rsidR="004B7FE9" w:rsidP="004B7FE9" w14:paraId="62D442E2" w14:textId="029B5E25">
      <w:pPr>
        <w:pStyle w:val="ListParagraph"/>
        <w:numPr>
          <w:ilvl w:val="0"/>
          <w:numId w:val="10"/>
        </w:numPr>
        <w:spacing w:line="276" w:lineRule="auto"/>
        <w:ind w:left="1080"/>
        <w:contextualSpacing/>
        <w:rPr>
          <w:rFonts w:asciiTheme="minorHAnsi" w:hAnsiTheme="minorHAnsi" w:cstheme="minorHAnsi"/>
          <w:sz w:val="22"/>
          <w:szCs w:val="22"/>
        </w:rPr>
      </w:pPr>
      <w:r>
        <w:rPr>
          <w:rFonts w:asciiTheme="minorHAnsi" w:hAnsiTheme="minorHAnsi" w:cstheme="minorHAnsi"/>
          <w:sz w:val="22"/>
          <w:szCs w:val="22"/>
        </w:rPr>
        <w:t xml:space="preserve">Commenter Category – </w:t>
      </w:r>
      <w:r w:rsidR="0072624E">
        <w:rPr>
          <w:rFonts w:asciiTheme="minorHAnsi" w:hAnsiTheme="minorHAnsi" w:cstheme="minorHAnsi"/>
          <w:sz w:val="22"/>
          <w:szCs w:val="22"/>
        </w:rPr>
        <w:t xml:space="preserve">Indirectly </w:t>
      </w:r>
      <w:r>
        <w:rPr>
          <w:rFonts w:asciiTheme="minorHAnsi" w:hAnsiTheme="minorHAnsi" w:cstheme="minorHAnsi"/>
          <w:sz w:val="22"/>
          <w:szCs w:val="22"/>
        </w:rPr>
        <w:t>Related to the Form 1099-DA</w:t>
      </w:r>
    </w:p>
    <w:p w:rsidR="00873818" w:rsidP="00873818" w14:paraId="79CE1031" w14:textId="03043723">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Backup Withholding</w:t>
      </w:r>
    </w:p>
    <w:p w:rsidR="00873818" w:rsidP="00873818" w14:paraId="715032CB" w14:textId="5B236BB9">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Two comments discussed issues with respect to backup withholding </w:t>
      </w:r>
      <w:r w:rsidR="003D4D5E">
        <w:rPr>
          <w:rFonts w:asciiTheme="minorHAnsi" w:hAnsiTheme="minorHAnsi" w:cstheme="minorHAnsi"/>
          <w:sz w:val="22"/>
          <w:szCs w:val="22"/>
        </w:rPr>
        <w:t xml:space="preserve">under </w:t>
      </w:r>
      <w:r w:rsidR="00215C30">
        <w:rPr>
          <w:rFonts w:asciiTheme="minorHAnsi" w:hAnsiTheme="minorHAnsi" w:cstheme="minorHAnsi"/>
          <w:sz w:val="22"/>
          <w:szCs w:val="22"/>
        </w:rPr>
        <w:t>section</w:t>
      </w:r>
      <w:r w:rsidR="003D4D5E">
        <w:rPr>
          <w:rFonts w:asciiTheme="minorHAnsi" w:hAnsiTheme="minorHAnsi" w:cstheme="minorHAnsi"/>
          <w:sz w:val="22"/>
          <w:szCs w:val="22"/>
        </w:rPr>
        <w:t xml:space="preserve"> 3406 </w:t>
      </w:r>
      <w:r>
        <w:rPr>
          <w:rFonts w:asciiTheme="minorHAnsi" w:hAnsiTheme="minorHAnsi" w:cstheme="minorHAnsi"/>
          <w:sz w:val="22"/>
          <w:szCs w:val="22"/>
        </w:rPr>
        <w:t xml:space="preserve">for </w:t>
      </w:r>
      <w:r w:rsidR="003D4D5E">
        <w:rPr>
          <w:rFonts w:asciiTheme="minorHAnsi" w:hAnsiTheme="minorHAnsi" w:cstheme="minorHAnsi"/>
          <w:sz w:val="22"/>
          <w:szCs w:val="22"/>
        </w:rPr>
        <w:t xml:space="preserve">transactions involving </w:t>
      </w:r>
      <w:r>
        <w:rPr>
          <w:rFonts w:asciiTheme="minorHAnsi" w:hAnsiTheme="minorHAnsi" w:cstheme="minorHAnsi"/>
          <w:sz w:val="22"/>
          <w:szCs w:val="22"/>
        </w:rPr>
        <w:t xml:space="preserve">digital assets. These issues include valuation concerns, </w:t>
      </w:r>
      <w:r w:rsidR="003D4D5E">
        <w:rPr>
          <w:rFonts w:asciiTheme="minorHAnsi" w:hAnsiTheme="minorHAnsi" w:cstheme="minorHAnsi"/>
          <w:sz w:val="22"/>
          <w:szCs w:val="22"/>
        </w:rPr>
        <w:t xml:space="preserve">the difficulty of </w:t>
      </w:r>
      <w:r>
        <w:rPr>
          <w:rFonts w:asciiTheme="minorHAnsi" w:hAnsiTheme="minorHAnsi" w:cstheme="minorHAnsi"/>
          <w:sz w:val="22"/>
          <w:szCs w:val="22"/>
        </w:rPr>
        <w:t>withholding on digital assets that cannot be fractionalized, and potential concerns implementing withholding for transactions as of January 1, 2025.</w:t>
      </w:r>
    </w:p>
    <w:p w:rsidR="00873818" w:rsidP="00873818" w14:paraId="2CB9846B" w14:textId="4D013E04">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IRS Response: Notice 2024-56</w:t>
      </w:r>
      <w:r w:rsidR="00E80530">
        <w:rPr>
          <w:rFonts w:asciiTheme="minorHAnsi" w:hAnsiTheme="minorHAnsi" w:cstheme="minorHAnsi"/>
          <w:sz w:val="22"/>
          <w:szCs w:val="22"/>
        </w:rPr>
        <w:t xml:space="preserve">, 2024-29 I.R.B. </w:t>
      </w:r>
      <w:r w:rsidR="006C1BF0">
        <w:rPr>
          <w:rFonts w:asciiTheme="minorHAnsi" w:hAnsiTheme="minorHAnsi" w:cstheme="minorHAnsi"/>
          <w:sz w:val="22"/>
          <w:szCs w:val="22"/>
        </w:rPr>
        <w:t xml:space="preserve">64 </w:t>
      </w:r>
      <w:r w:rsidR="00E80530">
        <w:rPr>
          <w:rFonts w:asciiTheme="minorHAnsi" w:hAnsiTheme="minorHAnsi" w:cstheme="minorHAnsi"/>
          <w:sz w:val="22"/>
          <w:szCs w:val="22"/>
        </w:rPr>
        <w:t>(July 15, 2024),</w:t>
      </w:r>
      <w:r>
        <w:rPr>
          <w:rFonts w:asciiTheme="minorHAnsi" w:hAnsiTheme="minorHAnsi" w:cstheme="minorHAnsi"/>
          <w:sz w:val="22"/>
          <w:szCs w:val="22"/>
        </w:rPr>
        <w:t xml:space="preserve"> provides, among other things, certain relief from penalties and backup withholding: for </w:t>
      </w:r>
      <w:r>
        <w:rPr>
          <w:rFonts w:asciiTheme="minorHAnsi" w:hAnsiTheme="minorHAnsi" w:cstheme="minorHAnsi"/>
          <w:sz w:val="22"/>
          <w:szCs w:val="22"/>
        </w:rPr>
        <w:t xml:space="preserve">any sale of a digital asset effected by a broker during calendar year 2025; for any sale of a digital asset effected by a broker in return for specified NFTs; for any digital asset for real property sale effected by a real estate reporting person; and for certain sales of digital assets effected by processors of digital asset payments. Additionally, the notice provides transitional relief from backup withholding and penalties for brokers who fail to backup withhold and pay the full backup withholding tax due if such failure is due to a decrease in the value of withheld digital assets in a sale of digital assets in return for different digital assets effected on or before December 31, 2026, and the broker immediately liquidates the withheld digital asset for cash. </w:t>
      </w:r>
    </w:p>
    <w:p w:rsidR="00873818" w:rsidP="00873818" w14:paraId="6419BB49" w14:textId="7F686A93">
      <w:pPr>
        <w:pStyle w:val="ListParagraph"/>
        <w:numPr>
          <w:ilvl w:val="2"/>
          <w:numId w:val="10"/>
        </w:numPr>
        <w:spacing w:line="276" w:lineRule="auto"/>
        <w:ind w:left="2340" w:hanging="360"/>
        <w:contextualSpacing/>
        <w:rPr>
          <w:rFonts w:asciiTheme="minorHAnsi" w:hAnsiTheme="minorHAnsi" w:cstheme="minorHAnsi"/>
          <w:sz w:val="22"/>
          <w:szCs w:val="22"/>
        </w:rPr>
      </w:pPr>
      <w:r w:rsidRPr="00F75EE5">
        <w:rPr>
          <w:rFonts w:asciiTheme="minorHAnsi" w:hAnsiTheme="minorHAnsi" w:cstheme="minorHAnsi"/>
          <w:sz w:val="22"/>
          <w:szCs w:val="22"/>
        </w:rPr>
        <w:t xml:space="preserve">How Form 1099-DA is Affected: No changes </w:t>
      </w:r>
      <w:r>
        <w:rPr>
          <w:rFonts w:asciiTheme="minorHAnsi" w:hAnsiTheme="minorHAnsi" w:cstheme="minorHAnsi"/>
          <w:sz w:val="22"/>
          <w:szCs w:val="22"/>
        </w:rPr>
        <w:t>have been</w:t>
      </w:r>
      <w:r w:rsidRPr="00F75EE5">
        <w:rPr>
          <w:rFonts w:asciiTheme="minorHAnsi" w:hAnsiTheme="minorHAnsi" w:cstheme="minorHAnsi"/>
          <w:sz w:val="22"/>
          <w:szCs w:val="22"/>
        </w:rPr>
        <w:t xml:space="preserve"> made to Form 1099-DA as a result of these comments. The instructions to Form 1099-DA include an explanation of </w:t>
      </w:r>
      <w:r>
        <w:rPr>
          <w:rFonts w:asciiTheme="minorHAnsi" w:hAnsiTheme="minorHAnsi" w:cstheme="minorHAnsi"/>
          <w:sz w:val="22"/>
          <w:szCs w:val="22"/>
        </w:rPr>
        <w:t>this requirement.</w:t>
      </w:r>
    </w:p>
    <w:p w:rsidR="004B7FE9" w:rsidP="006C5C72" w14:paraId="7E7ADD85" w14:textId="65EFBE3E">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Timing of realization event </w:t>
      </w:r>
    </w:p>
    <w:p w:rsidR="004B7FE9" w:rsidP="00B505F4" w14:paraId="4A9130A0" w14:textId="436F565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One comment requested the </w:t>
      </w:r>
      <w:r w:rsidR="00AF551B">
        <w:rPr>
          <w:rFonts w:asciiTheme="minorHAnsi" w:hAnsiTheme="minorHAnsi" w:cstheme="minorHAnsi"/>
          <w:sz w:val="22"/>
          <w:szCs w:val="22"/>
        </w:rPr>
        <w:t>Form 1099-DA</w:t>
      </w:r>
      <w:r>
        <w:rPr>
          <w:rFonts w:asciiTheme="minorHAnsi" w:hAnsiTheme="minorHAnsi" w:cstheme="minorHAnsi"/>
          <w:sz w:val="22"/>
          <w:szCs w:val="22"/>
        </w:rPr>
        <w:t xml:space="preserve"> reflect </w:t>
      </w:r>
      <w:r w:rsidRPr="00A40F7A">
        <w:rPr>
          <w:rFonts w:asciiTheme="minorHAnsi" w:hAnsiTheme="minorHAnsi" w:cstheme="minorHAnsi"/>
          <w:sz w:val="22"/>
          <w:szCs w:val="22"/>
        </w:rPr>
        <w:t xml:space="preserve">their </w:t>
      </w:r>
      <w:r w:rsidRPr="00A40F7A" w:rsidR="00077042">
        <w:rPr>
          <w:rFonts w:asciiTheme="minorHAnsi" w:hAnsiTheme="minorHAnsi" w:cstheme="minorHAnsi"/>
          <w:sz w:val="22"/>
          <w:szCs w:val="22"/>
        </w:rPr>
        <w:t xml:space="preserve">views </w:t>
      </w:r>
      <w:r w:rsidRPr="00A40F7A">
        <w:rPr>
          <w:rFonts w:asciiTheme="minorHAnsi" w:hAnsiTheme="minorHAnsi" w:cstheme="minorHAnsi"/>
          <w:sz w:val="22"/>
          <w:szCs w:val="22"/>
        </w:rPr>
        <w:t>that</w:t>
      </w:r>
      <w:r>
        <w:rPr>
          <w:rFonts w:asciiTheme="minorHAnsi" w:hAnsiTheme="minorHAnsi" w:cstheme="minorHAnsi"/>
          <w:sz w:val="22"/>
          <w:szCs w:val="22"/>
        </w:rPr>
        <w:t xml:space="preserve"> cryptocurrency should only be taxed when it is sold for cash</w:t>
      </w:r>
      <w:r w:rsidR="0017170C">
        <w:rPr>
          <w:rFonts w:asciiTheme="minorHAnsi" w:hAnsiTheme="minorHAnsi" w:cstheme="minorHAnsi"/>
          <w:sz w:val="22"/>
          <w:szCs w:val="22"/>
        </w:rPr>
        <w:t xml:space="preserve"> and that the </w:t>
      </w:r>
      <w:r w:rsidR="00550C48">
        <w:rPr>
          <w:rFonts w:asciiTheme="minorHAnsi" w:hAnsiTheme="minorHAnsi" w:cstheme="minorHAnsi"/>
          <w:sz w:val="22"/>
          <w:szCs w:val="22"/>
        </w:rPr>
        <w:t xml:space="preserve">exchange of digital assets for other digital assets or services should not be </w:t>
      </w:r>
      <w:r w:rsidR="003C1685">
        <w:rPr>
          <w:rFonts w:asciiTheme="minorHAnsi" w:hAnsiTheme="minorHAnsi" w:cstheme="minorHAnsi"/>
          <w:sz w:val="22"/>
          <w:szCs w:val="22"/>
        </w:rPr>
        <w:t xml:space="preserve">treated as </w:t>
      </w:r>
      <w:r w:rsidR="00550C48">
        <w:rPr>
          <w:rFonts w:asciiTheme="minorHAnsi" w:hAnsiTheme="minorHAnsi" w:cstheme="minorHAnsi"/>
          <w:sz w:val="22"/>
          <w:szCs w:val="22"/>
        </w:rPr>
        <w:t>taxable events</w:t>
      </w:r>
      <w:r>
        <w:rPr>
          <w:rFonts w:asciiTheme="minorHAnsi" w:hAnsiTheme="minorHAnsi" w:cstheme="minorHAnsi"/>
          <w:sz w:val="22"/>
          <w:szCs w:val="22"/>
        </w:rPr>
        <w:t>.</w:t>
      </w:r>
    </w:p>
    <w:p w:rsidR="004B7FE9" w:rsidP="00B505F4" w14:paraId="3F0346F6" w14:textId="7D4BB26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The IRS has determined that treating an exchange of digital assets for digital assets is a realization event, within the meaning of section 1001(a) and existing precedents. This treatment is consistent with longstanding legal principals. Accordingly, </w:t>
      </w:r>
      <w:r w:rsidR="00361083">
        <w:rPr>
          <w:rFonts w:asciiTheme="minorHAnsi" w:hAnsiTheme="minorHAnsi" w:cstheme="minorHAnsi"/>
          <w:sz w:val="22"/>
          <w:szCs w:val="22"/>
        </w:rPr>
        <w:t xml:space="preserve">Treasury Regulation </w:t>
      </w:r>
      <w:r>
        <w:rPr>
          <w:rFonts w:asciiTheme="minorHAnsi" w:hAnsiTheme="minorHAnsi" w:cstheme="minorHAnsi"/>
          <w:sz w:val="22"/>
          <w:szCs w:val="22"/>
        </w:rPr>
        <w:t xml:space="preserve">§ 1.1001-7(b)(1) and (b)(1)(iii)(C) treat such an exchange as a realization event. </w:t>
      </w:r>
    </w:p>
    <w:p w:rsidR="004B7FE9" w:rsidP="00B505F4" w14:paraId="7BC6273A" w14:textId="4B9CC41F">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have been made to Form 1099-DA as a result of this comment.</w:t>
      </w:r>
    </w:p>
    <w:p w:rsidR="004B7FE9" w:rsidP="006C5C72" w14:paraId="7BDBD06E" w14:textId="08E53340">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Impact of reporting on the digital asset industry </w:t>
      </w:r>
    </w:p>
    <w:p w:rsidR="004B7FE9" w:rsidP="00B505F4" w14:paraId="3AD80F9C" w14:textId="0BF57CF6">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One comment disagreed with the underlying premise of the regulations that digital asset transactions should be subject to reporting under section 6045. This comment stated that the Form 1099-DA is premature because: a digital asset is not a stock</w:t>
      </w:r>
      <w:r w:rsidR="00D66982">
        <w:rPr>
          <w:rFonts w:asciiTheme="minorHAnsi" w:hAnsiTheme="minorHAnsi" w:cstheme="minorHAnsi"/>
          <w:sz w:val="22"/>
          <w:szCs w:val="22"/>
        </w:rPr>
        <w:t>;</w:t>
      </w:r>
      <w:r>
        <w:rPr>
          <w:rFonts w:asciiTheme="minorHAnsi" w:hAnsiTheme="minorHAnsi" w:cstheme="minorHAnsi"/>
          <w:sz w:val="22"/>
          <w:szCs w:val="22"/>
        </w:rPr>
        <w:t xml:space="preserve"> reporting on digital assets will threaten the digital asset industry</w:t>
      </w:r>
      <w:r w:rsidR="00D66982">
        <w:rPr>
          <w:rFonts w:asciiTheme="minorHAnsi" w:hAnsiTheme="minorHAnsi" w:cstheme="minorHAnsi"/>
          <w:sz w:val="22"/>
          <w:szCs w:val="22"/>
        </w:rPr>
        <w:t>;</w:t>
      </w:r>
      <w:r>
        <w:rPr>
          <w:rFonts w:asciiTheme="minorHAnsi" w:hAnsiTheme="minorHAnsi" w:cstheme="minorHAnsi"/>
          <w:sz w:val="22"/>
          <w:szCs w:val="22"/>
        </w:rPr>
        <w:t xml:space="preserve"> the digital asset industry is unregulated and therefore should not be subject to tax</w:t>
      </w:r>
      <w:r w:rsidR="00D66982">
        <w:rPr>
          <w:rFonts w:asciiTheme="minorHAnsi" w:hAnsiTheme="minorHAnsi" w:cstheme="minorHAnsi"/>
          <w:sz w:val="22"/>
          <w:szCs w:val="22"/>
        </w:rPr>
        <w:t>;</w:t>
      </w:r>
      <w:r>
        <w:rPr>
          <w:rFonts w:asciiTheme="minorHAnsi" w:hAnsiTheme="minorHAnsi" w:cstheme="minorHAnsi"/>
          <w:sz w:val="22"/>
          <w:szCs w:val="22"/>
        </w:rPr>
        <w:t xml:space="preserve"> the IRS should wait for Congressional action before requiring reporting</w:t>
      </w:r>
      <w:r w:rsidR="00D66982">
        <w:rPr>
          <w:rFonts w:asciiTheme="minorHAnsi" w:hAnsiTheme="minorHAnsi" w:cstheme="minorHAnsi"/>
          <w:sz w:val="22"/>
          <w:szCs w:val="22"/>
        </w:rPr>
        <w:t>;</w:t>
      </w:r>
      <w:r>
        <w:rPr>
          <w:rFonts w:asciiTheme="minorHAnsi" w:hAnsiTheme="minorHAnsi" w:cstheme="minorHAnsi"/>
          <w:sz w:val="22"/>
          <w:szCs w:val="22"/>
        </w:rPr>
        <w:t xml:space="preserve"> and that digital asset uses and reporting need to be further examined.</w:t>
      </w:r>
    </w:p>
    <w:p w:rsidR="004B7FE9" w:rsidP="00B505F4" w14:paraId="0DDBB30F" w14:textId="7E9A98C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Section 80603 of the Infrastructure Investment and Jobs Act amended section 6045 by clarifying and expanding the rules regarding how digital asset brokers should report their customers’ digital asset transactions. </w:t>
      </w:r>
      <w:r w:rsidR="00D66982">
        <w:rPr>
          <w:rFonts w:asciiTheme="minorHAnsi" w:hAnsiTheme="minorHAnsi" w:cstheme="minorHAnsi"/>
          <w:sz w:val="22"/>
          <w:szCs w:val="22"/>
        </w:rPr>
        <w:t xml:space="preserve">The regulations requiring reporting on digital asset transactions are based on this clear statutory </w:t>
      </w:r>
      <w:r>
        <w:rPr>
          <w:rFonts w:asciiTheme="minorHAnsi" w:hAnsiTheme="minorHAnsi" w:cstheme="minorHAnsi"/>
          <w:sz w:val="22"/>
          <w:szCs w:val="22"/>
        </w:rPr>
        <w:t>amendment.</w:t>
      </w:r>
    </w:p>
    <w:p w:rsidR="004B7FE9" w:rsidP="00B505F4" w14:paraId="407102B1" w14:textId="2EB1FC9A">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w:t>
      </w:r>
      <w:r w:rsidR="008B7457">
        <w:rPr>
          <w:rFonts w:asciiTheme="minorHAnsi" w:hAnsiTheme="minorHAnsi" w:cstheme="minorHAnsi"/>
          <w:sz w:val="22"/>
          <w:szCs w:val="22"/>
        </w:rPr>
        <w:t>have been</w:t>
      </w:r>
      <w:r>
        <w:rPr>
          <w:rFonts w:asciiTheme="minorHAnsi" w:hAnsiTheme="minorHAnsi" w:cstheme="minorHAnsi"/>
          <w:sz w:val="22"/>
          <w:szCs w:val="22"/>
        </w:rPr>
        <w:t xml:space="preserve"> made to Form 1099-DA as a result of this comment. </w:t>
      </w:r>
    </w:p>
    <w:p w:rsidR="004B7FE9" w:rsidP="00902812" w14:paraId="04C323DE" w14:textId="06165C20">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Special Reporting Rules</w:t>
      </w:r>
    </w:p>
    <w:p w:rsidR="004B7FE9" w:rsidP="00B505F4" w14:paraId="4D43BB7D" w14:textId="7777777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Several comments (5) requested special reporting rules including: </w:t>
      </w:r>
      <w:r w:rsidRPr="00BF248E">
        <w:rPr>
          <w:rFonts w:asciiTheme="minorHAnsi" w:hAnsiTheme="minorHAnsi" w:cstheme="minorHAnsi"/>
          <w:sz w:val="22"/>
          <w:szCs w:val="22"/>
          <w:u w:val="single"/>
        </w:rPr>
        <w:t>de minimis</w:t>
      </w:r>
      <w:r>
        <w:rPr>
          <w:rFonts w:asciiTheme="minorHAnsi" w:hAnsiTheme="minorHAnsi" w:cstheme="minorHAnsi"/>
          <w:sz w:val="22"/>
          <w:szCs w:val="22"/>
        </w:rPr>
        <w:t xml:space="preserve"> reporting, aggregate reporting, and a reporting exception for non-fungible tokens (NFTs) and stablecoins. </w:t>
      </w:r>
    </w:p>
    <w:p w:rsidR="004B7FE9" w:rsidP="00B505F4" w14:paraId="3A7C7AF5" w14:textId="2B74F35E">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In response to the </w:t>
      </w:r>
      <w:r w:rsidRPr="00BF248E">
        <w:rPr>
          <w:rFonts w:asciiTheme="minorHAnsi" w:hAnsiTheme="minorHAnsi" w:cstheme="minorHAnsi"/>
          <w:sz w:val="22"/>
          <w:szCs w:val="22"/>
        </w:rPr>
        <w:t xml:space="preserve">comments received on the proposed regulations, </w:t>
      </w:r>
      <w:r>
        <w:rPr>
          <w:rFonts w:asciiTheme="minorHAnsi" w:hAnsiTheme="minorHAnsi" w:cstheme="minorHAnsi"/>
          <w:sz w:val="22"/>
          <w:szCs w:val="22"/>
        </w:rPr>
        <w:t xml:space="preserve">the final regulations include a </w:t>
      </w:r>
      <w:r w:rsidRPr="00BF248E">
        <w:rPr>
          <w:rFonts w:asciiTheme="minorHAnsi" w:hAnsiTheme="minorHAnsi" w:cstheme="minorHAnsi"/>
          <w:sz w:val="22"/>
          <w:szCs w:val="22"/>
          <w:u w:val="single"/>
        </w:rPr>
        <w:t>de minimis</w:t>
      </w:r>
      <w:r>
        <w:rPr>
          <w:rFonts w:asciiTheme="minorHAnsi" w:hAnsiTheme="minorHAnsi" w:cstheme="minorHAnsi"/>
          <w:sz w:val="22"/>
          <w:szCs w:val="22"/>
        </w:rPr>
        <w:t xml:space="preserve"> rule for PDAPs. Additionally, the final regulations include an optional alternative reporting method for sales of certain NFTs and qualifying stablecoins to allow for aggregate reporting instead of transactional reporting, with a </w:t>
      </w:r>
      <w:r w:rsidRPr="00A84B21">
        <w:rPr>
          <w:rFonts w:asciiTheme="minorHAnsi" w:hAnsiTheme="minorHAnsi" w:cstheme="minorHAnsi"/>
          <w:sz w:val="22"/>
          <w:szCs w:val="22"/>
          <w:u w:val="single"/>
        </w:rPr>
        <w:t>de minimis</w:t>
      </w:r>
      <w:r>
        <w:rPr>
          <w:rFonts w:asciiTheme="minorHAnsi" w:hAnsiTheme="minorHAnsi" w:cstheme="minorHAnsi"/>
          <w:sz w:val="22"/>
          <w:szCs w:val="22"/>
        </w:rPr>
        <w:t xml:space="preserve"> threshold below which no reporting required. </w:t>
      </w:r>
    </w:p>
    <w:p w:rsidR="004B7FE9" w:rsidP="00B505F4" w14:paraId="5485ECF5" w14:textId="78CE8B05">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The Form 1099-DA includes box 11a, 11b, and 11c for brokers to provide information under the optional alternative reporting method. No other changes will be made to Form 1099-DA as a result of this comment.</w:t>
      </w:r>
    </w:p>
    <w:p w:rsidR="004B7FE9" w:rsidP="00902812" w14:paraId="30E058AF" w14:textId="26B82864">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International</w:t>
      </w:r>
    </w:p>
    <w:p w:rsidR="004B7FE9" w:rsidP="00B505F4" w14:paraId="29B6F7B5" w14:textId="0BE2E84D">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Summary of Comments: One comment said the instructions should not consider certain </w:t>
      </w:r>
      <w:r w:rsidR="001B0883">
        <w:rPr>
          <w:rFonts w:asciiTheme="minorHAnsi" w:hAnsiTheme="minorHAnsi" w:cstheme="minorHAnsi"/>
          <w:sz w:val="22"/>
          <w:szCs w:val="22"/>
        </w:rPr>
        <w:t xml:space="preserve">indicia of </w:t>
      </w:r>
      <w:r>
        <w:rPr>
          <w:rFonts w:asciiTheme="minorHAnsi" w:hAnsiTheme="minorHAnsi" w:cstheme="minorHAnsi"/>
          <w:sz w:val="22"/>
          <w:szCs w:val="22"/>
        </w:rPr>
        <w:t xml:space="preserve">U.S. </w:t>
      </w:r>
      <w:r w:rsidR="001B0883">
        <w:rPr>
          <w:rFonts w:asciiTheme="minorHAnsi" w:hAnsiTheme="minorHAnsi" w:cstheme="minorHAnsi"/>
          <w:sz w:val="22"/>
          <w:szCs w:val="22"/>
        </w:rPr>
        <w:t xml:space="preserve">status </w:t>
      </w:r>
      <w:r>
        <w:rPr>
          <w:rFonts w:asciiTheme="minorHAnsi" w:hAnsiTheme="minorHAnsi" w:cstheme="minorHAnsi"/>
          <w:sz w:val="22"/>
          <w:szCs w:val="22"/>
        </w:rPr>
        <w:t xml:space="preserve">(added in the proposed regulations) with respect to when brokers must treat customers as U.S. persons. </w:t>
      </w:r>
    </w:p>
    <w:p w:rsidR="004B7FE9" w:rsidP="00B505F4" w14:paraId="6B49B531" w14:textId="478ECC10">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IRS Response: The final regulations do not include any of the additional indicia that were included in proposed regulations for U.S. digital asset brokers. Moreover, the indicia information was not included on the Form 1099-DA. </w:t>
      </w:r>
    </w:p>
    <w:p w:rsidR="004B7FE9" w:rsidP="00B505F4" w14:paraId="05B8FBDC" w14:textId="7777777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How Form 1099-DA is Affected: No changes will be made to Form 1099-DA as a result of this comment.</w:t>
      </w:r>
    </w:p>
    <w:p w:rsidR="004B7FE9" w:rsidP="00902812" w14:paraId="61A0DB10" w14:textId="4C3755E2">
      <w:pPr>
        <w:pStyle w:val="ListParagraph"/>
        <w:numPr>
          <w:ilvl w:val="1"/>
          <w:numId w:val="10"/>
        </w:numPr>
        <w:spacing w:line="276" w:lineRule="auto"/>
        <w:ind w:left="1800"/>
        <w:contextualSpacing/>
        <w:rPr>
          <w:rFonts w:asciiTheme="minorHAnsi" w:hAnsiTheme="minorHAnsi" w:cstheme="minorHAnsi"/>
          <w:sz w:val="22"/>
          <w:szCs w:val="22"/>
        </w:rPr>
      </w:pPr>
      <w:r>
        <w:rPr>
          <w:rFonts w:asciiTheme="minorHAnsi" w:hAnsiTheme="minorHAnsi" w:cstheme="minorHAnsi"/>
          <w:sz w:val="22"/>
          <w:szCs w:val="22"/>
        </w:rPr>
        <w:t xml:space="preserve">Timing </w:t>
      </w:r>
    </w:p>
    <w:p w:rsidR="004B7FE9" w:rsidP="00B505F4" w14:paraId="7300D325" w14:textId="01E6914D">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Summary of Comments: Several comments (</w:t>
      </w:r>
      <w:r w:rsidR="002A3623">
        <w:rPr>
          <w:rFonts w:asciiTheme="minorHAnsi" w:hAnsiTheme="minorHAnsi" w:cstheme="minorHAnsi"/>
          <w:sz w:val="22"/>
          <w:szCs w:val="22"/>
        </w:rPr>
        <w:t>7</w:t>
      </w:r>
      <w:r>
        <w:rPr>
          <w:rFonts w:asciiTheme="minorHAnsi" w:hAnsiTheme="minorHAnsi" w:cstheme="minorHAnsi"/>
          <w:sz w:val="22"/>
          <w:szCs w:val="22"/>
        </w:rPr>
        <w:t>) requested a delay in the effective or applicability date of the regulations and the filing of Form 1099-DA.</w:t>
      </w:r>
    </w:p>
    <w:p w:rsidR="004B7FE9" w:rsidP="00B505F4" w14:paraId="01B12696" w14:textId="2EB0E623">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IRS Response: The final regulations were filed with the Federal Register on June 28, 2024, and published on July 9, 2024. Under these regulations, brokers have over 18 months before they are required to file Form 1099-DA. Additionally, Notice 2024-56</w:t>
      </w:r>
      <w:r w:rsidR="003C1685">
        <w:rPr>
          <w:rFonts w:asciiTheme="minorHAnsi" w:hAnsiTheme="minorHAnsi" w:cstheme="minorHAnsi"/>
          <w:sz w:val="22"/>
          <w:szCs w:val="22"/>
        </w:rPr>
        <w:t>, 2024-29 I.R.B. 64 (July 15, 2024),</w:t>
      </w:r>
      <w:r>
        <w:rPr>
          <w:rFonts w:asciiTheme="minorHAnsi" w:hAnsiTheme="minorHAnsi" w:cstheme="minorHAnsi"/>
          <w:sz w:val="22"/>
          <w:szCs w:val="22"/>
        </w:rPr>
        <w:t xml:space="preserve"> provides transitional relief for brokers reporting digital asset transactions effected in calendar year 2025. </w:t>
      </w:r>
    </w:p>
    <w:p w:rsidR="004B7FE9" w:rsidP="00B505F4" w14:paraId="0421EA97" w14:textId="4EC46937">
      <w:pPr>
        <w:pStyle w:val="ListParagraph"/>
        <w:numPr>
          <w:ilvl w:val="2"/>
          <w:numId w:val="10"/>
        </w:numPr>
        <w:spacing w:line="276" w:lineRule="auto"/>
        <w:ind w:left="2340" w:hanging="360"/>
        <w:contextualSpacing/>
        <w:rPr>
          <w:rFonts w:asciiTheme="minorHAnsi" w:hAnsiTheme="minorHAnsi" w:cstheme="minorHAnsi"/>
          <w:sz w:val="22"/>
          <w:szCs w:val="22"/>
        </w:rPr>
      </w:pPr>
      <w:r>
        <w:rPr>
          <w:rFonts w:asciiTheme="minorHAnsi" w:hAnsiTheme="minorHAnsi" w:cstheme="minorHAnsi"/>
          <w:sz w:val="22"/>
          <w:szCs w:val="22"/>
        </w:rPr>
        <w:t xml:space="preserve">How Form 1099-DA is Affected: No changes </w:t>
      </w:r>
      <w:r w:rsidR="009306CB">
        <w:rPr>
          <w:rFonts w:asciiTheme="minorHAnsi" w:hAnsiTheme="minorHAnsi" w:cstheme="minorHAnsi"/>
          <w:sz w:val="22"/>
          <w:szCs w:val="22"/>
        </w:rPr>
        <w:t>have been</w:t>
      </w:r>
      <w:r>
        <w:rPr>
          <w:rFonts w:asciiTheme="minorHAnsi" w:hAnsiTheme="minorHAnsi" w:cstheme="minorHAnsi"/>
          <w:sz w:val="22"/>
          <w:szCs w:val="22"/>
        </w:rPr>
        <w:t xml:space="preserve"> made to Form 1099-DA as a result of these comments. </w:t>
      </w:r>
    </w:p>
    <w:p w:rsidR="003F7A79" w:rsidRPr="003F7A79" w:rsidP="003F7A79" w14:paraId="56B3EC9D" w14:textId="56E8C0A1">
      <w:pPr>
        <w:spacing w:line="276" w:lineRule="auto"/>
        <w:contextualSpacing/>
        <w:rPr>
          <w:rFonts w:asciiTheme="minorHAnsi" w:hAnsiTheme="minorHAnsi" w:cstheme="minorHAnsi"/>
          <w:sz w:val="22"/>
          <w:szCs w:val="22"/>
        </w:rPr>
      </w:pPr>
    </w:p>
    <w:p w:rsidR="00332B28" w:rsidRPr="00613D6A" w14:paraId="3FA3EF43"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0F1EAD84" w14:textId="77777777">
      <w:pPr>
        <w:jc w:val="both"/>
        <w:rPr>
          <w:rFonts w:asciiTheme="minorHAnsi" w:hAnsiTheme="minorHAnsi" w:cstheme="minorHAnsi"/>
          <w:sz w:val="22"/>
          <w:szCs w:val="22"/>
        </w:rPr>
      </w:pPr>
    </w:p>
    <w:p w:rsidR="004D5EAB" w:rsidRPr="00613D6A" w:rsidP="004D5EAB" w14:paraId="26F36211" w14:textId="2CC6C0C2">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6205FA18" w14:textId="77777777">
      <w:pPr>
        <w:jc w:val="both"/>
        <w:rPr>
          <w:rFonts w:asciiTheme="minorHAnsi" w:hAnsiTheme="minorHAnsi" w:cstheme="minorHAnsi"/>
          <w:sz w:val="22"/>
          <w:szCs w:val="22"/>
        </w:rPr>
      </w:pPr>
    </w:p>
    <w:p w:rsidR="00332B28" w:rsidRPr="00613D6A"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CED6A7" w14:textId="77777777">
      <w:pPr>
        <w:jc w:val="both"/>
        <w:rPr>
          <w:rFonts w:asciiTheme="minorHAnsi" w:hAnsiTheme="minorHAnsi" w:cstheme="minorHAnsi"/>
          <w:sz w:val="22"/>
          <w:szCs w:val="22"/>
        </w:rPr>
      </w:pPr>
    </w:p>
    <w:p w:rsidR="00332B28" w:rsidRPr="00613D6A" w14:paraId="1F0D9BA9" w14:textId="0743D684">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681977D0" w14:textId="77777777">
      <w:pPr>
        <w:jc w:val="both"/>
        <w:rPr>
          <w:rFonts w:asciiTheme="minorHAnsi" w:hAnsiTheme="minorHAnsi" w:cstheme="minorHAnsi"/>
          <w:sz w:val="22"/>
          <w:szCs w:val="22"/>
        </w:rPr>
      </w:pPr>
    </w:p>
    <w:p w:rsidR="00332B28" w:rsidRPr="00613D6A" w14:paraId="3416431A"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5518FC6F" w14:textId="77777777">
      <w:pPr>
        <w:jc w:val="both"/>
        <w:rPr>
          <w:rFonts w:asciiTheme="minorHAnsi" w:hAnsiTheme="minorHAnsi" w:cstheme="minorHAnsi"/>
          <w:sz w:val="22"/>
          <w:szCs w:val="22"/>
          <w:u w:val="single"/>
        </w:rPr>
      </w:pPr>
    </w:p>
    <w:p w:rsidR="00956BAE" w:rsidRPr="00613D6A" w:rsidP="007B7294" w14:paraId="3A990CCF" w14:textId="6728B8E9">
      <w:pPr>
        <w:tabs>
          <w:tab w:val="left" w:pos="720"/>
        </w:tabs>
        <w:ind w:left="720" w:hanging="720"/>
        <w:rPr>
          <w:rFonts w:asciiTheme="minorHAnsi" w:hAnsiTheme="minorHAnsi" w:cstheme="minorHAnsi"/>
          <w:sz w:val="22"/>
          <w:szCs w:val="22"/>
        </w:rPr>
      </w:pPr>
      <w:r w:rsidRPr="00613D6A">
        <w:rPr>
          <w:rFonts w:asciiTheme="minorHAnsi" w:hAnsiTheme="minorHAnsi" w:cstheme="minorHAnsi"/>
          <w:sz w:val="22"/>
          <w:szCs w:val="22"/>
        </w:rPr>
        <w:tab/>
      </w:r>
      <w:r w:rsidRPr="00E826A3" w:rsidR="00E826A3">
        <w:rPr>
          <w:rFonts w:asciiTheme="minorHAnsi" w:hAnsiTheme="minorHAnsi" w:cstheme="minorHAnsi"/>
          <w:sz w:val="22"/>
          <w:szCs w:val="22"/>
        </w:rPr>
        <w:t>A privacy impact assessment (PIA) has been conducted for information collected under this request as part of the “Business Master File (BMF)” system and</w:t>
      </w:r>
      <w:r w:rsidR="007B7294">
        <w:rPr>
          <w:rFonts w:asciiTheme="minorHAnsi" w:hAnsiTheme="minorHAnsi" w:cstheme="minorHAnsi"/>
          <w:sz w:val="22"/>
          <w:szCs w:val="22"/>
        </w:rPr>
        <w:t xml:space="preserve"> the “Information Return Master File”. A</w:t>
      </w:r>
      <w:r w:rsidRPr="00E826A3" w:rsidR="00E826A3">
        <w:rPr>
          <w:rFonts w:asciiTheme="minorHAnsi" w:hAnsiTheme="minorHAnsi" w:cstheme="minorHAnsi"/>
          <w:sz w:val="22"/>
          <w:szCs w:val="22"/>
        </w:rPr>
        <w:t xml:space="preserve"> Privacy Act System of Records notice (SORN) has been issued for this system under</w:t>
      </w:r>
      <w:r w:rsidR="007B7294">
        <w:rPr>
          <w:rFonts w:asciiTheme="minorHAnsi" w:hAnsiTheme="minorHAnsi" w:cstheme="minorHAnsi"/>
          <w:sz w:val="22"/>
          <w:szCs w:val="22"/>
        </w:rPr>
        <w:t xml:space="preserve"> </w:t>
      </w:r>
      <w:r w:rsidRPr="00E826A3" w:rsidR="007B7294">
        <w:rPr>
          <w:rFonts w:asciiTheme="minorHAnsi" w:hAnsiTheme="minorHAnsi" w:cstheme="minorHAnsi"/>
          <w:sz w:val="22"/>
          <w:szCs w:val="22"/>
        </w:rPr>
        <w:t>IRS 22.061 – Information Return Master File</w:t>
      </w:r>
      <w:r w:rsidR="007B7294">
        <w:rPr>
          <w:rFonts w:asciiTheme="minorHAnsi" w:hAnsiTheme="minorHAnsi" w:cstheme="minorHAnsi"/>
          <w:sz w:val="22"/>
          <w:szCs w:val="22"/>
        </w:rPr>
        <w:t xml:space="preserve">, </w:t>
      </w:r>
      <w:r w:rsidRPr="00E826A3" w:rsidR="00E826A3">
        <w:rPr>
          <w:rFonts w:asciiTheme="minorHAnsi" w:hAnsiTheme="minorHAnsi" w:cstheme="minorHAnsi"/>
          <w:sz w:val="22"/>
          <w:szCs w:val="22"/>
        </w:rPr>
        <w:t xml:space="preserve">IRS 24.030 Customer Account Data Engine Individual Master </w:t>
      </w:r>
      <w:r w:rsidRPr="00E826A3" w:rsidR="00E826A3">
        <w:rPr>
          <w:rFonts w:asciiTheme="minorHAnsi" w:hAnsiTheme="minorHAnsi" w:cstheme="minorHAnsi"/>
          <w:sz w:val="22"/>
          <w:szCs w:val="22"/>
        </w:rPr>
        <w:t>File</w:t>
      </w:r>
      <w:r w:rsidR="007B7294">
        <w:rPr>
          <w:rFonts w:asciiTheme="minorHAnsi" w:hAnsiTheme="minorHAnsi" w:cstheme="minorHAnsi"/>
          <w:sz w:val="22"/>
          <w:szCs w:val="22"/>
        </w:rPr>
        <w:t xml:space="preserve"> and</w:t>
      </w:r>
      <w:r w:rsidRPr="00E826A3" w:rsidR="00E826A3">
        <w:rPr>
          <w:rFonts w:asciiTheme="minorHAnsi" w:hAnsiTheme="minorHAnsi" w:cstheme="minorHAnsi"/>
          <w:sz w:val="22"/>
          <w:szCs w:val="22"/>
        </w:rPr>
        <w:t xml:space="preserve"> </w:t>
      </w:r>
      <w:r w:rsidRPr="00E826A3" w:rsidR="007B7294">
        <w:rPr>
          <w:rFonts w:asciiTheme="minorHAnsi" w:hAnsiTheme="minorHAnsi" w:cstheme="minorHAnsi"/>
          <w:sz w:val="22"/>
          <w:szCs w:val="22"/>
        </w:rPr>
        <w:t>IRS 24.046-Customer Account Data Engine Business Master File</w:t>
      </w:r>
      <w:r w:rsidR="007B7294">
        <w:rPr>
          <w:rFonts w:asciiTheme="minorHAnsi" w:hAnsiTheme="minorHAnsi" w:cstheme="minorHAnsi"/>
          <w:sz w:val="22"/>
          <w:szCs w:val="22"/>
        </w:rPr>
        <w:t>.</w:t>
      </w:r>
      <w:r w:rsidRPr="00E826A3" w:rsidR="00E826A3">
        <w:rPr>
          <w:rFonts w:asciiTheme="minorHAnsi" w:hAnsiTheme="minorHAnsi" w:cstheme="minorHAnsi"/>
          <w:sz w:val="22"/>
          <w:szCs w:val="22"/>
        </w:rPr>
        <w:t xml:space="preserve"> The Internal Revenue Service PIAs can be found at </w:t>
      </w:r>
      <w:hyperlink r:id="rId9" w:history="1">
        <w:r w:rsidRPr="00D165FF" w:rsidR="00DE1C3A">
          <w:rPr>
            <w:rStyle w:val="Hyperlink"/>
            <w:rFonts w:asciiTheme="minorHAnsi" w:hAnsiTheme="minorHAnsi" w:cstheme="minorHAnsi"/>
            <w:sz w:val="22"/>
            <w:szCs w:val="22"/>
          </w:rPr>
          <w:t>http://www.treasury.gov/privacy/PIAs/Pages/default</w:t>
        </w:r>
      </w:hyperlink>
      <w:r w:rsidR="00DE1C3A">
        <w:rPr>
          <w:rFonts w:asciiTheme="minorHAnsi" w:hAnsiTheme="minorHAnsi" w:cstheme="minorHAnsi"/>
          <w:sz w:val="22"/>
          <w:szCs w:val="22"/>
        </w:rPr>
        <w:t xml:space="preserve"> </w:t>
      </w:r>
      <w:r w:rsidRPr="00E826A3" w:rsidR="00E826A3">
        <w:rPr>
          <w:rFonts w:asciiTheme="minorHAnsi" w:hAnsiTheme="minorHAnsi" w:cstheme="minorHAnsi"/>
          <w:sz w:val="22"/>
          <w:szCs w:val="22"/>
        </w:rPr>
        <w:t>.</w:t>
      </w:r>
      <w:r w:rsidRPr="00613D6A" w:rsidR="00E826A3">
        <w:rPr>
          <w:rFonts w:asciiTheme="minorHAnsi" w:hAnsiTheme="minorHAnsi" w:cstheme="minorHAnsi"/>
          <w:sz w:val="22"/>
          <w:szCs w:val="22"/>
        </w:rPr>
        <w:t xml:space="preserve"> </w:t>
      </w:r>
    </w:p>
    <w:p w:rsidR="00956BAE" w:rsidRPr="00613D6A" w:rsidP="00956BAE" w14:paraId="1C8D3CEA" w14:textId="77777777">
      <w:pPr>
        <w:pStyle w:val="ListParagraph"/>
        <w:rPr>
          <w:rFonts w:asciiTheme="minorHAnsi" w:hAnsiTheme="minorHAnsi" w:cstheme="minorHAnsi"/>
          <w:sz w:val="22"/>
          <w:szCs w:val="22"/>
        </w:rPr>
      </w:pPr>
    </w:p>
    <w:p w:rsidR="00956BAE" w:rsidRPr="00613D6A" w:rsidP="00BC5647" w14:paraId="71669D12" w14:textId="2F8711AA">
      <w:pPr>
        <w:ind w:left="720" w:hanging="720"/>
        <w:rPr>
          <w:rFonts w:asciiTheme="minorHAnsi" w:hAnsiTheme="minorHAnsi" w:cstheme="minorHAnsi"/>
          <w:sz w:val="22"/>
          <w:szCs w:val="22"/>
        </w:rPr>
      </w:pPr>
      <w:r w:rsidRPr="00613D6A">
        <w:rPr>
          <w:rFonts w:asciiTheme="minorHAnsi" w:hAnsiTheme="minorHAnsi" w:cstheme="minorHAnsi"/>
          <w:sz w:val="22"/>
          <w:szCs w:val="22"/>
        </w:rPr>
        <w:tab/>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4D5EAB" w:rsidRPr="00613D6A" w:rsidP="00956BAE" w14:paraId="08A4A0FF" w14:textId="77777777">
      <w:pPr>
        <w:rPr>
          <w:rFonts w:asciiTheme="minorHAnsi" w:hAnsiTheme="minorHAnsi" w:cstheme="minorHAnsi"/>
          <w:sz w:val="22"/>
          <w:szCs w:val="22"/>
        </w:rPr>
      </w:pPr>
    </w:p>
    <w:p w:rsidR="00332B28" w:rsidRPr="00613D6A" w14:paraId="2EC1080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AD392A" w:rsidRPr="00613D6A" w14:paraId="3E5D4FD4" w14:textId="77777777">
      <w:pPr>
        <w:jc w:val="both"/>
        <w:rPr>
          <w:rFonts w:asciiTheme="minorHAnsi" w:hAnsiTheme="minorHAnsi" w:cstheme="minorHAnsi"/>
          <w:sz w:val="22"/>
          <w:szCs w:val="22"/>
        </w:rPr>
      </w:pPr>
    </w:p>
    <w:p w:rsidR="00CE66EB" w:rsidP="009F6734" w14:paraId="5ABDE493" w14:textId="2BCD7B80">
      <w:pPr>
        <w:ind w:left="720"/>
        <w:jc w:val="both"/>
        <w:rPr>
          <w:rFonts w:asciiTheme="minorHAnsi" w:hAnsiTheme="minorHAnsi" w:cstheme="minorHAnsi"/>
          <w:sz w:val="22"/>
          <w:szCs w:val="22"/>
        </w:rPr>
      </w:pPr>
      <w:r w:rsidRPr="00CE66EB">
        <w:rPr>
          <w:rFonts w:asciiTheme="minorHAnsi" w:hAnsiTheme="minorHAnsi" w:cstheme="minorHAnsi"/>
          <w:sz w:val="22"/>
          <w:szCs w:val="22"/>
        </w:rPr>
        <w:t xml:space="preserve">IRS estimate that 13 to 16 million customers </w:t>
      </w:r>
      <w:r>
        <w:rPr>
          <w:rFonts w:asciiTheme="minorHAnsi" w:hAnsiTheme="minorHAnsi" w:cstheme="minorHAnsi"/>
          <w:sz w:val="22"/>
          <w:szCs w:val="22"/>
        </w:rPr>
        <w:t xml:space="preserve">may be </w:t>
      </w:r>
      <w:r w:rsidRPr="00CE66EB">
        <w:rPr>
          <w:rFonts w:asciiTheme="minorHAnsi" w:hAnsiTheme="minorHAnsi" w:cstheme="minorHAnsi"/>
          <w:sz w:val="22"/>
          <w:szCs w:val="22"/>
        </w:rPr>
        <w:t>impacted</w:t>
      </w:r>
      <w:r>
        <w:rPr>
          <w:rFonts w:asciiTheme="minorHAnsi" w:hAnsiTheme="minorHAnsi" w:cstheme="minorHAnsi"/>
          <w:sz w:val="22"/>
          <w:szCs w:val="22"/>
        </w:rPr>
        <w:t xml:space="preserve"> by this collection </w:t>
      </w:r>
      <w:r w:rsidRPr="00CE66EB">
        <w:rPr>
          <w:rFonts w:asciiTheme="minorHAnsi" w:hAnsiTheme="minorHAnsi" w:cstheme="minorHAnsi"/>
          <w:sz w:val="22"/>
          <w:szCs w:val="22"/>
        </w:rPr>
        <w:t xml:space="preserve">(mid-point of 14.5 million </w:t>
      </w:r>
      <w:r>
        <w:rPr>
          <w:rFonts w:asciiTheme="minorHAnsi" w:hAnsiTheme="minorHAnsi" w:cstheme="minorHAnsi"/>
          <w:sz w:val="22"/>
          <w:szCs w:val="22"/>
        </w:rPr>
        <w:t>responses</w:t>
      </w:r>
      <w:r w:rsidRPr="00CE66EB">
        <w:rPr>
          <w:rFonts w:asciiTheme="minorHAnsi" w:hAnsiTheme="minorHAnsi" w:cstheme="minorHAnsi"/>
          <w:sz w:val="22"/>
          <w:szCs w:val="22"/>
        </w:rPr>
        <w:t xml:space="preserve">). A reasonable burden </w:t>
      </w:r>
      <w:r w:rsidRPr="00CE66EB" w:rsidR="0008089F">
        <w:rPr>
          <w:rFonts w:asciiTheme="minorHAnsi" w:hAnsiTheme="minorHAnsi" w:cstheme="minorHAnsi"/>
          <w:sz w:val="22"/>
          <w:szCs w:val="22"/>
        </w:rPr>
        <w:t>estimates</w:t>
      </w:r>
      <w:r w:rsidRPr="00CE66EB">
        <w:rPr>
          <w:rFonts w:asciiTheme="minorHAnsi" w:hAnsiTheme="minorHAnsi" w:cstheme="minorHAnsi"/>
          <w:sz w:val="22"/>
          <w:szCs w:val="22"/>
        </w:rPr>
        <w:t xml:space="preserve"> for the average time to complete these forms for each customer is 9 minutes (0.15 hours). </w:t>
      </w:r>
      <w:r>
        <w:rPr>
          <w:rFonts w:asciiTheme="minorHAnsi" w:hAnsiTheme="minorHAnsi" w:cstheme="minorHAnsi"/>
          <w:sz w:val="22"/>
          <w:szCs w:val="22"/>
        </w:rPr>
        <w:t>I</w:t>
      </w:r>
      <w:r w:rsidRPr="00CE66EB">
        <w:rPr>
          <w:rFonts w:asciiTheme="minorHAnsi" w:hAnsiTheme="minorHAnsi" w:cstheme="minorHAnsi"/>
          <w:sz w:val="22"/>
          <w:szCs w:val="22"/>
        </w:rPr>
        <w:t>RS estimate</w:t>
      </w:r>
      <w:r>
        <w:rPr>
          <w:rFonts w:asciiTheme="minorHAnsi" w:hAnsiTheme="minorHAnsi" w:cstheme="minorHAnsi"/>
          <w:sz w:val="22"/>
          <w:szCs w:val="22"/>
        </w:rPr>
        <w:t>s</w:t>
      </w:r>
      <w:r w:rsidRPr="00CE66EB">
        <w:rPr>
          <w:rFonts w:asciiTheme="minorHAnsi" w:hAnsiTheme="minorHAnsi" w:cstheme="minorHAnsi"/>
          <w:sz w:val="22"/>
          <w:szCs w:val="22"/>
        </w:rPr>
        <w:t xml:space="preserve"> that approximately 900 to 9,700 </w:t>
      </w:r>
      <w:r>
        <w:rPr>
          <w:rFonts w:asciiTheme="minorHAnsi" w:hAnsiTheme="minorHAnsi" w:cstheme="minorHAnsi"/>
          <w:sz w:val="22"/>
          <w:szCs w:val="22"/>
        </w:rPr>
        <w:t>respondents</w:t>
      </w:r>
      <w:r w:rsidRPr="00CE66EB">
        <w:rPr>
          <w:rFonts w:asciiTheme="minorHAnsi" w:hAnsiTheme="minorHAnsi" w:cstheme="minorHAnsi"/>
          <w:sz w:val="22"/>
          <w:szCs w:val="22"/>
        </w:rPr>
        <w:t xml:space="preserve"> will be impacted (mid-point of 5,300 </w:t>
      </w:r>
      <w:r>
        <w:rPr>
          <w:rFonts w:asciiTheme="minorHAnsi" w:hAnsiTheme="minorHAnsi" w:cstheme="minorHAnsi"/>
          <w:sz w:val="22"/>
          <w:szCs w:val="22"/>
        </w:rPr>
        <w:t>respondents</w:t>
      </w:r>
      <w:r w:rsidRPr="00CE66EB">
        <w:rPr>
          <w:rFonts w:asciiTheme="minorHAnsi" w:hAnsiTheme="minorHAnsi" w:cstheme="minorHAnsi"/>
          <w:sz w:val="22"/>
          <w:szCs w:val="22"/>
        </w:rPr>
        <w:t xml:space="preserve">). IRS estimate the average time burden per </w:t>
      </w:r>
      <w:r>
        <w:rPr>
          <w:rFonts w:asciiTheme="minorHAnsi" w:hAnsiTheme="minorHAnsi" w:cstheme="minorHAnsi"/>
          <w:sz w:val="22"/>
          <w:szCs w:val="22"/>
        </w:rPr>
        <w:t xml:space="preserve">respondent </w:t>
      </w:r>
      <w:r w:rsidRPr="00CE66EB">
        <w:rPr>
          <w:rFonts w:asciiTheme="minorHAnsi" w:hAnsiTheme="minorHAnsi" w:cstheme="minorHAnsi"/>
          <w:sz w:val="22"/>
          <w:szCs w:val="22"/>
        </w:rPr>
        <w:t>will be approximately 425 hours</w:t>
      </w:r>
      <w:r>
        <w:rPr>
          <w:rFonts w:asciiTheme="minorHAnsi" w:hAnsiTheme="minorHAnsi" w:cstheme="minorHAnsi"/>
          <w:sz w:val="22"/>
          <w:szCs w:val="22"/>
        </w:rPr>
        <w:t xml:space="preserve">, with </w:t>
      </w:r>
      <w:r w:rsidRPr="00CE66EB">
        <w:rPr>
          <w:rFonts w:asciiTheme="minorHAnsi" w:hAnsiTheme="minorHAnsi" w:cstheme="minorHAnsi"/>
          <w:sz w:val="22"/>
          <w:szCs w:val="22"/>
        </w:rPr>
        <w:t>an estimate of $65.49 per hour</w:t>
      </w:r>
      <w:r>
        <w:rPr>
          <w:rStyle w:val="FootnoteReference"/>
          <w:rFonts w:asciiTheme="minorHAnsi" w:hAnsiTheme="minorHAnsi" w:cstheme="minorHAnsi"/>
          <w:sz w:val="22"/>
          <w:szCs w:val="22"/>
          <w:vertAlign w:val="superscript"/>
        </w:rPr>
        <w:footnoteReference w:id="3"/>
      </w:r>
      <w:r w:rsidRPr="00CE66EB">
        <w:rPr>
          <w:rFonts w:asciiTheme="minorHAnsi" w:hAnsiTheme="minorHAnsi" w:cstheme="minorHAnsi"/>
          <w:sz w:val="22"/>
          <w:szCs w:val="22"/>
        </w:rPr>
        <w:t xml:space="preserve">, so the total monetized </w:t>
      </w:r>
      <w:r w:rsidR="0008089F">
        <w:rPr>
          <w:rFonts w:asciiTheme="minorHAnsi" w:hAnsiTheme="minorHAnsi" w:cstheme="minorHAnsi"/>
          <w:sz w:val="22"/>
          <w:szCs w:val="22"/>
        </w:rPr>
        <w:t xml:space="preserve">time </w:t>
      </w:r>
      <w:r w:rsidRPr="00CE66EB">
        <w:rPr>
          <w:rFonts w:asciiTheme="minorHAnsi" w:hAnsiTheme="minorHAnsi" w:cstheme="minorHAnsi"/>
          <w:sz w:val="22"/>
          <w:szCs w:val="22"/>
        </w:rPr>
        <w:t xml:space="preserve">is estimated at $28,000 per </w:t>
      </w:r>
      <w:r w:rsidR="0008089F">
        <w:rPr>
          <w:rFonts w:asciiTheme="minorHAnsi" w:hAnsiTheme="minorHAnsi" w:cstheme="minorHAnsi"/>
          <w:sz w:val="22"/>
          <w:szCs w:val="22"/>
        </w:rPr>
        <w:t>respondent</w:t>
      </w:r>
      <w:r w:rsidRPr="00CE66EB">
        <w:rPr>
          <w:rFonts w:asciiTheme="minorHAnsi" w:hAnsiTheme="minorHAnsi" w:cstheme="minorHAnsi"/>
          <w:sz w:val="22"/>
          <w:szCs w:val="22"/>
        </w:rPr>
        <w:t>.</w:t>
      </w:r>
    </w:p>
    <w:p w:rsidR="00CE66EB" w14:paraId="5D61BD97" w14:textId="77777777">
      <w:pPr>
        <w:jc w:val="both"/>
        <w:rPr>
          <w:rFonts w:asciiTheme="minorHAnsi" w:hAnsiTheme="minorHAnsi" w:cstheme="minorHAnsi"/>
          <w:sz w:val="22"/>
          <w:szCs w:val="22"/>
        </w:rPr>
      </w:pPr>
    </w:p>
    <w:p w:rsidR="00E8410C" w:rsidRPr="00613D6A" w14:paraId="1CCC51B5" w14:textId="52AD4CA2">
      <w:pPr>
        <w:jc w:val="both"/>
        <w:rPr>
          <w:rFonts w:asciiTheme="minorHAnsi" w:hAnsiTheme="minorHAnsi" w:cstheme="minorHAnsi"/>
          <w:sz w:val="22"/>
          <w:szCs w:val="22"/>
        </w:rPr>
      </w:pPr>
      <w:r w:rsidRPr="00613D6A">
        <w:rPr>
          <w:rFonts w:asciiTheme="minorHAnsi" w:hAnsiTheme="minorHAnsi" w:cstheme="minorHAnsi"/>
          <w:sz w:val="22"/>
          <w:szCs w:val="22"/>
        </w:rPr>
        <w:tab/>
      </w:r>
      <w:r w:rsidRPr="00613D6A" w:rsidR="00E34E1B">
        <w:rPr>
          <w:rFonts w:asciiTheme="minorHAnsi" w:hAnsiTheme="minorHAnsi" w:cstheme="minorHAnsi"/>
          <w:sz w:val="22"/>
          <w:szCs w:val="22"/>
        </w:rPr>
        <w:t>The burden estimate is as follows:</w:t>
      </w:r>
    </w:p>
    <w:p w:rsidR="00E8410C" w:rsidRPr="00613D6A" w14:paraId="6567507D"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726DBBA8" w14:textId="77777777" w:rsidTr="00DA2DEA">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2E561F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1B94830" w14:textId="77777777" w:rsidTr="00DA2DEA">
        <w:tblPrEx>
          <w:tblW w:w="8754" w:type="dxa"/>
          <w:tblInd w:w="715" w:type="dxa"/>
          <w:tblLook w:val="04A0"/>
        </w:tblPrEx>
        <w:tc>
          <w:tcPr>
            <w:tcW w:w="985" w:type="dxa"/>
            <w:shd w:val="clear" w:color="auto" w:fill="auto"/>
            <w:vAlign w:val="bottom"/>
          </w:tcPr>
          <w:p w:rsidR="00263DA4" w:rsidRPr="00162019" w:rsidP="005E49F6" w14:paraId="76C50CA5" w14:textId="2D861D74">
            <w:pPr>
              <w:keepNext/>
              <w:keepLines/>
              <w:numPr>
                <w:ilvl w:val="12"/>
                <w:numId w:val="0"/>
              </w:numPr>
              <w:jc w:val="center"/>
              <w:rPr>
                <w:rFonts w:ascii="Arial Narrow" w:hAnsi="Arial Narrow"/>
                <w:sz w:val="20"/>
                <w:szCs w:val="20"/>
              </w:rPr>
            </w:pPr>
            <w:r w:rsidRPr="00162019">
              <w:rPr>
                <w:rFonts w:ascii="Arial Narrow" w:hAnsi="Arial Narrow"/>
                <w:sz w:val="20"/>
                <w:szCs w:val="20"/>
              </w:rPr>
              <w:t>6045(</w:t>
            </w:r>
            <w:r w:rsidR="00E13867">
              <w:rPr>
                <w:rFonts w:ascii="Arial Narrow" w:hAnsi="Arial Narrow"/>
                <w:sz w:val="20"/>
                <w:szCs w:val="20"/>
              </w:rPr>
              <w:t>a</w:t>
            </w:r>
            <w:r w:rsidRPr="00162019">
              <w:rPr>
                <w:rFonts w:ascii="Arial Narrow" w:hAnsi="Arial Narrow"/>
                <w:sz w:val="20"/>
                <w:szCs w:val="20"/>
              </w:rPr>
              <w:t>)</w:t>
            </w:r>
          </w:p>
        </w:tc>
        <w:tc>
          <w:tcPr>
            <w:tcW w:w="1702" w:type="dxa"/>
            <w:vAlign w:val="bottom"/>
          </w:tcPr>
          <w:p w:rsidR="00263DA4" w:rsidRPr="00162019" w:rsidP="005E49F6" w14:paraId="00831673" w14:textId="5C76E887">
            <w:pPr>
              <w:keepNext/>
              <w:keepLines/>
              <w:numPr>
                <w:ilvl w:val="12"/>
                <w:numId w:val="0"/>
              </w:numPr>
              <w:jc w:val="center"/>
              <w:rPr>
                <w:rFonts w:ascii="Arial Narrow" w:hAnsi="Arial Narrow"/>
                <w:sz w:val="20"/>
                <w:szCs w:val="20"/>
              </w:rPr>
            </w:pPr>
            <w:r>
              <w:rPr>
                <w:rFonts w:ascii="Arial Narrow" w:hAnsi="Arial Narrow"/>
                <w:sz w:val="20"/>
                <w:szCs w:val="20"/>
              </w:rPr>
              <w:t>Form 1099-DA</w:t>
            </w:r>
          </w:p>
        </w:tc>
        <w:tc>
          <w:tcPr>
            <w:tcW w:w="1284" w:type="dxa"/>
            <w:vAlign w:val="bottom"/>
          </w:tcPr>
          <w:p w:rsidR="00263DA4" w:rsidRPr="00162019" w:rsidP="005E49F6" w14:paraId="4000DAAC" w14:textId="22DB0795">
            <w:pPr>
              <w:keepNext/>
              <w:keepLines/>
              <w:numPr>
                <w:ilvl w:val="12"/>
                <w:numId w:val="0"/>
              </w:numPr>
              <w:jc w:val="center"/>
              <w:rPr>
                <w:rFonts w:ascii="Arial Narrow" w:hAnsi="Arial Narrow"/>
                <w:sz w:val="20"/>
                <w:szCs w:val="20"/>
              </w:rPr>
            </w:pPr>
            <w:r>
              <w:rPr>
                <w:rFonts w:ascii="Arial Narrow" w:hAnsi="Arial Narrow"/>
                <w:sz w:val="20"/>
                <w:szCs w:val="20"/>
              </w:rPr>
              <w:t>5,</w:t>
            </w:r>
            <w:r w:rsidR="00BC2709">
              <w:rPr>
                <w:rFonts w:ascii="Arial Narrow" w:hAnsi="Arial Narrow"/>
                <w:sz w:val="20"/>
                <w:szCs w:val="20"/>
              </w:rPr>
              <w:t>300</w:t>
            </w:r>
          </w:p>
        </w:tc>
        <w:tc>
          <w:tcPr>
            <w:tcW w:w="1146" w:type="dxa"/>
            <w:vAlign w:val="bottom"/>
          </w:tcPr>
          <w:p w:rsidR="00263DA4" w:rsidRPr="00162019" w:rsidP="005E49F6" w14:paraId="7BD1C85B" w14:textId="0857B593">
            <w:pPr>
              <w:keepNext/>
              <w:keepLines/>
              <w:numPr>
                <w:ilvl w:val="12"/>
                <w:numId w:val="0"/>
              </w:numPr>
              <w:jc w:val="center"/>
              <w:rPr>
                <w:rFonts w:ascii="Arial Narrow" w:hAnsi="Arial Narrow"/>
                <w:sz w:val="20"/>
                <w:szCs w:val="20"/>
              </w:rPr>
            </w:pPr>
            <w:r>
              <w:rPr>
                <w:rFonts w:ascii="Arial Narrow" w:hAnsi="Arial Narrow"/>
                <w:sz w:val="20"/>
                <w:szCs w:val="20"/>
              </w:rPr>
              <w:t>2,</w:t>
            </w:r>
            <w:r w:rsidR="008C5269">
              <w:rPr>
                <w:rFonts w:ascii="Arial Narrow" w:hAnsi="Arial Narrow"/>
                <w:sz w:val="20"/>
                <w:szCs w:val="20"/>
              </w:rPr>
              <w:t>736</w:t>
            </w:r>
          </w:p>
        </w:tc>
        <w:tc>
          <w:tcPr>
            <w:tcW w:w="1284" w:type="dxa"/>
            <w:shd w:val="clear" w:color="auto" w:fill="auto"/>
            <w:vAlign w:val="bottom"/>
          </w:tcPr>
          <w:p w:rsidR="00263DA4" w:rsidRPr="00162019" w:rsidP="005E49F6" w14:paraId="3A00487D" w14:textId="27DD6CF8">
            <w:pPr>
              <w:keepNext/>
              <w:keepLines/>
              <w:numPr>
                <w:ilvl w:val="12"/>
                <w:numId w:val="0"/>
              </w:numPr>
              <w:jc w:val="center"/>
              <w:rPr>
                <w:rFonts w:ascii="Arial Narrow" w:hAnsi="Arial Narrow"/>
                <w:sz w:val="20"/>
                <w:szCs w:val="20"/>
              </w:rPr>
            </w:pPr>
            <w:r>
              <w:rPr>
                <w:rFonts w:ascii="Arial Narrow" w:hAnsi="Arial Narrow"/>
                <w:sz w:val="20"/>
                <w:szCs w:val="20"/>
              </w:rPr>
              <w:t>14,500,</w:t>
            </w:r>
            <w:r w:rsidR="008C5269">
              <w:rPr>
                <w:rFonts w:ascii="Arial Narrow" w:hAnsi="Arial Narrow"/>
                <w:sz w:val="20"/>
                <w:szCs w:val="20"/>
              </w:rPr>
              <w:t>8</w:t>
            </w:r>
            <w:r>
              <w:rPr>
                <w:rFonts w:ascii="Arial Narrow" w:hAnsi="Arial Narrow"/>
                <w:sz w:val="20"/>
                <w:szCs w:val="20"/>
              </w:rPr>
              <w:t>00</w:t>
            </w:r>
          </w:p>
        </w:tc>
        <w:tc>
          <w:tcPr>
            <w:tcW w:w="1110" w:type="dxa"/>
            <w:vAlign w:val="bottom"/>
          </w:tcPr>
          <w:p w:rsidR="00263DA4" w:rsidRPr="00162019" w:rsidP="005E49F6" w14:paraId="37E9BFF3" w14:textId="4F56A50E">
            <w:pPr>
              <w:keepNext/>
              <w:keepLines/>
              <w:numPr>
                <w:ilvl w:val="12"/>
                <w:numId w:val="0"/>
              </w:numPr>
              <w:jc w:val="center"/>
              <w:rPr>
                <w:rFonts w:ascii="Arial Narrow" w:hAnsi="Arial Narrow"/>
                <w:sz w:val="20"/>
                <w:szCs w:val="20"/>
              </w:rPr>
            </w:pPr>
            <w:r>
              <w:rPr>
                <w:rFonts w:ascii="Arial Narrow" w:hAnsi="Arial Narrow"/>
                <w:sz w:val="20"/>
                <w:szCs w:val="20"/>
              </w:rPr>
              <w:t>0</w:t>
            </w:r>
            <w:r w:rsidR="00E13867">
              <w:rPr>
                <w:rFonts w:ascii="Arial Narrow" w:hAnsi="Arial Narrow"/>
                <w:sz w:val="20"/>
                <w:szCs w:val="20"/>
              </w:rPr>
              <w:t>.15</w:t>
            </w:r>
            <w:r w:rsidR="008C5269">
              <w:rPr>
                <w:rFonts w:ascii="Arial Narrow" w:hAnsi="Arial Narrow"/>
                <w:sz w:val="20"/>
                <w:szCs w:val="20"/>
              </w:rPr>
              <w:t>53</w:t>
            </w:r>
            <w:r w:rsidR="00542DF0">
              <w:rPr>
                <w:rFonts w:ascii="Arial Narrow" w:hAnsi="Arial Narrow"/>
                <w:sz w:val="20"/>
                <w:szCs w:val="20"/>
              </w:rPr>
              <w:t>3</w:t>
            </w:r>
          </w:p>
        </w:tc>
        <w:tc>
          <w:tcPr>
            <w:tcW w:w="1243" w:type="dxa"/>
            <w:shd w:val="clear" w:color="auto" w:fill="auto"/>
            <w:vAlign w:val="bottom"/>
          </w:tcPr>
          <w:p w:rsidR="00471233" w:rsidRPr="00162019" w:rsidP="005E49F6" w14:paraId="1D758D45" w14:textId="45E511EF">
            <w:pPr>
              <w:keepNext/>
              <w:keepLines/>
              <w:numPr>
                <w:ilvl w:val="12"/>
                <w:numId w:val="0"/>
              </w:numPr>
              <w:jc w:val="center"/>
              <w:rPr>
                <w:rFonts w:ascii="Arial Narrow" w:hAnsi="Arial Narrow"/>
                <w:sz w:val="20"/>
                <w:szCs w:val="20"/>
              </w:rPr>
            </w:pPr>
            <w:r>
              <w:rPr>
                <w:rFonts w:ascii="Arial Narrow" w:hAnsi="Arial Narrow"/>
                <w:sz w:val="20"/>
                <w:szCs w:val="20"/>
              </w:rPr>
              <w:t>2,252,500</w:t>
            </w:r>
          </w:p>
        </w:tc>
      </w:tr>
      <w:tr w14:paraId="13C47138" w14:textId="77777777" w:rsidTr="00DA2DEA">
        <w:tblPrEx>
          <w:tblW w:w="8754" w:type="dxa"/>
          <w:tblInd w:w="715" w:type="dxa"/>
          <w:tblLook w:val="04A0"/>
        </w:tblPrEx>
        <w:tc>
          <w:tcPr>
            <w:tcW w:w="985"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579C91F6" w14:textId="3C6916CB">
            <w:pPr>
              <w:keepNext/>
              <w:keepLines/>
              <w:numPr>
                <w:ilvl w:val="12"/>
                <w:numId w:val="0"/>
              </w:numPr>
              <w:jc w:val="center"/>
              <w:rPr>
                <w:rFonts w:ascii="Arial Narrow" w:hAnsi="Arial Narrow"/>
                <w:b/>
                <w:sz w:val="20"/>
                <w:szCs w:val="20"/>
              </w:rPr>
            </w:pPr>
            <w:r>
              <w:rPr>
                <w:rFonts w:ascii="Arial Narrow" w:hAnsi="Arial Narrow"/>
                <w:b/>
                <w:sz w:val="20"/>
                <w:szCs w:val="20"/>
              </w:rPr>
              <w:t>5,</w:t>
            </w:r>
            <w:r w:rsidR="00BC2709">
              <w:rPr>
                <w:rFonts w:ascii="Arial Narrow" w:hAnsi="Arial Narrow"/>
                <w:b/>
                <w:sz w:val="20"/>
                <w:szCs w:val="20"/>
              </w:rPr>
              <w:t>300</w:t>
            </w:r>
          </w:p>
        </w:tc>
        <w:tc>
          <w:tcPr>
            <w:tcW w:w="1146"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6DFE2EC7" w14:textId="77777777">
            <w:pPr>
              <w:keepNext/>
              <w:keepLines/>
              <w:numPr>
                <w:ilvl w:val="12"/>
                <w:numId w:val="0"/>
              </w:numPr>
              <w:jc w:val="center"/>
              <w:rPr>
                <w:rFonts w:ascii="Arial Narrow" w:hAnsi="Arial Narrow"/>
                <w:b/>
                <w:sz w:val="20"/>
                <w:szCs w:val="20"/>
              </w:rPr>
            </w:pPr>
          </w:p>
        </w:tc>
        <w:tc>
          <w:tcPr>
            <w:tcW w:w="1110"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CB73E6" w:rsidRPr="003C0F31" w:rsidP="005E49F6" w14:paraId="26E75569" w14:textId="7CFAC21B">
            <w:pPr>
              <w:keepNext/>
              <w:keepLines/>
              <w:numPr>
                <w:ilvl w:val="12"/>
                <w:numId w:val="0"/>
              </w:numPr>
              <w:jc w:val="center"/>
              <w:rPr>
                <w:rFonts w:ascii="Arial Narrow" w:hAnsi="Arial Narrow"/>
                <w:b/>
                <w:sz w:val="20"/>
                <w:szCs w:val="20"/>
              </w:rPr>
            </w:pPr>
            <w:r>
              <w:rPr>
                <w:rFonts w:ascii="Arial Narrow" w:hAnsi="Arial Narrow"/>
                <w:b/>
                <w:sz w:val="20"/>
                <w:szCs w:val="20"/>
              </w:rPr>
              <w:t>2,252,500</w:t>
            </w:r>
          </w:p>
        </w:tc>
      </w:tr>
    </w:tbl>
    <w:p w:rsidR="00332B28" w:rsidRPr="00613D6A" w14:paraId="72381D2D" w14:textId="33692337">
      <w:pPr>
        <w:jc w:val="both"/>
        <w:rPr>
          <w:rFonts w:asciiTheme="minorHAnsi" w:hAnsiTheme="minorHAnsi" w:cstheme="minorHAnsi"/>
          <w:sz w:val="22"/>
          <w:szCs w:val="22"/>
        </w:rPr>
      </w:pPr>
    </w:p>
    <w:p w:rsidR="00332B28" w:rsidRPr="00613D6A" w14:paraId="44A404DA" w14:textId="269C4DB4">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The following regulations impose no additional burden. </w:t>
      </w:r>
    </w:p>
    <w:p w:rsidR="00332B28" w:rsidRPr="00613D6A" w14:paraId="635B0133" w14:textId="77777777">
      <w:pPr>
        <w:jc w:val="both"/>
        <w:rPr>
          <w:rFonts w:asciiTheme="minorHAnsi" w:hAnsiTheme="minorHAnsi" w:cstheme="minorHAnsi"/>
          <w:sz w:val="22"/>
          <w:szCs w:val="22"/>
        </w:rPr>
      </w:pPr>
    </w:p>
    <w:p w:rsidR="0099743A" w14:paraId="53A48A09" w14:textId="77777777">
      <w:pPr>
        <w:ind w:left="720"/>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.6045-1</w:t>
      </w:r>
    </w:p>
    <w:p w:rsidR="00332B28" w:rsidRPr="00613D6A" w14:paraId="3549F1D9" w14:textId="0D116640">
      <w:pPr>
        <w:ind w:left="720"/>
        <w:jc w:val="both"/>
        <w:rPr>
          <w:rFonts w:asciiTheme="minorHAnsi" w:hAnsiTheme="minorHAnsi" w:cstheme="minorHAnsi"/>
          <w:sz w:val="22"/>
          <w:szCs w:val="22"/>
        </w:rPr>
      </w:pPr>
      <w:r w:rsidRPr="00613D6A">
        <w:rPr>
          <w:rFonts w:asciiTheme="minorHAnsi" w:hAnsiTheme="minorHAnsi" w:cstheme="minorHAnsi"/>
          <w:sz w:val="22"/>
          <w:szCs w:val="22"/>
        </w:rPr>
        <w:t>1.6045-4</w:t>
      </w:r>
    </w:p>
    <w:p w:rsidR="000B28AD" w:rsidRPr="00613D6A" w:rsidP="000E6584" w14:paraId="35986028" w14:textId="43E474D0">
      <w:pPr>
        <w:ind w:left="720"/>
        <w:jc w:val="both"/>
        <w:rPr>
          <w:rFonts w:asciiTheme="minorHAnsi" w:hAnsiTheme="minorHAnsi" w:cstheme="minorHAnsi"/>
          <w:sz w:val="22"/>
          <w:szCs w:val="22"/>
        </w:rPr>
      </w:pPr>
    </w:p>
    <w:p w:rsidR="00332B28" w:rsidRPr="00613D6A" w14:paraId="08227B17"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613D6A">
        <w:rPr>
          <w:rFonts w:asciiTheme="minorHAnsi" w:hAnsiTheme="minorHAnsi" w:cstheme="minorHAnsi"/>
          <w:sz w:val="22"/>
          <w:szCs w:val="22"/>
          <w:u w:val="single"/>
        </w:rPr>
        <w:t>ESTIMATED TOTAL ANNUAL COST BURDEN TO RESPONDENTS</w:t>
      </w:r>
    </w:p>
    <w:p w:rsidR="00332B28" w:rsidRPr="00613D6A" w:rsidP="000E6584" w14:paraId="2DD8C4B9" w14:textId="77777777">
      <w:pPr>
        <w:ind w:left="720"/>
        <w:jc w:val="both"/>
        <w:rPr>
          <w:rFonts w:asciiTheme="minorHAnsi" w:hAnsiTheme="minorHAnsi" w:cstheme="minorHAnsi"/>
          <w:sz w:val="22"/>
          <w:szCs w:val="22"/>
        </w:rPr>
      </w:pPr>
    </w:p>
    <w:p w:rsidR="008C5269" w:rsidRPr="008C5269" w:rsidP="008C5269" w14:paraId="46E48792" w14:textId="1BEDD9CE">
      <w:pPr>
        <w:ind w:left="720"/>
        <w:jc w:val="both"/>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information returns currently being developed. IRS is 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evaluating information return burden and cost; and will update the 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the consolidation. </w:t>
      </w:r>
    </w:p>
    <w:p w:rsidR="000E6584" w:rsidP="000E6584" w14:paraId="5C833A79" w14:textId="6820EF86">
      <w:pPr>
        <w:ind w:left="720"/>
        <w:jc w:val="both"/>
        <w:rPr>
          <w:rFonts w:asciiTheme="minorHAnsi" w:hAnsiTheme="minorHAnsi" w:cstheme="minorHAnsi"/>
          <w:sz w:val="22"/>
          <w:szCs w:val="22"/>
        </w:rPr>
      </w:pPr>
    </w:p>
    <w:p w:rsidR="00332B28" w:rsidRPr="00613D6A" w14:paraId="49C1203E" w14:textId="28D7090F">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10FED227" w14:textId="77777777">
      <w:pPr>
        <w:jc w:val="both"/>
        <w:rPr>
          <w:rFonts w:asciiTheme="minorHAnsi" w:hAnsiTheme="minorHAnsi" w:cstheme="minorHAnsi"/>
          <w:sz w:val="22"/>
          <w:szCs w:val="22"/>
        </w:rPr>
      </w:pPr>
    </w:p>
    <w:p w:rsidR="00E412F2" w:rsidRPr="00613D6A" w:rsidP="000B28AD" w14:paraId="1AD0DDAA" w14:textId="66FAB0BE">
      <w:pPr>
        <w:ind w:left="720"/>
        <w:rPr>
          <w:rFonts w:asciiTheme="minorHAnsi" w:hAnsiTheme="minorHAnsi" w:cstheme="minorHAnsi"/>
          <w:sz w:val="22"/>
          <w:szCs w:val="22"/>
        </w:rPr>
      </w:pPr>
      <w:bookmarkStart w:id="2" w:name="_Hlk523834409"/>
      <w:r w:rsidRPr="00613D6A">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up expenses, operating and maintenance expenses, and distribution of the product that collects the information. </w:t>
      </w:r>
    </w:p>
    <w:p w:rsidR="00E412F2" w:rsidRPr="00613D6A" w:rsidP="00E412F2" w14:paraId="59D47EC6" w14:textId="77777777">
      <w:pPr>
        <w:ind w:left="360"/>
        <w:rPr>
          <w:rFonts w:asciiTheme="minorHAnsi" w:hAnsiTheme="minorHAnsi" w:cstheme="minorHAnsi"/>
          <w:sz w:val="22"/>
          <w:szCs w:val="22"/>
        </w:rPr>
      </w:pPr>
    </w:p>
    <w:p w:rsidR="00E412F2" w:rsidRPr="00613D6A" w:rsidP="000B28AD" w14:paraId="48105EBA" w14:textId="05389D83">
      <w:pPr>
        <w:ind w:left="720"/>
        <w:rPr>
          <w:rFonts w:asciiTheme="minorHAnsi" w:hAnsiTheme="minorHAnsi" w:cstheme="minorHAnsi"/>
          <w:sz w:val="22"/>
          <w:szCs w:val="22"/>
        </w:rPr>
      </w:pPr>
      <w:r w:rsidRPr="00613D6A">
        <w:rPr>
          <w:rFonts w:asciiTheme="minorHAnsi" w:hAnsiTheme="minorHAnsi" w:cstheme="minorHAnsi"/>
          <w:sz w:val="22"/>
          <w:szCs w:val="22"/>
        </w:rPr>
        <w:t>The government computes cost using a multi-step process</w:t>
      </w:r>
      <w:r w:rsidR="00BE28FE">
        <w:rPr>
          <w:rFonts w:asciiTheme="minorHAnsi" w:hAnsiTheme="minorHAnsi" w:cstheme="minorHAnsi"/>
          <w:sz w:val="22"/>
          <w:szCs w:val="22"/>
        </w:rPr>
        <w:t>.</w:t>
      </w:r>
      <w:r w:rsidRPr="00613D6A">
        <w:rPr>
          <w:rFonts w:asciiTheme="minorHAnsi" w:hAnsiTheme="minorHAnsi" w:cstheme="minorHAnsi"/>
          <w:sz w:val="22"/>
          <w:szCs w:val="22"/>
        </w:rPr>
        <w:t xml:space="preserve"> First, the government creates a weighted factor for the level of effort to create each information collection product based on variables such </w:t>
      </w:r>
      <w:r w:rsidRPr="00613D6A" w:rsidR="00354A5A">
        <w:rPr>
          <w:rFonts w:asciiTheme="minorHAnsi" w:hAnsiTheme="minorHAnsi" w:cstheme="minorHAnsi"/>
          <w:sz w:val="22"/>
          <w:szCs w:val="22"/>
        </w:rPr>
        <w:t>as</w:t>
      </w:r>
      <w:r w:rsidRPr="00613D6A">
        <w:rPr>
          <w:rFonts w:asciiTheme="minorHAnsi" w:hAnsiTheme="minorHAnsi" w:cs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 and other outlets. The result is the Government cost estimate per product.</w:t>
      </w:r>
    </w:p>
    <w:p w:rsidR="00E412F2" w:rsidRPr="00613D6A" w:rsidP="00E412F2" w14:paraId="370ED585" w14:textId="77777777">
      <w:pPr>
        <w:ind w:left="360"/>
        <w:rPr>
          <w:rFonts w:asciiTheme="minorHAnsi" w:hAnsiTheme="minorHAnsi" w:cstheme="minorHAnsi"/>
          <w:sz w:val="22"/>
          <w:szCs w:val="22"/>
        </w:rPr>
      </w:pPr>
    </w:p>
    <w:p w:rsidR="00E412F2" w:rsidRPr="00613D6A" w:rsidP="00DA2DEA" w14:paraId="4F2221E3" w14:textId="77777777">
      <w:pPr>
        <w:ind w:left="360" w:firstLine="360"/>
        <w:rPr>
          <w:rFonts w:asciiTheme="minorHAnsi" w:hAnsiTheme="minorHAnsi" w:cstheme="minorHAnsi"/>
          <w:sz w:val="22"/>
          <w:szCs w:val="22"/>
        </w:rPr>
      </w:pPr>
      <w:r w:rsidRPr="00613D6A">
        <w:rPr>
          <w:rFonts w:asciiTheme="minorHAnsi" w:hAnsiTheme="minorHAnsi" w:cstheme="minorHAnsi"/>
          <w:sz w:val="22"/>
          <w:szCs w:val="22"/>
        </w:rPr>
        <w:t>The government cost estimate for this collection is summarized in the table below.</w:t>
      </w:r>
    </w:p>
    <w:p w:rsidR="00E412F2" w:rsidRPr="00613D6A" w:rsidP="00E412F2" w14:paraId="6B7AE1BF" w14:textId="77777777">
      <w:pPr>
        <w:ind w:left="360"/>
        <w:rPr>
          <w:rFonts w:asciiTheme="minorHAnsi" w:hAnsiTheme="minorHAnsi" w:cstheme="minorHAnsi"/>
          <w:sz w:val="22"/>
          <w:szCs w:val="22"/>
        </w:rPr>
      </w:pPr>
    </w:p>
    <w:tbl>
      <w:tblPr>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980"/>
        <w:gridCol w:w="303"/>
        <w:gridCol w:w="1745"/>
        <w:gridCol w:w="387"/>
        <w:gridCol w:w="1582"/>
      </w:tblGrid>
      <w:tr w14:paraId="5F3BBE15" w14:textId="77777777" w:rsidTr="00DA2DEA">
        <w:tblPrEx>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3"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5DC5CD7" w14:textId="77777777" w:rsidTr="00DA2DEA">
        <w:tblPrEx>
          <w:tblW w:w="7820" w:type="dxa"/>
          <w:tblInd w:w="895" w:type="dxa"/>
          <w:tblLook w:val="04A0"/>
        </w:tblPrEx>
        <w:tc>
          <w:tcPr>
            <w:tcW w:w="1823" w:type="dxa"/>
            <w:shd w:val="clear" w:color="auto" w:fill="auto"/>
            <w:vAlign w:val="bottom"/>
          </w:tcPr>
          <w:p w:rsidR="00E412F2" w:rsidRPr="00E20033" w:rsidP="00E412F2" w14:paraId="11F80360"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vAlign w:val="bottom"/>
          </w:tcPr>
          <w:p w:rsidR="00E412F2" w:rsidRPr="00E20033" w:rsidP="00E412F2" w14:paraId="72A621E2" w14:textId="6328F028">
            <w:pPr>
              <w:keepNext/>
              <w:keepLines/>
              <w:jc w:val="center"/>
              <w:rPr>
                <w:rFonts w:ascii="Arial Narrow" w:hAnsi="Arial Narrow"/>
                <w:sz w:val="18"/>
                <w:szCs w:val="18"/>
              </w:rPr>
            </w:pPr>
            <w:r>
              <w:rPr>
                <w:rFonts w:ascii="Calibri" w:hAnsi="Calibri"/>
                <w:color w:val="000000"/>
                <w:sz w:val="22"/>
                <w:szCs w:val="22"/>
              </w:rPr>
              <w:t>$</w:t>
            </w:r>
            <w:r w:rsidR="000604CB">
              <w:rPr>
                <w:rFonts w:ascii="Calibri" w:hAnsi="Calibri"/>
                <w:color w:val="000000"/>
                <w:sz w:val="22"/>
                <w:szCs w:val="22"/>
              </w:rPr>
              <w:t xml:space="preserve"> </w:t>
            </w:r>
            <w:r w:rsidR="000B28AD">
              <w:rPr>
                <w:rFonts w:ascii="Calibri" w:hAnsi="Calibri"/>
                <w:color w:val="000000"/>
                <w:sz w:val="22"/>
                <w:szCs w:val="22"/>
              </w:rPr>
              <w:t>91,314</w:t>
            </w:r>
            <w:r>
              <w:rPr>
                <w:rFonts w:ascii="Calibri" w:hAnsi="Calibri"/>
                <w:color w:val="000000"/>
                <w:sz w:val="22"/>
                <w:szCs w:val="22"/>
              </w:rPr>
              <w:t xml:space="preserve"> </w:t>
            </w:r>
          </w:p>
        </w:tc>
        <w:tc>
          <w:tcPr>
            <w:tcW w:w="303" w:type="dxa"/>
            <w:shd w:val="clear" w:color="auto" w:fill="auto"/>
          </w:tcPr>
          <w:p w:rsidR="00E412F2" w:rsidRPr="00E20033" w:rsidP="00E412F2" w14:paraId="6A6EDB27" w14:textId="00D65585">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BE28FE" w14:paraId="39DA5158" w14:textId="7747149B">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Pr="003C0F31">
              <w:rPr>
                <w:rFonts w:ascii="Calibri" w:hAnsi="Calibri"/>
                <w:color w:val="000000"/>
                <w:sz w:val="22"/>
                <w:szCs w:val="22"/>
              </w:rPr>
              <w:t>3,160</w:t>
            </w:r>
          </w:p>
        </w:tc>
        <w:tc>
          <w:tcPr>
            <w:tcW w:w="387" w:type="dxa"/>
            <w:shd w:val="clear" w:color="auto" w:fill="auto"/>
            <w:vAlign w:val="bottom"/>
          </w:tcPr>
          <w:p w:rsidR="00E412F2" w:rsidRPr="00E20033" w:rsidP="00E412F2" w14:paraId="076F5F36" w14:textId="399B723C">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BE28FE" w14:paraId="56A43D9C" w14:textId="01CDAD83">
            <w:pPr>
              <w:keepNext/>
              <w:keepLines/>
              <w:jc w:val="center"/>
              <w:rPr>
                <w:rFonts w:ascii="Arial Narrow" w:hAnsi="Arial Narrow"/>
                <w:sz w:val="18"/>
                <w:szCs w:val="18"/>
              </w:rPr>
            </w:pPr>
            <w:r>
              <w:rPr>
                <w:rFonts w:ascii="Calibri" w:hAnsi="Calibri"/>
                <w:color w:val="000000"/>
                <w:sz w:val="22"/>
                <w:szCs w:val="22"/>
              </w:rPr>
              <w:t>$</w:t>
            </w:r>
            <w:r w:rsidR="00947907">
              <w:rPr>
                <w:rFonts w:ascii="Calibri" w:hAnsi="Calibri"/>
                <w:color w:val="000000"/>
                <w:sz w:val="22"/>
                <w:szCs w:val="22"/>
              </w:rPr>
              <w:t xml:space="preserve"> </w:t>
            </w:r>
            <w:r w:rsidR="00354A5A">
              <w:rPr>
                <w:rFonts w:ascii="Calibri" w:hAnsi="Calibri"/>
                <w:color w:val="000000"/>
                <w:sz w:val="22"/>
                <w:szCs w:val="22"/>
              </w:rPr>
              <w:t>94,474</w:t>
            </w:r>
          </w:p>
        </w:tc>
      </w:tr>
      <w:tr w14:paraId="742CE8E6" w14:textId="77777777" w:rsidTr="00DA2DEA">
        <w:tblPrEx>
          <w:tblW w:w="7820" w:type="dxa"/>
          <w:tblInd w:w="895" w:type="dxa"/>
          <w:tblLook w:val="04A0"/>
        </w:tblPrEx>
        <w:tc>
          <w:tcPr>
            <w:tcW w:w="1823" w:type="dxa"/>
            <w:shd w:val="clear" w:color="auto" w:fill="auto"/>
            <w:vAlign w:val="bottom"/>
          </w:tcPr>
          <w:p w:rsidR="00E412F2" w:rsidRPr="00E20033" w:rsidP="00E412F2" w14:paraId="21E295C6"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vAlign w:val="bottom"/>
          </w:tcPr>
          <w:p w:rsidR="00E412F2" w:rsidRPr="00E20033" w:rsidP="00E412F2" w14:paraId="0C98958A" w14:textId="7F586C40">
            <w:pPr>
              <w:keepNext/>
              <w:keepLines/>
              <w:jc w:val="center"/>
              <w:rPr>
                <w:rFonts w:ascii="Arial Narrow" w:hAnsi="Arial Narrow"/>
                <w:sz w:val="18"/>
                <w:szCs w:val="18"/>
              </w:rPr>
            </w:pPr>
            <w:r>
              <w:rPr>
                <w:rFonts w:ascii="Calibri" w:hAnsi="Calibri"/>
                <w:color w:val="000000"/>
                <w:sz w:val="22"/>
                <w:szCs w:val="22"/>
              </w:rPr>
              <w:t>$</w:t>
            </w:r>
            <w:r w:rsidR="000604CB">
              <w:rPr>
                <w:rFonts w:ascii="Calibri" w:hAnsi="Calibri"/>
                <w:color w:val="000000"/>
                <w:sz w:val="22"/>
                <w:szCs w:val="22"/>
              </w:rPr>
              <w:t xml:space="preserve"> </w:t>
            </w:r>
            <w:r w:rsidR="000B28AD">
              <w:rPr>
                <w:rFonts w:ascii="Calibri" w:hAnsi="Calibri"/>
                <w:color w:val="000000"/>
                <w:sz w:val="22"/>
                <w:szCs w:val="22"/>
              </w:rPr>
              <w:t>11,414</w:t>
            </w:r>
            <w:r>
              <w:rPr>
                <w:rFonts w:ascii="Calibri" w:hAnsi="Calibri"/>
                <w:color w:val="000000"/>
                <w:sz w:val="22"/>
                <w:szCs w:val="22"/>
              </w:rPr>
              <w:t xml:space="preserve"> </w:t>
            </w:r>
          </w:p>
        </w:tc>
        <w:tc>
          <w:tcPr>
            <w:tcW w:w="303" w:type="dxa"/>
            <w:shd w:val="clear" w:color="auto" w:fill="auto"/>
          </w:tcPr>
          <w:p w:rsidR="00E412F2" w:rsidRPr="00E20033" w:rsidP="00E412F2" w14:paraId="54AD82FB" w14:textId="1B7A340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BE28FE" w14:paraId="1F86CBB3" w14:textId="648F4C66">
            <w:pPr>
              <w:widowControl/>
              <w:autoSpaceDE/>
              <w:autoSpaceDN/>
              <w:adjustRightInd/>
              <w:jc w:val="center"/>
              <w:rPr>
                <w:rFonts w:ascii="Calibri" w:hAnsi="Calibri"/>
                <w:color w:val="000000"/>
                <w:sz w:val="22"/>
                <w:szCs w:val="22"/>
              </w:rPr>
            </w:pPr>
            <w:r>
              <w:rPr>
                <w:rFonts w:ascii="Calibri" w:hAnsi="Calibri"/>
                <w:color w:val="000000"/>
                <w:sz w:val="22"/>
                <w:szCs w:val="22"/>
              </w:rPr>
              <w:t>$</w:t>
            </w:r>
            <w:r w:rsidR="000604CB">
              <w:rPr>
                <w:rFonts w:ascii="Calibri" w:hAnsi="Calibri"/>
                <w:color w:val="000000"/>
                <w:sz w:val="22"/>
                <w:szCs w:val="22"/>
              </w:rPr>
              <w:t xml:space="preserve"> </w:t>
            </w:r>
            <w:r w:rsidRPr="003C0F31">
              <w:rPr>
                <w:rFonts w:ascii="Calibri" w:hAnsi="Calibri"/>
                <w:color w:val="000000"/>
                <w:sz w:val="22"/>
                <w:szCs w:val="22"/>
              </w:rPr>
              <w:t>981</w:t>
            </w:r>
          </w:p>
        </w:tc>
        <w:tc>
          <w:tcPr>
            <w:tcW w:w="387" w:type="dxa"/>
            <w:shd w:val="clear" w:color="auto" w:fill="auto"/>
            <w:vAlign w:val="bottom"/>
          </w:tcPr>
          <w:p w:rsidR="00E412F2" w:rsidRPr="00E20033" w:rsidP="00E412F2" w14:paraId="114156D1" w14:textId="4A9B5379">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BE28FE" w14:paraId="12AC39AA" w14:textId="63C2FB86">
            <w:pPr>
              <w:keepNext/>
              <w:keepLines/>
              <w:jc w:val="center"/>
              <w:rPr>
                <w:rFonts w:ascii="Arial Narrow" w:hAnsi="Arial Narrow"/>
                <w:sz w:val="18"/>
                <w:szCs w:val="18"/>
              </w:rPr>
            </w:pPr>
            <w:r>
              <w:rPr>
                <w:rFonts w:ascii="Calibri" w:hAnsi="Calibri"/>
                <w:color w:val="000000"/>
                <w:sz w:val="22"/>
                <w:szCs w:val="22"/>
              </w:rPr>
              <w:t xml:space="preserve">$ </w:t>
            </w:r>
            <w:r w:rsidR="000B28AD">
              <w:rPr>
                <w:rFonts w:ascii="Calibri" w:hAnsi="Calibri"/>
                <w:color w:val="000000"/>
                <w:sz w:val="22"/>
                <w:szCs w:val="22"/>
              </w:rPr>
              <w:t>1</w:t>
            </w:r>
            <w:r w:rsidR="00354A5A">
              <w:rPr>
                <w:rFonts w:ascii="Calibri" w:hAnsi="Calibri"/>
                <w:color w:val="000000"/>
                <w:sz w:val="22"/>
                <w:szCs w:val="22"/>
              </w:rPr>
              <w:t>2,395</w:t>
            </w:r>
          </w:p>
        </w:tc>
      </w:tr>
      <w:tr w14:paraId="6035C909" w14:textId="77777777" w:rsidTr="00DA2DEA">
        <w:tblPrEx>
          <w:tblW w:w="7820" w:type="dxa"/>
          <w:tblInd w:w="895" w:type="dxa"/>
          <w:tblLook w:val="04A0"/>
        </w:tblPrEx>
        <w:tc>
          <w:tcPr>
            <w:tcW w:w="1823" w:type="dxa"/>
            <w:shd w:val="clear" w:color="auto" w:fill="auto"/>
          </w:tcPr>
          <w:p w:rsidR="00E412F2" w:rsidRPr="00E20033" w:rsidP="00B9122B"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E412F2" w:rsidRPr="000B28AD" w:rsidP="00B9122B" w14:paraId="7D574A53" w14:textId="17A538D8">
            <w:pPr>
              <w:keepNext/>
              <w:keepLines/>
              <w:jc w:val="center"/>
              <w:rPr>
                <w:rFonts w:asciiTheme="minorHAnsi" w:hAnsiTheme="minorHAnsi" w:cstheme="minorHAnsi"/>
                <w:b/>
                <w:sz w:val="22"/>
                <w:szCs w:val="22"/>
              </w:rPr>
            </w:pPr>
            <w:r w:rsidRPr="000B28AD">
              <w:rPr>
                <w:rFonts w:asciiTheme="minorHAnsi" w:hAnsiTheme="minorHAnsi" w:cstheme="minorHAnsi"/>
                <w:b/>
                <w:sz w:val="22"/>
                <w:szCs w:val="22"/>
              </w:rPr>
              <w:t>$</w:t>
            </w:r>
            <w:r w:rsidR="000604CB">
              <w:rPr>
                <w:rFonts w:asciiTheme="minorHAnsi" w:hAnsiTheme="minorHAnsi" w:cstheme="minorHAnsi"/>
                <w:b/>
                <w:sz w:val="22"/>
                <w:szCs w:val="22"/>
              </w:rPr>
              <w:t>1</w:t>
            </w:r>
            <w:r w:rsidRPr="000B28AD">
              <w:rPr>
                <w:rFonts w:asciiTheme="minorHAnsi" w:hAnsiTheme="minorHAnsi" w:cstheme="minorHAnsi"/>
                <w:b/>
                <w:sz w:val="22"/>
                <w:szCs w:val="22"/>
              </w:rPr>
              <w:t>02,728</w:t>
            </w:r>
          </w:p>
        </w:tc>
        <w:tc>
          <w:tcPr>
            <w:tcW w:w="303" w:type="dxa"/>
            <w:shd w:val="clear" w:color="auto" w:fill="auto"/>
          </w:tcPr>
          <w:p w:rsidR="00E412F2" w:rsidRPr="00E20033" w:rsidP="00B9122B" w14:paraId="18CB48C4" w14:textId="3E6AC0F1">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vAlign w:val="bottom"/>
          </w:tcPr>
          <w:p w:rsidR="00E412F2" w:rsidRPr="003C0F31" w:rsidP="00BE28FE" w14:paraId="49B34F5C" w14:textId="642CBCFF">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00840786">
              <w:rPr>
                <w:rFonts w:ascii="Calibri" w:hAnsi="Calibri"/>
                <w:color w:val="000000"/>
                <w:sz w:val="22"/>
                <w:szCs w:val="22"/>
              </w:rPr>
              <w:t>4,141</w:t>
            </w:r>
          </w:p>
        </w:tc>
        <w:tc>
          <w:tcPr>
            <w:tcW w:w="387" w:type="dxa"/>
            <w:shd w:val="clear" w:color="auto" w:fill="auto"/>
            <w:vAlign w:val="bottom"/>
          </w:tcPr>
          <w:p w:rsidR="00E412F2" w:rsidRPr="00E20033" w:rsidP="00B9122B" w14:paraId="7EF8532F" w14:textId="43DE3381">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vAlign w:val="bottom"/>
          </w:tcPr>
          <w:p w:rsidR="00E412F2" w:rsidRPr="00E20033" w:rsidP="00BE28FE" w14:paraId="179C3F51" w14:textId="2A1F277F">
            <w:pPr>
              <w:keepNext/>
              <w:keepLines/>
              <w:jc w:val="center"/>
              <w:rPr>
                <w:rFonts w:ascii="Arial Narrow" w:hAnsi="Arial Narrow"/>
                <w:b/>
                <w:sz w:val="18"/>
                <w:szCs w:val="18"/>
              </w:rPr>
            </w:pPr>
            <w:r>
              <w:rPr>
                <w:rFonts w:ascii="Calibri" w:hAnsi="Calibri" w:cs="Calibri"/>
                <w:b/>
                <w:sz w:val="22"/>
                <w:szCs w:val="22"/>
              </w:rPr>
              <w:t>$</w:t>
            </w:r>
            <w:r w:rsidRPr="000B28AD" w:rsidR="000B28AD">
              <w:rPr>
                <w:rFonts w:ascii="Calibri" w:hAnsi="Calibri" w:cs="Calibri"/>
                <w:b/>
                <w:sz w:val="22"/>
                <w:szCs w:val="22"/>
              </w:rPr>
              <w:t>10</w:t>
            </w:r>
            <w:r w:rsidR="00354A5A">
              <w:rPr>
                <w:rFonts w:ascii="Calibri" w:hAnsi="Calibri" w:cs="Calibri"/>
                <w:b/>
                <w:sz w:val="22"/>
                <w:szCs w:val="22"/>
              </w:rPr>
              <w:t>6</w:t>
            </w:r>
            <w:r w:rsidRPr="000B28AD" w:rsidR="000B28AD">
              <w:rPr>
                <w:rFonts w:ascii="Calibri" w:hAnsi="Calibri" w:cs="Calibri"/>
                <w:b/>
                <w:sz w:val="22"/>
                <w:szCs w:val="22"/>
              </w:rPr>
              <w:t>,</w:t>
            </w:r>
            <w:r w:rsidR="00354A5A">
              <w:rPr>
                <w:rFonts w:ascii="Calibri" w:hAnsi="Calibri" w:cs="Calibri"/>
                <w:b/>
                <w:sz w:val="22"/>
                <w:szCs w:val="22"/>
              </w:rPr>
              <w:t>869</w:t>
            </w:r>
          </w:p>
        </w:tc>
      </w:tr>
      <w:tr w14:paraId="442B9C29" w14:textId="77777777" w:rsidTr="00DA2DEA">
        <w:tblPrEx>
          <w:tblW w:w="7820" w:type="dxa"/>
          <w:tblInd w:w="895" w:type="dxa"/>
          <w:tblLook w:val="04A0"/>
        </w:tblPrEx>
        <w:tc>
          <w:tcPr>
            <w:tcW w:w="7820" w:type="dxa"/>
            <w:gridSpan w:val="6"/>
            <w:shd w:val="clear" w:color="auto" w:fill="auto"/>
          </w:tcPr>
          <w:p w:rsidR="00E412F2" w:rsidRPr="00E20033" w:rsidP="00B9122B" w14:paraId="0A6E4A78" w14:textId="66BDCB5D">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w:t>
            </w:r>
            <w:r w:rsidR="00DE1C3A">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bookmarkEnd w:id="2"/>
    </w:tbl>
    <w:p w:rsidR="00332B28" w:rsidRPr="00613D6A" w14:paraId="06517EF7" w14:textId="77777777">
      <w:pPr>
        <w:jc w:val="both"/>
        <w:rPr>
          <w:rFonts w:asciiTheme="minorHAnsi" w:hAnsiTheme="minorHAnsi" w:cstheme="minorHAnsi"/>
          <w:sz w:val="22"/>
          <w:szCs w:val="22"/>
        </w:rPr>
      </w:pPr>
    </w:p>
    <w:p w:rsidR="00332B28" w:rsidRPr="00613D6A"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7F9528D2" w14:textId="77777777">
      <w:pPr>
        <w:ind w:firstLine="720"/>
        <w:jc w:val="both"/>
        <w:rPr>
          <w:rFonts w:asciiTheme="minorHAnsi" w:hAnsiTheme="minorHAnsi" w:cstheme="minorHAnsi"/>
          <w:sz w:val="22"/>
          <w:szCs w:val="22"/>
        </w:rPr>
      </w:pPr>
    </w:p>
    <w:p w:rsidR="00393F51" w:rsidRPr="00613D6A" w:rsidP="00EB2BBD" w14:paraId="53A2E4D7" w14:textId="6861AAE7">
      <w:pPr>
        <w:ind w:left="720"/>
        <w:jc w:val="both"/>
        <w:rPr>
          <w:rFonts w:asciiTheme="minorHAnsi" w:hAnsiTheme="minorHAnsi" w:cstheme="minorHAnsi"/>
          <w:sz w:val="22"/>
          <w:szCs w:val="22"/>
        </w:rPr>
      </w:pPr>
      <w:r>
        <w:rPr>
          <w:rFonts w:asciiTheme="minorHAnsi" w:hAnsiTheme="minorHAnsi" w:cstheme="minorHAnsi"/>
          <w:sz w:val="22"/>
          <w:szCs w:val="22"/>
        </w:rPr>
        <w:t>This is a new paperwork burden approval</w:t>
      </w:r>
      <w:r w:rsidRPr="00613D6A">
        <w:rPr>
          <w:rFonts w:asciiTheme="minorHAnsi" w:hAnsiTheme="minorHAnsi" w:cstheme="minorHAnsi"/>
          <w:sz w:val="22"/>
          <w:szCs w:val="22"/>
        </w:rPr>
        <w:t xml:space="preserve">. </w:t>
      </w:r>
      <w:r w:rsidRPr="00613D6A" w:rsidR="00DA2DEA">
        <w:rPr>
          <w:rFonts w:asciiTheme="minorHAnsi" w:hAnsiTheme="minorHAnsi" w:cstheme="minorHAnsi"/>
          <w:sz w:val="22"/>
          <w:szCs w:val="22"/>
        </w:rPr>
        <w:t>Based on the new statute</w:t>
      </w:r>
      <w:r w:rsidRPr="00613D6A">
        <w:rPr>
          <w:rFonts w:asciiTheme="minorHAnsi" w:hAnsiTheme="minorHAnsi" w:cstheme="minorHAnsi"/>
          <w:sz w:val="22"/>
          <w:szCs w:val="22"/>
        </w:rPr>
        <w:t xml:space="preserve">, the burden for </w:t>
      </w:r>
      <w:r w:rsidR="008353C5">
        <w:rPr>
          <w:rFonts w:asciiTheme="minorHAnsi" w:hAnsiTheme="minorHAnsi" w:cstheme="minorHAnsi"/>
          <w:sz w:val="22"/>
          <w:szCs w:val="22"/>
        </w:rPr>
        <w:t>Form 1099-DA is 14,500,</w:t>
      </w:r>
      <w:r w:rsidR="008C5269">
        <w:rPr>
          <w:rFonts w:asciiTheme="minorHAnsi" w:hAnsiTheme="minorHAnsi" w:cstheme="minorHAnsi"/>
          <w:sz w:val="22"/>
          <w:szCs w:val="22"/>
        </w:rPr>
        <w:t>8</w:t>
      </w:r>
      <w:r w:rsidR="008353C5">
        <w:rPr>
          <w:rFonts w:asciiTheme="minorHAnsi" w:hAnsiTheme="minorHAnsi" w:cstheme="minorHAnsi"/>
          <w:sz w:val="22"/>
          <w:szCs w:val="22"/>
        </w:rPr>
        <w:t xml:space="preserve">00 responses and </w:t>
      </w:r>
      <w:r w:rsidR="00F11402">
        <w:rPr>
          <w:rFonts w:asciiTheme="minorHAnsi" w:hAnsiTheme="minorHAnsi" w:cstheme="minorHAnsi"/>
          <w:sz w:val="22"/>
          <w:szCs w:val="22"/>
        </w:rPr>
        <w:t>2,</w:t>
      </w:r>
      <w:r w:rsidR="0053763A">
        <w:rPr>
          <w:rFonts w:asciiTheme="minorHAnsi" w:hAnsiTheme="minorHAnsi" w:cstheme="minorHAnsi"/>
          <w:sz w:val="22"/>
          <w:szCs w:val="22"/>
        </w:rPr>
        <w:t>252,500</w:t>
      </w:r>
      <w:r w:rsidR="00F11402">
        <w:rPr>
          <w:rFonts w:asciiTheme="minorHAnsi" w:hAnsiTheme="minorHAnsi" w:cstheme="minorHAnsi"/>
          <w:sz w:val="22"/>
          <w:szCs w:val="22"/>
        </w:rPr>
        <w:t xml:space="preserve"> hours for the total burden</w:t>
      </w:r>
      <w:r w:rsidRPr="00613D6A" w:rsidR="00DB74A5">
        <w:rPr>
          <w:rFonts w:asciiTheme="minorHAnsi" w:hAnsiTheme="minorHAnsi" w:cstheme="minorHAnsi"/>
          <w:sz w:val="22"/>
          <w:szCs w:val="22"/>
        </w:rPr>
        <w:t>.</w:t>
      </w:r>
    </w:p>
    <w:p w:rsidR="00393F51" w:rsidRPr="00613D6A" w:rsidP="00EB2BBD" w14:paraId="542E31E6"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2B101FE9"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3"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579C721" w14:textId="3D940C1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BD92465" w14:textId="05E641A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14,500,</w:t>
            </w:r>
            <w:r w:rsidR="00542DF0">
              <w:rPr>
                <w:rFonts w:ascii="Arial Narrow" w:hAnsi="Arial Narrow" w:cs="Arial"/>
                <w:color w:val="000000"/>
                <w:sz w:val="18"/>
                <w:szCs w:val="18"/>
              </w:rPr>
              <w:t>8</w:t>
            </w:r>
            <w:r>
              <w:rPr>
                <w:rFonts w:ascii="Arial Narrow" w:hAnsi="Arial Narrow" w:cs="Arial"/>
                <w:color w:val="000000"/>
                <w:sz w:val="18"/>
                <w:szCs w:val="18"/>
              </w:rPr>
              <w:t>00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D16DB8A" w14:textId="34BEBB7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7B3AF50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tr w14:paraId="51467B3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r w:rsidRPr="00885286">
              <w:rPr>
                <w:rFonts w:ascii="Arial Narrow" w:hAnsi="Arial Narrow" w:cs="Arial"/>
                <w:color w:val="000000"/>
                <w:sz w:val="18"/>
                <w:szCs w:val="18"/>
              </w:rPr>
              <w:t>Hr</w:t>
            </w:r>
            <w:r w:rsidRPr="00885286">
              <w:rPr>
                <w:rFonts w:ascii="Arial Narrow" w:hAnsi="Arial Narrow" w:cs="Arial"/>
                <w:color w:val="000000"/>
                <w:sz w:val="18"/>
                <w:szCs w:val="18"/>
              </w:rPr>
              <w:t>)</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E29BC0" w14:textId="4ADCDA4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07DE30D" w14:textId="4A78DEB0">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2,252,500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127A946" w14:textId="32C8608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0955CC3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bookmarkEnd w:id="3"/>
    </w:tbl>
    <w:p w:rsidR="00332B28" w:rsidRPr="00613D6A" w:rsidP="00956BAE" w14:paraId="1F5EBE7A" w14:textId="77777777">
      <w:pPr>
        <w:ind w:left="720"/>
        <w:jc w:val="both"/>
        <w:rPr>
          <w:rFonts w:asciiTheme="minorHAnsi" w:hAnsiTheme="minorHAnsi" w:cstheme="minorHAnsi"/>
          <w:sz w:val="22"/>
          <w:szCs w:val="22"/>
        </w:rPr>
      </w:pPr>
    </w:p>
    <w:p w:rsidR="00332B28" w:rsidRPr="00613D6A" w14:paraId="10BE1B2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68235511" w14:textId="77777777">
      <w:pPr>
        <w:jc w:val="both"/>
        <w:rPr>
          <w:rFonts w:asciiTheme="minorHAnsi" w:hAnsiTheme="minorHAnsi" w:cstheme="minorHAnsi"/>
          <w:sz w:val="22"/>
          <w:szCs w:val="22"/>
        </w:rPr>
      </w:pPr>
    </w:p>
    <w:p w:rsidR="000B28AD" w:rsidRPr="00613D6A" w:rsidP="00D71CDB" w14:paraId="7809676B" w14:textId="1F09C86E">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C05DE2B" w14:textId="77777777">
      <w:pPr>
        <w:rPr>
          <w:rFonts w:asciiTheme="minorHAnsi" w:hAnsiTheme="minorHAnsi" w:cstheme="minorHAnsi"/>
          <w:sz w:val="22"/>
          <w:szCs w:val="22"/>
        </w:rPr>
      </w:pPr>
    </w:p>
    <w:p w:rsidR="00332B28" w:rsidRPr="00613D6A" w:rsidP="00BC5647" w14:paraId="3E0934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0241C53F" w14:textId="77777777">
      <w:pPr>
        <w:rPr>
          <w:rFonts w:asciiTheme="minorHAnsi" w:hAnsiTheme="minorHAnsi" w:cstheme="minorHAnsi"/>
          <w:sz w:val="22"/>
          <w:szCs w:val="22"/>
        </w:rPr>
      </w:pPr>
    </w:p>
    <w:p w:rsidR="00B84BF2" w:rsidRPr="00613D6A" w:rsidP="00B84BF2" w14:paraId="3038B4D7" w14:textId="7373228E">
      <w:pPr>
        <w:ind w:left="720"/>
        <w:rPr>
          <w:rFonts w:asciiTheme="minorHAnsi" w:hAnsiTheme="minorHAnsi" w:cstheme="minorHAnsi"/>
          <w:sz w:val="22"/>
          <w:szCs w:val="22"/>
        </w:rPr>
      </w:pPr>
      <w:r w:rsidRPr="00613D6A">
        <w:rPr>
          <w:rFonts w:asciiTheme="minorHAnsi" w:hAnsiTheme="minorHAnsi" w:cstheme="minorHAnsi"/>
          <w:sz w:val="22"/>
          <w:szCs w:val="22"/>
        </w:rPr>
        <w:t xml:space="preserve">IRS </w:t>
      </w:r>
      <w:r w:rsidRPr="00613D6A">
        <w:rPr>
          <w:rFonts w:asciiTheme="minorHAnsi" w:hAnsiTheme="minorHAnsi" w:cstheme="minorHAnsi"/>
          <w:sz w:val="22"/>
          <w:szCs w:val="22"/>
        </w:rPr>
        <w:t>believe</w:t>
      </w:r>
      <w:r w:rsidRPr="00613D6A">
        <w:rPr>
          <w:rFonts w:asciiTheme="minorHAnsi" w:hAnsiTheme="minorHAnsi" w:cstheme="minorHAnsi"/>
          <w:sz w:val="22"/>
          <w:szCs w:val="22"/>
        </w:rPr>
        <w:t>s</w:t>
      </w:r>
      <w:r w:rsidRPr="00613D6A">
        <w:rPr>
          <w:rFonts w:asciiTheme="minorHAnsi" w:hAnsiTheme="minorHAnsi" w:cstheme="minorHAnsi"/>
          <w:sz w:val="22"/>
          <w:szCs w:val="22"/>
        </w:rPr>
        <w:t xml:space="preserve"> that displaying the OMB expiration date is inappropriate because it could cause confusion by leading taxpayers to believe that the form sunsets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0A7E635E" w14:textId="77777777">
      <w:pPr>
        <w:tabs>
          <w:tab w:val="num" w:pos="720"/>
        </w:tabs>
        <w:ind w:left="720" w:hanging="720"/>
        <w:rPr>
          <w:rFonts w:asciiTheme="minorHAnsi" w:hAnsiTheme="minorHAnsi" w:cstheme="minorHAnsi"/>
          <w:sz w:val="22"/>
          <w:szCs w:val="22"/>
        </w:rPr>
      </w:pPr>
    </w:p>
    <w:p w:rsidR="00332B28" w:rsidRPr="00613D6A" w:rsidP="00BC5647" w14:paraId="2DB6CDAA"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58FCB54B" w14:textId="77777777">
      <w:pPr>
        <w:rPr>
          <w:rFonts w:asciiTheme="minorHAnsi" w:hAnsiTheme="minorHAnsi" w:cstheme="minorHAnsi"/>
          <w:sz w:val="22"/>
          <w:szCs w:val="22"/>
        </w:rPr>
      </w:pPr>
    </w:p>
    <w:p w:rsidR="008F1C9A" w:rsidRPr="00613D6A" w:rsidP="00606056" w14:paraId="27490299" w14:textId="1F31FE1D">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24DB996" w14:textId="77777777">
      <w:pPr>
        <w:rPr>
          <w:rFonts w:ascii="Calibri" w:hAnsi="Calibri" w:cs="Courier New"/>
          <w:sz w:val="22"/>
          <w:szCs w:val="22"/>
        </w:rPr>
      </w:pPr>
    </w:p>
    <w:sectPr w:rsidSect="00332B28">
      <w:headerReference w:type="defaul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40F3" w14:paraId="6AD5CDA9" w14:textId="77777777">
      <w:r>
        <w:separator/>
      </w:r>
    </w:p>
  </w:footnote>
  <w:footnote w:type="continuationSeparator" w:id="1">
    <w:p w:rsidR="000F40F3" w14:paraId="519C692A" w14:textId="77777777">
      <w:r>
        <w:continuationSeparator/>
      </w:r>
    </w:p>
  </w:footnote>
  <w:footnote w:id="2">
    <w:p w:rsidR="00CC2CD4" w:rsidRPr="00CC2CD4" w14:paraId="2B31F4E2" w14:textId="159CFD9F">
      <w:pPr>
        <w:pStyle w:val="FootnoteText"/>
        <w:rPr>
          <w:rFonts w:asciiTheme="minorHAnsi" w:hAnsiTheme="minorHAnsi" w:cstheme="minorHAnsi"/>
        </w:rPr>
      </w:pPr>
      <w:r w:rsidRPr="006001B9">
        <w:rPr>
          <w:rStyle w:val="FootnoteReference"/>
          <w:rFonts w:asciiTheme="minorHAnsi" w:hAnsiTheme="minorHAnsi" w:cstheme="minorHAnsi"/>
          <w:vertAlign w:val="superscript"/>
        </w:rPr>
        <w:footnoteRef/>
      </w:r>
      <w:r w:rsidRPr="006001B9">
        <w:rPr>
          <w:rFonts w:asciiTheme="minorHAnsi" w:hAnsiTheme="minorHAnsi" w:cstheme="minorHAnsi"/>
          <w:vertAlign w:val="superscript"/>
        </w:rPr>
        <w:t xml:space="preserve"> </w:t>
      </w:r>
      <w:r w:rsidRPr="00CC2CD4">
        <w:rPr>
          <w:rFonts w:asciiTheme="minorHAnsi" w:hAnsiTheme="minorHAnsi" w:cstheme="minorHAnsi"/>
        </w:rPr>
        <w:t>Unless otherwise stated, all section references are to the Internal Revenue Code of 1986 (as amended) or to the regulations thereunder.</w:t>
      </w:r>
    </w:p>
  </w:footnote>
  <w:footnote w:id="3">
    <w:p w:rsidR="008C5269" w14:paraId="0507B6D2" w14:textId="6E7EEC22">
      <w:pPr>
        <w:pStyle w:val="FootnoteText"/>
      </w:pPr>
      <w:r w:rsidRPr="009F6734">
        <w:rPr>
          <w:rFonts w:asciiTheme="minorHAnsi" w:hAnsiTheme="minorHAnsi" w:cstheme="minorHAnsi"/>
          <w:vertAlign w:val="superscript"/>
        </w:rPr>
        <w:footnoteRef/>
      </w:r>
      <w:r w:rsidRPr="009F6734">
        <w:rPr>
          <w:rFonts w:asciiTheme="minorHAnsi" w:hAnsiTheme="minorHAnsi" w:cstheme="minorHAnsi"/>
          <w:vertAlign w:val="superscript"/>
        </w:rPr>
        <w:t xml:space="preserve"> </w:t>
      </w:r>
      <w:r w:rsidRPr="009F6734">
        <w:rPr>
          <w:rFonts w:asciiTheme="minorHAnsi" w:hAnsiTheme="minorHAnsi" w:cstheme="minorHAnsi"/>
        </w:rPr>
        <w:t>The upper bound is set using rates from the BLS Occupational Employment Statistics (OES) and the BLS Employer Costs for Employee Compensation from the National Compensation Survey. Specifically, the estimate uses the 90th percentile for accountants and auditors from the OES and the ratio of total compensation to wages and salaries from the private industry workers (management, professional, and related occupations) to account for fringe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75C4"/>
    <w:rsid w:val="00087B10"/>
    <w:rsid w:val="00095A71"/>
    <w:rsid w:val="00096C81"/>
    <w:rsid w:val="000A280B"/>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170C"/>
    <w:rsid w:val="00172DB2"/>
    <w:rsid w:val="00175A57"/>
    <w:rsid w:val="0018068B"/>
    <w:rsid w:val="00180BDD"/>
    <w:rsid w:val="0018156B"/>
    <w:rsid w:val="00193AEB"/>
    <w:rsid w:val="001A17DB"/>
    <w:rsid w:val="001A4017"/>
    <w:rsid w:val="001A4FF5"/>
    <w:rsid w:val="001A52D1"/>
    <w:rsid w:val="001A6D0D"/>
    <w:rsid w:val="001B0883"/>
    <w:rsid w:val="001B178A"/>
    <w:rsid w:val="001B2298"/>
    <w:rsid w:val="001B5BD6"/>
    <w:rsid w:val="001C301D"/>
    <w:rsid w:val="001C5FAA"/>
    <w:rsid w:val="001C60B8"/>
    <w:rsid w:val="001D18F4"/>
    <w:rsid w:val="001D1FA3"/>
    <w:rsid w:val="001D24B0"/>
    <w:rsid w:val="001D5544"/>
    <w:rsid w:val="001D56A4"/>
    <w:rsid w:val="001E0257"/>
    <w:rsid w:val="001F2648"/>
    <w:rsid w:val="002007FD"/>
    <w:rsid w:val="00205050"/>
    <w:rsid w:val="0021011C"/>
    <w:rsid w:val="0021047F"/>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5F5"/>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300694"/>
    <w:rsid w:val="003052E2"/>
    <w:rsid w:val="00305F7C"/>
    <w:rsid w:val="00306C00"/>
    <w:rsid w:val="003106EF"/>
    <w:rsid w:val="00311648"/>
    <w:rsid w:val="00312B6D"/>
    <w:rsid w:val="00313154"/>
    <w:rsid w:val="00314085"/>
    <w:rsid w:val="0031707B"/>
    <w:rsid w:val="00323324"/>
    <w:rsid w:val="00325AED"/>
    <w:rsid w:val="00326C33"/>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51BC"/>
    <w:rsid w:val="003F55E1"/>
    <w:rsid w:val="003F7A79"/>
    <w:rsid w:val="00403FE2"/>
    <w:rsid w:val="0040555C"/>
    <w:rsid w:val="00406748"/>
    <w:rsid w:val="00406CA0"/>
    <w:rsid w:val="00406E4E"/>
    <w:rsid w:val="00410BE2"/>
    <w:rsid w:val="004147C6"/>
    <w:rsid w:val="0041495A"/>
    <w:rsid w:val="00422677"/>
    <w:rsid w:val="004231B6"/>
    <w:rsid w:val="004254BD"/>
    <w:rsid w:val="004332AB"/>
    <w:rsid w:val="00434186"/>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304E"/>
    <w:rsid w:val="004B7FE9"/>
    <w:rsid w:val="004C15CC"/>
    <w:rsid w:val="004C1DC9"/>
    <w:rsid w:val="004D5EAB"/>
    <w:rsid w:val="004E6462"/>
    <w:rsid w:val="004E6A43"/>
    <w:rsid w:val="004E78CF"/>
    <w:rsid w:val="004F4BCB"/>
    <w:rsid w:val="004F6AFC"/>
    <w:rsid w:val="0050188B"/>
    <w:rsid w:val="005115A0"/>
    <w:rsid w:val="00512BAB"/>
    <w:rsid w:val="00513C19"/>
    <w:rsid w:val="00514BA4"/>
    <w:rsid w:val="005151C6"/>
    <w:rsid w:val="00532F3D"/>
    <w:rsid w:val="0053763A"/>
    <w:rsid w:val="005407CE"/>
    <w:rsid w:val="005407E7"/>
    <w:rsid w:val="00542DF0"/>
    <w:rsid w:val="005437F9"/>
    <w:rsid w:val="0054393D"/>
    <w:rsid w:val="00545ECE"/>
    <w:rsid w:val="00550C48"/>
    <w:rsid w:val="005539E4"/>
    <w:rsid w:val="00553A6C"/>
    <w:rsid w:val="00565597"/>
    <w:rsid w:val="0056790C"/>
    <w:rsid w:val="00570A2A"/>
    <w:rsid w:val="005714C3"/>
    <w:rsid w:val="00572404"/>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E046E"/>
    <w:rsid w:val="005E2869"/>
    <w:rsid w:val="005E404F"/>
    <w:rsid w:val="005E49F6"/>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736A"/>
    <w:rsid w:val="00622D37"/>
    <w:rsid w:val="00625AF3"/>
    <w:rsid w:val="006306F2"/>
    <w:rsid w:val="00633A65"/>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388E"/>
    <w:rsid w:val="00711160"/>
    <w:rsid w:val="0071667E"/>
    <w:rsid w:val="0072012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B0BDC"/>
    <w:rsid w:val="007B7294"/>
    <w:rsid w:val="007B75AE"/>
    <w:rsid w:val="007C0183"/>
    <w:rsid w:val="007C0E3B"/>
    <w:rsid w:val="007C31B6"/>
    <w:rsid w:val="007C3CF7"/>
    <w:rsid w:val="007E108E"/>
    <w:rsid w:val="007E551E"/>
    <w:rsid w:val="007F5072"/>
    <w:rsid w:val="008052C7"/>
    <w:rsid w:val="00810415"/>
    <w:rsid w:val="00820704"/>
    <w:rsid w:val="0082178A"/>
    <w:rsid w:val="00821DEC"/>
    <w:rsid w:val="00823465"/>
    <w:rsid w:val="00831B2E"/>
    <w:rsid w:val="008325D3"/>
    <w:rsid w:val="00834825"/>
    <w:rsid w:val="00834AF2"/>
    <w:rsid w:val="008353C5"/>
    <w:rsid w:val="00840786"/>
    <w:rsid w:val="00847689"/>
    <w:rsid w:val="0085427C"/>
    <w:rsid w:val="008553D7"/>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765B"/>
    <w:rsid w:val="009C2030"/>
    <w:rsid w:val="009C35F4"/>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78E3"/>
    <w:rsid w:val="00A40F7A"/>
    <w:rsid w:val="00A411E0"/>
    <w:rsid w:val="00A41ED5"/>
    <w:rsid w:val="00A42966"/>
    <w:rsid w:val="00A44AB8"/>
    <w:rsid w:val="00A4576B"/>
    <w:rsid w:val="00A50612"/>
    <w:rsid w:val="00A51824"/>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505F4"/>
    <w:rsid w:val="00B5230F"/>
    <w:rsid w:val="00B56D9B"/>
    <w:rsid w:val="00B6244B"/>
    <w:rsid w:val="00B679AD"/>
    <w:rsid w:val="00B700F9"/>
    <w:rsid w:val="00B715AB"/>
    <w:rsid w:val="00B75347"/>
    <w:rsid w:val="00B77BFC"/>
    <w:rsid w:val="00B84207"/>
    <w:rsid w:val="00B84BF2"/>
    <w:rsid w:val="00B910C6"/>
    <w:rsid w:val="00B9122B"/>
    <w:rsid w:val="00B93C0A"/>
    <w:rsid w:val="00BA69D9"/>
    <w:rsid w:val="00BA76FC"/>
    <w:rsid w:val="00BB5AEE"/>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13B1"/>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3E44"/>
    <w:rsid w:val="00EA3F65"/>
    <w:rsid w:val="00EA4456"/>
    <w:rsid w:val="00EB2A46"/>
    <w:rsid w:val="00EB2BBD"/>
    <w:rsid w:val="00EC1306"/>
    <w:rsid w:val="00EC20FB"/>
    <w:rsid w:val="00EC34D2"/>
    <w:rsid w:val="00EC45F6"/>
    <w:rsid w:val="00EC48AA"/>
    <w:rsid w:val="00EC531F"/>
    <w:rsid w:val="00EC5926"/>
    <w:rsid w:val="00EC6E86"/>
    <w:rsid w:val="00ED1ED4"/>
    <w:rsid w:val="00ED48DE"/>
    <w:rsid w:val="00ED5BBA"/>
    <w:rsid w:val="00EE0660"/>
    <w:rsid w:val="00EE1541"/>
    <w:rsid w:val="00EE604A"/>
    <w:rsid w:val="00F11402"/>
    <w:rsid w:val="00F11B9C"/>
    <w:rsid w:val="00F13C03"/>
    <w:rsid w:val="00F15A61"/>
    <w:rsid w:val="00F16C6A"/>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treasury.gov/privacy/PIAs/Pages/def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2.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4.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5634</Words>
  <Characters>30219</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2024-09-27T21:09:00Z</dcterms:created>
  <dcterms:modified xsi:type="dcterms:W3CDTF">2024-09-27T21:09:00Z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