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662B" w:rsidRPr="00C70BD5" w:rsidP="00C70BD5" w14:paraId="0533311B" w14:textId="0EC007E0">
      <w:pPr>
        <w:jc w:val="center"/>
        <w:rPr>
          <w:b/>
          <w:bCs/>
        </w:rPr>
      </w:pPr>
      <w:r w:rsidRPr="00C70BD5">
        <w:rPr>
          <w:b/>
          <w:bCs/>
        </w:rPr>
        <w:t>Justification for Non-Substantive Change</w:t>
      </w:r>
    </w:p>
    <w:p w:rsidR="00C70BD5" w:rsidRPr="00C70BD5" w:rsidP="00C70BD5" w14:paraId="7C4AE41C" w14:textId="77777777">
      <w:pPr>
        <w:jc w:val="center"/>
        <w:rPr>
          <w:b/>
          <w:bCs/>
        </w:rPr>
      </w:pPr>
      <w:r w:rsidRPr="00C70BD5">
        <w:rPr>
          <w:b/>
          <w:bCs/>
        </w:rPr>
        <w:t>Certification of Material Event Form</w:t>
      </w:r>
    </w:p>
    <w:p w:rsidR="00C70BD5" w:rsidP="00C70BD5" w14:paraId="6BE7F128" w14:textId="560E43C6">
      <w:pPr>
        <w:jc w:val="center"/>
        <w:rPr>
          <w:b/>
          <w:bCs/>
        </w:rPr>
      </w:pPr>
      <w:r w:rsidRPr="00C70BD5">
        <w:rPr>
          <w:b/>
          <w:bCs/>
        </w:rPr>
        <w:t>1559-0037</w:t>
      </w:r>
    </w:p>
    <w:p w:rsidR="00C70BD5" w:rsidP="00C70BD5" w14:paraId="7888DDD5" w14:textId="77777777">
      <w:pPr>
        <w:jc w:val="center"/>
        <w:rPr>
          <w:b/>
          <w:bCs/>
        </w:rPr>
      </w:pPr>
    </w:p>
    <w:p w:rsidR="00C70BD5" w:rsidP="00C70BD5" w14:paraId="7FF24734" w14:textId="77777777">
      <w:pPr>
        <w:pStyle w:val="NoSpacing"/>
        <w:ind w:firstLine="720"/>
      </w:pPr>
      <w:r>
        <w:t>The Consolidated Appropriations Act, 2021 (Act; Section 523 of Division N; Pub. L. 116-260)</w:t>
      </w:r>
    </w:p>
    <w:p w:rsidR="00C70BD5" w:rsidP="00C70BD5" w14:paraId="0CE99940" w14:textId="23643349">
      <w:pPr>
        <w:pStyle w:val="NoSpacing"/>
      </w:pPr>
      <w:r>
        <w:t>provided $1.75 billion to the Community Development Financial Institutions Fund (CDFI Fund)</w:t>
      </w:r>
      <w:r>
        <w:t xml:space="preserve"> </w:t>
      </w:r>
      <w:r>
        <w:t>to award Community Development Financial Institutions (CDFIs) grants to respond to the</w:t>
      </w:r>
      <w:r>
        <w:t xml:space="preserve"> </w:t>
      </w:r>
      <w:r>
        <w:t>economic impacts of the COVID-19 pandemic. Awards provided to CDFIs are to expand</w:t>
      </w:r>
      <w:r>
        <w:t xml:space="preserve"> </w:t>
      </w:r>
      <w:r>
        <w:t>lending, grant making, and investment activity in low- or moderate-income communities and to</w:t>
      </w:r>
      <w:r>
        <w:t xml:space="preserve"> </w:t>
      </w:r>
      <w:r>
        <w:t>borrowers, including minorities, that have significant unmet capital or financial service needs</w:t>
      </w:r>
      <w:r>
        <w:t xml:space="preserve"> </w:t>
      </w:r>
      <w:r>
        <w:t>and were disproportionately impacted by the COVID-19 pandemic and to enable CDFIs to build</w:t>
      </w:r>
      <w:r>
        <w:t xml:space="preserve"> </w:t>
      </w:r>
      <w:r>
        <w:t>organizational capacity and acquire technology, staff and other tools necessary to accomplish the</w:t>
      </w:r>
      <w:r>
        <w:t xml:space="preserve"> </w:t>
      </w:r>
      <w:r>
        <w:t>activities under a CDFI Equitable Recovery Program (CDFI ERP). CDFI ERP Award Recipients</w:t>
      </w:r>
      <w:r>
        <w:t xml:space="preserve"> </w:t>
      </w:r>
      <w:r>
        <w:t>utilize existing evaluation and compliance reporting mechanisms already in place for the</w:t>
      </w:r>
      <w:r>
        <w:t xml:space="preserve"> </w:t>
      </w:r>
      <w:r>
        <w:t>Bank Enterprise Award Program, CDFI Program, CDFI Rapid Response Program and Small</w:t>
      </w:r>
      <w:r>
        <w:t xml:space="preserve"> </w:t>
      </w:r>
      <w:r>
        <w:t>Dollar Loan Program. The CDFI ERP has a five</w:t>
      </w:r>
      <w:r>
        <w:t>-</w:t>
      </w:r>
      <w:r>
        <w:t>year Period</w:t>
      </w:r>
      <w:r>
        <w:t xml:space="preserve"> </w:t>
      </w:r>
      <w:r>
        <w:t>of Performance and requires reporting by</w:t>
      </w:r>
      <w:r>
        <w:t xml:space="preserve"> </w:t>
      </w:r>
      <w:r>
        <w:t>program recipients, including reporting any</w:t>
      </w:r>
      <w:r>
        <w:t xml:space="preserve"> </w:t>
      </w:r>
      <w:r>
        <w:t>occurrence, that meet the criteria of a Material Event.</w:t>
      </w:r>
    </w:p>
    <w:p w:rsidR="00C70BD5" w:rsidP="00C70BD5" w14:paraId="3E979E63" w14:textId="77777777">
      <w:pPr>
        <w:pStyle w:val="NoSpacing"/>
      </w:pPr>
    </w:p>
    <w:p w:rsidR="00C70BD5" w:rsidP="00C70BD5" w14:paraId="34F840D8" w14:textId="53D8132B">
      <w:pPr>
        <w:pStyle w:val="NoSpacing"/>
        <w:ind w:firstLine="720"/>
      </w:pPr>
      <w:r>
        <w:t>The CDFI Fund is requesting a non-substantive change to the existing Certification of Material</w:t>
      </w:r>
      <w:r>
        <w:t xml:space="preserve"> </w:t>
      </w:r>
      <w:r>
        <w:t xml:space="preserve">Event Form (OMB Control #1559-0037) to reference the inclusion of CDFI ERP </w:t>
      </w:r>
      <w:r w:rsidR="00536377">
        <w:t xml:space="preserve">in </w:t>
      </w:r>
      <w:r>
        <w:t>the heading for lines 15 and 16. Additional changes have been made at the request</w:t>
      </w:r>
      <w:r>
        <w:t xml:space="preserve"> </w:t>
      </w:r>
      <w:r>
        <w:t xml:space="preserve">of our Office of Legal Counsel to update enforcement language (cover page), correct </w:t>
      </w:r>
      <w:r w:rsidR="00536377">
        <w:t xml:space="preserve">a </w:t>
      </w:r>
      <w:r>
        <w:t>citation</w:t>
      </w:r>
      <w:r>
        <w:t xml:space="preserve"> </w:t>
      </w:r>
      <w:r>
        <w:t>reference typo (line 8), language to accommodate Title VI (line 12) and correct grammatical</w:t>
      </w:r>
      <w:r>
        <w:t xml:space="preserve"> </w:t>
      </w:r>
      <w:r>
        <w:t>and/or punctuation errors (lines 2, 5, 9, 12, 18, 20 and 23).</w:t>
      </w:r>
    </w:p>
    <w:p w:rsidR="00C70BD5" w:rsidP="00C70BD5" w14:paraId="241B2B38" w14:textId="77777777">
      <w:pPr>
        <w:pStyle w:val="NoSpacing"/>
      </w:pPr>
    </w:p>
    <w:p w:rsidR="00C70BD5" w:rsidRPr="00C70BD5" w:rsidP="00C70BD5" w14:paraId="1061C751" w14:textId="172516C2">
      <w:pPr>
        <w:pStyle w:val="NoSpacing"/>
      </w:pPr>
      <w:r>
        <w:tab/>
        <w:t xml:space="preserve">This change is viewed as non-substantive because all award recipients under the Equitable Recovery Program are existing certified CDFIs who would already use this form </w:t>
      </w:r>
      <w:r w:rsidR="00536377">
        <w:t xml:space="preserve">in conjunction with </w:t>
      </w:r>
      <w:r>
        <w:t>awards received under other programs and there no additional data elements being collected. As such there is no change in the universe o</w:t>
      </w:r>
      <w:r w:rsidR="00536377">
        <w:t>f</w:t>
      </w:r>
      <w:r>
        <w:t xml:space="preserve"> respondents or information being collected, </w:t>
      </w:r>
      <w:r w:rsidR="00536377">
        <w:t>and no expected change in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D5"/>
    <w:rsid w:val="004F5C9A"/>
    <w:rsid w:val="00536377"/>
    <w:rsid w:val="005B64B8"/>
    <w:rsid w:val="00C3662B"/>
    <w:rsid w:val="00C70B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991C6"/>
  <w15:chartTrackingRefBased/>
  <w15:docId w15:val="{83C1F363-0380-4272-9386-28C26C6E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Department of the Treasury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Spencer</dc:creator>
  <cp:lastModifiedBy>Clark, Spencer</cp:lastModifiedBy>
  <cp:revision>2</cp:revision>
  <dcterms:created xsi:type="dcterms:W3CDTF">2024-04-04T17:52:00Z</dcterms:created>
  <dcterms:modified xsi:type="dcterms:W3CDTF">2024-04-05T10:50:00Z</dcterms:modified>
</cp:coreProperties>
</file>